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D6B2E">
      <w:pPr>
        <w:spacing w:before="287" w:line="185" w:lineRule="auto"/>
        <w:ind w:left="94"/>
        <w:jc w:val="center"/>
        <w:outlineLvl w:val="0"/>
        <w:rPr>
          <w:rFonts w:ascii="微软雅黑" w:hAnsi="微软雅黑" w:eastAsia="微软雅黑" w:cs="微软雅黑"/>
          <w:b/>
          <w:bCs/>
          <w:spacing w:val="9"/>
          <w:sz w:val="67"/>
          <w:szCs w:val="67"/>
        </w:rPr>
      </w:pPr>
    </w:p>
    <w:p w14:paraId="78A58853">
      <w:pPr>
        <w:spacing w:before="287" w:line="185" w:lineRule="auto"/>
        <w:ind w:left="94"/>
        <w:jc w:val="center"/>
        <w:outlineLvl w:val="0"/>
        <w:rPr>
          <w:rFonts w:ascii="微软雅黑" w:hAnsi="微软雅黑" w:eastAsia="微软雅黑" w:cs="微软雅黑"/>
          <w:b/>
          <w:bCs/>
          <w:spacing w:val="9"/>
          <w:sz w:val="67"/>
          <w:szCs w:val="67"/>
        </w:rPr>
      </w:pPr>
    </w:p>
    <w:p w14:paraId="6C2C0134">
      <w:pPr>
        <w:spacing w:before="287" w:line="185" w:lineRule="auto"/>
        <w:ind w:left="94" w:firstLine="688" w:firstLineChars="100"/>
        <w:outlineLvl w:val="0"/>
        <w:rPr>
          <w:rFonts w:ascii="微软雅黑" w:hAnsi="微软雅黑" w:eastAsia="微软雅黑" w:cs="微软雅黑"/>
          <w:b/>
          <w:bCs/>
          <w:spacing w:val="9"/>
          <w:sz w:val="67"/>
          <w:szCs w:val="67"/>
        </w:rPr>
      </w:pPr>
      <w:r>
        <w:rPr>
          <w:rFonts w:ascii="微软雅黑" w:hAnsi="微软雅黑" w:eastAsia="微软雅黑" w:cs="微软雅黑"/>
          <w:b/>
          <w:bCs/>
          <w:spacing w:val="9"/>
          <w:sz w:val="67"/>
          <w:szCs w:val="67"/>
        </w:rPr>
        <w:t>深圳市龙华区教育系统</w:t>
      </w:r>
    </w:p>
    <w:p w14:paraId="08D71C43">
      <w:pPr>
        <w:spacing w:before="287" w:line="185" w:lineRule="auto"/>
        <w:ind w:left="94" w:firstLine="688" w:firstLineChars="100"/>
        <w:outlineLvl w:val="0"/>
        <w:rPr>
          <w:rFonts w:ascii="微软雅黑" w:hAnsi="微软雅黑" w:eastAsia="微软雅黑" w:cs="微软雅黑"/>
          <w:sz w:val="67"/>
          <w:szCs w:val="67"/>
        </w:rPr>
      </w:pPr>
      <w:r>
        <w:rPr>
          <w:rFonts w:ascii="微软雅黑" w:hAnsi="微软雅黑" w:eastAsia="微软雅黑" w:cs="微软雅黑"/>
          <w:b/>
          <w:bCs/>
          <w:spacing w:val="9"/>
          <w:sz w:val="67"/>
          <w:szCs w:val="67"/>
        </w:rPr>
        <w:t>自行采购项目招标文件</w:t>
      </w:r>
    </w:p>
    <w:p w14:paraId="573E69D5">
      <w:pPr>
        <w:spacing w:before="171" w:line="225" w:lineRule="auto"/>
        <w:ind w:left="2417" w:firstLine="500" w:firstLineChars="100"/>
        <w:rPr>
          <w:rFonts w:ascii="微软雅黑" w:hAnsi="微软雅黑" w:eastAsia="微软雅黑" w:cs="微软雅黑"/>
          <w:b/>
          <w:bCs/>
          <w:spacing w:val="-10"/>
          <w:sz w:val="52"/>
          <w:szCs w:val="52"/>
        </w:rPr>
      </w:pPr>
      <w:r>
        <w:rPr>
          <w:rFonts w:hint="eastAsia" w:ascii="微软雅黑" w:hAnsi="微软雅黑" w:eastAsia="微软雅黑" w:cs="微软雅黑"/>
          <w:b/>
          <w:bCs/>
          <w:spacing w:val="-10"/>
          <w:sz w:val="52"/>
          <w:szCs w:val="52"/>
        </w:rPr>
        <w:t>（工程类）</w:t>
      </w:r>
    </w:p>
    <w:p w14:paraId="63A0E036">
      <w:pPr>
        <w:spacing w:before="171" w:line="225" w:lineRule="auto"/>
        <w:ind w:left="2417"/>
        <w:rPr>
          <w:rFonts w:ascii="微软雅黑" w:hAnsi="微软雅黑" w:eastAsia="微软雅黑" w:cs="微软雅黑"/>
          <w:sz w:val="52"/>
          <w:szCs w:val="52"/>
        </w:rPr>
      </w:pPr>
    </w:p>
    <w:p w14:paraId="573512E2">
      <w:pPr>
        <w:pStyle w:val="9"/>
        <w:spacing w:line="252" w:lineRule="auto"/>
      </w:pPr>
    </w:p>
    <w:p w14:paraId="180AAFE7">
      <w:pPr>
        <w:pStyle w:val="9"/>
        <w:spacing w:line="252" w:lineRule="auto"/>
      </w:pPr>
    </w:p>
    <w:p w14:paraId="20A8554A">
      <w:pPr>
        <w:pStyle w:val="9"/>
        <w:spacing w:line="252" w:lineRule="auto"/>
      </w:pPr>
    </w:p>
    <w:p w14:paraId="2C6F1A49">
      <w:pPr>
        <w:pStyle w:val="9"/>
        <w:spacing w:line="252" w:lineRule="auto"/>
      </w:pPr>
    </w:p>
    <w:p w14:paraId="2DACF644">
      <w:pPr>
        <w:pStyle w:val="9"/>
        <w:spacing w:line="252" w:lineRule="auto"/>
      </w:pPr>
    </w:p>
    <w:p w14:paraId="1454EB42">
      <w:pPr>
        <w:pStyle w:val="9"/>
        <w:spacing w:line="252" w:lineRule="auto"/>
      </w:pPr>
    </w:p>
    <w:p w14:paraId="7827336F">
      <w:pPr>
        <w:pStyle w:val="9"/>
        <w:spacing w:line="252" w:lineRule="auto"/>
      </w:pPr>
    </w:p>
    <w:p w14:paraId="4F26CDA4">
      <w:pPr>
        <w:pStyle w:val="9"/>
        <w:spacing w:line="252" w:lineRule="auto"/>
      </w:pPr>
    </w:p>
    <w:p w14:paraId="3EB2865E">
      <w:pPr>
        <w:pStyle w:val="9"/>
        <w:spacing w:line="252" w:lineRule="auto"/>
      </w:pPr>
    </w:p>
    <w:p w14:paraId="551BC800">
      <w:pPr>
        <w:pStyle w:val="9"/>
        <w:spacing w:line="252" w:lineRule="auto"/>
      </w:pPr>
    </w:p>
    <w:p w14:paraId="784DA1A0">
      <w:pPr>
        <w:pStyle w:val="9"/>
        <w:spacing w:line="252" w:lineRule="auto"/>
      </w:pPr>
    </w:p>
    <w:p w14:paraId="32BC276B">
      <w:pPr>
        <w:pStyle w:val="9"/>
        <w:spacing w:line="252" w:lineRule="auto"/>
      </w:pPr>
    </w:p>
    <w:p w14:paraId="1CD42B33">
      <w:pPr>
        <w:pStyle w:val="9"/>
        <w:spacing w:line="252" w:lineRule="auto"/>
      </w:pPr>
    </w:p>
    <w:p w14:paraId="592921CE">
      <w:pPr>
        <w:pStyle w:val="9"/>
        <w:spacing w:line="252" w:lineRule="auto"/>
      </w:pPr>
    </w:p>
    <w:p w14:paraId="75B62109">
      <w:pPr>
        <w:pStyle w:val="9"/>
        <w:spacing w:line="252" w:lineRule="auto"/>
      </w:pPr>
    </w:p>
    <w:p w14:paraId="327D8F7E">
      <w:pPr>
        <w:pStyle w:val="9"/>
        <w:spacing w:line="253" w:lineRule="auto"/>
      </w:pPr>
    </w:p>
    <w:p w14:paraId="49E37E12">
      <w:pPr>
        <w:spacing w:before="184" w:line="186" w:lineRule="auto"/>
        <w:jc w:val="center"/>
        <w:rPr>
          <w:rFonts w:ascii="微软雅黑" w:hAnsi="微软雅黑" w:eastAsia="微软雅黑" w:cs="微软雅黑"/>
          <w:sz w:val="43"/>
          <w:szCs w:val="43"/>
        </w:rPr>
      </w:pPr>
      <w:r>
        <w:rPr>
          <w:rFonts w:hint="eastAsia" w:ascii="微软雅黑" w:hAnsi="微软雅黑" w:eastAsia="微软雅黑" w:cs="微软雅黑"/>
          <w:b/>
          <w:bCs/>
          <w:spacing w:val="4"/>
          <w:sz w:val="43"/>
          <w:szCs w:val="43"/>
        </w:rPr>
        <w:t>深圳市千里招标代理有限公司</w:t>
      </w:r>
    </w:p>
    <w:p w14:paraId="5E095C3E">
      <w:pPr>
        <w:pStyle w:val="9"/>
        <w:spacing w:line="258" w:lineRule="auto"/>
      </w:pPr>
    </w:p>
    <w:p w14:paraId="6A3456F9">
      <w:pPr>
        <w:spacing w:before="120" w:line="221" w:lineRule="auto"/>
        <w:ind w:left="3602"/>
        <w:rPr>
          <w:rFonts w:ascii="微软雅黑" w:hAnsi="微软雅黑" w:eastAsia="微软雅黑" w:cs="微软雅黑"/>
          <w:sz w:val="28"/>
          <w:szCs w:val="28"/>
        </w:rPr>
      </w:pPr>
      <w:r>
        <w:rPr>
          <w:rFonts w:ascii="微软雅黑" w:hAnsi="微软雅黑" w:eastAsia="微软雅黑" w:cs="微软雅黑"/>
          <w:spacing w:val="-8"/>
          <w:sz w:val="28"/>
          <w:szCs w:val="28"/>
        </w:rPr>
        <w:t>（2024）</w:t>
      </w:r>
    </w:p>
    <w:p w14:paraId="53ACD725">
      <w:pPr>
        <w:spacing w:line="221" w:lineRule="auto"/>
        <w:rPr>
          <w:rFonts w:ascii="微软雅黑" w:hAnsi="微软雅黑" w:eastAsia="微软雅黑" w:cs="微软雅黑"/>
          <w:sz w:val="28"/>
          <w:szCs w:val="28"/>
        </w:rPr>
        <w:sectPr>
          <w:headerReference r:id="rId3" w:type="default"/>
          <w:footerReference r:id="rId4" w:type="default"/>
          <w:pgSz w:w="11906" w:h="16839"/>
          <w:pgMar w:top="1091" w:right="1785" w:bottom="1156" w:left="1785" w:header="1076" w:footer="994" w:gutter="0"/>
          <w:pgBorders>
            <w:top w:val="none" w:sz="0" w:space="0"/>
            <w:left w:val="none" w:sz="0" w:space="0"/>
            <w:bottom w:val="none" w:sz="0" w:space="0"/>
            <w:right w:val="none" w:sz="0" w:space="0"/>
          </w:pgBorders>
          <w:cols w:space="720" w:num="1"/>
        </w:sectPr>
      </w:pPr>
    </w:p>
    <w:p w14:paraId="416A21B9">
      <w:pPr>
        <w:widowControl/>
        <w:spacing w:beforeAutospacing="1" w:afterAutospacing="1"/>
        <w:jc w:val="center"/>
        <w:outlineLvl w:val="0"/>
        <w:rPr>
          <w:rFonts w:ascii="黑体" w:hAnsi="宋体" w:eastAsia="黑体" w:cs="黑体"/>
          <w:kern w:val="0"/>
          <w:sz w:val="40"/>
          <w:szCs w:val="40"/>
        </w:rPr>
      </w:pPr>
      <w:r>
        <w:rPr>
          <w:rFonts w:hint="eastAsia" w:ascii="黑体" w:hAnsi="宋体" w:eastAsia="黑体" w:cs="黑体"/>
          <w:kern w:val="0"/>
          <w:sz w:val="40"/>
          <w:szCs w:val="40"/>
        </w:rPr>
        <w:t>招标文件信息</w:t>
      </w:r>
    </w:p>
    <w:p w14:paraId="7812D191">
      <w:pPr>
        <w:pStyle w:val="9"/>
        <w:rPr>
          <w:rFonts w:ascii="黑体" w:hAnsi="宋体" w:eastAsia="黑体" w:cs="黑体"/>
          <w:kern w:val="0"/>
          <w:sz w:val="40"/>
          <w:szCs w:val="40"/>
        </w:rPr>
      </w:pPr>
    </w:p>
    <w:p w14:paraId="1C6AEE2B">
      <w:pPr>
        <w:pStyle w:val="9"/>
        <w:rPr>
          <w:rFonts w:ascii="黑体" w:hAnsi="宋体" w:eastAsia="黑体" w:cs="黑体"/>
          <w:kern w:val="0"/>
          <w:sz w:val="40"/>
          <w:szCs w:val="40"/>
        </w:rPr>
      </w:pPr>
    </w:p>
    <w:p w14:paraId="554DA854">
      <w:pPr>
        <w:rPr>
          <w:rFonts w:ascii="宋体" w:hAnsi="宋体" w:eastAsia="宋体" w:cs="宋体"/>
          <w:sz w:val="32"/>
          <w:szCs w:val="32"/>
        </w:rPr>
      </w:pPr>
      <w:r>
        <w:rPr>
          <w:rFonts w:hint="eastAsia" w:ascii="宋体" w:hAnsi="宋体" w:eastAsia="宋体" w:cs="宋体"/>
          <w:sz w:val="32"/>
          <w:szCs w:val="32"/>
        </w:rPr>
        <w:t>项目编号：QTZXCG-2024-00071</w:t>
      </w:r>
    </w:p>
    <w:p w14:paraId="23B510B8">
      <w:pPr>
        <w:rPr>
          <w:rFonts w:ascii="宋体" w:hAnsi="宋体" w:eastAsia="宋体" w:cs="宋体"/>
          <w:sz w:val="32"/>
          <w:szCs w:val="32"/>
        </w:rPr>
      </w:pPr>
      <w:r>
        <w:rPr>
          <w:rFonts w:hint="eastAsia" w:ascii="宋体" w:hAnsi="宋体" w:eastAsia="宋体" w:cs="宋体"/>
          <w:sz w:val="32"/>
          <w:szCs w:val="32"/>
        </w:rPr>
        <w:t>项目名称：</w:t>
      </w:r>
      <w:r>
        <w:rPr>
          <w:rFonts w:hint="eastAsia" w:ascii="宋体" w:hAnsi="宋体" w:eastAsia="宋体" w:cs="宋体"/>
          <w:sz w:val="32"/>
          <w:szCs w:val="32"/>
        </w:rPr>
        <w:tab/>
      </w:r>
      <w:r>
        <w:rPr>
          <w:rFonts w:hint="eastAsia" w:ascii="宋体" w:hAnsi="宋体" w:eastAsia="宋体" w:cs="宋体"/>
          <w:sz w:val="32"/>
          <w:szCs w:val="32"/>
        </w:rPr>
        <w:t>外墙与门头改造工程</w:t>
      </w:r>
    </w:p>
    <w:p w14:paraId="721B981D">
      <w:pPr>
        <w:rPr>
          <w:rFonts w:ascii="宋体" w:hAnsi="宋体" w:eastAsia="宋体" w:cs="宋体"/>
          <w:sz w:val="32"/>
          <w:szCs w:val="32"/>
        </w:rPr>
      </w:pPr>
      <w:r>
        <w:rPr>
          <w:rFonts w:hint="eastAsia" w:ascii="宋体" w:hAnsi="宋体" w:eastAsia="宋体" w:cs="宋体"/>
          <w:sz w:val="32"/>
          <w:szCs w:val="32"/>
        </w:rPr>
        <w:t>包    号：</w:t>
      </w:r>
      <w:r>
        <w:rPr>
          <w:rFonts w:hint="eastAsia" w:ascii="宋体" w:hAnsi="宋体" w:eastAsia="宋体" w:cs="宋体"/>
          <w:sz w:val="32"/>
          <w:szCs w:val="32"/>
        </w:rPr>
        <w:tab/>
      </w:r>
      <w:r>
        <w:rPr>
          <w:rFonts w:hint="eastAsia" w:ascii="宋体" w:hAnsi="宋体" w:eastAsia="宋体" w:cs="宋体"/>
          <w:sz w:val="32"/>
          <w:szCs w:val="32"/>
        </w:rPr>
        <w:t>A</w:t>
      </w:r>
    </w:p>
    <w:p w14:paraId="26A55F7D">
      <w:pPr>
        <w:rPr>
          <w:rFonts w:ascii="宋体" w:hAnsi="宋体" w:eastAsia="宋体" w:cs="宋体"/>
          <w:sz w:val="32"/>
          <w:szCs w:val="32"/>
        </w:rPr>
      </w:pPr>
      <w:r>
        <w:rPr>
          <w:rFonts w:hint="eastAsia" w:ascii="宋体" w:hAnsi="宋体" w:eastAsia="宋体" w:cs="宋体"/>
          <w:sz w:val="32"/>
          <w:szCs w:val="32"/>
        </w:rPr>
        <w:t>项目类型：</w:t>
      </w:r>
      <w:r>
        <w:rPr>
          <w:rFonts w:hint="eastAsia" w:ascii="宋体" w:hAnsi="宋体" w:eastAsia="宋体" w:cs="宋体"/>
          <w:sz w:val="32"/>
          <w:szCs w:val="32"/>
        </w:rPr>
        <w:tab/>
      </w:r>
      <w:r>
        <w:rPr>
          <w:rFonts w:hint="eastAsia" w:ascii="宋体" w:hAnsi="宋体" w:eastAsia="宋体" w:cs="宋体"/>
          <w:sz w:val="32"/>
          <w:szCs w:val="32"/>
        </w:rPr>
        <w:t>工程类</w:t>
      </w:r>
    </w:p>
    <w:p w14:paraId="78F2274C">
      <w:pPr>
        <w:rPr>
          <w:rFonts w:ascii="宋体" w:hAnsi="宋体" w:eastAsia="宋体" w:cs="宋体"/>
          <w:sz w:val="32"/>
          <w:szCs w:val="32"/>
        </w:rPr>
      </w:pPr>
      <w:r>
        <w:rPr>
          <w:rFonts w:hint="eastAsia" w:ascii="宋体" w:hAnsi="宋体" w:eastAsia="宋体" w:cs="宋体"/>
          <w:sz w:val="32"/>
          <w:szCs w:val="32"/>
        </w:rPr>
        <w:t>采购方式：</w:t>
      </w:r>
      <w:r>
        <w:rPr>
          <w:rFonts w:hint="eastAsia" w:ascii="宋体" w:hAnsi="宋体" w:eastAsia="宋体" w:cs="宋体"/>
          <w:sz w:val="32"/>
          <w:szCs w:val="32"/>
        </w:rPr>
        <w:tab/>
      </w:r>
      <w:r>
        <w:rPr>
          <w:rFonts w:hint="eastAsia" w:ascii="宋体" w:hAnsi="宋体" w:eastAsia="宋体" w:cs="宋体"/>
          <w:sz w:val="32"/>
          <w:szCs w:val="32"/>
        </w:rPr>
        <w:t>自行采购（公开招标）</w:t>
      </w:r>
    </w:p>
    <w:p w14:paraId="7E3D23A1">
      <w:pPr>
        <w:rPr>
          <w:rFonts w:ascii="宋体" w:hAnsi="宋体" w:eastAsia="宋体" w:cs="宋体"/>
          <w:sz w:val="32"/>
          <w:szCs w:val="32"/>
        </w:rPr>
      </w:pPr>
      <w:r>
        <w:rPr>
          <w:rFonts w:hint="eastAsia" w:ascii="宋体" w:hAnsi="宋体" w:eastAsia="宋体" w:cs="宋体"/>
          <w:sz w:val="32"/>
          <w:szCs w:val="32"/>
        </w:rPr>
        <w:t>货币类型：</w:t>
      </w:r>
      <w:r>
        <w:rPr>
          <w:rFonts w:hint="eastAsia" w:ascii="宋体" w:hAnsi="宋体" w:eastAsia="宋体" w:cs="宋体"/>
          <w:sz w:val="32"/>
          <w:szCs w:val="32"/>
        </w:rPr>
        <w:tab/>
      </w:r>
      <w:r>
        <w:rPr>
          <w:rFonts w:hint="eastAsia" w:ascii="宋体" w:hAnsi="宋体" w:eastAsia="宋体" w:cs="宋体"/>
          <w:sz w:val="32"/>
          <w:szCs w:val="32"/>
        </w:rPr>
        <w:t>人民币</w:t>
      </w:r>
    </w:p>
    <w:p w14:paraId="1FAD9A84">
      <w:pPr>
        <w:rPr>
          <w:rFonts w:ascii="宋体" w:hAnsi="宋体" w:eastAsia="宋体" w:cs="宋体"/>
          <w:sz w:val="32"/>
          <w:szCs w:val="32"/>
        </w:rPr>
      </w:pPr>
      <w:r>
        <w:rPr>
          <w:rFonts w:hint="eastAsia" w:ascii="宋体" w:hAnsi="宋体" w:eastAsia="宋体" w:cs="宋体"/>
          <w:sz w:val="32"/>
          <w:szCs w:val="32"/>
        </w:rPr>
        <w:t>资格入围及评审方法：</w:t>
      </w:r>
      <w:r>
        <w:rPr>
          <w:rFonts w:hint="eastAsia" w:ascii="宋体" w:hAnsi="宋体" w:eastAsia="宋体" w:cs="宋体"/>
          <w:sz w:val="32"/>
          <w:szCs w:val="32"/>
        </w:rPr>
        <w:tab/>
      </w:r>
      <w:r>
        <w:rPr>
          <w:rFonts w:hint="eastAsia" w:ascii="宋体" w:hAnsi="宋体" w:eastAsia="宋体" w:cs="宋体"/>
          <w:sz w:val="32"/>
          <w:szCs w:val="32"/>
        </w:rPr>
        <w:t>抽签+综合评审</w:t>
      </w:r>
    </w:p>
    <w:p w14:paraId="5A66D3A3">
      <w:pPr>
        <w:tabs>
          <w:tab w:val="left" w:pos="2790"/>
        </w:tabs>
        <w:snapToGrid w:val="0"/>
        <w:spacing w:line="440" w:lineRule="exact"/>
        <w:jc w:val="left"/>
        <w:rPr>
          <w:rFonts w:asciiTheme="minorEastAsia" w:hAnsiTheme="minorEastAsia"/>
          <w:sz w:val="30"/>
          <w:szCs w:val="30"/>
        </w:rPr>
      </w:pPr>
    </w:p>
    <w:p w14:paraId="311D7585">
      <w:pPr>
        <w:pStyle w:val="9"/>
        <w:rPr>
          <w:rFonts w:asciiTheme="minorEastAsia" w:hAnsiTheme="minorEastAsia"/>
          <w:sz w:val="30"/>
          <w:szCs w:val="30"/>
        </w:rPr>
      </w:pPr>
    </w:p>
    <w:p w14:paraId="2E39F27D">
      <w:pPr>
        <w:pStyle w:val="9"/>
        <w:rPr>
          <w:rFonts w:asciiTheme="minorEastAsia" w:hAnsiTheme="minorEastAsia"/>
          <w:sz w:val="30"/>
          <w:szCs w:val="30"/>
        </w:rPr>
      </w:pPr>
    </w:p>
    <w:p w14:paraId="57143BC4">
      <w:pPr>
        <w:pStyle w:val="9"/>
        <w:rPr>
          <w:rFonts w:asciiTheme="minorEastAsia" w:hAnsiTheme="minorEastAsia"/>
          <w:sz w:val="30"/>
          <w:szCs w:val="30"/>
        </w:rPr>
      </w:pPr>
    </w:p>
    <w:p w14:paraId="6FF32FA1">
      <w:pPr>
        <w:pStyle w:val="9"/>
        <w:rPr>
          <w:rFonts w:asciiTheme="minorEastAsia" w:hAnsiTheme="minorEastAsia"/>
          <w:sz w:val="30"/>
          <w:szCs w:val="30"/>
        </w:rPr>
      </w:pPr>
    </w:p>
    <w:p w14:paraId="1968687E">
      <w:pPr>
        <w:pStyle w:val="9"/>
        <w:rPr>
          <w:rFonts w:asciiTheme="minorEastAsia" w:hAnsiTheme="minorEastAsia"/>
          <w:sz w:val="30"/>
          <w:szCs w:val="30"/>
        </w:rPr>
      </w:pPr>
    </w:p>
    <w:p w14:paraId="2BD2693C">
      <w:pPr>
        <w:pStyle w:val="9"/>
        <w:rPr>
          <w:rFonts w:asciiTheme="minorEastAsia" w:hAnsiTheme="minorEastAsia"/>
          <w:sz w:val="30"/>
          <w:szCs w:val="30"/>
        </w:rPr>
      </w:pPr>
    </w:p>
    <w:p w14:paraId="7268A444">
      <w:pPr>
        <w:pStyle w:val="9"/>
        <w:rPr>
          <w:rFonts w:asciiTheme="minorEastAsia" w:hAnsiTheme="minorEastAsia"/>
          <w:sz w:val="30"/>
          <w:szCs w:val="30"/>
        </w:rPr>
      </w:pPr>
    </w:p>
    <w:p w14:paraId="2143A31D">
      <w:pPr>
        <w:pStyle w:val="9"/>
        <w:rPr>
          <w:rFonts w:asciiTheme="minorEastAsia" w:hAnsiTheme="minorEastAsia"/>
          <w:sz w:val="30"/>
          <w:szCs w:val="30"/>
        </w:rPr>
      </w:pPr>
    </w:p>
    <w:p w14:paraId="718D0713">
      <w:pPr>
        <w:pStyle w:val="9"/>
        <w:rPr>
          <w:rFonts w:asciiTheme="minorEastAsia" w:hAnsiTheme="minorEastAsia"/>
          <w:sz w:val="30"/>
          <w:szCs w:val="30"/>
        </w:rPr>
      </w:pPr>
    </w:p>
    <w:p w14:paraId="632E944D">
      <w:pPr>
        <w:pStyle w:val="9"/>
        <w:rPr>
          <w:rFonts w:asciiTheme="minorEastAsia" w:hAnsiTheme="minorEastAsia"/>
          <w:sz w:val="30"/>
          <w:szCs w:val="30"/>
        </w:rPr>
      </w:pPr>
    </w:p>
    <w:p w14:paraId="4167B882">
      <w:pPr>
        <w:tabs>
          <w:tab w:val="left" w:pos="2790"/>
        </w:tabs>
        <w:snapToGrid w:val="0"/>
        <w:jc w:val="center"/>
        <w:outlineLvl w:val="0"/>
        <w:rPr>
          <w:rFonts w:ascii="黑体" w:hAnsi="黑体" w:eastAsia="黑体" w:cs="Times New Roman"/>
          <w:sz w:val="40"/>
          <w:szCs w:val="40"/>
        </w:rPr>
      </w:pPr>
      <w:r>
        <w:rPr>
          <w:rFonts w:hint="eastAsia" w:ascii="黑体" w:hAnsi="黑体" w:eastAsia="黑体" w:cs="Times New Roman"/>
          <w:sz w:val="40"/>
          <w:szCs w:val="40"/>
        </w:rPr>
        <w:t>资格性审查表</w:t>
      </w:r>
    </w:p>
    <w:tbl>
      <w:tblPr>
        <w:tblStyle w:val="17"/>
        <w:tblW w:w="946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669"/>
      </w:tblGrid>
      <w:tr w14:paraId="0B24CB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674D45F">
            <w:pPr>
              <w:spacing w:line="290" w:lineRule="exact"/>
              <w:jc w:val="center"/>
              <w:rPr>
                <w:rFonts w:ascii="宋体" w:hAnsi="宋体" w:eastAsia="宋体" w:cs="宋体"/>
                <w:szCs w:val="21"/>
              </w:rPr>
            </w:pPr>
            <w:r>
              <w:rPr>
                <w:rFonts w:ascii="宋体" w:hAnsi="宋体" w:eastAsia="宋体" w:cs="Times New Roman"/>
                <w:szCs w:val="21"/>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53AAE6E">
            <w:pPr>
              <w:spacing w:line="290" w:lineRule="exact"/>
              <w:jc w:val="center"/>
              <w:rPr>
                <w:rFonts w:ascii="宋体" w:hAnsi="宋体" w:eastAsia="宋体" w:cs="宋体"/>
                <w:szCs w:val="21"/>
              </w:rPr>
            </w:pPr>
            <w:r>
              <w:rPr>
                <w:rFonts w:ascii="宋体" w:hAnsi="宋体" w:eastAsia="宋体" w:cs="Times New Roman"/>
                <w:szCs w:val="21"/>
              </w:rPr>
              <w:t>内容</w:t>
            </w:r>
          </w:p>
        </w:tc>
      </w:tr>
      <w:tr w14:paraId="1F3CF7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369FCFA">
            <w:pPr>
              <w:spacing w:line="290" w:lineRule="exact"/>
              <w:jc w:val="center"/>
              <w:rPr>
                <w:rFonts w:ascii="宋体" w:hAnsi="宋体" w:eastAsia="宋体" w:cs="宋体"/>
                <w:szCs w:val="21"/>
              </w:rPr>
            </w:pPr>
            <w:r>
              <w:rPr>
                <w:rFonts w:ascii="宋体" w:hAnsi="宋体" w:eastAsia="宋体" w:cs="Times New Roman"/>
                <w:szCs w:val="21"/>
              </w:rPr>
              <w:t>1</w:t>
            </w:r>
          </w:p>
        </w:tc>
        <w:tc>
          <w:tcPr>
            <w:tcW w:w="8669" w:type="dxa"/>
            <w:tcBorders>
              <w:top w:val="single" w:color="000000" w:sz="8" w:space="0"/>
              <w:left w:val="single" w:color="000000" w:sz="8" w:space="0"/>
              <w:bottom w:val="single" w:color="000000" w:sz="8" w:space="0"/>
              <w:right w:val="single" w:color="000000" w:sz="8" w:space="0"/>
            </w:tcBorders>
          </w:tcPr>
          <w:p w14:paraId="3D2CB88F">
            <w:pPr>
              <w:spacing w:line="290" w:lineRule="exact"/>
              <w:rPr>
                <w:rFonts w:ascii="宋体" w:hAnsi="宋体" w:eastAsia="宋体" w:cs="宋体"/>
                <w:szCs w:val="21"/>
              </w:rPr>
            </w:pPr>
            <w:r>
              <w:rPr>
                <w:rFonts w:ascii="宋体" w:hAnsi="宋体" w:eastAsia="宋体" w:cs="宋体"/>
                <w:kern w:val="0"/>
                <w:szCs w:val="21"/>
              </w:rPr>
              <w:t>投标人不</w:t>
            </w:r>
            <w:r>
              <w:rPr>
                <w:rFonts w:hint="eastAsia" w:ascii="宋体" w:hAnsi="宋体" w:eastAsia="宋体" w:cs="宋体"/>
                <w:kern w:val="0"/>
                <w:szCs w:val="21"/>
              </w:rPr>
              <w:t>符合</w:t>
            </w:r>
            <w:r>
              <w:rPr>
                <w:rFonts w:ascii="宋体" w:hAnsi="宋体" w:eastAsia="宋体" w:cs="宋体"/>
                <w:kern w:val="0"/>
                <w:szCs w:val="21"/>
              </w:rPr>
              <w:t>资格要求，或未提交相应的资格证明资料（详见招标公告</w:t>
            </w:r>
            <w:r>
              <w:rPr>
                <w:rFonts w:hint="eastAsia" w:ascii="宋体" w:hAnsi="宋体" w:eastAsia="宋体" w:cs="Times New Roman"/>
                <w:szCs w:val="21"/>
              </w:rPr>
              <w:t>投标人资格要求，即申请人的资格要求</w:t>
            </w:r>
            <w:r>
              <w:rPr>
                <w:rFonts w:ascii="宋体" w:hAnsi="宋体" w:eastAsia="宋体" w:cs="宋体"/>
                <w:kern w:val="0"/>
                <w:szCs w:val="21"/>
              </w:rPr>
              <w:t>）。</w:t>
            </w:r>
          </w:p>
        </w:tc>
      </w:tr>
    </w:tbl>
    <w:p w14:paraId="018E535F">
      <w:pPr>
        <w:tabs>
          <w:tab w:val="left" w:pos="2790"/>
        </w:tabs>
        <w:snapToGrid w:val="0"/>
        <w:jc w:val="center"/>
        <w:rPr>
          <w:rFonts w:ascii="黑体" w:hAnsi="黑体" w:eastAsia="黑体" w:cs="Times New Roman"/>
          <w:sz w:val="40"/>
          <w:szCs w:val="40"/>
        </w:rPr>
      </w:pPr>
    </w:p>
    <w:p w14:paraId="56571B43">
      <w:pPr>
        <w:tabs>
          <w:tab w:val="left" w:pos="2790"/>
        </w:tabs>
        <w:snapToGrid w:val="0"/>
        <w:jc w:val="center"/>
        <w:outlineLvl w:val="0"/>
        <w:rPr>
          <w:rFonts w:ascii="黑体" w:hAnsi="黑体" w:eastAsia="黑体" w:cs="Times New Roman"/>
          <w:sz w:val="40"/>
          <w:szCs w:val="40"/>
        </w:rPr>
      </w:pPr>
      <w:r>
        <w:rPr>
          <w:rFonts w:hint="eastAsia" w:ascii="黑体" w:hAnsi="黑体" w:eastAsia="黑体" w:cs="Times New Roman"/>
          <w:sz w:val="40"/>
          <w:szCs w:val="40"/>
        </w:rPr>
        <w:t>符合性审查表</w:t>
      </w:r>
    </w:p>
    <w:tbl>
      <w:tblPr>
        <w:tblStyle w:val="17"/>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500415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9B929E5">
            <w:pPr>
              <w:widowControl/>
              <w:jc w:val="center"/>
              <w:rPr>
                <w:rFonts w:ascii="宋体" w:hAnsi="宋体" w:eastAsia="宋体" w:cs="宋体"/>
                <w:sz w:val="28"/>
                <w:szCs w:val="28"/>
              </w:rPr>
            </w:pPr>
            <w:r>
              <w:rPr>
                <w:rFonts w:hint="eastAsia" w:ascii="宋体" w:hAnsi="宋体" w:eastAsia="宋体" w:cs="宋体"/>
                <w:kern w:val="0"/>
                <w:sz w:val="28"/>
                <w:szCs w:val="28"/>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285C41E">
            <w:pPr>
              <w:widowControl/>
              <w:jc w:val="center"/>
              <w:rPr>
                <w:rFonts w:ascii="宋体" w:hAnsi="宋体" w:eastAsia="宋体" w:cs="宋体"/>
                <w:sz w:val="28"/>
                <w:szCs w:val="28"/>
              </w:rPr>
            </w:pPr>
            <w:r>
              <w:rPr>
                <w:rFonts w:hint="eastAsia" w:ascii="宋体" w:hAnsi="宋体" w:eastAsia="宋体" w:cs="宋体"/>
                <w:kern w:val="0"/>
                <w:sz w:val="28"/>
                <w:szCs w:val="28"/>
              </w:rPr>
              <w:t>内容</w:t>
            </w:r>
          </w:p>
        </w:tc>
      </w:tr>
      <w:tr w14:paraId="531316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D284ED">
            <w:pPr>
              <w:widowControl/>
              <w:jc w:val="center"/>
              <w:textAlignment w:val="top"/>
              <w:rPr>
                <w:rFonts w:ascii="宋体" w:hAnsi="宋体" w:eastAsia="宋体" w:cs="宋体"/>
                <w:szCs w:val="21"/>
              </w:rPr>
            </w:pPr>
            <w:r>
              <w:rPr>
                <w:rFonts w:hint="eastAsia" w:ascii="宋体" w:hAnsi="宋体" w:eastAsia="宋体" w:cs="宋体"/>
                <w:kern w:val="0"/>
                <w:szCs w:val="21"/>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1BD808E">
            <w:pPr>
              <w:widowControl/>
              <w:jc w:val="left"/>
              <w:textAlignment w:val="top"/>
              <w:rPr>
                <w:rFonts w:ascii="宋体" w:hAnsi="宋体" w:eastAsia="宋体" w:cs="宋体"/>
                <w:szCs w:val="21"/>
              </w:rPr>
            </w:pPr>
            <w:r>
              <w:rPr>
                <w:rFonts w:hint="eastAsia" w:ascii="宋体" w:hAnsi="宋体" w:eastAsia="宋体" w:cs="宋体"/>
              </w:rPr>
              <w:t>不得将一个包的内容拆开投标；</w:t>
            </w:r>
          </w:p>
        </w:tc>
      </w:tr>
      <w:tr w14:paraId="2C3A5A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8F8E40">
            <w:pPr>
              <w:widowControl/>
              <w:jc w:val="center"/>
              <w:textAlignment w:val="top"/>
              <w:rPr>
                <w:rFonts w:ascii="宋体" w:hAnsi="宋体" w:eastAsia="宋体" w:cs="宋体"/>
                <w:szCs w:val="21"/>
              </w:rPr>
            </w:pPr>
            <w:r>
              <w:rPr>
                <w:rFonts w:hint="eastAsia" w:ascii="宋体" w:hAnsi="宋体" w:eastAsia="宋体" w:cs="宋体"/>
                <w:kern w:val="0"/>
                <w:szCs w:val="21"/>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DC91A33">
            <w:pPr>
              <w:widowControl/>
              <w:jc w:val="left"/>
              <w:textAlignment w:val="top"/>
              <w:rPr>
                <w:rFonts w:ascii="宋体" w:hAnsi="宋体" w:eastAsia="宋体" w:cs="宋体"/>
                <w:szCs w:val="21"/>
              </w:rPr>
            </w:pPr>
            <w:r>
              <w:rPr>
                <w:rFonts w:hint="eastAsia" w:ascii="宋体" w:hAnsi="宋体" w:eastAsia="宋体" w:cs="宋体"/>
              </w:rPr>
              <w:t>对同一项目投标时，不得提供两套以上的投标方案（招标文件另有规定的除外）；</w:t>
            </w:r>
          </w:p>
        </w:tc>
      </w:tr>
      <w:tr w14:paraId="40D0AD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F401B6">
            <w:pPr>
              <w:widowControl/>
              <w:jc w:val="center"/>
              <w:textAlignment w:val="top"/>
              <w:rPr>
                <w:rFonts w:ascii="宋体" w:hAnsi="宋体" w:eastAsia="宋体" w:cs="宋体"/>
                <w:szCs w:val="21"/>
              </w:rPr>
            </w:pPr>
            <w:r>
              <w:rPr>
                <w:rFonts w:hint="eastAsia" w:ascii="宋体" w:hAnsi="宋体" w:eastAsia="宋体" w:cs="宋体"/>
                <w:kern w:val="0"/>
                <w:szCs w:val="21"/>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723391C">
            <w:pPr>
              <w:widowControl/>
              <w:jc w:val="left"/>
              <w:textAlignment w:val="top"/>
              <w:rPr>
                <w:rFonts w:ascii="宋体" w:hAnsi="宋体" w:eastAsia="宋体" w:cs="宋体"/>
                <w:szCs w:val="21"/>
              </w:rPr>
            </w:pPr>
            <w:r>
              <w:rPr>
                <w:rFonts w:hint="eastAsia" w:ascii="宋体" w:hAnsi="宋体" w:eastAsia="宋体" w:cs="宋体"/>
              </w:rPr>
              <w:t>分项报价或投标总价不得高于</w:t>
            </w:r>
            <w:bookmarkStart w:id="0" w:name="_Hlk71832186"/>
            <w:r>
              <w:rPr>
                <w:rFonts w:hint="eastAsia" w:ascii="宋体" w:hAnsi="宋体" w:eastAsia="宋体" w:cs="宋体"/>
              </w:rPr>
              <w:t>相应预算金额（或设定的预算金额下的最高限价）</w:t>
            </w:r>
            <w:bookmarkEnd w:id="0"/>
            <w:r>
              <w:rPr>
                <w:rFonts w:hint="eastAsia" w:ascii="宋体" w:hAnsi="宋体" w:eastAsia="宋体" w:cs="宋体"/>
              </w:rPr>
              <w:t>；</w:t>
            </w:r>
          </w:p>
        </w:tc>
      </w:tr>
      <w:tr w14:paraId="4E0CFD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A3E318">
            <w:pPr>
              <w:widowControl/>
              <w:jc w:val="center"/>
              <w:textAlignment w:val="top"/>
              <w:rPr>
                <w:rFonts w:ascii="宋体" w:hAnsi="宋体" w:eastAsia="宋体" w:cs="宋体"/>
                <w:szCs w:val="21"/>
              </w:rPr>
            </w:pPr>
            <w:r>
              <w:rPr>
                <w:rFonts w:hint="eastAsia" w:ascii="宋体" w:hAnsi="宋体" w:eastAsia="宋体" w:cs="宋体"/>
                <w:kern w:val="0"/>
                <w:szCs w:val="21"/>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7C01869">
            <w:pPr>
              <w:widowControl/>
              <w:jc w:val="left"/>
              <w:textAlignment w:val="top"/>
              <w:rPr>
                <w:rFonts w:ascii="宋体" w:hAnsi="宋体" w:eastAsia="宋体" w:cs="宋体"/>
                <w:szCs w:val="21"/>
              </w:rPr>
            </w:pPr>
            <w:r>
              <w:rPr>
                <w:rFonts w:hint="eastAsia" w:ascii="宋体" w:hAnsi="宋体" w:eastAsia="宋体" w:cs="宋体"/>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7ED75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2BD8A5">
            <w:pPr>
              <w:widowControl/>
              <w:jc w:val="center"/>
              <w:textAlignment w:val="top"/>
              <w:rPr>
                <w:rFonts w:ascii="宋体" w:hAnsi="宋体" w:eastAsia="宋体" w:cs="宋体"/>
                <w:szCs w:val="21"/>
              </w:rPr>
            </w:pPr>
            <w:r>
              <w:rPr>
                <w:rFonts w:hint="eastAsia" w:ascii="宋体" w:hAnsi="宋体" w:eastAsia="宋体" w:cs="宋体"/>
                <w:kern w:val="0"/>
                <w:szCs w:val="21"/>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33D8644">
            <w:pPr>
              <w:widowControl/>
              <w:jc w:val="left"/>
              <w:textAlignment w:val="top"/>
              <w:rPr>
                <w:rFonts w:ascii="宋体" w:hAnsi="宋体" w:eastAsia="宋体" w:cs="宋体"/>
                <w:szCs w:val="21"/>
              </w:rPr>
            </w:pPr>
            <w:r>
              <w:rPr>
                <w:rFonts w:hint="eastAsia" w:ascii="宋体" w:hAnsi="宋体" w:eastAsia="宋体" w:cs="宋体"/>
              </w:rPr>
              <w:t>所投工程、货物、服务在技术、商务等方面没有实质性满足招标文件要求的</w:t>
            </w:r>
            <w:r>
              <w:rPr>
                <w:rFonts w:hint="eastAsia" w:ascii="宋体" w:hAnsi="宋体" w:eastAsia="宋体" w:cs="宋体"/>
                <w:szCs w:val="21"/>
              </w:rPr>
              <w:t>（是否实质性满足招标文件要求，由评标委员会根据《实质性条款响应情况表》和《服务条款偏离表》做出评判）；</w:t>
            </w:r>
          </w:p>
        </w:tc>
      </w:tr>
      <w:tr w14:paraId="6FFA3F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03803D">
            <w:pPr>
              <w:widowControl/>
              <w:jc w:val="center"/>
              <w:textAlignment w:val="top"/>
              <w:rPr>
                <w:rFonts w:ascii="宋体" w:hAnsi="宋体" w:eastAsia="宋体" w:cs="宋体"/>
                <w:szCs w:val="21"/>
              </w:rPr>
            </w:pPr>
            <w:r>
              <w:rPr>
                <w:rFonts w:hint="eastAsia" w:ascii="宋体" w:hAnsi="宋体" w:eastAsia="宋体" w:cs="宋体"/>
                <w:kern w:val="0"/>
                <w:szCs w:val="21"/>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044BEDB">
            <w:pPr>
              <w:widowControl/>
              <w:jc w:val="left"/>
              <w:textAlignment w:val="top"/>
              <w:rPr>
                <w:rFonts w:ascii="宋体" w:hAnsi="宋体" w:eastAsia="宋体" w:cs="宋体"/>
                <w:szCs w:val="21"/>
              </w:rPr>
            </w:pPr>
            <w:r>
              <w:rPr>
                <w:rFonts w:hint="eastAsia" w:ascii="宋体" w:hAnsi="宋体" w:eastAsia="宋体" w:cs="宋体"/>
              </w:rPr>
              <w:t>未按招标文件所提供的样式填写《投标函》；未按招标文件所提供的《龙华区教育局自行采购投标及履约承诺函》进行承诺；未按招标文件对投标文件组成的要求提供投标文件；</w:t>
            </w:r>
          </w:p>
        </w:tc>
      </w:tr>
      <w:tr w14:paraId="55CDDF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317981">
            <w:pPr>
              <w:widowControl/>
              <w:jc w:val="center"/>
              <w:textAlignment w:val="top"/>
              <w:rPr>
                <w:rFonts w:ascii="宋体" w:hAnsi="宋体" w:eastAsia="宋体" w:cs="宋体"/>
              </w:rPr>
            </w:pPr>
            <w:r>
              <w:rPr>
                <w:rFonts w:hint="eastAsia" w:ascii="宋体" w:hAnsi="宋体" w:eastAsia="宋体" w:cs="宋体"/>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65BC268">
            <w:pPr>
              <w:widowControl/>
              <w:jc w:val="left"/>
              <w:textAlignment w:val="top"/>
              <w:rPr>
                <w:rFonts w:ascii="宋体" w:hAnsi="宋体" w:eastAsia="宋体" w:cs="宋体"/>
              </w:rPr>
            </w:pPr>
            <w:r>
              <w:rPr>
                <w:rFonts w:hint="eastAsia" w:ascii="宋体" w:hAnsi="宋体" w:eastAsia="宋体" w:cs="宋体"/>
              </w:rPr>
              <w:t>采购标的/所投产品/货物清单/报价等任意一类有缺漏项或响应不全，或者对招标文件规定的项目需求内容或者需求数量进行修改，评审委员会判定投标响应不满足采购需求；</w:t>
            </w:r>
          </w:p>
        </w:tc>
      </w:tr>
      <w:tr w14:paraId="43EA66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67059F">
            <w:pPr>
              <w:widowControl/>
              <w:jc w:val="center"/>
              <w:textAlignment w:val="top"/>
              <w:rPr>
                <w:rFonts w:ascii="宋体" w:hAnsi="宋体" w:eastAsia="宋体" w:cs="宋体"/>
                <w:szCs w:val="21"/>
              </w:rPr>
            </w:pPr>
            <w:r>
              <w:rPr>
                <w:rFonts w:hint="eastAsia" w:ascii="宋体" w:hAnsi="宋体" w:eastAsia="宋体" w:cs="宋体"/>
                <w:kern w:val="0"/>
                <w:szCs w:val="21"/>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FEE0388">
            <w:pPr>
              <w:widowControl/>
              <w:jc w:val="left"/>
              <w:textAlignment w:val="top"/>
              <w:rPr>
                <w:rFonts w:ascii="宋体" w:hAnsi="宋体" w:eastAsia="宋体" w:cs="宋体"/>
                <w:szCs w:val="21"/>
              </w:rPr>
            </w:pPr>
            <w:r>
              <w:rPr>
                <w:rFonts w:hint="eastAsia" w:ascii="宋体" w:hAnsi="宋体" w:eastAsia="宋体" w:cs="宋体"/>
              </w:rPr>
              <w:t>投标文件存在列放位置错误，导致属于信息公开情形的没有被公开；</w:t>
            </w:r>
          </w:p>
        </w:tc>
      </w:tr>
      <w:tr w14:paraId="50F768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C8B1EF">
            <w:pPr>
              <w:widowControl/>
              <w:jc w:val="center"/>
              <w:textAlignment w:val="top"/>
              <w:rPr>
                <w:rFonts w:ascii="宋体" w:hAnsi="宋体" w:eastAsia="宋体" w:cs="宋体"/>
                <w:szCs w:val="21"/>
              </w:rPr>
            </w:pPr>
            <w:r>
              <w:rPr>
                <w:rFonts w:hint="eastAsia" w:ascii="宋体" w:hAnsi="宋体" w:eastAsia="宋体" w:cs="宋体"/>
                <w:kern w:val="0"/>
                <w:szCs w:val="21"/>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E6FCD59">
            <w:pPr>
              <w:widowControl/>
              <w:jc w:val="left"/>
              <w:textAlignment w:val="top"/>
              <w:rPr>
                <w:rFonts w:ascii="宋体" w:hAnsi="宋体" w:eastAsia="宋体" w:cs="宋体"/>
                <w:szCs w:val="21"/>
              </w:rPr>
            </w:pPr>
            <w:r>
              <w:rPr>
                <w:rFonts w:hint="eastAsia" w:ascii="宋体" w:hAnsi="宋体" w:eastAsia="宋体" w:cs="宋体"/>
              </w:rPr>
              <w:t>投标文件电子文档不得带病毒；</w:t>
            </w:r>
          </w:p>
        </w:tc>
      </w:tr>
      <w:tr w14:paraId="698095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868A68">
            <w:pPr>
              <w:widowControl/>
              <w:jc w:val="center"/>
              <w:textAlignment w:val="top"/>
              <w:rPr>
                <w:rFonts w:ascii="宋体" w:hAnsi="宋体" w:eastAsia="宋体" w:cs="宋体"/>
                <w:szCs w:val="21"/>
              </w:rPr>
            </w:pPr>
            <w:r>
              <w:rPr>
                <w:rFonts w:hint="eastAsia" w:ascii="宋体" w:hAnsi="宋体" w:eastAsia="宋体" w:cs="宋体"/>
                <w:kern w:val="0"/>
                <w:szCs w:val="21"/>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C6F3F76">
            <w:pPr>
              <w:widowControl/>
              <w:jc w:val="left"/>
              <w:textAlignment w:val="top"/>
              <w:rPr>
                <w:rFonts w:ascii="宋体" w:hAnsi="宋体" w:eastAsia="宋体" w:cs="宋体"/>
                <w:szCs w:val="21"/>
              </w:rPr>
            </w:pPr>
            <w:r>
              <w:rPr>
                <w:rFonts w:hint="eastAsia" w:ascii="宋体" w:hAnsi="宋体" w:eastAsia="宋体" w:cs="宋体"/>
              </w:rPr>
              <w:t>投标文件用不属于本公司的电子密钥或电子营业执照进行加密的；</w:t>
            </w:r>
          </w:p>
        </w:tc>
      </w:tr>
      <w:tr w14:paraId="4E2326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3C0248">
            <w:pPr>
              <w:widowControl/>
              <w:jc w:val="center"/>
              <w:textAlignment w:val="top"/>
              <w:rPr>
                <w:rFonts w:ascii="宋体" w:hAnsi="宋体" w:eastAsia="宋体" w:cs="宋体"/>
                <w:szCs w:val="24"/>
              </w:rPr>
            </w:pPr>
            <w:r>
              <w:rPr>
                <w:rFonts w:hint="eastAsia" w:ascii="宋体" w:hAnsi="宋体" w:eastAsia="宋体" w:cs="宋体"/>
                <w:szCs w:val="24"/>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54E4C0A">
            <w:pPr>
              <w:widowControl/>
              <w:jc w:val="left"/>
              <w:textAlignment w:val="top"/>
              <w:rPr>
                <w:rFonts w:ascii="宋体" w:hAnsi="宋体" w:eastAsia="宋体" w:cs="宋体"/>
                <w:szCs w:val="24"/>
              </w:rPr>
            </w:pPr>
            <w:r>
              <w:rPr>
                <w:rFonts w:hint="eastAsia" w:ascii="宋体" w:hAnsi="宋体" w:eastAsia="宋体" w:cs="宋体"/>
                <w:szCs w:val="24"/>
              </w:rPr>
              <w:t>不同投标供应商投标文件“文件制作机器码”一致；</w:t>
            </w:r>
          </w:p>
        </w:tc>
      </w:tr>
      <w:tr w14:paraId="684468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971232">
            <w:pPr>
              <w:widowControl/>
              <w:jc w:val="center"/>
              <w:textAlignment w:val="top"/>
              <w:rPr>
                <w:rFonts w:ascii="宋体" w:hAnsi="宋体" w:eastAsia="宋体" w:cs="宋体"/>
                <w:szCs w:val="24"/>
              </w:rPr>
            </w:pPr>
            <w:r>
              <w:rPr>
                <w:rFonts w:hint="eastAsia" w:ascii="宋体" w:hAnsi="宋体" w:eastAsia="宋体" w:cs="宋体"/>
                <w:szCs w:val="24"/>
              </w:rPr>
              <w:t>12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2E57916">
            <w:pPr>
              <w:widowControl/>
              <w:jc w:val="left"/>
              <w:textAlignment w:val="top"/>
              <w:rPr>
                <w:rFonts w:ascii="宋体" w:hAnsi="宋体" w:eastAsia="宋体" w:cs="宋体"/>
                <w:szCs w:val="24"/>
              </w:rPr>
            </w:pPr>
            <w:r>
              <w:rPr>
                <w:rFonts w:hint="eastAsia" w:ascii="宋体" w:hAnsi="宋体" w:eastAsia="宋体" w:cs="宋体"/>
                <w:szCs w:val="24"/>
              </w:rPr>
              <w:t>不同投标供应商投标文件“文件创建标识码”一致；</w:t>
            </w:r>
          </w:p>
        </w:tc>
      </w:tr>
      <w:tr w14:paraId="06C17E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80162B">
            <w:pPr>
              <w:widowControl/>
              <w:jc w:val="center"/>
              <w:textAlignment w:val="top"/>
              <w:rPr>
                <w:rFonts w:ascii="宋体" w:hAnsi="宋体" w:eastAsia="宋体" w:cs="宋体"/>
                <w:szCs w:val="21"/>
              </w:rPr>
            </w:pPr>
            <w:r>
              <w:rPr>
                <w:rFonts w:hint="eastAsia" w:ascii="宋体" w:hAnsi="宋体" w:eastAsia="宋体" w:cs="宋体"/>
                <w:kern w:val="0"/>
                <w:szCs w:val="21"/>
              </w:rPr>
              <w:t>13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2BA7BCD">
            <w:pPr>
              <w:widowControl/>
              <w:jc w:val="left"/>
              <w:textAlignment w:val="top"/>
              <w:rPr>
                <w:rFonts w:ascii="宋体" w:hAnsi="宋体" w:eastAsia="宋体" w:cs="宋体"/>
                <w:szCs w:val="21"/>
              </w:rPr>
            </w:pPr>
            <w:r>
              <w:rPr>
                <w:rFonts w:hint="eastAsia" w:ascii="宋体" w:hAnsi="宋体" w:eastAsia="宋体" w:cs="宋体"/>
              </w:rPr>
              <w:t>法律、法规、规章、规范性文件规定的其他情形。</w:t>
            </w:r>
          </w:p>
        </w:tc>
      </w:tr>
    </w:tbl>
    <w:p w14:paraId="02FF5C24">
      <w:pPr>
        <w:tabs>
          <w:tab w:val="left" w:pos="2790"/>
        </w:tabs>
        <w:snapToGrid w:val="0"/>
        <w:jc w:val="left"/>
        <w:rPr>
          <w:sz w:val="24"/>
          <w:szCs w:val="24"/>
        </w:rPr>
      </w:pPr>
    </w:p>
    <w:p w14:paraId="454C4295">
      <w:pPr>
        <w:tabs>
          <w:tab w:val="left" w:pos="2790"/>
        </w:tabs>
        <w:snapToGrid w:val="0"/>
        <w:jc w:val="left"/>
        <w:rPr>
          <w:sz w:val="24"/>
          <w:szCs w:val="24"/>
        </w:rPr>
      </w:pPr>
    </w:p>
    <w:p w14:paraId="27F3B426">
      <w:pPr>
        <w:tabs>
          <w:tab w:val="left" w:pos="2790"/>
        </w:tabs>
        <w:snapToGrid w:val="0"/>
        <w:jc w:val="left"/>
        <w:rPr>
          <w:sz w:val="24"/>
          <w:szCs w:val="24"/>
        </w:rPr>
      </w:pPr>
    </w:p>
    <w:p w14:paraId="7F405E70">
      <w:pPr>
        <w:pStyle w:val="9"/>
        <w:rPr>
          <w:szCs w:val="24"/>
        </w:rPr>
      </w:pPr>
    </w:p>
    <w:p w14:paraId="43949771">
      <w:pPr>
        <w:pStyle w:val="9"/>
        <w:rPr>
          <w:szCs w:val="24"/>
        </w:rPr>
      </w:pPr>
    </w:p>
    <w:p w14:paraId="1C81C3AB">
      <w:pPr>
        <w:pStyle w:val="9"/>
        <w:rPr>
          <w:szCs w:val="24"/>
        </w:rPr>
      </w:pPr>
    </w:p>
    <w:p w14:paraId="2F106A5A">
      <w:pPr>
        <w:tabs>
          <w:tab w:val="left" w:pos="2790"/>
        </w:tabs>
        <w:snapToGrid w:val="0"/>
        <w:jc w:val="left"/>
        <w:rPr>
          <w:sz w:val="24"/>
          <w:szCs w:val="24"/>
        </w:rPr>
      </w:pPr>
    </w:p>
    <w:p w14:paraId="05DEB81E">
      <w:pPr>
        <w:pStyle w:val="15"/>
        <w:jc w:val="center"/>
        <w:outlineLvl w:val="0"/>
        <w:rPr>
          <w:rFonts w:ascii="黑体" w:eastAsia="黑体"/>
          <w:sz w:val="40"/>
          <w:szCs w:val="40"/>
        </w:rPr>
      </w:pPr>
      <w:r>
        <w:rPr>
          <w:rFonts w:hint="eastAsia" w:ascii="黑体" w:hAnsi="黑体" w:eastAsia="黑体"/>
          <w:sz w:val="40"/>
          <w:szCs w:val="40"/>
        </w:rPr>
        <w:t>评标信息</w:t>
      </w:r>
    </w:p>
    <w:tbl>
      <w:tblPr>
        <w:tblStyle w:val="17"/>
        <w:tblW w:w="9141"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9141"/>
      </w:tblGrid>
      <w:tr w14:paraId="32B482B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14:paraId="5B44CE00">
            <w:pPr>
              <w:jc w:val="left"/>
              <w:rPr>
                <w:rFonts w:ascii="宋体"/>
                <w:b/>
                <w:bCs/>
                <w:sz w:val="24"/>
              </w:rPr>
            </w:pPr>
            <w:r>
              <w:rPr>
                <w:rFonts w:hint="eastAsia"/>
                <w:b/>
                <w:bCs/>
              </w:rPr>
              <w:t>评审及定标信息</w:t>
            </w:r>
          </w:p>
        </w:tc>
      </w:tr>
      <w:tr w14:paraId="10163B7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14:paraId="72F89A2C">
            <w:pPr>
              <w:pStyle w:val="15"/>
              <w:spacing w:beforeAutospacing="0" w:afterAutospacing="0"/>
            </w:pPr>
            <w:r>
              <w:rPr>
                <w:rFonts w:hint="eastAsia"/>
                <w:sz w:val="21"/>
                <w:szCs w:val="21"/>
              </w:rPr>
              <w:t>入围及定标方法：抽签+综合评审+ 自定法 ，根据投标人线上投标顺序号即为签号，在资格审查符合的投标供应商中随机抽选 5 家单位组织开展评审会，评审专家按照招标文件要求对投标供应商进行综合评审（资格审查通过不足3 家需重新组织采购），评审委员会按照采购文件要求进行综合评审,并按照综合得分依次推选3家入围候选人。采购人根据评审结果按照内控制度选取一家中标人。</w:t>
            </w:r>
          </w:p>
        </w:tc>
      </w:tr>
    </w:tbl>
    <w:p w14:paraId="1A36CB3A"/>
    <w:tbl>
      <w:tblPr>
        <w:tblStyle w:val="17"/>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Layout w:type="autofit"/>
        <w:tblCellMar>
          <w:top w:w="20" w:type="dxa"/>
          <w:left w:w="108" w:type="dxa"/>
          <w:bottom w:w="20" w:type="dxa"/>
          <w:right w:w="108" w:type="dxa"/>
        </w:tblCellMar>
      </w:tblPr>
      <w:tblGrid>
        <w:gridCol w:w="700"/>
        <w:gridCol w:w="660"/>
        <w:gridCol w:w="1793"/>
        <w:gridCol w:w="1100"/>
        <w:gridCol w:w="4819"/>
      </w:tblGrid>
      <w:tr w14:paraId="35547D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7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B9BFAF0">
            <w:pPr>
              <w:snapToGrid w:val="0"/>
              <w:spacing w:line="360" w:lineRule="auto"/>
              <w:jc w:val="center"/>
              <w:rPr>
                <w:rFonts w:asciiTheme="minorEastAsia" w:hAnsiTheme="minorEastAsia" w:cstheme="minorEastAsia"/>
                <w:b/>
                <w:bCs/>
                <w:szCs w:val="21"/>
              </w:rPr>
            </w:pPr>
            <w:r>
              <w:rPr>
                <w:rFonts w:hint="eastAsia" w:asciiTheme="minorEastAsia" w:hAnsiTheme="minorEastAsia" w:cstheme="minorEastAsia"/>
                <w:b/>
                <w:bCs/>
                <w:szCs w:val="21"/>
              </w:rPr>
              <w:t>序号</w:t>
            </w:r>
          </w:p>
        </w:tc>
        <w:tc>
          <w:tcPr>
            <w:tcW w:w="3553"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F57F02F">
            <w:pPr>
              <w:snapToGrid w:val="0"/>
              <w:spacing w:line="360" w:lineRule="auto"/>
              <w:jc w:val="center"/>
              <w:rPr>
                <w:rFonts w:asciiTheme="minorEastAsia" w:hAnsiTheme="minorEastAsia" w:cstheme="minorEastAsia"/>
                <w:b/>
                <w:bCs/>
                <w:szCs w:val="21"/>
              </w:rPr>
            </w:pPr>
            <w:r>
              <w:rPr>
                <w:rFonts w:hint="eastAsia" w:asciiTheme="minorEastAsia" w:hAnsiTheme="minorEastAsia" w:cstheme="minorEastAsia"/>
                <w:b/>
                <w:bCs/>
                <w:szCs w:val="21"/>
              </w:rPr>
              <w:t>评分项</w:t>
            </w:r>
          </w:p>
        </w:tc>
        <w:tc>
          <w:tcPr>
            <w:tcW w:w="481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B92F3DC">
            <w:pPr>
              <w:snapToGrid w:val="0"/>
              <w:spacing w:line="360" w:lineRule="auto"/>
              <w:jc w:val="center"/>
              <w:rPr>
                <w:rFonts w:asciiTheme="minorEastAsia" w:hAnsiTheme="minorEastAsia" w:cstheme="minorEastAsia"/>
                <w:b/>
                <w:bCs/>
                <w:szCs w:val="21"/>
              </w:rPr>
            </w:pPr>
            <w:r>
              <w:rPr>
                <w:rFonts w:hint="eastAsia" w:asciiTheme="minorEastAsia" w:hAnsiTheme="minorEastAsia" w:cstheme="minorEastAsia"/>
                <w:b/>
                <w:bCs/>
                <w:szCs w:val="21"/>
              </w:rPr>
              <w:t>权重（%）</w:t>
            </w:r>
          </w:p>
        </w:tc>
      </w:tr>
      <w:tr w14:paraId="30E18A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700"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7A51666B">
            <w:pPr>
              <w:snapToGrid w:val="0"/>
              <w:spacing w:line="360" w:lineRule="auto"/>
              <w:jc w:val="center"/>
              <w:rPr>
                <w:rFonts w:asciiTheme="minorEastAsia" w:hAnsiTheme="minorEastAsia" w:cstheme="minorEastAsia"/>
                <w:b/>
                <w:bCs/>
                <w:szCs w:val="21"/>
              </w:rPr>
            </w:pPr>
            <w:r>
              <w:rPr>
                <w:rFonts w:hint="eastAsia" w:asciiTheme="minorEastAsia" w:hAnsiTheme="minorEastAsia" w:cstheme="minorEastAsia"/>
                <w:b/>
                <w:bCs/>
                <w:szCs w:val="21"/>
              </w:rPr>
              <w:t>1</w:t>
            </w:r>
          </w:p>
        </w:tc>
        <w:tc>
          <w:tcPr>
            <w:tcW w:w="3553"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39CCDED7">
            <w:pPr>
              <w:snapToGrid w:val="0"/>
              <w:spacing w:line="360" w:lineRule="auto"/>
              <w:jc w:val="center"/>
              <w:rPr>
                <w:rFonts w:asciiTheme="minorEastAsia" w:hAnsiTheme="minorEastAsia" w:cstheme="minorEastAsia"/>
                <w:b/>
                <w:bCs/>
                <w:szCs w:val="21"/>
              </w:rPr>
            </w:pPr>
            <w:r>
              <w:rPr>
                <w:rFonts w:hint="eastAsia" w:asciiTheme="minorEastAsia" w:hAnsiTheme="minorEastAsia" w:cstheme="minorEastAsia"/>
                <w:b/>
                <w:bCs/>
                <w:szCs w:val="21"/>
              </w:rPr>
              <w:t>价格</w:t>
            </w:r>
          </w:p>
        </w:tc>
        <w:tc>
          <w:tcPr>
            <w:tcW w:w="4819"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468B500F">
            <w:pPr>
              <w:snapToGrid w:val="0"/>
              <w:spacing w:line="360" w:lineRule="auto"/>
              <w:jc w:val="center"/>
              <w:rPr>
                <w:rFonts w:asciiTheme="minorEastAsia" w:hAnsiTheme="minorEastAsia" w:cstheme="minorEastAsia"/>
                <w:b/>
                <w:bCs/>
                <w:szCs w:val="21"/>
              </w:rPr>
            </w:pPr>
            <w:r>
              <w:rPr>
                <w:rFonts w:hint="eastAsia" w:asciiTheme="minorEastAsia" w:hAnsiTheme="minorEastAsia" w:cstheme="minorEastAsia"/>
                <w:b/>
                <w:bCs/>
                <w:szCs w:val="21"/>
              </w:rPr>
              <w:t>0</w:t>
            </w:r>
          </w:p>
        </w:tc>
      </w:tr>
      <w:tr w14:paraId="71165B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700"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14:paraId="59279564">
            <w:pPr>
              <w:snapToGrid w:val="0"/>
              <w:spacing w:line="360" w:lineRule="auto"/>
              <w:jc w:val="center"/>
              <w:rPr>
                <w:rFonts w:asciiTheme="minorEastAsia" w:hAnsiTheme="minorEastAsia" w:cstheme="minorEastAsia"/>
                <w:b/>
                <w:bCs/>
                <w:szCs w:val="21"/>
              </w:rPr>
            </w:pPr>
            <w:r>
              <w:rPr>
                <w:rFonts w:hint="eastAsia" w:asciiTheme="minorEastAsia" w:hAnsiTheme="minorEastAsia" w:cstheme="minorEastAsia"/>
                <w:b/>
                <w:bCs/>
                <w:szCs w:val="21"/>
              </w:rPr>
              <w:t>2</w:t>
            </w:r>
          </w:p>
        </w:tc>
        <w:tc>
          <w:tcPr>
            <w:tcW w:w="3553"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30578400">
            <w:pPr>
              <w:snapToGrid w:val="0"/>
              <w:spacing w:line="360" w:lineRule="auto"/>
              <w:jc w:val="center"/>
              <w:rPr>
                <w:rFonts w:asciiTheme="minorEastAsia" w:hAnsiTheme="minorEastAsia" w:cstheme="minorEastAsia"/>
                <w:b/>
                <w:bCs/>
                <w:szCs w:val="21"/>
              </w:rPr>
            </w:pPr>
            <w:r>
              <w:rPr>
                <w:rFonts w:hint="eastAsia" w:asciiTheme="minorEastAsia" w:hAnsiTheme="minorEastAsia" w:cstheme="minorEastAsia"/>
                <w:b/>
                <w:bCs/>
                <w:szCs w:val="21"/>
              </w:rPr>
              <w:t>技术部分</w:t>
            </w:r>
          </w:p>
        </w:tc>
        <w:tc>
          <w:tcPr>
            <w:tcW w:w="4819"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316A731D">
            <w:pPr>
              <w:snapToGrid w:val="0"/>
              <w:spacing w:line="360" w:lineRule="auto"/>
              <w:jc w:val="center"/>
              <w:rPr>
                <w:rFonts w:asciiTheme="minorEastAsia" w:hAnsiTheme="minorEastAsia" w:cstheme="minorEastAsia"/>
                <w:b/>
                <w:bCs/>
                <w:szCs w:val="21"/>
              </w:rPr>
            </w:pPr>
            <w:r>
              <w:rPr>
                <w:rFonts w:hint="eastAsia" w:asciiTheme="minorEastAsia" w:hAnsiTheme="minorEastAsia" w:cstheme="minorEastAsia"/>
                <w:b/>
                <w:bCs/>
                <w:szCs w:val="21"/>
              </w:rPr>
              <w:t>20</w:t>
            </w:r>
          </w:p>
        </w:tc>
      </w:tr>
      <w:tr w14:paraId="2B390B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90A5051">
            <w:pPr>
              <w:snapToGrid w:val="0"/>
              <w:spacing w:line="360" w:lineRule="auto"/>
              <w:rPr>
                <w:rFonts w:asciiTheme="minorEastAsia" w:hAnsiTheme="minorEastAsia" w:cstheme="minorEastAsia"/>
                <w:b/>
                <w:bCs/>
                <w:szCs w:val="21"/>
              </w:rPr>
            </w:pPr>
          </w:p>
        </w:tc>
        <w:tc>
          <w:tcPr>
            <w:tcW w:w="660"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7B8685AB">
            <w:pPr>
              <w:snapToGrid w:val="0"/>
              <w:spacing w:line="360" w:lineRule="auto"/>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1793"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5B9A07BE">
            <w:pPr>
              <w:snapToGrid w:val="0"/>
              <w:spacing w:line="360" w:lineRule="auto"/>
              <w:jc w:val="center"/>
              <w:rPr>
                <w:rFonts w:asciiTheme="minorEastAsia" w:hAnsiTheme="minorEastAsia" w:cstheme="minorEastAsia"/>
                <w:szCs w:val="21"/>
              </w:rPr>
            </w:pPr>
            <w:r>
              <w:rPr>
                <w:rFonts w:hint="eastAsia" w:asciiTheme="minorEastAsia" w:hAnsiTheme="minorEastAsia" w:cstheme="minorEastAsia"/>
                <w:szCs w:val="21"/>
              </w:rPr>
              <w:t>评分因素</w:t>
            </w:r>
          </w:p>
        </w:tc>
        <w:tc>
          <w:tcPr>
            <w:tcW w:w="1100"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0626E0E9">
            <w:pPr>
              <w:snapToGrid w:val="0"/>
              <w:spacing w:line="360" w:lineRule="auto"/>
              <w:jc w:val="center"/>
              <w:rPr>
                <w:rFonts w:asciiTheme="minorEastAsia" w:hAnsiTheme="minorEastAsia" w:cstheme="minorEastAsia"/>
                <w:szCs w:val="21"/>
              </w:rPr>
            </w:pPr>
            <w:r>
              <w:rPr>
                <w:rFonts w:hint="eastAsia" w:asciiTheme="minorEastAsia" w:hAnsiTheme="minorEastAsia" w:cstheme="minorEastAsia"/>
                <w:szCs w:val="21"/>
              </w:rPr>
              <w:t>权重</w:t>
            </w:r>
            <w:r>
              <w:rPr>
                <w:rFonts w:hint="eastAsia" w:asciiTheme="minorEastAsia" w:hAnsiTheme="minorEastAsia" w:cstheme="minorEastAsia"/>
                <w:bCs/>
                <w:szCs w:val="21"/>
              </w:rPr>
              <w:t>（%）</w:t>
            </w:r>
          </w:p>
        </w:tc>
        <w:tc>
          <w:tcPr>
            <w:tcW w:w="481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23F7AC8D">
            <w:pPr>
              <w:snapToGrid w:val="0"/>
              <w:spacing w:line="360" w:lineRule="auto"/>
              <w:jc w:val="center"/>
              <w:rPr>
                <w:rFonts w:asciiTheme="minorEastAsia" w:hAnsiTheme="minorEastAsia" w:cstheme="minorEastAsia"/>
                <w:szCs w:val="21"/>
              </w:rPr>
            </w:pPr>
            <w:r>
              <w:rPr>
                <w:rFonts w:hint="eastAsia" w:asciiTheme="minorEastAsia" w:hAnsiTheme="minorEastAsia" w:cstheme="minorEastAsia"/>
                <w:szCs w:val="21"/>
              </w:rPr>
              <w:t>评分准则</w:t>
            </w:r>
          </w:p>
        </w:tc>
      </w:tr>
      <w:tr w14:paraId="6307CD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C382BEC">
            <w:pPr>
              <w:snapToGrid w:val="0"/>
              <w:spacing w:line="360" w:lineRule="auto"/>
              <w:rPr>
                <w:rFonts w:asciiTheme="minorEastAsia" w:hAnsiTheme="minorEastAsia" w:cstheme="minorEastAsia"/>
                <w:b/>
                <w:bCs/>
                <w:szCs w:val="21"/>
              </w:rPr>
            </w:pPr>
          </w:p>
        </w:tc>
        <w:tc>
          <w:tcPr>
            <w:tcW w:w="6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899473E">
            <w:pPr>
              <w:snapToGrid w:val="0"/>
              <w:spacing w:line="360" w:lineRule="auto"/>
              <w:jc w:val="center"/>
              <w:rPr>
                <w:rFonts w:asciiTheme="minorEastAsia" w:hAnsiTheme="minorEastAsia" w:cstheme="minorEastAsia"/>
                <w:szCs w:val="21"/>
              </w:rPr>
            </w:pPr>
            <w:r>
              <w:rPr>
                <w:rFonts w:hint="eastAsia" w:asciiTheme="minorEastAsia" w:hAnsiTheme="minorEastAsia" w:cstheme="minorEastAsia"/>
                <w:szCs w:val="21"/>
              </w:rPr>
              <w:t>1</w:t>
            </w:r>
          </w:p>
        </w:tc>
        <w:tc>
          <w:tcPr>
            <w:tcW w:w="179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DEC14C7">
            <w:pPr>
              <w:spacing w:line="240" w:lineRule="exact"/>
              <w:jc w:val="center"/>
              <w:rPr>
                <w:rFonts w:cs="Times New Roman" w:asciiTheme="minorEastAsia" w:hAnsiTheme="minorEastAsia"/>
                <w:szCs w:val="21"/>
              </w:rPr>
            </w:pPr>
            <w:r>
              <w:rPr>
                <w:rFonts w:hint="eastAsia" w:cs="Times New Roman" w:asciiTheme="minorEastAsia" w:hAnsiTheme="minorEastAsia"/>
                <w:szCs w:val="21"/>
              </w:rPr>
              <w:t>技术保障措施</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E901F36">
            <w:pPr>
              <w:spacing w:line="240" w:lineRule="exact"/>
              <w:jc w:val="center"/>
              <w:rPr>
                <w:rFonts w:cs="Times New Roman" w:asciiTheme="minorEastAsia" w:hAnsiTheme="minorEastAsia"/>
                <w:szCs w:val="21"/>
              </w:rPr>
            </w:pPr>
            <w:r>
              <w:rPr>
                <w:rFonts w:hint="eastAsia" w:asciiTheme="minorEastAsia" w:hAnsiTheme="minorEastAsia"/>
                <w:color w:val="0C0C0C"/>
                <w:szCs w:val="21"/>
              </w:rPr>
              <w:t>20</w:t>
            </w:r>
          </w:p>
        </w:tc>
        <w:tc>
          <w:tcPr>
            <w:tcW w:w="481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341D736">
            <w:pPr>
              <w:rPr>
                <w:rFonts w:asciiTheme="minorEastAsia" w:hAnsiTheme="minorEastAsia"/>
                <w:b/>
                <w:szCs w:val="21"/>
              </w:rPr>
            </w:pPr>
            <w:r>
              <w:rPr>
                <w:rFonts w:hint="eastAsia" w:asciiTheme="minorEastAsia" w:hAnsiTheme="minorEastAsia"/>
                <w:b/>
                <w:szCs w:val="21"/>
              </w:rPr>
              <w:t>（一）评分内容：</w:t>
            </w:r>
          </w:p>
          <w:p w14:paraId="747D4D2E">
            <w:pPr>
              <w:snapToGrid w:val="0"/>
              <w:spacing w:line="360" w:lineRule="auto"/>
              <w:jc w:val="left"/>
              <w:rPr>
                <w:rFonts w:asciiTheme="minorEastAsia" w:hAnsiTheme="minorEastAsia" w:cstheme="minorEastAsia"/>
                <w:szCs w:val="21"/>
              </w:rPr>
            </w:pPr>
            <w:r>
              <w:rPr>
                <w:rFonts w:hint="eastAsia" w:asciiTheme="minorEastAsia" w:hAnsiTheme="minorEastAsia" w:cstheme="minorEastAsia"/>
                <w:szCs w:val="21"/>
              </w:rPr>
              <w:t xml:space="preserve">评审委员会根据投标人制定的技术保障措施进行评价和打分，内容包括但不限于： </w:t>
            </w:r>
          </w:p>
          <w:p w14:paraId="78E1FFE7">
            <w:pPr>
              <w:snapToGrid w:val="0"/>
              <w:spacing w:line="360" w:lineRule="auto"/>
              <w:jc w:val="left"/>
              <w:rPr>
                <w:rFonts w:asciiTheme="minorEastAsia" w:hAnsiTheme="minorEastAsia" w:cstheme="minorEastAsia"/>
                <w:szCs w:val="21"/>
              </w:rPr>
            </w:pPr>
            <w:r>
              <w:rPr>
                <w:rFonts w:hint="eastAsia" w:asciiTheme="minorEastAsia" w:hAnsiTheme="minorEastAsia" w:cstheme="minorEastAsia"/>
                <w:szCs w:val="21"/>
              </w:rPr>
              <w:t>1、技术团队；</w:t>
            </w:r>
          </w:p>
          <w:p w14:paraId="7C66A59D">
            <w:pPr>
              <w:snapToGrid w:val="0"/>
              <w:spacing w:line="360" w:lineRule="auto"/>
              <w:jc w:val="left"/>
              <w:rPr>
                <w:rFonts w:asciiTheme="minorEastAsia" w:hAnsiTheme="minorEastAsia" w:cstheme="minorEastAsia"/>
                <w:szCs w:val="21"/>
              </w:rPr>
            </w:pPr>
            <w:r>
              <w:rPr>
                <w:rFonts w:hint="eastAsia" w:asciiTheme="minorEastAsia" w:hAnsiTheme="minorEastAsia" w:cstheme="minorEastAsia"/>
                <w:szCs w:val="21"/>
              </w:rPr>
              <w:t xml:space="preserve">2、技术方案； </w:t>
            </w:r>
          </w:p>
          <w:p w14:paraId="0E6B5C5A">
            <w:pPr>
              <w:snapToGrid w:val="0"/>
              <w:spacing w:line="360" w:lineRule="auto"/>
              <w:jc w:val="left"/>
              <w:rPr>
                <w:rFonts w:asciiTheme="minorEastAsia" w:hAnsiTheme="minorEastAsia" w:cstheme="minorEastAsia"/>
                <w:szCs w:val="21"/>
              </w:rPr>
            </w:pPr>
            <w:r>
              <w:rPr>
                <w:rFonts w:hint="eastAsia" w:asciiTheme="minorEastAsia" w:hAnsiTheme="minorEastAsia" w:cstheme="minorEastAsia"/>
                <w:szCs w:val="21"/>
              </w:rPr>
              <w:t>3、售后服务；</w:t>
            </w:r>
          </w:p>
          <w:p w14:paraId="011A3AA5">
            <w:pPr>
              <w:snapToGrid w:val="0"/>
              <w:spacing w:line="360" w:lineRule="auto"/>
              <w:jc w:val="left"/>
              <w:rPr>
                <w:rFonts w:asciiTheme="minorEastAsia" w:hAnsiTheme="minorEastAsia" w:cstheme="minorEastAsia"/>
                <w:szCs w:val="21"/>
              </w:rPr>
            </w:pPr>
            <w:r>
              <w:rPr>
                <w:rFonts w:hint="eastAsia" w:asciiTheme="minorEastAsia" w:hAnsiTheme="minorEastAsia" w:cstheme="minorEastAsia"/>
                <w:szCs w:val="21"/>
              </w:rPr>
              <w:t>4、场地；</w:t>
            </w:r>
          </w:p>
          <w:p w14:paraId="702B3CC1">
            <w:pPr>
              <w:snapToGrid w:val="0"/>
              <w:spacing w:line="360" w:lineRule="auto"/>
              <w:jc w:val="left"/>
              <w:rPr>
                <w:rFonts w:asciiTheme="minorEastAsia" w:hAnsiTheme="minorEastAsia" w:cstheme="minorEastAsia"/>
                <w:szCs w:val="21"/>
              </w:rPr>
            </w:pPr>
            <w:r>
              <w:rPr>
                <w:rFonts w:hint="eastAsia" w:asciiTheme="minorEastAsia" w:hAnsiTheme="minorEastAsia" w:cstheme="minorEastAsia"/>
                <w:szCs w:val="21"/>
              </w:rPr>
              <w:t>5、车辆；</w:t>
            </w:r>
          </w:p>
          <w:p w14:paraId="32CE2458">
            <w:pPr>
              <w:rPr>
                <w:rFonts w:asciiTheme="minorEastAsia" w:hAnsiTheme="minorEastAsia"/>
                <w:b/>
                <w:szCs w:val="21"/>
              </w:rPr>
            </w:pPr>
            <w:r>
              <w:rPr>
                <w:rFonts w:hint="eastAsia" w:asciiTheme="minorEastAsia" w:hAnsiTheme="minorEastAsia"/>
                <w:b/>
                <w:szCs w:val="21"/>
              </w:rPr>
              <w:t>(二）评分依据：</w:t>
            </w:r>
          </w:p>
          <w:p w14:paraId="73DBBFF7">
            <w:pPr>
              <w:snapToGrid w:val="0"/>
              <w:spacing w:line="360" w:lineRule="auto"/>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满足以上全部满足的得2</w:t>
            </w:r>
            <w:r>
              <w:rPr>
                <w:rFonts w:hint="eastAsia" w:asciiTheme="minorEastAsia" w:hAnsiTheme="minorEastAsia" w:cstheme="minorEastAsia"/>
                <w:szCs w:val="21"/>
                <w:highlight w:val="none"/>
                <w:lang w:val="en-US" w:eastAsia="zh-CN"/>
              </w:rPr>
              <w:t>0</w:t>
            </w:r>
            <w:r>
              <w:rPr>
                <w:rFonts w:hint="eastAsia" w:asciiTheme="minorEastAsia" w:hAnsiTheme="minorEastAsia"/>
                <w:szCs w:val="21"/>
                <w:highlight w:val="none"/>
              </w:rPr>
              <w:t>%</w:t>
            </w:r>
            <w:r>
              <w:rPr>
                <w:rFonts w:hint="eastAsia" w:asciiTheme="minorEastAsia" w:hAnsiTheme="minorEastAsia" w:cstheme="minorEastAsia"/>
                <w:szCs w:val="21"/>
                <w:highlight w:val="none"/>
              </w:rPr>
              <w:t>分，每缺少一项扣</w:t>
            </w:r>
            <w:r>
              <w:rPr>
                <w:rFonts w:hint="eastAsia" w:asciiTheme="minorEastAsia" w:hAnsiTheme="minorEastAsia" w:cstheme="minorEastAsia"/>
                <w:szCs w:val="21"/>
                <w:highlight w:val="none"/>
                <w:lang w:val="en-US" w:eastAsia="zh-CN"/>
              </w:rPr>
              <w:t>4</w:t>
            </w:r>
            <w:r>
              <w:rPr>
                <w:rFonts w:hint="eastAsia" w:asciiTheme="minorEastAsia" w:hAnsiTheme="minorEastAsia"/>
                <w:szCs w:val="21"/>
                <w:highlight w:val="none"/>
              </w:rPr>
              <w:t>%</w:t>
            </w:r>
            <w:r>
              <w:rPr>
                <w:rFonts w:hint="eastAsia" w:asciiTheme="minorEastAsia" w:hAnsiTheme="minorEastAsia" w:cstheme="minorEastAsia"/>
                <w:szCs w:val="21"/>
                <w:highlight w:val="none"/>
              </w:rPr>
              <w:t>分。在此基础上，专家根据各供应商的具体响应内容按照量化的评审因素指标进一步评审。</w:t>
            </w:r>
          </w:p>
          <w:p w14:paraId="158828FC">
            <w:pPr>
              <w:snapToGrid w:val="0"/>
              <w:spacing w:line="360" w:lineRule="auto"/>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优评分标准：技术保障措施契合项目需求、售后服务保障及时、内容具体详细、可操作性强，得</w:t>
            </w:r>
            <w:r>
              <w:rPr>
                <w:rFonts w:hint="eastAsia" w:asciiTheme="minorEastAsia" w:hAnsiTheme="minorEastAsia" w:cstheme="minorEastAsia"/>
                <w:szCs w:val="21"/>
                <w:highlight w:val="none"/>
                <w:lang w:val="en-US" w:eastAsia="zh-CN"/>
              </w:rPr>
              <w:t>80</w:t>
            </w:r>
            <w:r>
              <w:rPr>
                <w:rFonts w:hint="eastAsia" w:asciiTheme="minorEastAsia" w:hAnsiTheme="minorEastAsia"/>
                <w:szCs w:val="21"/>
                <w:highlight w:val="none"/>
              </w:rPr>
              <w:t>%</w:t>
            </w:r>
            <w:r>
              <w:rPr>
                <w:rFonts w:hint="eastAsia" w:asciiTheme="minorEastAsia" w:hAnsiTheme="minorEastAsia" w:cstheme="minorEastAsia"/>
                <w:szCs w:val="21"/>
                <w:highlight w:val="none"/>
              </w:rPr>
              <w:t>分。</w:t>
            </w:r>
          </w:p>
          <w:p w14:paraId="42356F04">
            <w:pPr>
              <w:snapToGrid w:val="0"/>
              <w:spacing w:line="360" w:lineRule="auto"/>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良评分标准：技术保障措施较契合项目需求、售后服务保障较及时、内容较具体详细、可操作性较强，得50</w:t>
            </w:r>
            <w:r>
              <w:rPr>
                <w:rFonts w:hint="eastAsia" w:asciiTheme="minorEastAsia" w:hAnsiTheme="minorEastAsia"/>
                <w:szCs w:val="21"/>
                <w:highlight w:val="none"/>
              </w:rPr>
              <w:t>%</w:t>
            </w:r>
            <w:r>
              <w:rPr>
                <w:rFonts w:hint="eastAsia" w:asciiTheme="minorEastAsia" w:hAnsiTheme="minorEastAsia" w:cstheme="minorEastAsia"/>
                <w:szCs w:val="21"/>
                <w:highlight w:val="none"/>
              </w:rPr>
              <w:t>分。</w:t>
            </w:r>
          </w:p>
          <w:p w14:paraId="445C378A">
            <w:pPr>
              <w:snapToGrid w:val="0"/>
              <w:spacing w:line="360" w:lineRule="auto"/>
              <w:jc w:val="left"/>
              <w:rPr>
                <w:rFonts w:asciiTheme="minorEastAsia" w:hAnsiTheme="minorEastAsia" w:cstheme="minorEastAsia"/>
                <w:szCs w:val="21"/>
                <w:highlight w:val="none"/>
              </w:rPr>
            </w:pPr>
            <w:r>
              <w:rPr>
                <w:rFonts w:hint="eastAsia" w:asciiTheme="minorEastAsia" w:hAnsiTheme="minorEastAsia" w:cstheme="minorEastAsia"/>
                <w:szCs w:val="21"/>
                <w:highlight w:val="none"/>
              </w:rPr>
              <w:t>中评分标准：技术保障措施基本满足项目需求、有相应售后服务保障举措、内容不全面、可操作性一般，得2</w:t>
            </w:r>
            <w:r>
              <w:rPr>
                <w:rFonts w:hint="eastAsia" w:asciiTheme="minorEastAsia" w:hAnsiTheme="minorEastAsia" w:cstheme="minorEastAsia"/>
                <w:szCs w:val="21"/>
                <w:highlight w:val="none"/>
                <w:lang w:val="en-US" w:eastAsia="zh-CN"/>
              </w:rPr>
              <w:t>0</w:t>
            </w:r>
            <w:r>
              <w:rPr>
                <w:rFonts w:hint="eastAsia" w:asciiTheme="minorEastAsia" w:hAnsiTheme="minorEastAsia"/>
                <w:szCs w:val="21"/>
                <w:highlight w:val="none"/>
              </w:rPr>
              <w:t>%</w:t>
            </w:r>
            <w:r>
              <w:rPr>
                <w:rFonts w:hint="eastAsia" w:asciiTheme="minorEastAsia" w:hAnsiTheme="minorEastAsia" w:cstheme="minorEastAsia"/>
                <w:szCs w:val="21"/>
                <w:highlight w:val="none"/>
              </w:rPr>
              <w:t xml:space="preserve">分。 </w:t>
            </w:r>
          </w:p>
          <w:p w14:paraId="31EAA9CC">
            <w:pPr>
              <w:pStyle w:val="8"/>
              <w:rPr>
                <w:rFonts w:hint="eastAsia" w:asciiTheme="minorEastAsia" w:hAnsiTheme="minorEastAsia" w:eastAsiaTheme="minorEastAsia"/>
                <w:szCs w:val="21"/>
                <w:lang w:eastAsia="zh-CN"/>
              </w:rPr>
            </w:pPr>
            <w:r>
              <w:rPr>
                <w:rFonts w:hint="eastAsia" w:asciiTheme="minorEastAsia" w:hAnsiTheme="minorEastAsia" w:cstheme="minorEastAsia"/>
                <w:szCs w:val="21"/>
                <w:highlight w:val="none"/>
              </w:rPr>
              <w:t>差评分标准：上述情况之外的评价或内容未提供，不得分</w:t>
            </w:r>
            <w:r>
              <w:rPr>
                <w:rFonts w:hint="eastAsia"/>
                <w:highlight w:val="none"/>
                <w:lang w:eastAsia="zh-CN"/>
              </w:rPr>
              <w:t>。</w:t>
            </w:r>
          </w:p>
        </w:tc>
      </w:tr>
      <w:tr w14:paraId="444182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700" w:type="dxa"/>
            <w:vMerge w:val="restart"/>
            <w:tcBorders>
              <w:top w:val="single" w:color="000000" w:sz="8" w:space="0"/>
              <w:left w:val="single" w:color="000000" w:sz="8" w:space="0"/>
              <w:right w:val="single" w:color="000000" w:sz="8" w:space="0"/>
            </w:tcBorders>
            <w:shd w:val="clear" w:color="auto" w:fill="FFFFFF" w:themeFill="background1"/>
          </w:tcPr>
          <w:p w14:paraId="111B5F4A">
            <w:pPr>
              <w:snapToGrid w:val="0"/>
              <w:spacing w:line="360" w:lineRule="auto"/>
              <w:jc w:val="center"/>
              <w:rPr>
                <w:rFonts w:asciiTheme="minorEastAsia" w:hAnsiTheme="minorEastAsia" w:cstheme="minorEastAsia"/>
                <w:b/>
                <w:bCs/>
                <w:szCs w:val="21"/>
              </w:rPr>
            </w:pPr>
            <w:r>
              <w:rPr>
                <w:rFonts w:hint="eastAsia" w:asciiTheme="minorEastAsia" w:hAnsiTheme="minorEastAsia" w:cstheme="minorEastAsia"/>
                <w:b/>
                <w:bCs/>
                <w:szCs w:val="21"/>
              </w:rPr>
              <w:t>3</w:t>
            </w:r>
          </w:p>
        </w:tc>
        <w:tc>
          <w:tcPr>
            <w:tcW w:w="3553"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6EB0028A">
            <w:pPr>
              <w:snapToGrid w:val="0"/>
              <w:spacing w:line="360" w:lineRule="auto"/>
              <w:jc w:val="center"/>
              <w:rPr>
                <w:rFonts w:asciiTheme="minorEastAsia" w:hAnsiTheme="minorEastAsia" w:cstheme="minorEastAsia"/>
                <w:b/>
                <w:bCs/>
                <w:szCs w:val="21"/>
              </w:rPr>
            </w:pPr>
            <w:r>
              <w:rPr>
                <w:rFonts w:hint="eastAsia" w:asciiTheme="minorEastAsia" w:hAnsiTheme="minorEastAsia" w:cstheme="minorEastAsia"/>
                <w:b/>
                <w:bCs/>
                <w:szCs w:val="21"/>
              </w:rPr>
              <w:t>商务部分</w:t>
            </w:r>
          </w:p>
        </w:tc>
        <w:tc>
          <w:tcPr>
            <w:tcW w:w="4819"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5BB810AF">
            <w:pPr>
              <w:snapToGrid w:val="0"/>
              <w:spacing w:line="360" w:lineRule="auto"/>
              <w:jc w:val="center"/>
              <w:rPr>
                <w:rFonts w:asciiTheme="minorEastAsia" w:hAnsiTheme="minorEastAsia" w:cstheme="minorEastAsia"/>
                <w:b/>
                <w:bCs/>
                <w:szCs w:val="21"/>
              </w:rPr>
            </w:pPr>
            <w:r>
              <w:rPr>
                <w:rFonts w:hint="eastAsia" w:asciiTheme="minorEastAsia" w:hAnsiTheme="minorEastAsia" w:cstheme="minorEastAsia"/>
                <w:b/>
                <w:bCs/>
                <w:szCs w:val="21"/>
              </w:rPr>
              <w:t>75</w:t>
            </w:r>
          </w:p>
        </w:tc>
      </w:tr>
      <w:tr w14:paraId="485824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700" w:type="dxa"/>
            <w:vMerge w:val="continue"/>
            <w:tcBorders>
              <w:left w:val="single" w:color="000000" w:sz="8" w:space="0"/>
              <w:right w:val="single" w:color="000000" w:sz="8" w:space="0"/>
            </w:tcBorders>
            <w:shd w:val="clear" w:color="auto" w:fill="FFFFFF" w:themeFill="background1"/>
            <w:vAlign w:val="center"/>
          </w:tcPr>
          <w:p w14:paraId="2C01F233">
            <w:pPr>
              <w:snapToGrid w:val="0"/>
              <w:spacing w:line="360" w:lineRule="auto"/>
              <w:rPr>
                <w:rFonts w:asciiTheme="minorEastAsia" w:hAnsiTheme="minorEastAsia" w:cstheme="minorEastAsia"/>
                <w:b/>
                <w:bCs/>
                <w:szCs w:val="21"/>
              </w:rPr>
            </w:pPr>
          </w:p>
        </w:tc>
        <w:tc>
          <w:tcPr>
            <w:tcW w:w="660"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23AE59D2">
            <w:pPr>
              <w:snapToGrid w:val="0"/>
              <w:spacing w:line="360" w:lineRule="auto"/>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1793"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74026466">
            <w:pPr>
              <w:snapToGrid w:val="0"/>
              <w:spacing w:line="360" w:lineRule="auto"/>
              <w:jc w:val="center"/>
              <w:rPr>
                <w:rFonts w:asciiTheme="minorEastAsia" w:hAnsiTheme="minorEastAsia" w:cstheme="minorEastAsia"/>
                <w:szCs w:val="21"/>
              </w:rPr>
            </w:pPr>
            <w:r>
              <w:rPr>
                <w:rFonts w:hint="eastAsia" w:asciiTheme="minorEastAsia" w:hAnsiTheme="minorEastAsia" w:cstheme="minorEastAsia"/>
                <w:szCs w:val="21"/>
              </w:rPr>
              <w:t>评分因素</w:t>
            </w:r>
          </w:p>
        </w:tc>
        <w:tc>
          <w:tcPr>
            <w:tcW w:w="1100"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0232AE1F">
            <w:pPr>
              <w:snapToGrid w:val="0"/>
              <w:spacing w:line="360" w:lineRule="auto"/>
              <w:jc w:val="center"/>
              <w:rPr>
                <w:rFonts w:asciiTheme="minorEastAsia" w:hAnsiTheme="minorEastAsia" w:cstheme="minorEastAsia"/>
                <w:szCs w:val="21"/>
              </w:rPr>
            </w:pPr>
            <w:r>
              <w:rPr>
                <w:rFonts w:hint="eastAsia" w:asciiTheme="minorEastAsia" w:hAnsiTheme="minorEastAsia" w:cstheme="minorEastAsia"/>
                <w:szCs w:val="21"/>
              </w:rPr>
              <w:t>权重</w:t>
            </w:r>
            <w:r>
              <w:rPr>
                <w:rFonts w:hint="eastAsia" w:asciiTheme="minorEastAsia" w:hAnsiTheme="minorEastAsia" w:cstheme="minorEastAsia"/>
                <w:bCs/>
                <w:szCs w:val="21"/>
              </w:rPr>
              <w:t>（%）</w:t>
            </w:r>
          </w:p>
        </w:tc>
        <w:tc>
          <w:tcPr>
            <w:tcW w:w="481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4D036215">
            <w:pPr>
              <w:snapToGrid w:val="0"/>
              <w:spacing w:line="360" w:lineRule="auto"/>
              <w:jc w:val="center"/>
              <w:rPr>
                <w:rFonts w:asciiTheme="minorEastAsia" w:hAnsiTheme="minorEastAsia" w:cstheme="minorEastAsia"/>
                <w:szCs w:val="21"/>
              </w:rPr>
            </w:pPr>
            <w:r>
              <w:rPr>
                <w:rFonts w:hint="eastAsia" w:asciiTheme="minorEastAsia" w:hAnsiTheme="minorEastAsia" w:cstheme="minorEastAsia"/>
                <w:szCs w:val="21"/>
              </w:rPr>
              <w:t>评分准则</w:t>
            </w:r>
          </w:p>
        </w:tc>
      </w:tr>
      <w:tr w14:paraId="5478F5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700" w:type="dxa"/>
            <w:vMerge w:val="continue"/>
            <w:tcBorders>
              <w:left w:val="single" w:color="000000" w:sz="8" w:space="0"/>
              <w:right w:val="single" w:color="000000" w:sz="8" w:space="0"/>
            </w:tcBorders>
            <w:shd w:val="clear" w:color="auto" w:fill="FFFFFF" w:themeFill="background1"/>
            <w:vAlign w:val="center"/>
          </w:tcPr>
          <w:p w14:paraId="6C22C1EC">
            <w:pPr>
              <w:snapToGrid w:val="0"/>
              <w:spacing w:line="360" w:lineRule="auto"/>
              <w:rPr>
                <w:rFonts w:asciiTheme="minorEastAsia" w:hAnsiTheme="minorEastAsia" w:cstheme="minorEastAsia"/>
                <w:b/>
                <w:bCs/>
                <w:szCs w:val="21"/>
              </w:rPr>
            </w:pPr>
          </w:p>
        </w:tc>
        <w:tc>
          <w:tcPr>
            <w:tcW w:w="6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57EF05D">
            <w:pPr>
              <w:snapToGrid w:val="0"/>
              <w:spacing w:line="360" w:lineRule="auto"/>
              <w:jc w:val="center"/>
              <w:rPr>
                <w:rFonts w:asciiTheme="minorEastAsia" w:hAnsiTheme="minorEastAsia" w:cstheme="minorEastAsia"/>
                <w:szCs w:val="21"/>
              </w:rPr>
            </w:pPr>
            <w:r>
              <w:rPr>
                <w:rFonts w:hint="eastAsia" w:asciiTheme="minorEastAsia" w:hAnsiTheme="minorEastAsia" w:cstheme="minorEastAsia"/>
                <w:szCs w:val="21"/>
              </w:rPr>
              <w:t>1</w:t>
            </w:r>
          </w:p>
        </w:tc>
        <w:tc>
          <w:tcPr>
            <w:tcW w:w="179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96FD3A2">
            <w:pPr>
              <w:spacing w:line="240" w:lineRule="exact"/>
              <w:jc w:val="center"/>
              <w:rPr>
                <w:rFonts w:cs="Times New Roman" w:asciiTheme="minorEastAsia" w:hAnsiTheme="minorEastAsia"/>
                <w:szCs w:val="21"/>
              </w:rPr>
            </w:pPr>
            <w:r>
              <w:rPr>
                <w:rFonts w:hint="eastAsia" w:cs="Times New Roman" w:asciiTheme="minorEastAsia" w:hAnsiTheme="minorEastAsia"/>
                <w:szCs w:val="21"/>
              </w:rPr>
              <w:t>同类项目业绩情况</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0CB4BDF">
            <w:pPr>
              <w:spacing w:line="240" w:lineRule="exact"/>
              <w:jc w:val="center"/>
              <w:rPr>
                <w:rFonts w:cs="Times New Roman" w:asciiTheme="minorEastAsia" w:hAnsiTheme="minorEastAsia"/>
                <w:szCs w:val="21"/>
              </w:rPr>
            </w:pPr>
            <w:r>
              <w:rPr>
                <w:rFonts w:hint="eastAsia" w:cs="Times New Roman" w:asciiTheme="minorEastAsia" w:hAnsiTheme="minorEastAsia"/>
                <w:szCs w:val="21"/>
              </w:rPr>
              <w:t>15</w:t>
            </w:r>
          </w:p>
        </w:tc>
        <w:tc>
          <w:tcPr>
            <w:tcW w:w="481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3987A73">
            <w:pPr>
              <w:rPr>
                <w:rFonts w:asciiTheme="minorEastAsia" w:hAnsiTheme="minorEastAsia"/>
                <w:b/>
                <w:szCs w:val="21"/>
              </w:rPr>
            </w:pPr>
            <w:r>
              <w:rPr>
                <w:rFonts w:hint="eastAsia" w:asciiTheme="minorEastAsia" w:hAnsiTheme="minorEastAsia"/>
                <w:b/>
                <w:szCs w:val="21"/>
              </w:rPr>
              <w:t>（一）评分内容：</w:t>
            </w:r>
          </w:p>
          <w:p w14:paraId="266BA9D7">
            <w:pPr>
              <w:wordWrap w:val="0"/>
              <w:rPr>
                <w:rFonts w:asciiTheme="minorEastAsia" w:hAnsiTheme="minorEastAsia"/>
                <w:szCs w:val="21"/>
              </w:rPr>
            </w:pPr>
            <w:r>
              <w:rPr>
                <w:rFonts w:hint="eastAsia" w:ascii="Calibri" w:hAnsi="Calibri"/>
              </w:rPr>
              <w:t>2022年1月1日至本项目响应截止日前，具有已完工的学校或幼儿园改造类同类</w:t>
            </w:r>
            <w:r>
              <w:rPr>
                <w:rFonts w:ascii="Calibri" w:hAnsi="Calibri"/>
              </w:rPr>
              <w:t>工程业绩（以验收项目以竣工验收报告或完工证明时间为准），</w:t>
            </w:r>
            <w:r>
              <w:rPr>
                <w:rFonts w:hint="eastAsia" w:ascii="Calibri" w:hAnsi="Calibri"/>
              </w:rPr>
              <w:t>每提供一项得34%分，最高得100%分。</w:t>
            </w:r>
          </w:p>
          <w:p w14:paraId="7B5948F1">
            <w:pPr>
              <w:rPr>
                <w:rFonts w:asciiTheme="minorEastAsia" w:hAnsiTheme="minorEastAsia"/>
                <w:b/>
                <w:szCs w:val="21"/>
              </w:rPr>
            </w:pPr>
            <w:r>
              <w:rPr>
                <w:rFonts w:hint="eastAsia" w:asciiTheme="minorEastAsia" w:hAnsiTheme="minorEastAsia"/>
                <w:b/>
                <w:szCs w:val="21"/>
              </w:rPr>
              <w:t>(二）评分依据：</w:t>
            </w:r>
          </w:p>
          <w:p w14:paraId="21BE9022">
            <w:pPr>
              <w:rPr>
                <w:rFonts w:asciiTheme="minorEastAsia" w:hAnsiTheme="minorEastAsia"/>
                <w:szCs w:val="21"/>
              </w:rPr>
            </w:pPr>
            <w:r>
              <w:rPr>
                <w:rFonts w:hint="eastAsia" w:ascii="Calibri" w:hAnsi="Calibri"/>
                <w:color w:val="auto"/>
                <w:lang w:eastAsia="zh-CN"/>
              </w:rPr>
              <w:t>证明材料须同时提供：①</w:t>
            </w:r>
            <w:r>
              <w:rPr>
                <w:rFonts w:ascii="Calibri" w:hAnsi="Calibri"/>
                <w:color w:val="auto"/>
              </w:rPr>
              <w:t>中标通知书</w:t>
            </w:r>
            <w:r>
              <w:rPr>
                <w:rFonts w:hint="eastAsia" w:ascii="Calibri" w:hAnsi="Calibri"/>
                <w:color w:val="auto"/>
                <w:lang w:eastAsia="zh-CN"/>
              </w:rPr>
              <w:t>②</w:t>
            </w:r>
            <w:r>
              <w:rPr>
                <w:rFonts w:ascii="Calibri" w:hAnsi="Calibri"/>
                <w:color w:val="auto"/>
              </w:rPr>
              <w:t>合同关键页扫描件（关键页须体现工程造价、工程施工主要内容、合同签订时间）</w:t>
            </w:r>
            <w:r>
              <w:rPr>
                <w:rFonts w:hint="eastAsia" w:ascii="Calibri" w:hAnsi="Calibri"/>
                <w:color w:val="auto"/>
                <w:lang w:eastAsia="zh-CN"/>
              </w:rPr>
              <w:t>③</w:t>
            </w:r>
            <w:r>
              <w:rPr>
                <w:rFonts w:ascii="Calibri" w:hAnsi="Calibri"/>
                <w:color w:val="auto"/>
              </w:rPr>
              <w:t>已验收的提供竣工验收报告或已完工证明（完工证明需至少有业主签字盖章确认）</w:t>
            </w:r>
            <w:r>
              <w:rPr>
                <w:rFonts w:hint="eastAsia" w:ascii="Calibri" w:hAnsi="Calibri"/>
                <w:color w:val="auto"/>
              </w:rPr>
              <w:t>，原件备查。未提供或未按要求提供或提供不清晰导致专家无法判断的均不得分。</w:t>
            </w:r>
          </w:p>
        </w:tc>
      </w:tr>
      <w:tr w14:paraId="0F6724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700" w:type="dxa"/>
            <w:vMerge w:val="continue"/>
            <w:tcBorders>
              <w:left w:val="single" w:color="000000" w:sz="8" w:space="0"/>
              <w:right w:val="single" w:color="000000" w:sz="8" w:space="0"/>
            </w:tcBorders>
            <w:shd w:val="clear" w:color="auto" w:fill="FFFFFF" w:themeFill="background1"/>
            <w:vAlign w:val="center"/>
          </w:tcPr>
          <w:p w14:paraId="6D47DC64">
            <w:pPr>
              <w:snapToGrid w:val="0"/>
              <w:spacing w:line="360" w:lineRule="auto"/>
              <w:rPr>
                <w:rFonts w:asciiTheme="minorEastAsia" w:hAnsiTheme="minorEastAsia" w:cstheme="minorEastAsia"/>
                <w:b/>
                <w:bCs/>
                <w:szCs w:val="21"/>
              </w:rPr>
            </w:pPr>
          </w:p>
        </w:tc>
        <w:tc>
          <w:tcPr>
            <w:tcW w:w="6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6AC3086">
            <w:pPr>
              <w:snapToGrid w:val="0"/>
              <w:spacing w:line="360" w:lineRule="auto"/>
              <w:jc w:val="center"/>
              <w:rPr>
                <w:rFonts w:asciiTheme="minorEastAsia" w:hAnsiTheme="minorEastAsia" w:cstheme="minorEastAsia"/>
                <w:szCs w:val="21"/>
              </w:rPr>
            </w:pPr>
            <w:r>
              <w:rPr>
                <w:rFonts w:hint="eastAsia" w:asciiTheme="minorEastAsia" w:hAnsiTheme="minorEastAsia" w:cstheme="minorEastAsia"/>
                <w:szCs w:val="21"/>
              </w:rPr>
              <w:t>2</w:t>
            </w:r>
          </w:p>
        </w:tc>
        <w:tc>
          <w:tcPr>
            <w:tcW w:w="179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C51280D">
            <w:pPr>
              <w:spacing w:line="240" w:lineRule="exact"/>
              <w:jc w:val="center"/>
              <w:rPr>
                <w:rFonts w:cs="Times New Roman" w:asciiTheme="minorEastAsia" w:hAnsiTheme="minorEastAsia"/>
                <w:szCs w:val="21"/>
              </w:rPr>
            </w:pPr>
            <w:r>
              <w:rPr>
                <w:rFonts w:hint="eastAsia" w:cs="Times New Roman" w:asciiTheme="minorEastAsia" w:hAnsiTheme="minorEastAsia"/>
                <w:szCs w:val="21"/>
              </w:rPr>
              <w:t>履约评价</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11A51BF">
            <w:pPr>
              <w:spacing w:line="240" w:lineRule="exact"/>
              <w:jc w:val="center"/>
              <w:rPr>
                <w:rFonts w:cs="Times New Roman" w:asciiTheme="minorEastAsia" w:hAnsiTheme="minorEastAsia"/>
                <w:szCs w:val="21"/>
              </w:rPr>
            </w:pPr>
            <w:r>
              <w:rPr>
                <w:rFonts w:hint="eastAsia" w:cs="Times New Roman" w:asciiTheme="minorEastAsia" w:hAnsiTheme="minorEastAsia"/>
                <w:szCs w:val="21"/>
              </w:rPr>
              <w:t>30</w:t>
            </w:r>
          </w:p>
        </w:tc>
        <w:tc>
          <w:tcPr>
            <w:tcW w:w="481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09EACF1">
            <w:pPr>
              <w:rPr>
                <w:rFonts w:asciiTheme="minorEastAsia" w:hAnsiTheme="minorEastAsia"/>
                <w:b/>
                <w:szCs w:val="21"/>
                <w:highlight w:val="none"/>
              </w:rPr>
            </w:pPr>
            <w:r>
              <w:rPr>
                <w:rFonts w:hint="eastAsia" w:asciiTheme="minorEastAsia" w:hAnsiTheme="minorEastAsia"/>
                <w:b/>
                <w:szCs w:val="21"/>
                <w:highlight w:val="none"/>
              </w:rPr>
              <w:t>（一）评分内容：</w:t>
            </w:r>
          </w:p>
          <w:p w14:paraId="2EA9228F">
            <w:pPr>
              <w:rPr>
                <w:rFonts w:asciiTheme="minorEastAsia" w:hAnsiTheme="minorEastAsia"/>
                <w:color w:val="auto"/>
                <w:szCs w:val="21"/>
                <w:highlight w:val="none"/>
              </w:rPr>
            </w:pPr>
            <w:r>
              <w:rPr>
                <w:rFonts w:hint="eastAsia" w:asciiTheme="minorEastAsia" w:hAnsiTheme="minorEastAsia"/>
                <w:color w:val="auto"/>
                <w:szCs w:val="21"/>
                <w:highlight w:val="none"/>
              </w:rPr>
              <w:t>2022年1月1日至本项目响应截止日前，投标人具有上述</w:t>
            </w:r>
            <w:r>
              <w:rPr>
                <w:rFonts w:hint="eastAsia" w:asciiTheme="minorEastAsia" w:hAnsiTheme="minorEastAsia"/>
                <w:color w:val="auto"/>
                <w:szCs w:val="21"/>
                <w:highlight w:val="none"/>
                <w:lang w:eastAsia="zh-CN"/>
              </w:rPr>
              <w:t>评审有效的</w:t>
            </w:r>
            <w:r>
              <w:rPr>
                <w:rFonts w:hint="eastAsia" w:asciiTheme="minorEastAsia" w:hAnsiTheme="minorEastAsia"/>
                <w:color w:val="auto"/>
                <w:szCs w:val="21"/>
                <w:highlight w:val="none"/>
              </w:rPr>
              <w:t>同类项目业绩并经服务单位履约评价为优或满意或履约评价中最高等级的每提供一项得34%分，本项最高得100%分。</w:t>
            </w:r>
          </w:p>
          <w:p w14:paraId="6FEDB63C">
            <w:pPr>
              <w:rPr>
                <w:rFonts w:asciiTheme="minorEastAsia" w:hAnsiTheme="minorEastAsia"/>
                <w:b/>
                <w:color w:val="auto"/>
                <w:szCs w:val="21"/>
                <w:highlight w:val="none"/>
              </w:rPr>
            </w:pPr>
            <w:r>
              <w:rPr>
                <w:rFonts w:hint="eastAsia" w:asciiTheme="minorEastAsia" w:hAnsiTheme="minorEastAsia"/>
                <w:b/>
                <w:color w:val="auto"/>
                <w:szCs w:val="21"/>
                <w:highlight w:val="none"/>
              </w:rPr>
              <w:t>（二）评分依据：</w:t>
            </w:r>
          </w:p>
          <w:p w14:paraId="41B04F42">
            <w:pPr>
              <w:rPr>
                <w:rFonts w:asciiTheme="minorEastAsia" w:hAnsiTheme="minorEastAsia"/>
                <w:color w:val="auto"/>
                <w:szCs w:val="21"/>
                <w:highlight w:val="none"/>
              </w:rPr>
            </w:pPr>
            <w:r>
              <w:rPr>
                <w:rFonts w:hint="eastAsia" w:asciiTheme="minorEastAsia" w:hAnsiTheme="minorEastAsia"/>
                <w:color w:val="auto"/>
                <w:szCs w:val="21"/>
                <w:highlight w:val="none"/>
              </w:rPr>
              <w:t>提供以上项目盖有用户单位公章的履约评价报告书扫描件，原件备查。</w:t>
            </w:r>
          </w:p>
          <w:p w14:paraId="15A6EE97">
            <w:pPr>
              <w:rPr>
                <w:rFonts w:asciiTheme="minorEastAsia" w:hAnsiTheme="minorEastAsia"/>
                <w:szCs w:val="21"/>
              </w:rPr>
            </w:pPr>
            <w:r>
              <w:rPr>
                <w:rFonts w:hint="eastAsia" w:asciiTheme="minorEastAsia" w:hAnsiTheme="minorEastAsia"/>
                <w:color w:val="auto"/>
                <w:szCs w:val="21"/>
                <w:highlight w:val="none"/>
              </w:rPr>
              <w:t>未提供或未按要求提供或提供不清晰导致专家无法判断的均不得分。</w:t>
            </w:r>
          </w:p>
        </w:tc>
      </w:tr>
      <w:tr w14:paraId="633CB5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700" w:type="dxa"/>
            <w:vMerge w:val="continue"/>
            <w:tcBorders>
              <w:left w:val="single" w:color="000000" w:sz="8" w:space="0"/>
              <w:right w:val="single" w:color="000000" w:sz="8" w:space="0"/>
            </w:tcBorders>
            <w:shd w:val="clear" w:color="auto" w:fill="FFFFFF" w:themeFill="background1"/>
            <w:vAlign w:val="center"/>
          </w:tcPr>
          <w:p w14:paraId="78EBA0A6">
            <w:pPr>
              <w:snapToGrid w:val="0"/>
              <w:spacing w:line="360" w:lineRule="auto"/>
              <w:rPr>
                <w:rFonts w:asciiTheme="minorEastAsia" w:hAnsiTheme="minorEastAsia" w:cstheme="minorEastAsia"/>
                <w:b/>
                <w:bCs/>
                <w:szCs w:val="21"/>
              </w:rPr>
            </w:pPr>
          </w:p>
        </w:tc>
        <w:tc>
          <w:tcPr>
            <w:tcW w:w="6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52A3368">
            <w:pPr>
              <w:snapToGrid w:val="0"/>
              <w:spacing w:line="360" w:lineRule="auto"/>
              <w:jc w:val="center"/>
              <w:rPr>
                <w:rFonts w:asciiTheme="minorEastAsia" w:hAnsiTheme="minorEastAsia" w:cstheme="minorEastAsia"/>
                <w:szCs w:val="21"/>
              </w:rPr>
            </w:pPr>
            <w:r>
              <w:rPr>
                <w:rFonts w:hint="eastAsia" w:asciiTheme="minorEastAsia" w:hAnsiTheme="minorEastAsia" w:cstheme="minorEastAsia"/>
                <w:szCs w:val="21"/>
              </w:rPr>
              <w:t>3</w:t>
            </w:r>
          </w:p>
        </w:tc>
        <w:tc>
          <w:tcPr>
            <w:tcW w:w="179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9BF57A7">
            <w:pPr>
              <w:spacing w:line="240" w:lineRule="exact"/>
              <w:jc w:val="center"/>
              <w:rPr>
                <w:rFonts w:cs="宋体" w:asciiTheme="minorEastAsia" w:hAnsiTheme="minorEastAsia"/>
                <w:szCs w:val="21"/>
              </w:rPr>
            </w:pPr>
            <w:r>
              <w:rPr>
                <w:rFonts w:hint="eastAsia" w:cs="Times New Roman" w:asciiTheme="minorEastAsia" w:hAnsiTheme="minorEastAsia"/>
                <w:szCs w:val="21"/>
              </w:rPr>
              <w:t>项目管理班子人员配备情况</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2623DEB">
            <w:pPr>
              <w:spacing w:line="240" w:lineRule="exact"/>
              <w:jc w:val="center"/>
              <w:rPr>
                <w:rFonts w:cs="宋体" w:asciiTheme="minorEastAsia" w:hAnsiTheme="minorEastAsia"/>
                <w:szCs w:val="21"/>
              </w:rPr>
            </w:pPr>
            <w:r>
              <w:rPr>
                <w:rFonts w:hint="eastAsia" w:cs="宋体" w:asciiTheme="minorEastAsia" w:hAnsiTheme="minorEastAsia"/>
                <w:szCs w:val="21"/>
              </w:rPr>
              <w:t>30</w:t>
            </w:r>
          </w:p>
        </w:tc>
        <w:tc>
          <w:tcPr>
            <w:tcW w:w="481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D6D34D6">
            <w:pPr>
              <w:rPr>
                <w:rFonts w:asciiTheme="minorEastAsia" w:hAnsiTheme="minorEastAsia"/>
                <w:color w:val="auto"/>
                <w:szCs w:val="21"/>
              </w:rPr>
            </w:pPr>
            <w:r>
              <w:rPr>
                <w:rFonts w:hint="eastAsia" w:asciiTheme="minorEastAsia" w:hAnsiTheme="minorEastAsia"/>
                <w:b/>
                <w:color w:val="auto"/>
                <w:szCs w:val="21"/>
              </w:rPr>
              <w:t>（一）评分内容：</w:t>
            </w:r>
          </w:p>
          <w:p w14:paraId="092F4D99">
            <w:pPr>
              <w:snapToGrid w:val="0"/>
              <w:spacing w:line="240" w:lineRule="auto"/>
              <w:jc w:val="left"/>
              <w:rPr>
                <w:rFonts w:ascii="宋体" w:hAnsi="宋体" w:eastAsia="宋体" w:cs="宋体"/>
                <w:color w:val="auto"/>
                <w:szCs w:val="21"/>
              </w:rPr>
            </w:pPr>
            <w:r>
              <w:rPr>
                <w:rFonts w:hint="eastAsia" w:ascii="宋体" w:hAnsi="宋体" w:eastAsia="宋体" w:cs="宋体"/>
                <w:color w:val="auto"/>
                <w:szCs w:val="21"/>
              </w:rPr>
              <w:t>投标人至少需配备投标人至少需配备技术负责人、质量负责人、安全负责人、安全员、质量员、施工员、资料员、材料员、劳资专管员、造价员各一名，否则本项不得分。在此基础上，按以下标准评审：</w:t>
            </w:r>
          </w:p>
          <w:p w14:paraId="26D454D0">
            <w:pPr>
              <w:numPr>
                <w:ilvl w:val="0"/>
                <w:numId w:val="1"/>
              </w:numPr>
              <w:snapToGrid w:val="0"/>
              <w:spacing w:line="240" w:lineRule="auto"/>
              <w:jc w:val="left"/>
              <w:rPr>
                <w:rFonts w:ascii="宋体" w:hAnsi="宋体" w:eastAsia="宋体" w:cs="宋体"/>
                <w:color w:val="auto"/>
                <w:szCs w:val="21"/>
              </w:rPr>
            </w:pPr>
            <w:r>
              <w:rPr>
                <w:rFonts w:hint="eastAsia" w:ascii="宋体" w:hAnsi="宋体" w:eastAsia="宋体" w:cs="宋体"/>
                <w:color w:val="auto"/>
                <w:szCs w:val="21"/>
              </w:rPr>
              <w:t>技术负责人：提供建筑</w:t>
            </w:r>
            <w:r>
              <w:rPr>
                <w:rFonts w:hint="eastAsia" w:ascii="宋体" w:hAnsi="宋体" w:eastAsia="宋体" w:cs="宋体"/>
                <w:color w:val="auto"/>
                <w:szCs w:val="21"/>
                <w:lang w:eastAsia="zh-CN"/>
              </w:rPr>
              <w:t>类</w:t>
            </w:r>
            <w:r>
              <w:rPr>
                <w:rFonts w:hint="eastAsia" w:ascii="宋体" w:hAnsi="宋体" w:eastAsia="宋体" w:cs="宋体"/>
                <w:color w:val="auto"/>
                <w:szCs w:val="21"/>
              </w:rPr>
              <w:t>工程师</w:t>
            </w:r>
            <w:r>
              <w:rPr>
                <w:rFonts w:hint="eastAsia" w:ascii="宋体" w:hAnsi="宋体" w:eastAsia="宋体" w:cs="宋体"/>
                <w:color w:val="auto"/>
                <w:szCs w:val="21"/>
                <w:lang w:eastAsia="zh-CN"/>
              </w:rPr>
              <w:t>中</w:t>
            </w:r>
            <w:r>
              <w:rPr>
                <w:rFonts w:hint="eastAsia" w:ascii="宋体" w:hAnsi="宋体" w:eastAsia="宋体" w:cs="宋体"/>
                <w:color w:val="auto"/>
                <w:szCs w:val="21"/>
              </w:rPr>
              <w:t>级或以上资格证得10%分；</w:t>
            </w:r>
          </w:p>
          <w:p w14:paraId="33B324B5">
            <w:pPr>
              <w:snapToGrid w:val="0"/>
              <w:spacing w:line="240" w:lineRule="auto"/>
              <w:jc w:val="left"/>
              <w:rPr>
                <w:rFonts w:ascii="宋体" w:hAnsi="宋体" w:cs="宋体"/>
                <w:color w:val="auto"/>
                <w:szCs w:val="21"/>
              </w:rPr>
            </w:pPr>
            <w:r>
              <w:rPr>
                <w:rFonts w:hint="eastAsia" w:ascii="宋体" w:hAnsi="宋体" w:eastAsia="宋体" w:cs="宋体"/>
                <w:color w:val="auto"/>
                <w:szCs w:val="21"/>
              </w:rPr>
              <w:t>2、质量负责人：同时提供</w:t>
            </w:r>
            <w:r>
              <w:rPr>
                <w:rFonts w:hint="eastAsia"/>
                <w:color w:val="auto"/>
                <w:szCs w:val="21"/>
              </w:rPr>
              <w:t>大专或以上学历、</w:t>
            </w:r>
            <w:r>
              <w:rPr>
                <w:rFonts w:hint="eastAsia" w:ascii="宋体" w:hAnsi="宋体" w:eastAsia="宋体" w:cs="宋体"/>
                <w:color w:val="auto"/>
                <w:szCs w:val="21"/>
              </w:rPr>
              <w:t>建筑</w:t>
            </w:r>
            <w:r>
              <w:rPr>
                <w:rFonts w:hint="eastAsia" w:ascii="宋体" w:hAnsi="宋体" w:eastAsia="宋体" w:cs="宋体"/>
                <w:color w:val="auto"/>
                <w:szCs w:val="21"/>
                <w:lang w:eastAsia="zh-CN"/>
              </w:rPr>
              <w:t>类</w:t>
            </w:r>
            <w:r>
              <w:rPr>
                <w:rFonts w:hint="eastAsia" w:ascii="宋体" w:hAnsi="宋体" w:eastAsia="宋体" w:cs="宋体"/>
                <w:color w:val="auto"/>
                <w:szCs w:val="21"/>
              </w:rPr>
              <w:t>工程师中级或以上资格证</w:t>
            </w:r>
            <w:r>
              <w:rPr>
                <w:rFonts w:hint="eastAsia"/>
                <w:color w:val="auto"/>
                <w:szCs w:val="21"/>
              </w:rPr>
              <w:t>的，得10%分；</w:t>
            </w:r>
          </w:p>
          <w:p w14:paraId="75B83549">
            <w:pPr>
              <w:snapToGrid w:val="0"/>
              <w:spacing w:line="240" w:lineRule="auto"/>
              <w:jc w:val="left"/>
              <w:rPr>
                <w:rFonts w:ascii="宋体" w:hAnsi="宋体" w:eastAsia="宋体" w:cs="宋体"/>
                <w:color w:val="auto"/>
                <w:szCs w:val="21"/>
              </w:rPr>
            </w:pPr>
            <w:r>
              <w:rPr>
                <w:rFonts w:hint="eastAsia" w:ascii="宋体" w:hAnsi="宋体" w:eastAsia="宋体" w:cs="宋体"/>
                <w:color w:val="auto"/>
                <w:szCs w:val="21"/>
              </w:rPr>
              <w:t>3、安全负责人：同时提供</w:t>
            </w:r>
            <w:r>
              <w:rPr>
                <w:rFonts w:hint="eastAsia"/>
                <w:color w:val="auto"/>
                <w:szCs w:val="21"/>
              </w:rPr>
              <w:t>大专或以上学历、</w:t>
            </w:r>
            <w:r>
              <w:rPr>
                <w:rFonts w:hint="eastAsia" w:ascii="宋体" w:hAnsi="宋体" w:eastAsia="宋体" w:cs="宋体"/>
                <w:color w:val="auto"/>
                <w:szCs w:val="21"/>
              </w:rPr>
              <w:t>建筑</w:t>
            </w:r>
            <w:r>
              <w:rPr>
                <w:rFonts w:hint="eastAsia" w:ascii="宋体" w:hAnsi="宋体" w:eastAsia="宋体" w:cs="宋体"/>
                <w:color w:val="auto"/>
                <w:szCs w:val="21"/>
                <w:lang w:eastAsia="zh-CN"/>
              </w:rPr>
              <w:t>类</w:t>
            </w:r>
            <w:r>
              <w:rPr>
                <w:rFonts w:hint="eastAsia" w:ascii="宋体" w:hAnsi="宋体" w:eastAsia="宋体" w:cs="宋体"/>
                <w:color w:val="auto"/>
                <w:szCs w:val="21"/>
              </w:rPr>
              <w:t>工程师初级或以上资格证、安全生产考核合格证C证（含）以上）得10%分；</w:t>
            </w:r>
          </w:p>
          <w:p w14:paraId="1A2D096A">
            <w:pPr>
              <w:snapToGrid w:val="0"/>
              <w:spacing w:line="240" w:lineRule="auto"/>
              <w:jc w:val="left"/>
              <w:rPr>
                <w:rFonts w:ascii="宋体" w:hAnsi="宋体" w:eastAsia="宋体" w:cs="宋体"/>
                <w:color w:val="auto"/>
                <w:szCs w:val="21"/>
              </w:rPr>
            </w:pPr>
            <w:r>
              <w:rPr>
                <w:rFonts w:hint="eastAsia" w:ascii="宋体" w:hAnsi="宋体" w:eastAsia="宋体" w:cs="宋体"/>
                <w:color w:val="auto"/>
                <w:szCs w:val="21"/>
              </w:rPr>
              <w:t>4、安全员：提供安全生产考核合格证C证（含）以上）得10%分；</w:t>
            </w:r>
          </w:p>
          <w:p w14:paraId="0156909A">
            <w:pPr>
              <w:pStyle w:val="9"/>
              <w:spacing w:line="240" w:lineRule="auto"/>
              <w:rPr>
                <w:rFonts w:ascii="宋体" w:hAnsi="宋体" w:eastAsia="宋体" w:cs="宋体"/>
                <w:b w:val="0"/>
                <w:bCs w:val="0"/>
                <w:color w:val="auto"/>
                <w:sz w:val="21"/>
                <w:szCs w:val="21"/>
              </w:rPr>
            </w:pPr>
            <w:r>
              <w:rPr>
                <w:rFonts w:hint="eastAsia" w:ascii="宋体" w:hAnsi="宋体" w:eastAsia="宋体" w:cs="宋体"/>
                <w:b w:val="0"/>
                <w:bCs w:val="0"/>
                <w:color w:val="auto"/>
                <w:sz w:val="21"/>
                <w:szCs w:val="21"/>
              </w:rPr>
              <w:t>5、质量员：提供质量员资格证书得10%分；</w:t>
            </w:r>
          </w:p>
          <w:p w14:paraId="61258DA1">
            <w:pPr>
              <w:pStyle w:val="9"/>
              <w:spacing w:line="240" w:lineRule="auto"/>
              <w:rPr>
                <w:rFonts w:ascii="宋体" w:hAnsi="宋体" w:eastAsia="宋体" w:cs="宋体"/>
                <w:b w:val="0"/>
                <w:bCs w:val="0"/>
                <w:color w:val="auto"/>
                <w:sz w:val="21"/>
                <w:szCs w:val="21"/>
              </w:rPr>
            </w:pPr>
            <w:r>
              <w:rPr>
                <w:rFonts w:hint="eastAsia" w:ascii="宋体" w:hAnsi="宋体" w:eastAsia="宋体" w:cs="宋体"/>
                <w:b w:val="0"/>
                <w:bCs w:val="0"/>
                <w:color w:val="auto"/>
                <w:sz w:val="21"/>
                <w:szCs w:val="21"/>
              </w:rPr>
              <w:t>6、施工员：提供施工员资格证书得10%分；</w:t>
            </w:r>
          </w:p>
          <w:p w14:paraId="7DD95D69">
            <w:pPr>
              <w:pStyle w:val="9"/>
              <w:spacing w:line="240" w:lineRule="auto"/>
              <w:rPr>
                <w:rFonts w:ascii="宋体" w:hAnsi="宋体" w:eastAsia="宋体" w:cs="宋体"/>
                <w:b w:val="0"/>
                <w:bCs w:val="0"/>
                <w:color w:val="auto"/>
                <w:sz w:val="21"/>
                <w:szCs w:val="21"/>
              </w:rPr>
            </w:pPr>
            <w:r>
              <w:rPr>
                <w:rFonts w:hint="eastAsia" w:ascii="宋体" w:hAnsi="宋体" w:eastAsia="宋体" w:cs="宋体"/>
                <w:b w:val="0"/>
                <w:bCs w:val="0"/>
                <w:color w:val="auto"/>
                <w:sz w:val="21"/>
                <w:szCs w:val="21"/>
              </w:rPr>
              <w:t>7、资料员：提供资料员资格证书得10%分；</w:t>
            </w:r>
          </w:p>
          <w:p w14:paraId="49E9A6C7">
            <w:pPr>
              <w:pStyle w:val="9"/>
              <w:spacing w:line="240" w:lineRule="auto"/>
              <w:rPr>
                <w:rFonts w:ascii="宋体" w:hAnsi="宋体" w:eastAsia="宋体" w:cs="宋体"/>
                <w:b w:val="0"/>
                <w:bCs w:val="0"/>
                <w:color w:val="auto"/>
                <w:sz w:val="21"/>
                <w:szCs w:val="21"/>
              </w:rPr>
            </w:pPr>
            <w:r>
              <w:rPr>
                <w:rFonts w:hint="eastAsia" w:ascii="宋体" w:hAnsi="宋体" w:eastAsia="宋体" w:cs="宋体"/>
                <w:b w:val="0"/>
                <w:bCs w:val="0"/>
                <w:color w:val="auto"/>
                <w:sz w:val="21"/>
                <w:szCs w:val="21"/>
              </w:rPr>
              <w:t>8、材料员：提供材料员资格证书得10%分；</w:t>
            </w:r>
          </w:p>
          <w:p w14:paraId="5AC38B9F">
            <w:pPr>
              <w:pStyle w:val="9"/>
              <w:spacing w:line="240" w:lineRule="auto"/>
              <w:rPr>
                <w:rFonts w:ascii="宋体" w:hAnsi="宋体" w:eastAsia="宋体" w:cs="宋体"/>
                <w:b w:val="0"/>
                <w:bCs w:val="0"/>
                <w:color w:val="auto"/>
                <w:sz w:val="21"/>
                <w:szCs w:val="21"/>
              </w:rPr>
            </w:pPr>
            <w:r>
              <w:rPr>
                <w:rFonts w:hint="eastAsia" w:ascii="宋体" w:hAnsi="宋体" w:eastAsia="宋体" w:cs="宋体"/>
                <w:b w:val="0"/>
                <w:bCs w:val="0"/>
                <w:color w:val="auto"/>
                <w:sz w:val="21"/>
                <w:szCs w:val="21"/>
              </w:rPr>
              <w:t>9、劳资专管员：提供劳资专管员资格证书或劳务员资格证书得10%分；</w:t>
            </w:r>
          </w:p>
          <w:p w14:paraId="457B76C0">
            <w:pPr>
              <w:pStyle w:val="9"/>
              <w:spacing w:line="240" w:lineRule="auto"/>
              <w:rPr>
                <w:rFonts w:ascii="宋体" w:hAnsi="宋体" w:eastAsia="宋体" w:cs="宋体"/>
                <w:b w:val="0"/>
                <w:bCs w:val="0"/>
                <w:color w:val="auto"/>
                <w:sz w:val="21"/>
                <w:szCs w:val="21"/>
              </w:rPr>
            </w:pPr>
            <w:r>
              <w:rPr>
                <w:rFonts w:hint="eastAsia" w:ascii="宋体" w:hAnsi="宋体" w:eastAsia="宋体" w:cs="宋体"/>
                <w:b w:val="0"/>
                <w:bCs w:val="0"/>
                <w:color w:val="auto"/>
                <w:sz w:val="21"/>
                <w:szCs w:val="21"/>
              </w:rPr>
              <w:t>10、造价员：提供二级或以上造价师注册证书得10%分；</w:t>
            </w:r>
          </w:p>
          <w:p w14:paraId="289EC261">
            <w:pPr>
              <w:snapToGrid w:val="0"/>
              <w:spacing w:line="240" w:lineRule="auto"/>
              <w:jc w:val="left"/>
              <w:rPr>
                <w:rFonts w:ascii="宋体" w:hAnsi="宋体" w:eastAsia="宋体" w:cs="宋体"/>
                <w:color w:val="auto"/>
                <w:szCs w:val="21"/>
              </w:rPr>
            </w:pPr>
            <w:r>
              <w:rPr>
                <w:rFonts w:hint="eastAsia" w:ascii="宋体" w:hAnsi="宋体" w:eastAsia="宋体" w:cs="宋体"/>
                <w:color w:val="auto"/>
                <w:szCs w:val="21"/>
              </w:rPr>
              <w:t>提供上述人员相关资格证书扫描件，同一岗位不可重复计分，同一人符合多个岗位按一项计，满分100%分。</w:t>
            </w:r>
          </w:p>
          <w:p w14:paraId="4A0EA2AB">
            <w:pPr>
              <w:rPr>
                <w:rFonts w:asciiTheme="minorEastAsia" w:hAnsiTheme="minorEastAsia"/>
                <w:b/>
                <w:color w:val="auto"/>
                <w:szCs w:val="21"/>
              </w:rPr>
            </w:pPr>
            <w:r>
              <w:rPr>
                <w:rFonts w:hint="eastAsia" w:asciiTheme="minorEastAsia" w:hAnsiTheme="minorEastAsia"/>
                <w:b/>
                <w:color w:val="auto"/>
                <w:szCs w:val="21"/>
              </w:rPr>
              <w:t>（二）评分依据：</w:t>
            </w:r>
          </w:p>
          <w:p w14:paraId="2F62DBC9">
            <w:pPr>
              <w:wordWrap/>
              <w:jc w:val="left"/>
              <w:rPr>
                <w:rFonts w:hint="eastAsia" w:asciiTheme="minorEastAsia" w:hAnsiTheme="minorEastAsia" w:eastAsiaTheme="minorEastAsia" w:cstheme="minorEastAsia"/>
                <w:color w:val="auto"/>
                <w:szCs w:val="21"/>
              </w:rPr>
            </w:pPr>
            <w:r>
              <w:rPr>
                <w:rFonts w:hint="eastAsia" w:asciiTheme="minorEastAsia" w:hAnsiTheme="minorEastAsia"/>
                <w:color w:val="auto"/>
                <w:szCs w:val="21"/>
                <w:lang w:val="en-US" w:eastAsia="zh-CN"/>
              </w:rPr>
              <w:t>1.</w:t>
            </w:r>
            <w:r>
              <w:rPr>
                <w:rFonts w:hint="eastAsia" w:asciiTheme="minorEastAsia" w:hAnsiTheme="minorEastAsia"/>
                <w:color w:val="auto"/>
                <w:szCs w:val="21"/>
              </w:rPr>
              <w:t>项目团队成员必须为响应供应商自有员工，</w:t>
            </w:r>
            <w:r>
              <w:rPr>
                <w:rFonts w:hint="eastAsia" w:asciiTheme="minorEastAsia" w:hAnsiTheme="minorEastAsia" w:eastAsiaTheme="minorEastAsia" w:cstheme="minorEastAsia"/>
                <w:color w:val="auto"/>
                <w:szCs w:val="21"/>
              </w:rPr>
              <w:t>要求提供</w:t>
            </w:r>
            <w:r>
              <w:rPr>
                <w:rFonts w:hint="eastAsia" w:asciiTheme="minorEastAsia" w:hAnsiTheme="minorEastAsia"/>
                <w:color w:val="auto"/>
                <w:szCs w:val="21"/>
              </w:rPr>
              <w:t>开标日前由响应供应商为其缴交的载有社保部门公章的近三个月（2024.4-2024.6）社保缴交证明材料（已退休返聘人员需提供聘用合同），如开标日上一个月的社保材料因社保部门原因暂时无法取得，则可以往前顺延一个月；社保资料必须至少显示缴交养老保险信息，未显示该信息的该社保资料则不符合要求，原件备查。</w:t>
            </w:r>
            <w:r>
              <w:rPr>
                <w:rFonts w:hint="eastAsia" w:asciiTheme="minorEastAsia" w:hAnsiTheme="minorEastAsia" w:cstheme="minorEastAsia"/>
                <w:color w:val="auto"/>
                <w:szCs w:val="21"/>
              </w:rPr>
              <w:t>若供应商成立不足三个月的，需提供成立情况说明函（格式自拟），无需提供相关人员社保，亦可得分。</w:t>
            </w:r>
          </w:p>
          <w:p w14:paraId="6946D925">
            <w:pPr>
              <w:rPr>
                <w:rFonts w:hint="eastAsia" w:asciiTheme="minorEastAsia" w:hAnsiTheme="minorEastAsia" w:eastAsiaTheme="minorEastAsia" w:cstheme="minorEastAsia"/>
                <w:color w:val="auto"/>
                <w:szCs w:val="21"/>
                <w:lang w:eastAsia="zh-CN"/>
              </w:rPr>
            </w:pPr>
            <w:r>
              <w:rPr>
                <w:rFonts w:hint="eastAsia" w:asciiTheme="minorEastAsia" w:hAnsiTheme="minorEastAsia"/>
                <w:color w:val="auto"/>
                <w:szCs w:val="21"/>
                <w:lang w:val="en-US" w:eastAsia="zh-CN"/>
              </w:rPr>
              <w:t>2.</w:t>
            </w:r>
            <w:r>
              <w:rPr>
                <w:rFonts w:hint="eastAsia" w:asciiTheme="minorEastAsia" w:hAnsiTheme="minorEastAsia"/>
                <w:color w:val="auto"/>
                <w:szCs w:val="21"/>
              </w:rPr>
              <w:t>提供相关人员上述有效证书扫描件</w:t>
            </w:r>
            <w:r>
              <w:rPr>
                <w:rFonts w:hint="eastAsia" w:asciiTheme="minorEastAsia" w:hAnsiTheme="minorEastAsia"/>
                <w:color w:val="auto"/>
                <w:szCs w:val="21"/>
                <w:lang w:eastAsia="zh-CN"/>
              </w:rPr>
              <w:t>，原件备查。</w:t>
            </w:r>
          </w:p>
          <w:p w14:paraId="6B1B8187">
            <w:pPr>
              <w:rPr>
                <w:rFonts w:hint="eastAsia" w:asciiTheme="minorEastAsia" w:hAnsiTheme="minorEastAsia" w:cstheme="minorEastAsia"/>
                <w:color w:val="auto"/>
                <w:szCs w:val="21"/>
                <w:lang w:val="en-US" w:eastAsia="zh-CN"/>
              </w:rPr>
            </w:pPr>
            <w:r>
              <w:rPr>
                <w:rFonts w:hint="eastAsia" w:asciiTheme="minorEastAsia" w:hAnsiTheme="minorEastAsia" w:cstheme="minorEastAsia"/>
                <w:color w:val="auto"/>
                <w:szCs w:val="21"/>
                <w:lang w:val="en-US" w:eastAsia="zh-CN"/>
              </w:rPr>
              <w:t>3.学历证明文件需提供学历证书扫描件及学信网查询记录截图。对于较早颁发的学历学位证书或海外留学人员学历，学信网无法查询的，除要求提供证书扫描件外，可提供其他佐证材料，如毕业院校、人力资源和社会保障部门等颁发机构或监管机构等单位出具的证明、教育部留学服务中心出具的学历学位认证证书及教育部留学服务中心官网查询截图等。证明材料均提供扫描件、原件备查。</w:t>
            </w:r>
          </w:p>
          <w:p w14:paraId="518E6687">
            <w:pPr>
              <w:rPr>
                <w:rFonts w:asciiTheme="minorEastAsia" w:hAnsiTheme="minorEastAsia"/>
                <w:szCs w:val="21"/>
              </w:rPr>
            </w:pPr>
            <w:r>
              <w:rPr>
                <w:rFonts w:hint="eastAsia" w:asciiTheme="minorEastAsia" w:hAnsiTheme="minorEastAsia" w:cstheme="minorEastAsia"/>
                <w:color w:val="auto"/>
                <w:szCs w:val="21"/>
                <w:lang w:val="en-US" w:eastAsia="zh-CN"/>
              </w:rPr>
              <w:t>3.</w:t>
            </w:r>
            <w:r>
              <w:rPr>
                <w:rFonts w:hint="eastAsia" w:asciiTheme="minorEastAsia" w:hAnsiTheme="minorEastAsia"/>
                <w:color w:val="auto"/>
                <w:szCs w:val="21"/>
              </w:rPr>
              <w:t>未提供或未按要求提供或提供不清晰导致专家无法判断的均不得分。</w:t>
            </w:r>
          </w:p>
        </w:tc>
      </w:tr>
      <w:tr w14:paraId="1BFC25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700"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14:paraId="55612098">
            <w:pPr>
              <w:snapToGrid w:val="0"/>
              <w:spacing w:line="360" w:lineRule="auto"/>
              <w:jc w:val="center"/>
              <w:rPr>
                <w:rFonts w:asciiTheme="minorEastAsia" w:hAnsiTheme="minorEastAsia" w:cstheme="minorEastAsia"/>
                <w:b/>
                <w:bCs/>
                <w:szCs w:val="21"/>
              </w:rPr>
            </w:pPr>
            <w:r>
              <w:rPr>
                <w:rFonts w:hint="eastAsia" w:asciiTheme="minorEastAsia" w:hAnsiTheme="minorEastAsia" w:cstheme="minorEastAsia"/>
                <w:b/>
                <w:bCs/>
                <w:szCs w:val="21"/>
              </w:rPr>
              <w:t>4</w:t>
            </w:r>
          </w:p>
        </w:tc>
        <w:tc>
          <w:tcPr>
            <w:tcW w:w="3553"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730F4801">
            <w:pPr>
              <w:snapToGrid w:val="0"/>
              <w:spacing w:line="360" w:lineRule="auto"/>
              <w:jc w:val="center"/>
              <w:rPr>
                <w:rFonts w:asciiTheme="minorEastAsia" w:hAnsiTheme="minorEastAsia" w:cstheme="minorEastAsia"/>
                <w:b/>
                <w:bCs/>
                <w:szCs w:val="21"/>
              </w:rPr>
            </w:pPr>
            <w:r>
              <w:rPr>
                <w:rFonts w:hint="eastAsia" w:asciiTheme="minorEastAsia" w:hAnsiTheme="minorEastAsia" w:cstheme="minorEastAsia"/>
                <w:b/>
                <w:bCs/>
                <w:szCs w:val="21"/>
              </w:rPr>
              <w:t>其他部分</w:t>
            </w:r>
          </w:p>
        </w:tc>
        <w:tc>
          <w:tcPr>
            <w:tcW w:w="4819"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1CF745FF">
            <w:pPr>
              <w:snapToGrid w:val="0"/>
              <w:spacing w:line="360" w:lineRule="auto"/>
              <w:jc w:val="center"/>
              <w:rPr>
                <w:rFonts w:asciiTheme="minorEastAsia" w:hAnsiTheme="minorEastAsia" w:cstheme="minorEastAsia"/>
                <w:b/>
                <w:bCs/>
                <w:szCs w:val="21"/>
              </w:rPr>
            </w:pPr>
            <w:r>
              <w:rPr>
                <w:rFonts w:hint="eastAsia" w:asciiTheme="minorEastAsia" w:hAnsiTheme="minorEastAsia" w:cstheme="minorEastAsia"/>
                <w:b/>
                <w:bCs/>
                <w:szCs w:val="21"/>
              </w:rPr>
              <w:t>5</w:t>
            </w:r>
          </w:p>
        </w:tc>
      </w:tr>
      <w:tr w14:paraId="0724F1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FF28A86">
            <w:pPr>
              <w:snapToGrid w:val="0"/>
              <w:spacing w:line="360" w:lineRule="auto"/>
              <w:rPr>
                <w:rFonts w:asciiTheme="minorEastAsia" w:hAnsiTheme="minorEastAsia" w:cstheme="minorEastAsia"/>
                <w:b/>
                <w:bCs/>
                <w:szCs w:val="21"/>
              </w:rPr>
            </w:pPr>
          </w:p>
        </w:tc>
        <w:tc>
          <w:tcPr>
            <w:tcW w:w="660"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41E0358A">
            <w:pPr>
              <w:snapToGrid w:val="0"/>
              <w:spacing w:line="360" w:lineRule="auto"/>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1793"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7807C626">
            <w:pPr>
              <w:snapToGrid w:val="0"/>
              <w:spacing w:line="360" w:lineRule="auto"/>
              <w:jc w:val="center"/>
              <w:rPr>
                <w:rFonts w:asciiTheme="minorEastAsia" w:hAnsiTheme="minorEastAsia" w:cstheme="minorEastAsia"/>
                <w:szCs w:val="21"/>
              </w:rPr>
            </w:pPr>
            <w:r>
              <w:rPr>
                <w:rFonts w:hint="eastAsia" w:asciiTheme="minorEastAsia" w:hAnsiTheme="minorEastAsia" w:cstheme="minorEastAsia"/>
                <w:szCs w:val="21"/>
              </w:rPr>
              <w:t>评分因素</w:t>
            </w:r>
          </w:p>
        </w:tc>
        <w:tc>
          <w:tcPr>
            <w:tcW w:w="1100"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40194619">
            <w:pPr>
              <w:snapToGrid w:val="0"/>
              <w:spacing w:line="360" w:lineRule="auto"/>
              <w:jc w:val="center"/>
              <w:rPr>
                <w:rFonts w:asciiTheme="minorEastAsia" w:hAnsiTheme="minorEastAsia" w:cstheme="minorEastAsia"/>
                <w:szCs w:val="21"/>
              </w:rPr>
            </w:pPr>
            <w:r>
              <w:rPr>
                <w:rFonts w:hint="eastAsia" w:asciiTheme="minorEastAsia" w:hAnsiTheme="minorEastAsia" w:cstheme="minorEastAsia"/>
                <w:szCs w:val="21"/>
              </w:rPr>
              <w:t>权重</w:t>
            </w:r>
            <w:r>
              <w:rPr>
                <w:rFonts w:hint="eastAsia" w:asciiTheme="minorEastAsia" w:hAnsiTheme="minorEastAsia" w:cstheme="minorEastAsia"/>
                <w:bCs/>
                <w:szCs w:val="21"/>
              </w:rPr>
              <w:t>（%）</w:t>
            </w:r>
          </w:p>
        </w:tc>
        <w:tc>
          <w:tcPr>
            <w:tcW w:w="481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1A13DDD8">
            <w:pPr>
              <w:snapToGrid w:val="0"/>
              <w:spacing w:line="360" w:lineRule="auto"/>
              <w:jc w:val="center"/>
              <w:rPr>
                <w:rFonts w:asciiTheme="minorEastAsia" w:hAnsiTheme="minorEastAsia" w:cstheme="minorEastAsia"/>
                <w:szCs w:val="21"/>
              </w:rPr>
            </w:pPr>
            <w:r>
              <w:rPr>
                <w:rFonts w:hint="eastAsia" w:asciiTheme="minorEastAsia" w:hAnsiTheme="minorEastAsia" w:cstheme="minorEastAsia"/>
                <w:szCs w:val="21"/>
              </w:rPr>
              <w:t>评分准则</w:t>
            </w:r>
          </w:p>
        </w:tc>
      </w:tr>
      <w:tr w14:paraId="07A387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700"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6571BA0">
            <w:pPr>
              <w:snapToGrid w:val="0"/>
              <w:spacing w:line="360" w:lineRule="auto"/>
              <w:rPr>
                <w:rFonts w:asciiTheme="minorEastAsia" w:hAnsiTheme="minorEastAsia" w:cstheme="minorEastAsia"/>
                <w:b/>
                <w:bCs/>
                <w:szCs w:val="21"/>
              </w:rPr>
            </w:pPr>
          </w:p>
        </w:tc>
        <w:tc>
          <w:tcPr>
            <w:tcW w:w="66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502A198">
            <w:pPr>
              <w:snapToGrid w:val="0"/>
              <w:spacing w:line="360" w:lineRule="auto"/>
              <w:jc w:val="center"/>
              <w:rPr>
                <w:rFonts w:asciiTheme="minorEastAsia" w:hAnsiTheme="minorEastAsia" w:cstheme="minorEastAsia"/>
                <w:szCs w:val="21"/>
              </w:rPr>
            </w:pPr>
            <w:r>
              <w:rPr>
                <w:rFonts w:hint="eastAsia" w:asciiTheme="minorEastAsia" w:hAnsiTheme="minorEastAsia" w:cstheme="minorEastAsia"/>
                <w:szCs w:val="21"/>
              </w:rPr>
              <w:t>1</w:t>
            </w:r>
          </w:p>
        </w:tc>
        <w:tc>
          <w:tcPr>
            <w:tcW w:w="179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5033BF6">
            <w:pPr>
              <w:spacing w:line="240" w:lineRule="exact"/>
              <w:jc w:val="center"/>
              <w:rPr>
                <w:rFonts w:cs="Times New Roman" w:asciiTheme="minorEastAsia" w:hAnsiTheme="minorEastAsia"/>
                <w:szCs w:val="21"/>
              </w:rPr>
            </w:pPr>
            <w:r>
              <w:rPr>
                <w:rFonts w:hint="eastAsia" w:cs="Times New Roman" w:asciiTheme="minorEastAsia" w:hAnsiTheme="minorEastAsia"/>
                <w:szCs w:val="21"/>
              </w:rPr>
              <w:t>诚信承诺函</w:t>
            </w:r>
          </w:p>
        </w:tc>
        <w:tc>
          <w:tcPr>
            <w:tcW w:w="110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02C4514">
            <w:pPr>
              <w:spacing w:line="240" w:lineRule="exact"/>
              <w:jc w:val="center"/>
              <w:rPr>
                <w:rFonts w:cs="宋体" w:asciiTheme="minorEastAsia" w:hAnsiTheme="minorEastAsia"/>
                <w:szCs w:val="21"/>
              </w:rPr>
            </w:pPr>
            <w:r>
              <w:rPr>
                <w:rFonts w:hint="eastAsia" w:cs="Times New Roman" w:asciiTheme="minorEastAsia" w:hAnsiTheme="minorEastAsia"/>
                <w:szCs w:val="21"/>
              </w:rPr>
              <w:t>5</w:t>
            </w:r>
          </w:p>
        </w:tc>
        <w:tc>
          <w:tcPr>
            <w:tcW w:w="481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2E67C60">
            <w:pPr>
              <w:pStyle w:val="8"/>
              <w:rPr>
                <w:rFonts w:cs="宋体" w:asciiTheme="minorEastAsia" w:hAnsiTheme="minorEastAsia"/>
                <w:szCs w:val="21"/>
              </w:rPr>
            </w:pPr>
            <w:r>
              <w:rPr>
                <w:rFonts w:hint="eastAsia" w:asciiTheme="minorEastAsia" w:hAnsiTheme="minorEastAsia" w:cstheme="minorEastAsia"/>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查询渠道：通过“信用中国”（www.creditchina.gov.cn，下载信用信息报告）、“中国政府采购网”（www.ccgp.gov.cn）以及“深圳市政府采购监管网”（http://zfcg.sz.gov.cn）查询供应商信用信息，信用信息以开标当日的查询结果为准。</w:t>
            </w:r>
            <w:r>
              <w:rPr>
                <w:rFonts w:hint="eastAsia"/>
              </w:rPr>
              <w:t>”</w:t>
            </w:r>
          </w:p>
        </w:tc>
      </w:tr>
    </w:tbl>
    <w:p w14:paraId="51DF58FD">
      <w:pPr>
        <w:spacing w:line="360" w:lineRule="auto"/>
        <w:ind w:firstLine="4176" w:firstLineChars="1300"/>
        <w:rPr>
          <w:rFonts w:hint="eastAsia" w:asciiTheme="minorEastAsia" w:hAnsiTheme="minorEastAsia" w:cstheme="minorEastAsia"/>
          <w:b/>
          <w:bCs/>
          <w:color w:val="FF0000"/>
          <w:kern w:val="44"/>
          <w:sz w:val="32"/>
          <w:szCs w:val="32"/>
        </w:rPr>
      </w:pPr>
      <w:bookmarkStart w:id="1" w:name="_Hlk73564573"/>
    </w:p>
    <w:p w14:paraId="5E6B3673">
      <w:pPr>
        <w:spacing w:line="360" w:lineRule="auto"/>
        <w:ind w:firstLine="4176" w:firstLineChars="1300"/>
        <w:rPr>
          <w:rFonts w:asciiTheme="minorEastAsia" w:hAnsiTheme="minorEastAsia" w:cstheme="minorEastAsia"/>
          <w:color w:val="FF0000"/>
          <w:sz w:val="32"/>
          <w:szCs w:val="32"/>
        </w:rPr>
      </w:pPr>
      <w:r>
        <w:rPr>
          <w:rFonts w:hint="eastAsia" w:asciiTheme="minorEastAsia" w:hAnsiTheme="minorEastAsia" w:cstheme="minorEastAsia"/>
          <w:b/>
          <w:bCs/>
          <w:color w:val="FF0000"/>
          <w:kern w:val="44"/>
          <w:sz w:val="32"/>
          <w:szCs w:val="32"/>
        </w:rPr>
        <w:t>警示条款</w:t>
      </w:r>
    </w:p>
    <w:p w14:paraId="7CBED11D">
      <w:pPr>
        <w:spacing w:line="360" w:lineRule="auto"/>
        <w:ind w:firstLine="420" w:firstLineChars="200"/>
        <w:rPr>
          <w:rFonts w:asciiTheme="minorEastAsia" w:hAnsiTheme="minorEastAsia" w:cstheme="minorEastAsia"/>
          <w:color w:val="FF0000"/>
          <w:szCs w:val="21"/>
        </w:rPr>
      </w:pPr>
      <w:r>
        <w:rPr>
          <w:rFonts w:hint="eastAsia" w:asciiTheme="minorEastAsia" w:hAnsiTheme="minorEastAsia" w:cstheme="minorEastAsia"/>
          <w:color w:val="FF0000"/>
          <w:szCs w:val="21"/>
        </w:rPr>
        <w:t>一、</w:t>
      </w:r>
      <w:r>
        <w:rPr>
          <w:rFonts w:hint="eastAsia" w:asciiTheme="minorEastAsia" w:hAnsiTheme="minorEastAsia" w:cstheme="minorEastAsia"/>
          <w:b/>
          <w:bCs/>
          <w:color w:val="FF0000"/>
          <w:szCs w:val="21"/>
        </w:rPr>
        <w:t>《深圳经济特区政府采购条例》第五十七条</w:t>
      </w:r>
      <w:r>
        <w:rPr>
          <w:rFonts w:hint="eastAsia" w:asciiTheme="minorEastAsia" w:hAnsiTheme="minorEastAsia" w:cstheme="minorEastAsia"/>
          <w:color w:val="FF0000"/>
          <w:szCs w:val="21"/>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3B2ECD4F">
      <w:pPr>
        <w:spacing w:line="360" w:lineRule="auto"/>
        <w:ind w:firstLine="420" w:firstLineChars="200"/>
        <w:rPr>
          <w:rFonts w:asciiTheme="minorEastAsia" w:hAnsiTheme="minorEastAsia" w:cstheme="minorEastAsia"/>
          <w:color w:val="FF0000"/>
          <w:szCs w:val="21"/>
        </w:rPr>
      </w:pPr>
      <w:r>
        <w:rPr>
          <w:rFonts w:hint="eastAsia" w:asciiTheme="minorEastAsia" w:hAnsiTheme="minorEastAsia" w:cstheme="minorEastAsia"/>
          <w:color w:val="FF0000"/>
          <w:szCs w:val="21"/>
        </w:rPr>
        <w:t>（一）在采购活动中应当回避而未回避的；</w:t>
      </w:r>
    </w:p>
    <w:p w14:paraId="2C67401E">
      <w:pPr>
        <w:spacing w:line="360" w:lineRule="auto"/>
        <w:ind w:firstLine="420" w:firstLineChars="200"/>
        <w:rPr>
          <w:rFonts w:asciiTheme="minorEastAsia" w:hAnsiTheme="minorEastAsia" w:cstheme="minorEastAsia"/>
          <w:color w:val="FF0000"/>
          <w:szCs w:val="21"/>
        </w:rPr>
      </w:pPr>
      <w:r>
        <w:rPr>
          <w:rFonts w:hint="eastAsia" w:asciiTheme="minorEastAsia" w:hAnsiTheme="minorEastAsia" w:cstheme="minorEastAsia"/>
          <w:color w:val="FF0000"/>
          <w:szCs w:val="21"/>
        </w:rPr>
        <w:t>（二）未按本条例规定签订、履行采购合同，造成严重后果的；</w:t>
      </w:r>
    </w:p>
    <w:p w14:paraId="4A32A265">
      <w:pPr>
        <w:spacing w:line="360" w:lineRule="auto"/>
        <w:ind w:firstLine="420" w:firstLineChars="200"/>
        <w:rPr>
          <w:rFonts w:asciiTheme="minorEastAsia" w:hAnsiTheme="minorEastAsia" w:cstheme="minorEastAsia"/>
          <w:color w:val="FF0000"/>
          <w:szCs w:val="21"/>
        </w:rPr>
      </w:pPr>
      <w:r>
        <w:rPr>
          <w:rFonts w:hint="eastAsia" w:asciiTheme="minorEastAsia" w:hAnsiTheme="minorEastAsia" w:cstheme="minorEastAsia"/>
          <w:color w:val="FF0000"/>
          <w:szCs w:val="21"/>
        </w:rPr>
        <w:t>（三）隐瞒真实情况，提供虚假资料的；</w:t>
      </w:r>
    </w:p>
    <w:p w14:paraId="22FD3308">
      <w:pPr>
        <w:spacing w:line="360" w:lineRule="auto"/>
        <w:ind w:firstLine="420" w:firstLineChars="200"/>
        <w:rPr>
          <w:rFonts w:asciiTheme="minorEastAsia" w:hAnsiTheme="minorEastAsia" w:cstheme="minorEastAsia"/>
          <w:color w:val="FF0000"/>
          <w:szCs w:val="21"/>
        </w:rPr>
      </w:pPr>
      <w:r>
        <w:rPr>
          <w:rFonts w:hint="eastAsia" w:asciiTheme="minorEastAsia" w:hAnsiTheme="minorEastAsia" w:cstheme="minorEastAsia"/>
          <w:color w:val="FF0000"/>
          <w:szCs w:val="21"/>
        </w:rPr>
        <w:t>（四）以非法手段排斥其他供应商参与竞争的；</w:t>
      </w:r>
    </w:p>
    <w:p w14:paraId="53343C17">
      <w:pPr>
        <w:spacing w:line="360" w:lineRule="auto"/>
        <w:ind w:firstLine="420" w:firstLineChars="200"/>
        <w:rPr>
          <w:rFonts w:asciiTheme="minorEastAsia" w:hAnsiTheme="minorEastAsia" w:cstheme="minorEastAsia"/>
          <w:color w:val="FF0000"/>
          <w:szCs w:val="21"/>
        </w:rPr>
      </w:pPr>
      <w:r>
        <w:rPr>
          <w:rFonts w:hint="eastAsia" w:asciiTheme="minorEastAsia" w:hAnsiTheme="minorEastAsia" w:cstheme="minorEastAsia"/>
          <w:color w:val="FF0000"/>
          <w:szCs w:val="21"/>
        </w:rPr>
        <w:t>（五）与其他采购参加人串通投标的；</w:t>
      </w:r>
    </w:p>
    <w:p w14:paraId="12A69341">
      <w:pPr>
        <w:spacing w:line="360" w:lineRule="auto"/>
        <w:ind w:firstLine="420" w:firstLineChars="200"/>
        <w:rPr>
          <w:rFonts w:asciiTheme="minorEastAsia" w:hAnsiTheme="minorEastAsia" w:cstheme="minorEastAsia"/>
          <w:color w:val="FF0000"/>
          <w:szCs w:val="21"/>
        </w:rPr>
      </w:pPr>
      <w:r>
        <w:rPr>
          <w:rFonts w:hint="eastAsia" w:asciiTheme="minorEastAsia" w:hAnsiTheme="minorEastAsia" w:cstheme="minorEastAsia"/>
          <w:color w:val="FF0000"/>
          <w:szCs w:val="21"/>
        </w:rPr>
        <w:t>（六）恶意投诉的；</w:t>
      </w:r>
    </w:p>
    <w:p w14:paraId="0ADADE68">
      <w:pPr>
        <w:spacing w:line="360" w:lineRule="auto"/>
        <w:ind w:firstLine="420" w:firstLineChars="200"/>
        <w:rPr>
          <w:rFonts w:asciiTheme="minorEastAsia" w:hAnsiTheme="minorEastAsia" w:cstheme="minorEastAsia"/>
          <w:color w:val="FF0000"/>
          <w:szCs w:val="21"/>
        </w:rPr>
      </w:pPr>
      <w:r>
        <w:rPr>
          <w:rFonts w:hint="eastAsia" w:asciiTheme="minorEastAsia" w:hAnsiTheme="minorEastAsia" w:cstheme="minorEastAsia"/>
          <w:color w:val="FF0000"/>
          <w:szCs w:val="21"/>
        </w:rPr>
        <w:t>（七）向采购项目相关人行贿或者提供其他不当利益的；</w:t>
      </w:r>
    </w:p>
    <w:p w14:paraId="5F13CBAE">
      <w:pPr>
        <w:spacing w:line="360" w:lineRule="auto"/>
        <w:ind w:firstLine="420" w:firstLineChars="200"/>
        <w:rPr>
          <w:rFonts w:asciiTheme="minorEastAsia" w:hAnsiTheme="minorEastAsia" w:cstheme="minorEastAsia"/>
          <w:color w:val="FF0000"/>
          <w:szCs w:val="21"/>
        </w:rPr>
      </w:pPr>
      <w:r>
        <w:rPr>
          <w:rFonts w:hint="eastAsia" w:asciiTheme="minorEastAsia" w:hAnsiTheme="minorEastAsia" w:cstheme="minorEastAsia"/>
          <w:color w:val="FF0000"/>
          <w:szCs w:val="21"/>
        </w:rPr>
        <w:t>（八）阻碍、抗拒主管部门监督检查的；</w:t>
      </w:r>
    </w:p>
    <w:p w14:paraId="1D51E87F">
      <w:pPr>
        <w:spacing w:line="360" w:lineRule="auto"/>
        <w:ind w:firstLine="420" w:firstLineChars="200"/>
        <w:rPr>
          <w:rFonts w:asciiTheme="minorEastAsia" w:hAnsiTheme="minorEastAsia" w:cstheme="minorEastAsia"/>
          <w:color w:val="FF0000"/>
          <w:szCs w:val="21"/>
        </w:rPr>
      </w:pPr>
      <w:r>
        <w:rPr>
          <w:rFonts w:hint="eastAsia" w:asciiTheme="minorEastAsia" w:hAnsiTheme="minorEastAsia" w:cstheme="minorEastAsia"/>
          <w:color w:val="FF0000"/>
          <w:szCs w:val="21"/>
        </w:rPr>
        <w:t>（九）其他违反本条例规定的行为。</w:t>
      </w:r>
    </w:p>
    <w:p w14:paraId="1C0632AA">
      <w:pPr>
        <w:spacing w:line="360" w:lineRule="auto"/>
        <w:ind w:firstLine="422" w:firstLineChars="200"/>
        <w:rPr>
          <w:rFonts w:asciiTheme="minorEastAsia" w:hAnsiTheme="minorEastAsia" w:cstheme="minorEastAsia"/>
          <w:color w:val="FF0000"/>
          <w:szCs w:val="21"/>
        </w:rPr>
      </w:pPr>
      <w:r>
        <w:rPr>
          <w:rFonts w:hint="eastAsia" w:asciiTheme="minorEastAsia" w:hAnsiTheme="minorEastAsia" w:cstheme="minorEastAsia"/>
          <w:b/>
          <w:bCs/>
          <w:color w:val="FF0000"/>
          <w:szCs w:val="21"/>
        </w:rPr>
        <w:t>二、《深圳经济特区政府采购条例实施细则》第七十五条</w:t>
      </w:r>
      <w:r>
        <w:rPr>
          <w:rFonts w:hint="eastAsia" w:asciiTheme="minorEastAsia" w:hAnsiTheme="minorEastAsia" w:cstheme="minorEastAsia"/>
          <w:color w:val="FF0000"/>
          <w:szCs w:val="21"/>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4381F678">
      <w:pPr>
        <w:spacing w:line="360" w:lineRule="auto"/>
        <w:ind w:firstLine="422" w:firstLineChars="200"/>
        <w:rPr>
          <w:rFonts w:asciiTheme="minorEastAsia" w:hAnsiTheme="minorEastAsia" w:cstheme="minorEastAsia"/>
          <w:color w:val="FF0000"/>
          <w:szCs w:val="21"/>
        </w:rPr>
      </w:pPr>
      <w:r>
        <w:rPr>
          <w:rFonts w:hint="eastAsia" w:asciiTheme="minorEastAsia" w:hAnsiTheme="minorEastAsia" w:cstheme="minorEastAsia"/>
          <w:b/>
          <w:bCs/>
          <w:color w:val="FF0000"/>
          <w:szCs w:val="21"/>
        </w:rPr>
        <w:t>三、《深圳经济特区政府采购条例实施细则》第七十七条</w:t>
      </w:r>
      <w:r>
        <w:rPr>
          <w:rFonts w:hint="eastAsia" w:asciiTheme="minorEastAsia" w:hAnsiTheme="minorEastAsia" w:cstheme="minorEastAsia"/>
          <w:color w:val="FF0000"/>
          <w:szCs w:val="21"/>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5F1F308A">
      <w:pPr>
        <w:spacing w:line="360" w:lineRule="auto"/>
        <w:ind w:firstLine="420" w:firstLineChars="200"/>
        <w:rPr>
          <w:rFonts w:asciiTheme="minorEastAsia" w:hAnsiTheme="minorEastAsia" w:cstheme="minorEastAsia"/>
          <w:color w:val="FF0000"/>
          <w:szCs w:val="21"/>
        </w:rPr>
      </w:pPr>
      <w:r>
        <w:rPr>
          <w:rFonts w:hint="eastAsia" w:asciiTheme="minorEastAsia" w:hAnsiTheme="minorEastAsia" w:cstheme="minorEastAsia"/>
          <w:color w:val="FF0000"/>
          <w:szCs w:val="21"/>
        </w:rPr>
        <w:t>投标供应商不能提供项目负责人或者主要技术人员的劳动合同、社会保险等劳动关系证明材料的，视为存在前款第（三）项规定的情形。</w:t>
      </w:r>
    </w:p>
    <w:bookmarkEnd w:id="1"/>
    <w:p w14:paraId="3862CE51">
      <w:pPr>
        <w:spacing w:line="360" w:lineRule="auto"/>
        <w:ind w:firstLine="422" w:firstLineChars="200"/>
        <w:rPr>
          <w:rFonts w:asciiTheme="minorEastAsia" w:hAnsiTheme="minorEastAsia" w:cstheme="minorEastAsia"/>
          <w:b/>
          <w:color w:val="FF0000"/>
          <w:szCs w:val="21"/>
        </w:rPr>
      </w:pPr>
      <w:r>
        <w:rPr>
          <w:rFonts w:hint="eastAsia" w:asciiTheme="minorEastAsia" w:hAnsiTheme="minorEastAsia" w:cstheme="minorEastAsia"/>
          <w:b/>
          <w:color w:val="FF0000"/>
          <w:szCs w:val="21"/>
        </w:rPr>
        <w:t>四、请投标供应商阅读《政府采购违法行为风险知悉确认书》（内容详见“投标文件附件”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6352FACA">
      <w:pPr>
        <w:spacing w:line="360" w:lineRule="auto"/>
        <w:ind w:firstLine="420" w:firstLineChars="200"/>
        <w:rPr>
          <w:rFonts w:asciiTheme="minorEastAsia" w:hAnsiTheme="minorEastAsia" w:cstheme="minorEastAsia"/>
          <w:bCs/>
          <w:color w:val="FF0000"/>
          <w:szCs w:val="21"/>
        </w:rPr>
      </w:pPr>
      <w:r>
        <w:rPr>
          <w:rFonts w:hint="eastAsia" w:asciiTheme="minorEastAsia" w:hAnsiTheme="minorEastAsia" w:cstheme="minorEastAsia"/>
          <w:bCs/>
          <w:color w:val="FF0000"/>
          <w:szCs w:val="21"/>
        </w:rPr>
        <w:t>五、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6C1AA39C">
      <w:pPr>
        <w:spacing w:line="360" w:lineRule="auto"/>
        <w:ind w:firstLine="420" w:firstLineChars="200"/>
        <w:rPr>
          <w:rFonts w:asciiTheme="minorEastAsia" w:hAnsiTheme="minorEastAsia" w:cstheme="minorEastAsia"/>
          <w:bCs/>
          <w:color w:val="FF0000"/>
          <w:szCs w:val="21"/>
        </w:rPr>
      </w:pPr>
      <w:r>
        <w:rPr>
          <w:rFonts w:hint="eastAsia" w:asciiTheme="minorEastAsia" w:hAnsiTheme="minorEastAsia" w:cstheme="minorEastAsia"/>
          <w:bCs/>
          <w:color w:val="FF0000"/>
          <w:szCs w:val="21"/>
        </w:rPr>
        <w:t>为避免出现不同供应商投标文件的文件制作机器码、文件创建标识码、IP地址一致的异常情况，建议各供应商编制、上传投标文件时不要使用公共电脑设备或公共网络。</w:t>
      </w:r>
    </w:p>
    <w:p w14:paraId="659EB255">
      <w:pPr>
        <w:spacing w:line="360" w:lineRule="auto"/>
        <w:ind w:firstLine="420" w:firstLineChars="200"/>
        <w:rPr>
          <w:rFonts w:asciiTheme="minorEastAsia" w:hAnsiTheme="minorEastAsia" w:cstheme="minorEastAsia"/>
          <w:bCs/>
          <w:color w:val="FF0000"/>
          <w:szCs w:val="21"/>
        </w:rPr>
      </w:pPr>
      <w:r>
        <w:rPr>
          <w:rFonts w:hint="eastAsia" w:asciiTheme="minorEastAsia" w:hAnsiTheme="minorEastAsia" w:cstheme="minorEastAsia"/>
          <w:bCs/>
          <w:color w:val="FF0000"/>
          <w:szCs w:val="21"/>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Theme="minorEastAsia" w:hAnsiTheme="minorEastAsia" w:cstheme="minorEastAsia"/>
          <w:color w:val="FF0000"/>
          <w:szCs w:val="21"/>
        </w:rPr>
        <w:t>取消参与本市政府采购资格、依法吊销其营业执照等行政处罚，构成犯罪的，依法追究刑事责任</w:t>
      </w:r>
      <w:r>
        <w:rPr>
          <w:rFonts w:hint="eastAsia" w:asciiTheme="minorEastAsia" w:hAnsiTheme="minorEastAsia" w:cstheme="minorEastAsia"/>
          <w:bCs/>
          <w:color w:val="FF0000"/>
          <w:szCs w:val="21"/>
        </w:rPr>
        <w:t>，请各供应商独立编制、上传投标文件，妥善保管和使用电子秘钥。</w:t>
      </w:r>
    </w:p>
    <w:p w14:paraId="5CEF0803">
      <w:pPr>
        <w:snapToGrid w:val="0"/>
        <w:spacing w:line="360" w:lineRule="auto"/>
        <w:jc w:val="left"/>
        <w:rPr>
          <w:rFonts w:asciiTheme="minorEastAsia" w:hAnsiTheme="minorEastAsia" w:cstheme="minorEastAsia"/>
          <w:color w:val="000000"/>
          <w:kern w:val="0"/>
          <w:szCs w:val="21"/>
        </w:rPr>
      </w:pPr>
    </w:p>
    <w:p w14:paraId="047A2071">
      <w:pPr>
        <w:pStyle w:val="9"/>
        <w:rPr>
          <w:rFonts w:asciiTheme="minorEastAsia" w:hAnsiTheme="minorEastAsia" w:cstheme="minorEastAsia"/>
          <w:color w:val="000000"/>
          <w:kern w:val="0"/>
          <w:sz w:val="21"/>
          <w:szCs w:val="21"/>
        </w:rPr>
      </w:pPr>
    </w:p>
    <w:p w14:paraId="50398834">
      <w:pPr>
        <w:pStyle w:val="9"/>
        <w:rPr>
          <w:rFonts w:asciiTheme="minorEastAsia" w:hAnsiTheme="minorEastAsia" w:cstheme="minorEastAsia"/>
          <w:color w:val="000000"/>
          <w:kern w:val="0"/>
          <w:sz w:val="21"/>
          <w:szCs w:val="21"/>
        </w:rPr>
      </w:pPr>
    </w:p>
    <w:p w14:paraId="3890E337">
      <w:pPr>
        <w:pStyle w:val="9"/>
        <w:rPr>
          <w:rFonts w:asciiTheme="minorEastAsia" w:hAnsiTheme="minorEastAsia" w:cstheme="minorEastAsia"/>
          <w:color w:val="000000"/>
          <w:kern w:val="0"/>
          <w:sz w:val="21"/>
          <w:szCs w:val="21"/>
        </w:rPr>
      </w:pPr>
    </w:p>
    <w:p w14:paraId="55CFA6B4">
      <w:pPr>
        <w:pStyle w:val="9"/>
        <w:rPr>
          <w:rFonts w:asciiTheme="minorEastAsia" w:hAnsiTheme="minorEastAsia" w:cstheme="minorEastAsia"/>
          <w:color w:val="000000"/>
          <w:kern w:val="0"/>
          <w:sz w:val="21"/>
          <w:szCs w:val="21"/>
        </w:rPr>
      </w:pPr>
    </w:p>
    <w:p w14:paraId="2820A7F5">
      <w:pPr>
        <w:pStyle w:val="9"/>
        <w:rPr>
          <w:rFonts w:asciiTheme="minorEastAsia" w:hAnsiTheme="minorEastAsia" w:cstheme="minorEastAsia"/>
          <w:color w:val="000000"/>
          <w:kern w:val="0"/>
          <w:sz w:val="21"/>
          <w:szCs w:val="21"/>
        </w:rPr>
      </w:pPr>
    </w:p>
    <w:p w14:paraId="6FA649A6">
      <w:pPr>
        <w:pStyle w:val="9"/>
        <w:rPr>
          <w:rFonts w:asciiTheme="minorEastAsia" w:hAnsiTheme="minorEastAsia" w:cstheme="minorEastAsia"/>
          <w:color w:val="000000"/>
          <w:kern w:val="0"/>
          <w:sz w:val="21"/>
          <w:szCs w:val="21"/>
        </w:rPr>
      </w:pPr>
    </w:p>
    <w:p w14:paraId="6CBB9D8E">
      <w:pPr>
        <w:pStyle w:val="9"/>
        <w:rPr>
          <w:rFonts w:asciiTheme="minorEastAsia" w:hAnsiTheme="minorEastAsia" w:cstheme="minorEastAsia"/>
          <w:color w:val="000000"/>
          <w:kern w:val="0"/>
          <w:sz w:val="21"/>
          <w:szCs w:val="21"/>
        </w:rPr>
      </w:pPr>
    </w:p>
    <w:p w14:paraId="116ABD27">
      <w:pPr>
        <w:pStyle w:val="9"/>
        <w:rPr>
          <w:rFonts w:asciiTheme="minorEastAsia" w:hAnsiTheme="minorEastAsia" w:cstheme="minorEastAsia"/>
          <w:color w:val="000000"/>
          <w:kern w:val="0"/>
          <w:sz w:val="21"/>
          <w:szCs w:val="21"/>
        </w:rPr>
      </w:pPr>
    </w:p>
    <w:p w14:paraId="61C61D15">
      <w:pPr>
        <w:pStyle w:val="9"/>
        <w:rPr>
          <w:rFonts w:asciiTheme="minorEastAsia" w:hAnsiTheme="minorEastAsia" w:cstheme="minorEastAsia"/>
          <w:color w:val="000000"/>
          <w:kern w:val="0"/>
          <w:sz w:val="21"/>
          <w:szCs w:val="21"/>
        </w:rPr>
      </w:pPr>
    </w:p>
    <w:p w14:paraId="415A0618">
      <w:pPr>
        <w:snapToGrid w:val="0"/>
        <w:spacing w:line="360" w:lineRule="exact"/>
        <w:jc w:val="left"/>
        <w:rPr>
          <w:rFonts w:ascii="宋体" w:hAnsi="宋体" w:eastAsia="宋体" w:cs="宋体"/>
          <w:color w:val="000000"/>
          <w:kern w:val="0"/>
          <w:sz w:val="24"/>
          <w:szCs w:val="24"/>
        </w:rPr>
      </w:pPr>
    </w:p>
    <w:p w14:paraId="3EA0D4E9">
      <w:pPr>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目   录</w:t>
      </w:r>
    </w:p>
    <w:p w14:paraId="4EDCBC7A">
      <w:pPr>
        <w:spacing w:line="360" w:lineRule="auto"/>
        <w:rPr>
          <w:b/>
          <w:sz w:val="24"/>
          <w:szCs w:val="24"/>
        </w:rPr>
      </w:pPr>
      <w:r>
        <w:rPr>
          <w:rFonts w:hint="eastAsia"/>
          <w:b/>
          <w:sz w:val="24"/>
          <w:szCs w:val="24"/>
        </w:rPr>
        <w:t>第一册  专用条款</w:t>
      </w:r>
    </w:p>
    <w:p w14:paraId="52A5B5BF">
      <w:pPr>
        <w:spacing w:line="360" w:lineRule="auto"/>
        <w:ind w:left="630" w:leftChars="300" w:firstLine="411" w:firstLineChars="196"/>
        <w:rPr>
          <w:rFonts w:ascii="宋体" w:hAnsi="宋体"/>
          <w:szCs w:val="21"/>
        </w:rPr>
      </w:pPr>
      <w:r>
        <w:rPr>
          <w:rFonts w:hint="eastAsia" w:ascii="宋体" w:hAnsi="宋体"/>
          <w:szCs w:val="21"/>
        </w:rPr>
        <w:tab/>
      </w:r>
      <w:r>
        <w:rPr>
          <w:rFonts w:hint="eastAsia" w:ascii="宋体" w:hAnsi="宋体"/>
          <w:szCs w:val="21"/>
        </w:rPr>
        <w:t>关键信息</w:t>
      </w:r>
    </w:p>
    <w:p w14:paraId="00F8DE30">
      <w:pPr>
        <w:spacing w:line="360" w:lineRule="auto"/>
        <w:ind w:left="630" w:leftChars="300" w:firstLine="411" w:firstLineChars="196"/>
        <w:rPr>
          <w:rFonts w:ascii="宋体" w:hAnsi="宋体"/>
          <w:szCs w:val="21"/>
        </w:rPr>
      </w:pPr>
      <w:r>
        <w:rPr>
          <w:rFonts w:hint="eastAsia" w:ascii="宋体" w:hAnsi="宋体"/>
          <w:szCs w:val="21"/>
        </w:rPr>
        <w:t>第一章  招标公告</w:t>
      </w:r>
    </w:p>
    <w:p w14:paraId="1166DD5C">
      <w:pPr>
        <w:spacing w:line="360" w:lineRule="auto"/>
        <w:ind w:left="630" w:leftChars="300" w:firstLine="411" w:firstLineChars="196"/>
        <w:rPr>
          <w:rFonts w:ascii="宋体" w:hAnsi="宋体"/>
          <w:szCs w:val="21"/>
        </w:rPr>
      </w:pPr>
      <w:r>
        <w:rPr>
          <w:rFonts w:hint="eastAsia" w:ascii="宋体" w:hAnsi="宋体"/>
          <w:szCs w:val="21"/>
        </w:rPr>
        <w:t>第二章  对通用条款的补充内容及其他关键信息</w:t>
      </w:r>
    </w:p>
    <w:p w14:paraId="32B8F335">
      <w:pPr>
        <w:spacing w:line="360" w:lineRule="auto"/>
        <w:ind w:left="630" w:leftChars="300" w:firstLine="411" w:firstLineChars="196"/>
        <w:rPr>
          <w:rFonts w:ascii="宋体" w:hAnsi="宋体"/>
          <w:szCs w:val="21"/>
        </w:rPr>
      </w:pPr>
      <w:r>
        <w:rPr>
          <w:rFonts w:hint="eastAsia" w:ascii="宋体" w:hAnsi="宋体"/>
          <w:szCs w:val="21"/>
        </w:rPr>
        <w:t>第三章 用户需求书</w:t>
      </w:r>
    </w:p>
    <w:p w14:paraId="3BAE90D5">
      <w:pPr>
        <w:spacing w:line="360" w:lineRule="auto"/>
        <w:ind w:left="630" w:leftChars="300" w:firstLine="411" w:firstLineChars="196"/>
        <w:rPr>
          <w:rFonts w:ascii="宋体" w:hAnsi="宋体"/>
          <w:szCs w:val="21"/>
        </w:rPr>
      </w:pPr>
      <w:r>
        <w:rPr>
          <w:rFonts w:hint="eastAsia" w:ascii="宋体" w:hAnsi="宋体"/>
          <w:szCs w:val="21"/>
        </w:rPr>
        <w:t>第四章 投标文件组成要求及格式</w:t>
      </w:r>
    </w:p>
    <w:p w14:paraId="09E6A7A3">
      <w:pPr>
        <w:spacing w:line="360" w:lineRule="auto"/>
        <w:ind w:left="630" w:leftChars="300" w:firstLine="411" w:firstLineChars="196"/>
        <w:rPr>
          <w:rFonts w:ascii="宋体" w:hAnsi="宋体"/>
          <w:szCs w:val="21"/>
        </w:rPr>
      </w:pPr>
      <w:r>
        <w:rPr>
          <w:rFonts w:hint="eastAsia" w:ascii="宋体" w:hAnsi="宋体"/>
          <w:szCs w:val="21"/>
        </w:rPr>
        <w:t>第五章  合同条款及格式</w:t>
      </w:r>
    </w:p>
    <w:p w14:paraId="6A42E0C1">
      <w:pPr>
        <w:spacing w:line="360" w:lineRule="auto"/>
        <w:rPr>
          <w:b/>
          <w:sz w:val="24"/>
        </w:rPr>
      </w:pPr>
    </w:p>
    <w:p w14:paraId="4FD9B542">
      <w:pPr>
        <w:spacing w:line="360" w:lineRule="auto"/>
        <w:rPr>
          <w:b/>
          <w:sz w:val="24"/>
          <w:szCs w:val="24"/>
        </w:rPr>
      </w:pPr>
      <w:r>
        <w:rPr>
          <w:rFonts w:hint="eastAsia"/>
          <w:b/>
          <w:sz w:val="24"/>
          <w:szCs w:val="24"/>
        </w:rPr>
        <w:t>第二册  通用条款</w:t>
      </w:r>
    </w:p>
    <w:p w14:paraId="5EC1CA19">
      <w:pPr>
        <w:spacing w:line="360" w:lineRule="auto"/>
        <w:ind w:left="630" w:leftChars="300" w:firstLine="411" w:firstLineChars="196"/>
        <w:rPr>
          <w:rFonts w:ascii="宋体" w:hAnsi="宋体"/>
          <w:szCs w:val="21"/>
        </w:rPr>
      </w:pPr>
      <w:r>
        <w:rPr>
          <w:rFonts w:hint="eastAsia" w:ascii="宋体" w:hAnsi="宋体"/>
          <w:szCs w:val="21"/>
        </w:rPr>
        <w:t>第一章  总则</w:t>
      </w:r>
    </w:p>
    <w:p w14:paraId="3868C1A3">
      <w:pPr>
        <w:spacing w:line="360" w:lineRule="auto"/>
        <w:ind w:left="630" w:leftChars="300" w:firstLine="411" w:firstLineChars="196"/>
        <w:rPr>
          <w:rFonts w:ascii="宋体" w:hAnsi="宋体"/>
          <w:szCs w:val="21"/>
        </w:rPr>
      </w:pPr>
      <w:r>
        <w:rPr>
          <w:rFonts w:hint="eastAsia" w:ascii="宋体" w:hAnsi="宋体"/>
          <w:szCs w:val="21"/>
        </w:rPr>
        <w:t>第二章  采购文件</w:t>
      </w:r>
    </w:p>
    <w:p w14:paraId="5EEEDEAE">
      <w:pPr>
        <w:spacing w:line="360" w:lineRule="auto"/>
        <w:ind w:left="630" w:leftChars="300" w:firstLine="411" w:firstLineChars="196"/>
        <w:rPr>
          <w:rFonts w:ascii="宋体" w:hAnsi="宋体"/>
          <w:szCs w:val="21"/>
        </w:rPr>
      </w:pPr>
      <w:r>
        <w:rPr>
          <w:rFonts w:hint="eastAsia" w:ascii="宋体" w:hAnsi="宋体"/>
          <w:szCs w:val="21"/>
        </w:rPr>
        <w:t>第三章  投标文件的编制</w:t>
      </w:r>
    </w:p>
    <w:p w14:paraId="292598A3">
      <w:pPr>
        <w:spacing w:line="360" w:lineRule="auto"/>
        <w:ind w:left="630" w:leftChars="300" w:firstLine="411" w:firstLineChars="196"/>
        <w:rPr>
          <w:rFonts w:ascii="宋体" w:hAnsi="宋体"/>
          <w:szCs w:val="21"/>
        </w:rPr>
      </w:pPr>
      <w:r>
        <w:rPr>
          <w:rFonts w:hint="eastAsia" w:ascii="宋体" w:hAnsi="宋体"/>
          <w:szCs w:val="21"/>
        </w:rPr>
        <w:t>第四章  投标文件的递交</w:t>
      </w:r>
    </w:p>
    <w:p w14:paraId="1D39DED8">
      <w:pPr>
        <w:spacing w:line="360" w:lineRule="auto"/>
        <w:ind w:left="630" w:leftChars="300" w:firstLine="411" w:firstLineChars="196"/>
        <w:rPr>
          <w:rFonts w:ascii="宋体" w:hAnsi="宋体"/>
          <w:szCs w:val="21"/>
        </w:rPr>
      </w:pPr>
      <w:r>
        <w:rPr>
          <w:rFonts w:hint="eastAsia" w:ascii="宋体" w:hAnsi="宋体"/>
          <w:szCs w:val="21"/>
        </w:rPr>
        <w:t>第五章  开标</w:t>
      </w:r>
    </w:p>
    <w:p w14:paraId="14C7862F">
      <w:pPr>
        <w:spacing w:line="360" w:lineRule="auto"/>
        <w:ind w:left="630" w:leftChars="300" w:firstLine="411" w:firstLineChars="196"/>
        <w:rPr>
          <w:rFonts w:ascii="宋体" w:hAnsi="宋体"/>
          <w:szCs w:val="21"/>
        </w:rPr>
      </w:pPr>
      <w:r>
        <w:rPr>
          <w:rFonts w:hint="eastAsia" w:ascii="宋体" w:hAnsi="宋体"/>
          <w:szCs w:val="21"/>
        </w:rPr>
        <w:t>第六章  评审要求</w:t>
      </w:r>
    </w:p>
    <w:p w14:paraId="0F14F19F">
      <w:pPr>
        <w:spacing w:line="360" w:lineRule="auto"/>
        <w:ind w:left="630" w:leftChars="300" w:firstLine="411" w:firstLineChars="196"/>
        <w:rPr>
          <w:rFonts w:ascii="宋体" w:hAnsi="宋体"/>
          <w:szCs w:val="21"/>
        </w:rPr>
      </w:pPr>
      <w:r>
        <w:rPr>
          <w:rFonts w:hint="eastAsia" w:ascii="宋体" w:hAnsi="宋体"/>
          <w:szCs w:val="21"/>
        </w:rPr>
        <w:t>第七章  评审程序及评审方法</w:t>
      </w:r>
    </w:p>
    <w:p w14:paraId="2FB38847">
      <w:pPr>
        <w:spacing w:line="360" w:lineRule="auto"/>
        <w:ind w:left="630" w:leftChars="300" w:firstLine="411" w:firstLineChars="196"/>
        <w:rPr>
          <w:rFonts w:ascii="宋体" w:hAnsi="宋体"/>
          <w:szCs w:val="21"/>
        </w:rPr>
      </w:pPr>
      <w:r>
        <w:rPr>
          <w:rFonts w:hint="eastAsia" w:ascii="宋体" w:hAnsi="宋体"/>
          <w:szCs w:val="21"/>
        </w:rPr>
        <w:t>第八章  定标及公示</w:t>
      </w:r>
    </w:p>
    <w:p w14:paraId="39485950">
      <w:pPr>
        <w:spacing w:line="360" w:lineRule="auto"/>
        <w:ind w:left="630" w:leftChars="300" w:firstLine="411" w:firstLineChars="196"/>
        <w:rPr>
          <w:rFonts w:ascii="宋体" w:hAnsi="宋体"/>
          <w:szCs w:val="21"/>
        </w:rPr>
      </w:pPr>
      <w:r>
        <w:rPr>
          <w:rFonts w:hint="eastAsia" w:ascii="宋体" w:hAnsi="宋体"/>
          <w:szCs w:val="21"/>
        </w:rPr>
        <w:t>第九章  公开招标失败的后续处理</w:t>
      </w:r>
    </w:p>
    <w:p w14:paraId="17FF721C">
      <w:pPr>
        <w:spacing w:line="360" w:lineRule="auto"/>
        <w:ind w:left="630" w:leftChars="300" w:firstLine="411" w:firstLineChars="196"/>
        <w:rPr>
          <w:rFonts w:ascii="宋体" w:hAnsi="宋体"/>
          <w:szCs w:val="21"/>
        </w:rPr>
      </w:pPr>
      <w:r>
        <w:rPr>
          <w:rFonts w:hint="eastAsia" w:ascii="宋体" w:hAnsi="宋体"/>
          <w:szCs w:val="21"/>
        </w:rPr>
        <w:t>第十章  合同的授予与备案</w:t>
      </w:r>
    </w:p>
    <w:p w14:paraId="282B27C5">
      <w:pPr>
        <w:spacing w:line="360" w:lineRule="auto"/>
      </w:pPr>
      <w:r>
        <w:rPr>
          <w:rFonts w:hint="eastAsia"/>
        </w:rPr>
        <w:t xml:space="preserve">          第十一章  质疑处理</w:t>
      </w:r>
    </w:p>
    <w:p w14:paraId="0E2390F0"/>
    <w:p w14:paraId="307B7858"/>
    <w:p w14:paraId="6FE938CB">
      <w:pPr>
        <w:widowControl/>
        <w:jc w:val="left"/>
      </w:pPr>
      <w:r>
        <w:br w:type="page"/>
      </w:r>
    </w:p>
    <w:p w14:paraId="12A4572A">
      <w:pPr>
        <w:pStyle w:val="2"/>
        <w:spacing w:after="78"/>
        <w:jc w:val="center"/>
        <w:rPr>
          <w:sz w:val="32"/>
          <w:szCs w:val="32"/>
        </w:rPr>
      </w:pPr>
      <w:r>
        <w:rPr>
          <w:rFonts w:hint="eastAsia"/>
          <w:sz w:val="32"/>
          <w:szCs w:val="32"/>
        </w:rPr>
        <w:t>第一册  专用条款</w:t>
      </w:r>
    </w:p>
    <w:p w14:paraId="164F227F">
      <w:pPr>
        <w:keepNext/>
        <w:keepLines/>
        <w:adjustRightInd w:val="0"/>
        <w:spacing w:before="260" w:after="260"/>
        <w:jc w:val="center"/>
        <w:textAlignment w:val="baseline"/>
        <w:outlineLvl w:val="1"/>
        <w:rPr>
          <w:rFonts w:ascii="宋体" w:hAnsi="宋体" w:eastAsia="宋体" w:cs="Times New Roman"/>
          <w:b/>
          <w:bCs/>
          <w:kern w:val="0"/>
          <w:sz w:val="28"/>
          <w:szCs w:val="28"/>
        </w:rPr>
      </w:pPr>
      <w:r>
        <w:rPr>
          <w:rFonts w:hint="eastAsia" w:ascii="宋体" w:hAnsi="宋体" w:eastAsia="宋体" w:cs="Times New Roman"/>
          <w:b/>
          <w:bCs/>
          <w:kern w:val="0"/>
          <w:sz w:val="28"/>
          <w:szCs w:val="28"/>
        </w:rPr>
        <w:t>第一章  招标公告</w:t>
      </w:r>
    </w:p>
    <w:p w14:paraId="5B000D40">
      <w:pPr>
        <w:spacing w:line="360" w:lineRule="auto"/>
        <w:rPr>
          <w:rFonts w:ascii="宋体" w:hAnsi="宋体" w:cs="宋体"/>
          <w:b/>
          <w:bCs/>
          <w:kern w:val="0"/>
          <w:szCs w:val="21"/>
        </w:rPr>
      </w:pPr>
      <w:r>
        <w:rPr>
          <w:rFonts w:hint="eastAsia" w:ascii="宋体" w:hAnsi="宋体" w:cs="宋体"/>
          <w:b/>
          <w:bCs/>
          <w:kern w:val="0"/>
          <w:szCs w:val="21"/>
        </w:rPr>
        <w:t>申请人的资格要求：</w:t>
      </w:r>
    </w:p>
    <w:p w14:paraId="18E33518">
      <w:pPr>
        <w:spacing w:line="360" w:lineRule="auto"/>
        <w:ind w:firstLine="630" w:firstLineChars="300"/>
        <w:rPr>
          <w:rFonts w:hint="eastAsia" w:ascii="宋体" w:hAnsi="宋体" w:cs="宋体"/>
          <w:color w:val="auto"/>
          <w:szCs w:val="21"/>
        </w:rPr>
      </w:pPr>
      <w:bookmarkStart w:id="172" w:name="_GoBack"/>
      <w:r>
        <w:rPr>
          <w:rFonts w:hint="eastAsia" w:ascii="宋体" w:hAnsi="宋体" w:cs="宋体"/>
          <w:color w:val="auto"/>
          <w:szCs w:val="21"/>
        </w:rPr>
        <w:t>1.具有独立法人资格或具有独立承担民事责任的能力的其它组织（提供营业执照或事业单位法人证等法人证明扫描件，原件备查）；</w:t>
      </w:r>
    </w:p>
    <w:p w14:paraId="64DDC428">
      <w:pPr>
        <w:spacing w:line="360" w:lineRule="auto"/>
        <w:ind w:firstLine="630" w:firstLineChars="300"/>
        <w:rPr>
          <w:rFonts w:hint="eastAsia" w:ascii="宋体" w:hAnsi="宋体" w:cs="宋体"/>
          <w:color w:val="auto"/>
          <w:szCs w:val="21"/>
        </w:rPr>
      </w:pPr>
      <w:r>
        <w:rPr>
          <w:rFonts w:hint="eastAsia" w:ascii="宋体" w:hAnsi="宋体" w:cs="宋体"/>
          <w:color w:val="auto"/>
          <w:szCs w:val="21"/>
        </w:rPr>
        <w:t>2.投标人须是已在深圳市住房和建设局进行了信息登记的施工企业（提供“深圳市住房和建设局”网站的查询页面截图)；</w:t>
      </w:r>
    </w:p>
    <w:p w14:paraId="3077E7D1">
      <w:pPr>
        <w:spacing w:line="360" w:lineRule="auto"/>
        <w:ind w:firstLine="630" w:firstLineChars="300"/>
        <w:rPr>
          <w:rFonts w:hint="eastAsia" w:ascii="宋体" w:hAnsi="宋体" w:cs="宋体"/>
          <w:color w:val="auto"/>
          <w:szCs w:val="21"/>
        </w:rPr>
      </w:pPr>
      <w:r>
        <w:rPr>
          <w:rFonts w:hint="eastAsia" w:ascii="宋体" w:hAnsi="宋体" w:cs="宋体"/>
          <w:color w:val="auto"/>
          <w:szCs w:val="21"/>
        </w:rPr>
        <w:t>3. 投标人必须具备建筑工程施工总承包类最低企业资质要求（即建筑总承包三级资质及以上），投标人提供在有效期内的资质证书扫描件并加盖投标人公章，原件备查；</w:t>
      </w:r>
    </w:p>
    <w:p w14:paraId="035DF89A">
      <w:pPr>
        <w:spacing w:line="360" w:lineRule="auto"/>
        <w:ind w:firstLine="630" w:firstLineChars="300"/>
        <w:rPr>
          <w:rFonts w:hint="eastAsia" w:ascii="宋体" w:hAnsi="宋体" w:cs="宋体"/>
          <w:color w:val="auto"/>
          <w:szCs w:val="21"/>
        </w:rPr>
      </w:pPr>
      <w:r>
        <w:rPr>
          <w:rFonts w:hint="eastAsia" w:ascii="宋体" w:hAnsi="宋体" w:cs="宋体"/>
          <w:color w:val="auto"/>
          <w:szCs w:val="21"/>
        </w:rPr>
        <w:t>4.投标人须具备建设主管部门颁发的安全生产许可证（提供有效期内的证书扫描件，原件备查）；</w:t>
      </w:r>
    </w:p>
    <w:p w14:paraId="57509289">
      <w:pPr>
        <w:spacing w:line="360" w:lineRule="auto"/>
        <w:ind w:firstLine="630" w:firstLineChars="300"/>
        <w:rPr>
          <w:rFonts w:hint="eastAsia" w:ascii="宋体" w:hAnsi="宋体" w:cs="宋体"/>
          <w:color w:val="auto"/>
          <w:szCs w:val="21"/>
        </w:rPr>
      </w:pPr>
      <w:r>
        <w:rPr>
          <w:rFonts w:hint="eastAsia" w:ascii="宋体" w:hAnsi="宋体" w:cs="宋体"/>
          <w:color w:val="auto"/>
          <w:szCs w:val="21"/>
        </w:rPr>
        <w:t>5.拟派项目经理须具备注册建造师二级及以上资格；建筑工程专业，并具备安全生产考核合格证，提供有效期内的证书扫描件及近三个月的社保证明（提供开标日前由投标人为拟投入本项目的负责人缴交的载有政府部门公章（或专用章）的2024年4-6月的社保缴交证明材料（已退休返聘人员需提供聘用合同），如开标日上一个月的社保材料因政府部门原因暂时无法取得，则可以往前顺延一个月，原件备查。如供应商为新成立企业且成立时间不足3个月的，需承诺相关人员为投标人自有员工，承诺函格式自拟并加盖公章）；</w:t>
      </w:r>
    </w:p>
    <w:p w14:paraId="2FDB71AA">
      <w:pPr>
        <w:spacing w:line="360" w:lineRule="auto"/>
        <w:ind w:firstLine="630" w:firstLineChars="300"/>
        <w:rPr>
          <w:rFonts w:hint="eastAsia" w:ascii="宋体" w:hAnsi="宋体" w:cs="宋体"/>
          <w:color w:val="auto"/>
          <w:szCs w:val="21"/>
        </w:rPr>
      </w:pPr>
      <w:r>
        <w:rPr>
          <w:rFonts w:hint="eastAsia" w:ascii="宋体" w:hAnsi="宋体" w:cs="宋体"/>
          <w:color w:val="auto"/>
          <w:szCs w:val="21"/>
        </w:rPr>
        <w:t>6.投标人必须按照采购文件所提供的《龙华区教育局自行采购投标及履约承诺函》进行承诺（详见采购文件相应章节）；</w:t>
      </w:r>
    </w:p>
    <w:p w14:paraId="4CE576BC">
      <w:pPr>
        <w:spacing w:line="360" w:lineRule="auto"/>
        <w:ind w:firstLine="630" w:firstLineChars="300"/>
        <w:rPr>
          <w:rFonts w:hint="eastAsia" w:ascii="宋体" w:hAnsi="宋体" w:cs="宋体"/>
          <w:color w:val="auto"/>
          <w:szCs w:val="21"/>
        </w:rPr>
      </w:pPr>
      <w:r>
        <w:rPr>
          <w:rFonts w:hint="eastAsia" w:ascii="宋体" w:hAnsi="宋体" w:cs="宋体"/>
          <w:color w:val="auto"/>
          <w:szCs w:val="21"/>
        </w:rPr>
        <w:t>7.投标人需根据实际填写“股东构成审查表”（详见采购文件相应章节）；</w:t>
      </w:r>
    </w:p>
    <w:p w14:paraId="08FD7140">
      <w:pPr>
        <w:spacing w:line="360" w:lineRule="auto"/>
        <w:ind w:firstLine="630" w:firstLineChars="300"/>
        <w:rPr>
          <w:rFonts w:hint="eastAsia" w:ascii="宋体" w:hAnsi="宋体" w:cs="宋体"/>
          <w:color w:val="auto"/>
          <w:szCs w:val="21"/>
        </w:rPr>
      </w:pPr>
      <w:r>
        <w:rPr>
          <w:rFonts w:hint="eastAsia" w:ascii="宋体" w:hAnsi="宋体" w:cs="宋体"/>
          <w:color w:val="auto"/>
          <w:szCs w:val="21"/>
        </w:rPr>
        <w:t>8. 未被列入失信被执行人、重大税收违法案件当事人名单、政府采购严重违法失信行为记录名单；（注：“信用中国”、“中国政府采购网”为供应商信用信息的查询渠道，相关信息以开标当天招标机构查询结果为准。）”</w:t>
      </w:r>
    </w:p>
    <w:p w14:paraId="019C1520">
      <w:pPr>
        <w:spacing w:line="360" w:lineRule="auto"/>
        <w:ind w:firstLine="630" w:firstLineChars="300"/>
        <w:rPr>
          <w:rFonts w:hint="eastAsia" w:ascii="宋体" w:hAnsi="宋体" w:cs="宋体"/>
          <w:color w:val="auto"/>
          <w:szCs w:val="21"/>
        </w:rPr>
      </w:pPr>
      <w:r>
        <w:rPr>
          <w:rFonts w:hint="eastAsia" w:ascii="宋体" w:hAnsi="宋体" w:cs="宋体"/>
          <w:color w:val="auto"/>
          <w:szCs w:val="21"/>
        </w:rPr>
        <w:t>9.根据《〈关于严厉惩处建设工程安全生产违法违规行为的若干措施（试行）〉的实施细则》要求，因违反工程质量、安全生产管理规定等原因处于红色警示且警示期内的，不得参于投标，投标人提供“深圳市住房和建设局”（网址： http://zjj.sz.gov.cn/ztfw/gcjs/cxda/cxda_zjhhsjs/）“红色警示”的网页查询截图（投标人提供含有网站名称的网络截图）；</w:t>
      </w:r>
    </w:p>
    <w:p w14:paraId="575B560B">
      <w:pPr>
        <w:spacing w:line="360" w:lineRule="auto"/>
        <w:ind w:firstLine="630" w:firstLineChars="300"/>
        <w:rPr>
          <w:rFonts w:hint="eastAsia" w:ascii="宋体" w:hAnsi="宋体" w:cs="宋体"/>
          <w:color w:val="auto"/>
          <w:szCs w:val="21"/>
        </w:rPr>
      </w:pPr>
      <w:r>
        <w:rPr>
          <w:rFonts w:hint="eastAsia" w:ascii="宋体" w:hAnsi="宋体" w:cs="宋体"/>
          <w:color w:val="auto"/>
          <w:szCs w:val="21"/>
        </w:rPr>
        <w:t>10.本项目不接受联合体投标，不允许转包分包。</w:t>
      </w:r>
    </w:p>
    <w:p w14:paraId="3F84ADFA">
      <w:pPr>
        <w:spacing w:line="360" w:lineRule="auto"/>
        <w:ind w:firstLine="630" w:firstLineChars="300"/>
        <w:rPr>
          <w:rFonts w:hint="eastAsia" w:ascii="宋体" w:hAnsi="宋体" w:cs="宋体"/>
          <w:color w:val="auto"/>
          <w:szCs w:val="21"/>
          <w:lang w:eastAsia="zh-CN"/>
        </w:rPr>
      </w:pPr>
      <w:r>
        <w:rPr>
          <w:rFonts w:hint="eastAsia" w:ascii="宋体" w:hAnsi="宋体" w:cs="宋体"/>
          <w:color w:val="auto"/>
          <w:szCs w:val="21"/>
        </w:rPr>
        <w:t>11.落实政府采购政策需满足的资格要求：本项目属于专门面向中小微企业采购项目，非中小微企业不得投标。（需提供符合要求的《中小微企业声明函》格式详见招标文件（按本项目规定的所属行业填写），其中企业类型为中型、小型或微型；残疾人福利单位、监狱企业视同小型、微型企业，提供残疾人福利性单位声明函或监狱企业声明函及监狱企业证明文件）。</w:t>
      </w:r>
    </w:p>
    <w:bookmarkEnd w:id="172"/>
    <w:p w14:paraId="46FE81D5">
      <w:pPr>
        <w:spacing w:line="360" w:lineRule="auto"/>
        <w:ind w:firstLine="422" w:firstLineChars="200"/>
        <w:rPr>
          <w:b/>
        </w:rPr>
      </w:pPr>
      <w:r>
        <w:rPr>
          <w:rFonts w:hint="eastAsia" w:ascii="宋体" w:hAnsi="宋体" w:cs="宋体"/>
          <w:b/>
          <w:kern w:val="0"/>
          <w:szCs w:val="21"/>
        </w:rPr>
        <w:t>注：（1）</w:t>
      </w:r>
      <w:r>
        <w:rPr>
          <w:rFonts w:hint="eastAsia" w:ascii="宋体" w:hAnsi="宋体"/>
          <w:b/>
        </w:rPr>
        <w:t>供应商投标（上传投标文件）必须先行办理注册手续。</w:t>
      </w:r>
    </w:p>
    <w:p w14:paraId="607AA980">
      <w:pPr>
        <w:spacing w:afterLines="25"/>
        <w:jc w:val="center"/>
        <w:rPr>
          <w:b/>
          <w:color w:val="FF0000"/>
          <w:sz w:val="30"/>
          <w:szCs w:val="30"/>
        </w:rPr>
      </w:pPr>
      <w:r>
        <w:rPr>
          <w:rFonts w:hint="eastAsia" w:ascii="Arial" w:hAnsi="Arial" w:eastAsia="宋体" w:cs="Times New Roman"/>
          <w:b/>
          <w:color w:val="FF0000"/>
          <w:sz w:val="30"/>
          <w:szCs w:val="30"/>
        </w:rPr>
        <w:t>完整公告内容以网站公布信息为准，详见：深圳政府采购自行采购系统</w:t>
      </w:r>
      <w:r>
        <w:rPr>
          <w:rFonts w:hint="eastAsia"/>
          <w:b/>
          <w:color w:val="FF0000"/>
          <w:sz w:val="30"/>
          <w:szCs w:val="30"/>
        </w:rPr>
        <w:t>网（https://zxcg.szggzy.com/home/index.html）</w:t>
      </w:r>
    </w:p>
    <w:p w14:paraId="269DCAFF">
      <w:pPr>
        <w:spacing w:afterLines="25"/>
        <w:rPr>
          <w:rFonts w:ascii="Arial" w:hAnsi="Arial" w:eastAsia="宋体" w:cs="Times New Roman"/>
          <w:b/>
          <w:color w:val="FF0000"/>
          <w:sz w:val="30"/>
          <w:szCs w:val="30"/>
        </w:rPr>
      </w:pPr>
    </w:p>
    <w:p w14:paraId="59846307">
      <w:pPr>
        <w:pStyle w:val="9"/>
        <w:rPr>
          <w:rFonts w:ascii="Arial" w:hAnsi="Arial" w:eastAsia="宋体" w:cs="Times New Roman"/>
          <w:color w:val="FF0000"/>
          <w:sz w:val="30"/>
          <w:szCs w:val="30"/>
        </w:rPr>
      </w:pPr>
    </w:p>
    <w:p w14:paraId="4DD52DF4">
      <w:pPr>
        <w:rPr>
          <w:rFonts w:ascii="Arial" w:hAnsi="Arial" w:eastAsia="宋体" w:cs="Times New Roman"/>
          <w:b/>
          <w:color w:val="FF0000"/>
          <w:sz w:val="30"/>
          <w:szCs w:val="30"/>
        </w:rPr>
      </w:pPr>
    </w:p>
    <w:p w14:paraId="5A672522">
      <w:pPr>
        <w:pStyle w:val="9"/>
        <w:rPr>
          <w:rFonts w:ascii="Arial" w:hAnsi="Arial" w:eastAsia="宋体" w:cs="Times New Roman"/>
          <w:color w:val="FF0000"/>
          <w:sz w:val="30"/>
          <w:szCs w:val="30"/>
        </w:rPr>
      </w:pPr>
    </w:p>
    <w:p w14:paraId="3E1BAD08">
      <w:pPr>
        <w:rPr>
          <w:rFonts w:ascii="Arial" w:hAnsi="Arial" w:eastAsia="宋体" w:cs="Times New Roman"/>
          <w:b/>
          <w:color w:val="FF0000"/>
          <w:sz w:val="30"/>
          <w:szCs w:val="30"/>
        </w:rPr>
      </w:pPr>
    </w:p>
    <w:p w14:paraId="4BF3F077">
      <w:pPr>
        <w:pStyle w:val="9"/>
        <w:rPr>
          <w:rFonts w:ascii="Arial" w:hAnsi="Arial" w:eastAsia="宋体" w:cs="Times New Roman"/>
          <w:b/>
          <w:color w:val="FF0000"/>
          <w:sz w:val="30"/>
          <w:szCs w:val="30"/>
        </w:rPr>
      </w:pPr>
    </w:p>
    <w:p w14:paraId="0575AB66">
      <w:pPr>
        <w:pStyle w:val="9"/>
        <w:rPr>
          <w:rFonts w:ascii="Arial" w:hAnsi="Arial" w:eastAsia="宋体" w:cs="Times New Roman"/>
          <w:b/>
          <w:color w:val="FF0000"/>
          <w:sz w:val="30"/>
          <w:szCs w:val="30"/>
        </w:rPr>
      </w:pPr>
    </w:p>
    <w:p w14:paraId="1789736B">
      <w:pPr>
        <w:pStyle w:val="9"/>
        <w:rPr>
          <w:rFonts w:ascii="Arial" w:hAnsi="Arial" w:eastAsia="宋体" w:cs="Times New Roman"/>
          <w:b/>
          <w:color w:val="FF0000"/>
          <w:sz w:val="30"/>
          <w:szCs w:val="30"/>
        </w:rPr>
      </w:pPr>
    </w:p>
    <w:p w14:paraId="57E56B38">
      <w:pPr>
        <w:pStyle w:val="9"/>
        <w:rPr>
          <w:rFonts w:ascii="Arial" w:hAnsi="Arial" w:eastAsia="宋体" w:cs="Times New Roman"/>
          <w:b/>
          <w:color w:val="FF0000"/>
          <w:sz w:val="30"/>
          <w:szCs w:val="30"/>
        </w:rPr>
      </w:pPr>
    </w:p>
    <w:p w14:paraId="2B2B9AB9">
      <w:pPr>
        <w:pStyle w:val="9"/>
        <w:rPr>
          <w:rFonts w:ascii="Arial" w:hAnsi="Arial" w:eastAsia="宋体" w:cs="Times New Roman"/>
          <w:b/>
          <w:color w:val="FF0000"/>
          <w:sz w:val="30"/>
          <w:szCs w:val="30"/>
        </w:rPr>
      </w:pPr>
    </w:p>
    <w:p w14:paraId="198F9ED4">
      <w:pPr>
        <w:pStyle w:val="9"/>
        <w:rPr>
          <w:rFonts w:ascii="Arial" w:hAnsi="Arial" w:eastAsia="宋体" w:cs="Times New Roman"/>
          <w:b/>
          <w:color w:val="FF0000"/>
          <w:sz w:val="30"/>
          <w:szCs w:val="30"/>
        </w:rPr>
      </w:pPr>
    </w:p>
    <w:p w14:paraId="501B00A2">
      <w:pPr>
        <w:pStyle w:val="9"/>
        <w:rPr>
          <w:rFonts w:ascii="Arial" w:hAnsi="Arial" w:eastAsia="宋体" w:cs="Times New Roman"/>
          <w:b/>
          <w:color w:val="FF0000"/>
          <w:sz w:val="30"/>
          <w:szCs w:val="30"/>
        </w:rPr>
      </w:pPr>
    </w:p>
    <w:p w14:paraId="5EBE0BDC">
      <w:pPr>
        <w:pStyle w:val="9"/>
        <w:rPr>
          <w:rFonts w:ascii="Arial" w:hAnsi="Arial" w:eastAsia="宋体" w:cs="Times New Roman"/>
          <w:b/>
          <w:color w:val="FF0000"/>
          <w:sz w:val="30"/>
          <w:szCs w:val="30"/>
        </w:rPr>
      </w:pPr>
    </w:p>
    <w:p w14:paraId="12CEB561">
      <w:pPr>
        <w:pStyle w:val="9"/>
        <w:rPr>
          <w:rFonts w:ascii="Arial" w:hAnsi="Arial" w:eastAsia="宋体" w:cs="Times New Roman"/>
          <w:color w:val="FF0000"/>
          <w:sz w:val="30"/>
          <w:szCs w:val="30"/>
        </w:rPr>
      </w:pPr>
    </w:p>
    <w:p w14:paraId="06361EBE"/>
    <w:p w14:paraId="16B42B51">
      <w:pPr>
        <w:keepNext/>
        <w:keepLines/>
        <w:spacing w:before="260" w:after="260" w:line="360" w:lineRule="auto"/>
        <w:jc w:val="center"/>
        <w:outlineLvl w:val="1"/>
        <w:rPr>
          <w:rFonts w:ascii="宋体" w:hAnsi="宋体" w:eastAsia="宋体" w:cs="Times New Roman"/>
          <w:b/>
          <w:bCs/>
          <w:kern w:val="0"/>
          <w:sz w:val="28"/>
          <w:szCs w:val="28"/>
        </w:rPr>
      </w:pPr>
      <w:r>
        <w:rPr>
          <w:rFonts w:hint="eastAsia" w:ascii="宋体" w:hAnsi="宋体" w:eastAsia="宋体" w:cs="Times New Roman"/>
          <w:b/>
          <w:bCs/>
          <w:kern w:val="0"/>
          <w:sz w:val="28"/>
          <w:szCs w:val="28"/>
        </w:rPr>
        <w:t xml:space="preserve">第二章 </w:t>
      </w:r>
      <w:bookmarkStart w:id="2" w:name="_Hlk71926094"/>
      <w:r>
        <w:rPr>
          <w:rFonts w:hint="eastAsia" w:ascii="宋体" w:hAnsi="宋体" w:eastAsia="宋体" w:cs="Times New Roman"/>
          <w:b/>
          <w:bCs/>
          <w:kern w:val="0"/>
          <w:sz w:val="28"/>
          <w:szCs w:val="28"/>
        </w:rPr>
        <w:t>对通用条款的补充内容及其他关键信息</w:t>
      </w:r>
      <w:bookmarkEnd w:id="2"/>
    </w:p>
    <w:p w14:paraId="494AF4BB">
      <w:pPr>
        <w:keepNext/>
        <w:keepLines/>
        <w:adjustRightInd w:val="0"/>
        <w:spacing w:beforeLines="50" w:afterLines="50" w:line="360" w:lineRule="auto"/>
        <w:jc w:val="center"/>
        <w:textAlignment w:val="baseline"/>
        <w:outlineLvl w:val="2"/>
        <w:rPr>
          <w:rFonts w:ascii="宋体" w:hAnsi="宋体" w:eastAsia="宋体" w:cs="Times New Roman"/>
          <w:b/>
          <w:bCs/>
          <w:kern w:val="0"/>
          <w:sz w:val="24"/>
          <w:szCs w:val="24"/>
        </w:rPr>
      </w:pPr>
      <w:bookmarkStart w:id="3" w:name="_Toc60631620"/>
      <w:bookmarkStart w:id="4" w:name="_Toc60560625"/>
      <w:bookmarkStart w:id="5" w:name="_Toc101074876"/>
      <w:bookmarkStart w:id="6" w:name="_Toc73518117"/>
      <w:bookmarkStart w:id="7" w:name="_Toc73517639"/>
      <w:bookmarkStart w:id="8" w:name="_Toc73521547"/>
      <w:bookmarkStart w:id="9" w:name="_Toc73521635"/>
      <w:bookmarkStart w:id="10" w:name="_Toc100052364"/>
      <w:r>
        <w:rPr>
          <w:rFonts w:hint="eastAsia" w:ascii="宋体" w:hAnsi="宋体" w:eastAsia="宋体" w:cs="Times New Roman"/>
          <w:b/>
          <w:bCs/>
          <w:kern w:val="0"/>
          <w:sz w:val="24"/>
          <w:szCs w:val="24"/>
        </w:rPr>
        <w:t>一、对通用条款的补充内容</w:t>
      </w:r>
    </w:p>
    <w:tbl>
      <w:tblPr>
        <w:tblStyle w:val="17"/>
        <w:tblW w:w="95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8"/>
        <w:gridCol w:w="1755"/>
        <w:gridCol w:w="6795"/>
      </w:tblGrid>
      <w:tr w14:paraId="779217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918F2EA">
            <w:pPr>
              <w:spacing w:line="360" w:lineRule="auto"/>
              <w:jc w:val="center"/>
              <w:rPr>
                <w:rFonts w:ascii="宋体" w:hAnsi="宋体"/>
                <w:b/>
                <w:bCs/>
              </w:rPr>
            </w:pPr>
            <w:r>
              <w:rPr>
                <w:rFonts w:hint="eastAsia" w:ascii="宋体" w:hAnsi="宋体"/>
                <w:b/>
                <w:bCs/>
              </w:rPr>
              <w:t>序号</w:t>
            </w:r>
          </w:p>
        </w:tc>
        <w:tc>
          <w:tcPr>
            <w:tcW w:w="1755" w:type="dxa"/>
            <w:vAlign w:val="center"/>
          </w:tcPr>
          <w:p w14:paraId="11345F3F">
            <w:pPr>
              <w:spacing w:line="360" w:lineRule="auto"/>
              <w:jc w:val="center"/>
              <w:rPr>
                <w:rFonts w:ascii="宋体" w:hAnsi="宋体"/>
                <w:b/>
                <w:bCs/>
              </w:rPr>
            </w:pPr>
            <w:r>
              <w:rPr>
                <w:rFonts w:hint="eastAsia" w:ascii="宋体" w:hAnsi="宋体"/>
                <w:b/>
                <w:bCs/>
              </w:rPr>
              <w:t>涉及事项</w:t>
            </w:r>
          </w:p>
        </w:tc>
        <w:tc>
          <w:tcPr>
            <w:tcW w:w="6795" w:type="dxa"/>
            <w:vAlign w:val="center"/>
          </w:tcPr>
          <w:p w14:paraId="16380E17">
            <w:pPr>
              <w:spacing w:line="360" w:lineRule="auto"/>
              <w:jc w:val="center"/>
              <w:rPr>
                <w:rFonts w:ascii="宋体" w:hAnsi="宋体"/>
                <w:b/>
                <w:bCs/>
              </w:rPr>
            </w:pPr>
            <w:r>
              <w:rPr>
                <w:rFonts w:hint="eastAsia" w:ascii="宋体" w:hAnsi="宋体"/>
                <w:b/>
                <w:bCs/>
              </w:rPr>
              <w:t>具 体 补 充 内 容</w:t>
            </w:r>
          </w:p>
        </w:tc>
      </w:tr>
      <w:tr w14:paraId="56145F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C2A5871">
            <w:pPr>
              <w:spacing w:line="360" w:lineRule="auto"/>
              <w:jc w:val="center"/>
              <w:rPr>
                <w:rFonts w:ascii="宋体" w:hAnsi="宋体"/>
              </w:rPr>
            </w:pPr>
            <w:r>
              <w:rPr>
                <w:rFonts w:ascii="宋体" w:hAnsi="宋体"/>
              </w:rPr>
              <w:t>1</w:t>
            </w:r>
          </w:p>
        </w:tc>
        <w:tc>
          <w:tcPr>
            <w:tcW w:w="1755" w:type="dxa"/>
            <w:vAlign w:val="center"/>
          </w:tcPr>
          <w:p w14:paraId="6C35E5CA">
            <w:pPr>
              <w:spacing w:line="360" w:lineRule="auto"/>
              <w:jc w:val="center"/>
            </w:pPr>
            <w:r>
              <w:rPr>
                <w:rFonts w:hint="eastAsia"/>
              </w:rPr>
              <w:t>采购人</w:t>
            </w:r>
          </w:p>
        </w:tc>
        <w:tc>
          <w:tcPr>
            <w:tcW w:w="6795" w:type="dxa"/>
            <w:vAlign w:val="center"/>
          </w:tcPr>
          <w:p w14:paraId="0BFAF122">
            <w:pPr>
              <w:spacing w:line="360" w:lineRule="auto"/>
              <w:jc w:val="left"/>
              <w:rPr>
                <w:rFonts w:ascii="宋体" w:hAnsi="宋体"/>
                <w:b/>
              </w:rPr>
            </w:pPr>
            <w:r>
              <w:rPr>
                <w:rFonts w:hint="eastAsia" w:ascii="宋体" w:hAnsi="宋体"/>
                <w:b/>
              </w:rPr>
              <w:t>深圳市龙华区同胜学校附属富隆苑幼儿园</w:t>
            </w:r>
          </w:p>
        </w:tc>
      </w:tr>
      <w:tr w14:paraId="35F86B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BF5BBDE">
            <w:pPr>
              <w:spacing w:line="360" w:lineRule="auto"/>
              <w:jc w:val="center"/>
              <w:rPr>
                <w:rFonts w:ascii="宋体" w:hAnsi="宋体"/>
              </w:rPr>
            </w:pPr>
            <w:r>
              <w:rPr>
                <w:rFonts w:ascii="宋体" w:hAnsi="宋体"/>
              </w:rPr>
              <w:t>2</w:t>
            </w:r>
          </w:p>
        </w:tc>
        <w:tc>
          <w:tcPr>
            <w:tcW w:w="1755" w:type="dxa"/>
            <w:vAlign w:val="center"/>
          </w:tcPr>
          <w:p w14:paraId="57989278">
            <w:pPr>
              <w:spacing w:line="360" w:lineRule="auto"/>
              <w:jc w:val="center"/>
              <w:rPr>
                <w:rFonts w:ascii="宋体" w:hAnsi="宋体"/>
              </w:rPr>
            </w:pPr>
            <w:r>
              <w:rPr>
                <w:rFonts w:hint="eastAsia" w:ascii="宋体" w:hAnsi="宋体"/>
              </w:rPr>
              <w:t>社会代理机构</w:t>
            </w:r>
          </w:p>
        </w:tc>
        <w:tc>
          <w:tcPr>
            <w:tcW w:w="6795" w:type="dxa"/>
            <w:vAlign w:val="center"/>
          </w:tcPr>
          <w:p w14:paraId="5FE15436">
            <w:pPr>
              <w:spacing w:line="360" w:lineRule="auto"/>
              <w:jc w:val="left"/>
              <w:rPr>
                <w:rFonts w:ascii="宋体" w:hAnsi="宋体"/>
              </w:rPr>
            </w:pPr>
            <w:r>
              <w:rPr>
                <w:rFonts w:hint="eastAsia" w:ascii="宋体" w:hAnsi="宋体" w:eastAsia="宋体" w:cs="Arial"/>
                <w:b/>
                <w:bCs/>
                <w:szCs w:val="21"/>
              </w:rPr>
              <w:t>深圳市千里招标代理有限公司</w:t>
            </w:r>
          </w:p>
        </w:tc>
      </w:tr>
      <w:tr w14:paraId="5E69F9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C6B486C">
            <w:pPr>
              <w:spacing w:line="360" w:lineRule="auto"/>
              <w:jc w:val="center"/>
              <w:rPr>
                <w:rFonts w:ascii="宋体" w:hAnsi="宋体"/>
              </w:rPr>
            </w:pPr>
            <w:r>
              <w:rPr>
                <w:rFonts w:ascii="宋体" w:hAnsi="宋体"/>
              </w:rPr>
              <w:t>3</w:t>
            </w:r>
          </w:p>
        </w:tc>
        <w:tc>
          <w:tcPr>
            <w:tcW w:w="1755" w:type="dxa"/>
            <w:vAlign w:val="center"/>
          </w:tcPr>
          <w:p w14:paraId="7FF798EF">
            <w:pPr>
              <w:spacing w:line="360" w:lineRule="auto"/>
              <w:jc w:val="center"/>
              <w:rPr>
                <w:rFonts w:ascii="宋体" w:hAnsi="宋体"/>
              </w:rPr>
            </w:pPr>
            <w:r>
              <w:rPr>
                <w:rFonts w:hint="eastAsia" w:ascii="宋体" w:hAnsi="宋体"/>
              </w:rPr>
              <w:t>联合体投标</w:t>
            </w:r>
          </w:p>
        </w:tc>
        <w:tc>
          <w:tcPr>
            <w:tcW w:w="6795" w:type="dxa"/>
            <w:vAlign w:val="center"/>
          </w:tcPr>
          <w:p w14:paraId="45566C24">
            <w:pPr>
              <w:spacing w:line="360" w:lineRule="auto"/>
              <w:jc w:val="left"/>
              <w:rPr>
                <w:rFonts w:ascii="Arial" w:hAnsi="Arial" w:eastAsia="宋体" w:cs="Times New Roman"/>
                <w:szCs w:val="24"/>
              </w:rPr>
            </w:pPr>
            <w:r>
              <w:rPr>
                <w:rFonts w:hint="eastAsia" w:ascii="Arial" w:hAnsi="Arial" w:eastAsia="宋体" w:cs="Times New Roman"/>
                <w:szCs w:val="24"/>
              </w:rPr>
              <w:t>不接受</w:t>
            </w:r>
          </w:p>
        </w:tc>
      </w:tr>
      <w:tr w14:paraId="21FFA0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94493F0">
            <w:pPr>
              <w:spacing w:line="360" w:lineRule="auto"/>
              <w:jc w:val="center"/>
              <w:rPr>
                <w:rFonts w:ascii="宋体" w:hAnsi="宋体"/>
              </w:rPr>
            </w:pPr>
            <w:r>
              <w:rPr>
                <w:rFonts w:hint="eastAsia" w:ascii="宋体" w:hAnsi="宋体"/>
              </w:rPr>
              <w:t>4</w:t>
            </w:r>
          </w:p>
        </w:tc>
        <w:tc>
          <w:tcPr>
            <w:tcW w:w="1755" w:type="dxa"/>
            <w:vAlign w:val="center"/>
          </w:tcPr>
          <w:p w14:paraId="1BFB6E95">
            <w:pPr>
              <w:spacing w:line="360" w:lineRule="auto"/>
              <w:jc w:val="center"/>
              <w:rPr>
                <w:rFonts w:ascii="宋体" w:hAnsi="宋体"/>
              </w:rPr>
            </w:pPr>
            <w:r>
              <w:rPr>
                <w:rFonts w:hint="eastAsia" w:ascii="宋体" w:hAnsi="宋体"/>
              </w:rPr>
              <w:t>踏勘现场</w:t>
            </w:r>
          </w:p>
        </w:tc>
        <w:tc>
          <w:tcPr>
            <w:tcW w:w="6795" w:type="dxa"/>
            <w:vAlign w:val="center"/>
          </w:tcPr>
          <w:p w14:paraId="4C4C5BD7">
            <w:pPr>
              <w:spacing w:line="360" w:lineRule="auto"/>
              <w:jc w:val="left"/>
              <w:rPr>
                <w:rFonts w:ascii="Arial" w:hAnsi="Arial" w:eastAsia="宋体" w:cs="Times New Roman"/>
                <w:szCs w:val="24"/>
              </w:rPr>
            </w:pPr>
            <w:r>
              <w:rPr>
                <w:rFonts w:hint="eastAsia" w:ascii="Arial" w:hAnsi="Arial" w:eastAsia="宋体" w:cs="Times New Roman"/>
                <w:szCs w:val="24"/>
              </w:rPr>
              <w:t>不组织</w:t>
            </w:r>
          </w:p>
        </w:tc>
      </w:tr>
      <w:tr w14:paraId="24AB10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ED086E2">
            <w:pPr>
              <w:spacing w:line="360" w:lineRule="auto"/>
              <w:jc w:val="center"/>
              <w:rPr>
                <w:rFonts w:ascii="宋体" w:hAnsi="宋体"/>
              </w:rPr>
            </w:pPr>
            <w:r>
              <w:rPr>
                <w:rFonts w:hint="eastAsia" w:ascii="宋体" w:hAnsi="宋体"/>
              </w:rPr>
              <w:t>5</w:t>
            </w:r>
          </w:p>
        </w:tc>
        <w:tc>
          <w:tcPr>
            <w:tcW w:w="1755" w:type="dxa"/>
            <w:vAlign w:val="center"/>
          </w:tcPr>
          <w:p w14:paraId="7DDDB989">
            <w:pPr>
              <w:spacing w:line="360" w:lineRule="auto"/>
              <w:jc w:val="center"/>
              <w:rPr>
                <w:rFonts w:ascii="宋体" w:hAnsi="宋体"/>
              </w:rPr>
            </w:pPr>
            <w:r>
              <w:rPr>
                <w:rFonts w:hint="eastAsia" w:ascii="宋体" w:hAnsi="宋体"/>
              </w:rPr>
              <w:t>标前会议</w:t>
            </w:r>
          </w:p>
        </w:tc>
        <w:tc>
          <w:tcPr>
            <w:tcW w:w="6795" w:type="dxa"/>
            <w:vAlign w:val="center"/>
          </w:tcPr>
          <w:p w14:paraId="31AC8C63">
            <w:pPr>
              <w:spacing w:line="360" w:lineRule="auto"/>
              <w:jc w:val="left"/>
              <w:rPr>
                <w:rFonts w:ascii="Arial" w:hAnsi="Arial" w:eastAsia="宋体" w:cs="Times New Roman"/>
                <w:szCs w:val="24"/>
              </w:rPr>
            </w:pPr>
            <w:r>
              <w:rPr>
                <w:rFonts w:hint="eastAsia" w:ascii="Arial" w:hAnsi="Arial" w:eastAsia="宋体" w:cs="Times New Roman"/>
                <w:szCs w:val="24"/>
              </w:rPr>
              <w:t>不组织</w:t>
            </w:r>
          </w:p>
        </w:tc>
      </w:tr>
      <w:tr w14:paraId="44366D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BE5B59A">
            <w:pPr>
              <w:spacing w:line="360" w:lineRule="auto"/>
              <w:jc w:val="center"/>
              <w:rPr>
                <w:rFonts w:ascii="宋体" w:hAnsi="宋体"/>
              </w:rPr>
            </w:pPr>
            <w:r>
              <w:rPr>
                <w:rFonts w:hint="eastAsia" w:ascii="宋体" w:hAnsi="宋体"/>
              </w:rPr>
              <w:t>6</w:t>
            </w:r>
          </w:p>
        </w:tc>
        <w:tc>
          <w:tcPr>
            <w:tcW w:w="1755" w:type="dxa"/>
            <w:vAlign w:val="center"/>
          </w:tcPr>
          <w:p w14:paraId="045A9BC3">
            <w:pPr>
              <w:spacing w:line="360" w:lineRule="auto"/>
              <w:jc w:val="center"/>
              <w:rPr>
                <w:rFonts w:ascii="宋体" w:hAnsi="宋体"/>
              </w:rPr>
            </w:pPr>
            <w:r>
              <w:rPr>
                <w:rFonts w:hint="eastAsia" w:ascii="宋体" w:hAnsi="宋体"/>
              </w:rPr>
              <w:t>招标文件的澄清和修改</w:t>
            </w:r>
          </w:p>
        </w:tc>
        <w:tc>
          <w:tcPr>
            <w:tcW w:w="6795" w:type="dxa"/>
            <w:vAlign w:val="center"/>
          </w:tcPr>
          <w:p w14:paraId="0A11E914">
            <w:pPr>
              <w:spacing w:line="360" w:lineRule="auto"/>
              <w:jc w:val="left"/>
              <w:rPr>
                <w:rFonts w:ascii="宋体" w:hAnsi="宋体"/>
              </w:rPr>
            </w:pPr>
            <w:r>
              <w:rPr>
                <w:rFonts w:hint="eastAsia" w:ascii="宋体" w:hAnsi="宋体"/>
              </w:rPr>
              <w:t>不晚于投标截止日三日前，投标人有义务在招标期间在社会代理机构网站浏览与本项目有关的澄清和修改信息。</w:t>
            </w:r>
          </w:p>
        </w:tc>
      </w:tr>
      <w:tr w14:paraId="747A23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A2E6CDB">
            <w:pPr>
              <w:spacing w:line="360" w:lineRule="auto"/>
              <w:jc w:val="center"/>
              <w:rPr>
                <w:rFonts w:ascii="宋体" w:hAnsi="宋体"/>
              </w:rPr>
            </w:pPr>
            <w:r>
              <w:rPr>
                <w:rFonts w:hint="eastAsia" w:ascii="宋体" w:hAnsi="宋体"/>
              </w:rPr>
              <w:t>7</w:t>
            </w:r>
          </w:p>
        </w:tc>
        <w:tc>
          <w:tcPr>
            <w:tcW w:w="1755" w:type="dxa"/>
            <w:vAlign w:val="center"/>
          </w:tcPr>
          <w:p w14:paraId="50187158">
            <w:pPr>
              <w:spacing w:line="360" w:lineRule="auto"/>
              <w:jc w:val="center"/>
              <w:rPr>
                <w:rFonts w:ascii="宋体" w:hAnsi="宋体"/>
              </w:rPr>
            </w:pPr>
            <w:r>
              <w:rPr>
                <w:rFonts w:hint="eastAsia" w:ascii="宋体" w:hAnsi="宋体"/>
              </w:rPr>
              <w:t>投标有效期</w:t>
            </w:r>
          </w:p>
        </w:tc>
        <w:tc>
          <w:tcPr>
            <w:tcW w:w="6795" w:type="dxa"/>
            <w:vAlign w:val="center"/>
          </w:tcPr>
          <w:p w14:paraId="156FF102">
            <w:pPr>
              <w:spacing w:line="360" w:lineRule="auto"/>
              <w:jc w:val="left"/>
              <w:rPr>
                <w:rFonts w:ascii="宋体" w:hAnsi="宋体"/>
              </w:rPr>
            </w:pPr>
            <w:r>
              <w:rPr>
                <w:rFonts w:hint="eastAsia" w:ascii="宋体" w:hAnsi="宋体"/>
              </w:rPr>
              <w:t>120日历天（从投标截止之日算起）</w:t>
            </w:r>
          </w:p>
        </w:tc>
      </w:tr>
      <w:tr w14:paraId="61F541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378820F">
            <w:pPr>
              <w:spacing w:line="360" w:lineRule="auto"/>
              <w:jc w:val="center"/>
              <w:rPr>
                <w:rFonts w:ascii="宋体" w:hAnsi="宋体"/>
              </w:rPr>
            </w:pPr>
            <w:r>
              <w:rPr>
                <w:rFonts w:hint="eastAsia" w:ascii="宋体" w:hAnsi="宋体"/>
              </w:rPr>
              <w:t>8</w:t>
            </w:r>
          </w:p>
        </w:tc>
        <w:tc>
          <w:tcPr>
            <w:tcW w:w="1755" w:type="dxa"/>
            <w:vAlign w:val="center"/>
          </w:tcPr>
          <w:p w14:paraId="0A9A4ABA">
            <w:pPr>
              <w:spacing w:line="360" w:lineRule="auto"/>
              <w:jc w:val="center"/>
              <w:rPr>
                <w:rFonts w:ascii="宋体" w:hAnsi="宋体"/>
              </w:rPr>
            </w:pPr>
            <w:r>
              <w:rPr>
                <w:rFonts w:hint="eastAsia" w:ascii="宋体" w:hAnsi="宋体"/>
              </w:rPr>
              <w:t>投标人的替代方案</w:t>
            </w:r>
          </w:p>
        </w:tc>
        <w:tc>
          <w:tcPr>
            <w:tcW w:w="6795" w:type="dxa"/>
            <w:vAlign w:val="center"/>
          </w:tcPr>
          <w:p w14:paraId="33AF6EB3">
            <w:pPr>
              <w:spacing w:line="360" w:lineRule="auto"/>
              <w:jc w:val="left"/>
              <w:rPr>
                <w:rFonts w:ascii="宋体" w:hAnsi="宋体"/>
              </w:rPr>
            </w:pPr>
            <w:r>
              <w:rPr>
                <w:rFonts w:hint="eastAsia" w:ascii="宋体" w:hAnsi="宋体"/>
              </w:rPr>
              <w:t>不接受</w:t>
            </w:r>
          </w:p>
        </w:tc>
      </w:tr>
      <w:tr w14:paraId="4D2B7A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C0F8F13">
            <w:pPr>
              <w:spacing w:line="360" w:lineRule="auto"/>
              <w:jc w:val="center"/>
              <w:rPr>
                <w:rFonts w:ascii="宋体" w:hAnsi="宋体"/>
              </w:rPr>
            </w:pPr>
            <w:r>
              <w:rPr>
                <w:rFonts w:hint="eastAsia" w:ascii="宋体" w:hAnsi="宋体"/>
              </w:rPr>
              <w:t>9</w:t>
            </w:r>
          </w:p>
        </w:tc>
        <w:tc>
          <w:tcPr>
            <w:tcW w:w="1755" w:type="dxa"/>
            <w:vAlign w:val="center"/>
          </w:tcPr>
          <w:p w14:paraId="15EBB7AA">
            <w:pPr>
              <w:spacing w:line="360" w:lineRule="auto"/>
              <w:jc w:val="center"/>
              <w:rPr>
                <w:rFonts w:ascii="宋体" w:hAnsi="宋体"/>
              </w:rPr>
            </w:pPr>
            <w:r>
              <w:rPr>
                <w:rFonts w:hint="eastAsia" w:ascii="宋体" w:hAnsi="宋体"/>
              </w:rPr>
              <w:t>投标文件的大小</w:t>
            </w:r>
          </w:p>
        </w:tc>
        <w:tc>
          <w:tcPr>
            <w:tcW w:w="6795" w:type="dxa"/>
            <w:vAlign w:val="center"/>
          </w:tcPr>
          <w:p w14:paraId="4B1E7BE1">
            <w:pPr>
              <w:spacing w:line="360" w:lineRule="auto"/>
              <w:jc w:val="left"/>
              <w:rPr>
                <w:rFonts w:ascii="宋体" w:hAnsi="宋体"/>
              </w:rPr>
            </w:pPr>
            <w:r>
              <w:rPr>
                <w:rFonts w:hint="eastAsia" w:ascii="宋体" w:hAnsi="宋体"/>
              </w:rPr>
              <w:t>投标文件大小不得超过100MB</w:t>
            </w:r>
          </w:p>
        </w:tc>
      </w:tr>
      <w:tr w14:paraId="344EA2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C063887">
            <w:pPr>
              <w:spacing w:line="360" w:lineRule="auto"/>
              <w:jc w:val="center"/>
              <w:rPr>
                <w:rFonts w:ascii="宋体" w:hAnsi="宋体"/>
              </w:rPr>
            </w:pPr>
            <w:r>
              <w:rPr>
                <w:rFonts w:hint="eastAsia" w:ascii="宋体" w:hAnsi="宋体"/>
              </w:rPr>
              <w:t>10</w:t>
            </w:r>
          </w:p>
        </w:tc>
        <w:tc>
          <w:tcPr>
            <w:tcW w:w="1755" w:type="dxa"/>
            <w:vAlign w:val="center"/>
          </w:tcPr>
          <w:p w14:paraId="15181938">
            <w:pPr>
              <w:spacing w:line="360" w:lineRule="auto"/>
              <w:jc w:val="center"/>
              <w:rPr>
                <w:rFonts w:ascii="宋体" w:hAnsi="宋体"/>
              </w:rPr>
            </w:pPr>
            <w:bookmarkStart w:id="11" w:name="_Hlk71664860"/>
            <w:r>
              <w:rPr>
                <w:rFonts w:hint="eastAsia" w:ascii="宋体" w:hAnsi="宋体"/>
              </w:rPr>
              <w:t>样品、现场演示、方案讲解</w:t>
            </w:r>
            <w:bookmarkEnd w:id="11"/>
          </w:p>
        </w:tc>
        <w:tc>
          <w:tcPr>
            <w:tcW w:w="6795" w:type="dxa"/>
            <w:vAlign w:val="center"/>
          </w:tcPr>
          <w:p w14:paraId="778F4172">
            <w:pPr>
              <w:spacing w:line="360" w:lineRule="auto"/>
              <w:jc w:val="left"/>
              <w:rPr>
                <w:rFonts w:ascii="宋体" w:hAnsi="宋体"/>
              </w:rPr>
            </w:pPr>
            <w:r>
              <w:rPr>
                <w:rFonts w:hint="eastAsia" w:ascii="宋体" w:hAnsi="宋体"/>
              </w:rPr>
              <w:t>“无”</w:t>
            </w:r>
          </w:p>
        </w:tc>
      </w:tr>
      <w:tr w14:paraId="2351BB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94601AA">
            <w:pPr>
              <w:spacing w:line="360" w:lineRule="auto"/>
              <w:jc w:val="center"/>
              <w:rPr>
                <w:rFonts w:ascii="宋体" w:hAnsi="宋体"/>
              </w:rPr>
            </w:pPr>
            <w:r>
              <w:rPr>
                <w:rFonts w:hint="eastAsia" w:ascii="宋体" w:hAnsi="宋体"/>
              </w:rPr>
              <w:t>11</w:t>
            </w:r>
          </w:p>
        </w:tc>
        <w:tc>
          <w:tcPr>
            <w:tcW w:w="1755" w:type="dxa"/>
            <w:vAlign w:val="center"/>
          </w:tcPr>
          <w:p w14:paraId="73C99DC1">
            <w:pPr>
              <w:spacing w:line="360" w:lineRule="auto"/>
              <w:jc w:val="center"/>
              <w:rPr>
                <w:rFonts w:ascii="宋体" w:hAnsi="宋体"/>
              </w:rPr>
            </w:pPr>
            <w:r>
              <w:rPr>
                <w:rFonts w:hint="eastAsia" w:ascii="宋体" w:hAnsi="宋体"/>
              </w:rPr>
              <w:t>评审方法</w:t>
            </w:r>
          </w:p>
        </w:tc>
        <w:tc>
          <w:tcPr>
            <w:tcW w:w="6795" w:type="dxa"/>
            <w:vAlign w:val="center"/>
          </w:tcPr>
          <w:p w14:paraId="3F9CCF05">
            <w:pPr>
              <w:spacing w:line="360" w:lineRule="auto"/>
              <w:jc w:val="left"/>
              <w:rPr>
                <w:rFonts w:ascii="宋体" w:hAnsi="宋体"/>
              </w:rPr>
            </w:pPr>
            <w:r>
              <w:rPr>
                <w:rFonts w:ascii="宋体" w:hAnsi="宋体"/>
                <w:b/>
                <w:bCs/>
              </w:rPr>
              <w:t>综合评分法</w:t>
            </w:r>
          </w:p>
        </w:tc>
      </w:tr>
      <w:tr w14:paraId="10EA71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B4D205F">
            <w:pPr>
              <w:spacing w:line="360" w:lineRule="auto"/>
              <w:jc w:val="center"/>
              <w:rPr>
                <w:rFonts w:ascii="宋体" w:hAnsi="宋体"/>
              </w:rPr>
            </w:pPr>
            <w:r>
              <w:rPr>
                <w:rFonts w:hint="eastAsia" w:ascii="宋体" w:hAnsi="宋体"/>
              </w:rPr>
              <w:t>12</w:t>
            </w:r>
          </w:p>
        </w:tc>
        <w:tc>
          <w:tcPr>
            <w:tcW w:w="1755" w:type="dxa"/>
            <w:vAlign w:val="center"/>
          </w:tcPr>
          <w:p w14:paraId="4CCD6952">
            <w:pPr>
              <w:spacing w:line="360" w:lineRule="auto"/>
              <w:jc w:val="center"/>
              <w:rPr>
                <w:rFonts w:ascii="宋体" w:hAnsi="宋体"/>
              </w:rPr>
            </w:pPr>
            <w:r>
              <w:rPr>
                <w:rFonts w:hint="eastAsia" w:ascii="宋体" w:hAnsi="宋体"/>
              </w:rPr>
              <w:t>定标方法</w:t>
            </w:r>
          </w:p>
        </w:tc>
        <w:tc>
          <w:tcPr>
            <w:tcW w:w="6795" w:type="dxa"/>
            <w:vAlign w:val="center"/>
          </w:tcPr>
          <w:p w14:paraId="04A7E938">
            <w:pPr>
              <w:spacing w:line="360" w:lineRule="auto"/>
              <w:jc w:val="left"/>
              <w:rPr>
                <w:rFonts w:ascii="宋体" w:hAnsi="宋体" w:eastAsia="宋体"/>
                <w:b/>
                <w:bCs/>
              </w:rPr>
            </w:pPr>
            <w:r>
              <w:rPr>
                <w:rFonts w:hint="eastAsia" w:ascii="宋体" w:hAnsi="宋体" w:eastAsia="宋体" w:cs="Times New Roman"/>
                <w:b/>
                <w:bCs/>
                <w:szCs w:val="21"/>
              </w:rPr>
              <w:t>评定分离</w:t>
            </w:r>
          </w:p>
        </w:tc>
      </w:tr>
      <w:tr w14:paraId="3A1D45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C443F07">
            <w:pPr>
              <w:spacing w:line="360" w:lineRule="auto"/>
              <w:jc w:val="center"/>
              <w:rPr>
                <w:rFonts w:ascii="宋体" w:hAnsi="宋体"/>
              </w:rPr>
            </w:pPr>
            <w:r>
              <w:rPr>
                <w:rFonts w:hint="eastAsia" w:ascii="宋体" w:hAnsi="宋体"/>
              </w:rPr>
              <w:t>13</w:t>
            </w:r>
          </w:p>
        </w:tc>
        <w:tc>
          <w:tcPr>
            <w:tcW w:w="1755" w:type="dxa"/>
            <w:vAlign w:val="center"/>
          </w:tcPr>
          <w:p w14:paraId="4F9CECAE">
            <w:pPr>
              <w:spacing w:line="360" w:lineRule="auto"/>
              <w:jc w:val="center"/>
              <w:rPr>
                <w:rFonts w:ascii="宋体" w:hAnsi="宋体"/>
              </w:rPr>
            </w:pPr>
            <w:r>
              <w:rPr>
                <w:rFonts w:hint="eastAsia" w:ascii="宋体" w:hAnsi="宋体"/>
              </w:rPr>
              <w:t>履约担保</w:t>
            </w:r>
          </w:p>
        </w:tc>
        <w:tc>
          <w:tcPr>
            <w:tcW w:w="6795" w:type="dxa"/>
            <w:vAlign w:val="center"/>
          </w:tcPr>
          <w:p w14:paraId="05F4C976">
            <w:pPr>
              <w:spacing w:line="360" w:lineRule="auto"/>
              <w:jc w:val="left"/>
              <w:rPr>
                <w:rFonts w:ascii="宋体" w:hAnsi="宋体"/>
              </w:rPr>
            </w:pPr>
            <w:r>
              <w:rPr>
                <w:rFonts w:hint="eastAsia" w:ascii="宋体" w:hAnsi="宋体"/>
              </w:rPr>
              <w:t>不需要</w:t>
            </w:r>
          </w:p>
        </w:tc>
      </w:tr>
      <w:bookmarkEnd w:id="3"/>
      <w:bookmarkEnd w:id="4"/>
      <w:bookmarkEnd w:id="5"/>
      <w:bookmarkEnd w:id="6"/>
      <w:bookmarkEnd w:id="7"/>
      <w:bookmarkEnd w:id="8"/>
      <w:bookmarkEnd w:id="9"/>
      <w:bookmarkEnd w:id="10"/>
    </w:tbl>
    <w:p w14:paraId="5E0C505E">
      <w:pPr>
        <w:widowControl/>
        <w:spacing w:line="360" w:lineRule="auto"/>
        <w:jc w:val="center"/>
        <w:rPr>
          <w:rFonts w:hint="eastAsia"/>
          <w:szCs w:val="21"/>
        </w:rPr>
      </w:pPr>
      <w:r>
        <w:rPr>
          <w:rFonts w:hint="eastAsia"/>
          <w:szCs w:val="21"/>
        </w:rPr>
        <w:t>备注：本表是通用条款相关条款的补充和明确，如与通用条款内容相冲突的，以本表为准。</w:t>
      </w:r>
    </w:p>
    <w:p w14:paraId="33756C11">
      <w:pPr>
        <w:widowControl/>
        <w:spacing w:line="360" w:lineRule="auto"/>
        <w:jc w:val="center"/>
        <w:rPr>
          <w:rFonts w:hint="eastAsia"/>
          <w:szCs w:val="21"/>
        </w:rPr>
      </w:pPr>
    </w:p>
    <w:p w14:paraId="0988B7AB">
      <w:pPr>
        <w:widowControl/>
        <w:spacing w:line="360" w:lineRule="auto"/>
        <w:jc w:val="center"/>
        <w:rPr>
          <w:rFonts w:hint="eastAsia"/>
          <w:szCs w:val="21"/>
        </w:rPr>
      </w:pPr>
    </w:p>
    <w:p w14:paraId="2A00745D">
      <w:pPr>
        <w:widowControl/>
        <w:spacing w:line="360" w:lineRule="auto"/>
        <w:jc w:val="center"/>
        <w:rPr>
          <w:rFonts w:hint="eastAsia"/>
          <w:szCs w:val="21"/>
        </w:rPr>
      </w:pPr>
    </w:p>
    <w:p w14:paraId="1B8CA729">
      <w:pPr>
        <w:widowControl/>
        <w:spacing w:line="360" w:lineRule="auto"/>
        <w:jc w:val="center"/>
        <w:rPr>
          <w:rFonts w:hint="eastAsia"/>
          <w:szCs w:val="21"/>
        </w:rPr>
      </w:pPr>
    </w:p>
    <w:p w14:paraId="7441D19A">
      <w:pPr>
        <w:widowControl/>
        <w:spacing w:line="360" w:lineRule="auto"/>
        <w:jc w:val="center"/>
        <w:rPr>
          <w:rFonts w:hint="eastAsia"/>
          <w:szCs w:val="21"/>
        </w:rPr>
      </w:pPr>
    </w:p>
    <w:p w14:paraId="47D99489">
      <w:pPr>
        <w:widowControl/>
        <w:spacing w:line="360" w:lineRule="auto"/>
        <w:jc w:val="center"/>
        <w:rPr>
          <w:rFonts w:hint="eastAsia"/>
          <w:szCs w:val="21"/>
        </w:rPr>
      </w:pPr>
    </w:p>
    <w:p w14:paraId="5739F4BE">
      <w:pPr>
        <w:keepNext/>
        <w:keepLines/>
        <w:adjustRightInd w:val="0"/>
        <w:spacing w:beforeLines="50" w:afterLines="50" w:line="360" w:lineRule="auto"/>
        <w:jc w:val="center"/>
        <w:textAlignment w:val="baseline"/>
        <w:outlineLvl w:val="2"/>
        <w:rPr>
          <w:rFonts w:ascii="宋体" w:hAnsi="宋体" w:eastAsia="宋体" w:cs="Times New Roman"/>
          <w:b/>
          <w:bCs/>
          <w:kern w:val="0"/>
          <w:sz w:val="24"/>
          <w:szCs w:val="24"/>
        </w:rPr>
      </w:pPr>
      <w:r>
        <w:rPr>
          <w:rFonts w:hint="eastAsia" w:ascii="宋体" w:hAnsi="宋体" w:eastAsia="宋体" w:cs="Times New Roman"/>
          <w:b/>
          <w:bCs/>
          <w:kern w:val="0"/>
          <w:sz w:val="24"/>
          <w:szCs w:val="24"/>
        </w:rPr>
        <w:t>二、其他关键信息</w:t>
      </w:r>
    </w:p>
    <w:p w14:paraId="3445FAB3">
      <w:pPr>
        <w:tabs>
          <w:tab w:val="left" w:pos="720"/>
        </w:tabs>
        <w:spacing w:line="360" w:lineRule="auto"/>
        <w:rPr>
          <w:rFonts w:ascii="黑体" w:hAnsi="宋体" w:eastAsia="黑体"/>
          <w:sz w:val="24"/>
        </w:rPr>
      </w:pPr>
      <w:r>
        <w:rPr>
          <w:rFonts w:hint="eastAsia" w:ascii="黑体" w:hAnsi="宋体" w:eastAsia="黑体"/>
          <w:sz w:val="24"/>
        </w:rPr>
        <w:t>（一）</w:t>
      </w:r>
      <w:r>
        <w:rPr>
          <w:rFonts w:hint="eastAsia" w:ascii="黑体" w:hAnsi="宋体" w:eastAsia="黑体"/>
          <w:bCs/>
          <w:sz w:val="24"/>
        </w:rPr>
        <w:t>与“对通用条款的补充内容”章节相关的事项</w:t>
      </w:r>
    </w:p>
    <w:p w14:paraId="28D9E508">
      <w:pPr>
        <w:tabs>
          <w:tab w:val="left" w:pos="720"/>
        </w:tabs>
        <w:spacing w:line="360" w:lineRule="auto"/>
        <w:rPr>
          <w:rFonts w:ascii="黑体" w:hAnsi="宋体" w:eastAsia="黑体"/>
          <w:bCs/>
          <w:sz w:val="24"/>
        </w:rPr>
      </w:pPr>
      <w:r>
        <w:rPr>
          <w:rFonts w:hint="eastAsia" w:ascii="黑体" w:hAnsi="宋体" w:eastAsia="黑体"/>
          <w:bCs/>
          <w:sz w:val="24"/>
        </w:rPr>
        <w:t>1、评标定标信息</w:t>
      </w:r>
    </w:p>
    <w:p w14:paraId="73B2D7A3">
      <w:pPr>
        <w:spacing w:line="360" w:lineRule="auto"/>
        <w:jc w:val="center"/>
        <w:rPr>
          <w:b/>
        </w:rPr>
      </w:pPr>
      <w:r>
        <w:rPr>
          <w:rFonts w:hint="eastAsia"/>
          <w:b/>
        </w:rPr>
        <w:t>评定分离项目</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5200"/>
      </w:tblGrid>
      <w:tr w14:paraId="3C913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4D063345">
            <w:pPr>
              <w:spacing w:line="360" w:lineRule="auto"/>
              <w:jc w:val="center"/>
            </w:pPr>
            <w:r>
              <w:rPr>
                <w:rFonts w:hint="eastAsia"/>
              </w:rPr>
              <w:t>评标方法</w:t>
            </w:r>
          </w:p>
        </w:tc>
        <w:tc>
          <w:tcPr>
            <w:tcW w:w="5200" w:type="dxa"/>
          </w:tcPr>
          <w:p w14:paraId="4FB341BE">
            <w:pPr>
              <w:spacing w:line="360" w:lineRule="auto"/>
              <w:jc w:val="center"/>
            </w:pPr>
            <w:r>
              <w:rPr>
                <w:rFonts w:hint="eastAsia"/>
              </w:rPr>
              <w:t>综合评分法</w:t>
            </w:r>
          </w:p>
        </w:tc>
      </w:tr>
      <w:tr w14:paraId="77C8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6948157B">
            <w:pPr>
              <w:spacing w:line="360" w:lineRule="auto"/>
              <w:jc w:val="center"/>
            </w:pPr>
            <w:r>
              <w:rPr>
                <w:rFonts w:hint="eastAsia"/>
              </w:rPr>
              <w:t>定标方法</w:t>
            </w:r>
          </w:p>
        </w:tc>
        <w:tc>
          <w:tcPr>
            <w:tcW w:w="5200" w:type="dxa"/>
          </w:tcPr>
          <w:p w14:paraId="6DC1D7BE">
            <w:pPr>
              <w:spacing w:line="360" w:lineRule="auto"/>
              <w:jc w:val="center"/>
            </w:pPr>
            <w:r>
              <w:rPr>
                <w:rFonts w:hint="eastAsia"/>
              </w:rPr>
              <w:t>自定法</w:t>
            </w:r>
          </w:p>
        </w:tc>
      </w:tr>
      <w:tr w14:paraId="5164F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1479840D">
            <w:pPr>
              <w:spacing w:line="360" w:lineRule="auto"/>
              <w:jc w:val="center"/>
            </w:pPr>
            <w:r>
              <w:rPr>
                <w:rFonts w:hint="eastAsia"/>
              </w:rPr>
              <w:t>推荐候选中标供应商家数</w:t>
            </w:r>
          </w:p>
        </w:tc>
        <w:tc>
          <w:tcPr>
            <w:tcW w:w="5200" w:type="dxa"/>
          </w:tcPr>
          <w:p w14:paraId="397C52FD">
            <w:pPr>
              <w:spacing w:line="360" w:lineRule="auto"/>
              <w:jc w:val="center"/>
            </w:pPr>
            <w:r>
              <w:rPr>
                <w:rFonts w:hint="eastAsia"/>
              </w:rPr>
              <w:t>3</w:t>
            </w:r>
          </w:p>
        </w:tc>
      </w:tr>
      <w:tr w14:paraId="690B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04896809">
            <w:pPr>
              <w:spacing w:line="360" w:lineRule="auto"/>
              <w:jc w:val="center"/>
            </w:pPr>
            <w:r>
              <w:rPr>
                <w:rFonts w:hint="eastAsia"/>
              </w:rPr>
              <w:t>中标供应商家数</w:t>
            </w:r>
          </w:p>
        </w:tc>
        <w:tc>
          <w:tcPr>
            <w:tcW w:w="5200" w:type="dxa"/>
          </w:tcPr>
          <w:p w14:paraId="32CCE67C">
            <w:pPr>
              <w:spacing w:line="360" w:lineRule="auto"/>
              <w:jc w:val="center"/>
            </w:pPr>
            <w:r>
              <w:rPr>
                <w:rFonts w:hint="eastAsia"/>
              </w:rPr>
              <w:t>1</w:t>
            </w:r>
          </w:p>
        </w:tc>
      </w:tr>
    </w:tbl>
    <w:p w14:paraId="7137AB15">
      <w:pPr>
        <w:tabs>
          <w:tab w:val="left" w:pos="720"/>
        </w:tabs>
        <w:spacing w:line="360" w:lineRule="auto"/>
        <w:rPr>
          <w:b/>
          <w:bCs/>
          <w:color w:val="FF0000"/>
          <w:sz w:val="24"/>
        </w:rPr>
      </w:pPr>
      <w:r>
        <w:rPr>
          <w:rFonts w:hint="eastAsia"/>
          <w:b/>
          <w:bCs/>
          <w:color w:val="FF0000"/>
          <w:sz w:val="24"/>
        </w:rPr>
        <w:t>★2、关于入围及定标方法：</w:t>
      </w:r>
    </w:p>
    <w:p w14:paraId="57AB598A">
      <w:pPr>
        <w:pStyle w:val="9"/>
        <w:rPr>
          <w:color w:val="FF0000"/>
        </w:rPr>
      </w:pPr>
      <w:r>
        <w:rPr>
          <w:rFonts w:hint="eastAsia"/>
          <w:color w:val="FF0000"/>
        </w:rPr>
        <w:t>（1）根据《深圳市龙华区教育系统自行采购管理暂行规定（2024年修订）》有关规定，本项目采取“抽签+综合评审+自定法”，如通过资格性审查环节的投标人家数＞5家，则在通过资格性审查环节的投标人中随机抽选5家组织开展评审环节，评审委员会按照招标文件要求对入选的投标人进行评审，推选综合得分前三的投标人为入围候选人，采购单位根据内控制度从中选取一家作为项目中标单位。</w:t>
      </w:r>
    </w:p>
    <w:p w14:paraId="34B1AD6A">
      <w:pPr>
        <w:pStyle w:val="9"/>
        <w:rPr>
          <w:color w:val="FF0000"/>
        </w:rPr>
      </w:pPr>
      <w:r>
        <w:rPr>
          <w:rFonts w:hint="eastAsia"/>
          <w:color w:val="FF0000"/>
        </w:rPr>
        <w:t>（2）抽签原则：在深圳市千里招标代理有限公司的组织下，由采购单位和深圳市千里招标代理有限公司作为抽签小组进行随机抽签确定排序。</w:t>
      </w:r>
    </w:p>
    <w:p w14:paraId="7A6C7A13">
      <w:pPr>
        <w:pStyle w:val="9"/>
        <w:rPr>
          <w:color w:val="FF0000"/>
        </w:rPr>
      </w:pPr>
      <w:r>
        <w:rPr>
          <w:rFonts w:hint="eastAsia"/>
          <w:color w:val="FF0000"/>
        </w:rPr>
        <w:t>①编号。抽签小组按上传投标文件的时间先后确定抽签编号，如A 公司上传投标文件的时间最早，则抽签编号为1，以此类推。</w:t>
      </w:r>
    </w:p>
    <w:p w14:paraId="2D136C2A">
      <w:pPr>
        <w:pStyle w:val="9"/>
        <w:rPr>
          <w:color w:val="FF0000"/>
        </w:rPr>
      </w:pPr>
      <w:r>
        <w:rPr>
          <w:rFonts w:hint="eastAsia"/>
          <w:color w:val="FF0000"/>
        </w:rPr>
        <w:t>②抽签。按抽签编号的数量在摇号机放入相应数量及对应编号的号码球，抽签小组成员随机抽取号码球，按抽出号码球的顺序，确定号码球对应的供应商排序。</w:t>
      </w:r>
    </w:p>
    <w:p w14:paraId="7D6B8905">
      <w:pPr>
        <w:pStyle w:val="9"/>
        <w:rPr>
          <w:color w:val="FF0000"/>
        </w:rPr>
      </w:pPr>
      <w:r>
        <w:rPr>
          <w:rFonts w:hint="eastAsia"/>
          <w:color w:val="FF0000"/>
        </w:rPr>
        <w:t>③确认结果。全体抽签小组成员签字确认抽签结果。</w:t>
      </w:r>
    </w:p>
    <w:p w14:paraId="69D2CE85">
      <w:pPr>
        <w:tabs>
          <w:tab w:val="left" w:pos="720"/>
        </w:tabs>
        <w:spacing w:line="360" w:lineRule="auto"/>
        <w:rPr>
          <w:rFonts w:ascii="黑体" w:hAnsi="宋体" w:eastAsia="黑体"/>
          <w:sz w:val="24"/>
        </w:rPr>
      </w:pPr>
    </w:p>
    <w:p w14:paraId="21C0E25B">
      <w:pPr>
        <w:tabs>
          <w:tab w:val="left" w:pos="720"/>
        </w:tabs>
        <w:spacing w:line="360" w:lineRule="auto"/>
        <w:rPr>
          <w:rFonts w:ascii="黑体" w:hAnsi="宋体" w:eastAsia="黑体"/>
          <w:sz w:val="24"/>
        </w:rPr>
      </w:pPr>
      <w:r>
        <w:rPr>
          <w:rFonts w:hint="eastAsia" w:ascii="黑体" w:hAnsi="宋体" w:eastAsia="黑体"/>
          <w:sz w:val="24"/>
        </w:rPr>
        <w:t>（二）其他事项</w:t>
      </w:r>
    </w:p>
    <w:p w14:paraId="00254F40">
      <w:pPr>
        <w:tabs>
          <w:tab w:val="left" w:pos="720"/>
        </w:tabs>
        <w:spacing w:line="360" w:lineRule="auto"/>
        <w:rPr>
          <w:rFonts w:ascii="宋体" w:hAnsi="宋体"/>
          <w:b/>
          <w:bCs/>
        </w:rPr>
      </w:pPr>
      <w:r>
        <w:rPr>
          <w:rFonts w:ascii="宋体" w:hAnsi="宋体"/>
          <w:b/>
          <w:bCs/>
        </w:rPr>
        <w:t>本项目为代理服务项目，将向中标</w:t>
      </w:r>
      <w:r>
        <w:rPr>
          <w:rFonts w:hint="eastAsia" w:ascii="宋体" w:hAnsi="宋体"/>
          <w:b/>
          <w:bCs/>
        </w:rPr>
        <w:t>（成交）</w:t>
      </w:r>
      <w:r>
        <w:rPr>
          <w:rFonts w:ascii="宋体" w:hAnsi="宋体"/>
          <w:b/>
          <w:bCs/>
        </w:rPr>
        <w:t>供应商收取代理服务费</w:t>
      </w:r>
      <w:r>
        <w:rPr>
          <w:rFonts w:hint="eastAsia" w:ascii="宋体" w:hAnsi="宋体"/>
          <w:b/>
          <w:bCs/>
        </w:rPr>
        <w:t>。</w:t>
      </w:r>
    </w:p>
    <w:p w14:paraId="4FC72CD5">
      <w:pPr>
        <w:widowControl/>
        <w:spacing w:line="360" w:lineRule="auto"/>
        <w:ind w:firstLine="420"/>
        <w:jc w:val="left"/>
        <w:rPr>
          <w:rFonts w:ascii="宋体" w:hAnsi="宋体"/>
          <w:szCs w:val="21"/>
        </w:rPr>
      </w:pPr>
      <w:r>
        <w:rPr>
          <w:rFonts w:hint="eastAsia" w:ascii="宋体" w:hAnsi="宋体"/>
          <w:szCs w:val="21"/>
        </w:rPr>
        <w:t>中标（成交）供应商在领取《中标（成交）通知书》之前须向深圳市千里招标代理有限公司交纳代理服务费。若因中标（成交）供应商交纳代理服务费所产生的时间影响到合同签订的，由中标（成交）供应商自行承担责任。代理服务费标准参照下列标准收取。本项目类型为</w:t>
      </w:r>
      <w:r>
        <w:rPr>
          <w:rFonts w:hint="eastAsia" w:ascii="宋体" w:hAnsi="宋体"/>
          <w:b/>
          <w:bCs/>
          <w:szCs w:val="21"/>
          <w:u w:val="single"/>
        </w:rPr>
        <w:t>工程采购</w:t>
      </w:r>
      <w:r>
        <w:rPr>
          <w:rFonts w:hint="eastAsia" w:ascii="宋体" w:hAnsi="宋体"/>
          <w:szCs w:val="21"/>
        </w:rPr>
        <w:t>：</w:t>
      </w:r>
    </w:p>
    <w:p w14:paraId="3B18E6D0">
      <w:pPr>
        <w:widowControl/>
        <w:spacing w:line="360" w:lineRule="auto"/>
        <w:ind w:firstLine="420"/>
        <w:jc w:val="left"/>
        <w:rPr>
          <w:rFonts w:ascii="宋体" w:hAnsi="宋体"/>
          <w:szCs w:val="21"/>
        </w:rPr>
      </w:pPr>
      <w:r>
        <w:rPr>
          <w:rFonts w:hint="eastAsia" w:ascii="宋体" w:hAnsi="宋体"/>
          <w:szCs w:val="21"/>
        </w:rPr>
        <w:t>（1）代理服务费以《中标（成交）通知书》确定的中标（成交）金额作为计算基数，按差额定率累进法计算。</w:t>
      </w:r>
    </w:p>
    <w:p w14:paraId="1F8DCBB4">
      <w:pPr>
        <w:widowControl/>
        <w:spacing w:line="360" w:lineRule="auto"/>
        <w:ind w:firstLine="420"/>
        <w:jc w:val="left"/>
        <w:rPr>
          <w:rFonts w:ascii="宋体" w:hAnsi="宋体"/>
          <w:szCs w:val="21"/>
        </w:rPr>
      </w:pPr>
      <w:r>
        <w:rPr>
          <w:rFonts w:hint="eastAsia" w:ascii="宋体" w:hAnsi="宋体"/>
          <w:szCs w:val="21"/>
        </w:rPr>
        <w:t>（2）中标（成交）金额的各部分费率如下表：</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1E252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34283329">
            <w:pPr>
              <w:widowControl/>
              <w:spacing w:line="360" w:lineRule="auto"/>
              <w:ind w:firstLine="420"/>
              <w:jc w:val="left"/>
              <w:rPr>
                <w:rFonts w:ascii="宋体" w:hAnsi="宋体"/>
                <w:szCs w:val="21"/>
              </w:rPr>
            </w:pPr>
            <w:r>
              <w:rPr>
                <w:rFonts w:hint="eastAsia" w:ascii="宋体" w:hAnsi="宋体"/>
                <w:szCs w:val="21"/>
              </w:rPr>
              <w:t>中标（成交）金额</w:t>
            </w:r>
          </w:p>
        </w:tc>
        <w:tc>
          <w:tcPr>
            <w:tcW w:w="1799" w:type="dxa"/>
            <w:vAlign w:val="center"/>
          </w:tcPr>
          <w:p w14:paraId="3491381F">
            <w:pPr>
              <w:widowControl/>
              <w:spacing w:line="360" w:lineRule="auto"/>
              <w:ind w:firstLine="420"/>
              <w:jc w:val="left"/>
              <w:rPr>
                <w:rFonts w:ascii="宋体" w:hAnsi="宋体"/>
                <w:szCs w:val="21"/>
              </w:rPr>
            </w:pPr>
            <w:r>
              <w:rPr>
                <w:rFonts w:hint="eastAsia" w:ascii="宋体" w:hAnsi="宋体"/>
                <w:szCs w:val="21"/>
              </w:rPr>
              <w:t>货物采购</w:t>
            </w:r>
          </w:p>
        </w:tc>
        <w:tc>
          <w:tcPr>
            <w:tcW w:w="1799" w:type="dxa"/>
            <w:vAlign w:val="center"/>
          </w:tcPr>
          <w:p w14:paraId="5573FC7E">
            <w:pPr>
              <w:widowControl/>
              <w:spacing w:line="360" w:lineRule="auto"/>
              <w:ind w:firstLine="420"/>
              <w:jc w:val="left"/>
              <w:rPr>
                <w:rFonts w:ascii="宋体" w:hAnsi="宋体"/>
                <w:szCs w:val="21"/>
              </w:rPr>
            </w:pPr>
            <w:r>
              <w:rPr>
                <w:rFonts w:hint="eastAsia" w:ascii="宋体" w:hAnsi="宋体"/>
                <w:szCs w:val="21"/>
              </w:rPr>
              <w:t>服务采购</w:t>
            </w:r>
          </w:p>
        </w:tc>
        <w:tc>
          <w:tcPr>
            <w:tcW w:w="1799" w:type="dxa"/>
            <w:vAlign w:val="center"/>
          </w:tcPr>
          <w:p w14:paraId="7B3A4946">
            <w:pPr>
              <w:widowControl/>
              <w:spacing w:line="360" w:lineRule="auto"/>
              <w:ind w:firstLine="420"/>
              <w:jc w:val="left"/>
              <w:rPr>
                <w:rFonts w:ascii="宋体" w:hAnsi="宋体"/>
                <w:szCs w:val="21"/>
              </w:rPr>
            </w:pPr>
            <w:r>
              <w:rPr>
                <w:rFonts w:hint="eastAsia" w:ascii="宋体" w:hAnsi="宋体"/>
                <w:szCs w:val="21"/>
              </w:rPr>
              <w:t>工程采购</w:t>
            </w:r>
          </w:p>
        </w:tc>
      </w:tr>
      <w:tr w14:paraId="4D529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A78E919">
            <w:pPr>
              <w:widowControl/>
              <w:spacing w:line="360" w:lineRule="auto"/>
              <w:ind w:firstLine="420"/>
              <w:jc w:val="left"/>
              <w:rPr>
                <w:rFonts w:ascii="宋体" w:hAnsi="宋体"/>
                <w:szCs w:val="21"/>
              </w:rPr>
            </w:pPr>
            <w:r>
              <w:rPr>
                <w:rFonts w:hint="eastAsia" w:ascii="宋体" w:hAnsi="宋体"/>
                <w:szCs w:val="21"/>
              </w:rPr>
              <w:t>100万元以下</w:t>
            </w:r>
          </w:p>
        </w:tc>
        <w:tc>
          <w:tcPr>
            <w:tcW w:w="1799" w:type="dxa"/>
            <w:vAlign w:val="center"/>
          </w:tcPr>
          <w:p w14:paraId="6C2C8FAC">
            <w:pPr>
              <w:widowControl/>
              <w:spacing w:line="360" w:lineRule="auto"/>
              <w:ind w:firstLine="420"/>
              <w:jc w:val="left"/>
              <w:rPr>
                <w:rFonts w:ascii="宋体" w:hAnsi="宋体"/>
                <w:szCs w:val="21"/>
              </w:rPr>
            </w:pPr>
            <w:r>
              <w:rPr>
                <w:rFonts w:hint="eastAsia" w:ascii="宋体" w:hAnsi="宋体"/>
                <w:szCs w:val="21"/>
              </w:rPr>
              <w:t>1.5%</w:t>
            </w:r>
          </w:p>
        </w:tc>
        <w:tc>
          <w:tcPr>
            <w:tcW w:w="1799" w:type="dxa"/>
            <w:vAlign w:val="center"/>
          </w:tcPr>
          <w:p w14:paraId="0CB019C5">
            <w:pPr>
              <w:widowControl/>
              <w:spacing w:line="360" w:lineRule="auto"/>
              <w:ind w:firstLine="420"/>
              <w:jc w:val="left"/>
              <w:rPr>
                <w:rFonts w:ascii="宋体" w:hAnsi="宋体"/>
                <w:szCs w:val="21"/>
              </w:rPr>
            </w:pPr>
            <w:r>
              <w:rPr>
                <w:rFonts w:hint="eastAsia" w:ascii="宋体" w:hAnsi="宋体"/>
                <w:szCs w:val="21"/>
              </w:rPr>
              <w:t>1.5%</w:t>
            </w:r>
          </w:p>
        </w:tc>
        <w:tc>
          <w:tcPr>
            <w:tcW w:w="1799" w:type="dxa"/>
            <w:vAlign w:val="center"/>
          </w:tcPr>
          <w:p w14:paraId="7DEB3265">
            <w:pPr>
              <w:widowControl/>
              <w:spacing w:line="360" w:lineRule="auto"/>
              <w:ind w:firstLine="420"/>
              <w:jc w:val="left"/>
              <w:rPr>
                <w:rFonts w:ascii="宋体" w:hAnsi="宋体"/>
                <w:szCs w:val="21"/>
              </w:rPr>
            </w:pPr>
            <w:r>
              <w:rPr>
                <w:rFonts w:hint="eastAsia" w:ascii="宋体" w:hAnsi="宋体"/>
                <w:szCs w:val="21"/>
              </w:rPr>
              <w:t>1.0%</w:t>
            </w:r>
          </w:p>
        </w:tc>
      </w:tr>
      <w:tr w14:paraId="5DDE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F161B0A">
            <w:pPr>
              <w:widowControl/>
              <w:spacing w:line="360" w:lineRule="auto"/>
              <w:ind w:firstLine="420"/>
              <w:jc w:val="left"/>
              <w:rPr>
                <w:rFonts w:ascii="宋体" w:hAnsi="宋体"/>
                <w:szCs w:val="21"/>
              </w:rPr>
            </w:pPr>
            <w:r>
              <w:rPr>
                <w:rFonts w:hint="eastAsia" w:ascii="宋体" w:hAnsi="宋体"/>
                <w:szCs w:val="21"/>
              </w:rPr>
              <w:t>100万元（含）-500万元</w:t>
            </w:r>
          </w:p>
        </w:tc>
        <w:tc>
          <w:tcPr>
            <w:tcW w:w="1799" w:type="dxa"/>
            <w:vAlign w:val="center"/>
          </w:tcPr>
          <w:p w14:paraId="7F0CDD18">
            <w:pPr>
              <w:widowControl/>
              <w:spacing w:line="360" w:lineRule="auto"/>
              <w:ind w:firstLine="420"/>
              <w:jc w:val="left"/>
              <w:rPr>
                <w:rFonts w:ascii="宋体" w:hAnsi="宋体"/>
                <w:szCs w:val="21"/>
              </w:rPr>
            </w:pPr>
            <w:r>
              <w:rPr>
                <w:rFonts w:hint="eastAsia" w:ascii="宋体" w:hAnsi="宋体"/>
                <w:szCs w:val="21"/>
              </w:rPr>
              <w:t>1.1%</w:t>
            </w:r>
          </w:p>
        </w:tc>
        <w:tc>
          <w:tcPr>
            <w:tcW w:w="1799" w:type="dxa"/>
            <w:vAlign w:val="center"/>
          </w:tcPr>
          <w:p w14:paraId="5C1D8C2A">
            <w:pPr>
              <w:widowControl/>
              <w:spacing w:line="360" w:lineRule="auto"/>
              <w:ind w:firstLine="420"/>
              <w:jc w:val="left"/>
              <w:rPr>
                <w:rFonts w:ascii="宋体" w:hAnsi="宋体"/>
                <w:szCs w:val="21"/>
              </w:rPr>
            </w:pPr>
            <w:r>
              <w:rPr>
                <w:rFonts w:hint="eastAsia" w:ascii="宋体" w:hAnsi="宋体"/>
                <w:szCs w:val="21"/>
              </w:rPr>
              <w:t>0.8%</w:t>
            </w:r>
          </w:p>
        </w:tc>
        <w:tc>
          <w:tcPr>
            <w:tcW w:w="1799" w:type="dxa"/>
            <w:vAlign w:val="center"/>
          </w:tcPr>
          <w:p w14:paraId="3C4247A8">
            <w:pPr>
              <w:widowControl/>
              <w:spacing w:line="360" w:lineRule="auto"/>
              <w:ind w:firstLine="420"/>
              <w:jc w:val="left"/>
              <w:rPr>
                <w:rFonts w:ascii="宋体" w:hAnsi="宋体"/>
                <w:szCs w:val="21"/>
              </w:rPr>
            </w:pPr>
            <w:r>
              <w:rPr>
                <w:rFonts w:hint="eastAsia" w:ascii="宋体" w:hAnsi="宋体"/>
                <w:szCs w:val="21"/>
              </w:rPr>
              <w:t>0.7%</w:t>
            </w:r>
          </w:p>
        </w:tc>
      </w:tr>
      <w:tr w14:paraId="59DE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5A84FC4">
            <w:pPr>
              <w:widowControl/>
              <w:spacing w:line="360" w:lineRule="auto"/>
              <w:ind w:firstLine="420"/>
              <w:jc w:val="left"/>
              <w:rPr>
                <w:rFonts w:ascii="宋体" w:hAnsi="宋体"/>
                <w:szCs w:val="21"/>
              </w:rPr>
            </w:pPr>
            <w:r>
              <w:rPr>
                <w:rFonts w:hint="eastAsia" w:ascii="宋体" w:hAnsi="宋体"/>
                <w:szCs w:val="21"/>
              </w:rPr>
              <w:t>500万元（含）-1000万元</w:t>
            </w:r>
          </w:p>
        </w:tc>
        <w:tc>
          <w:tcPr>
            <w:tcW w:w="1799" w:type="dxa"/>
            <w:vAlign w:val="center"/>
          </w:tcPr>
          <w:p w14:paraId="5A9A1A6C">
            <w:pPr>
              <w:widowControl/>
              <w:spacing w:line="360" w:lineRule="auto"/>
              <w:ind w:firstLine="420"/>
              <w:jc w:val="left"/>
              <w:rPr>
                <w:rFonts w:ascii="宋体" w:hAnsi="宋体"/>
                <w:szCs w:val="21"/>
              </w:rPr>
            </w:pPr>
            <w:r>
              <w:rPr>
                <w:rFonts w:hint="eastAsia" w:ascii="宋体" w:hAnsi="宋体"/>
                <w:szCs w:val="21"/>
              </w:rPr>
              <w:t>0.8%</w:t>
            </w:r>
          </w:p>
        </w:tc>
        <w:tc>
          <w:tcPr>
            <w:tcW w:w="1799" w:type="dxa"/>
            <w:vAlign w:val="center"/>
          </w:tcPr>
          <w:p w14:paraId="7A9AE9F8">
            <w:pPr>
              <w:widowControl/>
              <w:spacing w:line="360" w:lineRule="auto"/>
              <w:ind w:firstLine="420"/>
              <w:jc w:val="left"/>
              <w:rPr>
                <w:rFonts w:ascii="宋体" w:hAnsi="宋体"/>
                <w:szCs w:val="21"/>
              </w:rPr>
            </w:pPr>
            <w:r>
              <w:rPr>
                <w:rFonts w:hint="eastAsia" w:ascii="宋体" w:hAnsi="宋体"/>
                <w:szCs w:val="21"/>
              </w:rPr>
              <w:t>0.45%</w:t>
            </w:r>
          </w:p>
        </w:tc>
        <w:tc>
          <w:tcPr>
            <w:tcW w:w="1799" w:type="dxa"/>
            <w:vAlign w:val="center"/>
          </w:tcPr>
          <w:p w14:paraId="320D2FFB">
            <w:pPr>
              <w:widowControl/>
              <w:spacing w:line="360" w:lineRule="auto"/>
              <w:ind w:firstLine="420"/>
              <w:jc w:val="left"/>
              <w:rPr>
                <w:rFonts w:ascii="宋体" w:hAnsi="宋体"/>
                <w:szCs w:val="21"/>
              </w:rPr>
            </w:pPr>
            <w:r>
              <w:rPr>
                <w:rFonts w:hint="eastAsia" w:ascii="宋体" w:hAnsi="宋体"/>
                <w:szCs w:val="21"/>
              </w:rPr>
              <w:t>0.55%</w:t>
            </w:r>
          </w:p>
        </w:tc>
      </w:tr>
      <w:tr w14:paraId="5066F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871AEAE">
            <w:pPr>
              <w:widowControl/>
              <w:spacing w:line="360" w:lineRule="auto"/>
              <w:ind w:firstLine="420"/>
              <w:jc w:val="left"/>
              <w:rPr>
                <w:rFonts w:ascii="宋体" w:hAnsi="宋体"/>
                <w:szCs w:val="21"/>
              </w:rPr>
            </w:pPr>
            <w:r>
              <w:rPr>
                <w:rFonts w:hint="eastAsia" w:ascii="宋体" w:hAnsi="宋体"/>
                <w:szCs w:val="21"/>
              </w:rPr>
              <w:t>1000万元（含）-5000万元</w:t>
            </w:r>
          </w:p>
        </w:tc>
        <w:tc>
          <w:tcPr>
            <w:tcW w:w="1799" w:type="dxa"/>
            <w:vAlign w:val="center"/>
          </w:tcPr>
          <w:p w14:paraId="578D2A96">
            <w:pPr>
              <w:widowControl/>
              <w:spacing w:line="360" w:lineRule="auto"/>
              <w:ind w:firstLine="420"/>
              <w:jc w:val="left"/>
              <w:rPr>
                <w:rFonts w:ascii="宋体" w:hAnsi="宋体"/>
                <w:szCs w:val="21"/>
              </w:rPr>
            </w:pPr>
            <w:r>
              <w:rPr>
                <w:rFonts w:hint="eastAsia" w:ascii="宋体" w:hAnsi="宋体"/>
                <w:szCs w:val="21"/>
              </w:rPr>
              <w:t>0.5%</w:t>
            </w:r>
          </w:p>
        </w:tc>
        <w:tc>
          <w:tcPr>
            <w:tcW w:w="1799" w:type="dxa"/>
            <w:vAlign w:val="center"/>
          </w:tcPr>
          <w:p w14:paraId="49799455">
            <w:pPr>
              <w:widowControl/>
              <w:spacing w:line="360" w:lineRule="auto"/>
              <w:ind w:firstLine="420"/>
              <w:jc w:val="left"/>
              <w:rPr>
                <w:rFonts w:ascii="宋体" w:hAnsi="宋体"/>
                <w:szCs w:val="21"/>
              </w:rPr>
            </w:pPr>
            <w:r>
              <w:rPr>
                <w:rFonts w:hint="eastAsia" w:ascii="宋体" w:hAnsi="宋体"/>
                <w:szCs w:val="21"/>
              </w:rPr>
              <w:t>0.25%</w:t>
            </w:r>
          </w:p>
        </w:tc>
        <w:tc>
          <w:tcPr>
            <w:tcW w:w="1799" w:type="dxa"/>
            <w:vAlign w:val="center"/>
          </w:tcPr>
          <w:p w14:paraId="04D0CE47">
            <w:pPr>
              <w:widowControl/>
              <w:spacing w:line="360" w:lineRule="auto"/>
              <w:ind w:firstLine="420"/>
              <w:jc w:val="left"/>
              <w:rPr>
                <w:rFonts w:ascii="宋体" w:hAnsi="宋体"/>
                <w:szCs w:val="21"/>
              </w:rPr>
            </w:pPr>
            <w:r>
              <w:rPr>
                <w:rFonts w:hint="eastAsia" w:ascii="宋体" w:hAnsi="宋体"/>
                <w:szCs w:val="21"/>
              </w:rPr>
              <w:t>0.35%</w:t>
            </w:r>
          </w:p>
        </w:tc>
      </w:tr>
      <w:tr w14:paraId="10B4F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0030A6B">
            <w:pPr>
              <w:widowControl/>
              <w:spacing w:line="360" w:lineRule="auto"/>
              <w:ind w:firstLine="420"/>
              <w:jc w:val="left"/>
              <w:rPr>
                <w:rFonts w:ascii="宋体" w:hAnsi="宋体"/>
                <w:szCs w:val="21"/>
              </w:rPr>
            </w:pPr>
            <w:r>
              <w:rPr>
                <w:rFonts w:hint="eastAsia" w:ascii="宋体" w:hAnsi="宋体"/>
                <w:szCs w:val="21"/>
              </w:rPr>
              <w:t>5000万元（含）-1亿元</w:t>
            </w:r>
          </w:p>
        </w:tc>
        <w:tc>
          <w:tcPr>
            <w:tcW w:w="1799" w:type="dxa"/>
            <w:vAlign w:val="center"/>
          </w:tcPr>
          <w:p w14:paraId="25ED630F">
            <w:pPr>
              <w:widowControl/>
              <w:spacing w:line="360" w:lineRule="auto"/>
              <w:ind w:firstLine="420"/>
              <w:jc w:val="left"/>
              <w:rPr>
                <w:rFonts w:ascii="宋体" w:hAnsi="宋体"/>
                <w:szCs w:val="21"/>
              </w:rPr>
            </w:pPr>
            <w:r>
              <w:rPr>
                <w:rFonts w:hint="eastAsia" w:ascii="宋体" w:hAnsi="宋体"/>
                <w:szCs w:val="21"/>
              </w:rPr>
              <w:t>0.25%</w:t>
            </w:r>
          </w:p>
        </w:tc>
        <w:tc>
          <w:tcPr>
            <w:tcW w:w="1799" w:type="dxa"/>
            <w:vAlign w:val="center"/>
          </w:tcPr>
          <w:p w14:paraId="62920AC6">
            <w:pPr>
              <w:widowControl/>
              <w:spacing w:line="360" w:lineRule="auto"/>
              <w:ind w:firstLine="420"/>
              <w:jc w:val="left"/>
              <w:rPr>
                <w:rFonts w:ascii="宋体" w:hAnsi="宋体"/>
                <w:szCs w:val="21"/>
              </w:rPr>
            </w:pPr>
            <w:r>
              <w:rPr>
                <w:rFonts w:hint="eastAsia" w:ascii="宋体" w:hAnsi="宋体"/>
                <w:szCs w:val="21"/>
              </w:rPr>
              <w:t>0.1%</w:t>
            </w:r>
          </w:p>
        </w:tc>
        <w:tc>
          <w:tcPr>
            <w:tcW w:w="1799" w:type="dxa"/>
            <w:vAlign w:val="center"/>
          </w:tcPr>
          <w:p w14:paraId="7A7C5FDD">
            <w:pPr>
              <w:widowControl/>
              <w:spacing w:line="360" w:lineRule="auto"/>
              <w:ind w:firstLine="420"/>
              <w:jc w:val="left"/>
              <w:rPr>
                <w:rFonts w:ascii="宋体" w:hAnsi="宋体"/>
                <w:szCs w:val="21"/>
              </w:rPr>
            </w:pPr>
            <w:r>
              <w:rPr>
                <w:rFonts w:hint="eastAsia" w:ascii="宋体" w:hAnsi="宋体"/>
                <w:szCs w:val="21"/>
              </w:rPr>
              <w:t>0.2%</w:t>
            </w:r>
          </w:p>
        </w:tc>
      </w:tr>
      <w:tr w14:paraId="75CF9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07B0539">
            <w:pPr>
              <w:widowControl/>
              <w:spacing w:line="360" w:lineRule="auto"/>
              <w:ind w:firstLine="420"/>
              <w:jc w:val="left"/>
              <w:rPr>
                <w:rFonts w:ascii="宋体" w:hAnsi="宋体"/>
                <w:szCs w:val="21"/>
              </w:rPr>
            </w:pPr>
            <w:r>
              <w:rPr>
                <w:rFonts w:hint="eastAsia" w:ascii="宋体" w:hAnsi="宋体"/>
                <w:szCs w:val="21"/>
              </w:rPr>
              <w:t>1亿元（含）-5亿元</w:t>
            </w:r>
          </w:p>
        </w:tc>
        <w:tc>
          <w:tcPr>
            <w:tcW w:w="1799" w:type="dxa"/>
            <w:vAlign w:val="center"/>
          </w:tcPr>
          <w:p w14:paraId="5E69FE3E">
            <w:pPr>
              <w:widowControl/>
              <w:spacing w:line="360" w:lineRule="auto"/>
              <w:ind w:firstLine="420"/>
              <w:jc w:val="left"/>
              <w:rPr>
                <w:rFonts w:ascii="宋体" w:hAnsi="宋体"/>
                <w:szCs w:val="21"/>
              </w:rPr>
            </w:pPr>
            <w:r>
              <w:rPr>
                <w:rFonts w:hint="eastAsia" w:ascii="宋体" w:hAnsi="宋体"/>
                <w:szCs w:val="21"/>
              </w:rPr>
              <w:t>0.05%</w:t>
            </w:r>
          </w:p>
        </w:tc>
        <w:tc>
          <w:tcPr>
            <w:tcW w:w="1799" w:type="dxa"/>
            <w:vAlign w:val="center"/>
          </w:tcPr>
          <w:p w14:paraId="12AD5C73">
            <w:pPr>
              <w:widowControl/>
              <w:spacing w:line="360" w:lineRule="auto"/>
              <w:ind w:firstLine="420"/>
              <w:jc w:val="left"/>
              <w:rPr>
                <w:rFonts w:ascii="宋体" w:hAnsi="宋体"/>
                <w:szCs w:val="21"/>
              </w:rPr>
            </w:pPr>
            <w:r>
              <w:rPr>
                <w:rFonts w:hint="eastAsia" w:ascii="宋体" w:hAnsi="宋体"/>
                <w:szCs w:val="21"/>
              </w:rPr>
              <w:t>0.05%</w:t>
            </w:r>
          </w:p>
        </w:tc>
        <w:tc>
          <w:tcPr>
            <w:tcW w:w="1799" w:type="dxa"/>
            <w:vAlign w:val="center"/>
          </w:tcPr>
          <w:p w14:paraId="36BA169B">
            <w:pPr>
              <w:widowControl/>
              <w:spacing w:line="360" w:lineRule="auto"/>
              <w:ind w:firstLine="420"/>
              <w:jc w:val="left"/>
              <w:rPr>
                <w:rFonts w:ascii="宋体" w:hAnsi="宋体"/>
                <w:szCs w:val="21"/>
              </w:rPr>
            </w:pPr>
            <w:r>
              <w:rPr>
                <w:rFonts w:hint="eastAsia" w:ascii="宋体" w:hAnsi="宋体"/>
                <w:szCs w:val="21"/>
              </w:rPr>
              <w:t>0.05%</w:t>
            </w:r>
          </w:p>
        </w:tc>
      </w:tr>
      <w:tr w14:paraId="7A403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2132FC2">
            <w:pPr>
              <w:widowControl/>
              <w:spacing w:line="360" w:lineRule="auto"/>
              <w:ind w:firstLine="420"/>
              <w:jc w:val="left"/>
              <w:rPr>
                <w:rFonts w:ascii="宋体" w:hAnsi="宋体"/>
                <w:szCs w:val="21"/>
              </w:rPr>
            </w:pPr>
            <w:r>
              <w:rPr>
                <w:rFonts w:hint="eastAsia" w:ascii="宋体" w:hAnsi="宋体"/>
                <w:szCs w:val="21"/>
              </w:rPr>
              <w:t>5亿元（含）-10亿元</w:t>
            </w:r>
          </w:p>
        </w:tc>
        <w:tc>
          <w:tcPr>
            <w:tcW w:w="1799" w:type="dxa"/>
            <w:vAlign w:val="center"/>
          </w:tcPr>
          <w:p w14:paraId="1B67F405">
            <w:pPr>
              <w:widowControl/>
              <w:spacing w:line="360" w:lineRule="auto"/>
              <w:ind w:firstLine="420"/>
              <w:jc w:val="left"/>
              <w:rPr>
                <w:rFonts w:ascii="宋体" w:hAnsi="宋体"/>
                <w:szCs w:val="21"/>
              </w:rPr>
            </w:pPr>
            <w:r>
              <w:rPr>
                <w:rFonts w:hint="eastAsia" w:ascii="宋体" w:hAnsi="宋体"/>
                <w:szCs w:val="21"/>
              </w:rPr>
              <w:t>0.035%</w:t>
            </w:r>
          </w:p>
        </w:tc>
        <w:tc>
          <w:tcPr>
            <w:tcW w:w="1799" w:type="dxa"/>
            <w:vAlign w:val="center"/>
          </w:tcPr>
          <w:p w14:paraId="12DEE36E">
            <w:pPr>
              <w:widowControl/>
              <w:spacing w:line="360" w:lineRule="auto"/>
              <w:ind w:firstLine="420"/>
              <w:jc w:val="left"/>
              <w:rPr>
                <w:rFonts w:ascii="宋体" w:hAnsi="宋体"/>
                <w:szCs w:val="21"/>
              </w:rPr>
            </w:pPr>
            <w:r>
              <w:rPr>
                <w:rFonts w:hint="eastAsia" w:ascii="宋体" w:hAnsi="宋体"/>
                <w:szCs w:val="21"/>
              </w:rPr>
              <w:t>0.035%</w:t>
            </w:r>
          </w:p>
        </w:tc>
        <w:tc>
          <w:tcPr>
            <w:tcW w:w="1799" w:type="dxa"/>
            <w:vAlign w:val="center"/>
          </w:tcPr>
          <w:p w14:paraId="4DD0C091">
            <w:pPr>
              <w:widowControl/>
              <w:spacing w:line="360" w:lineRule="auto"/>
              <w:ind w:firstLine="420"/>
              <w:jc w:val="left"/>
              <w:rPr>
                <w:rFonts w:ascii="宋体" w:hAnsi="宋体"/>
                <w:szCs w:val="21"/>
              </w:rPr>
            </w:pPr>
            <w:r>
              <w:rPr>
                <w:rFonts w:hint="eastAsia" w:ascii="宋体" w:hAnsi="宋体"/>
                <w:szCs w:val="21"/>
              </w:rPr>
              <w:t>0.035%</w:t>
            </w:r>
          </w:p>
        </w:tc>
      </w:tr>
      <w:tr w14:paraId="7ED4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CC0C5FA">
            <w:pPr>
              <w:widowControl/>
              <w:spacing w:line="360" w:lineRule="auto"/>
              <w:ind w:firstLine="420"/>
              <w:jc w:val="left"/>
              <w:rPr>
                <w:rFonts w:ascii="宋体" w:hAnsi="宋体"/>
                <w:szCs w:val="21"/>
              </w:rPr>
            </w:pPr>
            <w:r>
              <w:rPr>
                <w:rFonts w:hint="eastAsia" w:ascii="宋体" w:hAnsi="宋体"/>
                <w:szCs w:val="21"/>
              </w:rPr>
              <w:t>10亿元（含）-50亿元</w:t>
            </w:r>
          </w:p>
        </w:tc>
        <w:tc>
          <w:tcPr>
            <w:tcW w:w="1799" w:type="dxa"/>
            <w:vAlign w:val="center"/>
          </w:tcPr>
          <w:p w14:paraId="63BB7767">
            <w:pPr>
              <w:widowControl/>
              <w:spacing w:line="360" w:lineRule="auto"/>
              <w:ind w:firstLine="420"/>
              <w:jc w:val="left"/>
              <w:rPr>
                <w:rFonts w:ascii="宋体" w:hAnsi="宋体"/>
                <w:szCs w:val="21"/>
              </w:rPr>
            </w:pPr>
            <w:r>
              <w:rPr>
                <w:rFonts w:hint="eastAsia" w:ascii="宋体" w:hAnsi="宋体"/>
                <w:szCs w:val="21"/>
              </w:rPr>
              <w:t>0.008%</w:t>
            </w:r>
          </w:p>
        </w:tc>
        <w:tc>
          <w:tcPr>
            <w:tcW w:w="1799" w:type="dxa"/>
            <w:vAlign w:val="center"/>
          </w:tcPr>
          <w:p w14:paraId="71FA8EA4">
            <w:pPr>
              <w:widowControl/>
              <w:spacing w:line="360" w:lineRule="auto"/>
              <w:ind w:firstLine="420"/>
              <w:jc w:val="left"/>
              <w:rPr>
                <w:rFonts w:ascii="宋体" w:hAnsi="宋体"/>
                <w:szCs w:val="21"/>
              </w:rPr>
            </w:pPr>
            <w:r>
              <w:rPr>
                <w:rFonts w:hint="eastAsia" w:ascii="宋体" w:hAnsi="宋体"/>
                <w:szCs w:val="21"/>
              </w:rPr>
              <w:t>0.008%</w:t>
            </w:r>
          </w:p>
        </w:tc>
        <w:tc>
          <w:tcPr>
            <w:tcW w:w="1799" w:type="dxa"/>
            <w:vAlign w:val="center"/>
          </w:tcPr>
          <w:p w14:paraId="33C22390">
            <w:pPr>
              <w:widowControl/>
              <w:spacing w:line="360" w:lineRule="auto"/>
              <w:ind w:firstLine="420"/>
              <w:jc w:val="left"/>
              <w:rPr>
                <w:rFonts w:ascii="宋体" w:hAnsi="宋体"/>
                <w:szCs w:val="21"/>
              </w:rPr>
            </w:pPr>
            <w:r>
              <w:rPr>
                <w:rFonts w:hint="eastAsia" w:ascii="宋体" w:hAnsi="宋体"/>
                <w:szCs w:val="21"/>
              </w:rPr>
              <w:t>0.008%</w:t>
            </w:r>
          </w:p>
        </w:tc>
      </w:tr>
      <w:tr w14:paraId="758B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B3D4D46">
            <w:pPr>
              <w:widowControl/>
              <w:spacing w:line="360" w:lineRule="auto"/>
              <w:ind w:firstLine="420"/>
              <w:jc w:val="left"/>
              <w:rPr>
                <w:rFonts w:ascii="宋体" w:hAnsi="宋体"/>
                <w:szCs w:val="21"/>
              </w:rPr>
            </w:pPr>
            <w:r>
              <w:rPr>
                <w:rFonts w:hint="eastAsia" w:ascii="宋体" w:hAnsi="宋体"/>
                <w:szCs w:val="21"/>
              </w:rPr>
              <w:t>50亿元（含）-100亿元</w:t>
            </w:r>
          </w:p>
        </w:tc>
        <w:tc>
          <w:tcPr>
            <w:tcW w:w="1799" w:type="dxa"/>
            <w:vAlign w:val="center"/>
          </w:tcPr>
          <w:p w14:paraId="5D2EBDB2">
            <w:pPr>
              <w:widowControl/>
              <w:spacing w:line="360" w:lineRule="auto"/>
              <w:ind w:firstLine="420"/>
              <w:jc w:val="left"/>
              <w:rPr>
                <w:rFonts w:ascii="宋体" w:hAnsi="宋体"/>
                <w:szCs w:val="21"/>
              </w:rPr>
            </w:pPr>
            <w:r>
              <w:rPr>
                <w:rFonts w:hint="eastAsia" w:ascii="宋体" w:hAnsi="宋体"/>
                <w:szCs w:val="21"/>
              </w:rPr>
              <w:t>0.006%</w:t>
            </w:r>
          </w:p>
        </w:tc>
        <w:tc>
          <w:tcPr>
            <w:tcW w:w="1799" w:type="dxa"/>
            <w:vAlign w:val="center"/>
          </w:tcPr>
          <w:p w14:paraId="5E1CF121">
            <w:pPr>
              <w:widowControl/>
              <w:spacing w:line="360" w:lineRule="auto"/>
              <w:ind w:firstLine="420"/>
              <w:jc w:val="left"/>
              <w:rPr>
                <w:rFonts w:ascii="宋体" w:hAnsi="宋体"/>
                <w:szCs w:val="21"/>
              </w:rPr>
            </w:pPr>
            <w:r>
              <w:rPr>
                <w:rFonts w:hint="eastAsia" w:ascii="宋体" w:hAnsi="宋体"/>
                <w:szCs w:val="21"/>
              </w:rPr>
              <w:t>0.006%</w:t>
            </w:r>
          </w:p>
        </w:tc>
        <w:tc>
          <w:tcPr>
            <w:tcW w:w="1799" w:type="dxa"/>
            <w:vAlign w:val="center"/>
          </w:tcPr>
          <w:p w14:paraId="251B7650">
            <w:pPr>
              <w:widowControl/>
              <w:spacing w:line="360" w:lineRule="auto"/>
              <w:ind w:firstLine="420"/>
              <w:jc w:val="left"/>
              <w:rPr>
                <w:rFonts w:ascii="宋体" w:hAnsi="宋体"/>
                <w:szCs w:val="21"/>
              </w:rPr>
            </w:pPr>
            <w:r>
              <w:rPr>
                <w:rFonts w:hint="eastAsia" w:ascii="宋体" w:hAnsi="宋体"/>
                <w:szCs w:val="21"/>
              </w:rPr>
              <w:t>0.006%</w:t>
            </w:r>
          </w:p>
        </w:tc>
      </w:tr>
      <w:tr w14:paraId="6F504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DA8403C">
            <w:pPr>
              <w:widowControl/>
              <w:spacing w:line="360" w:lineRule="auto"/>
              <w:ind w:firstLine="420"/>
              <w:jc w:val="left"/>
              <w:rPr>
                <w:rFonts w:ascii="宋体" w:hAnsi="宋体"/>
                <w:szCs w:val="21"/>
              </w:rPr>
            </w:pPr>
            <w:r>
              <w:rPr>
                <w:rFonts w:hint="eastAsia" w:ascii="宋体" w:hAnsi="宋体"/>
                <w:szCs w:val="21"/>
              </w:rPr>
              <w:t>100亿元（含）以上</w:t>
            </w:r>
          </w:p>
        </w:tc>
        <w:tc>
          <w:tcPr>
            <w:tcW w:w="1799" w:type="dxa"/>
            <w:vAlign w:val="center"/>
          </w:tcPr>
          <w:p w14:paraId="69A9382F">
            <w:pPr>
              <w:widowControl/>
              <w:spacing w:line="360" w:lineRule="auto"/>
              <w:ind w:firstLine="420"/>
              <w:jc w:val="left"/>
              <w:rPr>
                <w:rFonts w:ascii="宋体" w:hAnsi="宋体"/>
                <w:szCs w:val="21"/>
              </w:rPr>
            </w:pPr>
            <w:r>
              <w:rPr>
                <w:rFonts w:hint="eastAsia" w:ascii="宋体" w:hAnsi="宋体"/>
                <w:szCs w:val="21"/>
              </w:rPr>
              <w:t>0.004%</w:t>
            </w:r>
          </w:p>
        </w:tc>
        <w:tc>
          <w:tcPr>
            <w:tcW w:w="1799" w:type="dxa"/>
            <w:vAlign w:val="center"/>
          </w:tcPr>
          <w:p w14:paraId="2A33E910">
            <w:pPr>
              <w:widowControl/>
              <w:spacing w:line="360" w:lineRule="auto"/>
              <w:ind w:firstLine="420"/>
              <w:jc w:val="left"/>
              <w:rPr>
                <w:rFonts w:ascii="宋体" w:hAnsi="宋体"/>
                <w:szCs w:val="21"/>
              </w:rPr>
            </w:pPr>
            <w:r>
              <w:rPr>
                <w:rFonts w:hint="eastAsia" w:ascii="宋体" w:hAnsi="宋体"/>
                <w:szCs w:val="21"/>
              </w:rPr>
              <w:t>0.004%</w:t>
            </w:r>
          </w:p>
        </w:tc>
        <w:tc>
          <w:tcPr>
            <w:tcW w:w="1799" w:type="dxa"/>
            <w:vAlign w:val="center"/>
          </w:tcPr>
          <w:p w14:paraId="7C75223C">
            <w:pPr>
              <w:widowControl/>
              <w:spacing w:line="360" w:lineRule="auto"/>
              <w:ind w:firstLine="420"/>
              <w:jc w:val="left"/>
              <w:rPr>
                <w:rFonts w:ascii="宋体" w:hAnsi="宋体"/>
                <w:szCs w:val="21"/>
              </w:rPr>
            </w:pPr>
            <w:r>
              <w:rPr>
                <w:rFonts w:hint="eastAsia" w:ascii="宋体" w:hAnsi="宋体"/>
                <w:szCs w:val="21"/>
              </w:rPr>
              <w:t>0.004%</w:t>
            </w:r>
          </w:p>
        </w:tc>
      </w:tr>
    </w:tbl>
    <w:p w14:paraId="74F02216">
      <w:pPr>
        <w:widowControl/>
        <w:spacing w:line="360" w:lineRule="auto"/>
        <w:ind w:firstLine="420"/>
        <w:jc w:val="left"/>
        <w:rPr>
          <w:rFonts w:ascii="宋体" w:hAnsi="宋体"/>
          <w:szCs w:val="21"/>
          <w:highlight w:val="yellow"/>
        </w:rPr>
      </w:pPr>
      <w:r>
        <w:rPr>
          <w:rFonts w:hint="eastAsia" w:ascii="宋体" w:hAnsi="宋体"/>
          <w:szCs w:val="21"/>
        </w:rPr>
        <w:t>备注：1.每宗交易代理服务费不低于 最低收费不低于人民币5000元。代理服务费用超过5000元，则按国家计费规定收取代理服务费。</w:t>
      </w:r>
    </w:p>
    <w:p w14:paraId="7C4C32ED">
      <w:pPr>
        <w:widowControl/>
        <w:spacing w:line="360" w:lineRule="auto"/>
        <w:ind w:firstLine="420"/>
        <w:jc w:val="left"/>
        <w:rPr>
          <w:rFonts w:ascii="宋体" w:hAnsi="宋体"/>
          <w:szCs w:val="21"/>
        </w:rPr>
      </w:pPr>
      <w:r>
        <w:rPr>
          <w:rFonts w:hint="eastAsia" w:ascii="宋体" w:hAnsi="宋体"/>
          <w:szCs w:val="21"/>
        </w:rPr>
        <w:t>2.对于报总价的采购类项目，中标（成交）价为中标（成交）金额；对于报单价或折扣或费率的采购类项目，中标（成交）价为预算上限金额或经委托方与代理方确定的支付上限金额。</w:t>
      </w:r>
    </w:p>
    <w:p w14:paraId="7C7017A6">
      <w:pPr>
        <w:widowControl/>
        <w:spacing w:line="360" w:lineRule="auto"/>
        <w:ind w:firstLine="420"/>
        <w:jc w:val="left"/>
        <w:rPr>
          <w:rFonts w:ascii="宋体" w:hAnsi="宋体"/>
          <w:szCs w:val="21"/>
        </w:rPr>
      </w:pPr>
      <w:r>
        <w:rPr>
          <w:rFonts w:hint="eastAsia" w:ascii="宋体" w:hAnsi="宋体"/>
          <w:szCs w:val="21"/>
        </w:rPr>
        <w:t>如某货物采购项目，中标（成交）金额为600万元，总共交纳的代理服务费的具体计算过程如下：</w:t>
      </w:r>
    </w:p>
    <w:p w14:paraId="64876724">
      <w:pPr>
        <w:widowControl/>
        <w:spacing w:line="360" w:lineRule="auto"/>
        <w:ind w:firstLine="420"/>
        <w:jc w:val="left"/>
        <w:rPr>
          <w:rFonts w:ascii="宋体" w:hAnsi="宋体"/>
          <w:szCs w:val="21"/>
        </w:rPr>
      </w:pPr>
      <w:r>
        <w:rPr>
          <w:rFonts w:hint="eastAsia" w:ascii="宋体" w:hAnsi="宋体"/>
          <w:szCs w:val="21"/>
        </w:rPr>
        <w:t>标准代理服务费＝（100万以下部分的代理服务费）+（100万～500万部分的代理服务费）+（500万～600万部分的代理服务费）＝100万元×1.5%+（500-100）万元×1.1%+（600-500）万元×0.8%=1.5万元+4.4万元+0.8万元＝6.7万元</w:t>
      </w:r>
    </w:p>
    <w:p w14:paraId="20409AFD">
      <w:pPr>
        <w:widowControl/>
        <w:spacing w:line="360" w:lineRule="auto"/>
        <w:ind w:firstLine="420"/>
        <w:jc w:val="left"/>
        <w:rPr>
          <w:rFonts w:ascii="宋体" w:hAnsi="宋体" w:eastAsia="黑体" w:cs="Times New Roman"/>
          <w:bCs/>
          <w:kern w:val="44"/>
          <w:szCs w:val="21"/>
        </w:rPr>
      </w:pPr>
      <w:r>
        <w:rPr>
          <w:rFonts w:hint="eastAsia" w:ascii="宋体" w:hAnsi="宋体"/>
          <w:szCs w:val="21"/>
        </w:rPr>
        <w:t>（3）中标（成交）供应商成交后，必须按规定采用银行对公转账方式向深圳市千里招标代理有限公司直接交纳代理服务费，交纳信息及要求按照缴款（付款）通知书执行。</w:t>
      </w:r>
    </w:p>
    <w:p w14:paraId="5E7E58C5">
      <w:pPr>
        <w:widowControl/>
        <w:spacing w:line="360" w:lineRule="auto"/>
        <w:ind w:firstLine="420"/>
        <w:jc w:val="left"/>
        <w:rPr>
          <w:rFonts w:ascii="宋体" w:hAnsi="宋体"/>
          <w:szCs w:val="21"/>
        </w:rPr>
      </w:pPr>
      <w:r>
        <w:rPr>
          <w:rFonts w:hint="eastAsia" w:ascii="宋体" w:hAnsi="宋体"/>
          <w:szCs w:val="21"/>
        </w:rPr>
        <w:t>收款单位：深圳市千里招标代理有限公司</w:t>
      </w:r>
    </w:p>
    <w:p w14:paraId="450C2147">
      <w:pPr>
        <w:widowControl/>
        <w:spacing w:line="360" w:lineRule="auto"/>
        <w:ind w:firstLine="420"/>
        <w:jc w:val="left"/>
        <w:rPr>
          <w:rFonts w:ascii="宋体" w:hAnsi="宋体"/>
          <w:szCs w:val="21"/>
        </w:rPr>
      </w:pPr>
      <w:r>
        <w:rPr>
          <w:rFonts w:hint="eastAsia" w:ascii="宋体" w:hAnsi="宋体"/>
          <w:szCs w:val="21"/>
        </w:rPr>
        <w:t>开户银行：中国平安银行深圳创业路支行</w:t>
      </w:r>
    </w:p>
    <w:p w14:paraId="39652E4A">
      <w:pPr>
        <w:widowControl/>
        <w:spacing w:line="360" w:lineRule="auto"/>
        <w:ind w:firstLine="420"/>
        <w:jc w:val="left"/>
        <w:rPr>
          <w:rFonts w:ascii="宋体" w:hAnsi="宋体"/>
          <w:szCs w:val="21"/>
        </w:rPr>
      </w:pPr>
      <w:r>
        <w:rPr>
          <w:rFonts w:hint="eastAsia" w:ascii="宋体" w:hAnsi="宋体"/>
          <w:szCs w:val="21"/>
        </w:rPr>
        <w:t>帐号：（人民币）15000094959311（用于支付标书费和中标服务费）</w:t>
      </w:r>
    </w:p>
    <w:p w14:paraId="79664930">
      <w:pPr>
        <w:widowControl/>
        <w:spacing w:line="360" w:lineRule="auto"/>
        <w:ind w:firstLine="420"/>
        <w:jc w:val="left"/>
        <w:rPr>
          <w:rFonts w:ascii="宋体" w:hAnsi="宋体" w:eastAsia="黑体" w:cs="Times New Roman"/>
          <w:bCs/>
          <w:kern w:val="44"/>
          <w:szCs w:val="21"/>
        </w:rPr>
      </w:pPr>
      <w:r>
        <w:rPr>
          <w:rFonts w:hint="eastAsia" w:ascii="宋体" w:hAnsi="宋体"/>
          <w:szCs w:val="21"/>
        </w:rPr>
        <w:t>招标代理服务费以转账、银行汇票形式交付。</w:t>
      </w:r>
    </w:p>
    <w:p w14:paraId="4342F44B">
      <w:pPr>
        <w:widowControl/>
        <w:jc w:val="left"/>
        <w:rPr>
          <w:rFonts w:ascii="宋体" w:hAnsi="宋体" w:eastAsia="黑体" w:cs="Times New Roman"/>
          <w:bCs/>
          <w:kern w:val="44"/>
          <w:sz w:val="28"/>
          <w:szCs w:val="44"/>
        </w:rPr>
      </w:pPr>
      <w:r>
        <w:rPr>
          <w:rFonts w:ascii="宋体" w:hAnsi="宋体" w:eastAsia="黑体" w:cs="Times New Roman"/>
          <w:bCs/>
          <w:kern w:val="44"/>
          <w:sz w:val="28"/>
          <w:szCs w:val="44"/>
        </w:rPr>
        <w:br w:type="page"/>
      </w:r>
    </w:p>
    <w:p w14:paraId="75BF531F">
      <w:pPr>
        <w:keepNext/>
        <w:keepLines/>
        <w:adjustRightInd w:val="0"/>
        <w:spacing w:before="260" w:after="260"/>
        <w:jc w:val="center"/>
        <w:textAlignment w:val="baseline"/>
        <w:outlineLvl w:val="1"/>
        <w:rPr>
          <w:rFonts w:ascii="宋体" w:hAnsi="宋体" w:eastAsia="宋体" w:cs="Times New Roman"/>
          <w:b/>
          <w:bCs/>
          <w:kern w:val="0"/>
          <w:sz w:val="28"/>
          <w:szCs w:val="28"/>
        </w:rPr>
      </w:pPr>
      <w:r>
        <w:rPr>
          <w:rFonts w:hint="eastAsia" w:ascii="宋体" w:hAnsi="宋体" w:eastAsia="宋体" w:cs="Times New Roman"/>
          <w:b/>
          <w:bCs/>
          <w:kern w:val="0"/>
          <w:sz w:val="28"/>
          <w:szCs w:val="28"/>
        </w:rPr>
        <w:t>第三章 用户需求书</w:t>
      </w:r>
    </w:p>
    <w:p w14:paraId="37640BBA">
      <w:pPr>
        <w:keepNext/>
        <w:keepLines/>
        <w:tabs>
          <w:tab w:val="left" w:pos="1680"/>
        </w:tabs>
        <w:spacing w:before="260"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一、项目基本信息</w:t>
      </w:r>
    </w:p>
    <w:tbl>
      <w:tblPr>
        <w:tblStyle w:val="17"/>
        <w:tblW w:w="10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642"/>
        <w:gridCol w:w="2438"/>
        <w:gridCol w:w="2631"/>
        <w:gridCol w:w="2373"/>
        <w:gridCol w:w="2373"/>
      </w:tblGrid>
      <w:tr w14:paraId="7A394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08" w:hRule="atLeast"/>
          <w:jc w:val="center"/>
        </w:trPr>
        <w:tc>
          <w:tcPr>
            <w:tcW w:w="642" w:type="dxa"/>
            <w:tcBorders>
              <w:tl2br w:val="nil"/>
              <w:tr2bl w:val="nil"/>
            </w:tcBorders>
            <w:shd w:val="clear" w:color="auto" w:fill="C6D9F0" w:themeFill="text2" w:themeFillTint="33"/>
            <w:vAlign w:val="center"/>
          </w:tcPr>
          <w:p w14:paraId="6254E291">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2438" w:type="dxa"/>
            <w:tcBorders>
              <w:tl2br w:val="nil"/>
              <w:tr2bl w:val="nil"/>
            </w:tcBorders>
            <w:shd w:val="clear" w:color="auto" w:fill="C6D9F0" w:themeFill="text2" w:themeFillTint="33"/>
            <w:vAlign w:val="center"/>
          </w:tcPr>
          <w:p w14:paraId="0CDCB30E">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项目编号</w:t>
            </w:r>
          </w:p>
        </w:tc>
        <w:tc>
          <w:tcPr>
            <w:tcW w:w="2631" w:type="dxa"/>
            <w:tcBorders>
              <w:tl2br w:val="nil"/>
              <w:tr2bl w:val="nil"/>
            </w:tcBorders>
            <w:shd w:val="clear" w:color="auto" w:fill="C6D9F0" w:themeFill="text2" w:themeFillTint="33"/>
            <w:vAlign w:val="center"/>
          </w:tcPr>
          <w:p w14:paraId="31E3E580">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项目名称</w:t>
            </w:r>
          </w:p>
        </w:tc>
        <w:tc>
          <w:tcPr>
            <w:tcW w:w="2373" w:type="dxa"/>
            <w:tcBorders>
              <w:tl2br w:val="nil"/>
              <w:tr2bl w:val="nil"/>
            </w:tcBorders>
            <w:shd w:val="clear" w:color="auto" w:fill="C6D9F0" w:themeFill="text2" w:themeFillTint="33"/>
            <w:vAlign w:val="center"/>
          </w:tcPr>
          <w:p w14:paraId="39DCD216">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财政预算限额（元）</w:t>
            </w:r>
          </w:p>
        </w:tc>
        <w:tc>
          <w:tcPr>
            <w:tcW w:w="2373" w:type="dxa"/>
            <w:tcBorders>
              <w:tl2br w:val="nil"/>
              <w:tr2bl w:val="nil"/>
            </w:tcBorders>
            <w:shd w:val="clear" w:color="auto" w:fill="C6D9F0" w:themeFill="text2" w:themeFillTint="33"/>
            <w:vAlign w:val="center"/>
          </w:tcPr>
          <w:p w14:paraId="198559C7">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本项目所属行业</w:t>
            </w:r>
          </w:p>
        </w:tc>
      </w:tr>
      <w:tr w14:paraId="2E918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22" w:hRule="atLeast"/>
          <w:jc w:val="center"/>
        </w:trPr>
        <w:tc>
          <w:tcPr>
            <w:tcW w:w="642" w:type="dxa"/>
            <w:tcBorders>
              <w:tl2br w:val="nil"/>
              <w:tr2bl w:val="nil"/>
            </w:tcBorders>
            <w:vAlign w:val="center"/>
          </w:tcPr>
          <w:p w14:paraId="0A3F2D3D">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w:t>
            </w:r>
          </w:p>
        </w:tc>
        <w:tc>
          <w:tcPr>
            <w:tcW w:w="2438" w:type="dxa"/>
            <w:tcBorders>
              <w:tl2br w:val="nil"/>
              <w:tr2bl w:val="nil"/>
            </w:tcBorders>
            <w:vAlign w:val="center"/>
          </w:tcPr>
          <w:p w14:paraId="7EF9C75E">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QTZXCG-2024-00071</w:t>
            </w:r>
          </w:p>
        </w:tc>
        <w:tc>
          <w:tcPr>
            <w:tcW w:w="2631" w:type="dxa"/>
            <w:tcBorders>
              <w:tl2br w:val="nil"/>
              <w:tr2bl w:val="nil"/>
            </w:tcBorders>
            <w:vAlign w:val="center"/>
          </w:tcPr>
          <w:p w14:paraId="446CF17A">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外墙与门头改造工程</w:t>
            </w:r>
          </w:p>
        </w:tc>
        <w:tc>
          <w:tcPr>
            <w:tcW w:w="2373" w:type="dxa"/>
            <w:tcBorders>
              <w:tl2br w:val="nil"/>
              <w:tr2bl w:val="nil"/>
            </w:tcBorders>
            <w:vAlign w:val="center"/>
          </w:tcPr>
          <w:p w14:paraId="66D0AB07">
            <w:pPr>
              <w:spacing w:line="360" w:lineRule="auto"/>
              <w:jc w:val="center"/>
              <w:rPr>
                <w:rFonts w:asciiTheme="minorEastAsia" w:hAnsiTheme="minorEastAsia" w:cstheme="minorEastAsia"/>
                <w:szCs w:val="21"/>
              </w:rPr>
            </w:pPr>
            <w:r>
              <w:rPr>
                <w:rFonts w:asciiTheme="minorEastAsia" w:hAnsiTheme="minorEastAsia" w:cstheme="minorEastAsia"/>
                <w:szCs w:val="21"/>
              </w:rPr>
              <w:t>364</w:t>
            </w:r>
            <w:r>
              <w:rPr>
                <w:rFonts w:hint="eastAsia" w:asciiTheme="minorEastAsia" w:hAnsiTheme="minorEastAsia" w:cstheme="minorEastAsia"/>
                <w:szCs w:val="21"/>
              </w:rPr>
              <w:t>,</w:t>
            </w:r>
            <w:r>
              <w:rPr>
                <w:rFonts w:asciiTheme="minorEastAsia" w:hAnsiTheme="minorEastAsia" w:cstheme="minorEastAsia"/>
                <w:szCs w:val="21"/>
              </w:rPr>
              <w:t>472.83</w:t>
            </w:r>
          </w:p>
        </w:tc>
        <w:tc>
          <w:tcPr>
            <w:tcW w:w="2373" w:type="dxa"/>
            <w:tcBorders>
              <w:tl2br w:val="nil"/>
              <w:tr2bl w:val="nil"/>
            </w:tcBorders>
            <w:vAlign w:val="center"/>
          </w:tcPr>
          <w:p w14:paraId="257DCA33">
            <w:pPr>
              <w:spacing w:line="360" w:lineRule="auto"/>
              <w:jc w:val="center"/>
              <w:rPr>
                <w:rFonts w:asciiTheme="minorEastAsia" w:hAnsiTheme="minorEastAsia" w:cstheme="minorEastAsia"/>
                <w:kern w:val="0"/>
                <w:szCs w:val="21"/>
              </w:rPr>
            </w:pPr>
            <w:r>
              <w:rPr>
                <w:rFonts w:hint="eastAsia" w:asciiTheme="minorEastAsia" w:hAnsiTheme="minorEastAsia" w:cstheme="minorEastAsia"/>
                <w:kern w:val="0"/>
                <w:szCs w:val="21"/>
              </w:rPr>
              <w:t>建筑业</w:t>
            </w:r>
          </w:p>
        </w:tc>
      </w:tr>
    </w:tbl>
    <w:p w14:paraId="1AB3325F">
      <w:pPr>
        <w:spacing w:line="360" w:lineRule="auto"/>
        <w:ind w:firstLine="482" w:firstLineChars="200"/>
        <w:rPr>
          <w:sz w:val="24"/>
          <w:szCs w:val="24"/>
        </w:rPr>
      </w:pPr>
      <w:r>
        <w:rPr>
          <w:rFonts w:hint="eastAsia" w:ascii="Arial" w:hAnsi="Arial" w:eastAsia="宋体" w:cs="Times New Roman"/>
          <w:b/>
          <w:color w:val="FF0000"/>
          <w:sz w:val="24"/>
          <w:szCs w:val="24"/>
        </w:rPr>
        <w:t>本项目评审无价格竞争，各单位开标一览表价格统一填报价格为：</w:t>
      </w:r>
      <w:r>
        <w:rPr>
          <w:rFonts w:ascii="Arial" w:hAnsi="Arial" w:eastAsia="宋体" w:cs="Times New Roman"/>
          <w:b/>
          <w:color w:val="FF0000"/>
          <w:sz w:val="24"/>
          <w:szCs w:val="24"/>
        </w:rPr>
        <w:t>364,472.83</w:t>
      </w:r>
      <w:r>
        <w:rPr>
          <w:rFonts w:hint="eastAsia" w:ascii="Arial" w:hAnsi="Arial" w:eastAsia="宋体" w:cs="Times New Roman"/>
          <w:b/>
          <w:color w:val="FF0000"/>
          <w:sz w:val="24"/>
          <w:szCs w:val="24"/>
        </w:rPr>
        <w:t>元，否则视为投标无效。</w:t>
      </w:r>
    </w:p>
    <w:p w14:paraId="4C9B51FB">
      <w:pPr>
        <w:keepNext/>
        <w:keepLines/>
        <w:tabs>
          <w:tab w:val="left" w:pos="1680"/>
        </w:tabs>
        <w:spacing w:before="260"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二、工程内容</w:t>
      </w:r>
    </w:p>
    <w:p w14:paraId="190BA0DD">
      <w:pPr>
        <w:pStyle w:val="9"/>
        <w:spacing w:before="10"/>
      </w:pPr>
      <w:r>
        <w:rPr>
          <w:rFonts w:hint="eastAsia"/>
        </w:rPr>
        <w:t>（一）项目概况：</w:t>
      </w:r>
    </w:p>
    <w:p w14:paraId="44B7B426">
      <w:pPr>
        <w:pStyle w:val="9"/>
        <w:spacing w:before="10"/>
        <w:ind w:firstLine="420" w:firstLineChars="200"/>
        <w:rPr>
          <w:b w:val="0"/>
          <w:bCs w:val="0"/>
          <w:sz w:val="21"/>
          <w:szCs w:val="21"/>
        </w:rPr>
      </w:pPr>
      <w:r>
        <w:rPr>
          <w:rFonts w:hint="eastAsia"/>
          <w:b w:val="0"/>
          <w:bCs w:val="0"/>
          <w:sz w:val="21"/>
          <w:szCs w:val="21"/>
        </w:rPr>
        <w:t xml:space="preserve">  项目内容：本项目整改的主要内容为幼儿园外墙涂料刷新与大门改造更新等。</w:t>
      </w:r>
    </w:p>
    <w:p w14:paraId="13159CDB">
      <w:pPr>
        <w:pStyle w:val="9"/>
        <w:spacing w:before="10"/>
        <w:ind w:firstLine="420" w:firstLineChars="200"/>
        <w:rPr>
          <w:b w:val="0"/>
          <w:bCs w:val="0"/>
          <w:sz w:val="21"/>
          <w:szCs w:val="21"/>
        </w:rPr>
      </w:pPr>
      <w:r>
        <w:rPr>
          <w:rFonts w:hint="eastAsia"/>
          <w:b w:val="0"/>
          <w:bCs w:val="0"/>
          <w:sz w:val="21"/>
          <w:szCs w:val="21"/>
        </w:rPr>
        <w:t xml:space="preserve">  实施地点：深圳市龙华区同胜学校附属富隆苑幼儿园</w:t>
      </w:r>
    </w:p>
    <w:p w14:paraId="46C6E7BC">
      <w:pPr>
        <w:pStyle w:val="9"/>
        <w:spacing w:before="10"/>
        <w:ind w:firstLine="420" w:firstLineChars="200"/>
        <w:rPr>
          <w:b w:val="0"/>
          <w:bCs w:val="0"/>
          <w:sz w:val="21"/>
          <w:szCs w:val="21"/>
        </w:rPr>
      </w:pPr>
      <w:r>
        <w:rPr>
          <w:rFonts w:hint="eastAsia"/>
          <w:b w:val="0"/>
          <w:bCs w:val="0"/>
          <w:sz w:val="21"/>
          <w:szCs w:val="21"/>
        </w:rPr>
        <w:t xml:space="preserve">  建设单位：深圳市龙华区同胜学校附属富隆苑幼儿园</w:t>
      </w:r>
    </w:p>
    <w:p w14:paraId="3AA359A7">
      <w:pPr>
        <w:pStyle w:val="9"/>
        <w:spacing w:before="10"/>
        <w:rPr>
          <w:b w:val="0"/>
          <w:sz w:val="21"/>
          <w:szCs w:val="21"/>
        </w:rPr>
      </w:pPr>
      <w:r>
        <w:rPr>
          <w:rFonts w:hint="eastAsia"/>
        </w:rPr>
        <w:t>（二）工程量清单（详见附件）</w:t>
      </w:r>
    </w:p>
    <w:p w14:paraId="2314E797">
      <w:pPr>
        <w:pStyle w:val="9"/>
        <w:spacing w:before="10" w:line="560" w:lineRule="exact"/>
        <w:rPr>
          <w:rFonts w:cs="宋体" w:asciiTheme="minorEastAsia" w:hAnsiTheme="minorEastAsia"/>
          <w:b w:val="0"/>
          <w:sz w:val="21"/>
          <w:szCs w:val="21"/>
        </w:rPr>
      </w:pPr>
      <w:r>
        <w:rPr>
          <w:rFonts w:hint="eastAsia" w:cs="宋体" w:asciiTheme="minorEastAsia" w:hAnsiTheme="minorEastAsia"/>
          <w:b w:val="0"/>
          <w:sz w:val="21"/>
          <w:szCs w:val="21"/>
        </w:rPr>
        <w:t>相关说明：</w:t>
      </w:r>
    </w:p>
    <w:p w14:paraId="2105037E">
      <w:pPr>
        <w:pStyle w:val="30"/>
        <w:tabs>
          <w:tab w:val="left" w:pos="1010"/>
        </w:tabs>
        <w:spacing w:line="560" w:lineRule="exact"/>
        <w:ind w:right="512"/>
        <w:jc w:val="left"/>
        <w:rPr>
          <w:rFonts w:asciiTheme="minorEastAsia" w:hAnsiTheme="minorEastAsia"/>
          <w:bCs/>
          <w:szCs w:val="21"/>
        </w:rPr>
      </w:pPr>
      <w:r>
        <w:rPr>
          <w:rFonts w:hint="eastAsia" w:asciiTheme="minorEastAsia" w:hAnsiTheme="minorEastAsia"/>
          <w:bCs/>
          <w:szCs w:val="21"/>
        </w:rPr>
        <w:t>1、本工程量清单是根据招标文件中包括的、有合同约束力的图纸以及有关工程量清单的国家标准、行业标准、合同条款中约定的工程量计算规则编制。约定计量规则中没有的子目， 其工程量按照有合同约束力的图纸所标示尺寸的理论净量计算。计量采用中华人民共和国法定计量单位。</w:t>
      </w:r>
    </w:p>
    <w:p w14:paraId="1986EB7C">
      <w:pPr>
        <w:pStyle w:val="30"/>
        <w:tabs>
          <w:tab w:val="left" w:pos="1010"/>
        </w:tabs>
        <w:spacing w:line="560" w:lineRule="exact"/>
        <w:ind w:right="512"/>
        <w:jc w:val="left"/>
        <w:rPr>
          <w:rFonts w:asciiTheme="minorEastAsia" w:hAnsiTheme="minorEastAsia"/>
          <w:bCs/>
          <w:szCs w:val="21"/>
        </w:rPr>
      </w:pPr>
      <w:r>
        <w:rPr>
          <w:rFonts w:hint="eastAsia" w:asciiTheme="minorEastAsia" w:hAnsiTheme="minorEastAsia"/>
          <w:bCs/>
          <w:szCs w:val="21"/>
        </w:rPr>
        <w:t>2、本工程量清单应与招标文件中的项目概况、通用合同条款、专用合同条款、技术标准和要求及图纸等一起阅读和理解。</w:t>
      </w:r>
    </w:p>
    <w:p w14:paraId="69364977">
      <w:pPr>
        <w:pStyle w:val="30"/>
        <w:tabs>
          <w:tab w:val="left" w:pos="1010"/>
        </w:tabs>
        <w:spacing w:line="560" w:lineRule="exact"/>
        <w:ind w:right="512"/>
        <w:jc w:val="left"/>
        <w:rPr>
          <w:rFonts w:asciiTheme="minorEastAsia" w:hAnsiTheme="minorEastAsia"/>
          <w:bCs/>
          <w:szCs w:val="21"/>
        </w:rPr>
      </w:pPr>
      <w:r>
        <w:rPr>
          <w:rFonts w:hint="eastAsia" w:asciiTheme="minorEastAsia" w:hAnsiTheme="minorEastAsia"/>
          <w:bCs/>
          <w:szCs w:val="21"/>
        </w:rPr>
        <w:t>3、本工程量清单仅是投标报价的共同基础，实际工程计量和工程价款的支付应遵循合同条款的约定和第七章“技术标准和要求”的有关规定。</w:t>
      </w:r>
    </w:p>
    <w:p w14:paraId="2BCF9297">
      <w:pPr>
        <w:pStyle w:val="30"/>
        <w:tabs>
          <w:tab w:val="left" w:pos="1010"/>
        </w:tabs>
        <w:spacing w:line="560" w:lineRule="exact"/>
        <w:ind w:right="512"/>
        <w:jc w:val="left"/>
        <w:rPr>
          <w:rFonts w:asciiTheme="minorEastAsia" w:hAnsiTheme="minorEastAsia"/>
          <w:bCs/>
          <w:szCs w:val="21"/>
        </w:rPr>
      </w:pPr>
      <w:r>
        <w:rPr>
          <w:rFonts w:hint="eastAsia" w:asciiTheme="minorEastAsia" w:hAnsiTheme="minorEastAsia"/>
          <w:bCs/>
          <w:szCs w:val="21"/>
        </w:rPr>
        <w:t>4、工程量清单中标价的单价或金额，应包括所需的人工费、材料和施工机具使用费和企业管理费、利润以及一定范围内的风险费用等；</w:t>
      </w:r>
    </w:p>
    <w:p w14:paraId="713C7A7F">
      <w:pPr>
        <w:pStyle w:val="30"/>
        <w:tabs>
          <w:tab w:val="left" w:pos="1010"/>
        </w:tabs>
        <w:spacing w:line="560" w:lineRule="exact"/>
        <w:ind w:right="512"/>
        <w:jc w:val="left"/>
        <w:rPr>
          <w:rFonts w:asciiTheme="minorEastAsia" w:hAnsiTheme="minorEastAsia"/>
        </w:rPr>
      </w:pPr>
      <w:r>
        <w:rPr>
          <w:rFonts w:hint="eastAsia" w:asciiTheme="minorEastAsia" w:hAnsiTheme="minorEastAsia"/>
          <w:bCs/>
          <w:szCs w:val="21"/>
        </w:rPr>
        <w:t>5、工程量清单中投标人没有填入单价或价格的子目，其费用视为已分摊在工程量清单中其他相关子目的单价或价格之中。</w:t>
      </w:r>
    </w:p>
    <w:p w14:paraId="53A94E4E">
      <w:pPr>
        <w:pStyle w:val="9"/>
        <w:spacing w:before="10"/>
        <w:jc w:val="center"/>
      </w:pPr>
      <w:r>
        <w:rPr>
          <w:rFonts w:hint="eastAsia"/>
        </w:rPr>
        <w:t>（三）图纸（详见附件）</w:t>
      </w:r>
    </w:p>
    <w:p w14:paraId="23F70D8C">
      <w:pPr>
        <w:pStyle w:val="9"/>
        <w:spacing w:before="5"/>
        <w:ind w:firstLine="3855" w:firstLineChars="1600"/>
      </w:pPr>
      <w:r>
        <w:rPr>
          <w:rFonts w:hint="eastAsia"/>
        </w:rPr>
        <w:t>图纸目录</w:t>
      </w:r>
    </w:p>
    <w:tbl>
      <w:tblPr>
        <w:tblStyle w:val="17"/>
        <w:tblpPr w:leftFromText="180" w:rightFromText="180" w:vertAnchor="text" w:horzAnchor="page" w:tblpX="1417" w:tblpY="501"/>
        <w:tblOverlap w:val="never"/>
        <w:tblW w:w="90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1"/>
        <w:gridCol w:w="2126"/>
        <w:gridCol w:w="1276"/>
        <w:gridCol w:w="1276"/>
        <w:gridCol w:w="1276"/>
        <w:gridCol w:w="1842"/>
      </w:tblGrid>
      <w:tr w14:paraId="6E422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281" w:type="dxa"/>
          </w:tcPr>
          <w:p w14:paraId="35BF65C1">
            <w:pPr>
              <w:spacing w:before="152"/>
              <w:ind w:left="429" w:right="422"/>
              <w:jc w:val="center"/>
              <w:rPr>
                <w:rFonts w:ascii="宋体" w:hAnsi="宋体" w:eastAsia="宋体" w:cs="宋体"/>
                <w:szCs w:val="21"/>
                <w:lang w:val="zh-CN" w:bidi="zh-CN"/>
              </w:rPr>
            </w:pPr>
            <w:r>
              <w:rPr>
                <w:rFonts w:ascii="宋体" w:hAnsi="宋体" w:eastAsia="宋体" w:cs="宋体"/>
                <w:szCs w:val="21"/>
                <w:lang w:val="zh-CN" w:bidi="zh-CN"/>
              </w:rPr>
              <w:t>序号</w:t>
            </w:r>
          </w:p>
        </w:tc>
        <w:tc>
          <w:tcPr>
            <w:tcW w:w="2126" w:type="dxa"/>
          </w:tcPr>
          <w:p w14:paraId="3104AB23">
            <w:pPr>
              <w:spacing w:before="152"/>
              <w:ind w:left="430" w:right="426"/>
              <w:jc w:val="center"/>
              <w:rPr>
                <w:rFonts w:ascii="宋体" w:hAnsi="宋体" w:eastAsia="宋体" w:cs="宋体"/>
                <w:szCs w:val="21"/>
                <w:lang w:val="zh-CN" w:bidi="zh-CN"/>
              </w:rPr>
            </w:pPr>
            <w:r>
              <w:rPr>
                <w:rFonts w:ascii="宋体" w:hAnsi="宋体" w:eastAsia="宋体" w:cs="宋体"/>
                <w:szCs w:val="21"/>
                <w:lang w:val="zh-CN" w:bidi="zh-CN"/>
              </w:rPr>
              <w:t>图名</w:t>
            </w:r>
          </w:p>
        </w:tc>
        <w:tc>
          <w:tcPr>
            <w:tcW w:w="1276" w:type="dxa"/>
          </w:tcPr>
          <w:p w14:paraId="7D93D881">
            <w:pPr>
              <w:spacing w:before="152"/>
              <w:ind w:left="430" w:right="422"/>
              <w:jc w:val="center"/>
              <w:rPr>
                <w:rFonts w:ascii="宋体" w:hAnsi="宋体" w:eastAsia="宋体" w:cs="宋体"/>
                <w:szCs w:val="21"/>
                <w:lang w:val="zh-CN" w:bidi="zh-CN"/>
              </w:rPr>
            </w:pPr>
            <w:r>
              <w:rPr>
                <w:rFonts w:ascii="宋体" w:hAnsi="宋体" w:eastAsia="宋体" w:cs="宋体"/>
                <w:szCs w:val="21"/>
                <w:lang w:val="zh-CN" w:bidi="zh-CN"/>
              </w:rPr>
              <w:t>图号</w:t>
            </w:r>
          </w:p>
        </w:tc>
        <w:tc>
          <w:tcPr>
            <w:tcW w:w="1276" w:type="dxa"/>
          </w:tcPr>
          <w:p w14:paraId="5CD245FE">
            <w:pPr>
              <w:spacing w:before="152"/>
              <w:ind w:left="430" w:right="422"/>
              <w:jc w:val="center"/>
              <w:rPr>
                <w:rFonts w:ascii="宋体" w:hAnsi="宋体" w:eastAsia="宋体" w:cs="宋体"/>
                <w:szCs w:val="21"/>
                <w:lang w:val="zh-CN" w:bidi="zh-CN"/>
              </w:rPr>
            </w:pPr>
            <w:r>
              <w:rPr>
                <w:rFonts w:ascii="宋体" w:hAnsi="宋体" w:eastAsia="宋体" w:cs="宋体"/>
                <w:szCs w:val="21"/>
                <w:lang w:val="zh-CN" w:bidi="zh-CN"/>
              </w:rPr>
              <w:t>版本</w:t>
            </w:r>
          </w:p>
        </w:tc>
        <w:tc>
          <w:tcPr>
            <w:tcW w:w="1276" w:type="dxa"/>
          </w:tcPr>
          <w:p w14:paraId="17DDCBA0">
            <w:pPr>
              <w:spacing w:before="152"/>
              <w:ind w:left="252"/>
              <w:rPr>
                <w:rFonts w:ascii="宋体" w:hAnsi="宋体" w:eastAsia="宋体" w:cs="宋体"/>
                <w:szCs w:val="21"/>
                <w:lang w:val="zh-CN" w:bidi="zh-CN"/>
              </w:rPr>
            </w:pPr>
            <w:r>
              <w:rPr>
                <w:rFonts w:ascii="宋体" w:hAnsi="宋体" w:eastAsia="宋体" w:cs="宋体"/>
                <w:szCs w:val="21"/>
                <w:lang w:val="zh-CN" w:bidi="zh-CN"/>
              </w:rPr>
              <w:t>出图日期</w:t>
            </w:r>
          </w:p>
        </w:tc>
        <w:tc>
          <w:tcPr>
            <w:tcW w:w="1842" w:type="dxa"/>
          </w:tcPr>
          <w:p w14:paraId="3DBF58EB">
            <w:pPr>
              <w:spacing w:before="152"/>
              <w:ind w:left="712" w:right="704"/>
              <w:jc w:val="center"/>
              <w:rPr>
                <w:rFonts w:ascii="宋体" w:hAnsi="宋体" w:eastAsia="宋体" w:cs="宋体"/>
                <w:szCs w:val="21"/>
                <w:lang w:val="zh-CN" w:bidi="zh-CN"/>
              </w:rPr>
            </w:pPr>
            <w:r>
              <w:rPr>
                <w:rFonts w:ascii="宋体" w:hAnsi="宋体" w:eastAsia="宋体" w:cs="宋体"/>
                <w:szCs w:val="21"/>
                <w:lang w:val="zh-CN" w:bidi="zh-CN"/>
              </w:rPr>
              <w:t>备注</w:t>
            </w:r>
          </w:p>
        </w:tc>
      </w:tr>
      <w:tr w14:paraId="5BF95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281" w:type="dxa"/>
            <w:vAlign w:val="center"/>
          </w:tcPr>
          <w:p w14:paraId="19C15A62">
            <w:pPr>
              <w:spacing w:before="145"/>
              <w:ind w:left="112"/>
              <w:jc w:val="center"/>
              <w:rPr>
                <w:rFonts w:ascii="宋体" w:hAnsi="宋体" w:eastAsia="宋体" w:cs="宋体"/>
                <w:szCs w:val="21"/>
                <w:lang w:val="zh-CN" w:bidi="zh-CN"/>
              </w:rPr>
            </w:pPr>
            <w:r>
              <w:rPr>
                <w:rFonts w:hint="eastAsia" w:ascii="宋体" w:hAnsi="宋体" w:eastAsia="宋体" w:cs="宋体"/>
                <w:szCs w:val="21"/>
                <w:lang w:val="zh-CN" w:bidi="zh-CN"/>
              </w:rPr>
              <w:t>1</w:t>
            </w:r>
          </w:p>
        </w:tc>
        <w:tc>
          <w:tcPr>
            <w:tcW w:w="2126" w:type="dxa"/>
            <w:vAlign w:val="center"/>
          </w:tcPr>
          <w:p w14:paraId="16C93D95">
            <w:pPr>
              <w:spacing w:before="145"/>
              <w:ind w:left="110"/>
              <w:jc w:val="center"/>
              <w:rPr>
                <w:rFonts w:ascii="宋体" w:hAnsi="宋体" w:eastAsia="宋体" w:cs="宋体"/>
                <w:szCs w:val="21"/>
                <w:lang w:val="zh-CN" w:bidi="zh-CN"/>
              </w:rPr>
            </w:pPr>
            <w:r>
              <w:rPr>
                <w:rFonts w:hint="eastAsia" w:ascii="宋体" w:hAnsi="宋体" w:eastAsia="宋体" w:cs="宋体"/>
                <w:szCs w:val="21"/>
                <w:lang w:val="zh-CN" w:bidi="zh-CN"/>
              </w:rPr>
              <w:t>图纸封面</w:t>
            </w:r>
          </w:p>
        </w:tc>
        <w:tc>
          <w:tcPr>
            <w:tcW w:w="1276" w:type="dxa"/>
            <w:vAlign w:val="center"/>
          </w:tcPr>
          <w:p w14:paraId="1758B87B">
            <w:pPr>
              <w:jc w:val="center"/>
              <w:rPr>
                <w:rFonts w:ascii="宋体" w:hAnsi="宋体" w:eastAsia="宋体" w:cs="宋体"/>
                <w:szCs w:val="21"/>
                <w:lang w:val="zh-CN" w:bidi="zh-CN"/>
              </w:rPr>
            </w:pPr>
          </w:p>
        </w:tc>
        <w:tc>
          <w:tcPr>
            <w:tcW w:w="1276" w:type="dxa"/>
            <w:vAlign w:val="center"/>
          </w:tcPr>
          <w:p w14:paraId="0F026601">
            <w:pPr>
              <w:jc w:val="center"/>
              <w:rPr>
                <w:rFonts w:ascii="宋体" w:hAnsi="宋体" w:eastAsia="宋体" w:cs="宋体"/>
                <w:szCs w:val="21"/>
                <w:lang w:val="zh-CN" w:bidi="zh-CN"/>
              </w:rPr>
            </w:pPr>
            <w:r>
              <w:rPr>
                <w:rFonts w:hint="eastAsia" w:ascii="宋体" w:hAnsi="宋体" w:eastAsia="宋体" w:cs="宋体"/>
                <w:szCs w:val="21"/>
                <w:lang w:val="zh-CN" w:bidi="zh-CN"/>
              </w:rPr>
              <w:t>A3</w:t>
            </w:r>
          </w:p>
        </w:tc>
        <w:tc>
          <w:tcPr>
            <w:tcW w:w="1276" w:type="dxa"/>
            <w:vAlign w:val="center"/>
          </w:tcPr>
          <w:p w14:paraId="0383BE59">
            <w:pPr>
              <w:jc w:val="center"/>
              <w:rPr>
                <w:rFonts w:ascii="宋体" w:hAnsi="宋体" w:eastAsia="宋体" w:cs="宋体"/>
                <w:szCs w:val="21"/>
                <w:lang w:val="zh-CN" w:bidi="zh-CN"/>
              </w:rPr>
            </w:pPr>
          </w:p>
        </w:tc>
        <w:tc>
          <w:tcPr>
            <w:tcW w:w="1842" w:type="dxa"/>
            <w:vAlign w:val="center"/>
          </w:tcPr>
          <w:p w14:paraId="16CE80F3">
            <w:pPr>
              <w:jc w:val="center"/>
              <w:rPr>
                <w:rFonts w:ascii="宋体" w:hAnsi="宋体" w:eastAsia="宋体" w:cs="宋体"/>
                <w:szCs w:val="21"/>
                <w:lang w:val="zh-CN" w:bidi="zh-CN"/>
              </w:rPr>
            </w:pPr>
          </w:p>
        </w:tc>
      </w:tr>
      <w:tr w14:paraId="4F210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1281" w:type="dxa"/>
            <w:vAlign w:val="center"/>
          </w:tcPr>
          <w:p w14:paraId="5EAD55B6">
            <w:pPr>
              <w:jc w:val="center"/>
              <w:rPr>
                <w:rFonts w:ascii="宋体" w:hAnsi="宋体" w:eastAsia="宋体" w:cs="宋体"/>
                <w:szCs w:val="21"/>
                <w:lang w:val="zh-CN" w:bidi="zh-CN"/>
              </w:rPr>
            </w:pPr>
            <w:r>
              <w:rPr>
                <w:rFonts w:hint="eastAsia" w:ascii="宋体" w:hAnsi="宋体" w:eastAsia="宋体" w:cs="宋体"/>
                <w:szCs w:val="21"/>
                <w:lang w:val="zh-CN" w:bidi="zh-CN"/>
              </w:rPr>
              <w:t>2</w:t>
            </w:r>
          </w:p>
        </w:tc>
        <w:tc>
          <w:tcPr>
            <w:tcW w:w="2126" w:type="dxa"/>
            <w:vAlign w:val="center"/>
          </w:tcPr>
          <w:p w14:paraId="0BCFB587">
            <w:pPr>
              <w:jc w:val="center"/>
              <w:rPr>
                <w:rFonts w:ascii="宋体" w:hAnsi="宋体" w:eastAsia="宋体" w:cs="宋体"/>
                <w:szCs w:val="21"/>
                <w:lang w:val="zh-CN" w:bidi="zh-CN"/>
              </w:rPr>
            </w:pPr>
            <w:r>
              <w:rPr>
                <w:rFonts w:hint="eastAsia" w:ascii="宋体" w:hAnsi="宋体" w:eastAsia="宋体" w:cs="宋体"/>
                <w:szCs w:val="21"/>
                <w:lang w:val="zh-CN" w:bidi="zh-CN"/>
              </w:rPr>
              <w:t>图纸目录</w:t>
            </w:r>
          </w:p>
        </w:tc>
        <w:tc>
          <w:tcPr>
            <w:tcW w:w="1276" w:type="dxa"/>
            <w:vAlign w:val="center"/>
          </w:tcPr>
          <w:p w14:paraId="5FA76865">
            <w:pPr>
              <w:jc w:val="center"/>
              <w:rPr>
                <w:rFonts w:ascii="宋体" w:hAnsi="宋体" w:eastAsia="宋体" w:cs="宋体"/>
                <w:szCs w:val="21"/>
                <w:lang w:val="zh-CN" w:bidi="zh-CN"/>
              </w:rPr>
            </w:pPr>
          </w:p>
        </w:tc>
        <w:tc>
          <w:tcPr>
            <w:tcW w:w="1276" w:type="dxa"/>
            <w:vAlign w:val="center"/>
          </w:tcPr>
          <w:p w14:paraId="45D1E385">
            <w:pPr>
              <w:jc w:val="center"/>
              <w:rPr>
                <w:rFonts w:ascii="宋体" w:hAnsi="宋体" w:eastAsia="宋体" w:cs="宋体"/>
                <w:szCs w:val="21"/>
                <w:lang w:val="zh-CN" w:bidi="zh-CN"/>
              </w:rPr>
            </w:pPr>
            <w:r>
              <w:rPr>
                <w:rFonts w:hint="eastAsia" w:ascii="宋体" w:hAnsi="宋体" w:eastAsia="宋体" w:cs="宋体"/>
                <w:szCs w:val="21"/>
                <w:lang w:val="zh-CN" w:bidi="zh-CN"/>
              </w:rPr>
              <w:t>A3</w:t>
            </w:r>
          </w:p>
        </w:tc>
        <w:tc>
          <w:tcPr>
            <w:tcW w:w="1276" w:type="dxa"/>
            <w:vAlign w:val="center"/>
          </w:tcPr>
          <w:p w14:paraId="03F486BD">
            <w:pPr>
              <w:jc w:val="center"/>
              <w:rPr>
                <w:rFonts w:ascii="宋体" w:hAnsi="宋体" w:eastAsia="宋体" w:cs="宋体"/>
                <w:szCs w:val="21"/>
                <w:lang w:val="zh-CN" w:bidi="zh-CN"/>
              </w:rPr>
            </w:pPr>
          </w:p>
        </w:tc>
        <w:tc>
          <w:tcPr>
            <w:tcW w:w="1842" w:type="dxa"/>
            <w:vAlign w:val="center"/>
          </w:tcPr>
          <w:p w14:paraId="5E9D82B4">
            <w:pPr>
              <w:jc w:val="center"/>
              <w:rPr>
                <w:rFonts w:ascii="宋体" w:hAnsi="宋体" w:eastAsia="宋体" w:cs="宋体"/>
                <w:szCs w:val="21"/>
                <w:lang w:val="zh-CN" w:bidi="zh-CN"/>
              </w:rPr>
            </w:pPr>
          </w:p>
        </w:tc>
      </w:tr>
      <w:tr w14:paraId="06CA4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281" w:type="dxa"/>
            <w:vAlign w:val="center"/>
          </w:tcPr>
          <w:p w14:paraId="27D2D72E">
            <w:pPr>
              <w:jc w:val="center"/>
              <w:rPr>
                <w:rFonts w:ascii="宋体" w:hAnsi="宋体" w:eastAsia="宋体" w:cs="宋体"/>
                <w:szCs w:val="21"/>
                <w:lang w:val="zh-CN" w:bidi="zh-CN"/>
              </w:rPr>
            </w:pPr>
            <w:r>
              <w:rPr>
                <w:rFonts w:hint="eastAsia" w:ascii="宋体" w:hAnsi="宋体" w:eastAsia="宋体" w:cs="宋体"/>
                <w:szCs w:val="21"/>
                <w:lang w:val="zh-CN" w:bidi="zh-CN"/>
              </w:rPr>
              <w:t>3</w:t>
            </w:r>
          </w:p>
        </w:tc>
        <w:tc>
          <w:tcPr>
            <w:tcW w:w="2126" w:type="dxa"/>
            <w:vAlign w:val="center"/>
          </w:tcPr>
          <w:p w14:paraId="3C9B9A3D">
            <w:pPr>
              <w:jc w:val="center"/>
              <w:rPr>
                <w:rFonts w:ascii="宋体" w:hAnsi="宋体" w:eastAsia="宋体" w:cs="宋体"/>
                <w:szCs w:val="21"/>
                <w:lang w:val="zh-CN" w:bidi="zh-CN"/>
              </w:rPr>
            </w:pPr>
            <w:r>
              <w:rPr>
                <w:rFonts w:hint="eastAsia" w:ascii="宋体" w:hAnsi="宋体" w:eastAsia="宋体" w:cs="宋体"/>
                <w:szCs w:val="21"/>
                <w:lang w:val="zh-CN" w:bidi="zh-CN"/>
              </w:rPr>
              <w:t>总平平面示意图</w:t>
            </w:r>
          </w:p>
        </w:tc>
        <w:tc>
          <w:tcPr>
            <w:tcW w:w="1276" w:type="dxa"/>
            <w:vAlign w:val="center"/>
          </w:tcPr>
          <w:p w14:paraId="51598DFD">
            <w:pPr>
              <w:jc w:val="center"/>
              <w:rPr>
                <w:rFonts w:ascii="宋体" w:hAnsi="宋体" w:eastAsia="宋体" w:cs="宋体"/>
                <w:szCs w:val="21"/>
                <w:lang w:val="zh-CN" w:bidi="zh-CN"/>
              </w:rPr>
            </w:pPr>
            <w:r>
              <w:rPr>
                <w:rFonts w:hint="eastAsia" w:ascii="宋体" w:hAnsi="宋体" w:eastAsia="宋体" w:cs="宋体"/>
                <w:szCs w:val="21"/>
                <w:lang w:val="zh-CN" w:bidi="zh-CN"/>
              </w:rPr>
              <w:t>P-01</w:t>
            </w:r>
          </w:p>
        </w:tc>
        <w:tc>
          <w:tcPr>
            <w:tcW w:w="1276" w:type="dxa"/>
            <w:vAlign w:val="center"/>
          </w:tcPr>
          <w:p w14:paraId="13822603">
            <w:pPr>
              <w:jc w:val="center"/>
              <w:rPr>
                <w:rFonts w:ascii="宋体" w:hAnsi="宋体" w:eastAsia="宋体" w:cs="宋体"/>
                <w:szCs w:val="21"/>
                <w:lang w:val="zh-CN" w:bidi="zh-CN"/>
              </w:rPr>
            </w:pPr>
            <w:r>
              <w:rPr>
                <w:rFonts w:hint="eastAsia" w:ascii="宋体" w:hAnsi="宋体" w:eastAsia="宋体" w:cs="宋体"/>
                <w:szCs w:val="21"/>
                <w:lang w:val="zh-CN" w:bidi="zh-CN"/>
              </w:rPr>
              <w:t>A3</w:t>
            </w:r>
          </w:p>
        </w:tc>
        <w:tc>
          <w:tcPr>
            <w:tcW w:w="1276" w:type="dxa"/>
            <w:vAlign w:val="center"/>
          </w:tcPr>
          <w:p w14:paraId="7278BD91">
            <w:pPr>
              <w:jc w:val="center"/>
              <w:rPr>
                <w:rFonts w:ascii="宋体" w:hAnsi="宋体" w:eastAsia="宋体" w:cs="宋体"/>
                <w:szCs w:val="21"/>
                <w:lang w:val="zh-CN" w:bidi="zh-CN"/>
              </w:rPr>
            </w:pPr>
          </w:p>
        </w:tc>
        <w:tc>
          <w:tcPr>
            <w:tcW w:w="1842" w:type="dxa"/>
            <w:vAlign w:val="center"/>
          </w:tcPr>
          <w:p w14:paraId="480EBEB1">
            <w:pPr>
              <w:jc w:val="center"/>
              <w:rPr>
                <w:rFonts w:ascii="宋体" w:hAnsi="宋体" w:eastAsia="宋体" w:cs="宋体"/>
                <w:szCs w:val="21"/>
                <w:lang w:val="zh-CN" w:bidi="zh-CN"/>
              </w:rPr>
            </w:pPr>
          </w:p>
        </w:tc>
      </w:tr>
      <w:tr w14:paraId="40E82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281" w:type="dxa"/>
            <w:vAlign w:val="center"/>
          </w:tcPr>
          <w:p w14:paraId="24CD7966">
            <w:pPr>
              <w:jc w:val="center"/>
              <w:rPr>
                <w:rFonts w:ascii="宋体" w:hAnsi="宋体" w:eastAsia="宋体" w:cs="宋体"/>
                <w:szCs w:val="21"/>
                <w:lang w:val="zh-CN" w:bidi="zh-CN"/>
              </w:rPr>
            </w:pPr>
            <w:r>
              <w:rPr>
                <w:rFonts w:hint="eastAsia" w:ascii="宋体" w:hAnsi="宋体" w:eastAsia="宋体" w:cs="宋体"/>
                <w:szCs w:val="21"/>
                <w:lang w:val="zh-CN" w:bidi="zh-CN"/>
              </w:rPr>
              <w:t>4</w:t>
            </w:r>
          </w:p>
        </w:tc>
        <w:tc>
          <w:tcPr>
            <w:tcW w:w="2126" w:type="dxa"/>
            <w:vAlign w:val="center"/>
          </w:tcPr>
          <w:p w14:paraId="44B1F6A1">
            <w:pPr>
              <w:jc w:val="center"/>
              <w:rPr>
                <w:rFonts w:ascii="宋体" w:hAnsi="宋体" w:eastAsia="宋体" w:cs="宋体"/>
                <w:szCs w:val="21"/>
                <w:lang w:val="zh-CN" w:bidi="zh-CN"/>
              </w:rPr>
            </w:pPr>
            <w:r>
              <w:rPr>
                <w:rFonts w:hint="eastAsia" w:ascii="宋体" w:hAnsi="宋体" w:eastAsia="宋体" w:cs="宋体"/>
                <w:szCs w:val="21"/>
                <w:lang w:val="zh-CN" w:bidi="zh-CN"/>
              </w:rPr>
              <w:t>大门立面图</w:t>
            </w:r>
          </w:p>
        </w:tc>
        <w:tc>
          <w:tcPr>
            <w:tcW w:w="1276" w:type="dxa"/>
            <w:vAlign w:val="center"/>
          </w:tcPr>
          <w:p w14:paraId="1C14FE5C">
            <w:pPr>
              <w:jc w:val="center"/>
              <w:rPr>
                <w:rFonts w:ascii="宋体" w:hAnsi="宋体" w:eastAsia="宋体" w:cs="宋体"/>
                <w:szCs w:val="21"/>
                <w:lang w:val="zh-CN" w:bidi="zh-CN"/>
              </w:rPr>
            </w:pPr>
            <w:r>
              <w:rPr>
                <w:rFonts w:hint="eastAsia" w:ascii="宋体" w:hAnsi="宋体" w:eastAsia="宋体" w:cs="宋体"/>
                <w:szCs w:val="21"/>
                <w:lang w:val="zh-CN" w:bidi="zh-CN"/>
              </w:rPr>
              <w:t>E-01</w:t>
            </w:r>
          </w:p>
        </w:tc>
        <w:tc>
          <w:tcPr>
            <w:tcW w:w="1276" w:type="dxa"/>
            <w:vAlign w:val="center"/>
          </w:tcPr>
          <w:p w14:paraId="21C13C44">
            <w:pPr>
              <w:jc w:val="center"/>
              <w:rPr>
                <w:rFonts w:ascii="宋体" w:hAnsi="宋体" w:eastAsia="宋体" w:cs="宋体"/>
                <w:szCs w:val="21"/>
                <w:lang w:val="zh-CN" w:bidi="zh-CN"/>
              </w:rPr>
            </w:pPr>
            <w:r>
              <w:rPr>
                <w:rFonts w:hint="eastAsia" w:ascii="宋体" w:hAnsi="宋体" w:eastAsia="宋体" w:cs="宋体"/>
                <w:szCs w:val="21"/>
                <w:lang w:val="zh-CN" w:bidi="zh-CN"/>
              </w:rPr>
              <w:t>A3</w:t>
            </w:r>
          </w:p>
        </w:tc>
        <w:tc>
          <w:tcPr>
            <w:tcW w:w="1276" w:type="dxa"/>
            <w:vAlign w:val="center"/>
          </w:tcPr>
          <w:p w14:paraId="3D8CC632">
            <w:pPr>
              <w:jc w:val="center"/>
              <w:rPr>
                <w:rFonts w:ascii="宋体" w:hAnsi="宋体" w:eastAsia="宋体" w:cs="宋体"/>
                <w:szCs w:val="21"/>
                <w:lang w:val="zh-CN" w:bidi="zh-CN"/>
              </w:rPr>
            </w:pPr>
          </w:p>
        </w:tc>
        <w:tc>
          <w:tcPr>
            <w:tcW w:w="1842" w:type="dxa"/>
            <w:vAlign w:val="center"/>
          </w:tcPr>
          <w:p w14:paraId="7CF4D19A">
            <w:pPr>
              <w:jc w:val="center"/>
              <w:rPr>
                <w:rFonts w:ascii="宋体" w:hAnsi="宋体" w:eastAsia="宋体" w:cs="宋体"/>
                <w:szCs w:val="21"/>
                <w:lang w:val="zh-CN" w:bidi="zh-CN"/>
              </w:rPr>
            </w:pPr>
          </w:p>
        </w:tc>
      </w:tr>
      <w:tr w14:paraId="4835C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281" w:type="dxa"/>
            <w:vAlign w:val="center"/>
          </w:tcPr>
          <w:p w14:paraId="1C834B11">
            <w:pPr>
              <w:jc w:val="center"/>
              <w:rPr>
                <w:rFonts w:ascii="宋体" w:hAnsi="宋体" w:eastAsia="宋体" w:cs="宋体"/>
                <w:szCs w:val="21"/>
                <w:lang w:val="zh-CN" w:bidi="zh-CN"/>
              </w:rPr>
            </w:pPr>
            <w:r>
              <w:rPr>
                <w:rFonts w:hint="eastAsia" w:ascii="宋体" w:hAnsi="宋体" w:eastAsia="宋体" w:cs="宋体"/>
                <w:szCs w:val="21"/>
                <w:lang w:val="zh-CN" w:bidi="zh-CN"/>
              </w:rPr>
              <w:t>5</w:t>
            </w:r>
          </w:p>
        </w:tc>
        <w:tc>
          <w:tcPr>
            <w:tcW w:w="2126" w:type="dxa"/>
            <w:vAlign w:val="center"/>
          </w:tcPr>
          <w:p w14:paraId="198E9D6C">
            <w:pPr>
              <w:jc w:val="center"/>
              <w:rPr>
                <w:rFonts w:ascii="宋体" w:hAnsi="宋体" w:eastAsia="宋体" w:cs="宋体"/>
                <w:szCs w:val="21"/>
                <w:lang w:val="zh-CN" w:bidi="zh-CN"/>
              </w:rPr>
            </w:pPr>
            <w:r>
              <w:rPr>
                <w:rFonts w:hint="eastAsia" w:ascii="宋体" w:hAnsi="宋体" w:eastAsia="宋体" w:cs="宋体"/>
                <w:szCs w:val="21"/>
                <w:lang w:val="zh-CN" w:bidi="zh-CN"/>
              </w:rPr>
              <w:t>大门后立面图</w:t>
            </w:r>
          </w:p>
        </w:tc>
        <w:tc>
          <w:tcPr>
            <w:tcW w:w="1276" w:type="dxa"/>
            <w:vAlign w:val="center"/>
          </w:tcPr>
          <w:p w14:paraId="52619109">
            <w:pPr>
              <w:jc w:val="center"/>
              <w:rPr>
                <w:rFonts w:ascii="宋体" w:hAnsi="宋体" w:eastAsia="宋体" w:cs="宋体"/>
                <w:szCs w:val="21"/>
                <w:lang w:val="zh-CN" w:bidi="zh-CN"/>
              </w:rPr>
            </w:pPr>
            <w:r>
              <w:rPr>
                <w:rFonts w:hint="eastAsia" w:ascii="宋体" w:hAnsi="宋体" w:eastAsia="宋体" w:cs="宋体"/>
                <w:szCs w:val="21"/>
                <w:lang w:val="zh-CN" w:bidi="zh-CN"/>
              </w:rPr>
              <w:t>E-02</w:t>
            </w:r>
          </w:p>
        </w:tc>
        <w:tc>
          <w:tcPr>
            <w:tcW w:w="1276" w:type="dxa"/>
            <w:vAlign w:val="center"/>
          </w:tcPr>
          <w:p w14:paraId="43C5D872">
            <w:pPr>
              <w:jc w:val="center"/>
              <w:rPr>
                <w:rFonts w:ascii="宋体" w:hAnsi="宋体" w:eastAsia="宋体" w:cs="宋体"/>
                <w:szCs w:val="21"/>
                <w:lang w:val="zh-CN" w:bidi="zh-CN"/>
              </w:rPr>
            </w:pPr>
            <w:r>
              <w:rPr>
                <w:rFonts w:hint="eastAsia" w:ascii="宋体" w:hAnsi="宋体" w:eastAsia="宋体" w:cs="宋体"/>
                <w:szCs w:val="21"/>
                <w:lang w:val="zh-CN" w:bidi="zh-CN"/>
              </w:rPr>
              <w:t>A3</w:t>
            </w:r>
          </w:p>
        </w:tc>
        <w:tc>
          <w:tcPr>
            <w:tcW w:w="1276" w:type="dxa"/>
            <w:vAlign w:val="center"/>
          </w:tcPr>
          <w:p w14:paraId="2093996C">
            <w:pPr>
              <w:jc w:val="center"/>
              <w:rPr>
                <w:rFonts w:ascii="宋体" w:hAnsi="宋体" w:eastAsia="宋体" w:cs="宋体"/>
                <w:szCs w:val="21"/>
                <w:lang w:val="zh-CN" w:bidi="zh-CN"/>
              </w:rPr>
            </w:pPr>
          </w:p>
        </w:tc>
        <w:tc>
          <w:tcPr>
            <w:tcW w:w="1842" w:type="dxa"/>
            <w:vAlign w:val="center"/>
          </w:tcPr>
          <w:p w14:paraId="4410457A">
            <w:pPr>
              <w:jc w:val="center"/>
              <w:rPr>
                <w:rFonts w:ascii="宋体" w:hAnsi="宋体" w:eastAsia="宋体" w:cs="宋体"/>
                <w:szCs w:val="21"/>
                <w:lang w:val="zh-CN" w:bidi="zh-CN"/>
              </w:rPr>
            </w:pPr>
          </w:p>
        </w:tc>
      </w:tr>
      <w:tr w14:paraId="0862A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281" w:type="dxa"/>
            <w:vAlign w:val="center"/>
          </w:tcPr>
          <w:p w14:paraId="37B8591A">
            <w:pPr>
              <w:jc w:val="center"/>
              <w:rPr>
                <w:rFonts w:ascii="宋体" w:hAnsi="宋体" w:eastAsia="宋体" w:cs="宋体"/>
                <w:szCs w:val="21"/>
                <w:lang w:val="zh-CN" w:bidi="zh-CN"/>
              </w:rPr>
            </w:pPr>
            <w:r>
              <w:rPr>
                <w:rFonts w:hint="eastAsia" w:ascii="宋体" w:hAnsi="宋体" w:eastAsia="宋体" w:cs="宋体"/>
                <w:szCs w:val="21"/>
                <w:lang w:val="zh-CN" w:bidi="zh-CN"/>
              </w:rPr>
              <w:t>6</w:t>
            </w:r>
          </w:p>
        </w:tc>
        <w:tc>
          <w:tcPr>
            <w:tcW w:w="2126" w:type="dxa"/>
            <w:vAlign w:val="center"/>
          </w:tcPr>
          <w:p w14:paraId="4B54BE38">
            <w:pPr>
              <w:jc w:val="center"/>
              <w:rPr>
                <w:rFonts w:ascii="宋体" w:hAnsi="宋体" w:eastAsia="宋体" w:cs="宋体"/>
                <w:szCs w:val="21"/>
                <w:lang w:val="zh-CN" w:bidi="zh-CN"/>
              </w:rPr>
            </w:pPr>
            <w:r>
              <w:rPr>
                <w:rFonts w:hint="eastAsia" w:ascii="宋体" w:hAnsi="宋体" w:eastAsia="宋体" w:cs="宋体"/>
                <w:szCs w:val="21"/>
                <w:lang w:val="zh-CN" w:bidi="zh-CN"/>
              </w:rPr>
              <w:t>正面立面图</w:t>
            </w:r>
          </w:p>
        </w:tc>
        <w:tc>
          <w:tcPr>
            <w:tcW w:w="1276" w:type="dxa"/>
            <w:vAlign w:val="center"/>
          </w:tcPr>
          <w:p w14:paraId="431FF569">
            <w:pPr>
              <w:jc w:val="center"/>
              <w:rPr>
                <w:rFonts w:ascii="宋体" w:hAnsi="宋体" w:eastAsia="宋体" w:cs="宋体"/>
                <w:szCs w:val="21"/>
                <w:lang w:val="zh-CN" w:bidi="zh-CN"/>
              </w:rPr>
            </w:pPr>
            <w:r>
              <w:rPr>
                <w:rFonts w:hint="eastAsia" w:ascii="宋体" w:hAnsi="宋体" w:eastAsia="宋体" w:cs="宋体"/>
                <w:szCs w:val="21"/>
                <w:lang w:val="zh-CN" w:bidi="zh-CN"/>
              </w:rPr>
              <w:t>E-03</w:t>
            </w:r>
          </w:p>
        </w:tc>
        <w:tc>
          <w:tcPr>
            <w:tcW w:w="1276" w:type="dxa"/>
            <w:vAlign w:val="center"/>
          </w:tcPr>
          <w:p w14:paraId="3200E5D1">
            <w:pPr>
              <w:jc w:val="center"/>
              <w:rPr>
                <w:rFonts w:ascii="宋体" w:hAnsi="宋体" w:eastAsia="宋体" w:cs="宋体"/>
                <w:szCs w:val="21"/>
                <w:lang w:val="zh-CN" w:bidi="zh-CN"/>
              </w:rPr>
            </w:pPr>
            <w:r>
              <w:rPr>
                <w:rFonts w:hint="eastAsia" w:ascii="宋体" w:hAnsi="宋体" w:eastAsia="宋体" w:cs="宋体"/>
                <w:szCs w:val="21"/>
                <w:lang w:val="zh-CN" w:bidi="zh-CN"/>
              </w:rPr>
              <w:t>A3</w:t>
            </w:r>
          </w:p>
        </w:tc>
        <w:tc>
          <w:tcPr>
            <w:tcW w:w="1276" w:type="dxa"/>
            <w:vAlign w:val="center"/>
          </w:tcPr>
          <w:p w14:paraId="60D68573">
            <w:pPr>
              <w:jc w:val="center"/>
              <w:rPr>
                <w:rFonts w:ascii="宋体" w:hAnsi="宋体" w:eastAsia="宋体" w:cs="宋体"/>
                <w:szCs w:val="21"/>
                <w:lang w:val="zh-CN" w:bidi="zh-CN"/>
              </w:rPr>
            </w:pPr>
          </w:p>
        </w:tc>
        <w:tc>
          <w:tcPr>
            <w:tcW w:w="1842" w:type="dxa"/>
            <w:vAlign w:val="center"/>
          </w:tcPr>
          <w:p w14:paraId="6E222BE9">
            <w:pPr>
              <w:jc w:val="center"/>
              <w:rPr>
                <w:rFonts w:ascii="宋体" w:hAnsi="宋体" w:eastAsia="宋体" w:cs="宋体"/>
                <w:szCs w:val="21"/>
                <w:lang w:val="zh-CN" w:bidi="zh-CN"/>
              </w:rPr>
            </w:pPr>
          </w:p>
        </w:tc>
      </w:tr>
      <w:tr w14:paraId="3F065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281" w:type="dxa"/>
            <w:vAlign w:val="center"/>
          </w:tcPr>
          <w:p w14:paraId="6B4F3BC4">
            <w:pPr>
              <w:jc w:val="center"/>
              <w:rPr>
                <w:rFonts w:ascii="宋体" w:hAnsi="宋体" w:eastAsia="宋体" w:cs="宋体"/>
                <w:szCs w:val="21"/>
                <w:lang w:val="zh-CN" w:bidi="zh-CN"/>
              </w:rPr>
            </w:pPr>
            <w:r>
              <w:rPr>
                <w:rFonts w:hint="eastAsia" w:ascii="宋体" w:hAnsi="宋体" w:eastAsia="宋体" w:cs="宋体"/>
                <w:szCs w:val="21"/>
                <w:lang w:val="zh-CN" w:bidi="zh-CN"/>
              </w:rPr>
              <w:t>7</w:t>
            </w:r>
          </w:p>
        </w:tc>
        <w:tc>
          <w:tcPr>
            <w:tcW w:w="2126" w:type="dxa"/>
            <w:vAlign w:val="center"/>
          </w:tcPr>
          <w:p w14:paraId="4B2F512A">
            <w:pPr>
              <w:jc w:val="center"/>
              <w:rPr>
                <w:rFonts w:ascii="宋体" w:hAnsi="宋体" w:eastAsia="宋体" w:cs="宋体"/>
                <w:szCs w:val="21"/>
                <w:lang w:val="zh-CN" w:bidi="zh-CN"/>
              </w:rPr>
            </w:pPr>
            <w:r>
              <w:rPr>
                <w:rFonts w:hint="eastAsia" w:ascii="宋体" w:hAnsi="宋体" w:eastAsia="宋体" w:cs="宋体"/>
                <w:szCs w:val="21"/>
                <w:lang w:val="zh-CN" w:bidi="zh-CN"/>
              </w:rPr>
              <w:t>侧面立面图</w:t>
            </w:r>
          </w:p>
        </w:tc>
        <w:tc>
          <w:tcPr>
            <w:tcW w:w="1276" w:type="dxa"/>
            <w:vAlign w:val="center"/>
          </w:tcPr>
          <w:p w14:paraId="03D4B869">
            <w:pPr>
              <w:jc w:val="center"/>
              <w:rPr>
                <w:rFonts w:ascii="宋体" w:hAnsi="宋体" w:eastAsia="宋体" w:cs="宋体"/>
                <w:szCs w:val="21"/>
                <w:lang w:val="zh-CN" w:bidi="zh-CN"/>
              </w:rPr>
            </w:pPr>
            <w:r>
              <w:rPr>
                <w:rFonts w:hint="eastAsia" w:ascii="宋体" w:hAnsi="宋体" w:eastAsia="宋体" w:cs="宋体"/>
                <w:szCs w:val="21"/>
                <w:lang w:val="zh-CN" w:bidi="zh-CN"/>
              </w:rPr>
              <w:t>E-04</w:t>
            </w:r>
          </w:p>
        </w:tc>
        <w:tc>
          <w:tcPr>
            <w:tcW w:w="1276" w:type="dxa"/>
            <w:vAlign w:val="center"/>
          </w:tcPr>
          <w:p w14:paraId="357EAE0A">
            <w:pPr>
              <w:jc w:val="center"/>
              <w:rPr>
                <w:rFonts w:ascii="宋体" w:hAnsi="宋体" w:eastAsia="宋体" w:cs="宋体"/>
                <w:szCs w:val="21"/>
                <w:lang w:val="zh-CN" w:bidi="zh-CN"/>
              </w:rPr>
            </w:pPr>
            <w:r>
              <w:rPr>
                <w:rFonts w:hint="eastAsia" w:ascii="宋体" w:hAnsi="宋体" w:eastAsia="宋体" w:cs="宋体"/>
                <w:szCs w:val="21"/>
                <w:lang w:val="zh-CN" w:bidi="zh-CN"/>
              </w:rPr>
              <w:t>A3</w:t>
            </w:r>
          </w:p>
        </w:tc>
        <w:tc>
          <w:tcPr>
            <w:tcW w:w="1276" w:type="dxa"/>
            <w:vAlign w:val="center"/>
          </w:tcPr>
          <w:p w14:paraId="3CE87A6D">
            <w:pPr>
              <w:jc w:val="center"/>
              <w:rPr>
                <w:rFonts w:ascii="宋体" w:hAnsi="宋体" w:eastAsia="宋体" w:cs="宋体"/>
                <w:szCs w:val="21"/>
                <w:lang w:val="zh-CN" w:bidi="zh-CN"/>
              </w:rPr>
            </w:pPr>
          </w:p>
        </w:tc>
        <w:tc>
          <w:tcPr>
            <w:tcW w:w="1842" w:type="dxa"/>
            <w:vAlign w:val="center"/>
          </w:tcPr>
          <w:p w14:paraId="6F04B3B1">
            <w:pPr>
              <w:jc w:val="center"/>
              <w:rPr>
                <w:rFonts w:ascii="宋体" w:hAnsi="宋体" w:eastAsia="宋体" w:cs="宋体"/>
                <w:szCs w:val="21"/>
                <w:lang w:val="zh-CN" w:bidi="zh-CN"/>
              </w:rPr>
            </w:pPr>
          </w:p>
        </w:tc>
      </w:tr>
      <w:tr w14:paraId="1AB96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281" w:type="dxa"/>
            <w:vAlign w:val="center"/>
          </w:tcPr>
          <w:p w14:paraId="4FFC8A8F">
            <w:pPr>
              <w:jc w:val="center"/>
              <w:rPr>
                <w:rFonts w:ascii="宋体" w:hAnsi="宋体" w:eastAsia="宋体" w:cs="宋体"/>
                <w:szCs w:val="21"/>
                <w:lang w:val="zh-CN" w:bidi="zh-CN"/>
              </w:rPr>
            </w:pPr>
            <w:r>
              <w:rPr>
                <w:rFonts w:hint="eastAsia" w:ascii="宋体" w:hAnsi="宋体" w:eastAsia="宋体" w:cs="宋体"/>
                <w:szCs w:val="21"/>
                <w:lang w:val="zh-CN" w:bidi="zh-CN"/>
              </w:rPr>
              <w:t>8</w:t>
            </w:r>
          </w:p>
        </w:tc>
        <w:tc>
          <w:tcPr>
            <w:tcW w:w="2126" w:type="dxa"/>
            <w:vAlign w:val="center"/>
          </w:tcPr>
          <w:p w14:paraId="1E1621C5">
            <w:pPr>
              <w:jc w:val="center"/>
              <w:rPr>
                <w:rFonts w:ascii="宋体" w:hAnsi="宋体" w:eastAsia="宋体" w:cs="宋体"/>
                <w:szCs w:val="21"/>
                <w:lang w:val="zh-CN" w:bidi="zh-CN"/>
              </w:rPr>
            </w:pPr>
            <w:r>
              <w:rPr>
                <w:rFonts w:hint="eastAsia" w:ascii="宋体" w:hAnsi="宋体" w:eastAsia="宋体" w:cs="宋体"/>
                <w:szCs w:val="21"/>
                <w:lang w:val="zh-CN" w:bidi="zh-CN"/>
              </w:rPr>
              <w:t>电路灯具布置图</w:t>
            </w:r>
          </w:p>
        </w:tc>
        <w:tc>
          <w:tcPr>
            <w:tcW w:w="1276" w:type="dxa"/>
            <w:vAlign w:val="center"/>
          </w:tcPr>
          <w:p w14:paraId="4F8C65CE">
            <w:pPr>
              <w:jc w:val="center"/>
              <w:rPr>
                <w:rFonts w:ascii="宋体" w:hAnsi="宋体" w:eastAsia="宋体" w:cs="宋体"/>
                <w:szCs w:val="21"/>
                <w:lang w:val="zh-CN" w:bidi="zh-CN"/>
              </w:rPr>
            </w:pPr>
            <w:r>
              <w:rPr>
                <w:rFonts w:hint="eastAsia" w:ascii="宋体" w:hAnsi="宋体" w:eastAsia="宋体" w:cs="宋体"/>
                <w:szCs w:val="21"/>
                <w:lang w:val="zh-CN" w:bidi="zh-CN"/>
              </w:rPr>
              <w:t>E-05</w:t>
            </w:r>
          </w:p>
        </w:tc>
        <w:tc>
          <w:tcPr>
            <w:tcW w:w="1276" w:type="dxa"/>
            <w:vAlign w:val="center"/>
          </w:tcPr>
          <w:p w14:paraId="0837CBC1">
            <w:pPr>
              <w:jc w:val="center"/>
              <w:rPr>
                <w:rFonts w:ascii="宋体" w:hAnsi="宋体" w:eastAsia="宋体" w:cs="宋体"/>
                <w:szCs w:val="21"/>
                <w:lang w:val="zh-CN" w:bidi="zh-CN"/>
              </w:rPr>
            </w:pPr>
            <w:r>
              <w:rPr>
                <w:rFonts w:hint="eastAsia" w:ascii="宋体" w:hAnsi="宋体" w:eastAsia="宋体" w:cs="宋体"/>
                <w:szCs w:val="21"/>
                <w:lang w:val="zh-CN" w:bidi="zh-CN"/>
              </w:rPr>
              <w:t>A3</w:t>
            </w:r>
          </w:p>
        </w:tc>
        <w:tc>
          <w:tcPr>
            <w:tcW w:w="1276" w:type="dxa"/>
            <w:vAlign w:val="center"/>
          </w:tcPr>
          <w:p w14:paraId="6A0A0165">
            <w:pPr>
              <w:jc w:val="center"/>
              <w:rPr>
                <w:rFonts w:ascii="宋体" w:hAnsi="宋体" w:eastAsia="宋体" w:cs="宋体"/>
                <w:szCs w:val="21"/>
                <w:lang w:val="zh-CN" w:bidi="zh-CN"/>
              </w:rPr>
            </w:pPr>
          </w:p>
        </w:tc>
        <w:tc>
          <w:tcPr>
            <w:tcW w:w="1842" w:type="dxa"/>
            <w:vAlign w:val="center"/>
          </w:tcPr>
          <w:p w14:paraId="2D67C70D">
            <w:pPr>
              <w:jc w:val="center"/>
              <w:rPr>
                <w:rFonts w:ascii="宋体" w:hAnsi="宋体" w:eastAsia="宋体" w:cs="宋体"/>
                <w:szCs w:val="21"/>
                <w:lang w:val="zh-CN" w:bidi="zh-CN"/>
              </w:rPr>
            </w:pPr>
          </w:p>
        </w:tc>
      </w:tr>
      <w:tr w14:paraId="77124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281" w:type="dxa"/>
            <w:vAlign w:val="center"/>
          </w:tcPr>
          <w:p w14:paraId="6DA3101D">
            <w:pPr>
              <w:jc w:val="center"/>
              <w:rPr>
                <w:rFonts w:ascii="宋体" w:hAnsi="宋体" w:eastAsia="宋体" w:cs="宋体"/>
                <w:szCs w:val="21"/>
                <w:lang w:val="zh-CN" w:bidi="zh-CN"/>
              </w:rPr>
            </w:pPr>
            <w:r>
              <w:rPr>
                <w:rFonts w:hint="eastAsia" w:ascii="宋体" w:hAnsi="宋体" w:eastAsia="宋体" w:cs="宋体"/>
                <w:szCs w:val="21"/>
                <w:lang w:val="zh-CN" w:bidi="zh-CN"/>
              </w:rPr>
              <w:t>9</w:t>
            </w:r>
          </w:p>
        </w:tc>
        <w:tc>
          <w:tcPr>
            <w:tcW w:w="2126" w:type="dxa"/>
            <w:vAlign w:val="center"/>
          </w:tcPr>
          <w:p w14:paraId="194FA9E4">
            <w:pPr>
              <w:jc w:val="center"/>
              <w:rPr>
                <w:rFonts w:ascii="宋体" w:hAnsi="宋体" w:eastAsia="宋体" w:cs="宋体"/>
                <w:szCs w:val="21"/>
                <w:lang w:val="zh-CN" w:bidi="zh-CN"/>
              </w:rPr>
            </w:pPr>
            <w:r>
              <w:rPr>
                <w:rFonts w:hint="eastAsia" w:ascii="宋体" w:hAnsi="宋体" w:eastAsia="宋体" w:cs="宋体"/>
                <w:szCs w:val="21"/>
                <w:lang w:val="zh-CN" w:bidi="zh-CN"/>
              </w:rPr>
              <w:t>大门大样</w:t>
            </w:r>
          </w:p>
        </w:tc>
        <w:tc>
          <w:tcPr>
            <w:tcW w:w="1276" w:type="dxa"/>
            <w:vAlign w:val="center"/>
          </w:tcPr>
          <w:p w14:paraId="4EC1547F">
            <w:pPr>
              <w:jc w:val="center"/>
              <w:rPr>
                <w:rFonts w:ascii="宋体" w:hAnsi="宋体" w:eastAsia="宋体" w:cs="宋体"/>
                <w:szCs w:val="21"/>
                <w:lang w:val="zh-CN" w:bidi="zh-CN"/>
              </w:rPr>
            </w:pPr>
            <w:r>
              <w:rPr>
                <w:rFonts w:hint="eastAsia" w:ascii="宋体" w:hAnsi="宋体" w:eastAsia="宋体" w:cs="宋体"/>
                <w:szCs w:val="21"/>
                <w:lang w:val="zh-CN" w:bidi="zh-CN"/>
              </w:rPr>
              <w:t>D-01</w:t>
            </w:r>
          </w:p>
        </w:tc>
        <w:tc>
          <w:tcPr>
            <w:tcW w:w="1276" w:type="dxa"/>
            <w:vAlign w:val="center"/>
          </w:tcPr>
          <w:p w14:paraId="590A0881">
            <w:pPr>
              <w:jc w:val="center"/>
              <w:rPr>
                <w:rFonts w:ascii="宋体" w:hAnsi="宋体" w:eastAsia="宋体" w:cs="宋体"/>
                <w:szCs w:val="21"/>
                <w:lang w:val="zh-CN" w:bidi="zh-CN"/>
              </w:rPr>
            </w:pPr>
            <w:r>
              <w:rPr>
                <w:rFonts w:hint="eastAsia" w:ascii="宋体" w:hAnsi="宋体" w:eastAsia="宋体" w:cs="宋体"/>
                <w:szCs w:val="21"/>
                <w:lang w:val="zh-CN" w:bidi="zh-CN"/>
              </w:rPr>
              <w:t>A3</w:t>
            </w:r>
          </w:p>
        </w:tc>
        <w:tc>
          <w:tcPr>
            <w:tcW w:w="1276" w:type="dxa"/>
            <w:vAlign w:val="center"/>
          </w:tcPr>
          <w:p w14:paraId="26EC33BB">
            <w:pPr>
              <w:jc w:val="center"/>
              <w:rPr>
                <w:rFonts w:ascii="宋体" w:hAnsi="宋体" w:eastAsia="宋体" w:cs="宋体"/>
                <w:szCs w:val="21"/>
                <w:lang w:val="zh-CN" w:bidi="zh-CN"/>
              </w:rPr>
            </w:pPr>
          </w:p>
        </w:tc>
        <w:tc>
          <w:tcPr>
            <w:tcW w:w="1842" w:type="dxa"/>
            <w:vAlign w:val="center"/>
          </w:tcPr>
          <w:p w14:paraId="7F87CA17">
            <w:pPr>
              <w:jc w:val="center"/>
              <w:rPr>
                <w:rFonts w:ascii="宋体" w:hAnsi="宋体" w:eastAsia="宋体" w:cs="宋体"/>
                <w:szCs w:val="21"/>
                <w:lang w:val="zh-CN" w:bidi="zh-CN"/>
              </w:rPr>
            </w:pPr>
          </w:p>
        </w:tc>
      </w:tr>
      <w:tr w14:paraId="35B91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281" w:type="dxa"/>
            <w:vAlign w:val="center"/>
          </w:tcPr>
          <w:p w14:paraId="652DA1D8">
            <w:pPr>
              <w:jc w:val="center"/>
              <w:rPr>
                <w:rFonts w:ascii="宋体" w:hAnsi="宋体" w:eastAsia="宋体" w:cs="宋体"/>
                <w:szCs w:val="21"/>
                <w:lang w:val="zh-CN" w:bidi="zh-CN"/>
              </w:rPr>
            </w:pPr>
            <w:r>
              <w:rPr>
                <w:rFonts w:hint="eastAsia" w:ascii="宋体" w:hAnsi="宋体" w:eastAsia="宋体" w:cs="宋体"/>
                <w:szCs w:val="21"/>
                <w:lang w:val="zh-CN" w:bidi="zh-CN"/>
              </w:rPr>
              <w:t>10</w:t>
            </w:r>
          </w:p>
        </w:tc>
        <w:tc>
          <w:tcPr>
            <w:tcW w:w="2126" w:type="dxa"/>
            <w:vAlign w:val="center"/>
          </w:tcPr>
          <w:p w14:paraId="4DEE9D26">
            <w:pPr>
              <w:jc w:val="center"/>
              <w:rPr>
                <w:rFonts w:ascii="宋体" w:hAnsi="宋体" w:eastAsia="宋体" w:cs="宋体"/>
                <w:szCs w:val="21"/>
                <w:lang w:val="zh-CN" w:bidi="zh-CN"/>
              </w:rPr>
            </w:pPr>
            <w:r>
              <w:rPr>
                <w:rFonts w:hint="eastAsia" w:ascii="宋体" w:hAnsi="宋体" w:eastAsia="宋体" w:cs="宋体"/>
                <w:szCs w:val="21"/>
                <w:lang w:val="zh-CN" w:bidi="zh-CN"/>
              </w:rPr>
              <w:t>大门剖面、大门钢结构示意图</w:t>
            </w:r>
          </w:p>
        </w:tc>
        <w:tc>
          <w:tcPr>
            <w:tcW w:w="1276" w:type="dxa"/>
            <w:vAlign w:val="center"/>
          </w:tcPr>
          <w:p w14:paraId="58960D52">
            <w:pPr>
              <w:jc w:val="center"/>
              <w:rPr>
                <w:rFonts w:ascii="宋体" w:hAnsi="宋体" w:eastAsia="宋体" w:cs="宋体"/>
                <w:szCs w:val="21"/>
                <w:lang w:val="zh-CN" w:bidi="zh-CN"/>
              </w:rPr>
            </w:pPr>
            <w:r>
              <w:rPr>
                <w:rFonts w:hint="eastAsia" w:ascii="宋体" w:hAnsi="宋体" w:eastAsia="宋体" w:cs="宋体"/>
                <w:szCs w:val="21"/>
                <w:lang w:val="zh-CN" w:bidi="zh-CN"/>
              </w:rPr>
              <w:t>D-02</w:t>
            </w:r>
          </w:p>
        </w:tc>
        <w:tc>
          <w:tcPr>
            <w:tcW w:w="1276" w:type="dxa"/>
            <w:vAlign w:val="center"/>
          </w:tcPr>
          <w:p w14:paraId="6A851A80">
            <w:pPr>
              <w:jc w:val="center"/>
              <w:rPr>
                <w:rFonts w:ascii="宋体" w:hAnsi="宋体" w:eastAsia="宋体" w:cs="宋体"/>
                <w:szCs w:val="21"/>
                <w:lang w:val="zh-CN" w:bidi="zh-CN"/>
              </w:rPr>
            </w:pPr>
            <w:r>
              <w:rPr>
                <w:rFonts w:hint="eastAsia" w:ascii="宋体" w:hAnsi="宋体" w:eastAsia="宋体" w:cs="宋体"/>
                <w:szCs w:val="21"/>
                <w:lang w:val="zh-CN" w:bidi="zh-CN"/>
              </w:rPr>
              <w:t>A3</w:t>
            </w:r>
          </w:p>
        </w:tc>
        <w:tc>
          <w:tcPr>
            <w:tcW w:w="1276" w:type="dxa"/>
            <w:vAlign w:val="center"/>
          </w:tcPr>
          <w:p w14:paraId="148A934D">
            <w:pPr>
              <w:jc w:val="center"/>
              <w:rPr>
                <w:rFonts w:ascii="宋体" w:hAnsi="宋体" w:eastAsia="宋体" w:cs="宋体"/>
                <w:szCs w:val="21"/>
                <w:lang w:val="zh-CN" w:bidi="zh-CN"/>
              </w:rPr>
            </w:pPr>
          </w:p>
        </w:tc>
        <w:tc>
          <w:tcPr>
            <w:tcW w:w="1842" w:type="dxa"/>
            <w:vAlign w:val="center"/>
          </w:tcPr>
          <w:p w14:paraId="71607EB2">
            <w:pPr>
              <w:jc w:val="center"/>
              <w:rPr>
                <w:rFonts w:ascii="宋体" w:hAnsi="宋体" w:eastAsia="宋体" w:cs="宋体"/>
                <w:szCs w:val="21"/>
                <w:lang w:val="zh-CN" w:bidi="zh-CN"/>
              </w:rPr>
            </w:pPr>
          </w:p>
        </w:tc>
      </w:tr>
      <w:tr w14:paraId="0EAE7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281" w:type="dxa"/>
            <w:vAlign w:val="center"/>
          </w:tcPr>
          <w:p w14:paraId="5EA9A0DE">
            <w:pPr>
              <w:jc w:val="center"/>
              <w:rPr>
                <w:rFonts w:ascii="宋体" w:hAnsi="宋体" w:eastAsia="宋体" w:cs="宋体"/>
                <w:szCs w:val="21"/>
                <w:lang w:val="zh-CN" w:bidi="zh-CN"/>
              </w:rPr>
            </w:pPr>
            <w:r>
              <w:rPr>
                <w:rFonts w:hint="eastAsia" w:ascii="宋体" w:hAnsi="宋体" w:eastAsia="宋体" w:cs="宋体"/>
                <w:szCs w:val="21"/>
                <w:lang w:val="zh-CN" w:bidi="zh-CN"/>
              </w:rPr>
              <w:t>11</w:t>
            </w:r>
          </w:p>
        </w:tc>
        <w:tc>
          <w:tcPr>
            <w:tcW w:w="2126" w:type="dxa"/>
            <w:vAlign w:val="center"/>
          </w:tcPr>
          <w:p w14:paraId="11AD9B86">
            <w:pPr>
              <w:jc w:val="center"/>
              <w:rPr>
                <w:rFonts w:ascii="宋体" w:hAnsi="宋体" w:eastAsia="宋体" w:cs="宋体"/>
                <w:szCs w:val="21"/>
                <w:lang w:val="zh-CN" w:bidi="zh-CN"/>
              </w:rPr>
            </w:pPr>
            <w:r>
              <w:rPr>
                <w:rFonts w:hint="eastAsia" w:ascii="宋体" w:hAnsi="宋体" w:eastAsia="宋体" w:cs="宋体"/>
                <w:szCs w:val="21"/>
                <w:lang w:val="zh-CN" w:bidi="zh-CN"/>
              </w:rPr>
              <w:t>大门钢结构剖面大样、铝单板与铝单板连接大样图</w:t>
            </w:r>
          </w:p>
        </w:tc>
        <w:tc>
          <w:tcPr>
            <w:tcW w:w="1276" w:type="dxa"/>
            <w:vAlign w:val="center"/>
          </w:tcPr>
          <w:p w14:paraId="4357EC68">
            <w:pPr>
              <w:jc w:val="center"/>
              <w:rPr>
                <w:rFonts w:ascii="宋体" w:hAnsi="宋体" w:eastAsia="宋体" w:cs="宋体"/>
                <w:szCs w:val="21"/>
                <w:lang w:val="zh-CN" w:bidi="zh-CN"/>
              </w:rPr>
            </w:pPr>
            <w:r>
              <w:rPr>
                <w:rFonts w:hint="eastAsia" w:ascii="宋体" w:hAnsi="宋体" w:eastAsia="宋体" w:cs="宋体"/>
                <w:szCs w:val="21"/>
                <w:lang w:val="zh-CN" w:bidi="zh-CN"/>
              </w:rPr>
              <w:t>D-03</w:t>
            </w:r>
          </w:p>
        </w:tc>
        <w:tc>
          <w:tcPr>
            <w:tcW w:w="1276" w:type="dxa"/>
            <w:vAlign w:val="center"/>
          </w:tcPr>
          <w:p w14:paraId="014A50DF">
            <w:pPr>
              <w:jc w:val="center"/>
              <w:rPr>
                <w:rFonts w:ascii="宋体" w:hAnsi="宋体" w:eastAsia="宋体" w:cs="宋体"/>
                <w:szCs w:val="21"/>
                <w:lang w:val="zh-CN" w:bidi="zh-CN"/>
              </w:rPr>
            </w:pPr>
            <w:r>
              <w:rPr>
                <w:rFonts w:hint="eastAsia" w:ascii="宋体" w:hAnsi="宋体" w:eastAsia="宋体" w:cs="宋体"/>
                <w:szCs w:val="21"/>
                <w:lang w:val="zh-CN" w:bidi="zh-CN"/>
              </w:rPr>
              <w:t>A3</w:t>
            </w:r>
          </w:p>
        </w:tc>
        <w:tc>
          <w:tcPr>
            <w:tcW w:w="1276" w:type="dxa"/>
            <w:vAlign w:val="center"/>
          </w:tcPr>
          <w:p w14:paraId="7308E51D">
            <w:pPr>
              <w:jc w:val="center"/>
              <w:rPr>
                <w:rFonts w:ascii="宋体" w:hAnsi="宋体" w:eastAsia="宋体" w:cs="宋体"/>
                <w:szCs w:val="21"/>
                <w:lang w:val="zh-CN" w:bidi="zh-CN"/>
              </w:rPr>
            </w:pPr>
          </w:p>
        </w:tc>
        <w:tc>
          <w:tcPr>
            <w:tcW w:w="1842" w:type="dxa"/>
            <w:vAlign w:val="center"/>
          </w:tcPr>
          <w:p w14:paraId="68FABBBD">
            <w:pPr>
              <w:jc w:val="center"/>
              <w:rPr>
                <w:rFonts w:ascii="宋体" w:hAnsi="宋体" w:eastAsia="宋体" w:cs="宋体"/>
                <w:szCs w:val="21"/>
                <w:lang w:val="zh-CN" w:bidi="zh-CN"/>
              </w:rPr>
            </w:pPr>
          </w:p>
        </w:tc>
      </w:tr>
      <w:tr w14:paraId="14FC1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281" w:type="dxa"/>
            <w:vAlign w:val="center"/>
          </w:tcPr>
          <w:p w14:paraId="4040209F">
            <w:pPr>
              <w:jc w:val="center"/>
              <w:rPr>
                <w:rFonts w:ascii="宋体" w:hAnsi="宋体" w:eastAsia="宋体" w:cs="宋体"/>
                <w:szCs w:val="21"/>
                <w:lang w:val="zh-CN" w:bidi="zh-CN"/>
              </w:rPr>
            </w:pPr>
            <w:r>
              <w:rPr>
                <w:rFonts w:hint="eastAsia" w:ascii="宋体" w:hAnsi="宋体" w:eastAsia="宋体" w:cs="宋体"/>
                <w:szCs w:val="21"/>
                <w:lang w:val="zh-CN" w:bidi="zh-CN"/>
              </w:rPr>
              <w:t>12</w:t>
            </w:r>
          </w:p>
        </w:tc>
        <w:tc>
          <w:tcPr>
            <w:tcW w:w="2126" w:type="dxa"/>
            <w:vAlign w:val="center"/>
          </w:tcPr>
          <w:p w14:paraId="256DB9AD">
            <w:pPr>
              <w:jc w:val="center"/>
              <w:rPr>
                <w:rFonts w:ascii="宋体" w:hAnsi="宋体" w:eastAsia="宋体" w:cs="宋体"/>
                <w:szCs w:val="21"/>
                <w:lang w:val="zh-CN" w:bidi="zh-CN"/>
              </w:rPr>
            </w:pPr>
            <w:r>
              <w:rPr>
                <w:rFonts w:hint="eastAsia" w:ascii="宋体" w:hAnsi="宋体" w:eastAsia="宋体" w:cs="宋体"/>
                <w:szCs w:val="21"/>
                <w:lang w:val="zh-CN" w:bidi="zh-CN"/>
              </w:rPr>
              <w:t>大门侧立面大样图、大门钢结构剖面大样、铝单板与铝单板连接大样图</w:t>
            </w:r>
          </w:p>
        </w:tc>
        <w:tc>
          <w:tcPr>
            <w:tcW w:w="1276" w:type="dxa"/>
            <w:vAlign w:val="center"/>
          </w:tcPr>
          <w:p w14:paraId="5B7B242E">
            <w:pPr>
              <w:jc w:val="center"/>
              <w:rPr>
                <w:rFonts w:ascii="宋体" w:hAnsi="宋体" w:eastAsia="宋体" w:cs="宋体"/>
                <w:szCs w:val="21"/>
                <w:lang w:val="zh-CN" w:bidi="zh-CN"/>
              </w:rPr>
            </w:pPr>
            <w:r>
              <w:rPr>
                <w:rFonts w:hint="eastAsia" w:ascii="宋体" w:hAnsi="宋体" w:eastAsia="宋体" w:cs="宋体"/>
                <w:szCs w:val="21"/>
                <w:lang w:val="zh-CN" w:bidi="zh-CN"/>
              </w:rPr>
              <w:t>D-04</w:t>
            </w:r>
          </w:p>
        </w:tc>
        <w:tc>
          <w:tcPr>
            <w:tcW w:w="1276" w:type="dxa"/>
            <w:vAlign w:val="center"/>
          </w:tcPr>
          <w:p w14:paraId="4FA7BA49">
            <w:pPr>
              <w:jc w:val="center"/>
              <w:rPr>
                <w:rFonts w:ascii="宋体" w:hAnsi="宋体" w:eastAsia="宋体" w:cs="宋体"/>
                <w:szCs w:val="21"/>
                <w:lang w:val="zh-CN" w:bidi="zh-CN"/>
              </w:rPr>
            </w:pPr>
            <w:r>
              <w:rPr>
                <w:rFonts w:hint="eastAsia" w:ascii="宋体" w:hAnsi="宋体" w:eastAsia="宋体" w:cs="宋体"/>
                <w:szCs w:val="21"/>
                <w:lang w:val="zh-CN" w:bidi="zh-CN"/>
              </w:rPr>
              <w:t>A3</w:t>
            </w:r>
          </w:p>
        </w:tc>
        <w:tc>
          <w:tcPr>
            <w:tcW w:w="1276" w:type="dxa"/>
            <w:vAlign w:val="center"/>
          </w:tcPr>
          <w:p w14:paraId="2934DD1C">
            <w:pPr>
              <w:jc w:val="center"/>
              <w:rPr>
                <w:rFonts w:ascii="宋体" w:hAnsi="宋体" w:eastAsia="宋体" w:cs="宋体"/>
                <w:szCs w:val="21"/>
                <w:lang w:val="zh-CN" w:bidi="zh-CN"/>
              </w:rPr>
            </w:pPr>
          </w:p>
        </w:tc>
        <w:tc>
          <w:tcPr>
            <w:tcW w:w="1842" w:type="dxa"/>
            <w:vAlign w:val="center"/>
          </w:tcPr>
          <w:p w14:paraId="7F30B6C4">
            <w:pPr>
              <w:jc w:val="center"/>
              <w:rPr>
                <w:rFonts w:ascii="宋体" w:hAnsi="宋体" w:eastAsia="宋体" w:cs="宋体"/>
                <w:szCs w:val="21"/>
                <w:lang w:val="zh-CN" w:bidi="zh-CN"/>
              </w:rPr>
            </w:pPr>
          </w:p>
        </w:tc>
      </w:tr>
    </w:tbl>
    <w:p w14:paraId="7F167187">
      <w:pPr>
        <w:pStyle w:val="9"/>
        <w:rPr>
          <w:color w:val="FF0000"/>
        </w:rPr>
      </w:pPr>
    </w:p>
    <w:p w14:paraId="5D7D1AA7">
      <w:pPr>
        <w:pStyle w:val="4"/>
        <w:jc w:val="center"/>
        <w:rPr>
          <w:rFonts w:ascii="Arial" w:hAnsi="Arial" w:cs="Times New Roman"/>
          <w:sz w:val="32"/>
        </w:rPr>
      </w:pPr>
      <w:bookmarkStart w:id="12" w:name="_Toc128884461"/>
      <w:r>
        <w:rPr>
          <w:rFonts w:hint="eastAsia" w:ascii="Arial" w:hAnsi="Arial" w:cs="Times New Roman"/>
          <w:sz w:val="32"/>
        </w:rPr>
        <w:t>三、实质性条款</w:t>
      </w:r>
    </w:p>
    <w:tbl>
      <w:tblPr>
        <w:tblStyle w:val="17"/>
        <w:tblW w:w="8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594"/>
      </w:tblGrid>
      <w:tr w14:paraId="07770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68" w:type="dxa"/>
            <w:vAlign w:val="center"/>
          </w:tcPr>
          <w:p w14:paraId="4BD6712F">
            <w:pPr>
              <w:spacing w:line="360" w:lineRule="auto"/>
              <w:jc w:val="center"/>
              <w:rPr>
                <w:rFonts w:asciiTheme="minorEastAsia" w:hAnsiTheme="minorEastAsia"/>
              </w:rPr>
            </w:pPr>
            <w:r>
              <w:rPr>
                <w:rFonts w:hint="eastAsia" w:asciiTheme="minorEastAsia" w:hAnsiTheme="minorEastAsia"/>
              </w:rPr>
              <w:t>序号</w:t>
            </w:r>
          </w:p>
        </w:tc>
        <w:tc>
          <w:tcPr>
            <w:tcW w:w="7594" w:type="dxa"/>
            <w:vAlign w:val="center"/>
          </w:tcPr>
          <w:p w14:paraId="57EDC075">
            <w:pPr>
              <w:spacing w:line="360" w:lineRule="auto"/>
              <w:jc w:val="center"/>
              <w:rPr>
                <w:rFonts w:asciiTheme="minorEastAsia" w:hAnsiTheme="minorEastAsia"/>
              </w:rPr>
            </w:pPr>
            <w:r>
              <w:rPr>
                <w:rFonts w:hint="eastAsia" w:asciiTheme="minorEastAsia" w:hAnsiTheme="minorEastAsia"/>
              </w:rPr>
              <w:t>实质性条款具体内容</w:t>
            </w:r>
          </w:p>
        </w:tc>
      </w:tr>
      <w:tr w14:paraId="5406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14:paraId="032200EF">
            <w:pPr>
              <w:spacing w:line="360" w:lineRule="auto"/>
              <w:jc w:val="center"/>
              <w:rPr>
                <w:rFonts w:asciiTheme="minorEastAsia" w:hAnsiTheme="minorEastAsia"/>
              </w:rPr>
            </w:pPr>
            <w:r>
              <w:rPr>
                <w:rFonts w:hint="eastAsia" w:asciiTheme="minorEastAsia" w:hAnsiTheme="minorEastAsia"/>
              </w:rPr>
              <w:t>1</w:t>
            </w:r>
          </w:p>
        </w:tc>
        <w:tc>
          <w:tcPr>
            <w:tcW w:w="7594" w:type="dxa"/>
          </w:tcPr>
          <w:p w14:paraId="7D82F4D2">
            <w:pPr>
              <w:spacing w:line="360" w:lineRule="auto"/>
              <w:jc w:val="center"/>
              <w:rPr>
                <w:rFonts w:asciiTheme="minorEastAsia" w:hAnsiTheme="minorEastAsia"/>
              </w:rPr>
            </w:pPr>
            <w:r>
              <w:rPr>
                <w:rFonts w:hint="eastAsia" w:asciiTheme="minorEastAsia" w:hAnsiTheme="minorEastAsia"/>
              </w:rPr>
              <w:t>本项目招标文件中所有带★号条款内容</w:t>
            </w:r>
          </w:p>
        </w:tc>
      </w:tr>
      <w:bookmarkEnd w:id="12"/>
    </w:tbl>
    <w:p w14:paraId="6C89612B">
      <w:pPr>
        <w:spacing w:line="360" w:lineRule="auto"/>
        <w:rPr>
          <w:rFonts w:ascii="宋体" w:hAnsi="宋体" w:eastAsia="宋体" w:cs="宋体"/>
          <w:bCs/>
          <w:szCs w:val="21"/>
        </w:rPr>
      </w:pPr>
      <w:r>
        <w:rPr>
          <w:rFonts w:hint="eastAsia"/>
          <w:b/>
          <w:color w:val="FF0000"/>
        </w:rPr>
        <w:t>注</w:t>
      </w:r>
      <w:r>
        <w:rPr>
          <w:rFonts w:hint="eastAsia"/>
        </w:rPr>
        <w:t>：</w:t>
      </w:r>
      <w:r>
        <w:rPr>
          <w:rFonts w:hint="eastAsia"/>
          <w:b/>
          <w:color w:val="FF0000"/>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14:paraId="438DA929">
      <w:pPr>
        <w:keepNext/>
        <w:keepLines/>
        <w:tabs>
          <w:tab w:val="left" w:pos="1680"/>
        </w:tabs>
        <w:spacing w:before="260" w:afterLines="25"/>
        <w:jc w:val="center"/>
        <w:outlineLvl w:val="2"/>
        <w:rPr>
          <w:rFonts w:ascii="Arial" w:hAnsi="Arial" w:eastAsia="宋体" w:cs="Times New Roman"/>
          <w:b/>
          <w:bCs/>
          <w:sz w:val="32"/>
          <w:szCs w:val="32"/>
        </w:rPr>
      </w:pPr>
      <w:r>
        <w:rPr>
          <w:rFonts w:hint="eastAsia" w:ascii="Arial" w:hAnsi="Arial" w:eastAsia="宋体" w:cs="Times New Roman"/>
          <w:b/>
          <w:bCs/>
          <w:sz w:val="32"/>
          <w:szCs w:val="32"/>
        </w:rPr>
        <w:t>四、商务要求</w:t>
      </w:r>
    </w:p>
    <w:p w14:paraId="06DC50DD">
      <w:pPr>
        <w:pStyle w:val="6"/>
        <w:jc w:val="both"/>
      </w:pPr>
      <w:r>
        <w:rPr>
          <w:rFonts w:hint="eastAsia"/>
        </w:rPr>
        <w:t>1.项目工期</w:t>
      </w:r>
    </w:p>
    <w:p w14:paraId="3B2F541E">
      <w:pPr>
        <w:pStyle w:val="6"/>
        <w:ind w:firstLine="393"/>
        <w:jc w:val="both"/>
        <w:rPr>
          <w:b w:val="0"/>
          <w:bCs/>
        </w:rPr>
      </w:pPr>
      <w:r>
        <w:rPr>
          <w:rFonts w:hint="eastAsia"/>
          <w:b w:val="0"/>
          <w:bCs/>
        </w:rPr>
        <w:t>1.1工期：签订合同后 30 天（日历日）。</w:t>
      </w:r>
    </w:p>
    <w:p w14:paraId="3E4F3D0A">
      <w:pPr>
        <w:pStyle w:val="6"/>
        <w:jc w:val="both"/>
      </w:pPr>
      <w:r>
        <w:rPr>
          <w:rFonts w:hint="eastAsia"/>
        </w:rPr>
        <w:t>2.工作流程</w:t>
      </w:r>
    </w:p>
    <w:p w14:paraId="6B71ABC9">
      <w:pPr>
        <w:pStyle w:val="6"/>
        <w:ind w:firstLine="393"/>
        <w:jc w:val="both"/>
        <w:rPr>
          <w:b w:val="0"/>
          <w:bCs/>
        </w:rPr>
      </w:pPr>
      <w:r>
        <w:rPr>
          <w:rFonts w:hint="eastAsia"/>
          <w:b w:val="0"/>
          <w:bCs/>
        </w:rPr>
        <w:t>2.1.采购人与中标单位根据招标项目要求、中标结果等签订项目服务合同，明确具体内容和技术要求。</w:t>
      </w:r>
    </w:p>
    <w:p w14:paraId="78F60E8F">
      <w:pPr>
        <w:pStyle w:val="6"/>
        <w:ind w:firstLine="393"/>
        <w:jc w:val="both"/>
        <w:rPr>
          <w:b w:val="0"/>
          <w:bCs/>
        </w:rPr>
      </w:pPr>
      <w:r>
        <w:rPr>
          <w:rFonts w:hint="eastAsia"/>
          <w:b w:val="0"/>
          <w:bCs/>
        </w:rPr>
        <w:t>2.2.中标人在签订项目服务合同 7 个工作日内向采购人提供实施方案，并经采购人确认。</w:t>
      </w:r>
    </w:p>
    <w:p w14:paraId="6DAB7C9A">
      <w:pPr>
        <w:pStyle w:val="6"/>
        <w:ind w:firstLine="393"/>
        <w:jc w:val="both"/>
        <w:rPr>
          <w:b w:val="0"/>
          <w:bCs/>
        </w:rPr>
      </w:pPr>
      <w:r>
        <w:rPr>
          <w:rFonts w:hint="eastAsia"/>
          <w:b w:val="0"/>
          <w:bCs/>
        </w:rPr>
        <w:t>2.3.中标人分阶段向采购人报告运营情况，经采购人组织验收。</w:t>
      </w:r>
    </w:p>
    <w:p w14:paraId="221325FB">
      <w:pPr>
        <w:pStyle w:val="6"/>
        <w:jc w:val="both"/>
      </w:pPr>
      <w:r>
        <w:rPr>
          <w:rFonts w:hint="eastAsia"/>
        </w:rPr>
        <w:t>3.工作要求</w:t>
      </w:r>
    </w:p>
    <w:p w14:paraId="558D1FFF">
      <w:pPr>
        <w:pStyle w:val="6"/>
        <w:ind w:firstLine="393"/>
        <w:jc w:val="both"/>
        <w:rPr>
          <w:b w:val="0"/>
          <w:bCs/>
        </w:rPr>
      </w:pPr>
      <w:r>
        <w:rPr>
          <w:rFonts w:hint="eastAsia"/>
          <w:b w:val="0"/>
          <w:bCs/>
        </w:rPr>
        <w:t>3.1.中标人在 深圳市龙华区同胜学校附属富隆苑幼儿园外墙与门头改造工程 工程中所投产品必须为全新的、未使用过的合格产品，且符合相关标准要求，否则采购人有权解除合同。</w:t>
      </w:r>
    </w:p>
    <w:p w14:paraId="3DEB8342">
      <w:pPr>
        <w:pStyle w:val="6"/>
        <w:ind w:firstLine="393"/>
        <w:jc w:val="both"/>
        <w:rPr>
          <w:b w:val="0"/>
          <w:bCs/>
        </w:rPr>
      </w:pPr>
      <w:r>
        <w:rPr>
          <w:rFonts w:hint="eastAsia"/>
          <w:b w:val="0"/>
          <w:bCs/>
        </w:rPr>
        <w:t>3.2.中标人在 深圳市龙华区同胜学校附属富隆苑幼儿园外墙与门头改造工程 工程完成后应向招标人提供所投产品技术资料。</w:t>
      </w:r>
    </w:p>
    <w:p w14:paraId="0FECD191">
      <w:pPr>
        <w:pStyle w:val="6"/>
        <w:ind w:firstLine="393"/>
        <w:jc w:val="both"/>
        <w:rPr>
          <w:b w:val="0"/>
          <w:bCs/>
        </w:rPr>
      </w:pPr>
      <w:r>
        <w:rPr>
          <w:rFonts w:hint="eastAsia"/>
          <w:b w:val="0"/>
          <w:bCs/>
        </w:rPr>
        <w:t>3.3.中标人应派有经验的且具备从业资质的专业技术人员和施工人员进行 深圳市龙华区同胜学校附属富隆苑幼儿园外墙与门头改造工程 工程。如发现专业技术人员或施工人员不具备工程必须的技能或资质，采购人有权要求中标人更换人员。</w:t>
      </w:r>
    </w:p>
    <w:p w14:paraId="5E2EF699">
      <w:pPr>
        <w:pStyle w:val="6"/>
        <w:ind w:firstLine="393"/>
        <w:jc w:val="both"/>
        <w:rPr>
          <w:b w:val="0"/>
          <w:bCs/>
        </w:rPr>
      </w:pPr>
      <w:r>
        <w:rPr>
          <w:rFonts w:hint="eastAsia"/>
          <w:b w:val="0"/>
          <w:bCs/>
        </w:rPr>
        <w:t>3.4.中标人在施工过程中必须做好安全管理工作，避免在施工中出现安全生产事故。</w:t>
      </w:r>
    </w:p>
    <w:p w14:paraId="7A81A91C">
      <w:pPr>
        <w:pStyle w:val="6"/>
        <w:ind w:firstLine="393"/>
        <w:jc w:val="both"/>
        <w:rPr>
          <w:b w:val="0"/>
          <w:bCs/>
        </w:rPr>
      </w:pPr>
      <w:r>
        <w:rPr>
          <w:rFonts w:hint="eastAsia"/>
          <w:b w:val="0"/>
          <w:bCs/>
        </w:rPr>
        <w:t>3.5.中标人应周密制定施工方案，避免影响安全教育基地正常运营。</w:t>
      </w:r>
    </w:p>
    <w:p w14:paraId="20467503">
      <w:pPr>
        <w:pStyle w:val="6"/>
        <w:jc w:val="both"/>
      </w:pPr>
      <w:r>
        <w:rPr>
          <w:rFonts w:hint="eastAsia"/>
        </w:rPr>
        <w:t>4.付款方式</w:t>
      </w:r>
    </w:p>
    <w:p w14:paraId="10DD0504">
      <w:pPr>
        <w:pStyle w:val="8"/>
        <w:spacing w:line="360" w:lineRule="auto"/>
        <w:ind w:firstLine="420" w:firstLineChars="200"/>
        <w:jc w:val="both"/>
        <w:rPr>
          <w:rFonts w:ascii="宋体" w:hAnsi="宋体" w:cs="宋体"/>
          <w:szCs w:val="21"/>
        </w:rPr>
      </w:pPr>
      <w:r>
        <w:rPr>
          <w:rFonts w:hint="eastAsia" w:asciiTheme="minorEastAsia" w:hAnsiTheme="minorEastAsia" w:cstheme="minorEastAsia"/>
          <w:szCs w:val="21"/>
        </w:rPr>
        <w:t xml:space="preserve">4.1. 工程竣工验收，并完成结算审核后，采购人一次性支付结算审核金额的100%。中标人应在每次付款前向采购人提供合格发票，以便采购人办理付款手续。因中标人原因或财政支付流程导致的付款迟延，不视为采购人违约。 </w:t>
      </w:r>
    </w:p>
    <w:p w14:paraId="6FEA7FEB">
      <w:pPr>
        <w:pStyle w:val="6"/>
        <w:jc w:val="both"/>
      </w:pPr>
      <w:r>
        <w:rPr>
          <w:rFonts w:hint="eastAsia"/>
        </w:rPr>
        <w:t>5.注意事项：</w:t>
      </w:r>
    </w:p>
    <w:p w14:paraId="69259C2D">
      <w:pPr>
        <w:pStyle w:val="6"/>
        <w:ind w:firstLine="393"/>
        <w:jc w:val="both"/>
        <w:rPr>
          <w:b w:val="0"/>
          <w:bCs/>
        </w:rPr>
      </w:pPr>
      <w:r>
        <w:rPr>
          <w:rFonts w:hint="eastAsia"/>
          <w:b w:val="0"/>
          <w:bCs/>
        </w:rPr>
        <w:t>（一）中标人不得将项目非法分包或转包给任何单位和个人。否则，采购单位有权即刻终止合同，并要求中标人赔偿相应损失。</w:t>
      </w:r>
    </w:p>
    <w:p w14:paraId="66C8AFC0">
      <w:pPr>
        <w:pStyle w:val="6"/>
        <w:ind w:firstLine="393"/>
        <w:jc w:val="both"/>
        <w:rPr>
          <w:b w:val="0"/>
          <w:bCs/>
        </w:rPr>
      </w:pPr>
      <w:r>
        <w:rPr>
          <w:rFonts w:hint="eastAsia"/>
          <w:b w:val="0"/>
          <w:bCs/>
        </w:rPr>
        <w:t>（二）招标人拒绝有下列情形之一的企业或者从业人员参与投标：</w:t>
      </w:r>
    </w:p>
    <w:p w14:paraId="4979FB1C">
      <w:pPr>
        <w:pStyle w:val="6"/>
        <w:ind w:firstLine="393"/>
        <w:jc w:val="both"/>
        <w:rPr>
          <w:b w:val="0"/>
          <w:bCs/>
        </w:rPr>
      </w:pPr>
      <w:r>
        <w:rPr>
          <w:rFonts w:hint="eastAsia"/>
          <w:b w:val="0"/>
          <w:bCs/>
        </w:rPr>
        <w:t>1、近3年内（从招标公告发布之日起倒算）投标人或者其法定代表人有行贿犯罪记录的；</w:t>
      </w:r>
    </w:p>
    <w:p w14:paraId="786ACA60">
      <w:pPr>
        <w:pStyle w:val="6"/>
        <w:ind w:firstLine="393"/>
        <w:jc w:val="both"/>
        <w:rPr>
          <w:b w:val="0"/>
          <w:bCs/>
        </w:rPr>
      </w:pPr>
      <w:r>
        <w:rPr>
          <w:rFonts w:hint="eastAsia"/>
          <w:b w:val="0"/>
          <w:bCs/>
        </w:rPr>
        <w:t xml:space="preserve">2、近1年内（从截标之日起倒算）因串通投标、转包、以他人名义投标或者违法分包等违法行为受到建设、交通或者财政部门行政处罚的； </w:t>
      </w:r>
    </w:p>
    <w:p w14:paraId="5ACB77C7">
      <w:pPr>
        <w:pStyle w:val="6"/>
        <w:ind w:firstLine="393"/>
        <w:jc w:val="both"/>
        <w:rPr>
          <w:b w:val="0"/>
          <w:bCs/>
        </w:rPr>
      </w:pPr>
      <w:r>
        <w:rPr>
          <w:rFonts w:hint="eastAsia"/>
          <w:b w:val="0"/>
          <w:bCs/>
        </w:rPr>
        <w:t>3、 因违反工程质量、安全生产管理规定等原因被建设部门给予红色警示且在警示期内的；</w:t>
      </w:r>
    </w:p>
    <w:p w14:paraId="3C085460">
      <w:pPr>
        <w:pStyle w:val="6"/>
        <w:ind w:firstLine="393"/>
        <w:jc w:val="both"/>
        <w:rPr>
          <w:b w:val="0"/>
          <w:bCs/>
        </w:rPr>
      </w:pPr>
      <w:r>
        <w:rPr>
          <w:rFonts w:hint="eastAsia"/>
          <w:b w:val="0"/>
          <w:bCs/>
        </w:rPr>
        <w:t>4、被建设或者交通部门信用评价为红色且正处在信用评价结果公示期内的；</w:t>
      </w:r>
    </w:p>
    <w:p w14:paraId="6A9AC3D6">
      <w:pPr>
        <w:pStyle w:val="6"/>
        <w:ind w:firstLine="393"/>
        <w:jc w:val="both"/>
        <w:rPr>
          <w:b w:val="0"/>
          <w:bCs/>
        </w:rPr>
      </w:pPr>
      <w:r>
        <w:rPr>
          <w:rFonts w:hint="eastAsia"/>
          <w:b w:val="0"/>
          <w:bCs/>
        </w:rPr>
        <w:t>5、拖欠工人工资被有关部门责令改正而未改正的；</w:t>
      </w:r>
    </w:p>
    <w:p w14:paraId="31ADA7EB">
      <w:pPr>
        <w:pStyle w:val="6"/>
        <w:ind w:firstLine="393"/>
        <w:jc w:val="both"/>
        <w:rPr>
          <w:b w:val="0"/>
          <w:bCs/>
        </w:rPr>
      </w:pPr>
      <w:r>
        <w:rPr>
          <w:rFonts w:hint="eastAsia"/>
          <w:b w:val="0"/>
          <w:bCs/>
        </w:rPr>
        <w:t>6、 近3年内（从截标之日起倒算）曾被本项目招标人履约评价为不合格；</w:t>
      </w:r>
    </w:p>
    <w:p w14:paraId="1B1657E1">
      <w:pPr>
        <w:pStyle w:val="6"/>
        <w:ind w:firstLine="393"/>
        <w:jc w:val="both"/>
        <w:rPr>
          <w:b w:val="0"/>
          <w:bCs/>
        </w:rPr>
      </w:pPr>
      <w:r>
        <w:rPr>
          <w:rFonts w:hint="eastAsia"/>
          <w:b w:val="0"/>
          <w:bCs/>
        </w:rPr>
        <w:t>7、 近2年内（从截标之日起倒算）曾有放弃中标资格、拒不签订合同、拒不提供履约担保情形的；</w:t>
      </w:r>
    </w:p>
    <w:p w14:paraId="14C06A7B">
      <w:pPr>
        <w:pStyle w:val="6"/>
        <w:ind w:firstLine="393"/>
        <w:jc w:val="both"/>
        <w:rPr>
          <w:b w:val="0"/>
          <w:bCs/>
        </w:rPr>
      </w:pPr>
      <w:r>
        <w:rPr>
          <w:rFonts w:hint="eastAsia"/>
          <w:b w:val="0"/>
          <w:bCs/>
        </w:rPr>
        <w:t>8、 因违反工程质量、安全生产管理规定，或者因串通投标、转包、以他人名义投标或者违法分包等违法行为，正在接受建设、交通或者财政部门立案调查的。</w:t>
      </w:r>
    </w:p>
    <w:p w14:paraId="1B473E6B">
      <w:pPr>
        <w:pStyle w:val="6"/>
        <w:ind w:firstLine="393"/>
        <w:jc w:val="both"/>
        <w:rPr>
          <w:b w:val="0"/>
          <w:bCs/>
        </w:rPr>
      </w:pPr>
      <w:r>
        <w:rPr>
          <w:rFonts w:hint="eastAsia"/>
          <w:b w:val="0"/>
          <w:bCs/>
        </w:rPr>
        <w:t>9、今年以来，在招投标活动中有串通投标不良行为记录或涉嫌串通投标并正在接受主管部门调查的投标申请人不被接受；</w:t>
      </w:r>
    </w:p>
    <w:p w14:paraId="0BA7E33A">
      <w:pPr>
        <w:pStyle w:val="6"/>
        <w:ind w:firstLine="393"/>
        <w:jc w:val="both"/>
        <w:rPr>
          <w:b w:val="0"/>
          <w:bCs/>
        </w:rPr>
      </w:pPr>
      <w:r>
        <w:rPr>
          <w:rFonts w:hint="eastAsia"/>
          <w:b w:val="0"/>
          <w:bCs/>
        </w:rPr>
        <w:t>10、项目经理（建造师）或项目总监因不良行为红色警示等被建设行政主管部门管理系统锁定的，不能参与本次招标工程的投标，否则不良后果由投标人自负；</w:t>
      </w:r>
    </w:p>
    <w:p w14:paraId="41B00B91">
      <w:pPr>
        <w:pStyle w:val="6"/>
        <w:ind w:firstLine="393"/>
        <w:jc w:val="both"/>
        <w:rPr>
          <w:b w:val="0"/>
          <w:bCs/>
        </w:rPr>
      </w:pPr>
      <w:r>
        <w:rPr>
          <w:rFonts w:hint="eastAsia"/>
          <w:b w:val="0"/>
          <w:bCs/>
        </w:rPr>
        <w:t>11、中标后的投标人在中标公示期间向招标人提供检察机关出具的投标人法人及法定代表人的《行贿犯罪规档案查询告知函》（近三年，由采购单位明确近三年具体时间）；</w:t>
      </w:r>
    </w:p>
    <w:p w14:paraId="6B6095E9">
      <w:pPr>
        <w:pStyle w:val="6"/>
        <w:ind w:firstLine="393"/>
        <w:jc w:val="both"/>
        <w:rPr>
          <w:b w:val="0"/>
          <w:bCs/>
        </w:rPr>
      </w:pPr>
      <w:r>
        <w:rPr>
          <w:rFonts w:hint="eastAsia"/>
          <w:b w:val="0"/>
          <w:bCs/>
        </w:rPr>
        <w:t>12、依法应当拒绝投标的其他情形。</w:t>
      </w:r>
    </w:p>
    <w:p w14:paraId="1D909790">
      <w:pPr>
        <w:pStyle w:val="6"/>
        <w:ind w:firstLine="393"/>
        <w:jc w:val="both"/>
        <w:rPr>
          <w:b w:val="0"/>
          <w:bCs/>
        </w:rPr>
      </w:pPr>
      <w:r>
        <w:rPr>
          <w:rFonts w:hint="eastAsia"/>
          <w:b w:val="0"/>
          <w:bCs/>
        </w:rPr>
        <w:t>13、本项目按照深圳市龙华区教育局的相关采购规定执行，采购文件未明确的事项，参照政府采购及建设工程招标有关法律法规执行。</w:t>
      </w:r>
    </w:p>
    <w:p w14:paraId="11B838E6">
      <w:pPr>
        <w:pStyle w:val="6"/>
        <w:ind w:firstLine="393"/>
        <w:jc w:val="both"/>
        <w:rPr>
          <w:b w:val="0"/>
          <w:bCs/>
        </w:rPr>
      </w:pPr>
    </w:p>
    <w:p w14:paraId="228B444E">
      <w:pPr>
        <w:pStyle w:val="6"/>
        <w:ind w:firstLine="393"/>
        <w:jc w:val="both"/>
        <w:rPr>
          <w:b w:val="0"/>
          <w:bCs/>
        </w:rPr>
      </w:pPr>
    </w:p>
    <w:p w14:paraId="2896C877">
      <w:pPr>
        <w:pStyle w:val="6"/>
        <w:ind w:firstLine="393"/>
        <w:jc w:val="both"/>
        <w:rPr>
          <w:b w:val="0"/>
          <w:bCs/>
        </w:rPr>
      </w:pPr>
    </w:p>
    <w:p w14:paraId="4D58C10C">
      <w:pPr>
        <w:pStyle w:val="6"/>
        <w:ind w:firstLine="393"/>
        <w:jc w:val="both"/>
        <w:rPr>
          <w:b w:val="0"/>
          <w:bCs/>
        </w:rPr>
      </w:pPr>
    </w:p>
    <w:p w14:paraId="7D2F5883">
      <w:pPr>
        <w:pStyle w:val="6"/>
        <w:ind w:firstLine="393"/>
        <w:jc w:val="both"/>
        <w:rPr>
          <w:b w:val="0"/>
          <w:bCs/>
        </w:rPr>
      </w:pPr>
    </w:p>
    <w:p w14:paraId="427ED1E6">
      <w:pPr>
        <w:pStyle w:val="6"/>
        <w:ind w:firstLine="393"/>
        <w:jc w:val="both"/>
        <w:rPr>
          <w:b w:val="0"/>
          <w:bCs/>
        </w:rPr>
      </w:pPr>
    </w:p>
    <w:p w14:paraId="7AD845E9">
      <w:pPr>
        <w:pStyle w:val="6"/>
        <w:ind w:firstLine="393"/>
        <w:jc w:val="both"/>
        <w:rPr>
          <w:b w:val="0"/>
          <w:bCs/>
        </w:rPr>
      </w:pPr>
    </w:p>
    <w:p w14:paraId="607F7302">
      <w:pPr>
        <w:pStyle w:val="6"/>
        <w:ind w:firstLine="393"/>
        <w:jc w:val="both"/>
        <w:rPr>
          <w:b w:val="0"/>
          <w:bCs/>
        </w:rPr>
      </w:pPr>
    </w:p>
    <w:p w14:paraId="05A4109E">
      <w:pPr>
        <w:pStyle w:val="6"/>
        <w:ind w:firstLine="393"/>
        <w:jc w:val="both"/>
        <w:rPr>
          <w:b w:val="0"/>
          <w:bCs/>
        </w:rPr>
      </w:pPr>
    </w:p>
    <w:p w14:paraId="4C587F34">
      <w:pPr>
        <w:pStyle w:val="6"/>
        <w:ind w:firstLine="393"/>
        <w:jc w:val="both"/>
        <w:rPr>
          <w:b w:val="0"/>
          <w:bCs/>
        </w:rPr>
      </w:pPr>
    </w:p>
    <w:p w14:paraId="344F9BCD">
      <w:pPr>
        <w:pStyle w:val="6"/>
        <w:ind w:firstLine="393"/>
        <w:jc w:val="both"/>
        <w:rPr>
          <w:b w:val="0"/>
          <w:bCs/>
        </w:rPr>
      </w:pPr>
    </w:p>
    <w:p w14:paraId="5C8C533F">
      <w:pPr>
        <w:pStyle w:val="6"/>
        <w:ind w:firstLine="0" w:firstLineChars="0"/>
        <w:jc w:val="both"/>
        <w:rPr>
          <w:b w:val="0"/>
          <w:bCs/>
        </w:rPr>
      </w:pPr>
    </w:p>
    <w:p w14:paraId="275B7933">
      <w:pPr>
        <w:pStyle w:val="6"/>
        <w:ind w:firstLine="563"/>
        <w:rPr>
          <w:rStyle w:val="34"/>
        </w:rPr>
      </w:pPr>
      <w:r>
        <w:rPr>
          <w:rStyle w:val="34"/>
          <w:rFonts w:hint="eastAsia"/>
        </w:rPr>
        <w:t>五、其他重要条款</w:t>
      </w:r>
    </w:p>
    <w:p w14:paraId="2C357AB0">
      <w:pPr>
        <w:spacing w:line="360" w:lineRule="auto"/>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30101A6E">
      <w:pPr>
        <w:spacing w:line="360" w:lineRule="auto"/>
        <w:ind w:firstLine="420" w:firstLineChars="200"/>
        <w:rPr>
          <w:bCs/>
          <w:szCs w:val="21"/>
        </w:rPr>
      </w:pPr>
      <w:r>
        <w:rPr>
          <w:rFonts w:hint="eastAsia"/>
          <w:bCs/>
          <w:szCs w:val="21"/>
        </w:rPr>
        <w:t>2、投标人应充分了解项目的位置、情况、道路及任何其它足以影响投标报价的情况，任何因忽视或误解项目情况而导致的索赔或服务期限延长申请将不获批准。</w:t>
      </w:r>
    </w:p>
    <w:p w14:paraId="04D42FE1">
      <w:pPr>
        <w:spacing w:line="360" w:lineRule="auto"/>
        <w:ind w:firstLine="420" w:firstLineChars="200"/>
        <w:rPr>
          <w:bCs/>
          <w:szCs w:val="21"/>
        </w:rPr>
      </w:pPr>
      <w:r>
        <w:rPr>
          <w:rFonts w:hint="eastAsia"/>
          <w:bCs/>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522EA4E3">
      <w:pPr>
        <w:spacing w:line="360" w:lineRule="auto"/>
        <w:ind w:firstLine="420" w:firstLineChars="200"/>
        <w:rPr>
          <w:bCs/>
          <w:szCs w:val="21"/>
        </w:rPr>
      </w:pPr>
      <w:r>
        <w:rPr>
          <w:rFonts w:hint="eastAsia"/>
          <w:bCs/>
          <w:szCs w:val="21"/>
        </w:rPr>
        <w:t>4、除政府采购合同继续履行将损害国家利益和社会公共利益外，双方当事人不得擅自变更、中止或者终止合同。</w:t>
      </w:r>
    </w:p>
    <w:p w14:paraId="556619D6">
      <w:pPr>
        <w:spacing w:line="360" w:lineRule="auto"/>
        <w:ind w:firstLine="420" w:firstLineChars="200"/>
        <w:rPr>
          <w:bCs/>
          <w:szCs w:val="21"/>
        </w:rPr>
      </w:pPr>
      <w:r>
        <w:rPr>
          <w:rFonts w:hint="eastAsia"/>
          <w:bCs/>
          <w:szCs w:val="21"/>
        </w:rPr>
        <w:t>5、“信用中国”中“信用服务”栏的“重大税收违法失信主体”“失信被执行人”，“中国政府采购网”中的“政府采购严重违法失信行为记录名单”为供应商信用信息的查询渠道，相关信息以开标当日</w:t>
      </w:r>
      <w:r>
        <w:rPr>
          <w:rFonts w:hint="eastAsia"/>
          <w:bCs/>
          <w:szCs w:val="21"/>
          <w:lang w:eastAsia="zh-CN"/>
        </w:rPr>
        <w:t>招标机构</w:t>
      </w:r>
      <w:r>
        <w:rPr>
          <w:rFonts w:hint="eastAsia"/>
          <w:bCs/>
          <w:szCs w:val="21"/>
        </w:rPr>
        <w:t>查询结果为准。</w:t>
      </w:r>
    </w:p>
    <w:p w14:paraId="75347671">
      <w:pPr>
        <w:ind w:firstLine="420" w:firstLineChars="200"/>
        <w:rPr>
          <w:bCs/>
          <w:szCs w:val="21"/>
        </w:rPr>
      </w:pPr>
    </w:p>
    <w:p w14:paraId="05A5DD0F">
      <w:pPr>
        <w:ind w:firstLine="420" w:firstLineChars="200"/>
        <w:rPr>
          <w:bCs/>
          <w:szCs w:val="21"/>
        </w:rPr>
      </w:pPr>
    </w:p>
    <w:p w14:paraId="79937171">
      <w:pPr>
        <w:pStyle w:val="9"/>
        <w:rPr>
          <w:szCs w:val="21"/>
        </w:rPr>
      </w:pPr>
    </w:p>
    <w:p w14:paraId="5618B965">
      <w:pPr>
        <w:pStyle w:val="9"/>
        <w:rPr>
          <w:szCs w:val="21"/>
        </w:rPr>
      </w:pPr>
    </w:p>
    <w:p w14:paraId="5B391E78">
      <w:pPr>
        <w:pStyle w:val="9"/>
        <w:rPr>
          <w:szCs w:val="21"/>
        </w:rPr>
      </w:pPr>
    </w:p>
    <w:p w14:paraId="432E037D">
      <w:pPr>
        <w:pStyle w:val="9"/>
        <w:rPr>
          <w:szCs w:val="21"/>
        </w:rPr>
      </w:pPr>
    </w:p>
    <w:p w14:paraId="1D1264C0">
      <w:pPr>
        <w:pStyle w:val="9"/>
        <w:rPr>
          <w:szCs w:val="21"/>
        </w:rPr>
      </w:pPr>
    </w:p>
    <w:p w14:paraId="6BCEC103">
      <w:pPr>
        <w:pStyle w:val="9"/>
        <w:rPr>
          <w:szCs w:val="21"/>
        </w:rPr>
      </w:pPr>
    </w:p>
    <w:p w14:paraId="077DE3E7">
      <w:pPr>
        <w:pStyle w:val="9"/>
        <w:rPr>
          <w:szCs w:val="21"/>
        </w:rPr>
      </w:pPr>
    </w:p>
    <w:p w14:paraId="1C95325A">
      <w:pPr>
        <w:pStyle w:val="9"/>
        <w:rPr>
          <w:szCs w:val="21"/>
        </w:rPr>
      </w:pPr>
    </w:p>
    <w:p w14:paraId="222C4EC1">
      <w:pPr>
        <w:pStyle w:val="9"/>
        <w:rPr>
          <w:szCs w:val="21"/>
        </w:rPr>
      </w:pPr>
    </w:p>
    <w:p w14:paraId="4970BC4B">
      <w:pPr>
        <w:pStyle w:val="9"/>
        <w:rPr>
          <w:szCs w:val="21"/>
        </w:rPr>
      </w:pPr>
    </w:p>
    <w:p w14:paraId="1AC43599">
      <w:pPr>
        <w:pStyle w:val="9"/>
        <w:rPr>
          <w:szCs w:val="21"/>
        </w:rPr>
      </w:pPr>
    </w:p>
    <w:p w14:paraId="3776B70E">
      <w:pPr>
        <w:pStyle w:val="9"/>
        <w:rPr>
          <w:szCs w:val="21"/>
        </w:rPr>
      </w:pPr>
    </w:p>
    <w:p w14:paraId="5C5C2DA3">
      <w:pPr>
        <w:pStyle w:val="9"/>
        <w:rPr>
          <w:szCs w:val="21"/>
        </w:rPr>
      </w:pPr>
    </w:p>
    <w:p w14:paraId="1AEBAF8C">
      <w:pPr>
        <w:pStyle w:val="9"/>
        <w:rPr>
          <w:szCs w:val="21"/>
        </w:rPr>
      </w:pPr>
    </w:p>
    <w:p w14:paraId="5A391345">
      <w:pPr>
        <w:ind w:firstLine="420" w:firstLineChars="200"/>
        <w:rPr>
          <w:bCs/>
          <w:szCs w:val="21"/>
        </w:rPr>
      </w:pPr>
    </w:p>
    <w:p w14:paraId="0F616287">
      <w:pPr>
        <w:keepNext/>
        <w:keepLines/>
        <w:adjustRightInd w:val="0"/>
        <w:spacing w:line="320" w:lineRule="atLeast"/>
        <w:jc w:val="center"/>
        <w:textAlignment w:val="baseline"/>
        <w:outlineLvl w:val="1"/>
        <w:rPr>
          <w:rFonts w:ascii="宋体" w:hAnsi="宋体" w:eastAsia="宋体" w:cs="Times New Roman"/>
          <w:b/>
          <w:bCs/>
          <w:kern w:val="0"/>
          <w:sz w:val="28"/>
          <w:szCs w:val="28"/>
        </w:rPr>
      </w:pPr>
      <w:r>
        <w:rPr>
          <w:rFonts w:hint="eastAsia" w:ascii="宋体" w:hAnsi="宋体" w:eastAsia="宋体" w:cs="Times New Roman"/>
          <w:b/>
          <w:bCs/>
          <w:kern w:val="0"/>
          <w:sz w:val="28"/>
          <w:szCs w:val="28"/>
        </w:rPr>
        <w:t>第四章 投标文件组成要求及格式</w:t>
      </w:r>
    </w:p>
    <w:p w14:paraId="177DFD4F">
      <w:pPr>
        <w:widowControl/>
        <w:spacing w:line="360" w:lineRule="auto"/>
        <w:jc w:val="left"/>
        <w:outlineLvl w:val="2"/>
        <w:rPr>
          <w:rFonts w:asciiTheme="minorEastAsia" w:hAnsiTheme="minorEastAsia" w:cstheme="minorEastAsia"/>
          <w:bCs/>
          <w:kern w:val="44"/>
          <w:sz w:val="24"/>
          <w:szCs w:val="24"/>
        </w:rPr>
      </w:pPr>
      <w:r>
        <w:rPr>
          <w:rFonts w:hint="eastAsia" w:asciiTheme="minorEastAsia" w:hAnsiTheme="minorEastAsia" w:cstheme="minorEastAsia"/>
          <w:bCs/>
          <w:kern w:val="44"/>
          <w:sz w:val="24"/>
          <w:szCs w:val="24"/>
        </w:rPr>
        <w:t>投标文件组成：</w:t>
      </w:r>
      <w:bookmarkStart w:id="13" w:name="_Hlk72257771"/>
    </w:p>
    <w:p w14:paraId="76FFBEBD">
      <w:pPr>
        <w:spacing w:line="360" w:lineRule="auto"/>
        <w:ind w:left="718" w:leftChars="342" w:firstLine="1620" w:firstLineChars="675"/>
        <w:rPr>
          <w:rFonts w:asciiTheme="minorEastAsia" w:hAnsiTheme="minorEastAsia" w:cstheme="minorEastAsia"/>
          <w:sz w:val="24"/>
          <w:szCs w:val="24"/>
        </w:rPr>
      </w:pPr>
      <w:r>
        <w:rPr>
          <w:rFonts w:hint="eastAsia" w:asciiTheme="minorEastAsia" w:hAnsiTheme="minorEastAsia" w:cstheme="minorEastAsia"/>
          <w:sz w:val="24"/>
          <w:szCs w:val="24"/>
        </w:rPr>
        <w:t>（1）</w:t>
      </w:r>
      <w:bookmarkStart w:id="14" w:name="_Hlk72070784"/>
      <w:r>
        <w:rPr>
          <w:rFonts w:hint="eastAsia" w:asciiTheme="minorEastAsia" w:hAnsiTheme="minorEastAsia" w:cstheme="minorEastAsia"/>
          <w:sz w:val="24"/>
          <w:szCs w:val="24"/>
        </w:rPr>
        <w:t>投标函</w:t>
      </w:r>
      <w:bookmarkEnd w:id="14"/>
    </w:p>
    <w:p w14:paraId="437D5901">
      <w:pPr>
        <w:spacing w:line="360" w:lineRule="auto"/>
        <w:ind w:left="718" w:leftChars="342" w:firstLine="1620" w:firstLineChars="675"/>
        <w:rPr>
          <w:rFonts w:asciiTheme="minorEastAsia" w:hAnsiTheme="minorEastAsia" w:cstheme="minorEastAsia"/>
          <w:sz w:val="24"/>
          <w:szCs w:val="24"/>
        </w:rPr>
      </w:pPr>
      <w:r>
        <w:rPr>
          <w:rFonts w:hint="eastAsia" w:asciiTheme="minorEastAsia" w:hAnsiTheme="minorEastAsia" w:cstheme="minorEastAsia"/>
          <w:sz w:val="24"/>
          <w:szCs w:val="24"/>
        </w:rPr>
        <w:t>（2）</w:t>
      </w:r>
      <w:r>
        <w:rPr>
          <w:rFonts w:hint="eastAsia" w:cs="宋体"/>
        </w:rPr>
        <w:t>龙华区教育局自行采购投标及履约承诺函</w:t>
      </w:r>
    </w:p>
    <w:p w14:paraId="29E5A07C">
      <w:pPr>
        <w:spacing w:line="360" w:lineRule="auto"/>
        <w:ind w:left="718" w:leftChars="342" w:firstLine="1620" w:firstLineChars="675"/>
        <w:rPr>
          <w:rFonts w:asciiTheme="minorEastAsia" w:hAnsiTheme="minorEastAsia" w:cstheme="minorEastAsia"/>
          <w:sz w:val="24"/>
          <w:szCs w:val="24"/>
        </w:rPr>
      </w:pPr>
      <w:r>
        <w:rPr>
          <w:rFonts w:hint="eastAsia" w:asciiTheme="minorEastAsia" w:hAnsiTheme="minorEastAsia" w:cstheme="minorEastAsia"/>
          <w:sz w:val="24"/>
          <w:szCs w:val="24"/>
        </w:rPr>
        <w:t>（3）投标人情况及资格证明文件</w:t>
      </w:r>
    </w:p>
    <w:p w14:paraId="34382A4E">
      <w:pPr>
        <w:spacing w:line="360" w:lineRule="auto"/>
        <w:ind w:left="718" w:leftChars="342" w:firstLine="1620" w:firstLineChars="675"/>
        <w:rPr>
          <w:rFonts w:asciiTheme="minorEastAsia" w:hAnsiTheme="minorEastAsia" w:cstheme="minorEastAsia"/>
          <w:sz w:val="24"/>
          <w:szCs w:val="24"/>
        </w:rPr>
      </w:pPr>
      <w:bookmarkStart w:id="15" w:name="_Hlk72257201"/>
      <w:r>
        <w:rPr>
          <w:rFonts w:hint="eastAsia" w:asciiTheme="minorEastAsia" w:hAnsiTheme="minorEastAsia" w:cstheme="minorEastAsia"/>
          <w:sz w:val="24"/>
          <w:szCs w:val="24"/>
        </w:rPr>
        <w:t>（4）股东构成审查表</w:t>
      </w:r>
    </w:p>
    <w:bookmarkEnd w:id="15"/>
    <w:p w14:paraId="511C648C">
      <w:pPr>
        <w:spacing w:line="360" w:lineRule="auto"/>
        <w:ind w:firstLine="2400" w:firstLineChars="1000"/>
        <w:rPr>
          <w:rFonts w:asciiTheme="minorEastAsia" w:hAnsiTheme="minorEastAsia" w:cstheme="minorEastAsia"/>
          <w:sz w:val="24"/>
          <w:szCs w:val="24"/>
        </w:rPr>
      </w:pPr>
      <w:r>
        <w:rPr>
          <w:rFonts w:hint="eastAsia" w:asciiTheme="minorEastAsia" w:hAnsiTheme="minorEastAsia" w:cstheme="minorEastAsia"/>
          <w:sz w:val="24"/>
          <w:szCs w:val="24"/>
        </w:rPr>
        <w:t>（5）法定代表人（负责人）证明书</w:t>
      </w:r>
    </w:p>
    <w:p w14:paraId="0717A11A">
      <w:pPr>
        <w:spacing w:line="360" w:lineRule="auto"/>
        <w:ind w:firstLine="2400" w:firstLineChars="1000"/>
        <w:rPr>
          <w:rFonts w:asciiTheme="minorEastAsia" w:hAnsiTheme="minorEastAsia" w:cstheme="minorEastAsia"/>
          <w:sz w:val="24"/>
          <w:szCs w:val="24"/>
        </w:rPr>
      </w:pPr>
      <w:r>
        <w:rPr>
          <w:rFonts w:hint="eastAsia" w:asciiTheme="minorEastAsia" w:hAnsiTheme="minorEastAsia" w:cstheme="minorEastAsia"/>
          <w:sz w:val="24"/>
          <w:szCs w:val="24"/>
        </w:rPr>
        <w:t>（6）投标文件签署授权委托书</w:t>
      </w:r>
    </w:p>
    <w:p w14:paraId="326F4C5A">
      <w:pPr>
        <w:spacing w:line="360" w:lineRule="auto"/>
        <w:ind w:firstLine="2400" w:firstLineChars="1000"/>
        <w:rPr>
          <w:rFonts w:asciiTheme="minorEastAsia" w:hAnsiTheme="minorEastAsia" w:cstheme="minorEastAsia"/>
          <w:sz w:val="24"/>
          <w:szCs w:val="24"/>
        </w:rPr>
      </w:pPr>
      <w:r>
        <w:rPr>
          <w:rFonts w:hint="eastAsia" w:asciiTheme="minorEastAsia" w:hAnsiTheme="minorEastAsia" w:cstheme="minorEastAsia"/>
          <w:sz w:val="24"/>
          <w:szCs w:val="24"/>
        </w:rPr>
        <w:t>（7）实质性条款响应情况表</w:t>
      </w:r>
    </w:p>
    <w:p w14:paraId="203A7591">
      <w:pPr>
        <w:spacing w:line="360" w:lineRule="auto"/>
        <w:ind w:firstLine="2400" w:firstLineChars="1000"/>
        <w:rPr>
          <w:rFonts w:asciiTheme="minorEastAsia" w:hAnsiTheme="minorEastAsia" w:cstheme="minorEastAsia"/>
          <w:sz w:val="24"/>
          <w:szCs w:val="24"/>
        </w:rPr>
      </w:pPr>
      <w:r>
        <w:rPr>
          <w:rFonts w:hint="eastAsia" w:asciiTheme="minorEastAsia" w:hAnsiTheme="minorEastAsia" w:cstheme="minorEastAsia"/>
          <w:sz w:val="24"/>
          <w:szCs w:val="24"/>
        </w:rPr>
        <w:t>（8）服务条款偏离表</w:t>
      </w:r>
    </w:p>
    <w:p w14:paraId="0EDF8FEB">
      <w:pPr>
        <w:spacing w:line="360" w:lineRule="auto"/>
        <w:ind w:firstLine="2400" w:firstLineChars="1000"/>
        <w:rPr>
          <w:rFonts w:asciiTheme="minorEastAsia" w:hAnsiTheme="minorEastAsia" w:cstheme="minorEastAsia"/>
          <w:sz w:val="24"/>
          <w:szCs w:val="24"/>
        </w:rPr>
      </w:pPr>
      <w:r>
        <w:rPr>
          <w:rFonts w:hint="eastAsia" w:asciiTheme="minorEastAsia" w:hAnsiTheme="minorEastAsia" w:cstheme="minorEastAsia"/>
          <w:sz w:val="24"/>
          <w:szCs w:val="24"/>
        </w:rPr>
        <w:t>（9）技术保障措施</w:t>
      </w:r>
    </w:p>
    <w:p w14:paraId="1002A016">
      <w:pPr>
        <w:spacing w:line="360" w:lineRule="auto"/>
        <w:ind w:firstLine="2400" w:firstLineChars="1000"/>
        <w:rPr>
          <w:rFonts w:asciiTheme="minorEastAsia" w:hAnsiTheme="minorEastAsia" w:cstheme="minorEastAsia"/>
          <w:sz w:val="24"/>
          <w:szCs w:val="24"/>
        </w:rPr>
      </w:pPr>
      <w:r>
        <w:rPr>
          <w:rFonts w:hint="eastAsia" w:asciiTheme="minorEastAsia" w:hAnsiTheme="minorEastAsia" w:cstheme="minorEastAsia"/>
          <w:sz w:val="24"/>
          <w:szCs w:val="24"/>
        </w:rPr>
        <w:t>（10）同类项目业绩情况</w:t>
      </w:r>
    </w:p>
    <w:p w14:paraId="0E139131">
      <w:pPr>
        <w:spacing w:line="360" w:lineRule="auto"/>
        <w:ind w:firstLine="2400" w:firstLineChars="1000"/>
        <w:rPr>
          <w:rFonts w:asciiTheme="minorEastAsia" w:hAnsiTheme="minorEastAsia" w:cstheme="minorEastAsia"/>
          <w:sz w:val="24"/>
          <w:szCs w:val="24"/>
        </w:rPr>
      </w:pPr>
      <w:r>
        <w:rPr>
          <w:rFonts w:hint="eastAsia" w:asciiTheme="minorEastAsia" w:hAnsiTheme="minorEastAsia" w:cstheme="minorEastAsia"/>
          <w:sz w:val="24"/>
          <w:szCs w:val="24"/>
        </w:rPr>
        <w:t>（11）履约评价</w:t>
      </w:r>
    </w:p>
    <w:p w14:paraId="230B0F99">
      <w:pPr>
        <w:spacing w:line="360" w:lineRule="auto"/>
        <w:ind w:firstLine="2400" w:firstLineChars="1000"/>
        <w:rPr>
          <w:rFonts w:asciiTheme="minorEastAsia" w:hAnsiTheme="minorEastAsia" w:cstheme="minorEastAsia"/>
          <w:sz w:val="24"/>
          <w:szCs w:val="24"/>
        </w:rPr>
      </w:pPr>
      <w:r>
        <w:rPr>
          <w:rFonts w:hint="eastAsia" w:asciiTheme="minorEastAsia" w:hAnsiTheme="minorEastAsia" w:cstheme="minorEastAsia"/>
          <w:sz w:val="24"/>
          <w:szCs w:val="24"/>
        </w:rPr>
        <w:t>（12）项目管理班子人员配备情况</w:t>
      </w:r>
    </w:p>
    <w:p w14:paraId="16FC15A2">
      <w:pPr>
        <w:spacing w:line="360" w:lineRule="auto"/>
        <w:ind w:firstLine="2400" w:firstLineChars="1000"/>
        <w:rPr>
          <w:rFonts w:asciiTheme="minorEastAsia" w:hAnsiTheme="minorEastAsia" w:cstheme="minorEastAsia"/>
          <w:sz w:val="24"/>
          <w:szCs w:val="24"/>
        </w:rPr>
      </w:pPr>
      <w:r>
        <w:rPr>
          <w:rFonts w:hint="eastAsia" w:asciiTheme="minorEastAsia" w:hAnsiTheme="minorEastAsia" w:cstheme="minorEastAsia"/>
          <w:sz w:val="24"/>
          <w:szCs w:val="24"/>
        </w:rPr>
        <w:t>（13）投标人认为需要加以说明的其他内容</w:t>
      </w:r>
    </w:p>
    <w:p w14:paraId="290F72BA">
      <w:pPr>
        <w:spacing w:line="360" w:lineRule="auto"/>
        <w:rPr>
          <w:rFonts w:asciiTheme="minorEastAsia" w:hAnsiTheme="minorEastAsia" w:cstheme="minorEastAsia"/>
          <w:b/>
          <w:sz w:val="24"/>
          <w:szCs w:val="24"/>
        </w:rPr>
      </w:pPr>
      <w:r>
        <w:rPr>
          <w:rFonts w:hint="eastAsia" w:asciiTheme="minorEastAsia" w:hAnsiTheme="minorEastAsia" w:cstheme="minorEastAsia"/>
          <w:b/>
          <w:sz w:val="24"/>
          <w:szCs w:val="24"/>
        </w:rPr>
        <w:t>备注：</w:t>
      </w:r>
    </w:p>
    <w:p w14:paraId="4BFAD378">
      <w:pPr>
        <w:snapToGrid w:val="0"/>
        <w:spacing w:line="360" w:lineRule="auto"/>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rPr>
        <w:t>1.本项目为网上电子投标项目，投标文件不需法人或授权委托人另行签字，无需加盖单位公章，招标文件另有规定的除外。</w:t>
      </w:r>
    </w:p>
    <w:p w14:paraId="6607E846">
      <w:pPr>
        <w:snapToGrid w:val="0"/>
        <w:spacing w:afterLines="25" w:line="360" w:lineRule="auto"/>
        <w:ind w:firstLine="482" w:firstLineChars="200"/>
        <w:rPr>
          <w:rFonts w:ascii="宋体" w:hAnsi="宋体" w:eastAsia="黑体" w:cs="Times New Roman"/>
          <w:bCs/>
          <w:kern w:val="44"/>
          <w:sz w:val="32"/>
          <w:szCs w:val="32"/>
        </w:rPr>
      </w:pPr>
      <w:bookmarkStart w:id="16" w:name="_Hlk72263559"/>
      <w:r>
        <w:rPr>
          <w:rFonts w:hint="eastAsia" w:asciiTheme="minorEastAsia" w:hAnsiTheme="minorEastAsia" w:cstheme="minorEastAsia"/>
          <w:b/>
          <w:sz w:val="24"/>
          <w:szCs w:val="24"/>
        </w:rPr>
        <w:t>2.关于填写“开标一览表”的说明：“开标一览表”中除“投标总价”外，其他信息不作评审依据。</w:t>
      </w:r>
      <w:bookmarkEnd w:id="13"/>
      <w:bookmarkEnd w:id="16"/>
      <w:r>
        <w:rPr>
          <w:rFonts w:hint="eastAsia" w:asciiTheme="minorEastAsia" w:hAnsiTheme="minorEastAsia" w:cstheme="minorEastAsia"/>
          <w:bCs/>
          <w:kern w:val="44"/>
          <w:sz w:val="24"/>
          <w:szCs w:val="24"/>
        </w:rPr>
        <w:br w:type="page"/>
      </w:r>
    </w:p>
    <w:p w14:paraId="43E36736">
      <w:pPr>
        <w:pStyle w:val="4"/>
        <w:spacing w:line="360" w:lineRule="auto"/>
        <w:jc w:val="center"/>
        <w:rPr>
          <w:rFonts w:asciiTheme="minorEastAsia" w:hAnsiTheme="minorEastAsia" w:eastAsiaTheme="minorEastAsia" w:cstheme="minorEastAsia"/>
          <w:bCs w:val="0"/>
          <w:szCs w:val="28"/>
        </w:rPr>
      </w:pPr>
      <w:r>
        <w:rPr>
          <w:rFonts w:hint="eastAsia" w:asciiTheme="minorEastAsia" w:hAnsiTheme="minorEastAsia" w:eastAsiaTheme="minorEastAsia" w:cstheme="minorEastAsia"/>
          <w:bCs w:val="0"/>
          <w:szCs w:val="28"/>
        </w:rPr>
        <w:t>一、投标函</w:t>
      </w:r>
    </w:p>
    <w:p w14:paraId="699DA3BD">
      <w:pPr>
        <w:spacing w:line="360" w:lineRule="auto"/>
        <w:rPr>
          <w:rFonts w:asciiTheme="minorEastAsia" w:hAnsiTheme="minorEastAsia" w:cstheme="minorEastAsia"/>
          <w:szCs w:val="21"/>
        </w:rPr>
      </w:pPr>
      <w:bookmarkStart w:id="17" w:name="_Hlk72257506"/>
      <w:r>
        <w:rPr>
          <w:rFonts w:hint="eastAsia" w:asciiTheme="minorEastAsia" w:hAnsiTheme="minorEastAsia" w:cstheme="minorEastAsia"/>
          <w:szCs w:val="21"/>
        </w:rPr>
        <w:t>致：</w:t>
      </w:r>
      <w:r>
        <w:rPr>
          <w:rFonts w:hint="eastAsia" w:asciiTheme="minorEastAsia" w:hAnsiTheme="minorEastAsia" w:cstheme="minorEastAsia"/>
          <w:szCs w:val="21"/>
          <w:u w:val="single"/>
        </w:rPr>
        <w:t>深圳市千里招标代理有限公司</w:t>
      </w:r>
    </w:p>
    <w:p w14:paraId="2DB099DF">
      <w:pPr>
        <w:spacing w:line="360" w:lineRule="auto"/>
        <w:ind w:firstLine="420" w:firstLineChars="200"/>
        <w:rPr>
          <w:rFonts w:asciiTheme="minorEastAsia" w:hAnsiTheme="minorEastAsia" w:cstheme="minorEastAsia"/>
          <w:szCs w:val="21"/>
        </w:rPr>
      </w:pPr>
      <w:bookmarkStart w:id="18" w:name="_Hlk73818812"/>
      <w:r>
        <w:rPr>
          <w:rFonts w:hint="eastAsia" w:asciiTheme="minorEastAsia" w:hAnsiTheme="minorEastAsia" w:cstheme="minorEastAsia"/>
          <w:szCs w:val="21"/>
        </w:rPr>
        <w:t>1、根据已收到贵单位的项目编号为</w:t>
      </w:r>
      <w:r>
        <w:rPr>
          <w:rFonts w:hint="eastAsia" w:asciiTheme="minorEastAsia" w:hAnsiTheme="minorEastAsia" w:cstheme="minorEastAsia"/>
          <w:szCs w:val="21"/>
          <w:u w:val="single"/>
          <w:lang w:val="en-US" w:eastAsia="zh-CN"/>
        </w:rPr>
        <w:t xml:space="preserve">           </w:t>
      </w:r>
      <w:r>
        <w:rPr>
          <w:rFonts w:hint="eastAsia" w:asciiTheme="minorEastAsia" w:hAnsiTheme="minorEastAsia" w:cstheme="minorEastAsia"/>
          <w:szCs w:val="21"/>
        </w:rPr>
        <w:t>的</w:t>
      </w:r>
      <w:r>
        <w:rPr>
          <w:rFonts w:hint="eastAsia" w:asciiTheme="minorEastAsia" w:hAnsiTheme="minorEastAsia" w:cstheme="minorEastAsia"/>
          <w:szCs w:val="21"/>
          <w:u w:val="thick"/>
        </w:rPr>
        <w:t>（项目名称）</w:t>
      </w:r>
      <w:r>
        <w:rPr>
          <w:rFonts w:hint="eastAsia" w:asciiTheme="minorEastAsia" w:hAnsiTheme="minorEastAsia" w:cstheme="minorEastAsia"/>
          <w:szCs w:val="21"/>
        </w:rPr>
        <w:t>项目的招标文件，遵照《深圳经济特区政府采购条例》和《深圳网上政府采购管理暂行办法》等有关规定，我单位经研究上述招标文件的专用条款及通用条款后，</w:t>
      </w:r>
      <w:bookmarkStart w:id="19" w:name="_Hlk72263588"/>
      <w:r>
        <w:rPr>
          <w:rFonts w:hint="eastAsia" w:asciiTheme="minorEastAsia" w:hAnsiTheme="minorEastAsia" w:cstheme="minorEastAsia"/>
          <w:szCs w:val="21"/>
        </w:rPr>
        <w:t>愿意按照招标文件要求承包上述项目并修补其任何缺陷。</w:t>
      </w:r>
      <w:bookmarkEnd w:id="19"/>
    </w:p>
    <w:p w14:paraId="3AD2F695">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2、</w:t>
      </w:r>
      <w:bookmarkStart w:id="20" w:name="_Hlk73819847"/>
      <w:r>
        <w:rPr>
          <w:rFonts w:hint="eastAsia" w:asciiTheme="minorEastAsia" w:hAnsiTheme="minorEastAsia" w:cstheme="minorEastAsia"/>
          <w:szCs w:val="21"/>
        </w:rPr>
        <w:t>投标价格见投标书编制软件中《开标一览表》中填写的投标总价。</w:t>
      </w:r>
      <w:bookmarkEnd w:id="20"/>
    </w:p>
    <w:p w14:paraId="0E3201C9">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3、如果我单位中标，我单位将按照招标文件的要求足额提交履约担保。</w:t>
      </w:r>
    </w:p>
    <w:p w14:paraId="4C72FC12">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4、我单位同意所递交的投标文件在“对通用条款的补充内容”中明确的投标有效期内有效，在此期间内我单位的投标有可能中标，我方将受此约束。</w:t>
      </w:r>
    </w:p>
    <w:p w14:paraId="357CF67D">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5、除非另外达成协议并生效，贵单位的中标通知书和本投标文件将构成合同的重要内容。</w:t>
      </w:r>
    </w:p>
    <w:p w14:paraId="2A045221">
      <w:pPr>
        <w:spacing w:line="360" w:lineRule="auto"/>
        <w:ind w:left="420" w:leftChars="200"/>
        <w:rPr>
          <w:rFonts w:asciiTheme="minorEastAsia" w:hAnsiTheme="minorEastAsia" w:cstheme="minorEastAsia"/>
          <w:szCs w:val="21"/>
        </w:rPr>
      </w:pPr>
      <w:r>
        <w:rPr>
          <w:rFonts w:hint="eastAsia" w:asciiTheme="minorEastAsia" w:hAnsiTheme="minorEastAsia" w:cstheme="minorEastAsia"/>
          <w:szCs w:val="21"/>
        </w:rPr>
        <w:t>6、我单位理解贵单位将不受必须接受所收到的最低报价或其它任何投标文件的约束。</w:t>
      </w:r>
      <w:bookmarkEnd w:id="18"/>
    </w:p>
    <w:p w14:paraId="24A14C4A">
      <w:pPr>
        <w:spacing w:line="360" w:lineRule="auto"/>
        <w:ind w:left="420" w:leftChars="200"/>
        <w:rPr>
          <w:rFonts w:asciiTheme="minorEastAsia" w:hAnsiTheme="minorEastAsia" w:cstheme="minorEastAsia"/>
          <w:b/>
          <w:szCs w:val="21"/>
        </w:rPr>
      </w:pPr>
      <w:r>
        <w:rPr>
          <w:rFonts w:hint="eastAsia" w:asciiTheme="minorEastAsia" w:hAnsiTheme="minorEastAsia" w:cstheme="minorEastAsia"/>
          <w:b/>
          <w:szCs w:val="21"/>
        </w:rPr>
        <w:t>7、如我单位提交样品，且未在规定时间内取回样品的，视同放弃取回，同意深圳市千里招标代理有限公司对我单位提交的样品进行清理。</w:t>
      </w:r>
    </w:p>
    <w:p w14:paraId="1F9D85D4">
      <w:pPr>
        <w:spacing w:line="360" w:lineRule="auto"/>
        <w:ind w:left="420" w:leftChars="200" w:firstLine="210" w:firstLineChars="100"/>
        <w:rPr>
          <w:rFonts w:asciiTheme="minorEastAsia" w:hAnsiTheme="minorEastAsia" w:cstheme="minorEastAsia"/>
          <w:szCs w:val="21"/>
        </w:rPr>
      </w:pPr>
    </w:p>
    <w:p w14:paraId="6C235808">
      <w:pPr>
        <w:spacing w:line="360" w:lineRule="auto"/>
        <w:ind w:left="420" w:leftChars="200" w:firstLine="210" w:firstLineChars="100"/>
        <w:rPr>
          <w:rFonts w:asciiTheme="minorEastAsia" w:hAnsiTheme="minorEastAsia" w:cstheme="minorEastAsia"/>
          <w:szCs w:val="21"/>
        </w:rPr>
      </w:pPr>
      <w:r>
        <w:rPr>
          <w:rFonts w:hint="eastAsia" w:asciiTheme="minorEastAsia" w:hAnsiTheme="minorEastAsia" w:cstheme="minorEastAsia"/>
          <w:szCs w:val="21"/>
        </w:rPr>
        <w:t>投标人：</w:t>
      </w:r>
      <w:r>
        <w:rPr>
          <w:rFonts w:hint="eastAsia" w:asciiTheme="minorEastAsia" w:hAnsiTheme="minorEastAsia" w:cstheme="minorEastAsia"/>
          <w:szCs w:val="21"/>
          <w:u w:val="single"/>
          <w:lang w:val="en-US" w:eastAsia="zh-CN"/>
        </w:rPr>
        <w:t xml:space="preserve">                            </w:t>
      </w:r>
    </w:p>
    <w:p w14:paraId="1088EA41">
      <w:pPr>
        <w:spacing w:line="360" w:lineRule="auto"/>
        <w:ind w:left="420" w:leftChars="200" w:firstLine="210" w:firstLineChars="100"/>
        <w:rPr>
          <w:rFonts w:hint="default" w:asciiTheme="minorEastAsia" w:hAnsiTheme="minorEastAsia" w:eastAsiaTheme="minorEastAsia" w:cstheme="minorEastAsia"/>
          <w:szCs w:val="21"/>
          <w:u w:val="single"/>
          <w:lang w:val="en-US" w:eastAsia="zh-CN"/>
        </w:rPr>
      </w:pPr>
      <w:r>
        <w:rPr>
          <w:rFonts w:hint="eastAsia" w:asciiTheme="minorEastAsia" w:hAnsiTheme="minorEastAsia" w:cstheme="minorEastAsia"/>
          <w:szCs w:val="21"/>
        </w:rPr>
        <w:t>单位地址：</w:t>
      </w:r>
      <w:r>
        <w:rPr>
          <w:rFonts w:hint="eastAsia" w:asciiTheme="minorEastAsia" w:hAnsiTheme="minorEastAsia" w:cstheme="minorEastAsia"/>
          <w:szCs w:val="21"/>
          <w:u w:val="single"/>
          <w:lang w:val="en-US" w:eastAsia="zh-CN"/>
        </w:rPr>
        <w:t xml:space="preserve">                            </w:t>
      </w:r>
    </w:p>
    <w:p w14:paraId="779EA034">
      <w:pPr>
        <w:spacing w:line="360" w:lineRule="auto"/>
        <w:ind w:left="420" w:leftChars="200" w:firstLine="210" w:firstLineChars="100"/>
        <w:rPr>
          <w:rFonts w:asciiTheme="minorEastAsia" w:hAnsiTheme="minorEastAsia" w:cstheme="minorEastAsia"/>
          <w:szCs w:val="21"/>
        </w:rPr>
      </w:pPr>
      <w:r>
        <w:rPr>
          <w:rFonts w:hint="eastAsia" w:asciiTheme="minorEastAsia" w:hAnsiTheme="minorEastAsia" w:cstheme="minorEastAsia"/>
          <w:szCs w:val="21"/>
        </w:rPr>
        <w:t>法定代表人（负责人）或其授权委托代理人：</w:t>
      </w:r>
    </w:p>
    <w:p w14:paraId="67A42E3A">
      <w:pPr>
        <w:spacing w:line="360" w:lineRule="auto"/>
        <w:ind w:left="420" w:leftChars="200" w:firstLine="210" w:firstLineChars="100"/>
        <w:rPr>
          <w:rFonts w:hint="eastAsia" w:asciiTheme="minorEastAsia" w:hAnsiTheme="minorEastAsia" w:cstheme="minorEastAsia"/>
          <w:szCs w:val="21"/>
          <w:u w:val="single"/>
          <w:lang w:val="en-US" w:eastAsia="zh-CN"/>
        </w:rPr>
      </w:pPr>
      <w:r>
        <w:rPr>
          <w:rFonts w:hint="eastAsia" w:asciiTheme="minorEastAsia" w:hAnsiTheme="minorEastAsia" w:cstheme="minorEastAsia"/>
          <w:szCs w:val="21"/>
        </w:rPr>
        <w:t>开户银行名称：</w:t>
      </w:r>
      <w:r>
        <w:rPr>
          <w:rFonts w:hint="eastAsia" w:asciiTheme="minorEastAsia" w:hAnsiTheme="minorEastAsia" w:cstheme="minorEastAsia"/>
          <w:szCs w:val="21"/>
          <w:u w:val="single"/>
          <w:lang w:val="en-US" w:eastAsia="zh-CN"/>
        </w:rPr>
        <w:t xml:space="preserve">                                </w:t>
      </w:r>
    </w:p>
    <w:p w14:paraId="56143610">
      <w:pPr>
        <w:spacing w:line="360" w:lineRule="auto"/>
        <w:ind w:left="420" w:leftChars="200" w:firstLine="210" w:firstLineChars="100"/>
        <w:rPr>
          <w:rFonts w:asciiTheme="minorEastAsia" w:hAnsiTheme="minorEastAsia" w:cstheme="minorEastAsia"/>
          <w:szCs w:val="21"/>
        </w:rPr>
      </w:pPr>
      <w:r>
        <w:rPr>
          <w:rFonts w:hint="eastAsia" w:asciiTheme="minorEastAsia" w:hAnsiTheme="minorEastAsia" w:cstheme="minorEastAsia"/>
          <w:szCs w:val="21"/>
        </w:rPr>
        <w:t>开户银行账号：</w:t>
      </w:r>
      <w:r>
        <w:rPr>
          <w:rFonts w:hint="eastAsia" w:asciiTheme="minorEastAsia" w:hAnsiTheme="minorEastAsia" w:cstheme="minorEastAsia"/>
          <w:szCs w:val="21"/>
          <w:u w:val="single"/>
          <w:lang w:val="en-US" w:eastAsia="zh-CN"/>
        </w:rPr>
        <w:t xml:space="preserve">                                </w:t>
      </w:r>
    </w:p>
    <w:p w14:paraId="3088B794">
      <w:pPr>
        <w:spacing w:line="360" w:lineRule="auto"/>
        <w:ind w:left="420" w:leftChars="200" w:firstLine="210" w:firstLineChars="100"/>
        <w:rPr>
          <w:rFonts w:asciiTheme="minorEastAsia" w:hAnsiTheme="minorEastAsia" w:cstheme="minorEastAsia"/>
          <w:szCs w:val="21"/>
          <w:u w:val="single"/>
        </w:rPr>
      </w:pPr>
      <w:r>
        <w:rPr>
          <w:rFonts w:hint="eastAsia" w:asciiTheme="minorEastAsia" w:hAnsiTheme="minorEastAsia" w:cstheme="minorEastAsia"/>
          <w:szCs w:val="21"/>
        </w:rPr>
        <w:t>邮政编码：</w:t>
      </w:r>
      <w:r>
        <w:rPr>
          <w:rFonts w:hint="eastAsia" w:asciiTheme="minorEastAsia" w:hAnsiTheme="minorEastAsia" w:cstheme="minorEastAsia"/>
          <w:szCs w:val="21"/>
          <w:u w:val="single"/>
          <w:lang w:val="en-US" w:eastAsia="zh-CN"/>
        </w:rPr>
        <w:t xml:space="preserve">         </w:t>
      </w:r>
      <w:r>
        <w:rPr>
          <w:rFonts w:hint="eastAsia" w:asciiTheme="minorEastAsia" w:hAnsiTheme="minorEastAsia" w:cstheme="minorEastAsia"/>
          <w:szCs w:val="21"/>
        </w:rPr>
        <w:t xml:space="preserve">  电话：</w:t>
      </w:r>
      <w:r>
        <w:rPr>
          <w:rFonts w:hint="eastAsia" w:asciiTheme="minorEastAsia" w:hAnsiTheme="minorEastAsia" w:cstheme="minorEastAsia"/>
          <w:szCs w:val="21"/>
          <w:u w:val="single"/>
          <w:lang w:val="en-US" w:eastAsia="zh-CN"/>
        </w:rPr>
        <w:t xml:space="preserve">         </w:t>
      </w:r>
      <w:r>
        <w:rPr>
          <w:rFonts w:hint="eastAsia" w:asciiTheme="minorEastAsia" w:hAnsiTheme="minorEastAsia" w:cstheme="minorEastAsia"/>
          <w:szCs w:val="21"/>
        </w:rPr>
        <w:t xml:space="preserve"> 传真：</w:t>
      </w:r>
      <w:r>
        <w:rPr>
          <w:rFonts w:hint="eastAsia" w:asciiTheme="minorEastAsia" w:hAnsiTheme="minorEastAsia" w:cstheme="minorEastAsia"/>
          <w:szCs w:val="21"/>
          <w:u w:val="single"/>
          <w:lang w:val="en-US" w:eastAsia="zh-CN"/>
        </w:rPr>
        <w:t xml:space="preserve">          </w:t>
      </w:r>
    </w:p>
    <w:p w14:paraId="085884B9">
      <w:pPr>
        <w:spacing w:line="360" w:lineRule="auto"/>
        <w:ind w:left="420" w:leftChars="200" w:firstLine="210" w:firstLineChars="100"/>
        <w:rPr>
          <w:rFonts w:asciiTheme="minorEastAsia" w:hAnsiTheme="minorEastAsia" w:cstheme="minorEastAsia"/>
          <w:szCs w:val="21"/>
        </w:rPr>
      </w:pPr>
      <w:r>
        <w:rPr>
          <w:rFonts w:hint="eastAsia" w:asciiTheme="minorEastAsia" w:hAnsiTheme="minorEastAsia" w:cstheme="minorEastAsia"/>
          <w:szCs w:val="21"/>
        </w:rPr>
        <w:t>日期：</w:t>
      </w:r>
      <w:r>
        <w:rPr>
          <w:rFonts w:hint="eastAsia" w:asciiTheme="minorEastAsia" w:hAnsiTheme="minorEastAsia" w:cstheme="minorEastAsia"/>
          <w:szCs w:val="21"/>
          <w:u w:val="single"/>
          <w:lang w:val="en-US" w:eastAsia="zh-CN"/>
        </w:rPr>
        <w:t xml:space="preserve">      </w:t>
      </w:r>
      <w:r>
        <w:rPr>
          <w:rFonts w:hint="eastAsia" w:asciiTheme="minorEastAsia" w:hAnsiTheme="minorEastAsia" w:cstheme="minorEastAsia"/>
          <w:szCs w:val="21"/>
        </w:rPr>
        <w:t>年</w:t>
      </w:r>
      <w:r>
        <w:rPr>
          <w:rFonts w:hint="eastAsia" w:asciiTheme="minorEastAsia" w:hAnsiTheme="minorEastAsia" w:cstheme="minorEastAsia"/>
          <w:szCs w:val="21"/>
          <w:u w:val="single"/>
          <w:lang w:val="en-US" w:eastAsia="zh-CN"/>
        </w:rPr>
        <w:t xml:space="preserve">      </w:t>
      </w:r>
      <w:r>
        <w:rPr>
          <w:rFonts w:hint="eastAsia" w:asciiTheme="minorEastAsia" w:hAnsiTheme="minorEastAsia" w:cstheme="minorEastAsia"/>
          <w:szCs w:val="21"/>
        </w:rPr>
        <w:t>月</w:t>
      </w:r>
      <w:r>
        <w:rPr>
          <w:rFonts w:hint="eastAsia" w:asciiTheme="minorEastAsia" w:hAnsiTheme="minorEastAsia" w:cstheme="minorEastAsia"/>
          <w:szCs w:val="21"/>
          <w:u w:val="single"/>
          <w:lang w:val="en-US" w:eastAsia="zh-CN"/>
        </w:rPr>
        <w:t xml:space="preserve">      </w:t>
      </w:r>
      <w:r>
        <w:rPr>
          <w:rFonts w:hint="eastAsia" w:asciiTheme="minorEastAsia" w:hAnsiTheme="minorEastAsia" w:cstheme="minorEastAsia"/>
          <w:szCs w:val="21"/>
        </w:rPr>
        <w:t xml:space="preserve">日                                </w:t>
      </w:r>
    </w:p>
    <w:p w14:paraId="090DE4E0">
      <w:pPr>
        <w:spacing w:line="360" w:lineRule="auto"/>
        <w:rPr>
          <w:rFonts w:asciiTheme="minorEastAsia" w:hAnsiTheme="minorEastAsia" w:cstheme="minorEastAsia"/>
          <w:szCs w:val="21"/>
        </w:rPr>
      </w:pPr>
    </w:p>
    <w:p w14:paraId="663C4602">
      <w:pPr>
        <w:rPr>
          <w:rFonts w:ascii="黑体" w:hAnsi="宋体" w:eastAsia="黑体"/>
        </w:rPr>
      </w:pPr>
    </w:p>
    <w:p w14:paraId="03EC26BD">
      <w:pPr>
        <w:pStyle w:val="9"/>
        <w:rPr>
          <w:rFonts w:ascii="黑体" w:hAnsi="宋体" w:eastAsia="黑体"/>
        </w:rPr>
      </w:pPr>
    </w:p>
    <w:p w14:paraId="39A4B0E6">
      <w:pPr>
        <w:rPr>
          <w:rFonts w:ascii="黑体" w:hAnsi="宋体" w:eastAsia="黑体"/>
        </w:rPr>
      </w:pPr>
    </w:p>
    <w:p w14:paraId="66455C2E">
      <w:pPr>
        <w:pStyle w:val="9"/>
        <w:rPr>
          <w:rFonts w:ascii="黑体" w:hAnsi="宋体" w:eastAsia="黑体"/>
        </w:rPr>
      </w:pPr>
    </w:p>
    <w:p w14:paraId="52D6C538">
      <w:pPr>
        <w:pStyle w:val="9"/>
        <w:rPr>
          <w:rFonts w:ascii="黑体" w:hAnsi="宋体" w:eastAsia="黑体"/>
        </w:rPr>
      </w:pPr>
    </w:p>
    <w:bookmarkEnd w:id="17"/>
    <w:p w14:paraId="1B580330">
      <w:pPr>
        <w:pStyle w:val="4"/>
        <w:jc w:val="center"/>
        <w:rPr>
          <w:rFonts w:ascii="黑体" w:eastAsia="黑体"/>
          <w:b w:val="0"/>
          <w:sz w:val="24"/>
        </w:rPr>
      </w:pPr>
      <w:r>
        <w:rPr>
          <w:rFonts w:hint="eastAsia" w:cs="宋体"/>
        </w:rPr>
        <w:t>二、龙华区教育局自行采购投标及履约承诺函</w:t>
      </w:r>
    </w:p>
    <w:p w14:paraId="49733AF2">
      <w:pPr>
        <w:rPr>
          <w:rFonts w:ascii="宋体" w:hAnsi="宋体"/>
          <w:szCs w:val="21"/>
        </w:rPr>
      </w:pPr>
      <w:bookmarkStart w:id="21" w:name="_Hlk72257530"/>
      <w:r>
        <w:rPr>
          <w:rFonts w:hint="eastAsia" w:ascii="宋体" w:hAnsi="宋体"/>
          <w:szCs w:val="21"/>
        </w:rPr>
        <w:t>致：</w:t>
      </w:r>
      <w:r>
        <w:rPr>
          <w:rFonts w:hint="eastAsia" w:ascii="宋体" w:hAnsi="宋体"/>
          <w:szCs w:val="21"/>
          <w:u w:val="single"/>
        </w:rPr>
        <w:t>深圳市千里招标代理有限公司</w:t>
      </w:r>
    </w:p>
    <w:p w14:paraId="351A6851">
      <w:pPr>
        <w:spacing w:line="560" w:lineRule="exact"/>
        <w:ind w:firstLine="420" w:firstLineChars="200"/>
        <w:rPr>
          <w:rFonts w:ascii="宋体" w:hAnsi="宋体" w:eastAsia="宋体" w:cs="宋体"/>
          <w:szCs w:val="21"/>
        </w:rPr>
      </w:pPr>
      <w:r>
        <w:rPr>
          <w:rFonts w:hint="eastAsia" w:ascii="宋体" w:hAnsi="宋体" w:eastAsia="宋体" w:cs="宋体"/>
          <w:szCs w:val="21"/>
        </w:rPr>
        <w:t>我单位承诺：</w:t>
      </w:r>
    </w:p>
    <w:p w14:paraId="623F2C61">
      <w:pPr>
        <w:spacing w:line="560" w:lineRule="exact"/>
        <w:ind w:firstLine="420" w:firstLineChars="200"/>
        <w:rPr>
          <w:rFonts w:ascii="宋体" w:hAnsi="宋体" w:eastAsia="宋体" w:cs="宋体"/>
          <w:szCs w:val="21"/>
        </w:rPr>
      </w:pPr>
      <w:r>
        <w:rPr>
          <w:rFonts w:hint="eastAsia" w:ascii="宋体" w:hAnsi="宋体" w:eastAsia="宋体" w:cs="宋体"/>
          <w:szCs w:val="21"/>
        </w:rPr>
        <w:t>1.我单位本招标项目所提供的货物或服务未侵犯知识产权。</w:t>
      </w:r>
    </w:p>
    <w:p w14:paraId="64367C29">
      <w:pPr>
        <w:spacing w:line="560" w:lineRule="exact"/>
        <w:ind w:firstLine="420" w:firstLineChars="200"/>
        <w:rPr>
          <w:rFonts w:ascii="宋体" w:hAnsi="宋体" w:eastAsia="宋体" w:cs="宋体"/>
          <w:szCs w:val="21"/>
        </w:rPr>
      </w:pPr>
      <w:r>
        <w:rPr>
          <w:rFonts w:hint="eastAsia" w:ascii="宋体" w:hAnsi="宋体" w:eastAsia="宋体" w:cs="宋体"/>
          <w:szCs w:val="21"/>
        </w:rPr>
        <w:t>2.我单位参与本项目投标前三年内，在经营活动中没有重大违法记录。</w:t>
      </w:r>
    </w:p>
    <w:p w14:paraId="04932657">
      <w:pPr>
        <w:spacing w:line="560" w:lineRule="exact"/>
        <w:ind w:firstLine="420" w:firstLineChars="200"/>
        <w:rPr>
          <w:rFonts w:ascii="宋体" w:hAnsi="宋体" w:eastAsia="宋体" w:cs="宋体"/>
          <w:szCs w:val="21"/>
        </w:rPr>
      </w:pPr>
      <w:r>
        <w:rPr>
          <w:rFonts w:hint="eastAsia" w:ascii="宋体" w:hAnsi="宋体" w:eastAsia="宋体" w:cs="宋体"/>
          <w:szCs w:val="21"/>
        </w:rPr>
        <w:t>3.我单位参与本项目政府采购活动时不存在被有关部门禁止参与政府采购活动且在有效期内的情况。</w:t>
      </w:r>
    </w:p>
    <w:p w14:paraId="62D304DE">
      <w:pPr>
        <w:spacing w:line="560" w:lineRule="exact"/>
        <w:ind w:firstLine="420" w:firstLineChars="200"/>
        <w:rPr>
          <w:rFonts w:ascii="宋体" w:hAnsi="宋体" w:eastAsia="宋体" w:cs="宋体"/>
          <w:szCs w:val="21"/>
        </w:rPr>
      </w:pPr>
      <w:r>
        <w:rPr>
          <w:rFonts w:hint="eastAsia" w:ascii="宋体" w:hAnsi="宋体" w:eastAsia="宋体" w:cs="宋体"/>
          <w:szCs w:val="21"/>
        </w:rPr>
        <w:t>4.我单位具备《中华人民共和国政府采购法》第二十二条第一款规定的六项条件。</w:t>
      </w:r>
    </w:p>
    <w:p w14:paraId="06C2C24A">
      <w:pPr>
        <w:spacing w:line="560" w:lineRule="exact"/>
        <w:ind w:firstLine="420" w:firstLineChars="200"/>
        <w:rPr>
          <w:rFonts w:ascii="宋体" w:hAnsi="宋体" w:eastAsia="宋体" w:cs="宋体"/>
          <w:szCs w:val="21"/>
        </w:rPr>
      </w:pPr>
      <w:r>
        <w:rPr>
          <w:rFonts w:hint="eastAsia" w:ascii="宋体" w:hAnsi="宋体" w:eastAsia="宋体" w:cs="宋体"/>
          <w:szCs w:val="21"/>
        </w:rPr>
        <w:t>5.我单位未被列入失信被执行人、重大税收违法案件当事人名单（税收违法黑名单）、政府采购严重违法失信行为记录名单。</w:t>
      </w:r>
    </w:p>
    <w:p w14:paraId="09E889F7">
      <w:pPr>
        <w:spacing w:line="560" w:lineRule="exact"/>
        <w:ind w:firstLine="420" w:firstLineChars="200"/>
        <w:rPr>
          <w:rFonts w:ascii="宋体" w:hAnsi="宋体" w:eastAsia="宋体" w:cs="宋体"/>
          <w:szCs w:val="21"/>
        </w:rPr>
      </w:pPr>
      <w:r>
        <w:rPr>
          <w:rFonts w:hint="eastAsia" w:ascii="宋体" w:hAnsi="宋体" w:eastAsia="宋体" w:cs="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我单位严格遵守政府采购相关法律，投标做到诚实，不造假，不围标、串标、陪标，不存在编制、加密或上传标书的设备 mac 地址与其他投标人相同的情形。</w:t>
      </w:r>
    </w:p>
    <w:p w14:paraId="7E357274">
      <w:pPr>
        <w:spacing w:line="560" w:lineRule="exact"/>
        <w:ind w:firstLine="420" w:firstLineChars="200"/>
        <w:rPr>
          <w:rFonts w:ascii="宋体" w:hAnsi="宋体" w:eastAsia="宋体" w:cs="宋体"/>
          <w:szCs w:val="21"/>
        </w:rPr>
      </w:pPr>
      <w:r>
        <w:rPr>
          <w:rFonts w:hint="eastAsia" w:ascii="宋体" w:hAnsi="宋体" w:eastAsia="宋体" w:cs="宋体"/>
          <w:szCs w:val="21"/>
        </w:rPr>
        <w:t>7.我单位如果中标，做到守信，不偷工减料，依照本项目招标文件需求内容、签署的采购合同及本单位在投标中所作的一切承诺约。我单位对本项目的报价负责，中标后将严格按照本项目招标文件需求、签署的采购合同及我单位在投标中所作的全部承诺行。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股约，我单位愿意接受主管部门的处理处罚。</w:t>
      </w:r>
    </w:p>
    <w:p w14:paraId="3BD8007A">
      <w:pPr>
        <w:spacing w:line="560" w:lineRule="exact"/>
        <w:ind w:firstLine="540"/>
        <w:rPr>
          <w:rFonts w:ascii="宋体" w:hAnsi="宋体" w:eastAsia="宋体" w:cs="宋体"/>
          <w:szCs w:val="21"/>
        </w:rPr>
      </w:pPr>
      <w:r>
        <w:rPr>
          <w:rFonts w:hint="eastAsia" w:ascii="宋体" w:hAnsi="宋体" w:eastAsia="宋体" w:cs="宋体"/>
          <w:szCs w:val="21"/>
        </w:rPr>
        <w:t xml:space="preserve"> 8.我单位在参加投标活动中，截止至截标之日，不存在以下情形</w:t>
      </w:r>
      <w:r>
        <w:rPr>
          <w:rFonts w:hint="eastAsia" w:ascii="宋体" w:hAnsi="宋体" w:cs="宋体"/>
          <w:szCs w:val="21"/>
        </w:rPr>
        <w:t>：</w:t>
      </w:r>
    </w:p>
    <w:p w14:paraId="2D3607A9">
      <w:pPr>
        <w:spacing w:line="560" w:lineRule="exact"/>
        <w:ind w:firstLine="540"/>
        <w:rPr>
          <w:rFonts w:ascii="宋体" w:hAnsi="宋体" w:eastAsia="宋体" w:cs="宋体"/>
          <w:szCs w:val="21"/>
        </w:rPr>
      </w:pPr>
      <w:r>
        <w:rPr>
          <w:rFonts w:hint="eastAsia" w:ascii="宋体" w:hAnsi="宋体" w:eastAsia="宋体" w:cs="宋体"/>
          <w:szCs w:val="21"/>
        </w:rPr>
        <w:t>（1）近3年内（从招标公告发布之日起倒算）投标人或者其法定代表人有行贿犯罪记录的；</w:t>
      </w:r>
    </w:p>
    <w:p w14:paraId="6039140D">
      <w:pPr>
        <w:spacing w:line="560" w:lineRule="exact"/>
        <w:ind w:firstLine="540"/>
        <w:rPr>
          <w:rFonts w:ascii="宋体" w:hAnsi="宋体" w:eastAsia="宋体" w:cs="宋体"/>
          <w:szCs w:val="21"/>
        </w:rPr>
      </w:pPr>
      <w:r>
        <w:rPr>
          <w:rFonts w:hint="eastAsia" w:ascii="宋体" w:hAnsi="宋体" w:eastAsia="宋体" w:cs="宋体"/>
          <w:szCs w:val="21"/>
        </w:rPr>
        <w:t>（2）近1年内（从截标之日起倒算） 因串通投标、转包、以他人名义投标或者违法分包等违法行为受到建设、交通或者财政部门行政处罚的；</w:t>
      </w:r>
    </w:p>
    <w:p w14:paraId="3DA34ED1">
      <w:pPr>
        <w:spacing w:line="560" w:lineRule="exact"/>
        <w:ind w:firstLine="540"/>
        <w:rPr>
          <w:rFonts w:ascii="宋体" w:hAnsi="宋体" w:eastAsia="宋体" w:cs="宋体"/>
          <w:szCs w:val="21"/>
        </w:rPr>
      </w:pPr>
      <w:r>
        <w:rPr>
          <w:rFonts w:hint="eastAsia" w:ascii="宋体" w:hAnsi="宋体" w:eastAsia="宋体" w:cs="宋体"/>
          <w:szCs w:val="21"/>
        </w:rPr>
        <w:t>（3）因违反工程质量、安全生产管理规定等原因被建设部门给予红色警示且在警示期内的；</w:t>
      </w:r>
    </w:p>
    <w:p w14:paraId="4F8CEB65">
      <w:pPr>
        <w:spacing w:line="560" w:lineRule="exact"/>
        <w:ind w:firstLine="540"/>
        <w:rPr>
          <w:rFonts w:ascii="宋体" w:hAnsi="宋体" w:eastAsia="宋体" w:cs="宋体"/>
          <w:szCs w:val="21"/>
        </w:rPr>
      </w:pPr>
      <w:r>
        <w:rPr>
          <w:rFonts w:hint="eastAsia" w:ascii="宋体" w:hAnsi="宋体" w:eastAsia="宋体" w:cs="宋体"/>
          <w:szCs w:val="21"/>
        </w:rPr>
        <w:t>（4）被建设或者交通部门信用评价为红色且正处在信用评价结果公示期内的；</w:t>
      </w:r>
    </w:p>
    <w:p w14:paraId="25F1F0C0">
      <w:pPr>
        <w:spacing w:line="560" w:lineRule="exact"/>
        <w:ind w:firstLine="540"/>
        <w:rPr>
          <w:rFonts w:ascii="宋体" w:hAnsi="宋体" w:eastAsia="宋体" w:cs="宋体"/>
          <w:szCs w:val="21"/>
        </w:rPr>
      </w:pPr>
      <w:r>
        <w:rPr>
          <w:rFonts w:hint="eastAsia" w:ascii="宋体" w:hAnsi="宋体" w:eastAsia="宋体" w:cs="宋体"/>
          <w:szCs w:val="21"/>
        </w:rPr>
        <w:t>（5）拖欠工人工资被有关部门责令改正而未改正的；</w:t>
      </w:r>
    </w:p>
    <w:p w14:paraId="25ED39B5">
      <w:pPr>
        <w:spacing w:line="560" w:lineRule="exact"/>
        <w:ind w:firstLine="540"/>
        <w:rPr>
          <w:rFonts w:ascii="宋体" w:hAnsi="宋体" w:eastAsia="宋体" w:cs="宋体"/>
          <w:szCs w:val="21"/>
        </w:rPr>
      </w:pPr>
      <w:r>
        <w:rPr>
          <w:rFonts w:hint="eastAsia" w:ascii="宋体" w:hAnsi="宋体" w:eastAsia="宋体" w:cs="宋体"/>
          <w:szCs w:val="21"/>
        </w:rPr>
        <w:t>（6）项目经理（建造师）的任职数量达到规定限额的，或因不良行为红色警示（或等同处罚）等被建设行政主管部门管理系统锁定的；</w:t>
      </w:r>
    </w:p>
    <w:p w14:paraId="7ED9C505">
      <w:pPr>
        <w:spacing w:line="560" w:lineRule="exact"/>
        <w:ind w:firstLine="540"/>
        <w:rPr>
          <w:rFonts w:ascii="宋体" w:hAnsi="宋体" w:eastAsia="宋体" w:cs="宋体"/>
          <w:szCs w:val="21"/>
        </w:rPr>
      </w:pPr>
      <w:r>
        <w:rPr>
          <w:rFonts w:hint="eastAsia" w:ascii="宋体" w:hAnsi="宋体" w:eastAsia="宋体" w:cs="宋体"/>
          <w:szCs w:val="21"/>
        </w:rPr>
        <w:t>（7）被建设或者交通部门信用评价为红色且正处在信用评价结果公示期内的；</w:t>
      </w:r>
    </w:p>
    <w:p w14:paraId="432E80DF">
      <w:pPr>
        <w:spacing w:line="560" w:lineRule="exact"/>
        <w:ind w:firstLine="540"/>
        <w:rPr>
          <w:rFonts w:ascii="宋体" w:hAnsi="宋体" w:eastAsia="宋体" w:cs="宋体"/>
          <w:szCs w:val="21"/>
        </w:rPr>
      </w:pPr>
      <w:r>
        <w:rPr>
          <w:rFonts w:hint="eastAsia" w:ascii="宋体" w:hAnsi="宋体" w:eastAsia="宋体" w:cs="宋体"/>
          <w:szCs w:val="21"/>
        </w:rPr>
        <w:t>（8）近3年内（从截标之日起倒算） 曾被本项目招标人履约评价为不合格的；</w:t>
      </w:r>
    </w:p>
    <w:p w14:paraId="64F73E40">
      <w:pPr>
        <w:spacing w:line="560" w:lineRule="exact"/>
        <w:ind w:firstLine="540"/>
        <w:rPr>
          <w:rFonts w:ascii="宋体" w:hAnsi="宋体" w:eastAsia="宋体" w:cs="宋体"/>
          <w:szCs w:val="21"/>
        </w:rPr>
      </w:pPr>
      <w:r>
        <w:rPr>
          <w:rFonts w:hint="eastAsia" w:ascii="宋体" w:hAnsi="宋体" w:eastAsia="宋体" w:cs="宋体"/>
          <w:szCs w:val="21"/>
        </w:rPr>
        <w:t>（9）近2年内（从截标之日起倒算）曾有放弃中标资格、拒不签订合同、拒不提供约担保情形的；</w:t>
      </w:r>
    </w:p>
    <w:p w14:paraId="26371635">
      <w:pPr>
        <w:spacing w:line="560" w:lineRule="exact"/>
        <w:ind w:firstLine="540"/>
        <w:rPr>
          <w:rFonts w:ascii="宋体" w:hAnsi="宋体" w:eastAsia="宋体" w:cs="宋体"/>
          <w:szCs w:val="21"/>
        </w:rPr>
      </w:pPr>
      <w:r>
        <w:rPr>
          <w:rFonts w:hint="eastAsia" w:ascii="宋体" w:hAnsi="宋体" w:eastAsia="宋体" w:cs="宋体"/>
          <w:szCs w:val="21"/>
        </w:rPr>
        <w:t>（10） 因违反工程质量、安全生产管理规定，或者因串通投标、转包、以他人名义投标或者违法分包等违法行为，正在接受建设、交通或者财政部门立案调查的；</w:t>
      </w:r>
    </w:p>
    <w:p w14:paraId="70C5DC10">
      <w:pPr>
        <w:spacing w:line="560" w:lineRule="exact"/>
        <w:ind w:firstLine="540"/>
        <w:rPr>
          <w:rFonts w:ascii="宋体" w:hAnsi="宋体" w:eastAsia="宋体" w:cs="宋体"/>
          <w:szCs w:val="21"/>
        </w:rPr>
      </w:pPr>
      <w:r>
        <w:rPr>
          <w:rFonts w:hint="eastAsia" w:ascii="宋体" w:hAnsi="宋体" w:eastAsia="宋体" w:cs="宋体"/>
          <w:szCs w:val="21"/>
        </w:rPr>
        <w:t>（11）中标后的投标人在中标公示期间向招标人提供检察机关出具的投标人法人及法定代表人的《行贿犯罪规档案査询告知函》（近三年，由采购单位明确近三年具体时间）；</w:t>
      </w:r>
    </w:p>
    <w:p w14:paraId="1EA00B4B">
      <w:pPr>
        <w:spacing w:line="560" w:lineRule="exact"/>
        <w:ind w:firstLine="645"/>
        <w:rPr>
          <w:rFonts w:ascii="宋体" w:hAnsi="宋体" w:eastAsia="宋体" w:cs="宋体"/>
          <w:szCs w:val="21"/>
        </w:rPr>
      </w:pPr>
      <w:r>
        <w:rPr>
          <w:rFonts w:hint="eastAsia" w:ascii="宋体" w:hAnsi="宋体" w:eastAsia="宋体" w:cs="宋体"/>
          <w:szCs w:val="21"/>
        </w:rPr>
        <w:t>（12）依法应当拒绝投标的其他情形。</w:t>
      </w:r>
    </w:p>
    <w:p w14:paraId="2440C54F">
      <w:pPr>
        <w:spacing w:line="560" w:lineRule="exact"/>
        <w:ind w:firstLine="645"/>
        <w:rPr>
          <w:rFonts w:ascii="宋体" w:hAnsi="宋体" w:eastAsia="宋体" w:cs="宋体"/>
          <w:szCs w:val="21"/>
        </w:rPr>
      </w:pPr>
      <w:r>
        <w:rPr>
          <w:rFonts w:hint="eastAsia" w:ascii="宋体" w:hAnsi="宋体" w:eastAsia="宋体" w:cs="宋体"/>
          <w:szCs w:val="21"/>
        </w:rPr>
        <w:t>9.我单位承诺本项目的报价不低于我公司的成本价，否则</w:t>
      </w:r>
      <w:r>
        <w:rPr>
          <w:rFonts w:hint="eastAsia" w:ascii="宋体" w:hAnsi="宋体" w:cs="宋体"/>
          <w:szCs w:val="21"/>
        </w:rPr>
        <w:t>，</w:t>
      </w:r>
      <w:r>
        <w:rPr>
          <w:rFonts w:hint="eastAsia" w:ascii="宋体" w:hAnsi="宋体" w:eastAsia="宋体" w:cs="宋体"/>
          <w:szCs w:val="21"/>
        </w:rPr>
        <w:t>我公司清楚将面临投标无效的风险；我公司承诺不恶意低价谋取中选；我公司对本项目的报价负责，中选后将严格按照本项目采购文件需求、签署的采购合同及我公司在投标中所作的全部承诺履行。若我公司中选本项目，我公司的报价明显低于其他投标人的报价时，我公司清楚，本项目将成为重点监管、重点验收项目，我公司将按时保质保量完成，并全力配合有关监管、验收工作；若我公司未按上述要求履约，我公司愿意采购单位的处理处罚。</w:t>
      </w:r>
    </w:p>
    <w:p w14:paraId="41DA556C">
      <w:pPr>
        <w:spacing w:line="560" w:lineRule="exact"/>
        <w:ind w:firstLine="645"/>
        <w:rPr>
          <w:rFonts w:ascii="宋体" w:hAnsi="宋体" w:eastAsia="宋体" w:cs="宋体"/>
          <w:szCs w:val="21"/>
        </w:rPr>
      </w:pPr>
      <w:r>
        <w:rPr>
          <w:rFonts w:hint="eastAsia" w:ascii="宋体" w:hAnsi="宋体" w:eastAsia="宋体" w:cs="宋体"/>
          <w:szCs w:val="21"/>
        </w:rPr>
        <w:t>10.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4CA2BA4A">
      <w:pPr>
        <w:spacing w:line="560" w:lineRule="exact"/>
        <w:ind w:firstLine="645"/>
        <w:rPr>
          <w:rFonts w:ascii="宋体" w:hAnsi="宋体" w:eastAsia="宋体" w:cs="宋体"/>
          <w:szCs w:val="21"/>
        </w:rPr>
      </w:pPr>
      <w:r>
        <w:rPr>
          <w:rFonts w:hint="eastAsia" w:ascii="宋体" w:hAnsi="宋体" w:eastAsia="宋体" w:cs="宋体"/>
          <w:szCs w:val="21"/>
        </w:rPr>
        <w:t>11.我单位承诺中标后项目不转包，未经采购人同意不进行分包。</w:t>
      </w:r>
    </w:p>
    <w:p w14:paraId="18F7A643">
      <w:pPr>
        <w:spacing w:line="560" w:lineRule="exact"/>
        <w:ind w:firstLine="645"/>
        <w:rPr>
          <w:rFonts w:ascii="宋体" w:hAnsi="宋体" w:eastAsia="宋体" w:cs="宋体"/>
          <w:szCs w:val="21"/>
        </w:rPr>
      </w:pPr>
      <w:r>
        <w:rPr>
          <w:rFonts w:hint="eastAsia" w:ascii="宋体" w:hAnsi="宋体" w:eastAsia="宋体" w:cs="宋体"/>
          <w:szCs w:val="21"/>
        </w:rPr>
        <w:t>12.我单位保证，其所提供的货物通过合法正规渠道供货，在提供给采购人前具有完全的所有权，采购人在中华人民共和国使用该货物或货物的任何一部分时</w:t>
      </w:r>
      <w:r>
        <w:rPr>
          <w:rFonts w:hint="eastAsia" w:ascii="宋体" w:hAnsi="宋体" w:cs="宋体"/>
          <w:szCs w:val="21"/>
        </w:rPr>
        <w:t>，</w:t>
      </w:r>
      <w:r>
        <w:rPr>
          <w:rFonts w:hint="eastAsia" w:ascii="宋体" w:hAnsi="宋体" w:eastAsia="宋体" w:cs="宋体"/>
          <w:szCs w:val="21"/>
        </w:rPr>
        <w:t>不会产生因第三方提出的包括但不限于侵犯其专利权、商标权、工业设计权等知识产权和侵犯其所有权、抵押权等物权及其他权利而引发的纠纷</w:t>
      </w:r>
      <w:r>
        <w:rPr>
          <w:rFonts w:hint="eastAsia" w:ascii="宋体" w:hAnsi="宋体" w:cs="宋体"/>
          <w:szCs w:val="21"/>
        </w:rPr>
        <w:t>：</w:t>
      </w:r>
      <w:r>
        <w:rPr>
          <w:rFonts w:hint="eastAsia" w:ascii="宋体" w:hAnsi="宋体" w:eastAsia="宋体" w:cs="宋体"/>
          <w:szCs w:val="21"/>
        </w:rPr>
        <w:t>如有纠纷，我单位承担全部责任。</w:t>
      </w:r>
    </w:p>
    <w:p w14:paraId="29A27690">
      <w:pPr>
        <w:spacing w:line="560" w:lineRule="exact"/>
        <w:ind w:firstLine="645"/>
        <w:rPr>
          <w:rFonts w:ascii="宋体" w:hAnsi="宋体" w:eastAsia="宋体" w:cs="宋体"/>
          <w:szCs w:val="21"/>
        </w:rPr>
      </w:pPr>
      <w:r>
        <w:rPr>
          <w:rFonts w:hint="eastAsia" w:ascii="宋体" w:hAnsi="宋体" w:eastAsia="宋体" w:cs="宋体"/>
          <w:szCs w:val="21"/>
        </w:rPr>
        <w:t>13.我单位保证，若所投货物涉及《财政部生态环境部关于印发节能产品政府采购品目清单的通知》（财库（2019）19号）列明的政府采购强制产品，则所投该产品符合节能产品的认证要求，则所投该产品符合节能产品的认证要求。若所投产品包括数据中心相关设备的应满足财政部《绿色数据中心政府采购需求标准（试行）》（财办库（2023）7号）要求。</w:t>
      </w:r>
    </w:p>
    <w:p w14:paraId="46A9BA27">
      <w:pPr>
        <w:spacing w:line="560" w:lineRule="exact"/>
        <w:ind w:firstLine="645"/>
        <w:rPr>
          <w:rFonts w:ascii="宋体" w:hAnsi="宋体" w:eastAsia="宋体" w:cs="宋体"/>
          <w:szCs w:val="21"/>
        </w:rPr>
      </w:pPr>
      <w:r>
        <w:rPr>
          <w:rFonts w:hint="eastAsia" w:ascii="宋体" w:hAnsi="宋体" w:eastAsia="宋体" w:cs="宋体"/>
          <w:szCs w:val="21"/>
        </w:rPr>
        <w:t>14.我单位承诺，符合《中华人民共和国政府采购法实施条例》第十八条第一款规定，不存在我单位与其他供应商的负责人为同一人或者存在直接控股、管理关系的情况。</w:t>
      </w:r>
    </w:p>
    <w:p w14:paraId="220695EF">
      <w:pPr>
        <w:spacing w:line="560" w:lineRule="exact"/>
        <w:ind w:firstLine="645"/>
        <w:rPr>
          <w:rFonts w:ascii="宋体" w:hAnsi="宋体" w:eastAsia="宋体" w:cs="宋体"/>
          <w:szCs w:val="21"/>
        </w:rPr>
      </w:pPr>
      <w:r>
        <w:rPr>
          <w:rFonts w:hint="eastAsia" w:ascii="宋体" w:hAnsi="宋体" w:eastAsia="宋体" w:cs="宋体"/>
          <w:szCs w:val="21"/>
        </w:rPr>
        <w:t>15.所投标（响应）的货物、工程或服务，不存在侵犯知识产权的情况；已知悉并同意中标（成交）结果信息公示（公开）的内容。</w:t>
      </w:r>
    </w:p>
    <w:p w14:paraId="49653CA5">
      <w:pPr>
        <w:spacing w:line="560" w:lineRule="exact"/>
        <w:ind w:firstLine="645"/>
        <w:rPr>
          <w:rFonts w:ascii="宋体" w:hAnsi="宋体" w:eastAsia="宋体" w:cs="宋体"/>
          <w:szCs w:val="21"/>
        </w:rPr>
      </w:pPr>
      <w:r>
        <w:rPr>
          <w:rFonts w:hint="eastAsia" w:ascii="宋体" w:hAnsi="宋体" w:eastAsia="宋体" w:cs="宋体"/>
          <w:szCs w:val="21"/>
        </w:rPr>
        <w:t>16.本单位（公司）不存在《深圳市财政局政府采购供应商信用信息管理办法》（深财规（2023）3号）列明的严重违法失信行为</w:t>
      </w:r>
      <w:r>
        <w:rPr>
          <w:rFonts w:hint="eastAsia" w:ascii="宋体" w:hAnsi="宋体" w:cs="宋体"/>
          <w:szCs w:val="21"/>
        </w:rPr>
        <w:t>：</w:t>
      </w:r>
      <w:r>
        <w:rPr>
          <w:rFonts w:hint="eastAsia" w:ascii="宋体" w:hAnsi="宋体" w:eastAsia="宋体" w:cs="宋体"/>
          <w:szCs w:val="21"/>
        </w:rPr>
        <w:t>（一）供应商因违法经营受到刑事处罚或者责令停产停业、吊销许可证或者执照、较大数额罚款等行政处罚的</w:t>
      </w:r>
      <w:r>
        <w:rPr>
          <w:rFonts w:hint="eastAsia" w:ascii="宋体" w:hAnsi="宋体" w:cs="宋体"/>
          <w:szCs w:val="21"/>
        </w:rPr>
        <w:t>：</w:t>
      </w:r>
      <w:r>
        <w:rPr>
          <w:rFonts w:hint="eastAsia" w:ascii="宋体" w:hAnsi="宋体" w:eastAsia="宋体" w:cs="宋体"/>
          <w:szCs w:val="21"/>
        </w:rPr>
        <w:t>（二）供应商受到财政部门禁止参与政府采购活动行政处罚的（处罚期限届满的除外）；（三）供应商被列入失信被执行人名单的</w:t>
      </w:r>
      <w:r>
        <w:rPr>
          <w:rFonts w:hint="eastAsia" w:ascii="宋体" w:hAnsi="宋体" w:cs="宋体"/>
          <w:szCs w:val="21"/>
        </w:rPr>
        <w:t>：</w:t>
      </w:r>
      <w:r>
        <w:rPr>
          <w:rFonts w:hint="eastAsia" w:ascii="宋体" w:hAnsi="宋体" w:eastAsia="宋体" w:cs="宋体"/>
          <w:szCs w:val="21"/>
        </w:rPr>
        <w:t>（四）供应商被列入重大税收违法案件当事人名单的</w:t>
      </w:r>
      <w:r>
        <w:rPr>
          <w:rFonts w:hint="eastAsia" w:ascii="宋体" w:hAnsi="宋体" w:cs="宋体"/>
          <w:szCs w:val="21"/>
        </w:rPr>
        <w:t>：</w:t>
      </w:r>
      <w:r>
        <w:rPr>
          <w:rFonts w:hint="eastAsia" w:ascii="宋体" w:hAnsi="宋体" w:eastAsia="宋体" w:cs="宋体"/>
          <w:szCs w:val="21"/>
        </w:rPr>
        <w:t>（五）依法应予联合惩戒的其他严重失信行为。</w:t>
      </w:r>
    </w:p>
    <w:p w14:paraId="421F134E">
      <w:pPr>
        <w:spacing w:line="560" w:lineRule="exact"/>
        <w:ind w:firstLine="645"/>
        <w:rPr>
          <w:rFonts w:ascii="宋体" w:hAnsi="宋体" w:eastAsia="宋体" w:cs="宋体"/>
          <w:szCs w:val="21"/>
        </w:rPr>
      </w:pPr>
      <w:r>
        <w:rPr>
          <w:rFonts w:hint="eastAsia" w:ascii="宋体" w:hAnsi="宋体" w:eastAsia="宋体" w:cs="宋体"/>
          <w:szCs w:val="21"/>
        </w:rPr>
        <w:t>17.我单位保证，为采购项目提供整体设计、规范编制或者项目管理、监理、检测等服务的供应商，不再参加该采购项目同一合同项下的其他采购活动。</w:t>
      </w:r>
    </w:p>
    <w:p w14:paraId="743F7361">
      <w:pPr>
        <w:spacing w:line="560" w:lineRule="exact"/>
        <w:ind w:firstLine="645"/>
        <w:rPr>
          <w:rFonts w:ascii="宋体" w:hAnsi="宋体" w:eastAsia="宋体" w:cs="宋体"/>
          <w:szCs w:val="21"/>
        </w:rPr>
      </w:pPr>
      <w:r>
        <w:rPr>
          <w:rFonts w:hint="eastAsia" w:ascii="宋体" w:hAnsi="宋体" w:eastAsia="宋体" w:cs="宋体"/>
          <w:szCs w:val="21"/>
        </w:rPr>
        <w:t>18.我单位自愿遵照龙华区教育系统自行采购的有关管理制度和规定，并自愿接受龙华区教育局和财政部门的有关监督。</w:t>
      </w:r>
    </w:p>
    <w:p w14:paraId="2C8747EE">
      <w:pPr>
        <w:spacing w:line="560" w:lineRule="exact"/>
        <w:ind w:firstLine="645"/>
        <w:rPr>
          <w:rFonts w:ascii="宋体" w:hAnsi="宋体" w:eastAsia="宋体" w:cs="宋体"/>
          <w:szCs w:val="21"/>
        </w:rPr>
      </w:pPr>
      <w:r>
        <w:rPr>
          <w:rFonts w:hint="eastAsia" w:ascii="宋体" w:hAnsi="宋体" w:eastAsia="宋体" w:cs="宋体"/>
          <w:szCs w:val="21"/>
        </w:rPr>
        <w:t>以上承诺，如有违反，采购单位或龙华区教育局或财政部门可暂停我方两年内参与龙华区教育系统自行采购和深圳政府采购自行采购系统的投标资格</w:t>
      </w:r>
      <w:r>
        <w:rPr>
          <w:rFonts w:hint="eastAsia" w:ascii="宋体" w:hAnsi="宋体" w:cs="宋体"/>
          <w:szCs w:val="21"/>
        </w:rPr>
        <w:t>，</w:t>
      </w:r>
      <w:r>
        <w:rPr>
          <w:rFonts w:hint="eastAsia" w:ascii="宋体" w:hAnsi="宋体" w:eastAsia="宋体" w:cs="宋体"/>
          <w:szCs w:val="21"/>
        </w:rPr>
        <w:t>并愿承担由此给采购人带来的损失。以上承诺，如有违反，愿依照国家相关法律法规处理。</w:t>
      </w:r>
    </w:p>
    <w:p w14:paraId="258B08F5">
      <w:pPr>
        <w:spacing w:line="560" w:lineRule="exact"/>
        <w:rPr>
          <w:rFonts w:ascii="宋体" w:hAnsi="宋体" w:eastAsia="宋体" w:cs="宋体"/>
          <w:sz w:val="18"/>
          <w:szCs w:val="18"/>
        </w:rPr>
      </w:pPr>
    </w:p>
    <w:p w14:paraId="7D5212F3">
      <w:pPr>
        <w:spacing w:line="560" w:lineRule="exact"/>
        <w:ind w:firstLine="645"/>
        <w:jc w:val="center"/>
        <w:rPr>
          <w:rFonts w:ascii="宋体" w:hAnsi="宋体" w:eastAsia="宋体" w:cs="宋体"/>
          <w:szCs w:val="21"/>
          <w:u w:val="single"/>
        </w:rPr>
      </w:pPr>
      <w:r>
        <w:rPr>
          <w:rFonts w:hint="eastAsia" w:ascii="宋体" w:hAnsi="宋体" w:eastAsia="宋体" w:cs="宋体"/>
          <w:szCs w:val="21"/>
        </w:rPr>
        <w:t>投标人：</w:t>
      </w:r>
    </w:p>
    <w:p w14:paraId="70735020">
      <w:pPr>
        <w:wordWrap w:val="0"/>
        <w:spacing w:line="560" w:lineRule="exact"/>
        <w:ind w:firstLine="645"/>
        <w:jc w:val="right"/>
        <w:rPr>
          <w:rFonts w:ascii="宋体" w:hAnsi="宋体" w:eastAsia="宋体" w:cs="宋体"/>
          <w:szCs w:val="21"/>
        </w:rPr>
      </w:pPr>
      <w:r>
        <w:rPr>
          <w:rFonts w:hint="eastAsia" w:ascii="宋体" w:hAnsi="宋体" w:eastAsia="宋体" w:cs="宋体"/>
          <w:szCs w:val="21"/>
        </w:rPr>
        <w:t>日期：年月日</w:t>
      </w:r>
    </w:p>
    <w:p w14:paraId="38F51B54">
      <w:pPr>
        <w:rPr>
          <w:rFonts w:ascii="宋体" w:hAnsi="宋体" w:eastAsia="宋体" w:cs="宋体"/>
          <w:szCs w:val="21"/>
        </w:rPr>
      </w:pPr>
      <w:r>
        <w:rPr>
          <w:rFonts w:hint="eastAsia" w:ascii="宋体" w:hAnsi="宋体" w:eastAsia="宋体" w:cs="宋体"/>
          <w:szCs w:val="21"/>
        </w:rPr>
        <w:br w:type="page"/>
      </w:r>
    </w:p>
    <w:bookmarkEnd w:id="21"/>
    <w:p w14:paraId="47859873">
      <w:pPr>
        <w:pStyle w:val="4"/>
        <w:jc w:val="center"/>
        <w:rPr>
          <w:rFonts w:cs="宋体"/>
          <w:szCs w:val="28"/>
        </w:rPr>
      </w:pPr>
      <w:r>
        <w:rPr>
          <w:rFonts w:hint="eastAsia" w:cs="宋体"/>
          <w:bCs w:val="0"/>
          <w:szCs w:val="28"/>
        </w:rPr>
        <w:t>三、投标人情况及资格证明文件</w:t>
      </w:r>
    </w:p>
    <w:p w14:paraId="279AD065">
      <w:pPr>
        <w:spacing w:line="360" w:lineRule="auto"/>
        <w:outlineLvl w:val="3"/>
        <w:rPr>
          <w:rFonts w:ascii="宋体" w:hAnsi="宋体" w:eastAsia="宋体" w:cs="宋体"/>
          <w:b/>
          <w:bCs/>
          <w:szCs w:val="21"/>
        </w:rPr>
      </w:pPr>
      <w:bookmarkStart w:id="22" w:name="_Hlk72257590"/>
      <w:r>
        <w:rPr>
          <w:rFonts w:hint="eastAsia" w:ascii="宋体" w:hAnsi="宋体" w:eastAsia="宋体" w:cs="宋体"/>
          <w:b/>
          <w:bCs/>
          <w:szCs w:val="21"/>
        </w:rPr>
        <w:t>（一）投标人资格证明文件</w:t>
      </w:r>
    </w:p>
    <w:p w14:paraId="5EFA7340">
      <w:pPr>
        <w:spacing w:beforeLines="50" w:line="360" w:lineRule="auto"/>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龙华区教育局自行采购投标及履约承诺函》且已在“二、龙华区教育局自行采购投标及履约承诺函”章节中提供了，此处可不重复提供。）</w:t>
      </w:r>
      <w:bookmarkEnd w:id="22"/>
    </w:p>
    <w:p w14:paraId="2B843A67">
      <w:pPr>
        <w:rPr>
          <w:rFonts w:ascii="宋体" w:hAnsi="宋体" w:eastAsia="宋体" w:cs="宋体"/>
        </w:rPr>
      </w:pPr>
      <w:r>
        <w:rPr>
          <w:rFonts w:hint="eastAsia" w:ascii="宋体" w:hAnsi="宋体" w:eastAsia="宋体" w:cs="宋体"/>
        </w:rPr>
        <w:br w:type="page"/>
      </w:r>
    </w:p>
    <w:p w14:paraId="14844ECD">
      <w:pPr>
        <w:spacing w:line="360" w:lineRule="auto"/>
        <w:outlineLvl w:val="3"/>
        <w:rPr>
          <w:rFonts w:ascii="宋体" w:hAnsi="宋体" w:eastAsia="宋体" w:cs="宋体"/>
          <w:b/>
          <w:bCs/>
          <w:szCs w:val="21"/>
        </w:rPr>
      </w:pPr>
      <w:r>
        <w:rPr>
          <w:rFonts w:hint="eastAsia" w:ascii="宋体" w:hAnsi="宋体" w:eastAsia="宋体" w:cs="宋体"/>
          <w:b/>
          <w:bCs/>
          <w:szCs w:val="21"/>
        </w:rPr>
        <w:t>（二）中小企业声明函、残疾人福利性单位声明函及监狱企业声明函</w:t>
      </w:r>
    </w:p>
    <w:p w14:paraId="57745B6C">
      <w:pPr>
        <w:pStyle w:val="9"/>
        <w:outlineLvl w:val="9"/>
        <w:rPr>
          <w:rFonts w:ascii="宋体" w:hAnsi="宋体" w:eastAsia="宋体" w:cs="宋体"/>
          <w:b w:val="0"/>
          <w:color w:val="FF0000"/>
          <w:sz w:val="21"/>
          <w:szCs w:val="21"/>
        </w:rPr>
      </w:pPr>
      <w:r>
        <w:rPr>
          <w:rFonts w:hint="eastAsia" w:ascii="宋体" w:hAnsi="宋体" w:eastAsia="宋体" w:cs="宋体"/>
          <w:b w:val="0"/>
          <w:color w:val="FF0000"/>
          <w:sz w:val="21"/>
          <w:szCs w:val="21"/>
        </w:rPr>
        <w:t>填写指引：</w:t>
      </w:r>
    </w:p>
    <w:p w14:paraId="5384AB5D">
      <w:pPr>
        <w:pStyle w:val="9"/>
        <w:outlineLvl w:val="9"/>
        <w:rPr>
          <w:rFonts w:ascii="宋体" w:hAnsi="宋体" w:eastAsia="宋体" w:cs="宋体"/>
          <w:bCs w:val="0"/>
          <w:color w:val="FF0000"/>
          <w:sz w:val="21"/>
          <w:szCs w:val="21"/>
        </w:rPr>
      </w:pPr>
      <w:r>
        <w:rPr>
          <w:rFonts w:hint="eastAsia" w:ascii="宋体" w:hAnsi="宋体" w:eastAsia="宋体" w:cs="宋体"/>
          <w:bCs w:val="0"/>
          <w:color w:val="FF0000"/>
          <w:sz w:val="21"/>
          <w:szCs w:val="21"/>
        </w:rPr>
        <w:t>1、该部分内容由投标人根据自身实际情况填写，不符合要求的投标人可以不填写或直接删除相应的声明函（关于视同中小企业的其他主体（如民办非企、社会组织团体等）请遵照《财政部《政府采购促进中小企业发展管理办法》（财库（2020）46号）》第二十三条“关于视同中小企业的其他主体的政府采购扶持政策，由财政部会同有关部门另行规定”谨慎填写!）。投标人提供的声明函不属实的，属于提供虚假资料谋取中标，依照《中华人民共和国政府采购法》等国家有关规定追究相应责任。</w:t>
      </w:r>
    </w:p>
    <w:p w14:paraId="79CA7791">
      <w:pPr>
        <w:pStyle w:val="9"/>
        <w:outlineLvl w:val="9"/>
        <w:rPr>
          <w:rFonts w:ascii="宋体" w:hAnsi="宋体" w:eastAsia="宋体" w:cs="宋体"/>
          <w:b w:val="0"/>
          <w:color w:val="FF0000"/>
          <w:sz w:val="21"/>
          <w:szCs w:val="21"/>
        </w:rPr>
      </w:pPr>
      <w:r>
        <w:rPr>
          <w:rFonts w:hint="eastAsia" w:ascii="宋体" w:hAnsi="宋体" w:eastAsia="宋体" w:cs="宋体"/>
          <w:b w:val="0"/>
          <w:color w:val="FF0000"/>
          <w:sz w:val="21"/>
          <w:szCs w:val="21"/>
        </w:rPr>
        <w:t>2、该部分内容填写需要参考的相关文件（1）财政部《政府采购促进中小企业发展管理办法》（财库（2020）46 号）：（2）《工业和信息化部、国家统计局、国家发展和改革委员会、财政部关于印发中小企业划型标准规定的通知》（工信部联企业（2011）300号，以下简称300号文）。</w:t>
      </w:r>
    </w:p>
    <w:p w14:paraId="69A7C593">
      <w:pPr>
        <w:pStyle w:val="9"/>
        <w:outlineLvl w:val="9"/>
        <w:rPr>
          <w:rFonts w:ascii="宋体" w:hAnsi="宋体" w:eastAsia="宋体" w:cs="宋体"/>
          <w:b w:val="0"/>
          <w:color w:val="FF0000"/>
          <w:sz w:val="21"/>
          <w:szCs w:val="21"/>
        </w:rPr>
      </w:pPr>
      <w:r>
        <w:rPr>
          <w:rFonts w:hint="eastAsia" w:ascii="宋体" w:hAnsi="宋体" w:eastAsia="宋体" w:cs="宋体"/>
          <w:b w:val="0"/>
          <w:color w:val="FF0000"/>
          <w:sz w:val="21"/>
          <w:szCs w:val="21"/>
        </w:rPr>
        <w:t>3、请依照提供的格式和内容填写声明函，不要随意变更格式；产声明函不需要盖章或签字；满足多项优惠政策的投标人，不重复享受多项价格扣除政策。</w:t>
      </w:r>
    </w:p>
    <w:p w14:paraId="0A84C563">
      <w:pPr>
        <w:pStyle w:val="9"/>
        <w:outlineLvl w:val="9"/>
        <w:rPr>
          <w:rFonts w:ascii="宋体" w:hAnsi="宋体" w:eastAsia="宋体" w:cs="宋体"/>
          <w:b w:val="0"/>
          <w:color w:val="FF0000"/>
          <w:sz w:val="21"/>
          <w:szCs w:val="21"/>
        </w:rPr>
      </w:pPr>
      <w:r>
        <w:rPr>
          <w:rFonts w:hint="eastAsia" w:ascii="宋体" w:hAnsi="宋体" w:eastAsia="宋体" w:cs="宋体"/>
          <w:b w:val="0"/>
          <w:color w:val="FF0000"/>
          <w:sz w:val="21"/>
          <w:szCs w:val="21"/>
        </w:rPr>
        <w:t>4、声明函具体填写要求：</w:t>
      </w:r>
    </w:p>
    <w:p w14:paraId="5AA63DE8">
      <w:pPr>
        <w:pStyle w:val="9"/>
        <w:outlineLvl w:val="9"/>
        <w:rPr>
          <w:rFonts w:ascii="宋体" w:hAnsi="宋体" w:eastAsia="宋体" w:cs="宋体"/>
          <w:b w:val="0"/>
          <w:color w:val="FF0000"/>
          <w:sz w:val="21"/>
          <w:szCs w:val="21"/>
        </w:rPr>
      </w:pPr>
      <w:r>
        <w:rPr>
          <w:rFonts w:hint="eastAsia" w:ascii="宋体" w:hAnsi="宋体" w:eastAsia="宋体" w:cs="宋体"/>
          <w:b w:val="0"/>
          <w:color w:val="FF0000"/>
          <w:sz w:val="21"/>
          <w:szCs w:val="21"/>
        </w:rPr>
        <w:t>（1）声明是中小企业须填写《中小企业声明函》的以下内容：</w:t>
      </w:r>
    </w:p>
    <w:p w14:paraId="7FD854E2">
      <w:pPr>
        <w:pStyle w:val="9"/>
        <w:outlineLvl w:val="9"/>
        <w:rPr>
          <w:rFonts w:ascii="宋体" w:hAnsi="宋体" w:eastAsia="宋体" w:cs="宋体"/>
          <w:b w:val="0"/>
          <w:color w:val="FF0000"/>
          <w:sz w:val="21"/>
          <w:szCs w:val="21"/>
        </w:rPr>
      </w:pPr>
      <w:r>
        <w:rPr>
          <w:rFonts w:hint="eastAsia" w:ascii="宋体" w:hAnsi="宋体" w:eastAsia="宋体" w:cs="宋体"/>
          <w:b w:val="0"/>
          <w:color w:val="FF0000"/>
          <w:sz w:val="21"/>
          <w:szCs w:val="21"/>
        </w:rPr>
        <w:t>第一处，在“单位名称”下划线处如实填写采购人名称（深圳市泽钧招标有限公司不是本项目的采购人，而是组织实施机构）；</w:t>
      </w:r>
    </w:p>
    <w:p w14:paraId="66896D30">
      <w:pPr>
        <w:pStyle w:val="9"/>
        <w:outlineLvl w:val="9"/>
        <w:rPr>
          <w:rFonts w:ascii="宋体" w:hAnsi="宋体" w:eastAsia="宋体" w:cs="宋体"/>
          <w:b w:val="0"/>
          <w:color w:val="FF0000"/>
          <w:sz w:val="21"/>
          <w:szCs w:val="21"/>
        </w:rPr>
      </w:pPr>
      <w:r>
        <w:rPr>
          <w:rFonts w:hint="eastAsia" w:ascii="宋体" w:hAnsi="宋体" w:eastAsia="宋体" w:cs="宋体"/>
          <w:b w:val="0"/>
          <w:color w:val="FF0000"/>
          <w:sz w:val="21"/>
          <w:szCs w:val="21"/>
        </w:rPr>
        <w:t>第二处，在“项目名称”下划线处如实填写采购项目名称；</w:t>
      </w:r>
    </w:p>
    <w:p w14:paraId="1C88E0F6">
      <w:pPr>
        <w:pStyle w:val="9"/>
        <w:outlineLvl w:val="9"/>
        <w:rPr>
          <w:rFonts w:ascii="宋体" w:hAnsi="宋体" w:eastAsia="宋体" w:cs="宋体"/>
          <w:b w:val="0"/>
          <w:color w:val="FF0000"/>
          <w:sz w:val="21"/>
          <w:szCs w:val="21"/>
        </w:rPr>
      </w:pPr>
      <w:r>
        <w:rPr>
          <w:rFonts w:hint="eastAsia" w:ascii="宋体" w:hAnsi="宋体" w:eastAsia="宋体" w:cs="宋体"/>
          <w:b w:val="0"/>
          <w:color w:val="FF0000"/>
          <w:sz w:val="21"/>
          <w:szCs w:val="21"/>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w:t>
      </w:r>
    </w:p>
    <w:p w14:paraId="204FBFD8">
      <w:pPr>
        <w:pStyle w:val="9"/>
        <w:outlineLvl w:val="9"/>
        <w:rPr>
          <w:rFonts w:ascii="宋体" w:hAnsi="宋体" w:eastAsia="宋体" w:cs="宋体"/>
          <w:b w:val="0"/>
          <w:color w:val="FF0000"/>
          <w:sz w:val="21"/>
          <w:szCs w:val="21"/>
        </w:rPr>
      </w:pPr>
      <w:r>
        <w:rPr>
          <w:rFonts w:hint="eastAsia" w:ascii="宋体" w:hAnsi="宋体" w:eastAsia="宋体" w:cs="宋体"/>
          <w:b w:val="0"/>
          <w:color w:val="FF0000"/>
          <w:sz w:val="21"/>
          <w:szCs w:val="21"/>
        </w:rPr>
        <w:t>第四处，在“招标文件中明确的所属行业”下划线处填写采购标的对应的中小企业划分标准所属行业（所属行业可在招标文件第一册第二章“对通用条款的补充内容及其他关键信息章节查看）；</w:t>
      </w:r>
    </w:p>
    <w:p w14:paraId="23D67B82">
      <w:pPr>
        <w:pStyle w:val="9"/>
        <w:outlineLvl w:val="9"/>
        <w:rPr>
          <w:rFonts w:ascii="宋体" w:hAnsi="宋体" w:eastAsia="宋体" w:cs="宋体"/>
          <w:b w:val="0"/>
          <w:color w:val="FF0000"/>
          <w:sz w:val="21"/>
          <w:szCs w:val="21"/>
        </w:rPr>
      </w:pPr>
      <w:r>
        <w:rPr>
          <w:rFonts w:hint="eastAsia" w:ascii="宋体" w:hAnsi="宋体" w:eastAsia="宋体" w:cs="宋体"/>
          <w:b w:val="0"/>
          <w:color w:val="FF0000"/>
          <w:sz w:val="21"/>
          <w:szCs w:val="21"/>
        </w:rPr>
        <w:t>第五处，在“企业名称”下划线处如实填写制造商名称；在“从业人员”、“营业收入”“资产总额”下划线处如实填写从业人员、营业收入、资产总额 在“中型企业、小型企业微型企业”下划线处如实依照 300号文填写相应的企业类型从业人员、营业收入、资产总额填报上一年度数据，无上一年度数据的新成立企业可以不填报。</w:t>
      </w:r>
    </w:p>
    <w:p w14:paraId="188AB37E">
      <w:pPr>
        <w:pStyle w:val="9"/>
        <w:outlineLvl w:val="9"/>
        <w:rPr>
          <w:rFonts w:ascii="宋体" w:hAnsi="宋体" w:eastAsia="宋体" w:cs="宋体"/>
          <w:b w:val="0"/>
          <w:color w:val="FF0000"/>
          <w:sz w:val="21"/>
          <w:szCs w:val="21"/>
        </w:rPr>
      </w:pPr>
      <w:r>
        <w:rPr>
          <w:rFonts w:hint="eastAsia" w:ascii="宋体" w:hAnsi="宋体" w:eastAsia="宋体" w:cs="宋体"/>
          <w:b w:val="0"/>
          <w:color w:val="FF0000"/>
          <w:sz w:val="21"/>
          <w:szCs w:val="21"/>
        </w:rPr>
        <w:t>（2）声明是残疾人福利性单位须填写《残疾人福利性单位声明函》的相关内容，具体参照以上《中小企业声明函》填写要求执行。</w:t>
      </w:r>
    </w:p>
    <w:p w14:paraId="2E067107">
      <w:pPr>
        <w:pStyle w:val="9"/>
        <w:outlineLvl w:val="9"/>
        <w:rPr>
          <w:rFonts w:ascii="宋体" w:hAnsi="宋体" w:eastAsia="宋体" w:cs="宋体"/>
          <w:b w:val="0"/>
          <w:color w:val="FF0000"/>
          <w:sz w:val="21"/>
          <w:szCs w:val="21"/>
        </w:rPr>
      </w:pPr>
      <w:r>
        <w:rPr>
          <w:rFonts w:hint="eastAsia" w:ascii="宋体" w:hAnsi="宋体" w:eastAsia="宋体" w:cs="宋体"/>
          <w:b w:val="0"/>
          <w:color w:val="FF0000"/>
          <w:sz w:val="21"/>
          <w:szCs w:val="21"/>
        </w:rPr>
        <w:t>（3）声明是监狱企业须填写《监狱企业声明函》的三项内容（填写位置的字体已加粗）具体参照以上《中小企业声明函》填写要求执行。</w:t>
      </w:r>
    </w:p>
    <w:p w14:paraId="37645CD1">
      <w:pPr>
        <w:pStyle w:val="9"/>
        <w:outlineLvl w:val="9"/>
        <w:rPr>
          <w:rFonts w:ascii="宋体" w:hAnsi="宋体" w:eastAsia="宋体" w:cs="宋体"/>
          <w:bCs w:val="0"/>
          <w:color w:val="FF0000"/>
          <w:sz w:val="21"/>
          <w:szCs w:val="21"/>
          <w:u w:val="single"/>
        </w:rPr>
      </w:pPr>
      <w:r>
        <w:rPr>
          <w:rFonts w:hint="eastAsia" w:ascii="宋体" w:hAnsi="宋体" w:eastAsia="宋体" w:cs="宋体"/>
          <w:bCs w:val="0"/>
          <w:color w:val="FF0000"/>
          <w:sz w:val="21"/>
          <w:szCs w:val="21"/>
          <w:u w:val="single"/>
        </w:rPr>
        <w:t>（4）从业人员、营业收入、资产总颜填报上一年度数据，无上一年度数据的新成立企业可不填报：《中小企业声明函》中制造商、承接/承建企业所属行业应当与招标文件要求的行业相一致，供应商如有疑问，可根据《国民经济行业分类》（GB/T4754-2002），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46F8CF3B">
      <w:pPr>
        <w:pStyle w:val="9"/>
        <w:tabs>
          <w:tab w:val="center" w:pos="4536"/>
        </w:tabs>
        <w:outlineLvl w:val="9"/>
        <w:rPr>
          <w:rFonts w:ascii="宋体" w:hAnsi="宋体" w:eastAsia="宋体" w:cs="宋体"/>
          <w:b w:val="0"/>
          <w:color w:val="FF0000"/>
          <w:sz w:val="21"/>
          <w:szCs w:val="21"/>
        </w:rPr>
      </w:pPr>
      <w:r>
        <w:rPr>
          <w:rFonts w:hint="eastAsia" w:ascii="宋体" w:hAnsi="宋体" w:eastAsia="宋体" w:cs="宋体"/>
          <w:b w:val="0"/>
          <w:color w:val="FF0000"/>
          <w:sz w:val="21"/>
          <w:szCs w:val="21"/>
        </w:rPr>
        <w:t>5、声明函的有效性最终由评审委员会判定。</w:t>
      </w:r>
    </w:p>
    <w:p w14:paraId="74554376">
      <w:pPr>
        <w:spacing w:line="360" w:lineRule="auto"/>
        <w:outlineLvl w:val="9"/>
        <w:rPr>
          <w:rFonts w:ascii="宋体" w:hAnsi="宋体" w:eastAsia="宋体" w:cs="宋体"/>
          <w:szCs w:val="21"/>
        </w:rPr>
      </w:pPr>
      <w:r>
        <w:rPr>
          <w:rFonts w:hint="eastAsia" w:ascii="宋体" w:hAnsi="宋体" w:eastAsia="宋体" w:cs="宋体"/>
          <w:szCs w:val="21"/>
        </w:rPr>
        <w:br w:type="page"/>
      </w:r>
    </w:p>
    <w:p w14:paraId="4AFECDC6">
      <w:pPr>
        <w:spacing w:line="360" w:lineRule="auto"/>
        <w:jc w:val="center"/>
        <w:outlineLvl w:val="9"/>
        <w:rPr>
          <w:rFonts w:ascii="宋体" w:hAnsi="宋体" w:eastAsia="宋体" w:cs="宋体"/>
          <w:b/>
          <w:bCs/>
          <w:sz w:val="24"/>
          <w:szCs w:val="24"/>
        </w:rPr>
      </w:pPr>
      <w:r>
        <w:rPr>
          <w:rFonts w:hint="eastAsia" w:ascii="宋体" w:hAnsi="宋体" w:eastAsia="宋体" w:cs="宋体"/>
          <w:b/>
          <w:bCs/>
          <w:sz w:val="24"/>
          <w:szCs w:val="24"/>
        </w:rPr>
        <w:t>中小企业声明函</w:t>
      </w:r>
    </w:p>
    <w:p w14:paraId="7DEDF0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i w:val="0"/>
          <w:iCs w:val="0"/>
          <w:kern w:val="2"/>
          <w:sz w:val="21"/>
          <w:szCs w:val="21"/>
          <w:highlight w:val="none"/>
          <w:lang w:val="en-US" w:eastAsia="zh-CN" w:bidi="ar-SA"/>
        </w:rPr>
      </w:pPr>
      <w:r>
        <w:rPr>
          <w:rFonts w:hint="eastAsia" w:asciiTheme="minorEastAsia" w:hAnsiTheme="minorEastAsia" w:eastAsiaTheme="minorEastAsia" w:cstheme="minorEastAsia"/>
          <w:i w:val="0"/>
          <w:iCs w:val="0"/>
          <w:kern w:val="2"/>
          <w:sz w:val="21"/>
          <w:szCs w:val="21"/>
          <w:highlight w:val="none"/>
          <w:lang w:val="en-US" w:eastAsia="zh-CN" w:bidi="ar-SA"/>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val="0"/>
          <w:iCs w:val="0"/>
          <w:sz w:val="21"/>
          <w:szCs w:val="21"/>
          <w:highlight w:val="none"/>
          <w:u w:val="single"/>
          <w:lang w:val="en-US" w:eastAsia="zh-CN"/>
        </w:rPr>
        <w:t xml:space="preserve">    </w:t>
      </w:r>
      <w:r>
        <w:rPr>
          <w:rFonts w:hint="eastAsia" w:asciiTheme="minorEastAsia" w:hAnsiTheme="minorEastAsia" w:eastAsiaTheme="minorEastAsia" w:cstheme="minorEastAsia"/>
          <w:b/>
          <w:bCs/>
          <w:i w:val="0"/>
          <w:iCs w:val="0"/>
          <w:sz w:val="21"/>
          <w:szCs w:val="21"/>
          <w:highlight w:val="none"/>
          <w:u w:val="single"/>
        </w:rPr>
        <w:t>（</w:t>
      </w:r>
      <w:r>
        <w:rPr>
          <w:rFonts w:hint="eastAsia" w:asciiTheme="minorEastAsia" w:hAnsiTheme="minorEastAsia" w:cstheme="minorEastAsia"/>
          <w:b/>
          <w:bCs/>
          <w:i w:val="0"/>
          <w:iCs w:val="0"/>
          <w:sz w:val="21"/>
          <w:szCs w:val="21"/>
          <w:highlight w:val="none"/>
          <w:u w:val="single"/>
          <w:lang w:eastAsia="zh-CN"/>
        </w:rPr>
        <w:t>采购</w:t>
      </w:r>
      <w:r>
        <w:rPr>
          <w:rFonts w:hint="eastAsia" w:asciiTheme="minorEastAsia" w:hAnsiTheme="minorEastAsia" w:eastAsiaTheme="minorEastAsia" w:cstheme="minorEastAsia"/>
          <w:b/>
          <w:bCs/>
          <w:i w:val="0"/>
          <w:iCs w:val="0"/>
          <w:sz w:val="21"/>
          <w:szCs w:val="21"/>
          <w:highlight w:val="none"/>
          <w:u w:val="single"/>
        </w:rPr>
        <w:t>单位名称）</w:t>
      </w:r>
      <w:r>
        <w:rPr>
          <w:rFonts w:hint="eastAsia" w:asciiTheme="minorEastAsia" w:hAnsiTheme="minorEastAsia" w:eastAsiaTheme="minorEastAsia" w:cstheme="minorEastAsia"/>
          <w:b/>
          <w:bCs/>
          <w:i w:val="0"/>
          <w:iCs w:val="0"/>
          <w:sz w:val="21"/>
          <w:szCs w:val="21"/>
          <w:highlight w:val="none"/>
          <w:u w:val="single"/>
          <w:lang w:val="en-US" w:eastAsia="zh-CN"/>
        </w:rPr>
        <w:t xml:space="preserve">    </w:t>
      </w:r>
      <w:r>
        <w:rPr>
          <w:rFonts w:hint="eastAsia" w:asciiTheme="minorEastAsia" w:hAnsiTheme="minorEastAsia" w:eastAsiaTheme="minorEastAsia" w:cstheme="minorEastAsia"/>
          <w:i w:val="0"/>
          <w:iCs w:val="0"/>
          <w:sz w:val="21"/>
          <w:szCs w:val="21"/>
          <w:highlight w:val="none"/>
        </w:rPr>
        <w:t>的</w:t>
      </w:r>
      <w:r>
        <w:rPr>
          <w:rFonts w:hint="eastAsia" w:asciiTheme="minorEastAsia" w:hAnsiTheme="minorEastAsia" w:eastAsiaTheme="minorEastAsia" w:cstheme="minorEastAsia"/>
          <w:b/>
          <w:bCs/>
          <w:i w:val="0"/>
          <w:iCs w:val="0"/>
          <w:sz w:val="21"/>
          <w:szCs w:val="21"/>
          <w:highlight w:val="none"/>
          <w:u w:val="single"/>
          <w:lang w:val="en-US" w:eastAsia="zh-CN"/>
        </w:rPr>
        <w:t xml:space="preserve">   </w:t>
      </w:r>
      <w:r>
        <w:rPr>
          <w:rFonts w:hint="eastAsia" w:asciiTheme="minorEastAsia" w:hAnsiTheme="minorEastAsia" w:eastAsiaTheme="minorEastAsia" w:cstheme="minorEastAsia"/>
          <w:b/>
          <w:bCs/>
          <w:i w:val="0"/>
          <w:iCs w:val="0"/>
          <w:sz w:val="21"/>
          <w:szCs w:val="21"/>
          <w:highlight w:val="none"/>
          <w:u w:val="single"/>
        </w:rPr>
        <w:t>（项目名称）</w:t>
      </w:r>
      <w:r>
        <w:rPr>
          <w:rFonts w:hint="eastAsia" w:asciiTheme="minorEastAsia" w:hAnsiTheme="minorEastAsia" w:eastAsiaTheme="minorEastAsia" w:cstheme="minorEastAsia"/>
          <w:b/>
          <w:bCs/>
          <w:i w:val="0"/>
          <w:iCs w:val="0"/>
          <w:sz w:val="21"/>
          <w:szCs w:val="21"/>
          <w:highlight w:val="none"/>
          <w:u w:val="single"/>
          <w:lang w:val="en-US" w:eastAsia="zh-CN"/>
        </w:rPr>
        <w:t xml:space="preserve">    </w:t>
      </w:r>
      <w:r>
        <w:rPr>
          <w:rFonts w:hint="eastAsia" w:asciiTheme="minorEastAsia" w:hAnsiTheme="minorEastAsia" w:eastAsiaTheme="minorEastAsia" w:cstheme="minorEastAsia"/>
          <w:i w:val="0"/>
          <w:iCs w:val="0"/>
          <w:kern w:val="2"/>
          <w:sz w:val="21"/>
          <w:szCs w:val="21"/>
          <w:highlight w:val="none"/>
          <w:lang w:val="en-US" w:eastAsia="zh-CN" w:bidi="ar-SA"/>
        </w:rPr>
        <w:t>采购活动，工程服务全部由符合政策要求的中小企业承接。相关企业（含联合体中的中小企业、签订分包意向协议的中小企业）的具体情况如下：</w:t>
      </w:r>
    </w:p>
    <w:p w14:paraId="17CA00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i w:val="0"/>
          <w:iCs w:val="0"/>
          <w:kern w:val="2"/>
          <w:sz w:val="21"/>
          <w:szCs w:val="21"/>
          <w:highlight w:val="none"/>
          <w:lang w:val="en-US" w:eastAsia="zh-CN" w:bidi="ar-SA"/>
        </w:rPr>
      </w:pPr>
      <w:r>
        <w:rPr>
          <w:rFonts w:hint="eastAsia" w:asciiTheme="minorEastAsia" w:hAnsiTheme="minorEastAsia" w:eastAsiaTheme="minorEastAsia" w:cstheme="minorEastAsia"/>
          <w:i w:val="0"/>
          <w:iCs w:val="0"/>
          <w:kern w:val="2"/>
          <w:sz w:val="21"/>
          <w:szCs w:val="21"/>
          <w:highlight w:val="none"/>
          <w:lang w:val="en-US" w:eastAsia="zh-CN" w:bidi="ar-SA"/>
        </w:rPr>
        <w:t>1.</w:t>
      </w:r>
      <w:r>
        <w:rPr>
          <w:rFonts w:hint="eastAsia" w:asciiTheme="minorEastAsia" w:hAnsiTheme="minorEastAsia" w:eastAsiaTheme="minorEastAsia" w:cstheme="minorEastAsia"/>
          <w:b/>
          <w:bCs/>
          <w:i w:val="0"/>
          <w:iCs w:val="0"/>
          <w:sz w:val="21"/>
          <w:szCs w:val="21"/>
          <w:highlight w:val="none"/>
          <w:u w:val="single"/>
          <w:lang w:val="en-US" w:eastAsia="zh-CN"/>
        </w:rPr>
        <w:t xml:space="preserve">  </w:t>
      </w:r>
      <w:r>
        <w:rPr>
          <w:rFonts w:hint="eastAsia" w:asciiTheme="minorEastAsia" w:hAnsiTheme="minorEastAsia" w:eastAsiaTheme="minorEastAsia" w:cstheme="minorEastAsia"/>
          <w:b/>
          <w:bCs/>
          <w:i w:val="0"/>
          <w:iCs w:val="0"/>
          <w:sz w:val="21"/>
          <w:szCs w:val="21"/>
          <w:highlight w:val="none"/>
          <w:u w:val="single"/>
        </w:rPr>
        <w:t>（标的名称）</w:t>
      </w:r>
      <w:r>
        <w:rPr>
          <w:rFonts w:hint="eastAsia" w:asciiTheme="minorEastAsia" w:hAnsiTheme="minorEastAsia" w:eastAsiaTheme="minorEastAsia" w:cstheme="minorEastAsia"/>
          <w:b/>
          <w:bCs/>
          <w:i w:val="0"/>
          <w:iCs w:val="0"/>
          <w:sz w:val="21"/>
          <w:szCs w:val="21"/>
          <w:highlight w:val="none"/>
          <w:u w:val="single"/>
          <w:lang w:val="en-US" w:eastAsia="zh-CN"/>
        </w:rPr>
        <w:t xml:space="preserve">    </w:t>
      </w:r>
      <w:r>
        <w:rPr>
          <w:rFonts w:hint="eastAsia" w:asciiTheme="minorEastAsia" w:hAnsiTheme="minorEastAsia" w:eastAsiaTheme="minorEastAsia" w:cstheme="minorEastAsia"/>
          <w:b/>
          <w:bCs/>
          <w:i w:val="0"/>
          <w:iCs w:val="0"/>
          <w:sz w:val="21"/>
          <w:szCs w:val="21"/>
          <w:highlight w:val="none"/>
          <w:u w:val="single"/>
        </w:rPr>
        <w:t xml:space="preserve"> </w:t>
      </w:r>
      <w:r>
        <w:rPr>
          <w:rFonts w:hint="eastAsia" w:asciiTheme="minorEastAsia" w:hAnsiTheme="minorEastAsia" w:eastAsiaTheme="minorEastAsia" w:cstheme="minorEastAsia"/>
          <w:i w:val="0"/>
          <w:iCs w:val="0"/>
          <w:sz w:val="21"/>
          <w:szCs w:val="21"/>
          <w:highlight w:val="none"/>
        </w:rPr>
        <w:t>，属于</w:t>
      </w:r>
      <w:r>
        <w:rPr>
          <w:rFonts w:hint="eastAsia" w:asciiTheme="minorEastAsia" w:hAnsiTheme="minorEastAsia" w:eastAsiaTheme="minorEastAsia" w:cstheme="minorEastAsia"/>
          <w:b/>
          <w:bCs/>
          <w:i w:val="0"/>
          <w:iCs w:val="0"/>
          <w:sz w:val="21"/>
          <w:szCs w:val="21"/>
          <w:highlight w:val="none"/>
          <w:u w:val="single"/>
          <w:lang w:val="en-US" w:eastAsia="zh-CN"/>
        </w:rPr>
        <w:t xml:space="preserve">  </w:t>
      </w:r>
      <w:r>
        <w:rPr>
          <w:rFonts w:hint="eastAsia" w:asciiTheme="minorEastAsia" w:hAnsiTheme="minorEastAsia" w:eastAsiaTheme="minorEastAsia" w:cstheme="minorEastAsia"/>
          <w:b/>
          <w:bCs/>
          <w:i w:val="0"/>
          <w:iCs w:val="0"/>
          <w:sz w:val="21"/>
          <w:szCs w:val="21"/>
          <w:highlight w:val="none"/>
          <w:u w:val="single"/>
        </w:rPr>
        <w:t>（采购文件中明确的所属行业）</w:t>
      </w:r>
      <w:r>
        <w:rPr>
          <w:rFonts w:hint="eastAsia" w:asciiTheme="minorEastAsia" w:hAnsiTheme="minorEastAsia" w:eastAsiaTheme="minorEastAsia" w:cstheme="minorEastAsia"/>
          <w:b/>
          <w:bCs/>
          <w:i w:val="0"/>
          <w:iCs w:val="0"/>
          <w:sz w:val="21"/>
          <w:szCs w:val="21"/>
          <w:highlight w:val="none"/>
          <w:u w:val="single"/>
          <w:lang w:val="en-US" w:eastAsia="zh-CN"/>
        </w:rPr>
        <w:t xml:space="preserve">    </w:t>
      </w:r>
      <w:r>
        <w:rPr>
          <w:rFonts w:hint="eastAsia" w:asciiTheme="minorEastAsia" w:hAnsiTheme="minorEastAsia" w:eastAsiaTheme="minorEastAsia" w:cstheme="minorEastAsia"/>
          <w:i w:val="0"/>
          <w:iCs w:val="0"/>
          <w:sz w:val="21"/>
          <w:szCs w:val="21"/>
          <w:highlight w:val="none"/>
        </w:rPr>
        <w:t>行业</w:t>
      </w:r>
      <w:r>
        <w:rPr>
          <w:rFonts w:hint="eastAsia" w:asciiTheme="minorEastAsia" w:hAnsiTheme="minorEastAsia" w:eastAsiaTheme="minorEastAsia" w:cstheme="minorEastAsia"/>
          <w:i w:val="0"/>
          <w:iCs w:val="0"/>
          <w:kern w:val="2"/>
          <w:sz w:val="21"/>
          <w:szCs w:val="21"/>
          <w:highlight w:val="none"/>
          <w:lang w:val="en-US" w:eastAsia="zh-CN" w:bidi="ar-SA"/>
        </w:rPr>
        <w:t>；承接企业为</w:t>
      </w:r>
      <w:r>
        <w:rPr>
          <w:rFonts w:hint="eastAsia" w:asciiTheme="minorEastAsia" w:hAnsiTheme="minorEastAsia" w:eastAsiaTheme="minorEastAsia" w:cstheme="minorEastAsia"/>
          <w:b/>
          <w:bCs/>
          <w:i w:val="0"/>
          <w:iCs w:val="0"/>
          <w:sz w:val="21"/>
          <w:szCs w:val="21"/>
          <w:highlight w:val="none"/>
          <w:u w:val="single"/>
          <w:lang w:val="en-US" w:eastAsia="zh-CN"/>
        </w:rPr>
        <w:t xml:space="preserve">    </w:t>
      </w:r>
      <w:r>
        <w:rPr>
          <w:rFonts w:hint="eastAsia" w:asciiTheme="minorEastAsia" w:hAnsiTheme="minorEastAsia" w:eastAsiaTheme="minorEastAsia" w:cstheme="minorEastAsia"/>
          <w:b/>
          <w:bCs/>
          <w:i w:val="0"/>
          <w:iCs w:val="0"/>
          <w:sz w:val="21"/>
          <w:szCs w:val="21"/>
          <w:highlight w:val="none"/>
          <w:u w:val="single"/>
        </w:rPr>
        <w:t>（企业名称</w:t>
      </w:r>
      <w:r>
        <w:rPr>
          <w:rFonts w:hint="eastAsia" w:asciiTheme="minorEastAsia" w:hAnsiTheme="minorEastAsia" w:eastAsiaTheme="minorEastAsia" w:cstheme="minorEastAsia"/>
          <w:b/>
          <w:bCs/>
          <w:i w:val="0"/>
          <w:iCs w:val="0"/>
          <w:sz w:val="21"/>
          <w:szCs w:val="21"/>
          <w:highlight w:val="none"/>
          <w:u w:val="single"/>
          <w:lang w:eastAsia="zh-CN"/>
        </w:rPr>
        <w:t>，要求</w:t>
      </w:r>
      <w:r>
        <w:rPr>
          <w:rFonts w:hint="eastAsia" w:asciiTheme="minorEastAsia" w:hAnsiTheme="minorEastAsia" w:eastAsiaTheme="minorEastAsia" w:cstheme="minorEastAsia"/>
          <w:b/>
          <w:bCs/>
          <w:i w:val="0"/>
          <w:iCs w:val="0"/>
          <w:sz w:val="21"/>
          <w:szCs w:val="21"/>
          <w:highlight w:val="none"/>
          <w:u w:val="single"/>
          <w:lang w:val="en-US" w:eastAsia="zh-CN"/>
        </w:rPr>
        <w:t>承接企业本身</w:t>
      </w:r>
      <w:r>
        <w:rPr>
          <w:rFonts w:hint="eastAsia" w:asciiTheme="minorEastAsia" w:hAnsiTheme="minorEastAsia" w:eastAsiaTheme="minorEastAsia" w:cstheme="minorEastAsia"/>
          <w:b/>
          <w:bCs/>
          <w:i w:val="0"/>
          <w:iCs w:val="0"/>
          <w:sz w:val="21"/>
          <w:szCs w:val="21"/>
          <w:highlight w:val="none"/>
          <w:u w:val="single"/>
          <w:lang w:eastAsia="zh-CN"/>
        </w:rPr>
        <w:t>所属行业应当与招标文件要求的行业相一致</w:t>
      </w:r>
      <w:r>
        <w:rPr>
          <w:rFonts w:hint="eastAsia" w:asciiTheme="minorEastAsia" w:hAnsiTheme="minorEastAsia" w:eastAsiaTheme="minorEastAsia" w:cstheme="minorEastAsia"/>
          <w:b/>
          <w:bCs/>
          <w:i w:val="0"/>
          <w:iCs w:val="0"/>
          <w:sz w:val="21"/>
          <w:szCs w:val="21"/>
          <w:highlight w:val="none"/>
          <w:u w:val="single"/>
        </w:rPr>
        <w:t>）</w:t>
      </w:r>
      <w:r>
        <w:rPr>
          <w:rFonts w:hint="eastAsia" w:asciiTheme="minorEastAsia" w:hAnsiTheme="minorEastAsia" w:eastAsiaTheme="minorEastAsia" w:cstheme="minorEastAsia"/>
          <w:b/>
          <w:bCs/>
          <w:i w:val="0"/>
          <w:iCs w:val="0"/>
          <w:sz w:val="21"/>
          <w:szCs w:val="21"/>
          <w:highlight w:val="none"/>
          <w:u w:val="single"/>
          <w:lang w:val="en-US" w:eastAsia="zh-CN"/>
        </w:rPr>
        <w:t xml:space="preserve">    </w:t>
      </w:r>
      <w:r>
        <w:rPr>
          <w:rFonts w:hint="eastAsia" w:asciiTheme="minorEastAsia" w:hAnsiTheme="minorEastAsia" w:eastAsiaTheme="minorEastAsia" w:cstheme="minorEastAsia"/>
          <w:i w:val="0"/>
          <w:iCs w:val="0"/>
          <w:kern w:val="2"/>
          <w:sz w:val="21"/>
          <w:szCs w:val="21"/>
          <w:highlight w:val="none"/>
          <w:lang w:val="en-US" w:eastAsia="zh-CN" w:bidi="ar-SA"/>
        </w:rPr>
        <w:t>，从业人员</w:t>
      </w:r>
      <w:r>
        <w:rPr>
          <w:rFonts w:hint="eastAsia" w:asciiTheme="minorEastAsia" w:hAnsiTheme="minorEastAsia" w:eastAsiaTheme="minorEastAsia" w:cstheme="minorEastAsia"/>
          <w:b/>
          <w:bCs/>
          <w:i w:val="0"/>
          <w:iCs w:val="0"/>
          <w:sz w:val="21"/>
          <w:szCs w:val="21"/>
          <w:highlight w:val="none"/>
          <w:u w:val="single"/>
          <w:lang w:val="en-US" w:eastAsia="zh-CN"/>
        </w:rPr>
        <w:t xml:space="preserve">        </w:t>
      </w:r>
      <w:r>
        <w:rPr>
          <w:rFonts w:hint="eastAsia" w:asciiTheme="minorEastAsia" w:hAnsiTheme="minorEastAsia" w:eastAsiaTheme="minorEastAsia" w:cstheme="minorEastAsia"/>
          <w:i w:val="0"/>
          <w:iCs w:val="0"/>
          <w:kern w:val="2"/>
          <w:sz w:val="21"/>
          <w:szCs w:val="21"/>
          <w:highlight w:val="none"/>
          <w:lang w:val="en-US" w:eastAsia="zh-CN" w:bidi="ar-SA"/>
        </w:rPr>
        <w:t>人，营业收入为</w:t>
      </w:r>
      <w:r>
        <w:rPr>
          <w:rFonts w:hint="eastAsia" w:asciiTheme="minorEastAsia" w:hAnsiTheme="minorEastAsia" w:eastAsiaTheme="minorEastAsia" w:cstheme="minorEastAsia"/>
          <w:b/>
          <w:bCs/>
          <w:i w:val="0"/>
          <w:iCs w:val="0"/>
          <w:sz w:val="21"/>
          <w:szCs w:val="21"/>
          <w:highlight w:val="none"/>
          <w:u w:val="single"/>
          <w:lang w:val="en-US" w:eastAsia="zh-CN"/>
        </w:rPr>
        <w:t xml:space="preserve">        </w:t>
      </w:r>
      <w:r>
        <w:rPr>
          <w:rFonts w:hint="eastAsia" w:asciiTheme="minorEastAsia" w:hAnsiTheme="minorEastAsia" w:eastAsiaTheme="minorEastAsia" w:cstheme="minorEastAsia"/>
          <w:i w:val="0"/>
          <w:iCs w:val="0"/>
          <w:kern w:val="2"/>
          <w:sz w:val="21"/>
          <w:szCs w:val="21"/>
          <w:highlight w:val="none"/>
          <w:lang w:val="en-US" w:eastAsia="zh-CN" w:bidi="ar-SA"/>
        </w:rPr>
        <w:t>万元，资产总额为</w:t>
      </w:r>
      <w:r>
        <w:rPr>
          <w:rFonts w:hint="eastAsia" w:asciiTheme="minorEastAsia" w:hAnsiTheme="minorEastAsia" w:eastAsiaTheme="minorEastAsia" w:cstheme="minorEastAsia"/>
          <w:b/>
          <w:bCs/>
          <w:i w:val="0"/>
          <w:iCs w:val="0"/>
          <w:sz w:val="21"/>
          <w:szCs w:val="21"/>
          <w:highlight w:val="none"/>
          <w:u w:val="single"/>
          <w:lang w:val="en-US" w:eastAsia="zh-CN"/>
        </w:rPr>
        <w:t xml:space="preserve">        </w:t>
      </w:r>
      <w:r>
        <w:rPr>
          <w:rFonts w:hint="eastAsia" w:asciiTheme="minorEastAsia" w:hAnsiTheme="minorEastAsia" w:eastAsiaTheme="minorEastAsia" w:cstheme="minorEastAsia"/>
          <w:i w:val="0"/>
          <w:iCs w:val="0"/>
          <w:kern w:val="2"/>
          <w:sz w:val="21"/>
          <w:szCs w:val="21"/>
          <w:highlight w:val="none"/>
          <w:lang w:val="en-US" w:eastAsia="zh-CN" w:bidi="ar-SA"/>
        </w:rPr>
        <w:t>万元，属于</w:t>
      </w:r>
      <w:r>
        <w:rPr>
          <w:rFonts w:hint="eastAsia" w:asciiTheme="minorEastAsia" w:hAnsiTheme="minorEastAsia" w:eastAsiaTheme="minorEastAsia" w:cstheme="minorEastAsia"/>
          <w:b/>
          <w:bCs/>
          <w:i w:val="0"/>
          <w:iCs w:val="0"/>
          <w:sz w:val="21"/>
          <w:szCs w:val="21"/>
          <w:highlight w:val="none"/>
          <w:u w:val="single"/>
          <w:lang w:val="en-US" w:eastAsia="zh-CN"/>
        </w:rPr>
        <w:t xml:space="preserve">    </w:t>
      </w:r>
      <w:r>
        <w:rPr>
          <w:rFonts w:hint="eastAsia" w:asciiTheme="minorEastAsia" w:hAnsiTheme="minorEastAsia" w:eastAsiaTheme="minorEastAsia" w:cstheme="minorEastAsia"/>
          <w:b/>
          <w:bCs/>
          <w:i w:val="0"/>
          <w:iCs w:val="0"/>
          <w:sz w:val="21"/>
          <w:szCs w:val="21"/>
          <w:highlight w:val="none"/>
          <w:u w:val="single"/>
        </w:rPr>
        <w:t>（中型企业、小型企业、微型企业）</w:t>
      </w:r>
      <w:r>
        <w:rPr>
          <w:rFonts w:hint="eastAsia" w:asciiTheme="minorEastAsia" w:hAnsiTheme="minorEastAsia" w:eastAsiaTheme="minorEastAsia" w:cstheme="minorEastAsia"/>
          <w:b/>
          <w:bCs/>
          <w:i w:val="0"/>
          <w:iCs w:val="0"/>
          <w:sz w:val="21"/>
          <w:szCs w:val="21"/>
          <w:highlight w:val="none"/>
          <w:u w:val="single"/>
          <w:lang w:val="en-US" w:eastAsia="zh-CN"/>
        </w:rPr>
        <w:t xml:space="preserve">    </w:t>
      </w:r>
      <w:r>
        <w:rPr>
          <w:rFonts w:hint="eastAsia" w:asciiTheme="minorEastAsia" w:hAnsiTheme="minorEastAsia" w:eastAsiaTheme="minorEastAsia" w:cstheme="minorEastAsia"/>
          <w:i w:val="0"/>
          <w:iCs w:val="0"/>
          <w:kern w:val="2"/>
          <w:sz w:val="21"/>
          <w:szCs w:val="21"/>
          <w:highlight w:val="none"/>
          <w:lang w:val="en-US" w:eastAsia="zh-CN" w:bidi="ar-SA"/>
        </w:rPr>
        <w:t>；</w:t>
      </w:r>
    </w:p>
    <w:p w14:paraId="11A203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i w:val="0"/>
          <w:iCs w:val="0"/>
          <w:kern w:val="2"/>
          <w:sz w:val="21"/>
          <w:szCs w:val="21"/>
          <w:highlight w:val="none"/>
          <w:lang w:val="en-US" w:eastAsia="zh-CN" w:bidi="ar-SA"/>
        </w:rPr>
      </w:pPr>
      <w:r>
        <w:rPr>
          <w:rFonts w:hint="eastAsia" w:asciiTheme="minorEastAsia" w:hAnsiTheme="minorEastAsia" w:eastAsiaTheme="minorEastAsia" w:cstheme="minorEastAsia"/>
          <w:i w:val="0"/>
          <w:iCs w:val="0"/>
          <w:kern w:val="2"/>
          <w:sz w:val="21"/>
          <w:szCs w:val="21"/>
          <w:highlight w:val="none"/>
          <w:lang w:val="en-US" w:eastAsia="zh-CN" w:bidi="ar-SA"/>
        </w:rPr>
        <w:t>2.</w:t>
      </w:r>
      <w:r>
        <w:rPr>
          <w:rFonts w:hint="eastAsia" w:asciiTheme="minorEastAsia" w:hAnsiTheme="minorEastAsia" w:eastAsiaTheme="minorEastAsia" w:cstheme="minorEastAsia"/>
          <w:b/>
          <w:bCs/>
          <w:i w:val="0"/>
          <w:iCs w:val="0"/>
          <w:sz w:val="21"/>
          <w:szCs w:val="21"/>
          <w:highlight w:val="none"/>
          <w:u w:val="single"/>
          <w:lang w:val="en-US" w:eastAsia="zh-CN"/>
        </w:rPr>
        <w:t xml:space="preserve">    </w:t>
      </w:r>
      <w:r>
        <w:rPr>
          <w:rFonts w:hint="eastAsia" w:asciiTheme="minorEastAsia" w:hAnsiTheme="minorEastAsia" w:eastAsiaTheme="minorEastAsia" w:cstheme="minorEastAsia"/>
          <w:b/>
          <w:bCs/>
          <w:i w:val="0"/>
          <w:iCs w:val="0"/>
          <w:sz w:val="21"/>
          <w:szCs w:val="21"/>
          <w:highlight w:val="none"/>
          <w:u w:val="single"/>
        </w:rPr>
        <w:t>（标的名称）</w:t>
      </w:r>
      <w:r>
        <w:rPr>
          <w:rFonts w:hint="eastAsia" w:asciiTheme="minorEastAsia" w:hAnsiTheme="minorEastAsia" w:eastAsiaTheme="minorEastAsia" w:cstheme="minorEastAsia"/>
          <w:b/>
          <w:bCs/>
          <w:i w:val="0"/>
          <w:iCs w:val="0"/>
          <w:sz w:val="21"/>
          <w:szCs w:val="21"/>
          <w:highlight w:val="none"/>
          <w:u w:val="single"/>
          <w:lang w:val="en-US" w:eastAsia="zh-CN"/>
        </w:rPr>
        <w:t xml:space="preserve">    </w:t>
      </w:r>
      <w:r>
        <w:rPr>
          <w:rFonts w:hint="eastAsia" w:asciiTheme="minorEastAsia" w:hAnsiTheme="minorEastAsia" w:eastAsiaTheme="minorEastAsia" w:cstheme="minorEastAsia"/>
          <w:b/>
          <w:bCs/>
          <w:i w:val="0"/>
          <w:iCs w:val="0"/>
          <w:sz w:val="21"/>
          <w:szCs w:val="21"/>
          <w:highlight w:val="none"/>
          <w:u w:val="single"/>
        </w:rPr>
        <w:t xml:space="preserve"> </w:t>
      </w:r>
      <w:r>
        <w:rPr>
          <w:rFonts w:hint="eastAsia" w:asciiTheme="minorEastAsia" w:hAnsiTheme="minorEastAsia" w:eastAsiaTheme="minorEastAsia" w:cstheme="minorEastAsia"/>
          <w:i w:val="0"/>
          <w:iCs w:val="0"/>
          <w:sz w:val="21"/>
          <w:szCs w:val="21"/>
          <w:highlight w:val="none"/>
        </w:rPr>
        <w:t>，属于</w:t>
      </w:r>
      <w:r>
        <w:rPr>
          <w:rFonts w:hint="eastAsia" w:asciiTheme="minorEastAsia" w:hAnsiTheme="minorEastAsia" w:eastAsiaTheme="minorEastAsia" w:cstheme="minorEastAsia"/>
          <w:b/>
          <w:bCs/>
          <w:i w:val="0"/>
          <w:iCs w:val="0"/>
          <w:sz w:val="21"/>
          <w:szCs w:val="21"/>
          <w:highlight w:val="none"/>
          <w:u w:val="single"/>
          <w:lang w:val="en-US" w:eastAsia="zh-CN"/>
        </w:rPr>
        <w:t xml:space="preserve">    </w:t>
      </w:r>
      <w:r>
        <w:rPr>
          <w:rFonts w:hint="eastAsia" w:asciiTheme="minorEastAsia" w:hAnsiTheme="minorEastAsia" w:eastAsiaTheme="minorEastAsia" w:cstheme="minorEastAsia"/>
          <w:b/>
          <w:bCs/>
          <w:i w:val="0"/>
          <w:iCs w:val="0"/>
          <w:sz w:val="21"/>
          <w:szCs w:val="21"/>
          <w:highlight w:val="none"/>
          <w:u w:val="single"/>
        </w:rPr>
        <w:t>（采购文件中明确的所属行业）</w:t>
      </w:r>
      <w:r>
        <w:rPr>
          <w:rFonts w:hint="eastAsia" w:asciiTheme="minorEastAsia" w:hAnsiTheme="minorEastAsia" w:eastAsiaTheme="minorEastAsia" w:cstheme="minorEastAsia"/>
          <w:b/>
          <w:bCs/>
          <w:i w:val="0"/>
          <w:iCs w:val="0"/>
          <w:sz w:val="21"/>
          <w:szCs w:val="21"/>
          <w:highlight w:val="none"/>
          <w:u w:val="single"/>
          <w:lang w:val="en-US" w:eastAsia="zh-CN"/>
        </w:rPr>
        <w:t xml:space="preserve">    </w:t>
      </w:r>
      <w:r>
        <w:rPr>
          <w:rFonts w:hint="eastAsia" w:asciiTheme="minorEastAsia" w:hAnsiTheme="minorEastAsia" w:eastAsiaTheme="minorEastAsia" w:cstheme="minorEastAsia"/>
          <w:i w:val="0"/>
          <w:iCs w:val="0"/>
          <w:sz w:val="21"/>
          <w:szCs w:val="21"/>
          <w:highlight w:val="none"/>
        </w:rPr>
        <w:t>行业</w:t>
      </w:r>
      <w:r>
        <w:rPr>
          <w:rFonts w:hint="eastAsia" w:asciiTheme="minorEastAsia" w:hAnsiTheme="minorEastAsia" w:eastAsiaTheme="minorEastAsia" w:cstheme="minorEastAsia"/>
          <w:i w:val="0"/>
          <w:iCs w:val="0"/>
          <w:kern w:val="2"/>
          <w:sz w:val="21"/>
          <w:szCs w:val="21"/>
          <w:highlight w:val="none"/>
          <w:lang w:val="en-US" w:eastAsia="zh-CN" w:bidi="ar-SA"/>
        </w:rPr>
        <w:t>；承接企业为</w:t>
      </w:r>
      <w:r>
        <w:rPr>
          <w:rFonts w:hint="eastAsia" w:asciiTheme="minorEastAsia" w:hAnsiTheme="minorEastAsia" w:eastAsiaTheme="minorEastAsia" w:cstheme="minorEastAsia"/>
          <w:b/>
          <w:bCs/>
          <w:i w:val="0"/>
          <w:iCs w:val="0"/>
          <w:sz w:val="21"/>
          <w:szCs w:val="21"/>
          <w:highlight w:val="none"/>
          <w:u w:val="single"/>
          <w:lang w:val="en-US" w:eastAsia="zh-CN"/>
        </w:rPr>
        <w:t xml:space="preserve">    </w:t>
      </w:r>
      <w:r>
        <w:rPr>
          <w:rFonts w:hint="eastAsia" w:asciiTheme="minorEastAsia" w:hAnsiTheme="minorEastAsia" w:eastAsiaTheme="minorEastAsia" w:cstheme="minorEastAsia"/>
          <w:b/>
          <w:bCs/>
          <w:i w:val="0"/>
          <w:iCs w:val="0"/>
          <w:sz w:val="21"/>
          <w:szCs w:val="21"/>
          <w:highlight w:val="none"/>
          <w:u w:val="single"/>
        </w:rPr>
        <w:t>（企业名称</w:t>
      </w:r>
      <w:r>
        <w:rPr>
          <w:rFonts w:hint="eastAsia" w:asciiTheme="minorEastAsia" w:hAnsiTheme="minorEastAsia" w:eastAsiaTheme="minorEastAsia" w:cstheme="minorEastAsia"/>
          <w:b/>
          <w:bCs/>
          <w:i w:val="0"/>
          <w:iCs w:val="0"/>
          <w:sz w:val="21"/>
          <w:szCs w:val="21"/>
          <w:highlight w:val="none"/>
          <w:u w:val="single"/>
          <w:lang w:eastAsia="zh-CN"/>
        </w:rPr>
        <w:t>，要求</w:t>
      </w:r>
      <w:r>
        <w:rPr>
          <w:rFonts w:hint="eastAsia" w:asciiTheme="minorEastAsia" w:hAnsiTheme="minorEastAsia" w:eastAsiaTheme="minorEastAsia" w:cstheme="minorEastAsia"/>
          <w:b/>
          <w:bCs/>
          <w:i w:val="0"/>
          <w:iCs w:val="0"/>
          <w:sz w:val="21"/>
          <w:szCs w:val="21"/>
          <w:highlight w:val="none"/>
          <w:u w:val="single"/>
          <w:lang w:val="en-US" w:eastAsia="zh-CN"/>
        </w:rPr>
        <w:t>承接企业本身</w:t>
      </w:r>
      <w:r>
        <w:rPr>
          <w:rFonts w:hint="eastAsia" w:asciiTheme="minorEastAsia" w:hAnsiTheme="minorEastAsia" w:eastAsiaTheme="minorEastAsia" w:cstheme="minorEastAsia"/>
          <w:b/>
          <w:bCs/>
          <w:i w:val="0"/>
          <w:iCs w:val="0"/>
          <w:sz w:val="21"/>
          <w:szCs w:val="21"/>
          <w:highlight w:val="none"/>
          <w:u w:val="single"/>
          <w:lang w:eastAsia="zh-CN"/>
        </w:rPr>
        <w:t>所属行业应当与招标文件要求的行业相一致</w:t>
      </w:r>
      <w:r>
        <w:rPr>
          <w:rFonts w:hint="eastAsia" w:asciiTheme="minorEastAsia" w:hAnsiTheme="minorEastAsia" w:eastAsiaTheme="minorEastAsia" w:cstheme="minorEastAsia"/>
          <w:b/>
          <w:bCs/>
          <w:i w:val="0"/>
          <w:iCs w:val="0"/>
          <w:sz w:val="21"/>
          <w:szCs w:val="21"/>
          <w:highlight w:val="none"/>
          <w:u w:val="single"/>
        </w:rPr>
        <w:t>）</w:t>
      </w:r>
      <w:r>
        <w:rPr>
          <w:rFonts w:hint="eastAsia" w:asciiTheme="minorEastAsia" w:hAnsiTheme="minorEastAsia" w:eastAsiaTheme="minorEastAsia" w:cstheme="minorEastAsia"/>
          <w:b/>
          <w:bCs/>
          <w:i w:val="0"/>
          <w:iCs w:val="0"/>
          <w:sz w:val="21"/>
          <w:szCs w:val="21"/>
          <w:highlight w:val="none"/>
          <w:u w:val="single"/>
          <w:lang w:val="en-US" w:eastAsia="zh-CN"/>
        </w:rPr>
        <w:t xml:space="preserve">    </w:t>
      </w:r>
      <w:r>
        <w:rPr>
          <w:rFonts w:hint="eastAsia" w:asciiTheme="minorEastAsia" w:hAnsiTheme="minorEastAsia" w:eastAsiaTheme="minorEastAsia" w:cstheme="minorEastAsia"/>
          <w:i w:val="0"/>
          <w:iCs w:val="0"/>
          <w:kern w:val="2"/>
          <w:sz w:val="21"/>
          <w:szCs w:val="21"/>
          <w:highlight w:val="none"/>
          <w:lang w:val="en-US" w:eastAsia="zh-CN" w:bidi="ar-SA"/>
        </w:rPr>
        <w:t>，从业人员</w:t>
      </w:r>
      <w:r>
        <w:rPr>
          <w:rFonts w:hint="eastAsia" w:asciiTheme="minorEastAsia" w:hAnsiTheme="minorEastAsia" w:eastAsiaTheme="minorEastAsia" w:cstheme="minorEastAsia"/>
          <w:b/>
          <w:bCs/>
          <w:i w:val="0"/>
          <w:iCs w:val="0"/>
          <w:sz w:val="21"/>
          <w:szCs w:val="21"/>
          <w:highlight w:val="none"/>
          <w:u w:val="single"/>
          <w:lang w:val="en-US" w:eastAsia="zh-CN"/>
        </w:rPr>
        <w:t xml:space="preserve">        </w:t>
      </w:r>
      <w:r>
        <w:rPr>
          <w:rFonts w:hint="eastAsia" w:asciiTheme="minorEastAsia" w:hAnsiTheme="minorEastAsia" w:eastAsiaTheme="minorEastAsia" w:cstheme="minorEastAsia"/>
          <w:i w:val="0"/>
          <w:iCs w:val="0"/>
          <w:kern w:val="2"/>
          <w:sz w:val="21"/>
          <w:szCs w:val="21"/>
          <w:highlight w:val="none"/>
          <w:lang w:val="en-US" w:eastAsia="zh-CN" w:bidi="ar-SA"/>
        </w:rPr>
        <w:t>人，营业收入为</w:t>
      </w:r>
      <w:r>
        <w:rPr>
          <w:rFonts w:hint="eastAsia" w:asciiTheme="minorEastAsia" w:hAnsiTheme="minorEastAsia" w:eastAsiaTheme="minorEastAsia" w:cstheme="minorEastAsia"/>
          <w:b/>
          <w:bCs/>
          <w:i w:val="0"/>
          <w:iCs w:val="0"/>
          <w:sz w:val="21"/>
          <w:szCs w:val="21"/>
          <w:highlight w:val="none"/>
          <w:u w:val="single"/>
          <w:lang w:val="en-US" w:eastAsia="zh-CN"/>
        </w:rPr>
        <w:t xml:space="preserve">        </w:t>
      </w:r>
      <w:r>
        <w:rPr>
          <w:rFonts w:hint="eastAsia" w:asciiTheme="minorEastAsia" w:hAnsiTheme="minorEastAsia" w:eastAsiaTheme="minorEastAsia" w:cstheme="minorEastAsia"/>
          <w:i w:val="0"/>
          <w:iCs w:val="0"/>
          <w:kern w:val="2"/>
          <w:sz w:val="21"/>
          <w:szCs w:val="21"/>
          <w:highlight w:val="none"/>
          <w:lang w:val="en-US" w:eastAsia="zh-CN" w:bidi="ar-SA"/>
        </w:rPr>
        <w:t>万元，资产总额为</w:t>
      </w:r>
      <w:r>
        <w:rPr>
          <w:rFonts w:hint="eastAsia" w:asciiTheme="minorEastAsia" w:hAnsiTheme="minorEastAsia" w:eastAsiaTheme="minorEastAsia" w:cstheme="minorEastAsia"/>
          <w:b/>
          <w:bCs/>
          <w:i w:val="0"/>
          <w:iCs w:val="0"/>
          <w:sz w:val="21"/>
          <w:szCs w:val="21"/>
          <w:highlight w:val="none"/>
          <w:u w:val="single"/>
          <w:lang w:val="en-US" w:eastAsia="zh-CN"/>
        </w:rPr>
        <w:t xml:space="preserve">        </w:t>
      </w:r>
      <w:r>
        <w:rPr>
          <w:rFonts w:hint="eastAsia" w:asciiTheme="minorEastAsia" w:hAnsiTheme="minorEastAsia" w:eastAsiaTheme="minorEastAsia" w:cstheme="minorEastAsia"/>
          <w:i w:val="0"/>
          <w:iCs w:val="0"/>
          <w:kern w:val="2"/>
          <w:sz w:val="21"/>
          <w:szCs w:val="21"/>
          <w:highlight w:val="none"/>
          <w:lang w:val="en-US" w:eastAsia="zh-CN" w:bidi="ar-SA"/>
        </w:rPr>
        <w:t>万元，属于</w:t>
      </w:r>
      <w:r>
        <w:rPr>
          <w:rFonts w:hint="eastAsia" w:asciiTheme="minorEastAsia" w:hAnsiTheme="minorEastAsia" w:eastAsiaTheme="minorEastAsia" w:cstheme="minorEastAsia"/>
          <w:b/>
          <w:bCs/>
          <w:i w:val="0"/>
          <w:iCs w:val="0"/>
          <w:sz w:val="21"/>
          <w:szCs w:val="21"/>
          <w:highlight w:val="none"/>
          <w:u w:val="single"/>
          <w:lang w:val="en-US" w:eastAsia="zh-CN"/>
        </w:rPr>
        <w:t xml:space="preserve">    </w:t>
      </w:r>
      <w:r>
        <w:rPr>
          <w:rFonts w:hint="eastAsia" w:asciiTheme="minorEastAsia" w:hAnsiTheme="minorEastAsia" w:eastAsiaTheme="minorEastAsia" w:cstheme="minorEastAsia"/>
          <w:b/>
          <w:bCs/>
          <w:i w:val="0"/>
          <w:iCs w:val="0"/>
          <w:sz w:val="21"/>
          <w:szCs w:val="21"/>
          <w:highlight w:val="none"/>
          <w:u w:val="single"/>
        </w:rPr>
        <w:t>（中型企业、小型企业、微型企业）</w:t>
      </w:r>
      <w:r>
        <w:rPr>
          <w:rFonts w:hint="eastAsia" w:asciiTheme="minorEastAsia" w:hAnsiTheme="minorEastAsia" w:eastAsiaTheme="minorEastAsia" w:cstheme="minorEastAsia"/>
          <w:b/>
          <w:bCs/>
          <w:i w:val="0"/>
          <w:iCs w:val="0"/>
          <w:sz w:val="21"/>
          <w:szCs w:val="21"/>
          <w:highlight w:val="none"/>
          <w:u w:val="single"/>
          <w:lang w:val="en-US" w:eastAsia="zh-CN"/>
        </w:rPr>
        <w:t xml:space="preserve">    </w:t>
      </w:r>
      <w:r>
        <w:rPr>
          <w:rFonts w:hint="eastAsia" w:asciiTheme="minorEastAsia" w:hAnsiTheme="minorEastAsia" w:eastAsiaTheme="minorEastAsia" w:cstheme="minorEastAsia"/>
          <w:i w:val="0"/>
          <w:iCs w:val="0"/>
          <w:kern w:val="2"/>
          <w:sz w:val="21"/>
          <w:szCs w:val="21"/>
          <w:highlight w:val="none"/>
          <w:lang w:val="en-US" w:eastAsia="zh-CN" w:bidi="ar-SA"/>
        </w:rPr>
        <w:t>；</w:t>
      </w:r>
    </w:p>
    <w:p w14:paraId="0D9B53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w:t>
      </w:r>
    </w:p>
    <w:p w14:paraId="70D3B7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以上企业，不属于大企业的分支机构，不存在控股股东为大企业的情形，也不存在与大企业的负责人为同一人的情形。</w:t>
      </w:r>
    </w:p>
    <w:p w14:paraId="3A9CB8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本企业对上述声明内容的真实性负责。如有虚假，将依法承担相应责任。</w:t>
      </w:r>
    </w:p>
    <w:p w14:paraId="545425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highlight w:val="none"/>
          <w:lang w:val="en-US" w:eastAsia="zh-CN" w:bidi="ar-SA"/>
        </w:rPr>
      </w:pPr>
      <w:bookmarkStart w:id="23" w:name="_Hlk73562275"/>
      <w:r>
        <w:rPr>
          <w:rFonts w:hint="eastAsia" w:asciiTheme="minorEastAsia" w:hAnsiTheme="minorEastAsia" w:eastAsiaTheme="minorEastAsia" w:cstheme="minorEastAsia"/>
          <w:kern w:val="2"/>
          <w:sz w:val="21"/>
          <w:szCs w:val="21"/>
          <w:highlight w:val="none"/>
          <w:lang w:val="en-US" w:eastAsia="zh-CN" w:bidi="ar-SA"/>
        </w:rPr>
        <w:t>本供应商已知悉《政府采购促进中小企业发展管理办法》（财库〔2020〕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号）第二十条规定，供应商按照本办法规定提供声明函内容不实的，属于提供虚假材料谋取中标，依照《政府采购法》等政府采购有关法律法规规定追究相应责任。</w:t>
      </w:r>
      <w:bookmarkEnd w:id="23"/>
    </w:p>
    <w:p w14:paraId="3F22322B">
      <w:pPr>
        <w:pStyle w:val="9"/>
        <w:ind w:firstLine="482" w:firstLineChars="200"/>
        <w:outlineLvl w:val="9"/>
        <w:rPr>
          <w:rFonts w:hint="eastAsia"/>
          <w:color w:val="FF0000"/>
          <w:highlight w:val="none"/>
        </w:rPr>
      </w:pPr>
      <w:r>
        <w:rPr>
          <w:rFonts w:hint="eastAsia"/>
          <w:color w:val="FF0000"/>
          <w:highlight w:val="none"/>
        </w:rPr>
        <w:t>本项目所属行业：</w:t>
      </w:r>
      <w:r>
        <w:rPr>
          <w:rFonts w:hint="eastAsia"/>
          <w:color w:val="FF0000"/>
          <w:highlight w:val="none"/>
          <w:u w:val="single"/>
        </w:rPr>
        <w:t>建筑业</w:t>
      </w:r>
      <w:r>
        <w:rPr>
          <w:rFonts w:hint="eastAsia"/>
          <w:color w:val="FF0000"/>
          <w:highlight w:val="none"/>
        </w:rPr>
        <w:t>；</w:t>
      </w:r>
    </w:p>
    <w:p w14:paraId="4D08BB49">
      <w:pPr>
        <w:pStyle w:val="14"/>
        <w:outlineLvl w:val="9"/>
      </w:pPr>
    </w:p>
    <w:p w14:paraId="2A847485">
      <w:pPr>
        <w:widowControl/>
        <w:spacing w:line="360" w:lineRule="auto"/>
        <w:ind w:firstLine="420" w:firstLineChars="200"/>
        <w:textAlignment w:val="baseline"/>
        <w:outlineLvl w:val="9"/>
        <w:rPr>
          <w:rFonts w:ascii="宋体" w:hAnsi="宋体" w:eastAsia="宋体" w:cs="宋体"/>
          <w:szCs w:val="21"/>
          <w:highlight w:val="none"/>
        </w:rPr>
      </w:pPr>
      <w:r>
        <w:rPr>
          <w:rFonts w:hint="eastAsia" w:ascii="宋体" w:hAnsi="宋体" w:eastAsia="宋体" w:cs="宋体"/>
          <w:szCs w:val="21"/>
          <w:highlight w:val="none"/>
        </w:rPr>
        <w:t>企业名称：</w:t>
      </w:r>
    </w:p>
    <w:p w14:paraId="1C13ADE7">
      <w:pPr>
        <w:widowControl/>
        <w:spacing w:line="360" w:lineRule="auto"/>
        <w:ind w:firstLine="420" w:firstLineChars="200"/>
        <w:textAlignment w:val="baseline"/>
        <w:outlineLvl w:val="9"/>
        <w:rPr>
          <w:rFonts w:ascii="宋体" w:hAnsi="宋体" w:eastAsia="宋体" w:cs="宋体"/>
          <w:szCs w:val="21"/>
          <w:highlight w:val="none"/>
        </w:rPr>
      </w:pPr>
      <w:r>
        <w:rPr>
          <w:rFonts w:hint="eastAsia" w:ascii="宋体" w:hAnsi="宋体" w:eastAsia="宋体" w:cs="宋体"/>
          <w:szCs w:val="21"/>
          <w:highlight w:val="none"/>
        </w:rPr>
        <w:t>日期：</w:t>
      </w:r>
    </w:p>
    <w:p w14:paraId="1F8F9893">
      <w:pPr>
        <w:pStyle w:val="9"/>
        <w:outlineLvl w:val="9"/>
        <w:rPr>
          <w:rFonts w:hint="eastAsia" w:asciiTheme="minorEastAsia" w:hAnsiTheme="minorEastAsia" w:eastAsiaTheme="minorEastAsia" w:cstheme="minorEastAsia"/>
          <w:kern w:val="2"/>
          <w:sz w:val="21"/>
          <w:szCs w:val="21"/>
          <w:highlight w:val="none"/>
          <w:lang w:val="en-US" w:eastAsia="zh-CN" w:bidi="ar-SA"/>
        </w:rPr>
      </w:pPr>
    </w:p>
    <w:p w14:paraId="402E2AA7">
      <w:pPr>
        <w:pStyle w:val="14"/>
        <w:outlineLvl w:val="9"/>
        <w:rPr>
          <w:rFonts w:hint="eastAsia" w:asciiTheme="minorEastAsia" w:hAnsiTheme="minorEastAsia" w:eastAsiaTheme="minorEastAsia" w:cstheme="minorEastAsia"/>
          <w:kern w:val="2"/>
          <w:sz w:val="21"/>
          <w:szCs w:val="21"/>
          <w:highlight w:val="none"/>
          <w:lang w:val="en-US" w:eastAsia="zh-CN" w:bidi="ar-SA"/>
        </w:rPr>
      </w:pPr>
    </w:p>
    <w:p w14:paraId="06B25566">
      <w:pPr>
        <w:pStyle w:val="14"/>
        <w:outlineLvl w:val="9"/>
        <w:rPr>
          <w:rFonts w:hint="eastAsia" w:asciiTheme="minorEastAsia" w:hAnsiTheme="minorEastAsia" w:eastAsiaTheme="minorEastAsia" w:cstheme="minorEastAsia"/>
          <w:kern w:val="2"/>
          <w:sz w:val="21"/>
          <w:szCs w:val="21"/>
          <w:highlight w:val="none"/>
          <w:lang w:val="en-US" w:eastAsia="zh-CN" w:bidi="ar-SA"/>
        </w:rPr>
      </w:pPr>
    </w:p>
    <w:p w14:paraId="1760B008">
      <w:pPr>
        <w:spacing w:line="360" w:lineRule="auto"/>
        <w:jc w:val="center"/>
        <w:outlineLvl w:val="9"/>
        <w:rPr>
          <w:rFonts w:ascii="宋体" w:hAnsi="宋体" w:eastAsia="宋体" w:cs="宋体"/>
          <w:b/>
          <w:bCs/>
          <w:sz w:val="24"/>
          <w:szCs w:val="24"/>
        </w:rPr>
      </w:pPr>
      <w:r>
        <w:rPr>
          <w:rFonts w:hint="eastAsia" w:ascii="宋体" w:hAnsi="宋体" w:eastAsia="宋体" w:cs="宋体"/>
          <w:b/>
          <w:bCs/>
          <w:sz w:val="24"/>
          <w:szCs w:val="24"/>
        </w:rPr>
        <w:t>残疾人福利性单位声明函</w:t>
      </w:r>
    </w:p>
    <w:p w14:paraId="253D30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val="0"/>
          <w:iCs w:val="0"/>
          <w:sz w:val="21"/>
          <w:szCs w:val="21"/>
          <w:highlight w:val="none"/>
          <w:u w:val="single"/>
        </w:rPr>
        <w:t>（</w:t>
      </w:r>
      <w:r>
        <w:rPr>
          <w:rFonts w:hint="eastAsia" w:asciiTheme="minorEastAsia" w:hAnsiTheme="minorEastAsia" w:cstheme="minorEastAsia"/>
          <w:b/>
          <w:bCs/>
          <w:i w:val="0"/>
          <w:iCs w:val="0"/>
          <w:sz w:val="21"/>
          <w:szCs w:val="21"/>
          <w:highlight w:val="none"/>
          <w:u w:val="single"/>
          <w:lang w:eastAsia="zh-CN"/>
        </w:rPr>
        <w:t>采购</w:t>
      </w:r>
      <w:r>
        <w:rPr>
          <w:rFonts w:hint="eastAsia" w:asciiTheme="minorEastAsia" w:hAnsiTheme="minorEastAsia" w:eastAsiaTheme="minorEastAsia" w:cstheme="minorEastAsia"/>
          <w:b/>
          <w:bCs/>
          <w:i w:val="0"/>
          <w:iCs w:val="0"/>
          <w:sz w:val="21"/>
          <w:szCs w:val="21"/>
          <w:highlight w:val="none"/>
          <w:u w:val="single"/>
        </w:rPr>
        <w:t>单位名称）</w:t>
      </w:r>
      <w:r>
        <w:rPr>
          <w:rFonts w:hint="eastAsia" w:asciiTheme="minorEastAsia" w:hAnsiTheme="minorEastAsia" w:eastAsiaTheme="minorEastAsia" w:cstheme="minorEastAsia"/>
          <w:b/>
          <w:bCs/>
          <w:i w:val="0"/>
          <w:iCs w:val="0"/>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单位的</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val="0"/>
          <w:iCs w:val="0"/>
          <w:sz w:val="21"/>
          <w:szCs w:val="21"/>
          <w:highlight w:val="none"/>
          <w:u w:val="single"/>
        </w:rPr>
        <w:t>（项目名称）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项目采购活动由本单位提供服务。</w:t>
      </w:r>
    </w:p>
    <w:p w14:paraId="05FFC8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本单位对上述声明的真实性负责。如有虚假，将依法承担相应责任。</w:t>
      </w:r>
    </w:p>
    <w:p w14:paraId="110B5F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本供应商已知悉《财政部民政部中国残疾人联合会关于促进残疾人就业政府采购政策的通知》（财库〔2017〕141号）的规定，承诺提供的声明函内容是真实的，如提供声明函内容不实，则依法追究相关法律责任。</w:t>
      </w:r>
    </w:p>
    <w:p w14:paraId="35240FEB">
      <w:pPr>
        <w:keepNext w:val="0"/>
        <w:keepLines w:val="0"/>
        <w:pageBreakBefore w:val="0"/>
        <w:widowControl/>
        <w:kinsoku/>
        <w:wordWrap/>
        <w:overflowPunct/>
        <w:topLinePunct w:val="0"/>
        <w:autoSpaceDE/>
        <w:autoSpaceDN/>
        <w:bidi w:val="0"/>
        <w:adjustRightInd w:val="0"/>
        <w:snapToGrid/>
        <w:spacing w:line="360" w:lineRule="auto"/>
        <w:ind w:firstLine="420" w:firstLineChars="200"/>
        <w:textAlignment w:val="baseline"/>
        <w:outlineLvl w:val="9"/>
        <w:rPr>
          <w:rFonts w:hint="eastAsia" w:ascii="宋体" w:hAnsi="宋体" w:eastAsia="宋体" w:cs="宋体"/>
          <w:szCs w:val="21"/>
        </w:rPr>
      </w:pPr>
    </w:p>
    <w:p w14:paraId="783B0395">
      <w:pPr>
        <w:keepNext w:val="0"/>
        <w:keepLines w:val="0"/>
        <w:pageBreakBefore w:val="0"/>
        <w:widowControl/>
        <w:kinsoku/>
        <w:wordWrap/>
        <w:overflowPunct/>
        <w:topLinePunct w:val="0"/>
        <w:autoSpaceDE/>
        <w:autoSpaceDN/>
        <w:bidi w:val="0"/>
        <w:adjustRightInd w:val="0"/>
        <w:snapToGrid/>
        <w:spacing w:line="360" w:lineRule="auto"/>
        <w:ind w:firstLine="420" w:firstLineChars="200"/>
        <w:textAlignment w:val="baseline"/>
        <w:outlineLvl w:val="9"/>
        <w:rPr>
          <w:rFonts w:hint="eastAsia" w:ascii="宋体" w:hAnsi="宋体" w:eastAsia="宋体" w:cs="宋体"/>
          <w:szCs w:val="21"/>
        </w:rPr>
      </w:pPr>
    </w:p>
    <w:p w14:paraId="27C07FBD">
      <w:pPr>
        <w:widowControl/>
        <w:spacing w:line="360" w:lineRule="auto"/>
        <w:ind w:firstLine="420" w:firstLineChars="200"/>
        <w:textAlignment w:val="baseline"/>
        <w:outlineLvl w:val="9"/>
        <w:rPr>
          <w:rFonts w:ascii="宋体" w:hAnsi="宋体" w:eastAsia="宋体" w:cs="宋体"/>
          <w:szCs w:val="21"/>
        </w:rPr>
      </w:pPr>
      <w:r>
        <w:rPr>
          <w:rFonts w:hint="eastAsia" w:ascii="宋体" w:hAnsi="宋体" w:eastAsia="宋体" w:cs="宋体"/>
          <w:szCs w:val="21"/>
        </w:rPr>
        <w:t>企业名称：</w:t>
      </w:r>
    </w:p>
    <w:p w14:paraId="6D955501">
      <w:pPr>
        <w:widowControl/>
        <w:spacing w:line="360" w:lineRule="auto"/>
        <w:ind w:firstLine="420" w:firstLineChars="200"/>
        <w:textAlignment w:val="baseline"/>
        <w:outlineLvl w:val="9"/>
        <w:rPr>
          <w:rFonts w:ascii="宋体" w:hAnsi="宋体" w:eastAsia="宋体" w:cs="宋体"/>
          <w:szCs w:val="21"/>
        </w:rPr>
      </w:pPr>
      <w:r>
        <w:rPr>
          <w:rFonts w:hint="eastAsia" w:ascii="宋体" w:hAnsi="宋体" w:eastAsia="宋体" w:cs="宋体"/>
          <w:szCs w:val="21"/>
        </w:rPr>
        <w:t>日期：</w:t>
      </w:r>
    </w:p>
    <w:p w14:paraId="167AA77C">
      <w:pPr>
        <w:outlineLvl w:val="9"/>
        <w:rPr>
          <w:rFonts w:ascii="宋体" w:hAnsi="宋体" w:eastAsia="宋体" w:cs="宋体"/>
        </w:rPr>
      </w:pPr>
      <w:r>
        <w:rPr>
          <w:rFonts w:hint="eastAsia" w:ascii="宋体" w:hAnsi="宋体" w:eastAsia="宋体" w:cs="宋体"/>
        </w:rPr>
        <w:br w:type="page"/>
      </w:r>
    </w:p>
    <w:p w14:paraId="3C94548C">
      <w:pPr>
        <w:spacing w:line="360" w:lineRule="auto"/>
        <w:jc w:val="center"/>
        <w:outlineLvl w:val="9"/>
        <w:rPr>
          <w:rFonts w:ascii="宋体" w:hAnsi="宋体" w:eastAsia="宋体" w:cs="宋体"/>
          <w:b/>
          <w:bCs/>
          <w:sz w:val="24"/>
          <w:szCs w:val="24"/>
        </w:rPr>
      </w:pPr>
      <w:r>
        <w:rPr>
          <w:rFonts w:hint="eastAsia" w:ascii="宋体" w:hAnsi="宋体" w:eastAsia="宋体" w:cs="宋体"/>
          <w:b/>
          <w:bCs/>
          <w:sz w:val="24"/>
          <w:szCs w:val="24"/>
        </w:rPr>
        <w:t>监狱企业声明函</w:t>
      </w:r>
    </w:p>
    <w:p w14:paraId="62B0FB50">
      <w:pPr>
        <w:ind w:firstLine="422" w:firstLineChars="200"/>
        <w:jc w:val="center"/>
        <w:outlineLvl w:val="9"/>
        <w:rPr>
          <w:rFonts w:hint="eastAsia"/>
          <w:b/>
        </w:rPr>
      </w:pPr>
      <w:r>
        <w:rPr>
          <w:rFonts w:hint="eastAsia" w:ascii="宋体" w:hAnsi="宋体" w:eastAsia="宋体" w:cs="宋体"/>
          <w:b/>
          <w:bCs/>
          <w:szCs w:val="21"/>
        </w:rPr>
        <w:t>【监狱企业或者代理提供监狱企业货物的供应商如需享受优惠政策，还须同时提供省级以上监狱管理局、戒毒管理局（含新疆生产建设兵团）出具的监狱企业证明文件】</w:t>
      </w:r>
    </w:p>
    <w:p w14:paraId="7DE95673">
      <w:pPr>
        <w:pStyle w:val="9"/>
        <w:outlineLvl w:val="9"/>
      </w:pPr>
    </w:p>
    <w:p w14:paraId="409C768C">
      <w:pPr>
        <w:spacing w:line="360" w:lineRule="auto"/>
        <w:ind w:firstLine="420" w:firstLineChars="200"/>
        <w:outlineLvl w:val="9"/>
        <w:rPr>
          <w:rFonts w:ascii="宋体" w:hAnsi="宋体"/>
          <w:szCs w:val="21"/>
          <w:highlight w:val="none"/>
        </w:rPr>
      </w:pPr>
      <w:r>
        <w:rPr>
          <w:rFonts w:hint="eastAsia" w:ascii="宋体" w:hAnsi="宋体"/>
          <w:szCs w:val="21"/>
          <w:highlight w:val="none"/>
        </w:rPr>
        <w:t>本供应商郑重声明，根据《财政部司法部关于政府采购支持监狱企业发展有关问题的通知》（财库〔</w:t>
      </w:r>
      <w:r>
        <w:rPr>
          <w:rFonts w:ascii="宋体" w:hAnsi="宋体"/>
          <w:szCs w:val="21"/>
          <w:highlight w:val="none"/>
        </w:rPr>
        <w:t>2014</w:t>
      </w:r>
      <w:r>
        <w:rPr>
          <w:rFonts w:hint="eastAsia" w:ascii="宋体" w:hAnsi="宋体"/>
          <w:szCs w:val="21"/>
          <w:highlight w:val="none"/>
        </w:rPr>
        <w:t>〕</w:t>
      </w:r>
      <w:r>
        <w:rPr>
          <w:rFonts w:ascii="宋体" w:hAnsi="宋体"/>
          <w:szCs w:val="21"/>
          <w:highlight w:val="none"/>
        </w:rPr>
        <w:t>68</w:t>
      </w:r>
      <w:r>
        <w:rPr>
          <w:rFonts w:hint="eastAsia" w:ascii="宋体" w:hAnsi="宋体"/>
          <w:szCs w:val="21"/>
          <w:highlight w:val="none"/>
        </w:rPr>
        <w:t>号）的规定，本供应商</w:t>
      </w:r>
      <w:r>
        <w:rPr>
          <w:rFonts w:ascii="宋体" w:hAnsi="宋体" w:cstheme="minorBidi"/>
          <w:szCs w:val="21"/>
          <w:highlight w:val="none"/>
        </w:rPr>
        <w:t>参加</w:t>
      </w:r>
      <w:r>
        <w:rPr>
          <w:rFonts w:ascii="宋体" w:hAnsi="宋体"/>
          <w:b/>
          <w:bCs/>
          <w:szCs w:val="21"/>
          <w:highlight w:val="none"/>
          <w:u w:val="single"/>
        </w:rPr>
        <w:t>（</w:t>
      </w:r>
      <w:r>
        <w:rPr>
          <w:rFonts w:hint="eastAsia" w:ascii="宋体" w:hAnsi="宋体"/>
          <w:b/>
          <w:bCs/>
          <w:szCs w:val="21"/>
          <w:highlight w:val="none"/>
          <w:u w:val="single"/>
        </w:rPr>
        <w:t>采购</w:t>
      </w:r>
      <w:r>
        <w:rPr>
          <w:rFonts w:hint="eastAsia" w:asciiTheme="minorEastAsia" w:hAnsiTheme="minorEastAsia" w:eastAsiaTheme="minorEastAsia" w:cstheme="minorEastAsia"/>
          <w:b/>
          <w:bCs/>
          <w:i w:val="0"/>
          <w:iCs w:val="0"/>
          <w:sz w:val="21"/>
          <w:szCs w:val="21"/>
          <w:highlight w:val="none"/>
          <w:u w:val="single"/>
        </w:rPr>
        <w:t>单位名称</w:t>
      </w:r>
      <w:r>
        <w:rPr>
          <w:rFonts w:ascii="宋体" w:hAnsi="宋体"/>
          <w:b/>
          <w:bCs/>
          <w:szCs w:val="21"/>
          <w:highlight w:val="none"/>
          <w:u w:val="single"/>
        </w:rPr>
        <w:t>）</w:t>
      </w:r>
      <w:r>
        <w:rPr>
          <w:rFonts w:ascii="宋体" w:hAnsi="宋体"/>
          <w:szCs w:val="21"/>
          <w:highlight w:val="none"/>
        </w:rPr>
        <w:t>的</w:t>
      </w:r>
      <w:r>
        <w:rPr>
          <w:rFonts w:ascii="宋体" w:hAnsi="宋体"/>
          <w:b/>
          <w:bCs/>
          <w:szCs w:val="21"/>
          <w:highlight w:val="none"/>
          <w:u w:val="single"/>
        </w:rPr>
        <w:t>（项目名称）</w:t>
      </w:r>
      <w:r>
        <w:rPr>
          <w:rFonts w:ascii="宋体" w:hAnsi="宋体"/>
          <w:szCs w:val="21"/>
          <w:highlight w:val="none"/>
        </w:rPr>
        <w:t>采购活动，</w:t>
      </w:r>
      <w:r>
        <w:rPr>
          <w:rFonts w:hint="eastAsia" w:ascii="宋体" w:hAnsi="宋体"/>
          <w:szCs w:val="21"/>
          <w:highlight w:val="none"/>
        </w:rPr>
        <w:t>服务</w:t>
      </w:r>
      <w:r>
        <w:rPr>
          <w:rFonts w:ascii="宋体" w:hAnsi="宋体"/>
          <w:szCs w:val="21"/>
          <w:highlight w:val="none"/>
        </w:rPr>
        <w:t>全部由符合政策要求的</w:t>
      </w:r>
      <w:r>
        <w:rPr>
          <w:rFonts w:hint="eastAsia" w:ascii="宋体" w:hAnsi="宋体"/>
          <w:szCs w:val="21"/>
          <w:highlight w:val="none"/>
        </w:rPr>
        <w:t>监狱企业承接</w:t>
      </w:r>
      <w:r>
        <w:rPr>
          <w:rFonts w:ascii="宋体" w:hAnsi="宋体"/>
          <w:szCs w:val="21"/>
          <w:highlight w:val="none"/>
        </w:rPr>
        <w:t>。相关</w:t>
      </w:r>
      <w:r>
        <w:rPr>
          <w:rFonts w:hint="eastAsia" w:ascii="宋体" w:hAnsi="宋体"/>
          <w:szCs w:val="21"/>
          <w:highlight w:val="none"/>
        </w:rPr>
        <w:t>监狱企业</w:t>
      </w:r>
      <w:r>
        <w:rPr>
          <w:rFonts w:ascii="宋体" w:hAnsi="宋体"/>
          <w:szCs w:val="21"/>
          <w:highlight w:val="none"/>
        </w:rPr>
        <w:t>的具体情况如下：</w:t>
      </w:r>
    </w:p>
    <w:p w14:paraId="5350D8DE">
      <w:pPr>
        <w:spacing w:line="360" w:lineRule="auto"/>
        <w:ind w:firstLine="420" w:firstLineChars="200"/>
        <w:outlineLvl w:val="9"/>
        <w:rPr>
          <w:rFonts w:ascii="宋体" w:hAnsi="宋体"/>
          <w:szCs w:val="21"/>
          <w:highlight w:val="none"/>
        </w:rPr>
      </w:pPr>
      <w:r>
        <w:rPr>
          <w:rFonts w:ascii="宋体" w:hAnsi="宋体"/>
          <w:szCs w:val="21"/>
          <w:highlight w:val="none"/>
        </w:rPr>
        <w:t>1.</w:t>
      </w:r>
      <w:r>
        <w:rPr>
          <w:rFonts w:ascii="宋体" w:hAnsi="宋体"/>
          <w:b/>
          <w:bCs/>
          <w:szCs w:val="21"/>
          <w:highlight w:val="none"/>
          <w:u w:val="single"/>
        </w:rPr>
        <w:t xml:space="preserve"> （标的名称）</w:t>
      </w:r>
      <w:r>
        <w:rPr>
          <w:rFonts w:ascii="宋体" w:hAnsi="宋体"/>
          <w:szCs w:val="21"/>
          <w:highlight w:val="none"/>
        </w:rPr>
        <w:t xml:space="preserve"> </w:t>
      </w:r>
      <w:r>
        <w:rPr>
          <w:rFonts w:hint="eastAsia" w:ascii="宋体" w:hAnsi="宋体"/>
          <w:szCs w:val="21"/>
          <w:highlight w:val="none"/>
        </w:rPr>
        <w:t>，承接单位</w:t>
      </w:r>
      <w:r>
        <w:rPr>
          <w:rFonts w:ascii="宋体" w:hAnsi="宋体"/>
          <w:szCs w:val="21"/>
          <w:highlight w:val="none"/>
        </w:rPr>
        <w:t>为</w:t>
      </w:r>
      <w:r>
        <w:rPr>
          <w:rFonts w:ascii="宋体" w:hAnsi="宋体"/>
          <w:b/>
          <w:bCs/>
          <w:szCs w:val="21"/>
          <w:highlight w:val="none"/>
          <w:u w:val="single"/>
        </w:rPr>
        <w:t>（</w:t>
      </w:r>
      <w:r>
        <w:rPr>
          <w:rFonts w:hint="eastAsia" w:ascii="宋体" w:hAnsi="宋体"/>
          <w:b/>
          <w:bCs/>
          <w:szCs w:val="21"/>
          <w:highlight w:val="none"/>
          <w:u w:val="single"/>
        </w:rPr>
        <w:t>企业</w:t>
      </w:r>
      <w:r>
        <w:rPr>
          <w:rFonts w:ascii="宋体" w:hAnsi="宋体"/>
          <w:b/>
          <w:bCs/>
          <w:szCs w:val="21"/>
          <w:highlight w:val="none"/>
          <w:u w:val="single"/>
        </w:rPr>
        <w:t>名称）</w:t>
      </w:r>
      <w:r>
        <w:rPr>
          <w:rFonts w:ascii="宋体" w:hAnsi="宋体"/>
          <w:szCs w:val="21"/>
          <w:highlight w:val="none"/>
        </w:rPr>
        <w:t>，属于</w:t>
      </w:r>
      <w:r>
        <w:rPr>
          <w:rFonts w:hint="eastAsia" w:ascii="宋体" w:hAnsi="宋体"/>
          <w:b/>
          <w:bCs/>
          <w:szCs w:val="21"/>
          <w:highlight w:val="none"/>
          <w:u w:val="single"/>
        </w:rPr>
        <w:t>监狱企业</w:t>
      </w:r>
      <w:r>
        <w:rPr>
          <w:rFonts w:ascii="宋体" w:hAnsi="宋体"/>
          <w:szCs w:val="21"/>
          <w:highlight w:val="none"/>
        </w:rPr>
        <w:t>；</w:t>
      </w:r>
    </w:p>
    <w:p w14:paraId="7C7B9D98">
      <w:pPr>
        <w:spacing w:line="360" w:lineRule="auto"/>
        <w:ind w:firstLine="420" w:firstLineChars="200"/>
        <w:outlineLvl w:val="9"/>
        <w:rPr>
          <w:rFonts w:ascii="宋体" w:hAnsi="宋体"/>
          <w:szCs w:val="21"/>
          <w:highlight w:val="none"/>
        </w:rPr>
      </w:pPr>
      <w:r>
        <w:rPr>
          <w:rFonts w:ascii="宋体" w:hAnsi="宋体"/>
          <w:szCs w:val="21"/>
          <w:highlight w:val="none"/>
        </w:rPr>
        <w:t>2.</w:t>
      </w:r>
      <w:r>
        <w:rPr>
          <w:rFonts w:ascii="宋体" w:hAnsi="宋体"/>
          <w:b/>
          <w:bCs/>
          <w:szCs w:val="21"/>
          <w:highlight w:val="none"/>
          <w:u w:val="single"/>
        </w:rPr>
        <w:t xml:space="preserve"> （标的名称）</w:t>
      </w:r>
      <w:r>
        <w:rPr>
          <w:rFonts w:ascii="宋体" w:hAnsi="宋体"/>
          <w:szCs w:val="21"/>
          <w:highlight w:val="none"/>
        </w:rPr>
        <w:t xml:space="preserve"> </w:t>
      </w:r>
      <w:r>
        <w:rPr>
          <w:rFonts w:hint="eastAsia" w:ascii="宋体" w:hAnsi="宋体"/>
          <w:szCs w:val="21"/>
          <w:highlight w:val="none"/>
        </w:rPr>
        <w:t>，承接单位</w:t>
      </w:r>
      <w:r>
        <w:rPr>
          <w:rFonts w:ascii="宋体" w:hAnsi="宋体"/>
          <w:szCs w:val="21"/>
          <w:highlight w:val="none"/>
        </w:rPr>
        <w:t>为</w:t>
      </w:r>
      <w:r>
        <w:rPr>
          <w:rFonts w:ascii="宋体" w:hAnsi="宋体"/>
          <w:b/>
          <w:bCs/>
          <w:szCs w:val="21"/>
          <w:highlight w:val="none"/>
          <w:u w:val="single"/>
        </w:rPr>
        <w:t>（</w:t>
      </w:r>
      <w:r>
        <w:rPr>
          <w:rFonts w:hint="eastAsia" w:ascii="宋体" w:hAnsi="宋体"/>
          <w:b/>
          <w:bCs/>
          <w:szCs w:val="21"/>
          <w:highlight w:val="none"/>
          <w:u w:val="single"/>
        </w:rPr>
        <w:t>企业</w:t>
      </w:r>
      <w:r>
        <w:rPr>
          <w:rFonts w:ascii="宋体" w:hAnsi="宋体"/>
          <w:b/>
          <w:bCs/>
          <w:szCs w:val="21"/>
          <w:highlight w:val="none"/>
          <w:u w:val="single"/>
        </w:rPr>
        <w:t>名称）</w:t>
      </w:r>
      <w:r>
        <w:rPr>
          <w:rFonts w:ascii="宋体" w:hAnsi="宋体"/>
          <w:szCs w:val="21"/>
          <w:highlight w:val="none"/>
        </w:rPr>
        <w:t>，属于</w:t>
      </w:r>
      <w:r>
        <w:rPr>
          <w:rFonts w:hint="eastAsia" w:ascii="宋体" w:hAnsi="宋体"/>
          <w:b/>
          <w:bCs/>
          <w:szCs w:val="21"/>
          <w:highlight w:val="none"/>
          <w:u w:val="single"/>
        </w:rPr>
        <w:t>监狱企业</w:t>
      </w:r>
      <w:r>
        <w:rPr>
          <w:rFonts w:hint="eastAsia" w:ascii="宋体" w:hAnsi="宋体"/>
          <w:szCs w:val="21"/>
          <w:highlight w:val="none"/>
        </w:rPr>
        <w:t>。</w:t>
      </w:r>
    </w:p>
    <w:p w14:paraId="77B2FD26">
      <w:pPr>
        <w:spacing w:line="360" w:lineRule="auto"/>
        <w:ind w:firstLine="420" w:firstLineChars="200"/>
        <w:outlineLvl w:val="9"/>
        <w:rPr>
          <w:rFonts w:ascii="宋体" w:hAnsi="宋体"/>
          <w:szCs w:val="21"/>
          <w:highlight w:val="none"/>
        </w:rPr>
      </w:pPr>
      <w:r>
        <w:rPr>
          <w:rFonts w:ascii="宋体" w:hAnsi="宋体"/>
          <w:szCs w:val="21"/>
          <w:highlight w:val="none"/>
        </w:rPr>
        <w:t xml:space="preserve">…… </w:t>
      </w:r>
    </w:p>
    <w:p w14:paraId="1110038D">
      <w:pPr>
        <w:spacing w:line="360" w:lineRule="auto"/>
        <w:ind w:firstLine="420" w:firstLineChars="200"/>
        <w:outlineLvl w:val="9"/>
        <w:rPr>
          <w:rFonts w:ascii="宋体" w:hAnsi="宋体"/>
          <w:szCs w:val="21"/>
          <w:highlight w:val="none"/>
        </w:rPr>
      </w:pPr>
      <w:r>
        <w:rPr>
          <w:rFonts w:ascii="宋体" w:hAnsi="宋体" w:cstheme="minorBidi"/>
          <w:szCs w:val="21"/>
          <w:highlight w:val="none"/>
        </w:rPr>
        <w:t>本</w:t>
      </w:r>
      <w:r>
        <w:rPr>
          <w:rFonts w:hint="eastAsia" w:ascii="宋体" w:hAnsi="宋体" w:cstheme="minorBidi"/>
          <w:szCs w:val="21"/>
          <w:highlight w:val="none"/>
        </w:rPr>
        <w:t>供应商</w:t>
      </w:r>
      <w:r>
        <w:rPr>
          <w:rFonts w:ascii="宋体" w:hAnsi="宋体"/>
          <w:szCs w:val="21"/>
          <w:highlight w:val="none"/>
        </w:rPr>
        <w:t>对上述声明内容的真实性负责。如有虚假，将依法承担相应责任。</w:t>
      </w:r>
    </w:p>
    <w:p w14:paraId="5443020A">
      <w:pPr>
        <w:spacing w:line="360" w:lineRule="auto"/>
        <w:ind w:firstLine="420" w:firstLineChars="200"/>
        <w:outlineLvl w:val="9"/>
        <w:rPr>
          <w:rFonts w:hint="eastAsia" w:ascii="宋体" w:hAnsi="宋体"/>
          <w:szCs w:val="21"/>
          <w:highlight w:val="none"/>
        </w:rPr>
      </w:pPr>
      <w:r>
        <w:rPr>
          <w:rFonts w:hint="eastAsia" w:ascii="宋体" w:hAnsi="宋体"/>
          <w:szCs w:val="21"/>
          <w:highlight w:val="none"/>
        </w:rPr>
        <w:t>附：省级以上监狱管理局、戒毒管理局（含新疆生产建设兵团）出具的监狱企业证明文件。</w:t>
      </w:r>
    </w:p>
    <w:p w14:paraId="26BD16BA">
      <w:pPr>
        <w:spacing w:line="360" w:lineRule="auto"/>
        <w:ind w:firstLine="420" w:firstLineChars="200"/>
        <w:outlineLvl w:val="9"/>
        <w:rPr>
          <w:rFonts w:hint="eastAsia" w:ascii="宋体" w:hAnsi="宋体"/>
          <w:szCs w:val="21"/>
          <w:highlight w:val="none"/>
        </w:rPr>
      </w:pPr>
    </w:p>
    <w:p w14:paraId="1F6C2335">
      <w:pPr>
        <w:widowControl/>
        <w:spacing w:line="360" w:lineRule="auto"/>
        <w:ind w:firstLine="420" w:firstLineChars="200"/>
        <w:textAlignment w:val="baseline"/>
        <w:outlineLvl w:val="9"/>
        <w:rPr>
          <w:rFonts w:ascii="宋体" w:hAnsi="宋体" w:eastAsia="宋体" w:cs="宋体"/>
          <w:szCs w:val="21"/>
        </w:rPr>
      </w:pPr>
      <w:r>
        <w:rPr>
          <w:rFonts w:hint="eastAsia" w:ascii="宋体" w:hAnsi="宋体" w:eastAsia="宋体" w:cs="宋体"/>
          <w:szCs w:val="21"/>
        </w:rPr>
        <w:t>企业名称：</w:t>
      </w:r>
    </w:p>
    <w:p w14:paraId="53FCA93E">
      <w:pPr>
        <w:widowControl/>
        <w:spacing w:line="360" w:lineRule="auto"/>
        <w:ind w:firstLine="420" w:firstLineChars="200"/>
        <w:textAlignment w:val="baseline"/>
        <w:outlineLvl w:val="9"/>
        <w:rPr>
          <w:rFonts w:ascii="宋体" w:hAnsi="宋体" w:eastAsia="宋体" w:cs="宋体"/>
          <w:szCs w:val="21"/>
        </w:rPr>
      </w:pPr>
      <w:r>
        <w:rPr>
          <w:rFonts w:hint="eastAsia" w:ascii="宋体" w:hAnsi="宋体" w:eastAsia="宋体" w:cs="宋体"/>
          <w:szCs w:val="21"/>
        </w:rPr>
        <w:t>日期：</w:t>
      </w:r>
    </w:p>
    <w:p w14:paraId="3D476870">
      <w:pPr>
        <w:spacing w:line="360" w:lineRule="auto"/>
        <w:ind w:firstLine="420" w:firstLineChars="200"/>
        <w:outlineLvl w:val="9"/>
        <w:rPr>
          <w:rFonts w:hint="eastAsia" w:ascii="宋体" w:hAnsi="宋体"/>
          <w:szCs w:val="21"/>
          <w:highlight w:val="none"/>
        </w:rPr>
      </w:pPr>
    </w:p>
    <w:p w14:paraId="227D8567">
      <w:pPr>
        <w:keepNext/>
        <w:keepLines/>
        <w:pageBreakBefore/>
        <w:adjustRightInd w:val="0"/>
        <w:snapToGrid w:val="0"/>
        <w:spacing w:line="360" w:lineRule="auto"/>
        <w:jc w:val="center"/>
        <w:textAlignment w:val="baseline"/>
        <w:outlineLvl w:val="2"/>
        <w:rPr>
          <w:rFonts w:ascii="宋体" w:hAnsi="宋体" w:eastAsia="宋体" w:cs="宋体"/>
          <w:b/>
          <w:sz w:val="28"/>
          <w:szCs w:val="28"/>
        </w:rPr>
      </w:pPr>
      <w:r>
        <w:rPr>
          <w:rFonts w:hint="eastAsia" w:ascii="宋体" w:hAnsi="宋体" w:eastAsia="宋体" w:cs="宋体"/>
          <w:b/>
          <w:sz w:val="28"/>
          <w:szCs w:val="28"/>
        </w:rPr>
        <w:t>四、股东构成审查表</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14"/>
        <w:gridCol w:w="6315"/>
      </w:tblGrid>
      <w:tr w14:paraId="67003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797339AB">
            <w:pPr>
              <w:autoSpaceDE w:val="0"/>
              <w:autoSpaceDN w:val="0"/>
              <w:adjustRightInd w:val="0"/>
              <w:snapToGrid w:val="0"/>
              <w:spacing w:line="360" w:lineRule="auto"/>
              <w:jc w:val="left"/>
              <w:rPr>
                <w:rFonts w:ascii="宋体" w:hAnsi="宋体"/>
                <w:b/>
                <w:bCs/>
                <w:color w:val="000000"/>
                <w:szCs w:val="21"/>
              </w:rPr>
            </w:pPr>
            <w:r>
              <w:rPr>
                <w:rFonts w:hint="eastAsia" w:ascii="宋体" w:hAnsi="宋体"/>
                <w:b/>
                <w:bCs/>
                <w:color w:val="000000"/>
                <w:szCs w:val="21"/>
              </w:rPr>
              <w:t>投标人名称</w:t>
            </w:r>
          </w:p>
        </w:tc>
        <w:tc>
          <w:tcPr>
            <w:tcW w:w="6315" w:type="dxa"/>
            <w:tcBorders>
              <w:top w:val="single" w:color="000000" w:sz="4" w:space="0"/>
              <w:left w:val="single" w:color="000000" w:sz="4" w:space="0"/>
              <w:bottom w:val="single" w:color="000000" w:sz="4" w:space="0"/>
              <w:right w:val="single" w:color="000000" w:sz="4" w:space="0"/>
            </w:tcBorders>
            <w:vAlign w:val="center"/>
          </w:tcPr>
          <w:p w14:paraId="7245DBA8">
            <w:pPr>
              <w:autoSpaceDE w:val="0"/>
              <w:autoSpaceDN w:val="0"/>
              <w:adjustRightInd w:val="0"/>
              <w:snapToGrid w:val="0"/>
              <w:spacing w:line="360" w:lineRule="auto"/>
              <w:jc w:val="left"/>
              <w:rPr>
                <w:rFonts w:ascii="宋体" w:hAnsi="宋体" w:cs="Segoe UI Symbol"/>
                <w:color w:val="000000"/>
                <w:kern w:val="0"/>
                <w:szCs w:val="21"/>
              </w:rPr>
            </w:pPr>
          </w:p>
        </w:tc>
      </w:tr>
      <w:tr w14:paraId="66C5B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8"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7C88A8E4">
            <w:pPr>
              <w:autoSpaceDE w:val="0"/>
              <w:autoSpaceDN w:val="0"/>
              <w:adjustRightInd w:val="0"/>
              <w:snapToGrid w:val="0"/>
              <w:spacing w:line="360" w:lineRule="auto"/>
              <w:jc w:val="left"/>
              <w:rPr>
                <w:rFonts w:ascii="宋体" w:hAnsi="宋体"/>
                <w:b/>
                <w:bCs/>
                <w:color w:val="000000"/>
                <w:szCs w:val="21"/>
              </w:rPr>
            </w:pPr>
            <w:r>
              <w:rPr>
                <w:rFonts w:hint="eastAsia" w:ascii="宋体" w:hAnsi="宋体"/>
                <w:b/>
                <w:bCs/>
                <w:color w:val="000000"/>
                <w:szCs w:val="21"/>
              </w:rPr>
              <w:t>本单位负责人（法定代表人）姓名</w:t>
            </w:r>
          </w:p>
        </w:tc>
        <w:tc>
          <w:tcPr>
            <w:tcW w:w="6315" w:type="dxa"/>
            <w:tcBorders>
              <w:top w:val="single" w:color="000000" w:sz="4" w:space="0"/>
              <w:left w:val="single" w:color="000000" w:sz="4" w:space="0"/>
              <w:bottom w:val="single" w:color="000000" w:sz="4" w:space="0"/>
              <w:right w:val="single" w:color="000000" w:sz="4" w:space="0"/>
            </w:tcBorders>
            <w:vAlign w:val="center"/>
          </w:tcPr>
          <w:p w14:paraId="539CC588">
            <w:pPr>
              <w:autoSpaceDE w:val="0"/>
              <w:autoSpaceDN w:val="0"/>
              <w:adjustRightInd w:val="0"/>
              <w:snapToGrid w:val="0"/>
              <w:spacing w:line="360" w:lineRule="auto"/>
              <w:jc w:val="left"/>
              <w:rPr>
                <w:rFonts w:ascii="宋体" w:hAnsi="宋体" w:cs="Segoe UI Symbol"/>
                <w:color w:val="000000"/>
                <w:kern w:val="0"/>
                <w:szCs w:val="21"/>
              </w:rPr>
            </w:pPr>
          </w:p>
        </w:tc>
      </w:tr>
      <w:tr w14:paraId="629F5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78BFE1B5">
            <w:pPr>
              <w:autoSpaceDE w:val="0"/>
              <w:autoSpaceDN w:val="0"/>
              <w:adjustRightInd w:val="0"/>
              <w:snapToGrid w:val="0"/>
              <w:spacing w:line="360" w:lineRule="auto"/>
              <w:jc w:val="center"/>
              <w:rPr>
                <w:rFonts w:ascii="宋体" w:hAnsi="宋体"/>
                <w:b/>
                <w:bCs/>
                <w:color w:val="000000"/>
                <w:szCs w:val="21"/>
              </w:rPr>
            </w:pPr>
            <w:r>
              <w:rPr>
                <w:rFonts w:hint="eastAsia" w:ascii="宋体" w:hAnsi="宋体"/>
                <w:b/>
                <w:bCs/>
                <w:color w:val="000000"/>
                <w:szCs w:val="21"/>
              </w:rPr>
              <w:t>控股本企业单位的股东名单</w:t>
            </w:r>
          </w:p>
        </w:tc>
        <w:tc>
          <w:tcPr>
            <w:tcW w:w="6315" w:type="dxa"/>
            <w:tcBorders>
              <w:top w:val="single" w:color="000000" w:sz="4" w:space="0"/>
              <w:left w:val="single" w:color="000000" w:sz="4" w:space="0"/>
              <w:bottom w:val="single" w:color="000000" w:sz="4" w:space="0"/>
              <w:right w:val="single" w:color="000000" w:sz="4" w:space="0"/>
            </w:tcBorders>
            <w:vAlign w:val="center"/>
          </w:tcPr>
          <w:p w14:paraId="475C1B22">
            <w:pPr>
              <w:autoSpaceDE w:val="0"/>
              <w:autoSpaceDN w:val="0"/>
              <w:adjustRightInd w:val="0"/>
              <w:snapToGrid w:val="0"/>
              <w:spacing w:line="360" w:lineRule="auto"/>
              <w:jc w:val="left"/>
              <w:rPr>
                <w:rFonts w:ascii="宋体" w:hAnsi="宋体" w:cs="Segoe UI Symbol"/>
                <w:color w:val="000000"/>
                <w:kern w:val="0"/>
                <w:szCs w:val="21"/>
              </w:rPr>
            </w:pPr>
          </w:p>
        </w:tc>
      </w:tr>
      <w:tr w14:paraId="0B3B3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7F8619C0">
            <w:pPr>
              <w:autoSpaceDE w:val="0"/>
              <w:autoSpaceDN w:val="0"/>
              <w:adjustRightInd w:val="0"/>
              <w:snapToGrid w:val="0"/>
              <w:spacing w:line="360" w:lineRule="auto"/>
              <w:jc w:val="left"/>
              <w:rPr>
                <w:rFonts w:ascii="宋体" w:hAnsi="宋体"/>
                <w:b/>
                <w:bCs/>
                <w:color w:val="000000"/>
                <w:szCs w:val="21"/>
              </w:rPr>
            </w:pPr>
            <w:r>
              <w:rPr>
                <w:rFonts w:hint="eastAsia" w:ascii="宋体" w:hAnsi="宋体"/>
                <w:b/>
                <w:bCs/>
                <w:color w:val="000000"/>
                <w:szCs w:val="21"/>
              </w:rPr>
              <w:t>是否存在“与本企业单位负责人（法定代表人）为同一人的企业单位”</w:t>
            </w:r>
          </w:p>
        </w:tc>
        <w:tc>
          <w:tcPr>
            <w:tcW w:w="6315" w:type="dxa"/>
            <w:tcBorders>
              <w:top w:val="single" w:color="000000" w:sz="4" w:space="0"/>
              <w:left w:val="single" w:color="000000" w:sz="4" w:space="0"/>
              <w:bottom w:val="single" w:color="000000" w:sz="4" w:space="0"/>
              <w:right w:val="single" w:color="000000" w:sz="4" w:space="0"/>
            </w:tcBorders>
            <w:vAlign w:val="center"/>
          </w:tcPr>
          <w:p w14:paraId="5AEF7A61">
            <w:pPr>
              <w:autoSpaceDE w:val="0"/>
              <w:autoSpaceDN w:val="0"/>
              <w:adjustRightInd w:val="0"/>
              <w:snapToGrid w:val="0"/>
              <w:spacing w:line="360" w:lineRule="auto"/>
              <w:jc w:val="left"/>
              <w:rPr>
                <w:rFonts w:ascii="宋体" w:hAnsi="宋体" w:cs="Segoe UI Symbol"/>
                <w:color w:val="000000"/>
                <w:kern w:val="0"/>
                <w:szCs w:val="21"/>
                <w:u w:val="single"/>
              </w:rPr>
            </w:pPr>
            <w:r>
              <w:rPr>
                <w:rFonts w:hint="eastAsia" w:ascii="宋体" w:hAnsi="宋体" w:cs="Segoe UI Symbol"/>
                <w:color w:val="000000"/>
                <w:kern w:val="0"/>
                <w:szCs w:val="21"/>
              </w:rPr>
              <w:t>□是，该单位为：</w:t>
            </w:r>
          </w:p>
          <w:p w14:paraId="1205F100">
            <w:pPr>
              <w:autoSpaceDE w:val="0"/>
              <w:autoSpaceDN w:val="0"/>
              <w:adjustRightInd w:val="0"/>
              <w:snapToGrid w:val="0"/>
              <w:spacing w:line="360" w:lineRule="auto"/>
              <w:jc w:val="left"/>
              <w:rPr>
                <w:rFonts w:ascii="宋体" w:hAnsi="宋体"/>
                <w:b/>
                <w:bCs/>
                <w:color w:val="000000"/>
                <w:szCs w:val="21"/>
              </w:rPr>
            </w:pPr>
            <w:r>
              <w:rPr>
                <w:rFonts w:hint="eastAsia" w:ascii="宋体" w:hAnsi="宋体" w:cs="Segoe UI Symbol"/>
                <w:color w:val="000000"/>
                <w:kern w:val="0"/>
                <w:szCs w:val="21"/>
              </w:rPr>
              <w:t>□否</w:t>
            </w:r>
          </w:p>
        </w:tc>
      </w:tr>
      <w:tr w14:paraId="4B86A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5BC766D3">
            <w:pPr>
              <w:autoSpaceDE w:val="0"/>
              <w:autoSpaceDN w:val="0"/>
              <w:adjustRightInd w:val="0"/>
              <w:snapToGrid w:val="0"/>
              <w:spacing w:line="360" w:lineRule="auto"/>
              <w:jc w:val="left"/>
              <w:rPr>
                <w:rFonts w:ascii="宋体" w:hAnsi="宋体"/>
                <w:b/>
                <w:bCs/>
                <w:color w:val="000000"/>
                <w:szCs w:val="21"/>
              </w:rPr>
            </w:pPr>
            <w:r>
              <w:rPr>
                <w:rFonts w:hint="eastAsia" w:ascii="宋体" w:hAnsi="宋体"/>
                <w:b/>
                <w:bCs/>
                <w:color w:val="000000"/>
                <w:szCs w:val="21"/>
              </w:rPr>
              <w:t>是否存在“与本单位存在管理关系的单位”</w:t>
            </w:r>
          </w:p>
        </w:tc>
        <w:tc>
          <w:tcPr>
            <w:tcW w:w="6315" w:type="dxa"/>
            <w:tcBorders>
              <w:top w:val="single" w:color="000000" w:sz="4" w:space="0"/>
              <w:left w:val="single" w:color="000000" w:sz="4" w:space="0"/>
              <w:bottom w:val="single" w:color="000000" w:sz="4" w:space="0"/>
              <w:right w:val="single" w:color="000000" w:sz="4" w:space="0"/>
            </w:tcBorders>
            <w:vAlign w:val="center"/>
          </w:tcPr>
          <w:p w14:paraId="638B4396">
            <w:pPr>
              <w:autoSpaceDE w:val="0"/>
              <w:autoSpaceDN w:val="0"/>
              <w:adjustRightInd w:val="0"/>
              <w:snapToGrid w:val="0"/>
              <w:spacing w:line="360" w:lineRule="auto"/>
              <w:jc w:val="left"/>
              <w:rPr>
                <w:rFonts w:ascii="宋体" w:hAnsi="宋体" w:cs="Segoe UI Symbol"/>
                <w:color w:val="000000"/>
                <w:kern w:val="0"/>
                <w:szCs w:val="21"/>
                <w:u w:val="single"/>
              </w:rPr>
            </w:pPr>
            <w:r>
              <w:rPr>
                <w:rFonts w:hint="eastAsia" w:ascii="宋体" w:hAnsi="宋体" w:cs="Segoe UI Symbol"/>
                <w:color w:val="000000"/>
                <w:kern w:val="0"/>
                <w:szCs w:val="21"/>
              </w:rPr>
              <w:t>□是，该单位为：</w:t>
            </w:r>
          </w:p>
          <w:p w14:paraId="0D43A67F">
            <w:pPr>
              <w:autoSpaceDE w:val="0"/>
              <w:autoSpaceDN w:val="0"/>
              <w:adjustRightInd w:val="0"/>
              <w:snapToGrid w:val="0"/>
              <w:spacing w:line="360" w:lineRule="auto"/>
              <w:jc w:val="left"/>
              <w:rPr>
                <w:rFonts w:ascii="宋体" w:hAnsi="宋体"/>
                <w:b/>
                <w:bCs/>
                <w:color w:val="000000"/>
                <w:szCs w:val="21"/>
              </w:rPr>
            </w:pPr>
            <w:r>
              <w:rPr>
                <w:rFonts w:hint="eastAsia" w:ascii="宋体" w:hAnsi="宋体" w:cs="Segoe UI Symbol"/>
                <w:color w:val="000000"/>
                <w:kern w:val="0"/>
                <w:szCs w:val="21"/>
              </w:rPr>
              <w:t>□否</w:t>
            </w:r>
          </w:p>
        </w:tc>
      </w:tr>
      <w:tr w14:paraId="64019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17ACD342">
            <w:pPr>
              <w:autoSpaceDE w:val="0"/>
              <w:autoSpaceDN w:val="0"/>
              <w:adjustRightInd w:val="0"/>
              <w:snapToGrid w:val="0"/>
              <w:spacing w:line="360" w:lineRule="auto"/>
              <w:jc w:val="left"/>
              <w:rPr>
                <w:rFonts w:ascii="宋体" w:hAnsi="宋体"/>
                <w:b/>
                <w:bCs/>
                <w:color w:val="000000"/>
                <w:szCs w:val="21"/>
              </w:rPr>
            </w:pPr>
            <w:r>
              <w:rPr>
                <w:rFonts w:hint="eastAsia" w:ascii="宋体" w:hAnsi="宋体"/>
                <w:b/>
                <w:bCs/>
                <w:color w:val="000000"/>
                <w:szCs w:val="21"/>
              </w:rPr>
              <w:t>本企业单位是否有控股的子公司</w:t>
            </w:r>
          </w:p>
        </w:tc>
        <w:tc>
          <w:tcPr>
            <w:tcW w:w="6315" w:type="dxa"/>
            <w:tcBorders>
              <w:top w:val="single" w:color="000000" w:sz="4" w:space="0"/>
              <w:left w:val="single" w:color="000000" w:sz="4" w:space="0"/>
              <w:bottom w:val="single" w:color="000000" w:sz="4" w:space="0"/>
              <w:right w:val="single" w:color="000000" w:sz="4" w:space="0"/>
            </w:tcBorders>
            <w:vAlign w:val="center"/>
          </w:tcPr>
          <w:p w14:paraId="6D769E2B">
            <w:pPr>
              <w:autoSpaceDE w:val="0"/>
              <w:autoSpaceDN w:val="0"/>
              <w:adjustRightInd w:val="0"/>
              <w:snapToGrid w:val="0"/>
              <w:spacing w:line="360" w:lineRule="auto"/>
              <w:jc w:val="left"/>
              <w:rPr>
                <w:rFonts w:ascii="宋体" w:hAnsi="宋体" w:cs="Segoe UI Symbol"/>
                <w:color w:val="000000"/>
                <w:kern w:val="0"/>
                <w:szCs w:val="21"/>
                <w:u w:val="single"/>
              </w:rPr>
            </w:pPr>
            <w:r>
              <w:rPr>
                <w:rFonts w:hint="eastAsia" w:ascii="宋体" w:hAnsi="宋体" w:cs="Segoe UI Symbol"/>
                <w:color w:val="000000"/>
                <w:kern w:val="0"/>
                <w:szCs w:val="21"/>
              </w:rPr>
              <w:t>□是，该单位为：</w:t>
            </w:r>
          </w:p>
          <w:p w14:paraId="4B77402A">
            <w:pPr>
              <w:autoSpaceDE w:val="0"/>
              <w:autoSpaceDN w:val="0"/>
              <w:adjustRightInd w:val="0"/>
              <w:snapToGrid w:val="0"/>
              <w:spacing w:line="360" w:lineRule="auto"/>
              <w:jc w:val="left"/>
              <w:rPr>
                <w:rFonts w:ascii="宋体" w:hAnsi="宋体" w:cs="Segoe UI Symbol"/>
                <w:color w:val="000000"/>
                <w:kern w:val="0"/>
                <w:szCs w:val="21"/>
              </w:rPr>
            </w:pPr>
            <w:r>
              <w:rPr>
                <w:rFonts w:hint="eastAsia" w:ascii="宋体" w:hAnsi="宋体" w:cs="Segoe UI Symbol"/>
                <w:color w:val="000000"/>
                <w:kern w:val="0"/>
                <w:szCs w:val="21"/>
              </w:rPr>
              <w:t>□否</w:t>
            </w:r>
          </w:p>
          <w:p w14:paraId="35C4FF5F">
            <w:pPr>
              <w:autoSpaceDE w:val="0"/>
              <w:autoSpaceDN w:val="0"/>
              <w:adjustRightInd w:val="0"/>
              <w:snapToGrid w:val="0"/>
              <w:spacing w:line="360" w:lineRule="auto"/>
              <w:jc w:val="left"/>
              <w:rPr>
                <w:rFonts w:ascii="宋体" w:hAnsi="宋体" w:cs="Segoe UI Symbol"/>
                <w:color w:val="000000"/>
                <w:kern w:val="0"/>
                <w:szCs w:val="21"/>
              </w:rPr>
            </w:pPr>
          </w:p>
        </w:tc>
      </w:tr>
      <w:tr w14:paraId="5C675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3"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755719FF">
            <w:pPr>
              <w:autoSpaceDE w:val="0"/>
              <w:autoSpaceDN w:val="0"/>
              <w:adjustRightInd w:val="0"/>
              <w:snapToGrid w:val="0"/>
              <w:spacing w:line="360" w:lineRule="auto"/>
              <w:jc w:val="left"/>
              <w:rPr>
                <w:rFonts w:ascii="宋体" w:hAnsi="宋体"/>
                <w:b/>
                <w:bCs/>
                <w:color w:val="000000"/>
                <w:szCs w:val="21"/>
              </w:rPr>
            </w:pPr>
            <w:r>
              <w:rPr>
                <w:rFonts w:hint="eastAsia" w:ascii="宋体" w:hAnsi="宋体"/>
                <w:b/>
                <w:bCs/>
                <w:color w:val="000000"/>
                <w:szCs w:val="21"/>
              </w:rPr>
              <w:t>是否存在“与招标人有利害关系”的情况</w:t>
            </w:r>
          </w:p>
        </w:tc>
        <w:tc>
          <w:tcPr>
            <w:tcW w:w="6315" w:type="dxa"/>
            <w:tcBorders>
              <w:top w:val="single" w:color="000000" w:sz="4" w:space="0"/>
              <w:left w:val="single" w:color="000000" w:sz="4" w:space="0"/>
              <w:bottom w:val="single" w:color="000000" w:sz="4" w:space="0"/>
              <w:right w:val="single" w:color="000000" w:sz="4" w:space="0"/>
            </w:tcBorders>
            <w:vAlign w:val="center"/>
          </w:tcPr>
          <w:p w14:paraId="45114766">
            <w:pPr>
              <w:autoSpaceDE w:val="0"/>
              <w:autoSpaceDN w:val="0"/>
              <w:adjustRightInd w:val="0"/>
              <w:snapToGrid w:val="0"/>
              <w:spacing w:line="360" w:lineRule="auto"/>
              <w:jc w:val="left"/>
              <w:rPr>
                <w:rFonts w:ascii="宋体" w:hAnsi="宋体" w:cs="Segoe UI Symbol"/>
                <w:color w:val="000000"/>
                <w:kern w:val="0"/>
                <w:szCs w:val="21"/>
                <w:u w:val="single"/>
              </w:rPr>
            </w:pPr>
            <w:r>
              <w:rPr>
                <w:rFonts w:hint="eastAsia" w:ascii="宋体" w:hAnsi="宋体" w:cs="Segoe UI Symbol"/>
                <w:color w:val="000000"/>
                <w:kern w:val="0"/>
                <w:szCs w:val="21"/>
              </w:rPr>
              <w:t>□是，与招标人的关系为：</w:t>
            </w:r>
          </w:p>
          <w:p w14:paraId="5AFBC667">
            <w:pPr>
              <w:autoSpaceDE w:val="0"/>
              <w:autoSpaceDN w:val="0"/>
              <w:adjustRightInd w:val="0"/>
              <w:snapToGrid w:val="0"/>
              <w:spacing w:line="360" w:lineRule="auto"/>
              <w:jc w:val="left"/>
              <w:rPr>
                <w:rFonts w:ascii="宋体" w:hAnsi="宋体" w:cs="Segoe UI Symbol"/>
                <w:color w:val="000000"/>
                <w:kern w:val="0"/>
                <w:szCs w:val="21"/>
              </w:rPr>
            </w:pPr>
            <w:r>
              <w:rPr>
                <w:rFonts w:hint="eastAsia" w:ascii="宋体" w:hAnsi="宋体" w:cs="Segoe UI Symbol"/>
                <w:color w:val="000000"/>
                <w:kern w:val="0"/>
                <w:szCs w:val="21"/>
              </w:rPr>
              <w:t>□否</w:t>
            </w:r>
          </w:p>
        </w:tc>
      </w:tr>
    </w:tbl>
    <w:p w14:paraId="30BA04D5">
      <w:pPr>
        <w:autoSpaceDE w:val="0"/>
        <w:autoSpaceDN w:val="0"/>
        <w:adjustRightInd w:val="0"/>
        <w:snapToGrid w:val="0"/>
        <w:spacing w:line="360" w:lineRule="auto"/>
        <w:jc w:val="left"/>
        <w:rPr>
          <w:rFonts w:ascii="宋体" w:hAnsi="宋体" w:eastAsia="宋体" w:cs="宋体"/>
          <w:b/>
          <w:bCs/>
          <w:color w:val="000000"/>
          <w:szCs w:val="21"/>
        </w:rPr>
      </w:pPr>
      <w:r>
        <w:rPr>
          <w:rFonts w:hint="eastAsia" w:ascii="宋体" w:hAnsi="宋体" w:eastAsia="宋体" w:cs="宋体"/>
          <w:b/>
          <w:bCs/>
          <w:color w:val="000000"/>
          <w:szCs w:val="21"/>
        </w:rPr>
        <w:t>注：</w:t>
      </w:r>
    </w:p>
    <w:p w14:paraId="714A2E4A">
      <w:pPr>
        <w:autoSpaceDE w:val="0"/>
        <w:autoSpaceDN w:val="0"/>
        <w:adjustRightInd w:val="0"/>
        <w:snapToGrid w:val="0"/>
        <w:spacing w:line="360" w:lineRule="auto"/>
        <w:jc w:val="left"/>
        <w:rPr>
          <w:rFonts w:ascii="宋体" w:hAnsi="宋体" w:eastAsia="宋体" w:cs="宋体"/>
          <w:bCs/>
          <w:color w:val="000000"/>
          <w:szCs w:val="21"/>
        </w:rPr>
      </w:pPr>
      <w:r>
        <w:rPr>
          <w:rFonts w:hint="eastAsia" w:ascii="宋体" w:hAnsi="宋体" w:eastAsia="宋体" w:cs="宋体"/>
          <w:bCs/>
          <w:color w:val="000000"/>
          <w:szCs w:val="21"/>
        </w:rPr>
        <w:t>1、请各投标供应商根据自身实际情况填写，若投标供应商因自身的企业单位性质无法填写的，请附上说明，无需填写《股东构成审查表》；</w:t>
      </w:r>
    </w:p>
    <w:p w14:paraId="7EBECF5F">
      <w:pPr>
        <w:autoSpaceDE w:val="0"/>
        <w:autoSpaceDN w:val="0"/>
        <w:adjustRightInd w:val="0"/>
        <w:snapToGrid w:val="0"/>
        <w:spacing w:line="360" w:lineRule="auto"/>
        <w:jc w:val="left"/>
        <w:rPr>
          <w:rFonts w:ascii="宋体" w:hAnsi="宋体" w:eastAsia="宋体" w:cs="宋体"/>
          <w:bCs/>
          <w:color w:val="000000"/>
          <w:szCs w:val="21"/>
        </w:rPr>
      </w:pPr>
      <w:r>
        <w:rPr>
          <w:rFonts w:hint="eastAsia" w:ascii="宋体" w:hAnsi="宋体" w:eastAsia="宋体" w:cs="宋体"/>
          <w:bCs/>
          <w:color w:val="000000"/>
          <w:szCs w:val="21"/>
        </w:rPr>
        <w:t>2、控股本企业单位的股东名单填写股权占比最多的前5名人员或单位即可；</w:t>
      </w:r>
    </w:p>
    <w:p w14:paraId="68DE5087">
      <w:pPr>
        <w:autoSpaceDE w:val="0"/>
        <w:autoSpaceDN w:val="0"/>
        <w:adjustRightInd w:val="0"/>
        <w:snapToGrid w:val="0"/>
        <w:spacing w:line="360" w:lineRule="auto"/>
        <w:jc w:val="left"/>
        <w:rPr>
          <w:rFonts w:ascii="宋体" w:hAnsi="宋体" w:eastAsia="宋体" w:cs="宋体"/>
          <w:bCs/>
          <w:color w:val="000000"/>
          <w:szCs w:val="21"/>
        </w:rPr>
      </w:pPr>
      <w:r>
        <w:rPr>
          <w:rFonts w:hint="eastAsia" w:ascii="宋体" w:hAnsi="宋体" w:eastAsia="宋体" w:cs="宋体"/>
          <w:bCs/>
          <w:color w:val="000000"/>
          <w:szCs w:val="21"/>
        </w:rPr>
        <w:t>3、管理关系是指：投标供应商与特定企业之间因通过间接控股、投资关系、协议或者其他安排，存在实际管理关系；</w:t>
      </w:r>
    </w:p>
    <w:p w14:paraId="6A60AD32">
      <w:pPr>
        <w:autoSpaceDE w:val="0"/>
        <w:autoSpaceDN w:val="0"/>
        <w:adjustRightInd w:val="0"/>
        <w:snapToGrid w:val="0"/>
        <w:spacing w:line="360" w:lineRule="auto"/>
        <w:jc w:val="left"/>
        <w:rPr>
          <w:rFonts w:ascii="宋体" w:hAnsi="宋体" w:eastAsia="宋体" w:cs="宋体"/>
          <w:bCs/>
          <w:color w:val="000000"/>
          <w:szCs w:val="21"/>
        </w:rPr>
      </w:pPr>
      <w:r>
        <w:rPr>
          <w:rFonts w:hint="eastAsia" w:ascii="宋体" w:hAnsi="宋体" w:eastAsia="宋体" w:cs="宋体"/>
          <w:bCs/>
          <w:color w:val="000000"/>
          <w:szCs w:val="21"/>
        </w:rPr>
        <w:t>4、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14:paraId="298A85E1">
      <w:pPr>
        <w:autoSpaceDE w:val="0"/>
        <w:autoSpaceDN w:val="0"/>
        <w:adjustRightInd w:val="0"/>
        <w:snapToGrid w:val="0"/>
        <w:spacing w:line="360" w:lineRule="auto"/>
        <w:jc w:val="left"/>
        <w:rPr>
          <w:rFonts w:ascii="宋体" w:hAnsi="宋体" w:eastAsia="宋体" w:cs="宋体"/>
          <w:bCs/>
          <w:color w:val="000000"/>
          <w:szCs w:val="21"/>
        </w:rPr>
      </w:pPr>
      <w:r>
        <w:rPr>
          <w:rFonts w:hint="eastAsia" w:ascii="宋体" w:hAnsi="宋体" w:eastAsia="宋体" w:cs="宋体"/>
          <w:bCs/>
          <w:color w:val="000000"/>
          <w:szCs w:val="21"/>
        </w:rPr>
        <w:t>5、投标人需如实填写上述信息，如查实上述信息与实际不符，视为提供虚假证明材料骗取中标，投标人应承担相应法律后果。</w:t>
      </w:r>
    </w:p>
    <w:p w14:paraId="09A9C417">
      <w:pPr>
        <w:pStyle w:val="9"/>
        <w:rPr>
          <w:rFonts w:ascii="宋体" w:hAnsi="宋体" w:eastAsia="宋体" w:cs="宋体"/>
          <w:sz w:val="28"/>
          <w:szCs w:val="28"/>
        </w:rPr>
      </w:pPr>
    </w:p>
    <w:p w14:paraId="0DB5609A">
      <w:pPr>
        <w:spacing w:afterLines="25" w:line="300" w:lineRule="auto"/>
        <w:ind w:right="420"/>
        <w:jc w:val="center"/>
        <w:rPr>
          <w:rFonts w:ascii="宋体" w:hAnsi="宋体" w:eastAsia="宋体" w:cs="宋体"/>
          <w:b/>
          <w:bCs/>
          <w:sz w:val="28"/>
          <w:szCs w:val="28"/>
        </w:rPr>
      </w:pPr>
      <w:r>
        <w:rPr>
          <w:rFonts w:hint="eastAsia" w:ascii="宋体" w:hAnsi="宋体" w:eastAsia="宋体" w:cs="宋体"/>
          <w:b/>
          <w:bCs/>
          <w:sz w:val="28"/>
          <w:szCs w:val="28"/>
        </w:rPr>
        <w:t>五、同类项目业绩情况</w:t>
      </w:r>
    </w:p>
    <w:p w14:paraId="661BC82B">
      <w:pPr>
        <w:widowControl/>
        <w:jc w:val="center"/>
        <w:rPr>
          <w:rFonts w:ascii="宋体" w:hAnsi="宋体" w:eastAsia="宋体" w:cs="宋体"/>
          <w:b/>
          <w:bCs/>
          <w:sz w:val="28"/>
          <w:szCs w:val="28"/>
        </w:rPr>
      </w:pPr>
    </w:p>
    <w:p w14:paraId="62949A30">
      <w:pPr>
        <w:jc w:val="center"/>
        <w:rPr>
          <w:rFonts w:ascii="宋体" w:hAnsi="宋体" w:eastAsia="宋体" w:cs="宋体"/>
          <w:b/>
          <w:bCs/>
          <w:sz w:val="28"/>
          <w:szCs w:val="28"/>
        </w:rPr>
      </w:pPr>
      <w:r>
        <w:rPr>
          <w:rFonts w:hint="eastAsia" w:ascii="宋体" w:hAnsi="宋体" w:eastAsia="宋体" w:cs="宋体"/>
          <w:b/>
          <w:bCs/>
          <w:sz w:val="28"/>
          <w:szCs w:val="28"/>
        </w:rPr>
        <w:t>六、履约评价</w:t>
      </w:r>
    </w:p>
    <w:p w14:paraId="557D7127">
      <w:pPr>
        <w:widowControl/>
        <w:jc w:val="center"/>
        <w:rPr>
          <w:rFonts w:ascii="Arial" w:hAnsi="Arial" w:eastAsia="宋体" w:cs="Times New Roman"/>
          <w:b/>
          <w:sz w:val="24"/>
          <w:szCs w:val="24"/>
        </w:rPr>
      </w:pPr>
    </w:p>
    <w:p w14:paraId="7EF5854B">
      <w:pPr>
        <w:widowControl/>
        <w:jc w:val="center"/>
        <w:rPr>
          <w:rFonts w:ascii="Arial" w:hAnsi="Arial" w:eastAsia="宋体" w:cs="Times New Roman"/>
          <w:b/>
          <w:sz w:val="24"/>
          <w:szCs w:val="24"/>
        </w:rPr>
      </w:pPr>
    </w:p>
    <w:p w14:paraId="604B2F65">
      <w:pPr>
        <w:widowControl/>
        <w:jc w:val="center"/>
        <w:rPr>
          <w:rFonts w:ascii="Arial" w:hAnsi="Arial" w:eastAsia="宋体" w:cs="Times New Roman"/>
          <w:b/>
          <w:sz w:val="24"/>
          <w:szCs w:val="24"/>
        </w:rPr>
      </w:pPr>
      <w:r>
        <w:rPr>
          <w:rFonts w:hint="eastAsia" w:ascii="Arial" w:hAnsi="Arial" w:eastAsia="宋体" w:cs="Times New Roman"/>
          <w:b/>
          <w:sz w:val="24"/>
          <w:szCs w:val="24"/>
        </w:rPr>
        <w:t>（本章未提供的招标要求的其他文件格式由供应商自拟）</w:t>
      </w:r>
    </w:p>
    <w:p w14:paraId="2E84DD84">
      <w:pPr>
        <w:spacing w:afterLines="25" w:line="300" w:lineRule="auto"/>
        <w:jc w:val="center"/>
        <w:rPr>
          <w:rFonts w:ascii="Arial" w:hAnsi="Arial" w:eastAsia="宋体" w:cs="Times New Roman"/>
          <w:b/>
          <w:sz w:val="24"/>
          <w:szCs w:val="24"/>
        </w:rPr>
      </w:pPr>
    </w:p>
    <w:p w14:paraId="4BC7458F">
      <w:pPr>
        <w:pStyle w:val="9"/>
        <w:rPr>
          <w:rFonts w:ascii="Arial" w:hAnsi="Arial" w:eastAsia="宋体" w:cs="Times New Roman"/>
          <w:szCs w:val="24"/>
        </w:rPr>
      </w:pPr>
    </w:p>
    <w:p w14:paraId="0C9448E6">
      <w:pPr>
        <w:pStyle w:val="9"/>
        <w:rPr>
          <w:rFonts w:ascii="Arial" w:hAnsi="Arial" w:eastAsia="宋体" w:cs="Times New Roman"/>
          <w:szCs w:val="24"/>
        </w:rPr>
      </w:pPr>
    </w:p>
    <w:p w14:paraId="7736A3A9">
      <w:pPr>
        <w:pStyle w:val="9"/>
        <w:rPr>
          <w:rFonts w:ascii="Arial" w:hAnsi="Arial" w:eastAsia="宋体" w:cs="Times New Roman"/>
          <w:szCs w:val="24"/>
        </w:rPr>
      </w:pPr>
    </w:p>
    <w:p w14:paraId="0224081A">
      <w:pPr>
        <w:pStyle w:val="9"/>
        <w:rPr>
          <w:rFonts w:ascii="Arial" w:hAnsi="Arial" w:eastAsia="宋体" w:cs="Times New Roman"/>
          <w:szCs w:val="24"/>
        </w:rPr>
      </w:pPr>
    </w:p>
    <w:p w14:paraId="6B1948E4">
      <w:pPr>
        <w:pStyle w:val="9"/>
        <w:rPr>
          <w:rFonts w:ascii="Arial" w:hAnsi="Arial" w:eastAsia="宋体" w:cs="Times New Roman"/>
          <w:szCs w:val="24"/>
        </w:rPr>
      </w:pPr>
    </w:p>
    <w:p w14:paraId="696E26D5">
      <w:pPr>
        <w:pStyle w:val="9"/>
        <w:rPr>
          <w:rFonts w:ascii="Arial" w:hAnsi="Arial" w:eastAsia="宋体" w:cs="Times New Roman"/>
          <w:szCs w:val="24"/>
        </w:rPr>
      </w:pPr>
    </w:p>
    <w:p w14:paraId="31C3960F">
      <w:pPr>
        <w:pStyle w:val="9"/>
        <w:rPr>
          <w:rFonts w:ascii="Arial" w:hAnsi="Arial" w:eastAsia="宋体" w:cs="Times New Roman"/>
          <w:szCs w:val="24"/>
        </w:rPr>
      </w:pPr>
    </w:p>
    <w:p w14:paraId="38E2BECC">
      <w:pPr>
        <w:pStyle w:val="9"/>
        <w:rPr>
          <w:rFonts w:ascii="Arial" w:hAnsi="Arial" w:eastAsia="宋体" w:cs="Times New Roman"/>
          <w:szCs w:val="24"/>
        </w:rPr>
      </w:pPr>
    </w:p>
    <w:p w14:paraId="460CB450">
      <w:pPr>
        <w:pStyle w:val="9"/>
        <w:rPr>
          <w:rFonts w:ascii="Arial" w:hAnsi="Arial" w:eastAsia="宋体" w:cs="Times New Roman"/>
          <w:szCs w:val="24"/>
        </w:rPr>
      </w:pPr>
    </w:p>
    <w:p w14:paraId="73467F89">
      <w:pPr>
        <w:pStyle w:val="9"/>
        <w:rPr>
          <w:rFonts w:ascii="Arial" w:hAnsi="Arial" w:eastAsia="宋体" w:cs="Times New Roman"/>
          <w:szCs w:val="24"/>
        </w:rPr>
      </w:pPr>
    </w:p>
    <w:p w14:paraId="32C8F196">
      <w:pPr>
        <w:pStyle w:val="9"/>
        <w:rPr>
          <w:rFonts w:ascii="Arial" w:hAnsi="Arial" w:eastAsia="宋体" w:cs="Times New Roman"/>
          <w:szCs w:val="24"/>
        </w:rPr>
      </w:pPr>
    </w:p>
    <w:p w14:paraId="25D328DF">
      <w:pPr>
        <w:pStyle w:val="9"/>
        <w:rPr>
          <w:rFonts w:ascii="Arial" w:hAnsi="Arial" w:eastAsia="宋体" w:cs="Times New Roman"/>
          <w:szCs w:val="24"/>
        </w:rPr>
      </w:pPr>
    </w:p>
    <w:p w14:paraId="0A6CC038">
      <w:pPr>
        <w:pStyle w:val="9"/>
        <w:rPr>
          <w:rFonts w:ascii="Arial" w:hAnsi="Arial" w:eastAsia="宋体" w:cs="Times New Roman"/>
          <w:szCs w:val="24"/>
        </w:rPr>
      </w:pPr>
    </w:p>
    <w:p w14:paraId="12E07753">
      <w:pPr>
        <w:pStyle w:val="9"/>
        <w:rPr>
          <w:rFonts w:ascii="Arial" w:hAnsi="Arial" w:eastAsia="宋体" w:cs="Times New Roman"/>
          <w:szCs w:val="24"/>
        </w:rPr>
      </w:pPr>
    </w:p>
    <w:p w14:paraId="2F8EF347">
      <w:pPr>
        <w:pStyle w:val="9"/>
        <w:rPr>
          <w:rFonts w:ascii="Arial" w:hAnsi="Arial" w:eastAsia="宋体" w:cs="Times New Roman"/>
          <w:szCs w:val="24"/>
        </w:rPr>
      </w:pPr>
    </w:p>
    <w:p w14:paraId="650D935B">
      <w:pPr>
        <w:pStyle w:val="9"/>
        <w:rPr>
          <w:rFonts w:ascii="Arial" w:hAnsi="Arial" w:eastAsia="宋体" w:cs="Times New Roman"/>
          <w:szCs w:val="24"/>
        </w:rPr>
      </w:pPr>
    </w:p>
    <w:p w14:paraId="61EF5060">
      <w:pPr>
        <w:pStyle w:val="9"/>
        <w:rPr>
          <w:rFonts w:ascii="Arial" w:hAnsi="Arial" w:eastAsia="宋体" w:cs="Times New Roman"/>
          <w:szCs w:val="24"/>
        </w:rPr>
      </w:pPr>
    </w:p>
    <w:p w14:paraId="29580D76">
      <w:pPr>
        <w:pStyle w:val="9"/>
        <w:rPr>
          <w:rFonts w:ascii="Arial" w:hAnsi="Arial" w:eastAsia="宋体" w:cs="Times New Roman"/>
          <w:szCs w:val="24"/>
        </w:rPr>
      </w:pPr>
    </w:p>
    <w:p w14:paraId="6400E4F7"/>
    <w:p w14:paraId="33D2909A">
      <w:pPr>
        <w:pStyle w:val="4"/>
        <w:jc w:val="center"/>
        <w:rPr>
          <w:rFonts w:cs="宋体"/>
          <w:b/>
          <w:bCs w:val="0"/>
          <w:szCs w:val="28"/>
        </w:rPr>
      </w:pPr>
      <w:r>
        <w:rPr>
          <w:rFonts w:hint="eastAsia" w:cs="宋体"/>
          <w:b/>
          <w:bCs w:val="0"/>
          <w:szCs w:val="28"/>
        </w:rPr>
        <w:t>五、</w:t>
      </w:r>
      <w:bookmarkStart w:id="24" w:name="_Hlk72092499"/>
      <w:r>
        <w:rPr>
          <w:rFonts w:hint="eastAsia" w:cs="宋体"/>
          <w:b/>
          <w:bCs w:val="0"/>
          <w:szCs w:val="28"/>
        </w:rPr>
        <w:t>法定代表人（负责人）证明书</w:t>
      </w:r>
      <w:bookmarkEnd w:id="24"/>
    </w:p>
    <w:p w14:paraId="5C8FF114">
      <w:pPr>
        <w:rPr>
          <w:sz w:val="24"/>
        </w:rPr>
      </w:pPr>
    </w:p>
    <w:p w14:paraId="37B0FD9E">
      <w:pPr>
        <w:spacing w:line="360" w:lineRule="auto"/>
        <w:ind w:firstLine="420" w:firstLineChars="200"/>
        <w:rPr>
          <w:rFonts w:ascii="宋体" w:hAnsi="宋体" w:eastAsia="宋体" w:cs="宋体"/>
          <w:szCs w:val="21"/>
        </w:rPr>
      </w:pPr>
      <w:r>
        <w:rPr>
          <w:rFonts w:hint="eastAsia" w:ascii="宋体" w:hAnsi="宋体" w:eastAsia="宋体" w:cs="宋体"/>
          <w:szCs w:val="21"/>
          <w:u w:val="single"/>
        </w:rPr>
        <w:t>（姓名）</w:t>
      </w:r>
      <w:r>
        <w:rPr>
          <w:rFonts w:hint="eastAsia" w:ascii="宋体" w:hAnsi="宋体" w:eastAsia="宋体" w:cs="宋体"/>
          <w:szCs w:val="21"/>
        </w:rPr>
        <w:t>，现任我单位</w:t>
      </w:r>
      <w:r>
        <w:rPr>
          <w:rFonts w:hint="eastAsia" w:ascii="宋体" w:hAnsi="宋体" w:eastAsia="宋体" w:cs="宋体"/>
          <w:szCs w:val="21"/>
          <w:u w:val="single"/>
          <w:lang w:val="en-US" w:eastAsia="zh-CN"/>
        </w:rPr>
        <w:t xml:space="preserve">       </w:t>
      </w:r>
      <w:r>
        <w:rPr>
          <w:rFonts w:hint="eastAsia" w:ascii="宋体" w:hAnsi="宋体" w:eastAsia="宋体" w:cs="宋体"/>
          <w:szCs w:val="21"/>
        </w:rPr>
        <w:t>职务，为法定代表人（负责人），身份证件号为：</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25817139">
      <w:pPr>
        <w:spacing w:line="360" w:lineRule="auto"/>
        <w:ind w:firstLine="420" w:firstLineChars="200"/>
        <w:rPr>
          <w:rFonts w:ascii="宋体" w:hAnsi="宋体" w:eastAsia="宋体" w:cs="宋体"/>
          <w:szCs w:val="21"/>
        </w:rPr>
      </w:pPr>
      <w:r>
        <w:rPr>
          <w:rFonts w:hint="eastAsia" w:ascii="宋体" w:hAnsi="宋体" w:eastAsia="宋体" w:cs="宋体"/>
          <w:szCs w:val="21"/>
        </w:rPr>
        <w:t>特此证明。</w:t>
      </w:r>
    </w:p>
    <w:p w14:paraId="6BBC4130">
      <w:pPr>
        <w:spacing w:line="360" w:lineRule="auto"/>
        <w:ind w:firstLine="420" w:firstLineChars="200"/>
        <w:rPr>
          <w:rFonts w:ascii="宋体" w:hAnsi="宋体" w:eastAsia="宋体" w:cs="宋体"/>
          <w:szCs w:val="21"/>
        </w:rPr>
      </w:pPr>
      <w:r>
        <w:rPr>
          <w:rFonts w:hint="eastAsia" w:ascii="宋体" w:hAnsi="宋体" w:eastAsia="宋体" w:cs="宋体"/>
          <w:szCs w:val="21"/>
        </w:rPr>
        <w:t>说明：1、法定代表人为投标人（企业事业单位、国家机关、社会团体）的主要行政负责人。</w:t>
      </w:r>
    </w:p>
    <w:p w14:paraId="19BF5FBE">
      <w:pPr>
        <w:numPr>
          <w:ilvl w:val="0"/>
          <w:numId w:val="2"/>
        </w:numPr>
        <w:spacing w:line="360" w:lineRule="auto"/>
        <w:ind w:firstLine="420" w:firstLineChars="200"/>
        <w:rPr>
          <w:rFonts w:ascii="宋体" w:hAnsi="宋体" w:eastAsia="宋体" w:cs="宋体"/>
          <w:szCs w:val="21"/>
        </w:rPr>
      </w:pPr>
      <w:r>
        <w:rPr>
          <w:rFonts w:hint="eastAsia" w:ascii="宋体" w:hAnsi="宋体" w:eastAsia="宋体" w:cs="宋体"/>
          <w:szCs w:val="21"/>
        </w:rPr>
        <w:t>本证明书要供法定代表人（负责人）相关身份证明文件：身份证扫描件（正反两面）；港澳台居民可提供来往通行证扫描件；非中国国籍管辖范围人员，可提供公安部门认可的身份证明材料扫描件。</w:t>
      </w:r>
    </w:p>
    <w:p w14:paraId="400BBD12">
      <w:pPr>
        <w:numPr>
          <w:ilvl w:val="0"/>
          <w:numId w:val="2"/>
        </w:numPr>
        <w:spacing w:line="360" w:lineRule="auto"/>
        <w:ind w:firstLine="420" w:firstLineChars="200"/>
        <w:rPr>
          <w:rFonts w:ascii="宋体" w:hAnsi="宋体" w:eastAsia="宋体" w:cs="宋体"/>
          <w:szCs w:val="21"/>
        </w:rPr>
      </w:pPr>
      <w:r>
        <w:rPr>
          <w:rFonts w:hint="eastAsia" w:ascii="宋体" w:hAnsi="宋体" w:eastAsia="宋体" w:cs="宋体"/>
          <w:szCs w:val="21"/>
        </w:rPr>
        <w:t>本项目投标授权代表为法定代表人（负责人）的，无需提供《投标文件签署授权委托书》。</w:t>
      </w:r>
    </w:p>
    <w:p w14:paraId="315BCAB9">
      <w:pPr>
        <w:numPr>
          <w:ilvl w:val="0"/>
          <w:numId w:val="2"/>
        </w:numPr>
        <w:spacing w:line="360" w:lineRule="auto"/>
        <w:ind w:firstLine="420" w:firstLineChars="200"/>
        <w:rPr>
          <w:rFonts w:ascii="宋体" w:hAnsi="宋体" w:eastAsia="宋体" w:cs="宋体"/>
          <w:szCs w:val="21"/>
        </w:rPr>
      </w:pPr>
      <w:r>
        <w:rPr>
          <w:rFonts w:hint="eastAsia" w:ascii="宋体" w:hAnsi="宋体" w:eastAsia="宋体" w:cs="宋体"/>
          <w:szCs w:val="21"/>
        </w:rPr>
        <w:t>内容必须填写真实、清楚，涂改无效，不得转让、买卖。</w:t>
      </w:r>
    </w:p>
    <w:p w14:paraId="40EC3138">
      <w:pPr>
        <w:pStyle w:val="9"/>
      </w:pPr>
    </w:p>
    <w:tbl>
      <w:tblPr>
        <w:tblStyle w:val="18"/>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9"/>
        <w:gridCol w:w="4360"/>
      </w:tblGrid>
      <w:tr w14:paraId="243C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8" w:hRule="atLeast"/>
        </w:trPr>
        <w:tc>
          <w:tcPr>
            <w:tcW w:w="4359" w:type="dxa"/>
          </w:tcPr>
          <w:p w14:paraId="5C27E4D8">
            <w:pPr>
              <w:jc w:val="center"/>
            </w:pPr>
            <w:r>
              <w:rPr>
                <w:rFonts w:hint="eastAsia"/>
              </w:rPr>
              <w:t>证件扫描件正面</w:t>
            </w:r>
          </w:p>
          <w:p w14:paraId="29C31FD4">
            <w:pPr>
              <w:pStyle w:val="9"/>
              <w:jc w:val="center"/>
            </w:pPr>
          </w:p>
          <w:p w14:paraId="6914F23B">
            <w:pPr>
              <w:pStyle w:val="14"/>
              <w:jc w:val="center"/>
            </w:pPr>
          </w:p>
        </w:tc>
        <w:tc>
          <w:tcPr>
            <w:tcW w:w="4360" w:type="dxa"/>
          </w:tcPr>
          <w:p w14:paraId="31B57BC5">
            <w:pPr>
              <w:jc w:val="center"/>
            </w:pPr>
            <w:r>
              <w:rPr>
                <w:rFonts w:hint="eastAsia"/>
              </w:rPr>
              <w:t>证件扫描件反面</w:t>
            </w:r>
          </w:p>
          <w:p w14:paraId="1519E200">
            <w:pPr>
              <w:pStyle w:val="9"/>
              <w:jc w:val="center"/>
            </w:pPr>
          </w:p>
          <w:p w14:paraId="1FE047DA">
            <w:pPr>
              <w:pStyle w:val="14"/>
              <w:jc w:val="center"/>
            </w:pPr>
          </w:p>
        </w:tc>
      </w:tr>
    </w:tbl>
    <w:p w14:paraId="465131BA">
      <w:pPr>
        <w:rPr>
          <w:sz w:val="24"/>
        </w:rPr>
      </w:pPr>
    </w:p>
    <w:p w14:paraId="1F2E9C4A">
      <w:pPr>
        <w:pStyle w:val="9"/>
      </w:pPr>
    </w:p>
    <w:p w14:paraId="00C3A8F1">
      <w:pPr>
        <w:pStyle w:val="9"/>
      </w:pPr>
    </w:p>
    <w:p w14:paraId="1CA49B42">
      <w:pPr>
        <w:pStyle w:val="9"/>
      </w:pPr>
    </w:p>
    <w:p w14:paraId="70032686">
      <w:pPr>
        <w:pStyle w:val="9"/>
      </w:pPr>
    </w:p>
    <w:p w14:paraId="2628D19A">
      <w:pPr>
        <w:pStyle w:val="9"/>
      </w:pPr>
    </w:p>
    <w:p w14:paraId="568CCD93">
      <w:pPr>
        <w:pStyle w:val="9"/>
      </w:pPr>
    </w:p>
    <w:p w14:paraId="5E09E7DB">
      <w:pPr>
        <w:pStyle w:val="9"/>
      </w:pPr>
    </w:p>
    <w:p w14:paraId="5CE9EA1D">
      <w:pPr>
        <w:pStyle w:val="9"/>
      </w:pPr>
    </w:p>
    <w:p w14:paraId="4ACE5B65">
      <w:pPr>
        <w:pStyle w:val="9"/>
      </w:pPr>
    </w:p>
    <w:p w14:paraId="495870C5">
      <w:pPr>
        <w:pStyle w:val="9"/>
      </w:pPr>
    </w:p>
    <w:p w14:paraId="4DDFCF48">
      <w:pPr>
        <w:pStyle w:val="4"/>
        <w:spacing w:before="120" w:after="120"/>
        <w:jc w:val="center"/>
        <w:rPr>
          <w:rFonts w:cs="宋体"/>
          <w:bCs w:val="0"/>
          <w:szCs w:val="28"/>
        </w:rPr>
      </w:pPr>
      <w:r>
        <w:rPr>
          <w:rFonts w:hint="eastAsia" w:cs="宋体"/>
          <w:bCs w:val="0"/>
          <w:szCs w:val="28"/>
        </w:rPr>
        <w:t>六、投标文件签署授权委托书</w:t>
      </w:r>
    </w:p>
    <w:p w14:paraId="2A1C820F">
      <w:pPr>
        <w:spacing w:line="360" w:lineRule="auto"/>
        <w:ind w:firstLine="420" w:firstLineChars="200"/>
        <w:rPr>
          <w:rFonts w:ascii="宋体" w:hAnsi="宋体" w:eastAsia="宋体" w:cs="宋体"/>
          <w:szCs w:val="21"/>
        </w:rPr>
      </w:pPr>
      <w:r>
        <w:rPr>
          <w:rFonts w:hint="eastAsia" w:ascii="宋体" w:hAnsi="宋体" w:eastAsia="宋体" w:cs="宋体"/>
          <w:szCs w:val="21"/>
        </w:rPr>
        <w:t>本授权委托书声明：我</w:t>
      </w:r>
      <w:r>
        <w:rPr>
          <w:rFonts w:hint="eastAsia" w:ascii="宋体" w:hAnsi="宋体" w:eastAsia="宋体" w:cs="宋体"/>
          <w:szCs w:val="21"/>
          <w:u w:val="single"/>
        </w:rPr>
        <w:t>（姓名）</w:t>
      </w:r>
      <w:r>
        <w:rPr>
          <w:rFonts w:hint="eastAsia" w:ascii="宋体" w:hAnsi="宋体" w:eastAsia="宋体" w:cs="宋体"/>
          <w:szCs w:val="21"/>
        </w:rPr>
        <w:t>系</w:t>
      </w:r>
      <w:r>
        <w:rPr>
          <w:rFonts w:hint="eastAsia" w:ascii="宋体" w:hAnsi="宋体" w:eastAsia="宋体" w:cs="宋体"/>
          <w:szCs w:val="21"/>
          <w:u w:val="single"/>
        </w:rPr>
        <w:t>（投标人名称）</w:t>
      </w:r>
      <w:r>
        <w:rPr>
          <w:rFonts w:hint="eastAsia" w:ascii="宋体" w:hAnsi="宋体" w:eastAsia="宋体" w:cs="宋体"/>
          <w:szCs w:val="21"/>
        </w:rPr>
        <w:t>的法定代表人（负责人），现授权委托</w:t>
      </w:r>
      <w:r>
        <w:rPr>
          <w:rFonts w:hint="eastAsia" w:ascii="宋体" w:hAnsi="宋体" w:eastAsia="宋体" w:cs="宋体"/>
          <w:szCs w:val="21"/>
          <w:u w:val="single"/>
        </w:rPr>
        <w:t>（姓名）</w:t>
      </w:r>
      <w:r>
        <w:rPr>
          <w:rFonts w:hint="eastAsia" w:ascii="宋体" w:hAnsi="宋体" w:eastAsia="宋体" w:cs="宋体"/>
          <w:szCs w:val="21"/>
        </w:rPr>
        <w:t>为我单位签署本项目已递交的投标文件的法定代表人（负责人）的授权委托代理人，代理人全权代表我所签署的本项目已递交的投标文件内容我均承认。</w:t>
      </w:r>
    </w:p>
    <w:p w14:paraId="3AD32C95">
      <w:pPr>
        <w:spacing w:line="360" w:lineRule="auto"/>
        <w:ind w:firstLine="420" w:firstLineChars="200"/>
        <w:rPr>
          <w:rFonts w:ascii="宋体" w:hAnsi="宋体" w:eastAsia="宋体" w:cs="宋体"/>
          <w:szCs w:val="21"/>
        </w:rPr>
      </w:pPr>
      <w:r>
        <w:rPr>
          <w:rFonts w:hint="eastAsia" w:ascii="宋体" w:hAnsi="宋体" w:eastAsia="宋体" w:cs="宋体"/>
          <w:szCs w:val="21"/>
        </w:rPr>
        <w:t>代理人无转委托权，特此委托。</w:t>
      </w:r>
    </w:p>
    <w:p w14:paraId="7EB27977">
      <w:pPr>
        <w:spacing w:line="360" w:lineRule="auto"/>
        <w:ind w:firstLine="420" w:firstLineChars="200"/>
        <w:rPr>
          <w:rFonts w:ascii="宋体" w:hAnsi="宋体" w:eastAsia="宋体" w:cs="宋体"/>
          <w:szCs w:val="21"/>
        </w:rPr>
      </w:pPr>
    </w:p>
    <w:p w14:paraId="40ECCE0C">
      <w:pPr>
        <w:spacing w:line="360" w:lineRule="auto"/>
        <w:ind w:firstLine="420" w:firstLineChars="200"/>
        <w:rPr>
          <w:rFonts w:hint="default" w:ascii="宋体" w:hAnsi="宋体" w:eastAsia="宋体" w:cs="宋体"/>
          <w:szCs w:val="21"/>
          <w:u w:val="single"/>
          <w:lang w:val="en-US" w:eastAsia="zh-CN"/>
        </w:rPr>
      </w:pPr>
      <w:r>
        <w:rPr>
          <w:rFonts w:hint="eastAsia" w:ascii="宋体" w:hAnsi="宋体" w:eastAsia="宋体" w:cs="宋体"/>
          <w:szCs w:val="21"/>
        </w:rPr>
        <w:t>代理人：</w:t>
      </w:r>
      <w:r>
        <w:rPr>
          <w:rFonts w:hint="eastAsia" w:ascii="宋体" w:hAnsi="宋体" w:eastAsia="宋体" w:cs="宋体"/>
          <w:szCs w:val="21"/>
          <w:u w:val="single"/>
          <w:lang w:val="en-US" w:eastAsia="zh-CN"/>
        </w:rPr>
        <w:t xml:space="preserve">                            </w:t>
      </w:r>
    </w:p>
    <w:p w14:paraId="3453D6B4">
      <w:pPr>
        <w:spacing w:line="360" w:lineRule="auto"/>
        <w:ind w:firstLine="420" w:firstLineChars="200"/>
        <w:rPr>
          <w:rFonts w:ascii="宋体" w:hAnsi="宋体" w:eastAsia="宋体" w:cs="宋体"/>
          <w:szCs w:val="21"/>
        </w:rPr>
      </w:pPr>
      <w:r>
        <w:rPr>
          <w:rFonts w:hint="eastAsia" w:ascii="宋体" w:hAnsi="宋体" w:eastAsia="宋体" w:cs="宋体"/>
          <w:szCs w:val="21"/>
        </w:rPr>
        <w:t>身份证件号：</w:t>
      </w:r>
      <w:r>
        <w:rPr>
          <w:rFonts w:hint="eastAsia" w:ascii="宋体" w:hAnsi="宋体" w:eastAsia="宋体" w:cs="宋体"/>
          <w:szCs w:val="21"/>
          <w:u w:val="single"/>
          <w:lang w:val="en-US" w:eastAsia="zh-CN"/>
        </w:rPr>
        <w:t xml:space="preserve">                 </w:t>
      </w:r>
      <w:r>
        <w:rPr>
          <w:rFonts w:hint="eastAsia" w:ascii="宋体" w:hAnsi="宋体" w:eastAsia="宋体" w:cs="宋体"/>
          <w:szCs w:val="21"/>
        </w:rPr>
        <w:t>职务：</w:t>
      </w:r>
      <w:r>
        <w:rPr>
          <w:rFonts w:hint="eastAsia" w:ascii="宋体" w:hAnsi="宋体" w:eastAsia="宋体" w:cs="宋体"/>
          <w:szCs w:val="21"/>
          <w:u w:val="single"/>
          <w:lang w:val="en-US" w:eastAsia="zh-CN"/>
        </w:rPr>
        <w:t xml:space="preserve">                 </w:t>
      </w:r>
    </w:p>
    <w:p w14:paraId="71C52D1A">
      <w:pPr>
        <w:spacing w:line="360" w:lineRule="auto"/>
        <w:ind w:firstLine="420" w:firstLineChars="200"/>
        <w:rPr>
          <w:rFonts w:hint="eastAsia" w:ascii="宋体" w:hAnsi="宋体" w:eastAsia="宋体" w:cs="宋体"/>
          <w:szCs w:val="21"/>
          <w:u w:val="single"/>
          <w:lang w:val="en-US" w:eastAsia="zh-CN"/>
        </w:rPr>
      </w:pPr>
      <w:r>
        <w:rPr>
          <w:rFonts w:hint="eastAsia" w:ascii="宋体" w:hAnsi="宋体" w:eastAsia="宋体" w:cs="宋体"/>
          <w:szCs w:val="21"/>
        </w:rPr>
        <w:t>联系电话：</w:t>
      </w:r>
      <w:r>
        <w:rPr>
          <w:rFonts w:hint="eastAsia" w:ascii="宋体" w:hAnsi="宋体" w:eastAsia="宋体" w:cs="宋体"/>
          <w:szCs w:val="21"/>
          <w:u w:val="single"/>
          <w:lang w:val="en-US" w:eastAsia="zh-CN"/>
        </w:rPr>
        <w:t xml:space="preserve">         </w:t>
      </w:r>
      <w:r>
        <w:rPr>
          <w:rFonts w:hint="eastAsia" w:ascii="宋体" w:hAnsi="宋体" w:eastAsia="宋体" w:cs="宋体"/>
          <w:szCs w:val="21"/>
        </w:rPr>
        <w:t>手机：</w:t>
      </w:r>
      <w:r>
        <w:rPr>
          <w:rFonts w:hint="eastAsia" w:ascii="宋体" w:hAnsi="宋体" w:eastAsia="宋体" w:cs="宋体"/>
          <w:szCs w:val="21"/>
          <w:u w:val="single"/>
          <w:lang w:val="en-US" w:eastAsia="zh-CN"/>
        </w:rPr>
        <w:t xml:space="preserve">         </w:t>
      </w:r>
      <w:r>
        <w:rPr>
          <w:rFonts w:hint="eastAsia" w:ascii="宋体" w:hAnsi="宋体" w:eastAsia="宋体" w:cs="宋体"/>
          <w:szCs w:val="21"/>
        </w:rPr>
        <w:t>电子邮箱：</w:t>
      </w:r>
      <w:r>
        <w:rPr>
          <w:rFonts w:hint="eastAsia" w:ascii="宋体" w:hAnsi="宋体" w:eastAsia="宋体" w:cs="宋体"/>
          <w:szCs w:val="21"/>
          <w:u w:val="single"/>
          <w:lang w:val="en-US" w:eastAsia="zh-CN"/>
        </w:rPr>
        <w:t xml:space="preserve">         </w:t>
      </w:r>
    </w:p>
    <w:p w14:paraId="1D835E0F">
      <w:pPr>
        <w:spacing w:line="360" w:lineRule="auto"/>
        <w:ind w:firstLine="420" w:firstLineChars="200"/>
        <w:rPr>
          <w:rFonts w:ascii="宋体" w:hAnsi="宋体" w:eastAsia="宋体" w:cs="宋体"/>
          <w:szCs w:val="21"/>
        </w:rPr>
      </w:pPr>
      <w:r>
        <w:rPr>
          <w:rFonts w:hint="eastAsia" w:ascii="宋体" w:hAnsi="宋体" w:eastAsia="宋体" w:cs="宋体"/>
          <w:szCs w:val="21"/>
        </w:rPr>
        <w:t>授权委托日期：</w:t>
      </w:r>
      <w:r>
        <w:rPr>
          <w:rFonts w:hint="eastAsia" w:ascii="宋体" w:hAnsi="宋体" w:eastAsia="宋体" w:cs="宋体"/>
          <w:szCs w:val="21"/>
          <w:u w:val="single"/>
          <w:lang w:val="en-US" w:eastAsia="zh-CN"/>
        </w:rPr>
        <w:t xml:space="preserve">     </w:t>
      </w:r>
      <w:r>
        <w:rPr>
          <w:rFonts w:hint="eastAsia" w:ascii="宋体" w:hAnsi="宋体" w:eastAsia="宋体" w:cs="宋体"/>
          <w:szCs w:val="21"/>
        </w:rPr>
        <w:t>年</w:t>
      </w:r>
      <w:r>
        <w:rPr>
          <w:rFonts w:hint="eastAsia" w:ascii="宋体" w:hAnsi="宋体" w:eastAsia="宋体" w:cs="宋体"/>
          <w:szCs w:val="21"/>
          <w:u w:val="single"/>
          <w:lang w:val="en-US" w:eastAsia="zh-CN"/>
        </w:rPr>
        <w:t xml:space="preserve">     </w:t>
      </w:r>
      <w:r>
        <w:rPr>
          <w:rFonts w:hint="eastAsia" w:ascii="宋体" w:hAnsi="宋体" w:eastAsia="宋体" w:cs="宋体"/>
          <w:szCs w:val="21"/>
        </w:rPr>
        <w:t>月</w:t>
      </w:r>
      <w:r>
        <w:rPr>
          <w:rFonts w:hint="eastAsia" w:ascii="宋体" w:hAnsi="宋体" w:eastAsia="宋体" w:cs="宋体"/>
          <w:szCs w:val="21"/>
          <w:u w:val="single"/>
          <w:lang w:val="en-US" w:eastAsia="zh-CN"/>
        </w:rPr>
        <w:t xml:space="preserve">     </w:t>
      </w:r>
      <w:r>
        <w:rPr>
          <w:rFonts w:hint="eastAsia" w:ascii="宋体" w:hAnsi="宋体" w:eastAsia="宋体" w:cs="宋体"/>
          <w:szCs w:val="21"/>
        </w:rPr>
        <w:t>日。</w:t>
      </w:r>
    </w:p>
    <w:p w14:paraId="60D07DA0">
      <w:pPr>
        <w:spacing w:line="360" w:lineRule="auto"/>
        <w:ind w:firstLine="422" w:firstLineChars="200"/>
        <w:rPr>
          <w:rFonts w:ascii="宋体" w:hAnsi="宋体" w:eastAsia="宋体" w:cs="宋体"/>
          <w:b/>
          <w:color w:val="FF0000"/>
          <w:szCs w:val="21"/>
        </w:rPr>
      </w:pPr>
      <w:r>
        <w:rPr>
          <w:rFonts w:hint="eastAsia" w:ascii="宋体" w:hAnsi="宋体" w:eastAsia="宋体" w:cs="宋体"/>
          <w:b/>
          <w:color w:val="FF0000"/>
          <w:szCs w:val="21"/>
        </w:rPr>
        <w:t>附：请提供代理人身份证扫描件（正反两面）；港澳台居民可提供来往通行证扫描件；非中国国籍管辖范围人员，可提供公安部门认可的身份证明材料扫描件。</w:t>
      </w:r>
    </w:p>
    <w:tbl>
      <w:tblPr>
        <w:tblStyle w:val="18"/>
        <w:tblW w:w="8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9"/>
        <w:gridCol w:w="4340"/>
      </w:tblGrid>
      <w:tr w14:paraId="3DD82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3" w:hRule="atLeast"/>
        </w:trPr>
        <w:tc>
          <w:tcPr>
            <w:tcW w:w="4339" w:type="dxa"/>
          </w:tcPr>
          <w:p w14:paraId="0F093B53">
            <w:pPr>
              <w:jc w:val="center"/>
            </w:pPr>
            <w:r>
              <w:rPr>
                <w:rFonts w:hint="eastAsia" w:ascii="Times New Roman" w:eastAsia="宋体"/>
              </w:rPr>
              <w:t>证件扫描件正面</w:t>
            </w:r>
          </w:p>
          <w:p w14:paraId="2A941724">
            <w:pPr>
              <w:pStyle w:val="9"/>
              <w:jc w:val="center"/>
            </w:pPr>
          </w:p>
          <w:p w14:paraId="05041F55">
            <w:pPr>
              <w:pStyle w:val="14"/>
              <w:jc w:val="center"/>
            </w:pPr>
          </w:p>
        </w:tc>
        <w:tc>
          <w:tcPr>
            <w:tcW w:w="4340" w:type="dxa"/>
          </w:tcPr>
          <w:p w14:paraId="76D2ABF8">
            <w:pPr>
              <w:jc w:val="center"/>
            </w:pPr>
            <w:r>
              <w:rPr>
                <w:rFonts w:hint="eastAsia" w:ascii="Times New Roman" w:eastAsia="宋体"/>
              </w:rPr>
              <w:t>证件扫描件反面</w:t>
            </w:r>
          </w:p>
          <w:p w14:paraId="2E861DBC">
            <w:pPr>
              <w:pStyle w:val="9"/>
              <w:jc w:val="center"/>
            </w:pPr>
          </w:p>
          <w:p w14:paraId="384754A8">
            <w:pPr>
              <w:pStyle w:val="14"/>
              <w:jc w:val="center"/>
            </w:pPr>
          </w:p>
        </w:tc>
      </w:tr>
    </w:tbl>
    <w:p w14:paraId="65F325EF">
      <w:pPr>
        <w:tabs>
          <w:tab w:val="left" w:pos="651"/>
        </w:tabs>
        <w:snapToGrid w:val="0"/>
        <w:jc w:val="center"/>
        <w:rPr>
          <w:rFonts w:ascii="黑体" w:eastAsia="黑体"/>
          <w:kern w:val="0"/>
          <w:sz w:val="24"/>
          <w:szCs w:val="24"/>
        </w:rPr>
      </w:pPr>
    </w:p>
    <w:p w14:paraId="748AA92D">
      <w:pPr>
        <w:tabs>
          <w:tab w:val="left" w:pos="651"/>
        </w:tabs>
        <w:snapToGrid w:val="0"/>
        <w:jc w:val="center"/>
        <w:rPr>
          <w:rFonts w:ascii="黑体" w:eastAsia="黑体"/>
          <w:kern w:val="0"/>
          <w:sz w:val="24"/>
          <w:szCs w:val="24"/>
        </w:rPr>
      </w:pPr>
    </w:p>
    <w:p w14:paraId="5B46FF81">
      <w:pPr>
        <w:pStyle w:val="9"/>
        <w:rPr>
          <w:rFonts w:ascii="黑体" w:eastAsia="黑体"/>
          <w:b w:val="0"/>
          <w:kern w:val="0"/>
          <w:szCs w:val="24"/>
        </w:rPr>
      </w:pPr>
    </w:p>
    <w:p w14:paraId="5D921E33">
      <w:pPr>
        <w:pStyle w:val="9"/>
        <w:rPr>
          <w:rFonts w:ascii="黑体" w:eastAsia="黑体"/>
          <w:b w:val="0"/>
          <w:kern w:val="0"/>
          <w:szCs w:val="24"/>
        </w:rPr>
      </w:pPr>
    </w:p>
    <w:p w14:paraId="618373E7">
      <w:pPr>
        <w:pStyle w:val="9"/>
        <w:rPr>
          <w:rFonts w:ascii="黑体" w:eastAsia="黑体"/>
          <w:b w:val="0"/>
          <w:kern w:val="0"/>
          <w:szCs w:val="24"/>
        </w:rPr>
      </w:pPr>
    </w:p>
    <w:p w14:paraId="6B298D04">
      <w:pPr>
        <w:pStyle w:val="9"/>
        <w:rPr>
          <w:rFonts w:ascii="黑体" w:eastAsia="黑体"/>
          <w:b w:val="0"/>
          <w:kern w:val="0"/>
          <w:szCs w:val="24"/>
        </w:rPr>
      </w:pPr>
    </w:p>
    <w:p w14:paraId="56920C58">
      <w:pPr>
        <w:pStyle w:val="9"/>
        <w:rPr>
          <w:rFonts w:ascii="黑体" w:eastAsia="黑体"/>
          <w:b w:val="0"/>
          <w:kern w:val="0"/>
          <w:szCs w:val="24"/>
        </w:rPr>
      </w:pPr>
    </w:p>
    <w:p w14:paraId="5C2C80C8">
      <w:pPr>
        <w:pStyle w:val="9"/>
        <w:rPr>
          <w:rFonts w:ascii="黑体" w:eastAsia="黑体"/>
          <w:b w:val="0"/>
          <w:kern w:val="0"/>
          <w:szCs w:val="24"/>
        </w:rPr>
      </w:pPr>
    </w:p>
    <w:p w14:paraId="68C0F82E">
      <w:pPr>
        <w:pStyle w:val="9"/>
        <w:rPr>
          <w:rFonts w:ascii="黑体" w:eastAsia="黑体"/>
          <w:b w:val="0"/>
          <w:kern w:val="0"/>
          <w:szCs w:val="24"/>
        </w:rPr>
      </w:pPr>
    </w:p>
    <w:p w14:paraId="39F9A35A">
      <w:pPr>
        <w:pStyle w:val="9"/>
        <w:rPr>
          <w:rFonts w:ascii="黑体" w:eastAsia="黑体"/>
          <w:b w:val="0"/>
          <w:kern w:val="0"/>
          <w:szCs w:val="24"/>
        </w:rPr>
      </w:pPr>
    </w:p>
    <w:p w14:paraId="21B43EFD">
      <w:pPr>
        <w:pStyle w:val="9"/>
        <w:rPr>
          <w:rFonts w:ascii="黑体" w:eastAsia="黑体"/>
          <w:b w:val="0"/>
          <w:kern w:val="0"/>
          <w:szCs w:val="24"/>
        </w:rPr>
      </w:pPr>
    </w:p>
    <w:p w14:paraId="1D694919">
      <w:pPr>
        <w:pStyle w:val="9"/>
        <w:rPr>
          <w:rFonts w:ascii="黑体" w:eastAsia="黑体"/>
          <w:b w:val="0"/>
          <w:kern w:val="0"/>
          <w:szCs w:val="24"/>
        </w:rPr>
      </w:pPr>
    </w:p>
    <w:p w14:paraId="090411E8">
      <w:pPr>
        <w:tabs>
          <w:tab w:val="left" w:pos="651"/>
        </w:tabs>
        <w:snapToGrid w:val="0"/>
        <w:rPr>
          <w:rFonts w:ascii="宋体" w:hAnsi="宋体" w:eastAsia="宋体" w:cs="宋体"/>
          <w:kern w:val="0"/>
          <w:sz w:val="28"/>
          <w:szCs w:val="28"/>
        </w:rPr>
      </w:pPr>
    </w:p>
    <w:p w14:paraId="78D548F9">
      <w:pPr>
        <w:tabs>
          <w:tab w:val="left" w:pos="651"/>
        </w:tabs>
        <w:snapToGrid w:val="0"/>
        <w:jc w:val="center"/>
        <w:outlineLvl w:val="2"/>
        <w:rPr>
          <w:rFonts w:ascii="宋体" w:hAnsi="宋体" w:eastAsia="宋体" w:cs="宋体"/>
          <w:b/>
          <w:bCs/>
          <w:kern w:val="0"/>
          <w:sz w:val="28"/>
          <w:szCs w:val="28"/>
        </w:rPr>
      </w:pPr>
      <w:bookmarkStart w:id="25" w:name="_Hlk72092634"/>
      <w:r>
        <w:rPr>
          <w:rFonts w:hint="eastAsia" w:ascii="宋体" w:hAnsi="宋体" w:eastAsia="宋体" w:cs="宋体"/>
          <w:b/>
          <w:bCs/>
          <w:kern w:val="0"/>
          <w:sz w:val="28"/>
          <w:szCs w:val="28"/>
        </w:rPr>
        <w:t>七、实质性条款响应情况表</w:t>
      </w:r>
      <w:bookmarkEnd w:id="25"/>
    </w:p>
    <w:p w14:paraId="3CF36998">
      <w:pPr>
        <w:pStyle w:val="9"/>
      </w:pPr>
    </w:p>
    <w:p w14:paraId="3A191AD8">
      <w:pPr>
        <w:spacing w:line="360" w:lineRule="auto"/>
        <w:rPr>
          <w:rFonts w:ascii="宋体" w:hAnsi="宋体" w:eastAsia="宋体" w:cs="宋体"/>
          <w:szCs w:val="21"/>
          <w:u w:val="single"/>
        </w:rPr>
      </w:pPr>
      <w:r>
        <w:rPr>
          <w:rFonts w:hint="eastAsia" w:ascii="宋体" w:hAnsi="宋体" w:eastAsia="宋体" w:cs="宋体"/>
          <w:szCs w:val="21"/>
        </w:rPr>
        <w:t>项目名称：</w:t>
      </w:r>
    </w:p>
    <w:p w14:paraId="1ECDB871">
      <w:pPr>
        <w:spacing w:line="360" w:lineRule="auto"/>
        <w:rPr>
          <w:rFonts w:ascii="宋体" w:hAnsi="宋体" w:eastAsia="宋体" w:cs="宋体"/>
          <w:szCs w:val="21"/>
          <w:u w:val="single"/>
        </w:rPr>
      </w:pPr>
      <w:r>
        <w:rPr>
          <w:rFonts w:hint="eastAsia" w:ascii="宋体" w:hAnsi="宋体" w:eastAsia="宋体" w:cs="宋体"/>
          <w:szCs w:val="21"/>
        </w:rPr>
        <w:t>项目编号：</w:t>
      </w:r>
    </w:p>
    <w:p w14:paraId="6020B429">
      <w:pPr>
        <w:snapToGrid w:val="0"/>
        <w:rPr>
          <w:rFonts w:cs="Times New Roman" w:asciiTheme="minorEastAsia" w:hAnsiTheme="minorEastAsia"/>
          <w:b/>
          <w:sz w:val="24"/>
          <w:szCs w:val="24"/>
        </w:rPr>
      </w:pPr>
    </w:p>
    <w:tbl>
      <w:tblPr>
        <w:tblStyle w:val="17"/>
        <w:tblW w:w="940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2176"/>
        <w:gridCol w:w="1732"/>
        <w:gridCol w:w="992"/>
      </w:tblGrid>
      <w:tr w14:paraId="4128F08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9" w:hRule="atLeast"/>
          <w:jc w:val="center"/>
        </w:trPr>
        <w:tc>
          <w:tcPr>
            <w:tcW w:w="602" w:type="dxa"/>
            <w:vAlign w:val="center"/>
          </w:tcPr>
          <w:p w14:paraId="3F910167">
            <w:pPr>
              <w:jc w:val="center"/>
              <w:rPr>
                <w:rFonts w:ascii="宋体" w:hAnsi="宋体" w:eastAsia="宋体" w:cs="Arial"/>
                <w:b/>
                <w:szCs w:val="21"/>
              </w:rPr>
            </w:pPr>
            <w:r>
              <w:rPr>
                <w:rFonts w:hint="eastAsia" w:ascii="宋体" w:hAnsi="宋体" w:eastAsia="宋体" w:cs="Arial"/>
                <w:b/>
                <w:szCs w:val="21"/>
              </w:rPr>
              <w:t>序号</w:t>
            </w:r>
          </w:p>
        </w:tc>
        <w:tc>
          <w:tcPr>
            <w:tcW w:w="3901" w:type="dxa"/>
            <w:vAlign w:val="center"/>
          </w:tcPr>
          <w:p w14:paraId="1A81AAB2">
            <w:pPr>
              <w:jc w:val="center"/>
              <w:rPr>
                <w:rFonts w:ascii="宋体" w:hAnsi="宋体" w:eastAsia="宋体" w:cs="Arial"/>
                <w:b/>
                <w:szCs w:val="21"/>
              </w:rPr>
            </w:pPr>
            <w:r>
              <w:rPr>
                <w:rFonts w:hint="eastAsia" w:ascii="宋体" w:hAnsi="宋体" w:eastAsia="宋体" w:cs="Arial"/>
                <w:b/>
                <w:szCs w:val="21"/>
              </w:rPr>
              <w:t>实质性条款具体内容</w:t>
            </w:r>
          </w:p>
        </w:tc>
        <w:tc>
          <w:tcPr>
            <w:tcW w:w="2176" w:type="dxa"/>
            <w:vAlign w:val="center"/>
          </w:tcPr>
          <w:p w14:paraId="381486BE">
            <w:pPr>
              <w:jc w:val="center"/>
              <w:rPr>
                <w:rFonts w:ascii="宋体" w:hAnsi="宋体" w:eastAsia="宋体" w:cs="Arial"/>
                <w:b/>
                <w:szCs w:val="21"/>
              </w:rPr>
            </w:pPr>
            <w:r>
              <w:rPr>
                <w:rFonts w:hint="eastAsia" w:ascii="宋体" w:hAnsi="宋体" w:eastAsia="宋体" w:cs="Arial"/>
                <w:b/>
                <w:szCs w:val="21"/>
              </w:rPr>
              <w:t>投标文件响应</w:t>
            </w:r>
          </w:p>
        </w:tc>
        <w:tc>
          <w:tcPr>
            <w:tcW w:w="1732" w:type="dxa"/>
          </w:tcPr>
          <w:p w14:paraId="15B30C4A">
            <w:pPr>
              <w:spacing w:beforeLines="50"/>
              <w:jc w:val="center"/>
              <w:rPr>
                <w:rFonts w:ascii="宋体" w:hAnsi="宋体" w:eastAsia="宋体" w:cs="Arial"/>
                <w:b/>
                <w:szCs w:val="21"/>
              </w:rPr>
            </w:pPr>
            <w:r>
              <w:rPr>
                <w:rFonts w:hint="eastAsia" w:ascii="宋体" w:hAnsi="宋体" w:eastAsia="宋体" w:cs="Arial"/>
                <w:b/>
                <w:szCs w:val="21"/>
              </w:rPr>
              <w:t>偏离情况</w:t>
            </w:r>
          </w:p>
        </w:tc>
        <w:tc>
          <w:tcPr>
            <w:tcW w:w="992" w:type="dxa"/>
            <w:vAlign w:val="center"/>
          </w:tcPr>
          <w:p w14:paraId="05655E90">
            <w:pPr>
              <w:jc w:val="center"/>
              <w:rPr>
                <w:rFonts w:ascii="宋体" w:hAnsi="宋体" w:eastAsia="宋体" w:cs="Arial"/>
                <w:b/>
                <w:szCs w:val="21"/>
              </w:rPr>
            </w:pPr>
            <w:r>
              <w:rPr>
                <w:rFonts w:hint="eastAsia" w:ascii="宋体" w:hAnsi="宋体" w:eastAsia="宋体" w:cs="Arial"/>
                <w:b/>
                <w:szCs w:val="21"/>
              </w:rPr>
              <w:t>说明</w:t>
            </w:r>
          </w:p>
        </w:tc>
      </w:tr>
      <w:tr w14:paraId="0E3F238A">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602" w:type="dxa"/>
            <w:vAlign w:val="center"/>
          </w:tcPr>
          <w:p w14:paraId="57392CA5">
            <w:pPr>
              <w:spacing w:line="300" w:lineRule="auto"/>
              <w:jc w:val="center"/>
              <w:rPr>
                <w:rFonts w:ascii="宋体" w:hAnsi="宋体" w:eastAsia="宋体" w:cs="Times New Roman"/>
                <w:b/>
                <w:color w:val="FF0000"/>
                <w:kern w:val="0"/>
                <w:szCs w:val="21"/>
              </w:rPr>
            </w:pPr>
            <w:r>
              <w:rPr>
                <w:rFonts w:hint="eastAsia" w:ascii="宋体" w:hAnsi="宋体" w:eastAsia="宋体" w:cs="Times New Roman"/>
                <w:b/>
                <w:color w:val="FF0000"/>
                <w:kern w:val="0"/>
                <w:szCs w:val="21"/>
              </w:rPr>
              <w:t>1</w:t>
            </w:r>
          </w:p>
        </w:tc>
        <w:tc>
          <w:tcPr>
            <w:tcW w:w="3901" w:type="dxa"/>
            <w:vAlign w:val="center"/>
          </w:tcPr>
          <w:p w14:paraId="5D74A6D0">
            <w:pPr>
              <w:spacing w:line="300" w:lineRule="auto"/>
              <w:jc w:val="center"/>
              <w:rPr>
                <w:rFonts w:ascii="宋体" w:hAnsi="宋体" w:eastAsia="宋体" w:cs="Times New Roman"/>
                <w:b/>
                <w:color w:val="FF0000"/>
                <w:kern w:val="0"/>
                <w:szCs w:val="21"/>
              </w:rPr>
            </w:pPr>
            <w:r>
              <w:rPr>
                <w:rFonts w:hint="eastAsia" w:ascii="宋体" w:hAnsi="宋体" w:eastAsia="宋体" w:cs="Times New Roman"/>
                <w:b/>
                <w:color w:val="FF0000"/>
                <w:kern w:val="0"/>
                <w:szCs w:val="21"/>
              </w:rPr>
              <w:t>本项目招标文件中所有带★号条款内容</w:t>
            </w:r>
          </w:p>
        </w:tc>
        <w:tc>
          <w:tcPr>
            <w:tcW w:w="2176" w:type="dxa"/>
            <w:vAlign w:val="center"/>
          </w:tcPr>
          <w:p w14:paraId="69B43FBA">
            <w:pPr>
              <w:spacing w:line="300" w:lineRule="auto"/>
              <w:jc w:val="center"/>
              <w:rPr>
                <w:rFonts w:ascii="宋体" w:hAnsi="宋体" w:eastAsia="宋体" w:cs="Times New Roman"/>
                <w:b/>
                <w:kern w:val="0"/>
                <w:szCs w:val="21"/>
              </w:rPr>
            </w:pPr>
            <w:r>
              <w:rPr>
                <w:rFonts w:hint="eastAsia" w:ascii="宋体" w:hAnsi="宋体" w:eastAsia="宋体" w:cs="Times New Roman"/>
                <w:b/>
                <w:kern w:val="0"/>
                <w:szCs w:val="21"/>
              </w:rPr>
              <w:t>完全响应</w:t>
            </w:r>
          </w:p>
        </w:tc>
        <w:tc>
          <w:tcPr>
            <w:tcW w:w="1732" w:type="dxa"/>
            <w:vAlign w:val="center"/>
          </w:tcPr>
          <w:p w14:paraId="3C2F1D4A">
            <w:pPr>
              <w:spacing w:line="300" w:lineRule="auto"/>
              <w:jc w:val="center"/>
              <w:rPr>
                <w:rFonts w:ascii="宋体" w:hAnsi="宋体" w:eastAsia="宋体" w:cs="Times New Roman"/>
                <w:b/>
                <w:kern w:val="0"/>
                <w:szCs w:val="21"/>
              </w:rPr>
            </w:pPr>
            <w:r>
              <w:rPr>
                <w:rFonts w:hint="eastAsia" w:ascii="宋体" w:hAnsi="宋体" w:eastAsia="宋体" w:cs="Times New Roman"/>
                <w:b/>
                <w:kern w:val="0"/>
                <w:szCs w:val="21"/>
              </w:rPr>
              <w:t>无偏离</w:t>
            </w:r>
          </w:p>
        </w:tc>
        <w:tc>
          <w:tcPr>
            <w:tcW w:w="992" w:type="dxa"/>
            <w:vAlign w:val="center"/>
          </w:tcPr>
          <w:p w14:paraId="4382C78A">
            <w:pPr>
              <w:spacing w:line="300" w:lineRule="auto"/>
              <w:jc w:val="center"/>
              <w:rPr>
                <w:rFonts w:ascii="宋体" w:hAnsi="宋体" w:eastAsia="宋体" w:cs="Times New Roman"/>
                <w:b/>
                <w:color w:val="FF0000"/>
                <w:kern w:val="0"/>
                <w:szCs w:val="21"/>
              </w:rPr>
            </w:pPr>
          </w:p>
        </w:tc>
      </w:tr>
    </w:tbl>
    <w:p w14:paraId="35BEA894">
      <w:pPr>
        <w:snapToGrid w:val="0"/>
        <w:rPr>
          <w:rFonts w:cs="Times New Roman" w:asciiTheme="minorEastAsia" w:hAnsiTheme="minorEastAsia"/>
          <w:sz w:val="24"/>
          <w:szCs w:val="24"/>
        </w:rPr>
      </w:pPr>
    </w:p>
    <w:p w14:paraId="4CD984E5">
      <w:pPr>
        <w:snapToGrid w:val="0"/>
        <w:spacing w:line="360" w:lineRule="auto"/>
        <w:rPr>
          <w:rFonts w:ascii="宋体" w:hAnsi="宋体" w:eastAsia="宋体" w:cs="宋体"/>
          <w:b/>
          <w:szCs w:val="21"/>
        </w:rPr>
      </w:pPr>
      <w:r>
        <w:rPr>
          <w:rFonts w:hint="eastAsia" w:ascii="宋体" w:hAnsi="宋体" w:eastAsia="宋体" w:cs="宋体"/>
          <w:b/>
          <w:szCs w:val="21"/>
        </w:rPr>
        <w:t>填写说明：</w:t>
      </w:r>
    </w:p>
    <w:p w14:paraId="54E0CD46">
      <w:pPr>
        <w:spacing w:line="360" w:lineRule="auto"/>
        <w:ind w:firstLine="420" w:firstLineChars="200"/>
        <w:rPr>
          <w:rFonts w:ascii="宋体" w:hAnsi="宋体" w:eastAsia="宋体" w:cs="宋体"/>
          <w:bCs/>
          <w:szCs w:val="21"/>
        </w:rPr>
      </w:pPr>
      <w:r>
        <w:rPr>
          <w:rFonts w:hint="eastAsia" w:ascii="宋体" w:hAnsi="宋体" w:eastAsia="宋体" w:cs="宋体"/>
          <w:bCs/>
          <w:szCs w:val="21"/>
        </w:rPr>
        <w:t>1、上表所列各项均为不可负偏离条款。</w:t>
      </w:r>
    </w:p>
    <w:p w14:paraId="6117866D">
      <w:pPr>
        <w:spacing w:line="360" w:lineRule="auto"/>
        <w:ind w:firstLine="420" w:firstLineChars="200"/>
        <w:rPr>
          <w:rFonts w:ascii="宋体" w:hAnsi="宋体" w:eastAsia="宋体" w:cs="宋体"/>
          <w:bCs/>
          <w:szCs w:val="21"/>
        </w:rPr>
      </w:pPr>
      <w:r>
        <w:rPr>
          <w:rFonts w:hint="eastAsia" w:ascii="宋体" w:hAnsi="宋体" w:eastAsia="宋体" w:cs="宋体"/>
          <w:bCs/>
          <w:szCs w:val="21"/>
        </w:rPr>
        <w:t>2、“投标文件响应”一栏应当详细填写投标人自身响应情况，而不能不合理照搬照抄招标文件实质性条款具体内容。</w:t>
      </w:r>
      <w:r>
        <w:rPr>
          <w:rFonts w:hint="eastAsia" w:ascii="宋体" w:hAnsi="宋体" w:eastAsia="宋体" w:cs="宋体"/>
          <w:b/>
          <w:bCs/>
          <w:szCs w:val="21"/>
        </w:rPr>
        <w:t>如完全满足实质性条款具体内容可填写“完全响应”，除招标文件另有注明外，不强制要求逐条列出响应。</w:t>
      </w:r>
    </w:p>
    <w:p w14:paraId="2FE8343C">
      <w:pPr>
        <w:spacing w:line="360" w:lineRule="auto"/>
        <w:ind w:firstLine="420" w:firstLineChars="200"/>
        <w:rPr>
          <w:rFonts w:ascii="宋体" w:hAnsi="宋体" w:eastAsia="宋体" w:cs="宋体"/>
          <w:bCs/>
          <w:szCs w:val="21"/>
        </w:rPr>
      </w:pPr>
      <w:r>
        <w:rPr>
          <w:rFonts w:hint="eastAsia" w:ascii="宋体" w:hAnsi="宋体" w:eastAsia="宋体" w:cs="宋体"/>
          <w:bCs/>
          <w:szCs w:val="21"/>
        </w:rPr>
        <w:t>3、“偏离情况”一栏应填写</w:t>
      </w:r>
      <w:r>
        <w:rPr>
          <w:rFonts w:hint="eastAsia" w:ascii="宋体" w:hAnsi="宋体" w:eastAsia="宋体" w:cs="宋体"/>
          <w:szCs w:val="21"/>
        </w:rPr>
        <w:t>“</w:t>
      </w:r>
      <w:r>
        <w:rPr>
          <w:rFonts w:hint="eastAsia" w:ascii="宋体" w:hAnsi="宋体" w:eastAsia="宋体" w:cs="宋体"/>
          <w:b/>
          <w:bCs/>
          <w:szCs w:val="21"/>
        </w:rPr>
        <w:t>正偏离</w:t>
      </w:r>
      <w:r>
        <w:rPr>
          <w:rFonts w:hint="eastAsia" w:ascii="宋体" w:hAnsi="宋体" w:eastAsia="宋体" w:cs="宋体"/>
          <w:szCs w:val="21"/>
        </w:rPr>
        <w:t>”或“</w:t>
      </w:r>
      <w:r>
        <w:rPr>
          <w:rFonts w:hint="eastAsia" w:ascii="宋体" w:hAnsi="宋体" w:eastAsia="宋体" w:cs="宋体"/>
          <w:b/>
          <w:bCs/>
          <w:szCs w:val="21"/>
        </w:rPr>
        <w:t>负偏离</w:t>
      </w:r>
      <w:r>
        <w:rPr>
          <w:rFonts w:hint="eastAsia" w:ascii="宋体" w:hAnsi="宋体" w:eastAsia="宋体" w:cs="宋体"/>
          <w:szCs w:val="21"/>
        </w:rPr>
        <w:t>”或“</w:t>
      </w:r>
      <w:r>
        <w:rPr>
          <w:rFonts w:hint="eastAsia" w:ascii="宋体" w:hAnsi="宋体" w:eastAsia="宋体" w:cs="宋体"/>
          <w:b/>
          <w:bCs/>
          <w:szCs w:val="21"/>
        </w:rPr>
        <w:t>无偏离</w:t>
      </w:r>
      <w:r>
        <w:rPr>
          <w:rFonts w:hint="eastAsia" w:ascii="宋体" w:hAnsi="宋体" w:eastAsia="宋体" w:cs="宋体"/>
          <w:szCs w:val="21"/>
        </w:rPr>
        <w:t>”</w:t>
      </w:r>
      <w:r>
        <w:rPr>
          <w:rFonts w:hint="eastAsia" w:ascii="宋体" w:hAnsi="宋体" w:eastAsia="宋体" w:cs="宋体"/>
          <w:bCs/>
          <w:szCs w:val="21"/>
        </w:rPr>
        <w:t>，“正偏离”表示“投标响应优于实质性条款具体内容要求”，“负偏离”表示“投标响应不满足实质性条款具体内容要求”，“无偏离”表示“投标响应与实质性条款具体内容要求一致”。</w:t>
      </w:r>
    </w:p>
    <w:p w14:paraId="50676BA0">
      <w:pPr>
        <w:spacing w:line="360" w:lineRule="auto"/>
        <w:ind w:firstLine="420" w:firstLineChars="200"/>
        <w:rPr>
          <w:rFonts w:ascii="宋体" w:hAnsi="宋体" w:eastAsia="宋体" w:cs="宋体"/>
          <w:bCs/>
          <w:szCs w:val="21"/>
        </w:rPr>
      </w:pPr>
      <w:r>
        <w:rPr>
          <w:rFonts w:hint="eastAsia" w:ascii="宋体" w:hAnsi="宋体" w:eastAsia="宋体" w:cs="宋体"/>
          <w:bCs/>
          <w:szCs w:val="21"/>
        </w:rPr>
        <w:t>4、评审委员会有权对投标响应情况作出判断。</w:t>
      </w:r>
    </w:p>
    <w:p w14:paraId="66600894">
      <w:pPr>
        <w:spacing w:line="360" w:lineRule="auto"/>
        <w:ind w:firstLine="420" w:firstLineChars="200"/>
        <w:rPr>
          <w:rFonts w:ascii="宋体" w:hAnsi="宋体" w:eastAsia="宋体" w:cs="宋体"/>
          <w:bCs/>
          <w:szCs w:val="21"/>
        </w:rPr>
      </w:pPr>
      <w:r>
        <w:rPr>
          <w:rFonts w:hint="eastAsia" w:ascii="宋体" w:hAnsi="宋体" w:eastAsia="宋体" w:cs="宋体"/>
          <w:bCs/>
          <w:szCs w:val="21"/>
        </w:rPr>
        <w:t>5、实质性响应条款“投标响应情况”与投标文件其它内容冲突的，以实质性响应条款“投标响应情况”为准。</w:t>
      </w:r>
    </w:p>
    <w:p w14:paraId="3715D753">
      <w:pPr>
        <w:spacing w:line="360" w:lineRule="auto"/>
        <w:ind w:firstLine="420" w:firstLineChars="200"/>
        <w:rPr>
          <w:rFonts w:ascii="宋体" w:hAnsi="宋体" w:eastAsia="宋体" w:cs="宋体"/>
          <w:bCs/>
          <w:szCs w:val="21"/>
        </w:rPr>
      </w:pPr>
      <w:r>
        <w:rPr>
          <w:rFonts w:hint="eastAsia" w:ascii="宋体" w:hAnsi="宋体" w:eastAsia="宋体" w:cs="宋体"/>
          <w:bCs/>
          <w:szCs w:val="21"/>
        </w:rPr>
        <w:t>6、以上实质性条款中要求提供证明材料，需如实提供证明材料扫描件，在“说明”一栏中列明证明材料的位置，以便评审；未要求提供证明材料的，投标人可以不提供。</w:t>
      </w:r>
    </w:p>
    <w:p w14:paraId="6213B23B">
      <w:pPr>
        <w:spacing w:line="360" w:lineRule="auto"/>
        <w:rPr>
          <w:rFonts w:ascii="宋体" w:hAnsi="宋体" w:eastAsia="宋体" w:cs="宋体"/>
          <w:color w:val="FF0000"/>
          <w:szCs w:val="21"/>
        </w:rPr>
      </w:pPr>
    </w:p>
    <w:p w14:paraId="0E34C0CA">
      <w:pPr>
        <w:spacing w:line="400" w:lineRule="exact"/>
        <w:jc w:val="right"/>
        <w:rPr>
          <w:rFonts w:ascii="宋体" w:hAnsi="宋体"/>
          <w:szCs w:val="21"/>
        </w:rPr>
      </w:pPr>
      <w:r>
        <w:rPr>
          <w:rFonts w:hint="eastAsia" w:ascii="宋体" w:hAnsi="宋体"/>
          <w:szCs w:val="21"/>
        </w:rPr>
        <w:t xml:space="preserve">   投标单位名称：</w:t>
      </w:r>
    </w:p>
    <w:p w14:paraId="48FEBF54">
      <w:pPr>
        <w:spacing w:line="400" w:lineRule="exact"/>
        <w:jc w:val="right"/>
        <w:rPr>
          <w:rFonts w:ascii="宋体" w:hAnsi="宋体"/>
          <w:szCs w:val="21"/>
        </w:rPr>
      </w:pPr>
      <w:r>
        <w:rPr>
          <w:rFonts w:hint="eastAsia" w:ascii="宋体" w:hAnsi="宋体"/>
          <w:szCs w:val="21"/>
        </w:rPr>
        <w:t>年</w:t>
      </w:r>
      <w:r>
        <w:rPr>
          <w:rFonts w:hint="eastAsia" w:ascii="宋体" w:hAnsi="宋体"/>
          <w:szCs w:val="21"/>
          <w:lang w:val="en-US" w:eastAsia="zh-CN"/>
        </w:rPr>
        <w:t xml:space="preserve">  </w:t>
      </w:r>
      <w:r>
        <w:rPr>
          <w:rFonts w:hint="eastAsia" w:ascii="宋体" w:hAnsi="宋体"/>
          <w:szCs w:val="21"/>
        </w:rPr>
        <w:t>月</w:t>
      </w:r>
      <w:r>
        <w:rPr>
          <w:rFonts w:hint="eastAsia" w:ascii="宋体" w:hAnsi="宋体"/>
          <w:szCs w:val="21"/>
          <w:lang w:val="en-US" w:eastAsia="zh-CN"/>
        </w:rPr>
        <w:t xml:space="preserve">  </w:t>
      </w:r>
      <w:r>
        <w:rPr>
          <w:rFonts w:hint="eastAsia" w:ascii="宋体" w:hAnsi="宋体"/>
          <w:szCs w:val="21"/>
        </w:rPr>
        <w:t>日</w:t>
      </w:r>
    </w:p>
    <w:p w14:paraId="62CB8A19">
      <w:pPr>
        <w:rPr>
          <w:rFonts w:ascii="宋体" w:hAnsi="宋体" w:eastAsia="宋体" w:cs="Times New Roman"/>
          <w:color w:val="FF0000"/>
          <w:sz w:val="32"/>
          <w:szCs w:val="32"/>
        </w:rPr>
      </w:pPr>
    </w:p>
    <w:p w14:paraId="38010CE4">
      <w:pPr>
        <w:pStyle w:val="9"/>
        <w:rPr>
          <w:rFonts w:ascii="宋体" w:hAnsi="宋体" w:eastAsia="宋体" w:cs="Times New Roman"/>
          <w:color w:val="FF0000"/>
          <w:sz w:val="32"/>
          <w:szCs w:val="32"/>
        </w:rPr>
      </w:pPr>
    </w:p>
    <w:p w14:paraId="47A3A3D4">
      <w:pPr>
        <w:pStyle w:val="9"/>
        <w:rPr>
          <w:rFonts w:ascii="宋体" w:hAnsi="宋体" w:eastAsia="宋体" w:cs="Times New Roman"/>
          <w:color w:val="FF0000"/>
          <w:sz w:val="32"/>
          <w:szCs w:val="32"/>
        </w:rPr>
      </w:pPr>
    </w:p>
    <w:p w14:paraId="37191126">
      <w:pPr>
        <w:pStyle w:val="9"/>
        <w:rPr>
          <w:rFonts w:ascii="宋体" w:hAnsi="宋体" w:eastAsia="宋体" w:cs="Times New Roman"/>
          <w:color w:val="FF0000"/>
          <w:sz w:val="32"/>
          <w:szCs w:val="32"/>
        </w:rPr>
      </w:pPr>
    </w:p>
    <w:p w14:paraId="5B8C9538">
      <w:pPr>
        <w:pStyle w:val="4"/>
        <w:jc w:val="center"/>
        <w:rPr>
          <w:rFonts w:cs="宋体"/>
          <w:szCs w:val="28"/>
        </w:rPr>
      </w:pPr>
      <w:r>
        <w:rPr>
          <w:rFonts w:hint="eastAsia" w:cs="宋体"/>
          <w:szCs w:val="28"/>
        </w:rPr>
        <w:t>八、服务条款偏离表</w:t>
      </w:r>
    </w:p>
    <w:p w14:paraId="21C35742">
      <w:pPr>
        <w:spacing w:line="360" w:lineRule="auto"/>
        <w:rPr>
          <w:rFonts w:ascii="宋体" w:hAnsi="宋体" w:eastAsia="宋体" w:cs="宋体"/>
          <w:szCs w:val="21"/>
          <w:u w:val="single"/>
        </w:rPr>
      </w:pPr>
      <w:r>
        <w:rPr>
          <w:rFonts w:hint="eastAsia" w:ascii="宋体" w:hAnsi="宋体" w:eastAsia="宋体" w:cs="宋体"/>
          <w:szCs w:val="21"/>
        </w:rPr>
        <w:t>项目名称：</w:t>
      </w:r>
    </w:p>
    <w:p w14:paraId="420EA1B9">
      <w:pPr>
        <w:spacing w:line="360" w:lineRule="auto"/>
        <w:rPr>
          <w:rFonts w:ascii="宋体" w:hAnsi="宋体" w:eastAsia="宋体" w:cs="宋体"/>
          <w:szCs w:val="21"/>
          <w:u w:val="single"/>
        </w:rPr>
      </w:pPr>
      <w:r>
        <w:rPr>
          <w:rFonts w:hint="eastAsia" w:ascii="宋体" w:hAnsi="宋体" w:eastAsia="宋体" w:cs="宋体"/>
          <w:szCs w:val="21"/>
        </w:rPr>
        <w:t>项目编号：</w:t>
      </w:r>
    </w:p>
    <w:p w14:paraId="07A7F8EF">
      <w:pPr>
        <w:spacing w:line="360" w:lineRule="auto"/>
        <w:rPr>
          <w:rFonts w:ascii="宋体" w:hAnsi="宋体" w:eastAsia="宋体" w:cs="宋体"/>
          <w:szCs w:val="21"/>
        </w:rPr>
      </w:pPr>
    </w:p>
    <w:tbl>
      <w:tblPr>
        <w:tblStyle w:val="17"/>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shd w:val="clear" w:color="auto" w:fill="FFFFFF" w:themeFill="background1"/>
        <w:tblLayout w:type="fixed"/>
        <w:tblCellMar>
          <w:top w:w="0" w:type="dxa"/>
          <w:left w:w="108" w:type="dxa"/>
          <w:bottom w:w="0" w:type="dxa"/>
          <w:right w:w="108" w:type="dxa"/>
        </w:tblCellMar>
      </w:tblPr>
      <w:tblGrid>
        <w:gridCol w:w="662"/>
        <w:gridCol w:w="2949"/>
        <w:gridCol w:w="2976"/>
        <w:gridCol w:w="1134"/>
        <w:gridCol w:w="1284"/>
      </w:tblGrid>
      <w:tr w14:paraId="415DCE8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shd w:val="clear" w:color="auto" w:fill="FFFFFF" w:themeFill="background1"/>
          <w:tblCellMar>
            <w:top w:w="0" w:type="dxa"/>
            <w:left w:w="108" w:type="dxa"/>
            <w:bottom w:w="0" w:type="dxa"/>
            <w:right w:w="108" w:type="dxa"/>
          </w:tblCellMar>
        </w:tblPrEx>
        <w:trPr>
          <w:trHeight w:val="624" w:hRule="atLeast"/>
          <w:jc w:val="center"/>
        </w:trPr>
        <w:tc>
          <w:tcPr>
            <w:tcW w:w="662" w:type="dxa"/>
            <w:tcBorders>
              <w:tl2br w:val="nil"/>
              <w:tr2bl w:val="nil"/>
            </w:tcBorders>
            <w:shd w:val="clear" w:color="auto" w:fill="FFFFFF" w:themeFill="background1"/>
            <w:vAlign w:val="center"/>
          </w:tcPr>
          <w:p w14:paraId="346AC041">
            <w:pPr>
              <w:spacing w:line="360" w:lineRule="auto"/>
              <w:jc w:val="center"/>
              <w:rPr>
                <w:rFonts w:ascii="宋体" w:hAnsi="宋体" w:eastAsia="宋体" w:cs="宋体"/>
                <w:b/>
                <w:bCs/>
                <w:szCs w:val="21"/>
              </w:rPr>
            </w:pPr>
            <w:r>
              <w:rPr>
                <w:rFonts w:hint="eastAsia" w:ascii="宋体" w:hAnsi="宋体" w:eastAsia="宋体" w:cs="宋体"/>
                <w:b/>
                <w:bCs/>
                <w:szCs w:val="21"/>
              </w:rPr>
              <w:t>序号</w:t>
            </w:r>
          </w:p>
        </w:tc>
        <w:tc>
          <w:tcPr>
            <w:tcW w:w="2949" w:type="dxa"/>
            <w:tcBorders>
              <w:tl2br w:val="nil"/>
              <w:tr2bl w:val="nil"/>
            </w:tcBorders>
            <w:shd w:val="clear" w:color="auto" w:fill="FFFFFF" w:themeFill="background1"/>
            <w:vAlign w:val="center"/>
          </w:tcPr>
          <w:p w14:paraId="0139EF1B">
            <w:pPr>
              <w:spacing w:line="360" w:lineRule="auto"/>
              <w:jc w:val="center"/>
              <w:rPr>
                <w:rFonts w:ascii="宋体" w:hAnsi="宋体" w:eastAsia="宋体" w:cs="宋体"/>
                <w:b/>
                <w:bCs/>
                <w:szCs w:val="21"/>
              </w:rPr>
            </w:pPr>
            <w:r>
              <w:rPr>
                <w:rFonts w:hint="eastAsia" w:ascii="宋体" w:hAnsi="宋体" w:eastAsia="宋体" w:cs="宋体"/>
                <w:b/>
                <w:bCs/>
                <w:szCs w:val="21"/>
              </w:rPr>
              <w:t>采购文件要求</w:t>
            </w:r>
          </w:p>
        </w:tc>
        <w:tc>
          <w:tcPr>
            <w:tcW w:w="2976" w:type="dxa"/>
            <w:tcBorders>
              <w:tl2br w:val="nil"/>
              <w:tr2bl w:val="nil"/>
            </w:tcBorders>
            <w:shd w:val="clear" w:color="auto" w:fill="FFFFFF" w:themeFill="background1"/>
            <w:vAlign w:val="center"/>
          </w:tcPr>
          <w:p w14:paraId="189FD75F">
            <w:pPr>
              <w:spacing w:line="360" w:lineRule="auto"/>
              <w:jc w:val="center"/>
              <w:rPr>
                <w:rFonts w:ascii="宋体" w:hAnsi="宋体" w:eastAsia="宋体" w:cs="宋体"/>
                <w:b/>
                <w:bCs/>
                <w:szCs w:val="21"/>
              </w:rPr>
            </w:pPr>
            <w:r>
              <w:rPr>
                <w:rFonts w:hint="eastAsia" w:ascii="宋体" w:hAnsi="宋体" w:eastAsia="宋体" w:cs="宋体"/>
                <w:b/>
                <w:bCs/>
                <w:szCs w:val="21"/>
              </w:rPr>
              <w:t>投标文件响应</w:t>
            </w:r>
          </w:p>
        </w:tc>
        <w:tc>
          <w:tcPr>
            <w:tcW w:w="1134" w:type="dxa"/>
            <w:tcBorders>
              <w:tl2br w:val="nil"/>
              <w:tr2bl w:val="nil"/>
            </w:tcBorders>
            <w:shd w:val="clear" w:color="auto" w:fill="FFFFFF" w:themeFill="background1"/>
            <w:vAlign w:val="center"/>
          </w:tcPr>
          <w:p w14:paraId="5E84A50E">
            <w:pPr>
              <w:spacing w:line="360" w:lineRule="auto"/>
              <w:jc w:val="center"/>
              <w:rPr>
                <w:rFonts w:ascii="宋体" w:hAnsi="宋体" w:eastAsia="宋体" w:cs="宋体"/>
                <w:b/>
                <w:bCs/>
                <w:szCs w:val="21"/>
              </w:rPr>
            </w:pPr>
            <w:r>
              <w:rPr>
                <w:rFonts w:hint="eastAsia" w:ascii="宋体" w:hAnsi="宋体" w:eastAsia="宋体" w:cs="宋体"/>
                <w:b/>
                <w:bCs/>
                <w:szCs w:val="21"/>
              </w:rPr>
              <w:t>偏离情况</w:t>
            </w:r>
          </w:p>
        </w:tc>
        <w:tc>
          <w:tcPr>
            <w:tcW w:w="1284" w:type="dxa"/>
            <w:tcBorders>
              <w:tl2br w:val="nil"/>
              <w:tr2bl w:val="nil"/>
            </w:tcBorders>
            <w:shd w:val="clear" w:color="auto" w:fill="FFFFFF" w:themeFill="background1"/>
            <w:vAlign w:val="center"/>
          </w:tcPr>
          <w:p w14:paraId="212E0164">
            <w:pPr>
              <w:spacing w:line="360" w:lineRule="auto"/>
              <w:jc w:val="center"/>
              <w:rPr>
                <w:rFonts w:ascii="宋体" w:hAnsi="宋体" w:eastAsia="宋体" w:cs="宋体"/>
                <w:b/>
                <w:bCs/>
                <w:szCs w:val="21"/>
              </w:rPr>
            </w:pPr>
            <w:r>
              <w:rPr>
                <w:rFonts w:hint="eastAsia" w:ascii="宋体" w:hAnsi="宋体" w:eastAsia="宋体" w:cs="宋体"/>
                <w:b/>
                <w:bCs/>
                <w:szCs w:val="21"/>
              </w:rPr>
              <w:t>偏离说明</w:t>
            </w:r>
          </w:p>
        </w:tc>
      </w:tr>
      <w:tr w14:paraId="092D1A7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24" w:hRule="atLeast"/>
          <w:jc w:val="center"/>
        </w:trPr>
        <w:tc>
          <w:tcPr>
            <w:tcW w:w="662" w:type="dxa"/>
            <w:tcBorders>
              <w:tl2br w:val="nil"/>
              <w:tr2bl w:val="nil"/>
            </w:tcBorders>
            <w:shd w:val="clear" w:color="auto" w:fill="FFFFFF" w:themeFill="background1"/>
            <w:vAlign w:val="center"/>
          </w:tcPr>
          <w:p w14:paraId="1E07C5BF">
            <w:pPr>
              <w:spacing w:line="360" w:lineRule="auto"/>
              <w:ind w:firstLine="210" w:firstLineChars="100"/>
              <w:rPr>
                <w:rFonts w:ascii="宋体" w:hAnsi="宋体" w:eastAsia="宋体" w:cs="宋体"/>
                <w:szCs w:val="21"/>
              </w:rPr>
            </w:pPr>
            <w:r>
              <w:rPr>
                <w:rFonts w:hint="eastAsia" w:ascii="宋体" w:hAnsi="宋体" w:eastAsia="宋体" w:cs="宋体"/>
                <w:szCs w:val="21"/>
              </w:rPr>
              <w:t>1</w:t>
            </w:r>
          </w:p>
        </w:tc>
        <w:tc>
          <w:tcPr>
            <w:tcW w:w="2949" w:type="dxa"/>
            <w:tcBorders>
              <w:tl2br w:val="nil"/>
              <w:tr2bl w:val="nil"/>
            </w:tcBorders>
            <w:shd w:val="clear" w:color="auto" w:fill="FFFFFF" w:themeFill="background1"/>
            <w:vAlign w:val="center"/>
          </w:tcPr>
          <w:p w14:paraId="7CD052D1">
            <w:pPr>
              <w:spacing w:line="360" w:lineRule="auto"/>
              <w:jc w:val="center"/>
              <w:rPr>
                <w:rFonts w:ascii="宋体" w:hAnsi="宋体" w:eastAsia="宋体" w:cs="宋体"/>
                <w:b/>
                <w:szCs w:val="21"/>
              </w:rPr>
            </w:pPr>
            <w:r>
              <w:rPr>
                <w:rFonts w:hint="eastAsia"/>
                <w:b/>
                <w:szCs w:val="21"/>
              </w:rPr>
              <w:t>招标文件-第三章用户需求书中的全部内容</w:t>
            </w:r>
          </w:p>
        </w:tc>
        <w:tc>
          <w:tcPr>
            <w:tcW w:w="2976" w:type="dxa"/>
            <w:tcBorders>
              <w:tl2br w:val="nil"/>
              <w:tr2bl w:val="nil"/>
            </w:tcBorders>
            <w:shd w:val="clear" w:color="auto" w:fill="FFFFFF" w:themeFill="background1"/>
            <w:vAlign w:val="center"/>
          </w:tcPr>
          <w:p w14:paraId="7098968B">
            <w:pPr>
              <w:spacing w:line="360" w:lineRule="auto"/>
              <w:jc w:val="center"/>
              <w:rPr>
                <w:rFonts w:ascii="宋体" w:hAnsi="宋体" w:eastAsia="宋体" w:cs="宋体"/>
                <w:b/>
                <w:szCs w:val="21"/>
              </w:rPr>
            </w:pPr>
            <w:r>
              <w:rPr>
                <w:rFonts w:hint="eastAsia" w:ascii="宋体" w:hAnsi="宋体" w:eastAsia="宋体" w:cs="Times New Roman"/>
                <w:b/>
                <w:kern w:val="0"/>
                <w:szCs w:val="21"/>
              </w:rPr>
              <w:t>完全响应</w:t>
            </w:r>
          </w:p>
        </w:tc>
        <w:tc>
          <w:tcPr>
            <w:tcW w:w="1134" w:type="dxa"/>
            <w:tcBorders>
              <w:tl2br w:val="nil"/>
              <w:tr2bl w:val="nil"/>
            </w:tcBorders>
            <w:shd w:val="clear" w:color="auto" w:fill="FFFFFF" w:themeFill="background1"/>
            <w:vAlign w:val="center"/>
          </w:tcPr>
          <w:p w14:paraId="33DD5105">
            <w:pPr>
              <w:spacing w:line="360" w:lineRule="auto"/>
              <w:jc w:val="center"/>
              <w:rPr>
                <w:rFonts w:ascii="宋体" w:hAnsi="宋体" w:eastAsia="宋体" w:cs="宋体"/>
                <w:szCs w:val="21"/>
              </w:rPr>
            </w:pPr>
            <w:r>
              <w:rPr>
                <w:rFonts w:hint="eastAsia" w:ascii="宋体" w:hAnsi="宋体" w:eastAsia="宋体" w:cs="宋体"/>
                <w:szCs w:val="21"/>
              </w:rPr>
              <w:t>无偏离</w:t>
            </w:r>
          </w:p>
        </w:tc>
        <w:tc>
          <w:tcPr>
            <w:tcW w:w="1284" w:type="dxa"/>
            <w:tcBorders>
              <w:tl2br w:val="nil"/>
              <w:tr2bl w:val="nil"/>
            </w:tcBorders>
            <w:shd w:val="clear" w:color="auto" w:fill="FFFFFF" w:themeFill="background1"/>
          </w:tcPr>
          <w:p w14:paraId="7C9388EE">
            <w:pPr>
              <w:spacing w:line="360" w:lineRule="auto"/>
              <w:jc w:val="center"/>
              <w:rPr>
                <w:rFonts w:ascii="宋体" w:hAnsi="宋体" w:eastAsia="宋体" w:cs="宋体"/>
                <w:szCs w:val="21"/>
              </w:rPr>
            </w:pPr>
          </w:p>
        </w:tc>
      </w:tr>
    </w:tbl>
    <w:p w14:paraId="0C55E8D0">
      <w:pPr>
        <w:spacing w:line="360" w:lineRule="auto"/>
        <w:rPr>
          <w:rFonts w:ascii="宋体" w:hAnsi="宋体" w:eastAsia="宋体" w:cs="宋体"/>
          <w:szCs w:val="21"/>
        </w:rPr>
      </w:pPr>
    </w:p>
    <w:p w14:paraId="484AAA5C">
      <w:pPr>
        <w:spacing w:line="360" w:lineRule="auto"/>
        <w:rPr>
          <w:rFonts w:ascii="宋体" w:hAnsi="宋体" w:eastAsia="宋体" w:cs="宋体"/>
          <w:szCs w:val="21"/>
        </w:rPr>
      </w:pPr>
      <w:r>
        <w:rPr>
          <w:rFonts w:hint="eastAsia" w:ascii="宋体" w:hAnsi="宋体" w:eastAsia="宋体" w:cs="宋体"/>
          <w:szCs w:val="21"/>
        </w:rPr>
        <w:t>注：</w:t>
      </w:r>
    </w:p>
    <w:p w14:paraId="75738B4F">
      <w:pPr>
        <w:spacing w:line="360" w:lineRule="auto"/>
        <w:rPr>
          <w:rFonts w:ascii="宋体" w:hAnsi="宋体" w:eastAsia="宋体" w:cs="宋体"/>
          <w:szCs w:val="21"/>
        </w:rPr>
      </w:pPr>
      <w:r>
        <w:rPr>
          <w:rFonts w:hint="eastAsia" w:ascii="宋体" w:hAnsi="宋体" w:eastAsia="宋体" w:cs="宋体"/>
          <w:szCs w:val="21"/>
        </w:rPr>
        <w:t>1、上述表格,“采购文件要求”栏填写“</w:t>
      </w:r>
      <w:r>
        <w:rPr>
          <w:rFonts w:hint="eastAsia"/>
          <w:b/>
          <w:szCs w:val="21"/>
        </w:rPr>
        <w:t>招标文件-第三章用户需求书中“中的全部内容</w:t>
      </w:r>
      <w:r>
        <w:rPr>
          <w:rFonts w:hint="eastAsia" w:ascii="宋体" w:hAnsi="宋体" w:eastAsia="宋体" w:cs="宋体"/>
          <w:szCs w:val="21"/>
        </w:rPr>
        <w:t>” 字样即可、“投标文件响应”栏填写“</w:t>
      </w:r>
      <w:r>
        <w:rPr>
          <w:rFonts w:hint="eastAsia" w:ascii="宋体" w:hAnsi="宋体" w:eastAsia="宋体" w:cs="Times New Roman"/>
          <w:b/>
          <w:kern w:val="0"/>
          <w:szCs w:val="21"/>
        </w:rPr>
        <w:t>完全响应</w:t>
      </w:r>
      <w:r>
        <w:rPr>
          <w:rFonts w:hint="eastAsia" w:ascii="宋体" w:hAnsi="宋体" w:eastAsia="宋体" w:cs="宋体"/>
          <w:szCs w:val="21"/>
        </w:rPr>
        <w:t xml:space="preserve">” 字样即可。 </w:t>
      </w:r>
    </w:p>
    <w:p w14:paraId="0722BDE9">
      <w:pPr>
        <w:spacing w:line="360" w:lineRule="auto"/>
        <w:rPr>
          <w:rFonts w:ascii="宋体" w:hAnsi="宋体" w:eastAsia="宋体" w:cs="宋体"/>
          <w:szCs w:val="21"/>
        </w:rPr>
      </w:pPr>
      <w:r>
        <w:rPr>
          <w:rFonts w:hint="eastAsia" w:ascii="宋体" w:hAnsi="宋体" w:eastAsia="宋体" w:cs="宋体"/>
          <w:szCs w:val="21"/>
        </w:rPr>
        <w:t>2、若响应情况优于招标要求，应在“</w:t>
      </w:r>
      <w:r>
        <w:rPr>
          <w:rFonts w:hint="eastAsia" w:ascii="宋体" w:hAnsi="宋体" w:eastAsia="宋体" w:cs="宋体"/>
          <w:b/>
          <w:bCs/>
          <w:szCs w:val="21"/>
        </w:rPr>
        <w:t>偏离说明</w:t>
      </w:r>
      <w:r>
        <w:rPr>
          <w:rFonts w:hint="eastAsia" w:ascii="宋体" w:hAnsi="宋体" w:eastAsia="宋体" w:cs="宋体"/>
          <w:szCs w:val="21"/>
        </w:rPr>
        <w:t>”作详细说明。“偏离情况”栏中根据响应情况填写，没有达到要求的填“负偏离”，达到要求的填“无偏离”，优于要求的填“正偏离”。</w:t>
      </w:r>
      <w:r>
        <w:rPr>
          <w:rFonts w:hint="eastAsia" w:ascii="宋体" w:hAnsi="宋体" w:eastAsia="宋体" w:cs="宋体"/>
          <w:b/>
          <w:szCs w:val="21"/>
        </w:rPr>
        <w:t>偏离情况为负偏离的，将导致投标无效</w:t>
      </w:r>
      <w:r>
        <w:rPr>
          <w:rFonts w:hint="eastAsia" w:ascii="宋体" w:hAnsi="宋体" w:eastAsia="宋体" w:cs="宋体"/>
          <w:szCs w:val="21"/>
        </w:rPr>
        <w:t>。</w:t>
      </w:r>
    </w:p>
    <w:p w14:paraId="5B88137A">
      <w:pPr>
        <w:spacing w:line="400" w:lineRule="exact"/>
        <w:jc w:val="right"/>
        <w:rPr>
          <w:rFonts w:ascii="宋体" w:hAnsi="宋体"/>
          <w:szCs w:val="21"/>
        </w:rPr>
      </w:pPr>
    </w:p>
    <w:p w14:paraId="0AFF78BB">
      <w:pPr>
        <w:spacing w:line="400" w:lineRule="exact"/>
        <w:jc w:val="right"/>
        <w:rPr>
          <w:rFonts w:ascii="宋体" w:hAnsi="宋体"/>
          <w:szCs w:val="21"/>
        </w:rPr>
      </w:pPr>
    </w:p>
    <w:p w14:paraId="489DCC5E">
      <w:pPr>
        <w:spacing w:line="400" w:lineRule="exact"/>
        <w:jc w:val="right"/>
        <w:rPr>
          <w:rFonts w:ascii="宋体" w:hAnsi="宋体"/>
          <w:szCs w:val="21"/>
        </w:rPr>
      </w:pPr>
      <w:r>
        <w:rPr>
          <w:rFonts w:hint="eastAsia" w:ascii="宋体" w:hAnsi="宋体"/>
          <w:szCs w:val="21"/>
        </w:rPr>
        <w:t xml:space="preserve">       投标单位名称：</w:t>
      </w:r>
    </w:p>
    <w:p w14:paraId="245A39B3">
      <w:pPr>
        <w:spacing w:line="400" w:lineRule="exact"/>
        <w:jc w:val="right"/>
        <w:rPr>
          <w:rFonts w:ascii="宋体" w:hAnsi="宋体"/>
          <w:szCs w:val="21"/>
        </w:rPr>
      </w:pPr>
      <w:r>
        <w:rPr>
          <w:rFonts w:hint="eastAsia" w:ascii="宋体" w:hAnsi="宋体"/>
          <w:szCs w:val="21"/>
        </w:rPr>
        <w:t>年</w:t>
      </w:r>
      <w:r>
        <w:rPr>
          <w:rFonts w:hint="eastAsia" w:ascii="宋体" w:hAnsi="宋体"/>
          <w:szCs w:val="21"/>
          <w:lang w:val="en-US" w:eastAsia="zh-CN"/>
        </w:rPr>
        <w:t xml:space="preserve">  </w:t>
      </w:r>
      <w:r>
        <w:rPr>
          <w:rFonts w:hint="eastAsia" w:ascii="宋体" w:hAnsi="宋体"/>
          <w:szCs w:val="21"/>
        </w:rPr>
        <w:t>月</w:t>
      </w:r>
      <w:r>
        <w:rPr>
          <w:rFonts w:hint="eastAsia" w:ascii="宋体" w:hAnsi="宋体"/>
          <w:szCs w:val="21"/>
          <w:lang w:val="en-US" w:eastAsia="zh-CN"/>
        </w:rPr>
        <w:t xml:space="preserve">   </w:t>
      </w:r>
      <w:r>
        <w:rPr>
          <w:rFonts w:hint="eastAsia" w:ascii="宋体" w:hAnsi="宋体"/>
          <w:szCs w:val="21"/>
        </w:rPr>
        <w:t>日</w:t>
      </w:r>
    </w:p>
    <w:p w14:paraId="4F70D3E8">
      <w:pPr>
        <w:pStyle w:val="4"/>
        <w:jc w:val="center"/>
        <w:rPr>
          <w:rFonts w:cs="宋体"/>
          <w:szCs w:val="28"/>
        </w:rPr>
      </w:pPr>
      <w:r>
        <w:rPr>
          <w:rFonts w:hint="eastAsia" w:cs="宋体"/>
          <w:szCs w:val="28"/>
        </w:rPr>
        <w:t>九、技术保障措施</w:t>
      </w:r>
    </w:p>
    <w:p w14:paraId="1C2A2A1E">
      <w:pPr>
        <w:pStyle w:val="4"/>
        <w:jc w:val="center"/>
      </w:pPr>
      <w:r>
        <w:rPr>
          <w:rFonts w:hint="eastAsia" w:cs="宋体"/>
          <w:szCs w:val="28"/>
        </w:rPr>
        <w:t>十、</w:t>
      </w:r>
      <w:r>
        <w:rPr>
          <w:rFonts w:hint="eastAsia" w:asciiTheme="minorEastAsia" w:hAnsiTheme="minorEastAsia" w:cstheme="minorEastAsia"/>
          <w:sz w:val="24"/>
          <w:szCs w:val="24"/>
        </w:rPr>
        <w:t>同类项目业绩情况</w:t>
      </w:r>
    </w:p>
    <w:p w14:paraId="0E97D4ED">
      <w:pPr>
        <w:pStyle w:val="4"/>
        <w:jc w:val="center"/>
        <w:rPr>
          <w:rFonts w:cs="宋体"/>
          <w:szCs w:val="28"/>
        </w:rPr>
      </w:pPr>
      <w:r>
        <w:rPr>
          <w:rFonts w:hint="eastAsia" w:cs="宋体"/>
          <w:szCs w:val="28"/>
        </w:rPr>
        <w:t>十一、</w:t>
      </w:r>
      <w:r>
        <w:rPr>
          <w:rFonts w:hint="eastAsia" w:asciiTheme="minorEastAsia" w:hAnsiTheme="minorEastAsia" w:cstheme="minorEastAsia"/>
          <w:sz w:val="24"/>
          <w:szCs w:val="24"/>
        </w:rPr>
        <w:t>履约评价</w:t>
      </w:r>
    </w:p>
    <w:p w14:paraId="3EC86F90">
      <w:pPr>
        <w:pStyle w:val="4"/>
        <w:jc w:val="center"/>
        <w:rPr>
          <w:rFonts w:cs="宋体"/>
          <w:szCs w:val="28"/>
        </w:rPr>
      </w:pPr>
      <w:r>
        <w:rPr>
          <w:rFonts w:hint="eastAsia" w:cs="宋体"/>
          <w:szCs w:val="28"/>
        </w:rPr>
        <w:t>十二、项目管理班子人员配备情况</w:t>
      </w:r>
    </w:p>
    <w:p w14:paraId="40F4D0E3">
      <w:pPr>
        <w:rPr>
          <w:sz w:val="24"/>
        </w:rPr>
      </w:pPr>
      <w:r>
        <w:rPr>
          <w:rFonts w:ascii="宋体" w:hAnsi="宋体" w:eastAsia="宋体" w:cs="Times New Roman"/>
          <w:color w:val="FF0000"/>
          <w:sz w:val="32"/>
          <w:szCs w:val="32"/>
        </w:rPr>
        <w:br w:type="page"/>
      </w:r>
    </w:p>
    <w:p w14:paraId="415991A5">
      <w:pPr>
        <w:pStyle w:val="4"/>
        <w:jc w:val="center"/>
        <w:rPr>
          <w:rFonts w:cs="宋体"/>
          <w:szCs w:val="28"/>
        </w:rPr>
      </w:pPr>
      <w:r>
        <w:rPr>
          <w:rFonts w:hint="eastAsia" w:cs="宋体"/>
          <w:szCs w:val="28"/>
        </w:rPr>
        <w:t>十三、</w:t>
      </w:r>
      <w:bookmarkStart w:id="26" w:name="_Hlk72062872"/>
      <w:r>
        <w:rPr>
          <w:rFonts w:hint="eastAsia" w:cs="宋体"/>
          <w:szCs w:val="28"/>
        </w:rPr>
        <w:t>投标人认为需要加以说明的其他内容</w:t>
      </w:r>
      <w:bookmarkEnd w:id="26"/>
    </w:p>
    <w:p w14:paraId="5B517329">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（一）政府采购违法行为风险知悉确认书</w:t>
      </w:r>
    </w:p>
    <w:p w14:paraId="4B1E6867">
      <w:pPr>
        <w:widowControl/>
        <w:spacing w:line="360" w:lineRule="auto"/>
        <w:jc w:val="center"/>
        <w:rPr>
          <w:rFonts w:ascii="宋体" w:hAnsi="宋体" w:eastAsia="宋体" w:cs="宋体"/>
          <w:kern w:val="0"/>
          <w:szCs w:val="21"/>
        </w:rPr>
      </w:pPr>
    </w:p>
    <w:p w14:paraId="3759B361">
      <w:pPr>
        <w:spacing w:line="360" w:lineRule="auto"/>
        <w:ind w:firstLine="420" w:firstLineChars="200"/>
        <w:rPr>
          <w:rFonts w:ascii="宋体" w:hAnsi="宋体" w:eastAsia="宋体" w:cs="宋体"/>
          <w:szCs w:val="21"/>
        </w:rPr>
      </w:pPr>
      <w:r>
        <w:rPr>
          <w:rFonts w:hint="eastAsia" w:ascii="宋体" w:hAnsi="宋体" w:eastAsia="宋体" w:cs="宋体"/>
          <w:szCs w:val="21"/>
        </w:rPr>
        <w:t>本公司在投标前已充分知悉以下情形为参与政府采购活动时的重大风险事项，并承诺已对下述风险提示事项重点排查，做到严谨、诚信、依法依规参与政府采购活动。</w:t>
      </w:r>
    </w:p>
    <w:p w14:paraId="3CB2F59E">
      <w:pPr>
        <w:spacing w:line="360" w:lineRule="auto"/>
        <w:ind w:firstLine="422" w:firstLineChars="200"/>
        <w:rPr>
          <w:rFonts w:ascii="宋体" w:hAnsi="宋体" w:eastAsia="宋体" w:cs="宋体"/>
          <w:b/>
          <w:szCs w:val="21"/>
        </w:rPr>
      </w:pPr>
      <w:r>
        <w:rPr>
          <w:rFonts w:hint="eastAsia" w:ascii="宋体" w:hAnsi="宋体" w:eastAsia="宋体" w:cs="宋体"/>
          <w:b/>
          <w:szCs w:val="21"/>
        </w:rPr>
        <w:t>一、本公司已充分知悉“隐瞒真实情况，提供虚假资料”的法定情形，相关情形包括但不限于：</w:t>
      </w:r>
    </w:p>
    <w:p w14:paraId="5B254821">
      <w:pPr>
        <w:spacing w:line="360" w:lineRule="auto"/>
        <w:ind w:firstLine="420" w:firstLineChars="200"/>
        <w:rPr>
          <w:rFonts w:ascii="宋体" w:hAnsi="宋体" w:eastAsia="宋体" w:cs="宋体"/>
          <w:szCs w:val="21"/>
        </w:rPr>
      </w:pPr>
      <w:r>
        <w:rPr>
          <w:rFonts w:hint="eastAsia" w:ascii="宋体" w:hAnsi="宋体" w:eastAsia="宋体" w:cs="宋体"/>
          <w:szCs w:val="21"/>
        </w:rPr>
        <w:t>（一）通过转让或者租借等方式从其他单位获取资格或者资质证书投标的。</w:t>
      </w:r>
    </w:p>
    <w:p w14:paraId="0A5882BE">
      <w:pPr>
        <w:spacing w:line="360" w:lineRule="auto"/>
        <w:ind w:firstLine="420" w:firstLineChars="200"/>
        <w:rPr>
          <w:rFonts w:ascii="宋体" w:hAnsi="宋体" w:eastAsia="宋体" w:cs="宋体"/>
          <w:szCs w:val="21"/>
        </w:rPr>
      </w:pPr>
      <w:r>
        <w:rPr>
          <w:rFonts w:hint="eastAsia" w:ascii="宋体" w:hAnsi="宋体" w:eastAsia="宋体" w:cs="宋体"/>
          <w:szCs w:val="21"/>
        </w:rPr>
        <w:t>（二）由其他单位或者其他单位负责人在投标供应商编制的投标文件上加盖印章或者签字的。</w:t>
      </w:r>
    </w:p>
    <w:p w14:paraId="18149B10">
      <w:pPr>
        <w:spacing w:line="360" w:lineRule="auto"/>
        <w:ind w:firstLine="420" w:firstLineChars="200"/>
        <w:rPr>
          <w:rFonts w:ascii="宋体" w:hAnsi="宋体" w:eastAsia="宋体" w:cs="宋体"/>
          <w:szCs w:val="21"/>
        </w:rPr>
      </w:pPr>
      <w:r>
        <w:rPr>
          <w:rFonts w:hint="eastAsia" w:ascii="宋体" w:hAnsi="宋体" w:eastAsia="宋体" w:cs="宋体"/>
          <w:szCs w:val="21"/>
        </w:rPr>
        <w:t>（三）项目负责人或者主要技术人员不是本单位人员的。</w:t>
      </w:r>
    </w:p>
    <w:p w14:paraId="6E4A9535">
      <w:pPr>
        <w:spacing w:line="360" w:lineRule="auto"/>
        <w:ind w:firstLine="420" w:firstLineChars="200"/>
        <w:rPr>
          <w:rFonts w:ascii="宋体" w:hAnsi="宋体" w:eastAsia="宋体" w:cs="宋体"/>
          <w:szCs w:val="21"/>
        </w:rPr>
      </w:pPr>
      <w:r>
        <w:rPr>
          <w:rFonts w:hint="eastAsia" w:ascii="宋体" w:hAnsi="宋体" w:eastAsia="宋体" w:cs="宋体"/>
          <w:szCs w:val="21"/>
        </w:rPr>
        <w:t>（四）投标保证金不是从投标供应商基本账户转出的。</w:t>
      </w:r>
    </w:p>
    <w:p w14:paraId="1D86BCE3">
      <w:pPr>
        <w:spacing w:line="360" w:lineRule="auto"/>
        <w:ind w:firstLine="420" w:firstLineChars="200"/>
        <w:rPr>
          <w:rFonts w:ascii="宋体" w:hAnsi="宋体" w:eastAsia="宋体" w:cs="宋体"/>
          <w:szCs w:val="21"/>
        </w:rPr>
      </w:pPr>
      <w:r>
        <w:rPr>
          <w:rFonts w:hint="eastAsia" w:ascii="宋体" w:hAnsi="宋体" w:eastAsia="宋体" w:cs="宋体"/>
          <w:szCs w:val="21"/>
        </w:rPr>
        <w:t>（五）其他隐瞒真实情况、提供虚假资料的行为。</w:t>
      </w:r>
    </w:p>
    <w:p w14:paraId="5DF74C22">
      <w:pPr>
        <w:spacing w:line="360" w:lineRule="auto"/>
        <w:ind w:firstLine="422" w:firstLineChars="200"/>
        <w:rPr>
          <w:rFonts w:ascii="宋体" w:hAnsi="宋体" w:eastAsia="宋体" w:cs="宋体"/>
          <w:b/>
          <w:szCs w:val="21"/>
        </w:rPr>
      </w:pPr>
      <w:r>
        <w:rPr>
          <w:rFonts w:hint="eastAsia" w:ascii="宋体" w:hAnsi="宋体" w:eastAsia="宋体" w:cs="宋体"/>
          <w:b/>
          <w:szCs w:val="21"/>
        </w:rPr>
        <w:t>二、本公司已充分知悉“与其他采购参加人串通投标”的法定情形，相关情形包括但不限于：</w:t>
      </w:r>
    </w:p>
    <w:p w14:paraId="384AA2BB">
      <w:pPr>
        <w:spacing w:line="360" w:lineRule="auto"/>
        <w:ind w:firstLine="420" w:firstLineChars="200"/>
        <w:rPr>
          <w:rFonts w:ascii="宋体" w:hAnsi="宋体" w:eastAsia="宋体" w:cs="宋体"/>
          <w:szCs w:val="21"/>
        </w:rPr>
      </w:pPr>
      <w:r>
        <w:rPr>
          <w:rFonts w:hint="eastAsia" w:ascii="宋体" w:hAnsi="宋体" w:eastAsia="宋体" w:cs="宋体"/>
          <w:szCs w:val="21"/>
        </w:rPr>
        <w:t>（一）投标供应商之间相互约定给予未中标的供应商利益补偿。</w:t>
      </w:r>
    </w:p>
    <w:p w14:paraId="38ABA574">
      <w:pPr>
        <w:spacing w:line="360" w:lineRule="auto"/>
        <w:ind w:firstLine="420" w:firstLineChars="200"/>
        <w:rPr>
          <w:rFonts w:ascii="宋体" w:hAnsi="宋体" w:eastAsia="宋体" w:cs="宋体"/>
          <w:szCs w:val="21"/>
        </w:rPr>
      </w:pPr>
      <w:r>
        <w:rPr>
          <w:rFonts w:hint="eastAsia" w:ascii="宋体" w:hAnsi="宋体" w:eastAsia="宋体" w:cs="宋体"/>
          <w:szCs w:val="21"/>
        </w:rPr>
        <w:t>（二）不同投标供应商的法定代表人、主要经营负责人、项目投标授权代表人、项目负责人、主要技术人员为同一人、属同一单位或者在同一单位缴纳社会保险。</w:t>
      </w:r>
    </w:p>
    <w:p w14:paraId="1F8B6F8D">
      <w:pPr>
        <w:spacing w:line="360" w:lineRule="auto"/>
        <w:ind w:firstLine="420" w:firstLineChars="200"/>
        <w:rPr>
          <w:rFonts w:ascii="宋体" w:hAnsi="宋体" w:eastAsia="宋体" w:cs="宋体"/>
          <w:szCs w:val="21"/>
        </w:rPr>
      </w:pPr>
      <w:r>
        <w:rPr>
          <w:rFonts w:hint="eastAsia" w:ascii="宋体" w:hAnsi="宋体" w:eastAsia="宋体" w:cs="宋体"/>
          <w:szCs w:val="21"/>
        </w:rPr>
        <w:t>（三）不同投标供应商的投标文件由同一单位或者同一人编制，或者由同一人分阶段参与编制的。</w:t>
      </w:r>
    </w:p>
    <w:p w14:paraId="04F8A000">
      <w:pPr>
        <w:spacing w:line="360" w:lineRule="auto"/>
        <w:ind w:firstLine="420" w:firstLineChars="200"/>
        <w:rPr>
          <w:rFonts w:ascii="宋体" w:hAnsi="宋体" w:eastAsia="宋体" w:cs="宋体"/>
          <w:szCs w:val="21"/>
        </w:rPr>
      </w:pPr>
      <w:r>
        <w:rPr>
          <w:rFonts w:hint="eastAsia" w:ascii="宋体" w:hAnsi="宋体" w:eastAsia="宋体" w:cs="宋体"/>
          <w:szCs w:val="21"/>
        </w:rPr>
        <w:t>（四）不同投标供应商的投标文件或部分投标文件相互混装。</w:t>
      </w:r>
    </w:p>
    <w:p w14:paraId="378F44B0">
      <w:pPr>
        <w:spacing w:line="360" w:lineRule="auto"/>
        <w:ind w:firstLine="420" w:firstLineChars="200"/>
        <w:rPr>
          <w:rFonts w:ascii="宋体" w:hAnsi="宋体" w:eastAsia="宋体" w:cs="宋体"/>
          <w:szCs w:val="21"/>
        </w:rPr>
      </w:pPr>
      <w:r>
        <w:rPr>
          <w:rFonts w:hint="eastAsia" w:ascii="宋体" w:hAnsi="宋体" w:eastAsia="宋体" w:cs="宋体"/>
          <w:szCs w:val="21"/>
        </w:rPr>
        <w:t>（五）不同投标供应商的投标文件内容存在非正常一致。</w:t>
      </w:r>
    </w:p>
    <w:p w14:paraId="1A71551C">
      <w:pPr>
        <w:spacing w:line="360" w:lineRule="auto"/>
        <w:ind w:firstLine="420" w:firstLineChars="200"/>
        <w:rPr>
          <w:rFonts w:ascii="宋体" w:hAnsi="宋体" w:eastAsia="宋体" w:cs="宋体"/>
          <w:szCs w:val="21"/>
        </w:rPr>
      </w:pPr>
      <w:r>
        <w:rPr>
          <w:rFonts w:hint="eastAsia" w:ascii="宋体" w:hAnsi="宋体" w:eastAsia="宋体" w:cs="宋体"/>
          <w:szCs w:val="21"/>
        </w:rPr>
        <w:t>（六）由同一单位工作人员为两家以上（含两家）供应商进行同一项投标活动的。</w:t>
      </w:r>
    </w:p>
    <w:p w14:paraId="0AE9FE92">
      <w:pPr>
        <w:spacing w:line="360" w:lineRule="auto"/>
        <w:ind w:firstLine="420" w:firstLineChars="200"/>
        <w:rPr>
          <w:rFonts w:ascii="宋体" w:hAnsi="宋体" w:eastAsia="宋体" w:cs="宋体"/>
          <w:szCs w:val="21"/>
        </w:rPr>
      </w:pPr>
      <w:r>
        <w:rPr>
          <w:rFonts w:hint="eastAsia" w:ascii="宋体" w:hAnsi="宋体" w:eastAsia="宋体" w:cs="宋体"/>
          <w:szCs w:val="21"/>
        </w:rPr>
        <w:t>（七）不同投标人的投标报价呈规律性差异。</w:t>
      </w:r>
    </w:p>
    <w:p w14:paraId="54B9BBBD">
      <w:pPr>
        <w:spacing w:line="360" w:lineRule="auto"/>
        <w:ind w:firstLine="420" w:firstLineChars="200"/>
        <w:rPr>
          <w:rFonts w:ascii="宋体" w:hAnsi="宋体" w:eastAsia="宋体" w:cs="宋体"/>
          <w:szCs w:val="21"/>
        </w:rPr>
      </w:pPr>
      <w:r>
        <w:rPr>
          <w:rFonts w:hint="eastAsia" w:ascii="宋体" w:hAnsi="宋体" w:eastAsia="宋体" w:cs="宋体"/>
          <w:szCs w:val="21"/>
        </w:rPr>
        <w:t>（八）不同投标人的投标保证金从同一单位或者个人的账户转出。</w:t>
      </w:r>
    </w:p>
    <w:p w14:paraId="50FFD834">
      <w:pPr>
        <w:spacing w:line="360" w:lineRule="auto"/>
        <w:ind w:firstLine="420" w:firstLineChars="200"/>
        <w:rPr>
          <w:rFonts w:ascii="宋体" w:hAnsi="宋体" w:eastAsia="宋体" w:cs="宋体"/>
          <w:szCs w:val="21"/>
        </w:rPr>
      </w:pPr>
      <w:r>
        <w:rPr>
          <w:rFonts w:hint="eastAsia" w:ascii="宋体" w:hAnsi="宋体" w:eastAsia="宋体" w:cs="宋体"/>
          <w:szCs w:val="21"/>
        </w:rPr>
        <w:t>（九）主管部门依照法律、法规认定的其他情形。</w:t>
      </w:r>
    </w:p>
    <w:p w14:paraId="68A605DB">
      <w:pPr>
        <w:spacing w:line="360" w:lineRule="auto"/>
        <w:ind w:firstLine="422" w:firstLineChars="200"/>
        <w:rPr>
          <w:rFonts w:ascii="宋体" w:hAnsi="宋体" w:eastAsia="宋体" w:cs="宋体"/>
          <w:b/>
          <w:szCs w:val="21"/>
        </w:rPr>
      </w:pPr>
      <w:r>
        <w:rPr>
          <w:rFonts w:hint="eastAsia" w:ascii="宋体" w:hAnsi="宋体" w:eastAsia="宋体" w:cs="宋体"/>
          <w:b/>
          <w:szCs w:val="21"/>
        </w:rPr>
        <w:t>三、本公司已充分知悉下列情形所对应的法律风险，并在投标前已对相关风险事项进行排查。</w:t>
      </w:r>
    </w:p>
    <w:p w14:paraId="3B5143EF">
      <w:pPr>
        <w:spacing w:line="360" w:lineRule="auto"/>
        <w:ind w:firstLine="420" w:firstLineChars="200"/>
        <w:rPr>
          <w:rFonts w:ascii="宋体" w:hAnsi="宋体" w:eastAsia="宋体" w:cs="宋体"/>
          <w:b/>
          <w:szCs w:val="21"/>
        </w:rPr>
      </w:pPr>
      <w:r>
        <w:rPr>
          <w:rFonts w:hint="eastAsia" w:ascii="宋体" w:hAnsi="宋体" w:eastAsia="宋体" w:cs="宋体"/>
          <w:szCs w:val="21"/>
        </w:rPr>
        <w:t>（一）对于从其他主体获取的投标资料，供应商应审慎核查，确保投标资料的真实性。</w:t>
      </w:r>
      <w:r>
        <w:rPr>
          <w:rFonts w:hint="eastAsia" w:ascii="宋体" w:hAnsi="宋体" w:eastAsia="宋体" w:cs="宋体"/>
          <w:b/>
          <w:szCs w:val="21"/>
        </w:rPr>
        <w:t>如主管部门查实投标文件中存在虚假资料的，无论相关资料是否由第三方或本公司员工提供，均不影响主管部门对供应商存在“隐瞒真实情况，提供虚假资料”违法行为的认定。</w:t>
      </w:r>
    </w:p>
    <w:p w14:paraId="7B82B9A7">
      <w:pPr>
        <w:spacing w:line="360" w:lineRule="auto"/>
        <w:ind w:firstLine="420" w:firstLineChars="200"/>
        <w:rPr>
          <w:rFonts w:ascii="宋体" w:hAnsi="宋体" w:eastAsia="宋体" w:cs="宋体"/>
          <w:szCs w:val="21"/>
        </w:rPr>
      </w:pPr>
      <w:r>
        <w:rPr>
          <w:rFonts w:hint="eastAsia" w:ascii="宋体" w:hAnsi="宋体" w:eastAsia="宋体" w:cs="宋体"/>
          <w:szCs w:val="21"/>
        </w:rPr>
        <w:t>（二）对于涉及国家机关出具的公文、证件、证明材料等文件，一旦涉嫌虚假，经查实，主管部门将依法从严处理，并移送有关部门追究法律责任；涉嫌犯罪的，主管部门将一并移送司法机关追究法律责任。</w:t>
      </w:r>
    </w:p>
    <w:p w14:paraId="078B97BA">
      <w:pPr>
        <w:spacing w:line="360" w:lineRule="auto"/>
        <w:ind w:firstLine="420" w:firstLineChars="200"/>
        <w:rPr>
          <w:rFonts w:ascii="宋体" w:hAnsi="宋体" w:eastAsia="宋体" w:cs="宋体"/>
          <w:szCs w:val="21"/>
        </w:rPr>
      </w:pPr>
      <w:r>
        <w:rPr>
          <w:rFonts w:hint="eastAsia" w:ascii="宋体" w:hAnsi="宋体" w:eastAsia="宋体" w:cs="宋体"/>
          <w:szCs w:val="21"/>
        </w:rPr>
        <w:t>（三）对于涉及安全生产、特种作业、抢险救灾、防疫等政府采购项目，供应商实施提供虚假资料、串通投标等违法行为的，主管部门将依法从严处理。</w:t>
      </w:r>
    </w:p>
    <w:p w14:paraId="73C2088E">
      <w:pPr>
        <w:spacing w:line="360" w:lineRule="auto"/>
        <w:ind w:firstLine="420" w:firstLineChars="200"/>
        <w:rPr>
          <w:rFonts w:ascii="宋体" w:hAnsi="宋体" w:eastAsia="宋体" w:cs="宋体"/>
          <w:szCs w:val="21"/>
        </w:rPr>
      </w:pPr>
      <w:r>
        <w:rPr>
          <w:rFonts w:hint="eastAsia" w:ascii="宋体" w:hAnsi="宋体" w:eastAsia="宋体" w:cs="宋体"/>
          <w:szCs w:val="21"/>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552D9EBE">
      <w:pPr>
        <w:spacing w:line="360" w:lineRule="auto"/>
        <w:ind w:firstLine="420" w:firstLineChars="200"/>
        <w:rPr>
          <w:rFonts w:ascii="宋体" w:hAnsi="宋体" w:eastAsia="宋体" w:cs="宋体"/>
          <w:szCs w:val="21"/>
        </w:rPr>
      </w:pPr>
      <w:r>
        <w:rPr>
          <w:rFonts w:hint="eastAsia" w:ascii="宋体" w:hAnsi="宋体" w:eastAsia="宋体" w:cs="宋体"/>
          <w:szCs w:val="21"/>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7B5946F5">
      <w:pPr>
        <w:spacing w:line="360" w:lineRule="auto"/>
        <w:ind w:firstLine="420" w:firstLineChars="200"/>
        <w:rPr>
          <w:rFonts w:ascii="宋体" w:hAnsi="宋体" w:eastAsia="宋体" w:cs="宋体"/>
          <w:szCs w:val="21"/>
        </w:rPr>
      </w:pPr>
      <w:r>
        <w:rPr>
          <w:rFonts w:hint="eastAsia" w:ascii="宋体" w:hAnsi="宋体" w:eastAsia="宋体" w:cs="宋体"/>
          <w:szCs w:val="21"/>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5264E6D6">
      <w:pPr>
        <w:spacing w:line="360" w:lineRule="auto"/>
        <w:ind w:firstLine="422" w:firstLineChars="200"/>
        <w:rPr>
          <w:rFonts w:ascii="宋体" w:hAnsi="宋体" w:eastAsia="宋体" w:cs="宋体"/>
          <w:b/>
          <w:szCs w:val="21"/>
        </w:rPr>
      </w:pPr>
      <w:r>
        <w:rPr>
          <w:rFonts w:hint="eastAsia" w:ascii="宋体" w:hAnsi="宋体" w:eastAsia="宋体" w:cs="宋体"/>
          <w:b/>
          <w:szCs w:val="21"/>
        </w:rPr>
        <w:t>四、本公司已充分知悉政府采购违法、违规行为的法律后果。</w:t>
      </w:r>
    </w:p>
    <w:p w14:paraId="56625F20">
      <w:pPr>
        <w:spacing w:line="360" w:lineRule="auto"/>
        <w:ind w:firstLine="420" w:firstLineChars="200"/>
        <w:rPr>
          <w:rFonts w:ascii="宋体" w:hAnsi="宋体" w:eastAsia="宋体" w:cs="宋体"/>
          <w:szCs w:val="21"/>
        </w:rPr>
      </w:pPr>
      <w:r>
        <w:rPr>
          <w:rFonts w:hint="eastAsia" w:ascii="宋体" w:hAnsi="宋体" w:eastAsia="宋体" w:cs="宋体"/>
          <w:szCs w:val="21"/>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2D0459D9">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我司确认：“本公司已仔细阅读《政府采购违法行为风险知悉确认书》，充分知悉违法行为的法律后果，并承诺将严谨、诚信、依法依规参与政府采购活动”。</w:t>
      </w:r>
    </w:p>
    <w:p w14:paraId="4348EAF7">
      <w:pPr>
        <w:widowControl/>
        <w:wordWrap w:val="0"/>
        <w:autoSpaceDE w:val="0"/>
        <w:autoSpaceDN w:val="0"/>
        <w:spacing w:line="360" w:lineRule="auto"/>
        <w:ind w:right="808" w:firstLine="404" w:firstLineChars="200"/>
        <w:jc w:val="right"/>
        <w:rPr>
          <w:rFonts w:ascii="宋体" w:hAnsi="宋体" w:eastAsia="宋体" w:cs="宋体"/>
          <w:spacing w:val="-4"/>
          <w:kern w:val="0"/>
          <w:szCs w:val="21"/>
          <w:u w:val="single"/>
        </w:rPr>
      </w:pPr>
      <w:r>
        <w:rPr>
          <w:rFonts w:hint="eastAsia" w:ascii="宋体" w:hAnsi="宋体" w:eastAsia="宋体" w:cs="宋体"/>
          <w:spacing w:val="-4"/>
          <w:kern w:val="0"/>
          <w:szCs w:val="21"/>
        </w:rPr>
        <w:t>知悉人：</w:t>
      </w:r>
    </w:p>
    <w:p w14:paraId="66F51917">
      <w:pPr>
        <w:widowControl/>
        <w:wordWrap w:val="0"/>
        <w:autoSpaceDE w:val="0"/>
        <w:autoSpaceDN w:val="0"/>
        <w:spacing w:line="360" w:lineRule="auto"/>
        <w:ind w:right="808" w:firstLine="404" w:firstLineChars="200"/>
        <w:jc w:val="right"/>
        <w:rPr>
          <w:rFonts w:ascii="宋体" w:hAnsi="宋体" w:eastAsia="宋体" w:cs="宋体"/>
          <w:spacing w:val="-4"/>
          <w:kern w:val="0"/>
          <w:szCs w:val="21"/>
          <w:u w:val="single"/>
        </w:rPr>
      </w:pPr>
      <w:r>
        <w:rPr>
          <w:rFonts w:hint="eastAsia" w:ascii="宋体" w:hAnsi="宋体" w:eastAsia="宋体" w:cs="宋体"/>
          <w:spacing w:val="-4"/>
          <w:kern w:val="0"/>
          <w:szCs w:val="21"/>
        </w:rPr>
        <w:t xml:space="preserve">     日期：</w:t>
      </w:r>
    </w:p>
    <w:p w14:paraId="1196F1B2">
      <w:pPr>
        <w:widowControl/>
        <w:wordWrap w:val="0"/>
        <w:autoSpaceDE w:val="0"/>
        <w:autoSpaceDN w:val="0"/>
        <w:spacing w:line="360" w:lineRule="auto"/>
        <w:ind w:right="1414" w:firstLine="404" w:firstLineChars="200"/>
        <w:jc w:val="right"/>
        <w:rPr>
          <w:rFonts w:ascii="宋体" w:hAnsi="宋体" w:eastAsia="宋体" w:cs="宋体"/>
          <w:spacing w:val="-4"/>
          <w:kern w:val="0"/>
          <w:szCs w:val="21"/>
        </w:rPr>
      </w:pPr>
    </w:p>
    <w:p w14:paraId="2235FB4A">
      <w:pPr>
        <w:widowControl/>
        <w:autoSpaceDE w:val="0"/>
        <w:autoSpaceDN w:val="0"/>
        <w:spacing w:line="360" w:lineRule="auto"/>
        <w:ind w:firstLine="406" w:firstLineChars="200"/>
        <w:jc w:val="left"/>
        <w:rPr>
          <w:rFonts w:ascii="宋体" w:hAnsi="宋体" w:eastAsia="宋体" w:cs="宋体"/>
          <w:b/>
          <w:bCs/>
          <w:color w:val="FF0000"/>
          <w:spacing w:val="-4"/>
          <w:kern w:val="0"/>
          <w:szCs w:val="21"/>
        </w:rPr>
      </w:pPr>
      <w:r>
        <w:rPr>
          <w:rFonts w:hint="eastAsia" w:ascii="宋体" w:hAnsi="宋体" w:eastAsia="宋体" w:cs="宋体"/>
          <w:b/>
          <w:bCs/>
          <w:color w:val="FF0000"/>
          <w:spacing w:val="-4"/>
          <w:kern w:val="0"/>
          <w:szCs w:val="21"/>
        </w:rPr>
        <w:t>注：</w:t>
      </w:r>
    </w:p>
    <w:p w14:paraId="4DD481F1">
      <w:pPr>
        <w:widowControl/>
        <w:autoSpaceDE w:val="0"/>
        <w:autoSpaceDN w:val="0"/>
        <w:spacing w:line="360" w:lineRule="auto"/>
        <w:ind w:firstLine="406" w:firstLineChars="200"/>
        <w:jc w:val="left"/>
        <w:rPr>
          <w:rFonts w:ascii="宋体" w:hAnsi="宋体" w:eastAsia="宋体" w:cs="宋体"/>
          <w:b/>
          <w:bCs/>
          <w:color w:val="FF0000"/>
          <w:spacing w:val="-4"/>
          <w:kern w:val="0"/>
          <w:szCs w:val="21"/>
        </w:rPr>
      </w:pPr>
      <w:r>
        <w:rPr>
          <w:rFonts w:hint="eastAsia" w:ascii="宋体" w:hAnsi="宋体" w:eastAsia="宋体" w:cs="宋体"/>
          <w:b/>
          <w:bCs/>
          <w:color w:val="FF0000"/>
          <w:spacing w:val="-4"/>
          <w:kern w:val="0"/>
          <w:szCs w:val="21"/>
        </w:rPr>
        <w:t>1.根据《深圳市财政局关于采购文件增加风险告知有关事项的通知》（深财购〔2022〕22 号），该风险知悉确认书用于对供应商违法行为的警示，不作为供应商资格性审查及符合性审查条件。</w:t>
      </w:r>
    </w:p>
    <w:p w14:paraId="66334CEC">
      <w:pPr>
        <w:widowControl/>
        <w:autoSpaceDE w:val="0"/>
        <w:autoSpaceDN w:val="0"/>
        <w:spacing w:line="360" w:lineRule="auto"/>
        <w:ind w:right="1414" w:firstLine="420" w:firstLineChars="200"/>
        <w:jc w:val="right"/>
        <w:rPr>
          <w:rFonts w:ascii="宋体" w:hAnsi="宋体" w:eastAsia="宋体" w:cs="宋体"/>
          <w:kern w:val="0"/>
          <w:szCs w:val="21"/>
        </w:rPr>
      </w:pPr>
    </w:p>
    <w:p w14:paraId="77E3EA0E">
      <w:pPr>
        <w:widowControl/>
        <w:autoSpaceDE w:val="0"/>
        <w:autoSpaceDN w:val="0"/>
        <w:spacing w:line="400" w:lineRule="exact"/>
        <w:ind w:right="1414" w:firstLine="480" w:firstLineChars="200"/>
        <w:jc w:val="right"/>
        <w:rPr>
          <w:kern w:val="0"/>
          <w:sz w:val="24"/>
        </w:rPr>
      </w:pPr>
    </w:p>
    <w:p w14:paraId="7B065B9A">
      <w:pPr>
        <w:widowControl/>
        <w:spacing w:line="360" w:lineRule="auto"/>
        <w:jc w:val="left"/>
        <w:rPr>
          <w:rFonts w:ascii="宋体" w:hAnsi="宋体" w:eastAsia="宋体" w:cs="宋体"/>
          <w:b/>
          <w:bCs/>
          <w:kern w:val="0"/>
          <w:sz w:val="24"/>
          <w:szCs w:val="24"/>
        </w:rPr>
      </w:pPr>
    </w:p>
    <w:p w14:paraId="1ED6B375">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（二）投标人认为需要加以说明的其他内容（格式自定）</w:t>
      </w:r>
    </w:p>
    <w:p w14:paraId="255B4B93">
      <w:pPr>
        <w:spacing w:afterLines="25" w:line="300" w:lineRule="auto"/>
        <w:rPr>
          <w:rFonts w:ascii="Arial" w:hAnsi="Arial" w:eastAsia="宋体" w:cs="Times New Roman"/>
          <w:sz w:val="24"/>
          <w:szCs w:val="24"/>
        </w:rPr>
      </w:pPr>
    </w:p>
    <w:p w14:paraId="6166952A">
      <w:r>
        <w:rPr>
          <w:rFonts w:hint="eastAsia" w:ascii="Arial" w:hAnsi="Arial" w:eastAsia="宋体" w:cs="Times New Roman"/>
          <w:sz w:val="24"/>
          <w:szCs w:val="24"/>
        </w:rPr>
        <w:br w:type="page"/>
      </w:r>
    </w:p>
    <w:p w14:paraId="4EF9B25E">
      <w:pPr>
        <w:keepNext/>
        <w:keepLines/>
        <w:adjustRightInd w:val="0"/>
        <w:spacing w:before="260" w:after="260"/>
        <w:jc w:val="center"/>
        <w:textAlignment w:val="baseline"/>
        <w:outlineLvl w:val="1"/>
        <w:rPr>
          <w:rFonts w:ascii="宋体" w:hAnsi="宋体" w:eastAsia="宋体" w:cs="Times New Roman"/>
          <w:b/>
          <w:bCs/>
          <w:kern w:val="0"/>
          <w:sz w:val="28"/>
          <w:szCs w:val="28"/>
        </w:rPr>
      </w:pPr>
      <w:r>
        <w:rPr>
          <w:rFonts w:hint="eastAsia" w:ascii="宋体" w:hAnsi="宋体" w:eastAsia="宋体" w:cs="Times New Roman"/>
          <w:b/>
          <w:bCs/>
          <w:kern w:val="0"/>
          <w:sz w:val="28"/>
          <w:szCs w:val="28"/>
        </w:rPr>
        <w:t>第五章  合同条款及格式</w:t>
      </w:r>
    </w:p>
    <w:p w14:paraId="04D042C6">
      <w:pPr>
        <w:widowControl/>
        <w:jc w:val="center"/>
        <w:rPr>
          <w:rFonts w:ascii="宋体" w:hAnsi="宋体" w:eastAsia="黑体" w:cs="Times New Roman"/>
          <w:bCs/>
          <w:kern w:val="44"/>
          <w:sz w:val="28"/>
          <w:szCs w:val="44"/>
        </w:rPr>
      </w:pPr>
      <w:bookmarkStart w:id="27" w:name="_Hlk72574405"/>
      <w:r>
        <w:rPr>
          <w:rFonts w:hint="eastAsia"/>
          <w:b/>
          <w:sz w:val="24"/>
        </w:rPr>
        <w:t>（仅供参考，具体以项目需求及采购结果为准）</w:t>
      </w:r>
      <w:bookmarkEnd w:id="27"/>
    </w:p>
    <w:p w14:paraId="67DF924B">
      <w:pPr>
        <w:snapToGrid w:val="0"/>
        <w:spacing w:line="300" w:lineRule="auto"/>
        <w:jc w:val="center"/>
        <w:rPr>
          <w:rFonts w:ascii="仿宋" w:hAnsi="仿宋" w:eastAsia="仿宋" w:cs="Times New Roman"/>
          <w:sz w:val="28"/>
          <w:szCs w:val="28"/>
        </w:rPr>
      </w:pPr>
    </w:p>
    <w:p w14:paraId="07E76900">
      <w:pPr>
        <w:snapToGrid w:val="0"/>
        <w:spacing w:line="300" w:lineRule="auto"/>
        <w:jc w:val="center"/>
        <w:rPr>
          <w:rFonts w:ascii="仿宋" w:hAnsi="仿宋" w:eastAsia="仿宋" w:cs="Times New Roman"/>
          <w:sz w:val="28"/>
          <w:szCs w:val="28"/>
        </w:rPr>
      </w:pPr>
    </w:p>
    <w:p w14:paraId="53386B47">
      <w:pPr>
        <w:snapToGrid w:val="0"/>
        <w:spacing w:line="300" w:lineRule="auto"/>
        <w:jc w:val="center"/>
        <w:rPr>
          <w:rFonts w:ascii="仿宋" w:hAnsi="仿宋" w:eastAsia="仿宋" w:cs="Times New Roman"/>
          <w:sz w:val="28"/>
          <w:szCs w:val="28"/>
        </w:rPr>
      </w:pPr>
    </w:p>
    <w:p w14:paraId="20943ADF">
      <w:pPr>
        <w:snapToGrid w:val="0"/>
        <w:spacing w:line="300" w:lineRule="auto"/>
        <w:jc w:val="center"/>
        <w:rPr>
          <w:rFonts w:ascii="仿宋" w:hAnsi="仿宋" w:eastAsia="仿宋" w:cs="Times New Roman"/>
          <w:sz w:val="28"/>
          <w:szCs w:val="28"/>
        </w:rPr>
      </w:pPr>
    </w:p>
    <w:p w14:paraId="15ED8C1F">
      <w:pPr>
        <w:snapToGrid w:val="0"/>
        <w:spacing w:line="300" w:lineRule="auto"/>
        <w:jc w:val="center"/>
        <w:rPr>
          <w:rFonts w:ascii="仿宋" w:hAnsi="仿宋" w:eastAsia="仿宋" w:cs="Times New Roman"/>
          <w:sz w:val="28"/>
          <w:szCs w:val="28"/>
        </w:rPr>
      </w:pPr>
    </w:p>
    <w:p w14:paraId="0AF10FB9">
      <w:pPr>
        <w:pStyle w:val="6"/>
        <w:spacing w:line="360" w:lineRule="auto"/>
        <w:jc w:val="center"/>
        <w:rPr>
          <w:sz w:val="28"/>
          <w:szCs w:val="28"/>
        </w:rPr>
      </w:pPr>
      <w:r>
        <w:rPr>
          <w:rFonts w:hint="eastAsia"/>
          <w:sz w:val="28"/>
          <w:szCs w:val="28"/>
        </w:rPr>
        <w:t>工程名称：外墙与门头改造工程</w:t>
      </w:r>
    </w:p>
    <w:p w14:paraId="114F0688">
      <w:pPr>
        <w:pStyle w:val="6"/>
        <w:spacing w:line="360" w:lineRule="auto"/>
        <w:jc w:val="center"/>
        <w:rPr>
          <w:sz w:val="28"/>
          <w:szCs w:val="28"/>
        </w:rPr>
      </w:pPr>
      <w:r>
        <w:rPr>
          <w:rFonts w:hint="eastAsia"/>
          <w:sz w:val="28"/>
          <w:szCs w:val="28"/>
        </w:rPr>
        <w:t>工程地点：深圳市龙华区同胜学校附属富隆苑幼儿园</w:t>
      </w:r>
    </w:p>
    <w:p w14:paraId="5A21EF5A">
      <w:pPr>
        <w:pStyle w:val="6"/>
        <w:spacing w:line="360" w:lineRule="auto"/>
        <w:jc w:val="center"/>
        <w:rPr>
          <w:sz w:val="28"/>
          <w:szCs w:val="28"/>
        </w:rPr>
      </w:pPr>
      <w:r>
        <w:rPr>
          <w:rFonts w:hint="eastAsia"/>
          <w:sz w:val="28"/>
          <w:szCs w:val="28"/>
        </w:rPr>
        <w:t>采购单位：深圳市龙华区同胜学校附属富隆苑幼儿园</w:t>
      </w:r>
    </w:p>
    <w:p w14:paraId="317D0E6F">
      <w:pPr>
        <w:pStyle w:val="6"/>
        <w:spacing w:line="360" w:lineRule="auto"/>
        <w:ind w:firstLine="1642" w:firstLineChars="584"/>
        <w:jc w:val="both"/>
      </w:pPr>
      <w:r>
        <w:rPr>
          <w:rFonts w:hint="eastAsia"/>
          <w:sz w:val="28"/>
          <w:szCs w:val="28"/>
        </w:rPr>
        <w:t xml:space="preserve">中标单位： </w:t>
      </w:r>
      <w:r>
        <w:rPr>
          <w:rFonts w:hint="eastAsia"/>
        </w:rPr>
        <w:t xml:space="preserve"> </w:t>
      </w:r>
      <w:r>
        <w:rPr>
          <w:rFonts w:hint="eastAsia"/>
          <w:u w:val="single"/>
          <w:lang w:val="en-US" w:eastAsia="zh-CN"/>
        </w:rPr>
        <w:t xml:space="preserve">                                            </w:t>
      </w:r>
      <w:r>
        <w:rPr>
          <w:rFonts w:hint="eastAsia"/>
        </w:rPr>
        <w:t xml:space="preserve">                                     </w:t>
      </w:r>
    </w:p>
    <w:p w14:paraId="5774B8F7">
      <w:pPr>
        <w:pStyle w:val="6"/>
      </w:pPr>
    </w:p>
    <w:p w14:paraId="318B4A68">
      <w:pPr>
        <w:pStyle w:val="6"/>
      </w:pPr>
    </w:p>
    <w:p w14:paraId="0BDC7C29">
      <w:pPr>
        <w:pStyle w:val="6"/>
      </w:pPr>
    </w:p>
    <w:p w14:paraId="625EE016">
      <w:pPr>
        <w:pStyle w:val="6"/>
      </w:pPr>
    </w:p>
    <w:p w14:paraId="620C1B5B">
      <w:pPr>
        <w:pStyle w:val="6"/>
      </w:pPr>
    </w:p>
    <w:p w14:paraId="522C3603">
      <w:pPr>
        <w:pStyle w:val="6"/>
      </w:pPr>
    </w:p>
    <w:p w14:paraId="1120F7B4">
      <w:pPr>
        <w:pStyle w:val="6"/>
      </w:pPr>
    </w:p>
    <w:p w14:paraId="74B20BD5">
      <w:pPr>
        <w:pStyle w:val="6"/>
      </w:pPr>
    </w:p>
    <w:p w14:paraId="49022E3A">
      <w:pPr>
        <w:pStyle w:val="6"/>
      </w:pPr>
    </w:p>
    <w:p w14:paraId="7AB846F8">
      <w:pPr>
        <w:pStyle w:val="6"/>
      </w:pPr>
    </w:p>
    <w:p w14:paraId="0BA9C043">
      <w:pPr>
        <w:pStyle w:val="6"/>
      </w:pPr>
    </w:p>
    <w:p w14:paraId="2AE12C8C">
      <w:pPr>
        <w:pStyle w:val="6"/>
      </w:pPr>
    </w:p>
    <w:p w14:paraId="6EF329F8">
      <w:pPr>
        <w:pStyle w:val="6"/>
      </w:pPr>
    </w:p>
    <w:p w14:paraId="27F6CE33">
      <w:pPr>
        <w:pStyle w:val="6"/>
      </w:pPr>
    </w:p>
    <w:p w14:paraId="72615157">
      <w:pPr>
        <w:pStyle w:val="6"/>
      </w:pPr>
    </w:p>
    <w:p w14:paraId="3AC2B8B1">
      <w:pPr>
        <w:pStyle w:val="6"/>
      </w:pPr>
    </w:p>
    <w:p w14:paraId="72192480">
      <w:pPr>
        <w:pStyle w:val="6"/>
      </w:pPr>
    </w:p>
    <w:p w14:paraId="550F9D3F">
      <w:pPr>
        <w:pStyle w:val="6"/>
        <w:rPr>
          <w:sz w:val="28"/>
          <w:szCs w:val="28"/>
        </w:rPr>
      </w:pPr>
      <w:r>
        <w:rPr>
          <w:rFonts w:hint="eastAsia"/>
          <w:sz w:val="28"/>
          <w:szCs w:val="28"/>
        </w:rPr>
        <w:t>编制说明</w:t>
      </w:r>
    </w:p>
    <w:p w14:paraId="4FE79EA1">
      <w:pPr>
        <w:pStyle w:val="6"/>
      </w:pPr>
    </w:p>
    <w:p w14:paraId="6B227351">
      <w:pPr>
        <w:pStyle w:val="6"/>
        <w:jc w:val="both"/>
      </w:pPr>
    </w:p>
    <w:p w14:paraId="0A9013B7">
      <w:pPr>
        <w:pStyle w:val="6"/>
        <w:jc w:val="both"/>
      </w:pPr>
      <w:r>
        <w:rPr>
          <w:rFonts w:hint="eastAsia"/>
        </w:rPr>
        <w:t>本合同是根据《中华人民共和国民法典》、《中华人民共和国建筑法》、《中华人民共和国招标投标法》等法律以及深圳市相关的法规制定的项目建设工程施工合同，针对项目实际情况简化后的施工合同。</w:t>
      </w:r>
    </w:p>
    <w:p w14:paraId="32519893">
      <w:pPr>
        <w:pStyle w:val="6"/>
        <w:jc w:val="both"/>
      </w:pPr>
      <w:r>
        <w:rPr>
          <w:rFonts w:hint="eastAsia"/>
        </w:rPr>
        <w:t>本合同包括工程概况、合同工期、质量标准、合同条款等合同主要内容，明确了组成合同的所有文件，并约定了合同生效的方式及合同订立的时间、地点。招标投标的工程，合同当事人应当依据招投标文件订立合同，合同条款不得与招投标文件内容有实质性背离。</w:t>
      </w:r>
    </w:p>
    <w:p w14:paraId="263B119B">
      <w:pPr>
        <w:pStyle w:val="6"/>
        <w:jc w:val="both"/>
      </w:pPr>
      <w:r>
        <w:rPr>
          <w:rFonts w:hint="eastAsia"/>
        </w:rPr>
        <w:t>本合同适用于建设工程施工承发包单价合同（固定单价合同）。</w:t>
      </w:r>
    </w:p>
    <w:p w14:paraId="7396C4F1">
      <w:pPr>
        <w:pStyle w:val="6"/>
        <w:jc w:val="both"/>
      </w:pPr>
      <w:r>
        <w:rPr>
          <w:rFonts w:hint="eastAsia"/>
        </w:rPr>
        <w:t>任何人未经采购单位人同意，不得以任何形式复制、抄袭本合同的任何部分。</w:t>
      </w:r>
    </w:p>
    <w:p w14:paraId="030DB89E">
      <w:pPr>
        <w:pStyle w:val="6"/>
      </w:pPr>
    </w:p>
    <w:p w14:paraId="765D6C89">
      <w:pPr>
        <w:pStyle w:val="6"/>
      </w:pPr>
    </w:p>
    <w:p w14:paraId="412EA607">
      <w:pPr>
        <w:pStyle w:val="6"/>
      </w:pPr>
    </w:p>
    <w:p w14:paraId="2A162EC6">
      <w:pPr>
        <w:pStyle w:val="6"/>
      </w:pPr>
    </w:p>
    <w:p w14:paraId="119FD95A">
      <w:pPr>
        <w:pStyle w:val="6"/>
      </w:pPr>
    </w:p>
    <w:p w14:paraId="3E0CC6E2">
      <w:pPr>
        <w:pStyle w:val="6"/>
      </w:pPr>
    </w:p>
    <w:p w14:paraId="4BA91A37">
      <w:pPr>
        <w:pStyle w:val="6"/>
      </w:pPr>
    </w:p>
    <w:p w14:paraId="4EBDAA2E">
      <w:pPr>
        <w:pStyle w:val="6"/>
      </w:pPr>
    </w:p>
    <w:p w14:paraId="0222C0E7">
      <w:pPr>
        <w:pStyle w:val="6"/>
      </w:pPr>
    </w:p>
    <w:p w14:paraId="44594AD4">
      <w:pPr>
        <w:pStyle w:val="6"/>
      </w:pPr>
    </w:p>
    <w:p w14:paraId="46C8C5A6">
      <w:pPr>
        <w:pStyle w:val="6"/>
      </w:pPr>
    </w:p>
    <w:p w14:paraId="26A73D40">
      <w:pPr>
        <w:pStyle w:val="6"/>
      </w:pPr>
    </w:p>
    <w:p w14:paraId="1480DD39">
      <w:pPr>
        <w:pStyle w:val="6"/>
      </w:pPr>
    </w:p>
    <w:p w14:paraId="4DD2B05B">
      <w:pPr>
        <w:pStyle w:val="6"/>
      </w:pPr>
    </w:p>
    <w:p w14:paraId="52D11E8E">
      <w:pPr>
        <w:pStyle w:val="6"/>
      </w:pPr>
    </w:p>
    <w:p w14:paraId="2A128003">
      <w:pPr>
        <w:pStyle w:val="6"/>
      </w:pPr>
    </w:p>
    <w:p w14:paraId="472D8752">
      <w:pPr>
        <w:pStyle w:val="6"/>
      </w:pPr>
    </w:p>
    <w:p w14:paraId="0C7ABF35">
      <w:pPr>
        <w:pStyle w:val="6"/>
        <w:ind w:left="0" w:leftChars="0" w:firstLine="0" w:firstLineChars="0"/>
        <w:jc w:val="both"/>
      </w:pPr>
    </w:p>
    <w:p w14:paraId="7646B881">
      <w:pPr>
        <w:ind w:firstLine="601" w:firstLineChars="187"/>
        <w:jc w:val="center"/>
        <w:rPr>
          <w:rFonts w:hint="eastAsia" w:ascii="Arial" w:hAnsi="Arial" w:eastAsia="宋体" w:cs="Times New Roman"/>
          <w:b/>
          <w:bCs/>
          <w:kern w:val="44"/>
          <w:sz w:val="32"/>
          <w:szCs w:val="32"/>
          <w:lang w:val="en-US" w:eastAsia="zh-CN" w:bidi="ar-SA"/>
        </w:rPr>
      </w:pPr>
      <w:r>
        <w:rPr>
          <w:rFonts w:hint="eastAsia" w:ascii="Arial" w:hAnsi="Arial" w:eastAsia="宋体" w:cs="Times New Roman"/>
          <w:b/>
          <w:bCs/>
          <w:kern w:val="44"/>
          <w:sz w:val="32"/>
          <w:szCs w:val="32"/>
          <w:lang w:val="en-US" w:eastAsia="zh-CN" w:bidi="ar-SA"/>
        </w:rPr>
        <w:t>第一部分  协议书</w:t>
      </w:r>
    </w:p>
    <w:p w14:paraId="249A4BFD">
      <w:pPr>
        <w:ind w:firstLine="392" w:firstLineChars="187"/>
        <w:rPr>
          <w:rFonts w:ascii="宋体" w:hAnsi="宋体" w:eastAsia="宋体" w:cs="Times New Roman"/>
          <w:szCs w:val="21"/>
        </w:rPr>
      </w:pPr>
    </w:p>
    <w:p w14:paraId="2312ABF9">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采购单位(全称)：深圳市龙华区同胜学校附属富隆苑幼儿园</w:t>
      </w:r>
    </w:p>
    <w:p w14:paraId="671A4A3D">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 xml:space="preserve">中标单位(全称)：                  </w:t>
      </w:r>
    </w:p>
    <w:p w14:paraId="243C23AA">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根据《中华人民共和国民法典》、《中华人民共和国建筑法》等有关法律、法规，遵循平等、自愿、公平和诚信的原则，发、中标单位就本工程施工事项协商一致，订立本合同，达成协议如下：</w:t>
      </w:r>
    </w:p>
    <w:p w14:paraId="5B692E6E">
      <w:pPr>
        <w:spacing w:line="360" w:lineRule="auto"/>
        <w:ind w:firstLine="392" w:firstLineChars="187"/>
        <w:rPr>
          <w:rFonts w:ascii="宋体" w:hAnsi="宋体" w:eastAsia="宋体" w:cs="Times New Roman"/>
          <w:szCs w:val="21"/>
        </w:rPr>
      </w:pPr>
    </w:p>
    <w:p w14:paraId="4C3D12D0">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一、工程概况</w:t>
      </w:r>
    </w:p>
    <w:p w14:paraId="0580CE84">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 xml:space="preserve">工程名称：外墙与门头改造工程                   </w:t>
      </w:r>
    </w:p>
    <w:p w14:paraId="67D3FAEB">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工程地点：深圳市龙华区同胜学校附属富隆苑幼儿园</w:t>
      </w:r>
    </w:p>
    <w:p w14:paraId="20F934A9">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 xml:space="preserve">工程规模及特征：本项目整改的主要内容为幼儿园外墙涂料刷新与大门改造更新等，小型工程，具体施工内容详见设计图纸               </w:t>
      </w:r>
    </w:p>
    <w:p w14:paraId="73563E13">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 xml:space="preserve">工程承包范围：  详见预算书或工程量清单                            </w:t>
      </w:r>
    </w:p>
    <w:p w14:paraId="3A02F3AC">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 xml:space="preserve">资金来源：      财政性资金100%                                   </w:t>
      </w:r>
    </w:p>
    <w:p w14:paraId="0511F300">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二、合同工期</w:t>
      </w:r>
    </w:p>
    <w:p w14:paraId="0D361E7C">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 xml:space="preserve">计划开工日期：                              </w:t>
      </w:r>
    </w:p>
    <w:p w14:paraId="5E80B891">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 xml:space="preserve">计划竣工日期：                                 </w:t>
      </w:r>
    </w:p>
    <w:p w14:paraId="337B19CA">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合同工期总日历天数 30 天。</w:t>
      </w:r>
    </w:p>
    <w:p w14:paraId="71D6D7FD">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1、因采购单位原因导致本合同项目不能在约定日期开工的，以具备开工条件的时间为开工日期，工期相应顺延。采购单位与中标单位双方应书面确认具体开工时间。</w:t>
      </w:r>
    </w:p>
    <w:p w14:paraId="010D6C08">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2、因中标单位原因导致本合同项目不能在约定的日期开工的，工期不予顺延。</w:t>
      </w:r>
    </w:p>
    <w:p w14:paraId="43F359E2">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3、自工程完工之日起 7 日内，中标单位通知采购单位验收。经采购单位确认验收通过的时间为竣工日期。中标单位不存在违约情形时，因采购单位原因不进行验收的，中标单位向采购单位发出验收通知的时间为竣工日期。采购单位在中标单位发出验收通知前擅自使用的，视为已经验收，采购单位开始使用的时间为竣工日期。</w:t>
      </w:r>
    </w:p>
    <w:p w14:paraId="711DDF06">
      <w:pPr>
        <w:spacing w:line="360" w:lineRule="auto"/>
        <w:ind w:firstLine="394" w:firstLineChars="187"/>
        <w:rPr>
          <w:rFonts w:ascii="宋体" w:hAnsi="宋体" w:eastAsia="宋体" w:cs="Times New Roman"/>
          <w:b/>
          <w:bCs/>
          <w:szCs w:val="21"/>
        </w:rPr>
      </w:pPr>
      <w:r>
        <w:rPr>
          <w:rFonts w:hint="eastAsia" w:ascii="宋体" w:hAnsi="宋体" w:eastAsia="宋体" w:cs="Times New Roman"/>
          <w:b/>
          <w:bCs/>
          <w:szCs w:val="21"/>
        </w:rPr>
        <w:t>三、质量标准</w:t>
      </w:r>
    </w:p>
    <w:p w14:paraId="30342651">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本工程质量标准应当符合中华人民共和国《建筑工程施工质量验收统一标准》等国家、行业、施工项目所在地政府部门制定的质量标准及其他有关法律法规的规定。</w:t>
      </w:r>
    </w:p>
    <w:p w14:paraId="1D7DBDD5">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四、合同价款</w:t>
      </w:r>
    </w:p>
    <w:p w14:paraId="6D35719F">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 xml:space="preserve">1、币种：人民币 </w:t>
      </w:r>
    </w:p>
    <w:p w14:paraId="263ACCFA">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2、合同总价（大写）：叁拾陆万肆仟肆佰柒拾贰元捌角叁分</w:t>
      </w:r>
    </w:p>
    <w:p w14:paraId="1AE34DE7">
      <w:pPr>
        <w:spacing w:line="360" w:lineRule="auto"/>
        <w:ind w:firstLine="392" w:firstLineChars="187"/>
        <w:rPr>
          <w:rFonts w:ascii="宋体" w:hAnsi="宋体" w:eastAsia="宋体" w:cs="Times New Roman"/>
          <w:szCs w:val="21"/>
          <w:lang w:val="zh-CN"/>
        </w:rPr>
      </w:pPr>
      <w:r>
        <w:rPr>
          <w:rFonts w:hint="eastAsia" w:ascii="宋体" w:hAnsi="宋体" w:eastAsia="宋体" w:cs="Times New Roman"/>
          <w:szCs w:val="21"/>
        </w:rPr>
        <w:t>（小写）：¥</w:t>
      </w:r>
      <w:r>
        <w:rPr>
          <w:rFonts w:ascii="宋体" w:hAnsi="宋体" w:eastAsia="宋体" w:cs="Times New Roman"/>
          <w:szCs w:val="21"/>
          <w:lang w:val="zh-CN"/>
        </w:rPr>
        <w:t>364472.83</w:t>
      </w:r>
      <w:r>
        <w:rPr>
          <w:rFonts w:hint="eastAsia" w:ascii="宋体" w:hAnsi="宋体" w:eastAsia="宋体" w:cs="Times New Roman"/>
          <w:szCs w:val="21"/>
          <w:lang w:val="zh-CN"/>
        </w:rPr>
        <w:t xml:space="preserve">元 </w:t>
      </w:r>
    </w:p>
    <w:p w14:paraId="1ECB234E">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（其中本项目预算价为</w:t>
      </w:r>
      <w:r>
        <w:rPr>
          <w:rFonts w:ascii="宋体" w:hAnsi="宋体" w:eastAsia="宋体" w:cs="宋体"/>
          <w:kern w:val="0"/>
          <w:sz w:val="20"/>
          <w:szCs w:val="20"/>
        </w:rPr>
        <w:t>364472.83</w:t>
      </w:r>
      <w:r>
        <w:rPr>
          <w:rFonts w:hint="eastAsia" w:ascii="宋体" w:hAnsi="宋体" w:eastAsia="宋体" w:cs="Times New Roman"/>
          <w:szCs w:val="21"/>
        </w:rPr>
        <w:t>元，大写叁拾陆万肆仟肆佰柒拾贰元捌角叁分元，下浮率0%）</w:t>
      </w:r>
    </w:p>
    <w:p w14:paraId="097FC992">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3、项目单价：详见经采购单位与中标单位盖章确认的工程报价单或预算书。</w:t>
      </w:r>
    </w:p>
    <w:p w14:paraId="703B2AFF">
      <w:pPr>
        <w:spacing w:line="360" w:lineRule="auto"/>
        <w:ind w:firstLine="394" w:firstLineChars="187"/>
        <w:rPr>
          <w:rFonts w:ascii="宋体" w:hAnsi="宋体" w:eastAsia="宋体" w:cs="Times New Roman"/>
          <w:b/>
          <w:bCs/>
          <w:szCs w:val="21"/>
        </w:rPr>
      </w:pPr>
      <w:r>
        <w:rPr>
          <w:rFonts w:hint="eastAsia" w:ascii="宋体" w:hAnsi="宋体" w:eastAsia="宋体" w:cs="Times New Roman"/>
          <w:b/>
          <w:bCs/>
          <w:szCs w:val="21"/>
        </w:rPr>
        <w:t>五、工程款支付</w:t>
      </w:r>
    </w:p>
    <w:p w14:paraId="476A1500">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1、</w:t>
      </w:r>
      <w:r>
        <w:rPr>
          <w:rFonts w:hint="eastAsia" w:ascii="宋体" w:hAnsi="宋体" w:eastAsia="宋体" w:cs="宋体"/>
          <w:iCs/>
          <w:szCs w:val="21"/>
        </w:rPr>
        <w:t>工程竣工验收，并完成结算审核后，采购人一次性支付结算审核金额的100%</w:t>
      </w:r>
      <w:r>
        <w:rPr>
          <w:rFonts w:hint="eastAsia" w:ascii="宋体" w:hAnsi="宋体" w:eastAsia="宋体" w:cs="宋体"/>
          <w:szCs w:val="21"/>
        </w:rPr>
        <w:t>。</w:t>
      </w:r>
    </w:p>
    <w:p w14:paraId="21A41C64">
      <w:pPr>
        <w:spacing w:line="360" w:lineRule="auto"/>
        <w:ind w:firstLine="394" w:firstLineChars="187"/>
        <w:rPr>
          <w:rFonts w:ascii="宋体" w:hAnsi="宋体" w:eastAsia="宋体" w:cs="Times New Roman"/>
          <w:b/>
          <w:bCs/>
          <w:szCs w:val="21"/>
        </w:rPr>
      </w:pPr>
      <w:r>
        <w:rPr>
          <w:rFonts w:hint="eastAsia" w:ascii="宋体" w:hAnsi="宋体" w:eastAsia="宋体" w:cs="Times New Roman"/>
          <w:b/>
          <w:bCs/>
          <w:szCs w:val="21"/>
        </w:rPr>
        <w:t>六、承诺</w:t>
      </w:r>
    </w:p>
    <w:p w14:paraId="40AD25A6">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1、采购单位向中标单位承诺按照本合同约定的期限和方式支付合同价款及其它应当支付的款项,并履行本合同所约定的全部义务。</w:t>
      </w:r>
    </w:p>
    <w:p w14:paraId="7ECF494E">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2、中标单位向采购单位承诺按照本合同约定进行施工、竣工并在缺陷责任期内及保修期内承担工程质量缺陷保修责任,并履行本合同书所约定的全部义务。</w:t>
      </w:r>
    </w:p>
    <w:p w14:paraId="689294F5">
      <w:pPr>
        <w:spacing w:line="360" w:lineRule="auto"/>
        <w:ind w:firstLine="394" w:firstLineChars="187"/>
        <w:rPr>
          <w:rFonts w:ascii="宋体" w:hAnsi="宋体" w:eastAsia="宋体" w:cs="Times New Roman"/>
          <w:b/>
          <w:bCs/>
          <w:szCs w:val="21"/>
        </w:rPr>
      </w:pPr>
      <w:r>
        <w:rPr>
          <w:rFonts w:hint="eastAsia" w:ascii="宋体" w:hAnsi="宋体" w:eastAsia="宋体" w:cs="Times New Roman"/>
          <w:b/>
          <w:bCs/>
          <w:szCs w:val="21"/>
        </w:rPr>
        <w:t>七、合同生效</w:t>
      </w:r>
    </w:p>
    <w:p w14:paraId="2B666B88">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采购单位、中标单位约定本合同自双方法定代表人（或负责人）签字并加盖单位公章之日起生效。</w:t>
      </w:r>
    </w:p>
    <w:p w14:paraId="29EB8569">
      <w:pPr>
        <w:spacing w:line="360" w:lineRule="auto"/>
        <w:ind w:firstLine="394" w:firstLineChars="187"/>
        <w:rPr>
          <w:rFonts w:ascii="宋体" w:hAnsi="宋体" w:eastAsia="宋体" w:cs="Times New Roman"/>
          <w:b/>
          <w:bCs/>
          <w:szCs w:val="21"/>
        </w:rPr>
      </w:pPr>
      <w:r>
        <w:rPr>
          <w:rFonts w:hint="eastAsia" w:ascii="宋体" w:hAnsi="宋体" w:eastAsia="宋体" w:cs="Times New Roman"/>
          <w:b/>
          <w:bCs/>
          <w:szCs w:val="21"/>
        </w:rPr>
        <w:t>八、合同份数</w:t>
      </w:r>
    </w:p>
    <w:p w14:paraId="52924E20">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本合同一式陆份，采购单位肆份，中标单位贰份，均具有同等的法律效力。</w:t>
      </w:r>
    </w:p>
    <w:p w14:paraId="09E07208">
      <w:pPr>
        <w:spacing w:line="360" w:lineRule="auto"/>
        <w:ind w:firstLine="394" w:firstLineChars="187"/>
        <w:rPr>
          <w:rFonts w:ascii="宋体" w:hAnsi="宋体" w:eastAsia="宋体" w:cs="Times New Roman"/>
          <w:b/>
          <w:bCs/>
          <w:szCs w:val="21"/>
        </w:rPr>
      </w:pPr>
      <w:r>
        <w:rPr>
          <w:rFonts w:hint="eastAsia" w:ascii="宋体" w:hAnsi="宋体" w:eastAsia="宋体" w:cs="Times New Roman"/>
          <w:b/>
          <w:bCs/>
          <w:szCs w:val="21"/>
        </w:rPr>
        <w:t>九、补充协议</w:t>
      </w:r>
    </w:p>
    <w:p w14:paraId="14738C1D">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合同未尽事宜，采购单位、中标单位另行签订书面补充协议，补充协议是合同的组成部分。</w:t>
      </w:r>
    </w:p>
    <w:p w14:paraId="0D59CD7E">
      <w:pPr>
        <w:numPr>
          <w:ilvl w:val="0"/>
          <w:numId w:val="3"/>
        </w:num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争议的解决</w:t>
      </w:r>
    </w:p>
    <w:p w14:paraId="6E24BF36">
      <w:pPr>
        <w:spacing w:line="360" w:lineRule="auto"/>
        <w:rPr>
          <w:rFonts w:ascii="宋体" w:hAnsi="宋体" w:eastAsia="宋体" w:cs="Times New Roman"/>
          <w:szCs w:val="21"/>
        </w:rPr>
      </w:pPr>
      <w:r>
        <w:rPr>
          <w:rFonts w:hint="eastAsia" w:ascii="宋体" w:hAnsi="宋体" w:eastAsia="宋体" w:cs="Times New Roman"/>
          <w:szCs w:val="21"/>
        </w:rPr>
        <w:t xml:space="preserve">    因履行本合同发生的一切争议，双方应友好协商解决，协商不成的，任何一方均可向采购单位所在地有管辖权的人民法院提起诉讼。</w:t>
      </w:r>
    </w:p>
    <w:p w14:paraId="1FC24937">
      <w:pPr>
        <w:spacing w:line="360" w:lineRule="auto"/>
        <w:ind w:firstLine="394" w:firstLineChars="187"/>
        <w:rPr>
          <w:rFonts w:ascii="宋体" w:hAnsi="宋体" w:eastAsia="宋体" w:cs="Times New Roman"/>
          <w:b/>
          <w:bCs/>
          <w:szCs w:val="21"/>
        </w:rPr>
      </w:pPr>
      <w:r>
        <w:rPr>
          <w:rFonts w:hint="eastAsia" w:ascii="宋体" w:hAnsi="宋体" w:eastAsia="宋体" w:cs="Times New Roman"/>
          <w:b/>
          <w:bCs/>
          <w:szCs w:val="21"/>
        </w:rPr>
        <w:t>十一、签订时间</w:t>
      </w:r>
    </w:p>
    <w:p w14:paraId="73A7FFD0">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本合同于     年    月    日订立。</w:t>
      </w:r>
    </w:p>
    <w:p w14:paraId="5C087D65">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十二、签订地点</w:t>
      </w:r>
    </w:p>
    <w:p w14:paraId="45BF95B9">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 xml:space="preserve">本合同在        签订。 </w:t>
      </w:r>
    </w:p>
    <w:p w14:paraId="4030552C">
      <w:pPr>
        <w:spacing w:line="360" w:lineRule="auto"/>
        <w:ind w:firstLine="392" w:firstLineChars="187"/>
        <w:rPr>
          <w:rFonts w:ascii="宋体" w:hAnsi="宋体" w:eastAsia="宋体" w:cs="Times New Roman"/>
          <w:szCs w:val="21"/>
        </w:rPr>
      </w:pPr>
    </w:p>
    <w:p w14:paraId="360EFC15">
      <w:pPr>
        <w:ind w:firstLine="392" w:firstLineChars="187"/>
        <w:rPr>
          <w:rFonts w:ascii="宋体" w:hAnsi="宋体" w:eastAsia="宋体" w:cs="Times New Roman"/>
          <w:szCs w:val="21"/>
        </w:rPr>
      </w:pPr>
    </w:p>
    <w:tbl>
      <w:tblPr>
        <w:tblStyle w:val="17"/>
        <w:tblW w:w="0" w:type="auto"/>
        <w:tblInd w:w="468" w:type="dxa"/>
        <w:tblLayout w:type="fixed"/>
        <w:tblCellMar>
          <w:top w:w="0" w:type="dxa"/>
          <w:left w:w="108" w:type="dxa"/>
          <w:bottom w:w="0" w:type="dxa"/>
          <w:right w:w="108" w:type="dxa"/>
        </w:tblCellMar>
      </w:tblPr>
      <w:tblGrid>
        <w:gridCol w:w="1805"/>
        <w:gridCol w:w="2166"/>
        <w:gridCol w:w="1805"/>
        <w:gridCol w:w="2375"/>
      </w:tblGrid>
      <w:tr w14:paraId="62FFFFB4">
        <w:tblPrEx>
          <w:tblCellMar>
            <w:top w:w="0" w:type="dxa"/>
            <w:left w:w="108" w:type="dxa"/>
            <w:bottom w:w="0" w:type="dxa"/>
            <w:right w:w="108" w:type="dxa"/>
          </w:tblCellMar>
        </w:tblPrEx>
        <w:trPr>
          <w:trHeight w:val="1357" w:hRule="exact"/>
        </w:trPr>
        <w:tc>
          <w:tcPr>
            <w:tcW w:w="1805" w:type="dxa"/>
          </w:tcPr>
          <w:p w14:paraId="36863502">
            <w:pPr>
              <w:rPr>
                <w:rFonts w:ascii="宋体" w:hAnsi="宋体" w:eastAsia="宋体" w:cs="Times New Roman"/>
                <w:szCs w:val="21"/>
              </w:rPr>
            </w:pPr>
            <w:r>
              <w:rPr>
                <w:rFonts w:hint="eastAsia" w:ascii="宋体" w:hAnsi="宋体" w:eastAsia="宋体" w:cs="Times New Roman"/>
                <w:szCs w:val="21"/>
              </w:rPr>
              <w:t>采购单位(公章)：</w:t>
            </w:r>
          </w:p>
        </w:tc>
        <w:tc>
          <w:tcPr>
            <w:tcW w:w="2166" w:type="dxa"/>
          </w:tcPr>
          <w:p w14:paraId="52F7A2F3">
            <w:pPr>
              <w:ind w:firstLine="392" w:firstLineChars="187"/>
              <w:rPr>
                <w:rFonts w:ascii="宋体" w:hAnsi="宋体" w:eastAsia="宋体" w:cs="Times New Roman"/>
                <w:szCs w:val="21"/>
              </w:rPr>
            </w:pPr>
          </w:p>
          <w:p w14:paraId="7E3501FD">
            <w:pPr>
              <w:ind w:firstLine="392" w:firstLineChars="187"/>
              <w:rPr>
                <w:rFonts w:ascii="宋体" w:hAnsi="宋体" w:eastAsia="宋体" w:cs="Times New Roman"/>
                <w:szCs w:val="21"/>
              </w:rPr>
            </w:pPr>
          </w:p>
          <w:p w14:paraId="343A2A58">
            <w:pPr>
              <w:ind w:firstLine="392" w:firstLineChars="187"/>
              <w:rPr>
                <w:rFonts w:ascii="宋体" w:hAnsi="宋体" w:eastAsia="宋体" w:cs="Times New Roman"/>
                <w:szCs w:val="21"/>
              </w:rPr>
            </w:pPr>
          </w:p>
        </w:tc>
        <w:tc>
          <w:tcPr>
            <w:tcW w:w="1805" w:type="dxa"/>
          </w:tcPr>
          <w:p w14:paraId="70A625B3">
            <w:pPr>
              <w:rPr>
                <w:rFonts w:ascii="宋体" w:hAnsi="宋体" w:eastAsia="宋体" w:cs="Times New Roman"/>
                <w:szCs w:val="21"/>
              </w:rPr>
            </w:pPr>
            <w:r>
              <w:rPr>
                <w:rFonts w:hint="eastAsia" w:ascii="宋体" w:hAnsi="宋体" w:eastAsia="宋体" w:cs="Times New Roman"/>
                <w:szCs w:val="21"/>
              </w:rPr>
              <w:t>中标单位(公章)：</w:t>
            </w:r>
          </w:p>
        </w:tc>
        <w:tc>
          <w:tcPr>
            <w:tcW w:w="2375" w:type="dxa"/>
          </w:tcPr>
          <w:p w14:paraId="6F02871B">
            <w:pPr>
              <w:ind w:firstLine="392" w:firstLineChars="187"/>
              <w:rPr>
                <w:rFonts w:ascii="宋体" w:hAnsi="宋体" w:eastAsia="宋体" w:cs="Times New Roman"/>
                <w:szCs w:val="21"/>
              </w:rPr>
            </w:pPr>
          </w:p>
          <w:p w14:paraId="35EB3C32">
            <w:pPr>
              <w:ind w:firstLine="392" w:firstLineChars="187"/>
              <w:rPr>
                <w:rFonts w:ascii="宋体" w:hAnsi="宋体" w:eastAsia="宋体" w:cs="Times New Roman"/>
                <w:szCs w:val="21"/>
              </w:rPr>
            </w:pPr>
          </w:p>
          <w:p w14:paraId="37AF06A1">
            <w:pPr>
              <w:ind w:firstLine="392" w:firstLineChars="187"/>
              <w:rPr>
                <w:rFonts w:ascii="宋体" w:hAnsi="宋体" w:eastAsia="宋体" w:cs="Times New Roman"/>
                <w:szCs w:val="21"/>
              </w:rPr>
            </w:pPr>
          </w:p>
          <w:p w14:paraId="245DB097">
            <w:pPr>
              <w:ind w:firstLine="392" w:firstLineChars="187"/>
              <w:rPr>
                <w:rFonts w:ascii="宋体" w:hAnsi="宋体" w:eastAsia="宋体" w:cs="Times New Roman"/>
                <w:szCs w:val="21"/>
              </w:rPr>
            </w:pPr>
          </w:p>
        </w:tc>
      </w:tr>
      <w:tr w14:paraId="0320FF9B">
        <w:tblPrEx>
          <w:tblCellMar>
            <w:top w:w="0" w:type="dxa"/>
            <w:left w:w="108" w:type="dxa"/>
            <w:bottom w:w="0" w:type="dxa"/>
            <w:right w:w="108" w:type="dxa"/>
          </w:tblCellMar>
        </w:tblPrEx>
        <w:trPr>
          <w:trHeight w:val="801" w:hRule="exact"/>
        </w:trPr>
        <w:tc>
          <w:tcPr>
            <w:tcW w:w="1805" w:type="dxa"/>
          </w:tcPr>
          <w:p w14:paraId="1356DEBF">
            <w:pPr>
              <w:rPr>
                <w:rFonts w:ascii="宋体" w:hAnsi="宋体" w:eastAsia="宋体" w:cs="Times New Roman"/>
                <w:szCs w:val="21"/>
              </w:rPr>
            </w:pPr>
            <w:r>
              <w:rPr>
                <w:rFonts w:hint="eastAsia" w:ascii="宋体" w:hAnsi="宋体" w:eastAsia="宋体" w:cs="Times New Roman"/>
                <w:szCs w:val="21"/>
              </w:rPr>
              <w:t>法定代表人：</w:t>
            </w:r>
          </w:p>
        </w:tc>
        <w:tc>
          <w:tcPr>
            <w:tcW w:w="2166" w:type="dxa"/>
          </w:tcPr>
          <w:p w14:paraId="7187FD49">
            <w:pPr>
              <w:ind w:firstLine="392" w:firstLineChars="187"/>
              <w:rPr>
                <w:rFonts w:ascii="宋体" w:hAnsi="宋体" w:eastAsia="宋体" w:cs="Times New Roman"/>
                <w:szCs w:val="21"/>
              </w:rPr>
            </w:pPr>
          </w:p>
        </w:tc>
        <w:tc>
          <w:tcPr>
            <w:tcW w:w="1805" w:type="dxa"/>
          </w:tcPr>
          <w:p w14:paraId="73A2D4BD">
            <w:pPr>
              <w:rPr>
                <w:rFonts w:ascii="宋体" w:hAnsi="宋体" w:eastAsia="宋体" w:cs="Times New Roman"/>
                <w:szCs w:val="21"/>
              </w:rPr>
            </w:pPr>
            <w:r>
              <w:rPr>
                <w:rFonts w:hint="eastAsia" w:ascii="宋体" w:hAnsi="宋体" w:eastAsia="宋体" w:cs="Times New Roman"/>
                <w:szCs w:val="21"/>
              </w:rPr>
              <w:t>法定代表人：</w:t>
            </w:r>
          </w:p>
        </w:tc>
        <w:tc>
          <w:tcPr>
            <w:tcW w:w="2375" w:type="dxa"/>
          </w:tcPr>
          <w:p w14:paraId="53DC0CF7">
            <w:pPr>
              <w:ind w:firstLine="392" w:firstLineChars="187"/>
              <w:rPr>
                <w:rFonts w:ascii="宋体" w:hAnsi="宋体" w:eastAsia="宋体" w:cs="Times New Roman"/>
                <w:szCs w:val="21"/>
              </w:rPr>
            </w:pPr>
          </w:p>
        </w:tc>
      </w:tr>
      <w:tr w14:paraId="6D251D6F">
        <w:tblPrEx>
          <w:tblCellMar>
            <w:top w:w="0" w:type="dxa"/>
            <w:left w:w="108" w:type="dxa"/>
            <w:bottom w:w="0" w:type="dxa"/>
            <w:right w:w="108" w:type="dxa"/>
          </w:tblCellMar>
        </w:tblPrEx>
        <w:trPr>
          <w:trHeight w:val="801" w:hRule="exact"/>
        </w:trPr>
        <w:tc>
          <w:tcPr>
            <w:tcW w:w="1805" w:type="dxa"/>
          </w:tcPr>
          <w:p w14:paraId="441BC174">
            <w:pPr>
              <w:rPr>
                <w:rFonts w:ascii="宋体" w:hAnsi="宋体" w:eastAsia="宋体" w:cs="Times New Roman"/>
                <w:szCs w:val="21"/>
              </w:rPr>
            </w:pPr>
            <w:r>
              <w:rPr>
                <w:rFonts w:hint="eastAsia" w:ascii="宋体" w:hAnsi="宋体" w:eastAsia="宋体" w:cs="Times New Roman"/>
                <w:szCs w:val="21"/>
              </w:rPr>
              <w:t>委托代理人：</w:t>
            </w:r>
          </w:p>
        </w:tc>
        <w:tc>
          <w:tcPr>
            <w:tcW w:w="2166" w:type="dxa"/>
          </w:tcPr>
          <w:p w14:paraId="07E7AC85">
            <w:pPr>
              <w:ind w:firstLine="392" w:firstLineChars="187"/>
              <w:rPr>
                <w:rFonts w:ascii="宋体" w:hAnsi="宋体" w:eastAsia="宋体" w:cs="Times New Roman"/>
                <w:szCs w:val="21"/>
              </w:rPr>
            </w:pPr>
          </w:p>
        </w:tc>
        <w:tc>
          <w:tcPr>
            <w:tcW w:w="1805" w:type="dxa"/>
          </w:tcPr>
          <w:p w14:paraId="21DA14D7">
            <w:pPr>
              <w:rPr>
                <w:rFonts w:ascii="宋体" w:hAnsi="宋体" w:eastAsia="宋体" w:cs="Times New Roman"/>
                <w:szCs w:val="21"/>
              </w:rPr>
            </w:pPr>
            <w:r>
              <w:rPr>
                <w:rFonts w:hint="eastAsia" w:ascii="宋体" w:hAnsi="宋体" w:eastAsia="宋体" w:cs="Times New Roman"/>
                <w:szCs w:val="21"/>
              </w:rPr>
              <w:t>委托代理人：</w:t>
            </w:r>
          </w:p>
        </w:tc>
        <w:tc>
          <w:tcPr>
            <w:tcW w:w="2375" w:type="dxa"/>
          </w:tcPr>
          <w:p w14:paraId="2F511586">
            <w:pPr>
              <w:ind w:firstLine="392" w:firstLineChars="187"/>
              <w:rPr>
                <w:rFonts w:ascii="宋体" w:hAnsi="宋体" w:eastAsia="宋体" w:cs="Times New Roman"/>
                <w:szCs w:val="21"/>
              </w:rPr>
            </w:pPr>
          </w:p>
        </w:tc>
      </w:tr>
      <w:tr w14:paraId="5B4E7AB1">
        <w:tblPrEx>
          <w:tblCellMar>
            <w:top w:w="0" w:type="dxa"/>
            <w:left w:w="108" w:type="dxa"/>
            <w:bottom w:w="0" w:type="dxa"/>
            <w:right w:w="108" w:type="dxa"/>
          </w:tblCellMar>
        </w:tblPrEx>
        <w:trPr>
          <w:trHeight w:val="801" w:hRule="exact"/>
        </w:trPr>
        <w:tc>
          <w:tcPr>
            <w:tcW w:w="1805" w:type="dxa"/>
          </w:tcPr>
          <w:p w14:paraId="30225320">
            <w:pPr>
              <w:rPr>
                <w:rFonts w:ascii="宋体" w:hAnsi="宋体" w:eastAsia="宋体" w:cs="Times New Roman"/>
                <w:szCs w:val="21"/>
              </w:rPr>
            </w:pPr>
            <w:r>
              <w:rPr>
                <w:rFonts w:hint="eastAsia" w:ascii="宋体" w:hAnsi="宋体" w:eastAsia="宋体" w:cs="Times New Roman"/>
                <w:szCs w:val="21"/>
              </w:rPr>
              <w:t>开 户 银 行：</w:t>
            </w:r>
          </w:p>
        </w:tc>
        <w:tc>
          <w:tcPr>
            <w:tcW w:w="2166" w:type="dxa"/>
          </w:tcPr>
          <w:p w14:paraId="119C4A26">
            <w:pPr>
              <w:ind w:firstLine="392" w:firstLineChars="187"/>
              <w:rPr>
                <w:rFonts w:ascii="宋体" w:hAnsi="宋体" w:eastAsia="宋体" w:cs="Times New Roman"/>
                <w:szCs w:val="21"/>
              </w:rPr>
            </w:pPr>
          </w:p>
        </w:tc>
        <w:tc>
          <w:tcPr>
            <w:tcW w:w="1805" w:type="dxa"/>
          </w:tcPr>
          <w:p w14:paraId="630070E4">
            <w:pPr>
              <w:rPr>
                <w:rFonts w:ascii="宋体" w:hAnsi="宋体" w:eastAsia="宋体" w:cs="Times New Roman"/>
                <w:szCs w:val="21"/>
              </w:rPr>
            </w:pPr>
            <w:r>
              <w:rPr>
                <w:rFonts w:hint="eastAsia" w:ascii="宋体" w:hAnsi="宋体" w:eastAsia="宋体" w:cs="Times New Roman"/>
                <w:szCs w:val="21"/>
              </w:rPr>
              <w:t>开 户 银 行：</w:t>
            </w:r>
          </w:p>
        </w:tc>
        <w:tc>
          <w:tcPr>
            <w:tcW w:w="2375" w:type="dxa"/>
          </w:tcPr>
          <w:p w14:paraId="7BC34642">
            <w:pPr>
              <w:ind w:firstLine="392" w:firstLineChars="187"/>
              <w:rPr>
                <w:rFonts w:ascii="宋体" w:hAnsi="宋体" w:eastAsia="宋体" w:cs="Times New Roman"/>
                <w:szCs w:val="21"/>
              </w:rPr>
            </w:pPr>
          </w:p>
        </w:tc>
      </w:tr>
      <w:tr w14:paraId="3B16A2A0">
        <w:tblPrEx>
          <w:tblCellMar>
            <w:top w:w="0" w:type="dxa"/>
            <w:left w:w="108" w:type="dxa"/>
            <w:bottom w:w="0" w:type="dxa"/>
            <w:right w:w="108" w:type="dxa"/>
          </w:tblCellMar>
        </w:tblPrEx>
        <w:trPr>
          <w:trHeight w:val="801" w:hRule="exact"/>
        </w:trPr>
        <w:tc>
          <w:tcPr>
            <w:tcW w:w="1805" w:type="dxa"/>
          </w:tcPr>
          <w:p w14:paraId="3144CB20">
            <w:pPr>
              <w:rPr>
                <w:rFonts w:ascii="宋体" w:hAnsi="宋体" w:eastAsia="宋体" w:cs="Times New Roman"/>
                <w:szCs w:val="21"/>
              </w:rPr>
            </w:pPr>
            <w:r>
              <w:rPr>
                <w:rFonts w:hint="eastAsia" w:ascii="宋体" w:hAnsi="宋体" w:eastAsia="宋体" w:cs="Times New Roman"/>
                <w:szCs w:val="21"/>
              </w:rPr>
              <w:t>账       号：</w:t>
            </w:r>
          </w:p>
        </w:tc>
        <w:tc>
          <w:tcPr>
            <w:tcW w:w="2166" w:type="dxa"/>
          </w:tcPr>
          <w:p w14:paraId="503DC9BC">
            <w:pPr>
              <w:ind w:firstLine="392" w:firstLineChars="187"/>
              <w:rPr>
                <w:rFonts w:ascii="宋体" w:hAnsi="宋体" w:eastAsia="宋体" w:cs="Times New Roman"/>
                <w:szCs w:val="21"/>
              </w:rPr>
            </w:pPr>
          </w:p>
        </w:tc>
        <w:tc>
          <w:tcPr>
            <w:tcW w:w="1805" w:type="dxa"/>
          </w:tcPr>
          <w:p w14:paraId="38008A38">
            <w:pPr>
              <w:rPr>
                <w:rFonts w:ascii="宋体" w:hAnsi="宋体" w:eastAsia="宋体" w:cs="Times New Roman"/>
                <w:szCs w:val="21"/>
              </w:rPr>
            </w:pPr>
            <w:r>
              <w:rPr>
                <w:rFonts w:hint="eastAsia" w:ascii="宋体" w:hAnsi="宋体" w:eastAsia="宋体" w:cs="Times New Roman"/>
                <w:szCs w:val="21"/>
              </w:rPr>
              <w:t>账      号：</w:t>
            </w:r>
          </w:p>
        </w:tc>
        <w:tc>
          <w:tcPr>
            <w:tcW w:w="2375" w:type="dxa"/>
          </w:tcPr>
          <w:p w14:paraId="46B4AA19">
            <w:pPr>
              <w:ind w:firstLine="392" w:firstLineChars="187"/>
              <w:rPr>
                <w:rFonts w:ascii="宋体" w:hAnsi="宋体" w:eastAsia="宋体" w:cs="Times New Roman"/>
                <w:szCs w:val="21"/>
              </w:rPr>
            </w:pPr>
          </w:p>
        </w:tc>
      </w:tr>
      <w:tr w14:paraId="03768736">
        <w:tblPrEx>
          <w:tblCellMar>
            <w:top w:w="0" w:type="dxa"/>
            <w:left w:w="108" w:type="dxa"/>
            <w:bottom w:w="0" w:type="dxa"/>
            <w:right w:w="108" w:type="dxa"/>
          </w:tblCellMar>
        </w:tblPrEx>
        <w:trPr>
          <w:trHeight w:val="801" w:hRule="exact"/>
        </w:trPr>
        <w:tc>
          <w:tcPr>
            <w:tcW w:w="1805" w:type="dxa"/>
          </w:tcPr>
          <w:p w14:paraId="202C0251">
            <w:pPr>
              <w:rPr>
                <w:rFonts w:ascii="宋体" w:hAnsi="宋体" w:eastAsia="宋体" w:cs="Times New Roman"/>
                <w:szCs w:val="21"/>
              </w:rPr>
            </w:pPr>
            <w:r>
              <w:rPr>
                <w:rFonts w:hint="eastAsia" w:ascii="宋体" w:hAnsi="宋体" w:eastAsia="宋体" w:cs="Times New Roman"/>
                <w:szCs w:val="21"/>
              </w:rPr>
              <w:t>电       话：</w:t>
            </w:r>
          </w:p>
        </w:tc>
        <w:tc>
          <w:tcPr>
            <w:tcW w:w="2166" w:type="dxa"/>
          </w:tcPr>
          <w:p w14:paraId="0C5FC4D8">
            <w:pPr>
              <w:ind w:firstLine="392" w:firstLineChars="187"/>
              <w:rPr>
                <w:rFonts w:ascii="宋体" w:hAnsi="宋体" w:eastAsia="宋体" w:cs="Times New Roman"/>
                <w:szCs w:val="21"/>
              </w:rPr>
            </w:pPr>
          </w:p>
        </w:tc>
        <w:tc>
          <w:tcPr>
            <w:tcW w:w="1805" w:type="dxa"/>
          </w:tcPr>
          <w:p w14:paraId="6677E519">
            <w:pPr>
              <w:rPr>
                <w:rFonts w:ascii="宋体" w:hAnsi="宋体" w:eastAsia="宋体" w:cs="Times New Roman"/>
                <w:szCs w:val="21"/>
              </w:rPr>
            </w:pPr>
            <w:r>
              <w:rPr>
                <w:rFonts w:hint="eastAsia" w:ascii="宋体" w:hAnsi="宋体" w:eastAsia="宋体" w:cs="Times New Roman"/>
                <w:szCs w:val="21"/>
              </w:rPr>
              <w:t>电       话：</w:t>
            </w:r>
          </w:p>
        </w:tc>
        <w:tc>
          <w:tcPr>
            <w:tcW w:w="2375" w:type="dxa"/>
          </w:tcPr>
          <w:p w14:paraId="715CB0CF">
            <w:pPr>
              <w:ind w:firstLine="392" w:firstLineChars="187"/>
              <w:rPr>
                <w:rFonts w:ascii="宋体" w:hAnsi="宋体" w:eastAsia="宋体" w:cs="Times New Roman"/>
                <w:szCs w:val="21"/>
              </w:rPr>
            </w:pPr>
          </w:p>
        </w:tc>
      </w:tr>
      <w:tr w14:paraId="6E947452">
        <w:tblPrEx>
          <w:tblCellMar>
            <w:top w:w="0" w:type="dxa"/>
            <w:left w:w="108" w:type="dxa"/>
            <w:bottom w:w="0" w:type="dxa"/>
            <w:right w:w="108" w:type="dxa"/>
          </w:tblCellMar>
        </w:tblPrEx>
        <w:trPr>
          <w:trHeight w:val="801" w:hRule="exact"/>
        </w:trPr>
        <w:tc>
          <w:tcPr>
            <w:tcW w:w="1805" w:type="dxa"/>
          </w:tcPr>
          <w:p w14:paraId="71BF0101">
            <w:pPr>
              <w:rPr>
                <w:rFonts w:ascii="宋体" w:hAnsi="宋体" w:eastAsia="宋体" w:cs="Times New Roman"/>
                <w:szCs w:val="21"/>
              </w:rPr>
            </w:pPr>
            <w:r>
              <w:rPr>
                <w:rFonts w:hint="eastAsia" w:ascii="宋体" w:hAnsi="宋体" w:eastAsia="宋体" w:cs="Times New Roman"/>
                <w:szCs w:val="21"/>
              </w:rPr>
              <w:t>地       址：</w:t>
            </w:r>
          </w:p>
        </w:tc>
        <w:tc>
          <w:tcPr>
            <w:tcW w:w="2166" w:type="dxa"/>
          </w:tcPr>
          <w:p w14:paraId="1415ECC6">
            <w:pPr>
              <w:ind w:firstLine="392" w:firstLineChars="187"/>
              <w:rPr>
                <w:rFonts w:ascii="宋体" w:hAnsi="宋体" w:eastAsia="宋体" w:cs="Times New Roman"/>
                <w:szCs w:val="21"/>
              </w:rPr>
            </w:pPr>
          </w:p>
        </w:tc>
        <w:tc>
          <w:tcPr>
            <w:tcW w:w="1805" w:type="dxa"/>
          </w:tcPr>
          <w:p w14:paraId="064BBE35">
            <w:pPr>
              <w:rPr>
                <w:rFonts w:ascii="宋体" w:hAnsi="宋体" w:eastAsia="宋体" w:cs="Times New Roman"/>
                <w:szCs w:val="21"/>
              </w:rPr>
            </w:pPr>
            <w:r>
              <w:rPr>
                <w:rFonts w:hint="eastAsia" w:ascii="宋体" w:hAnsi="宋体" w:eastAsia="宋体" w:cs="Times New Roman"/>
                <w:szCs w:val="21"/>
              </w:rPr>
              <w:t>地       址：</w:t>
            </w:r>
          </w:p>
        </w:tc>
        <w:tc>
          <w:tcPr>
            <w:tcW w:w="2375" w:type="dxa"/>
          </w:tcPr>
          <w:p w14:paraId="18EEF8AC">
            <w:pPr>
              <w:ind w:firstLine="392" w:firstLineChars="187"/>
              <w:rPr>
                <w:rFonts w:ascii="宋体" w:hAnsi="宋体" w:eastAsia="宋体" w:cs="Times New Roman"/>
                <w:szCs w:val="21"/>
              </w:rPr>
            </w:pPr>
          </w:p>
        </w:tc>
      </w:tr>
    </w:tbl>
    <w:p w14:paraId="148275E5">
      <w:pPr>
        <w:ind w:firstLine="392" w:firstLineChars="187"/>
        <w:rPr>
          <w:rFonts w:ascii="宋体" w:hAnsi="宋体" w:eastAsia="宋体" w:cs="Times New Roman"/>
          <w:szCs w:val="21"/>
        </w:rPr>
      </w:pPr>
    </w:p>
    <w:p w14:paraId="2A14AC7F">
      <w:pPr>
        <w:ind w:firstLine="392" w:firstLineChars="187"/>
        <w:jc w:val="center"/>
        <w:rPr>
          <w:rFonts w:ascii="宋体" w:hAnsi="宋体" w:eastAsia="宋体" w:cs="Times New Roman"/>
          <w:b/>
          <w:szCs w:val="21"/>
        </w:rPr>
      </w:pPr>
      <w:r>
        <w:rPr>
          <w:rFonts w:hint="eastAsia" w:ascii="宋体" w:hAnsi="宋体" w:eastAsia="宋体" w:cs="Times New Roman"/>
          <w:szCs w:val="21"/>
        </w:rPr>
        <w:br w:type="page"/>
      </w:r>
      <w:r>
        <w:rPr>
          <w:rFonts w:hint="eastAsia" w:ascii="Arial" w:hAnsi="Arial" w:eastAsia="宋体" w:cs="Times New Roman"/>
          <w:b/>
          <w:bCs/>
          <w:kern w:val="44"/>
          <w:sz w:val="32"/>
          <w:szCs w:val="32"/>
          <w:lang w:val="en-US" w:eastAsia="zh-CN" w:bidi="ar-SA"/>
        </w:rPr>
        <w:t>第二部分  专用条款</w:t>
      </w:r>
    </w:p>
    <w:p w14:paraId="1E13CBAB">
      <w:pPr>
        <w:ind w:firstLine="392" w:firstLineChars="187"/>
        <w:rPr>
          <w:rFonts w:ascii="宋体" w:hAnsi="宋体" w:eastAsia="宋体" w:cs="Times New Roman"/>
          <w:szCs w:val="21"/>
        </w:rPr>
      </w:pPr>
    </w:p>
    <w:p w14:paraId="4B08E480">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一、合同文件组成及解释顺序</w:t>
      </w:r>
    </w:p>
    <w:p w14:paraId="51BAB342">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组成合同的各项文件应互相解释，互为说明。除专用条款另有约定外，解释合同文件的优先顺序如下：</w:t>
      </w:r>
    </w:p>
    <w:p w14:paraId="185635F3">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 xml:space="preserve">（1） 协议书                                                   </w:t>
      </w:r>
    </w:p>
    <w:p w14:paraId="07BD10DD">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 xml:space="preserve">（2） 中标通知书                                              </w:t>
      </w:r>
    </w:p>
    <w:p w14:paraId="662D8020">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 xml:space="preserve">（3） 专用条款及其附件                                          </w:t>
      </w:r>
    </w:p>
    <w:p w14:paraId="284F8A2F">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 xml:space="preserve">（4） 标准、规范及有关技术文件                                        </w:t>
      </w:r>
    </w:p>
    <w:p w14:paraId="368B6D6C">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 xml:space="preserve">（5） 图纸                             </w:t>
      </w:r>
    </w:p>
    <w:p w14:paraId="49009184">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 xml:space="preserve">（6） 工程量清单                                       </w:t>
      </w:r>
    </w:p>
    <w:p w14:paraId="0C48047C">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 xml:space="preserve">（7） 双方有关工程的洽商、变更等书面记录文件                           </w:t>
      </w:r>
    </w:p>
    <w:p w14:paraId="3EDD2784">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 xml:space="preserve">（8） 采购单位和工程师有关通知及工程会议纪要                          </w:t>
      </w:r>
    </w:p>
    <w:p w14:paraId="1C09E5F5">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 xml:space="preserve">（9） 工程进行过程中的有关信件、数据电文（电报、电传、传真、电子邮件等） </w:t>
      </w:r>
    </w:p>
    <w:p w14:paraId="05983634">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上述给各项合同文件包括采购单位、中标单位就该项合同文件所作出的补充和修改，属于同一类内容文件，应以最新签署的为准。</w:t>
      </w:r>
    </w:p>
    <w:p w14:paraId="5EF47C63">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在合同订立及履行过程中形成的与合同有关的文件均构成合同文件组成部分，并根据其性质确定优先解释顺序。</w:t>
      </w:r>
    </w:p>
    <w:p w14:paraId="70F691D2">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二、图纸和技术资料</w:t>
      </w:r>
    </w:p>
    <w:p w14:paraId="620A66EC">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（一）图纸的提供与交底</w:t>
      </w:r>
    </w:p>
    <w:p w14:paraId="30ED06B3">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 xml:space="preserve">1、采购单位向中标单位提供图纸套数：二套   </w:t>
      </w:r>
    </w:p>
    <w:p w14:paraId="5BC28841">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 xml:space="preserve">2、采购单位向中标单位提供图纸期限：自本合同签订之日起2日内      </w:t>
      </w:r>
    </w:p>
    <w:p w14:paraId="494FE353">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 xml:space="preserve">3、采购单位对工程的保密要求和保密期限：未经采购单位许可，中标单位不得向第三方泄露图纸内容，保密期限为本工程的合理使用年限。   </w:t>
      </w:r>
    </w:p>
    <w:p w14:paraId="29C9B635">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4、图纸会审和设计交底的时间以采购单位另行通知的时间为准。</w:t>
      </w:r>
    </w:p>
    <w:p w14:paraId="0679682C">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（二）图纸的错误</w:t>
      </w:r>
    </w:p>
    <w:p w14:paraId="4AEC3063">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1、中标单位应当自发、积极地负责对图纸及技术要求作出全面检查（图纸尺寸应以图纸上标明的为准，不能用比例尺量度），如发现有任何矛盾、不一致的地方应当立即书面通知采购单位。若本工程的任何项目系因中标单位对前述矛盾、不一致的地方没有向采购单位的工程师及时要求澄清导致错误地建造，则当采购单位工程师要求予以更正、重建时，中标单位应予以拆除及重建，并自行承担相应的费用，且不延长工期。</w:t>
      </w:r>
    </w:p>
    <w:p w14:paraId="7DC994F5">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2、采购单位工程师对合同施工项目的图纸或标准、规范和技术要求相互矛盾、不一致的地方发出或作出的澄清不视为对合同项目工程的变更指示，中标单位不会因此获得工期延长及费用补偿。</w:t>
      </w:r>
    </w:p>
    <w:p w14:paraId="650A4A99">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三、施工准备工作</w:t>
      </w:r>
    </w:p>
    <w:p w14:paraId="0C7730B4">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 xml:space="preserve">1、中标单位应自本合同签订之日起七日内向发包人提供施工组织设计和工程进度计划。 </w:t>
      </w:r>
    </w:p>
    <w:p w14:paraId="5982CD6D">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2、采购单位自收到中标单位提交的施工组织设计和工程进度计划之日起7日内，予以确认或提出修改意见，对于采购单位提出的修改意见，中标单位应自费修改完善。逾期未确认或未提出书面意见的，视为采购单位同意该施工组织设计和工程进度计划。</w:t>
      </w:r>
    </w:p>
    <w:p w14:paraId="378B5554">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3、采购单位向中标单位提供工程项目名称、施工位置、建设工程施工许可证后中标单位方可进场施工。</w:t>
      </w:r>
    </w:p>
    <w:p w14:paraId="78364195">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四、材料与设备</w:t>
      </w:r>
    </w:p>
    <w:p w14:paraId="65815D39">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1、中标单位应按照工程设计人要求的标准采购施工项目所需的材料设备，材料设备采购所需的费用已包含在合同价款中。</w:t>
      </w:r>
    </w:p>
    <w:p w14:paraId="5E146177">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2、中标单位在预订或采购材料设备前应取得采购单位的同意，并向采购单位提供产品合格证明及检验证明采购，对材料设备质量负责。</w:t>
      </w:r>
    </w:p>
    <w:p w14:paraId="57B1F81A">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3、中标单位应在材料和设备到达施工现场前24小时通知采购单位清点、检验和接收。</w:t>
      </w:r>
    </w:p>
    <w:p w14:paraId="506DFF2F">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4、中标单位采购的材料和设备不符合设计或有关标准的，中标单位应将其运出施工现场，并重新采购符合要求的材料和设备，因此增加的费用或延误的工期由中标单位承担。</w:t>
      </w:r>
    </w:p>
    <w:p w14:paraId="5D30D85C">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5、本合同项下所有需要进行试验、检验的材料和设备的试验、检验费用，以及质量监督部门按一定比例抽取现场材料的检验费用，由中标单位承担，该费用已包含在合同总价中。</w:t>
      </w:r>
    </w:p>
    <w:p w14:paraId="4DF5ED86">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六、工程量确认</w:t>
      </w:r>
    </w:p>
    <w:p w14:paraId="75026A27">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本工程采用的工程量计算规则：《建设工程工程量清单计价规范》及《建设工程工程量清单补充计价规范》。如上述相关标准、规范被修订，应以最新标准、规范为准。</w:t>
      </w:r>
    </w:p>
    <w:p w14:paraId="6039AAC3">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七、变更价款的确定</w:t>
      </w:r>
    </w:p>
    <w:p w14:paraId="21DBC52A">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1、增加部分工程量的项目单价确定方法： 按中标单价确定。</w:t>
      </w:r>
    </w:p>
    <w:p w14:paraId="1F9125A5">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2、减少部分工程量的项目单价确定方法： 按中标单价确定。</w:t>
      </w:r>
    </w:p>
    <w:p w14:paraId="49B61175">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3、当合同中没有适用或类似于变更工程的项目单价时，变更价款确定方法：按照标底的编制方法以变更发生时深圳建设工程信息单价及市场价，确定变更工程的项目单价，最终以采购单位审定价为准。</w:t>
      </w:r>
    </w:p>
    <w:p w14:paraId="156C873E">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无论变更幅度多少，中标单位均同意继续完成本合同项下的施工项目。</w:t>
      </w:r>
    </w:p>
    <w:p w14:paraId="67622929">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八、工程质量和检验</w:t>
      </w:r>
    </w:p>
    <w:p w14:paraId="15034410">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1、工程质量标准：符合《建筑工程施工质量验收统一标准》规定的标准。</w:t>
      </w:r>
    </w:p>
    <w:p w14:paraId="21E70155">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2、工程试车：试车内容按照现行国家、地方和行业规定执行，因工程试车产生的费用由中标单位承担。试车合格后，中标单位方可向采购单位申请办理竣工验收手续。</w:t>
      </w:r>
    </w:p>
    <w:p w14:paraId="6D4BEDE8">
      <w:pPr>
        <w:spacing w:line="360" w:lineRule="auto"/>
        <w:ind w:firstLine="394" w:firstLineChars="187"/>
        <w:rPr>
          <w:rFonts w:ascii="宋体" w:hAnsi="宋体" w:eastAsia="宋体" w:cs="Times New Roman"/>
          <w:b/>
          <w:bCs/>
          <w:szCs w:val="21"/>
        </w:rPr>
      </w:pPr>
      <w:r>
        <w:rPr>
          <w:rFonts w:hint="eastAsia" w:ascii="宋体" w:hAnsi="宋体" w:eastAsia="宋体" w:cs="Times New Roman"/>
          <w:b/>
          <w:bCs/>
          <w:szCs w:val="21"/>
        </w:rPr>
        <w:t xml:space="preserve">九、竣工验收 </w:t>
      </w:r>
    </w:p>
    <w:p w14:paraId="48C91BE5">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1、工程具备以下条件的，中标单位可以向采购单位申请验收：</w:t>
      </w:r>
    </w:p>
    <w:p w14:paraId="07B41759">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（1）合同范围内的全部工程以及有关工作（包括试验、试运行及检验已完成）；</w:t>
      </w:r>
    </w:p>
    <w:p w14:paraId="665E6010">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（2）合同约定的工期届满；</w:t>
      </w:r>
    </w:p>
    <w:p w14:paraId="280A4E39">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（3）已编制缺陷修补工作清单及施工计划，并备齐竣工资料。</w:t>
      </w:r>
    </w:p>
    <w:p w14:paraId="35D0D2E2">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2、中标单位提供竣工资料的约定：在工程具备竣工验收条件和满足合同工期的情况下，中标单位应在工程竣工验收  天前按照档案管理部门的要求向采购单位提供竣工图肆套和竣工图电子档壹份。竣工图的费用由中标单位自行承担，已包含在合同总价内。</w:t>
      </w:r>
    </w:p>
    <w:p w14:paraId="48888AD3">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3、采购单位应对中标单位的验收申请进行审查，验收合格的，采购单位应向中标单位出具工程接收证书；验收不合格的，中标单位应对不合格工程进行返工、修复或采取其他补救措施，并重新提交采购单位验收。</w:t>
      </w:r>
    </w:p>
    <w:p w14:paraId="36944F3D">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4、自本合同施工工程项目竣工验收通过之日起  日内，中标单位需移交给采购单位并取得签章手续；</w:t>
      </w:r>
    </w:p>
    <w:p w14:paraId="4DDE0504">
      <w:pPr>
        <w:spacing w:line="360" w:lineRule="auto"/>
        <w:ind w:firstLine="394" w:firstLineChars="187"/>
        <w:rPr>
          <w:rFonts w:ascii="宋体" w:hAnsi="宋体" w:eastAsia="宋体" w:cs="Times New Roman"/>
          <w:b/>
          <w:bCs/>
          <w:szCs w:val="21"/>
        </w:rPr>
      </w:pPr>
      <w:r>
        <w:rPr>
          <w:rFonts w:hint="eastAsia" w:ascii="宋体" w:hAnsi="宋体" w:eastAsia="宋体" w:cs="Times New Roman"/>
          <w:b/>
          <w:bCs/>
          <w:szCs w:val="21"/>
        </w:rPr>
        <w:t>十、结算审核</w:t>
      </w:r>
    </w:p>
    <w:p w14:paraId="11C5F08F">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工程结算经监理人审查盖章确认后，最终结算价格以采购单位审定结果为准。</w:t>
      </w:r>
    </w:p>
    <w:p w14:paraId="0479608A">
      <w:pPr>
        <w:spacing w:line="360" w:lineRule="auto"/>
        <w:ind w:firstLine="394" w:firstLineChars="187"/>
        <w:rPr>
          <w:rFonts w:ascii="宋体" w:hAnsi="宋体" w:eastAsia="宋体" w:cs="Times New Roman"/>
          <w:szCs w:val="21"/>
        </w:rPr>
      </w:pPr>
      <w:r>
        <w:rPr>
          <w:rFonts w:hint="eastAsia" w:ascii="宋体" w:hAnsi="宋体" w:eastAsia="宋体" w:cs="Times New Roman"/>
          <w:b/>
          <w:bCs/>
          <w:szCs w:val="21"/>
        </w:rPr>
        <w:t>十一、采购单位的权利与义务</w:t>
      </w:r>
    </w:p>
    <w:p w14:paraId="4CA445C1">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1、采购单位有权根据实际需要调整施工方案、内容和数量，中标单位应予以配合。</w:t>
      </w:r>
    </w:p>
    <w:p w14:paraId="371A3434">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2、采购单位对因中标单位的原因致使建设工程质量不符合合同约定的，有权要求中标单位无偿修理或返工、改建。</w:t>
      </w:r>
    </w:p>
    <w:p w14:paraId="6A31BA38">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3、项目施工竣工后，采购单位应予以验收，验收合格的，采购单位应按合同约定支付价款。</w:t>
      </w:r>
    </w:p>
    <w:p w14:paraId="0A2626B1">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十二、中标单位的权利与义务</w:t>
      </w:r>
    </w:p>
    <w:p w14:paraId="748DC9CD">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1、施工场地内施工所需水、电、通讯由中标单位自行解决并承担相应的费用和风险。</w:t>
      </w:r>
    </w:p>
    <w:p w14:paraId="6C823CF5">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2、中标单位应负责提供和维护施工区段的围挡、照明、通行标牌等设施，并负责施工现场的安全保卫工作和交通疏导工作，施工现场应符合深圳安全文明施工规范要求，所需费用已包含在合同总价中，由中标单位自行承担。因中标单位原因在施工场地内及其毗邻地带造成采购单位及第三方人员伤亡和财产损失的，由中标单位承担相应的赔偿责任。</w:t>
      </w:r>
    </w:p>
    <w:p w14:paraId="06532E90">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3、中标单位在施工过程中应遵守政府有关主管部门对施工场地交通、环境保护、施工噪音及安全生产管理规定，加强施工现场的环境管理，在施工过程中严格落实粉尘、废水、施工噪音等污染防治措施、生态保护及水土保持措施。</w:t>
      </w:r>
    </w:p>
    <w:p w14:paraId="26A6A2BF">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4、中标单位负责办理符合开工条件所需的一切手续，并在本合同施工项目开工前  日完成报批，因完成报批所产生的费用已包含在合同总价中，由中标单位自行承担。如因中标单位不报、少报或漏报产生的一切后果由中标单位承担，因此造成施工项目工期延误的，采购单位不予顺延。</w:t>
      </w:r>
    </w:p>
    <w:p w14:paraId="43C78313">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5、本合同施工项目的红线外临时占地租用费用由中标单位承担，该费用已包含在合同总价中。</w:t>
      </w:r>
    </w:p>
    <w:p w14:paraId="1114C58B">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 xml:space="preserve">6、本合同施工项目在交付采购单位正式投入使用之前，中标单位应负责已完工程的保护工作，因工程成品保护而产生的费用由中标单位承担。保护期间如工程发生损坏，中标单位应予以修复，并承担相应的修复费用。 </w:t>
      </w:r>
    </w:p>
    <w:p w14:paraId="5DDB636D">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7、中标单位做好施工场地地下管线和邻近建筑物、构筑物（包括文物保护建筑）、古树古木的保护工作，与之相关的一切费用均由中标单位自行承担。</w:t>
      </w:r>
    </w:p>
    <w:p w14:paraId="3390E327">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8、中标单位应保证施工现场整洁，及时清理施工现场产生的建筑垃圾。</w:t>
      </w:r>
    </w:p>
    <w:p w14:paraId="199EA890">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9、中标单位应当按照深圳市环境卫生管理部门的有关规定，完成本合同施工项目交工前清理、修复工作（包括但不限于余土、垃圾外运，生产和生活临时设施的拆除，场地恢复，施工破坏的修复等），并使得项目施工现场达到验收的要求，做到工完场清。施工现场的竣工退场费用由中标单位承担。</w:t>
      </w:r>
    </w:p>
    <w:p w14:paraId="5E0FABE1">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10、中标单位派驻到施工现场的主要施工管理人员应相对稳定，施工过程中主要施工管理人员如有变动，中标单位应及时向采购单位提交人员变动情况，并注明更换主要施工管理人员的基本信息。</w:t>
      </w:r>
    </w:p>
    <w:p w14:paraId="026CB9C5">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11、中标单位应依法为其雇佣的施工人员办理必要的证件、许可、保险等，中标单位不得拖欠施工人员工资，如发生劳资纠纷产生的一切责任均由中标单位承担。</w:t>
      </w:r>
    </w:p>
    <w:p w14:paraId="57B191F6">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12、红线外临时占地租用费用由中标单位承担，该费用已包含在合同总价中。</w:t>
      </w:r>
    </w:p>
    <w:p w14:paraId="60C33C97">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13、中标单位应当按现行国家及地方规定办理中标单位必须购买的保险（包括工程一切险和第三者责任险）,中标单位应向采购单位提交其已投保的各项保险的凭证和保险单复印件。</w:t>
      </w:r>
    </w:p>
    <w:p w14:paraId="677718BD">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14、中标单位应对建设工程缺陷负保修责任。在工程质量保修期内，如工程所有人和使用人发现工程缺陷的，中标单位应当负责维修。</w:t>
      </w:r>
    </w:p>
    <w:p w14:paraId="6173C294">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15、中标单位不得以贿赂或变相贿赂的方式，谋取非法利益，不得与采购单位聘请的第三方串通损害采购单位利益。</w:t>
      </w:r>
    </w:p>
    <w:p w14:paraId="6C46CDDC">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16、中标单位不得将本合同项下施工项目转包、分包至第三方。</w:t>
      </w:r>
    </w:p>
    <w:p w14:paraId="2723433B">
      <w:pPr>
        <w:spacing w:line="360" w:lineRule="auto"/>
        <w:ind w:firstLine="394" w:firstLineChars="187"/>
        <w:rPr>
          <w:rFonts w:ascii="宋体" w:hAnsi="宋体" w:eastAsia="宋体" w:cs="Times New Roman"/>
          <w:b/>
          <w:bCs/>
          <w:szCs w:val="21"/>
        </w:rPr>
      </w:pPr>
      <w:r>
        <w:rPr>
          <w:rFonts w:hint="eastAsia" w:ascii="宋体" w:hAnsi="宋体" w:eastAsia="宋体" w:cs="Times New Roman"/>
          <w:b/>
          <w:bCs/>
          <w:szCs w:val="21"/>
        </w:rPr>
        <w:t>十三、联络</w:t>
      </w:r>
    </w:p>
    <w:p w14:paraId="2816AD68">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1、与合同有关的通知、批准、证明、意见、决定等，除特殊或紧急情况外，均应采用书面形式。</w:t>
      </w:r>
    </w:p>
    <w:p w14:paraId="76C8FD30">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2、采购单位、中标单位承诺在本合同约定的地址、联系方式均有效，</w:t>
      </w:r>
      <w:r>
        <w:rPr>
          <w:rFonts w:ascii="宋体" w:hAnsi="宋体" w:eastAsia="宋体" w:cs="Times New Roman"/>
          <w:szCs w:val="21"/>
        </w:rPr>
        <w:t>如任何一方的地址或联系方式有变更时，需在变更前日以书面形式通知对方。因迟延通知而造成的损失，由过错方承担责任。本合同项下的通知自送达之日</w:t>
      </w:r>
      <w:r>
        <w:rPr>
          <w:rFonts w:hint="eastAsia" w:ascii="宋体" w:hAnsi="宋体" w:eastAsia="宋体" w:cs="Times New Roman"/>
          <w:szCs w:val="21"/>
        </w:rPr>
        <w:t>起</w:t>
      </w:r>
      <w:r>
        <w:rPr>
          <w:rFonts w:ascii="宋体" w:hAnsi="宋体" w:eastAsia="宋体" w:cs="Times New Roman"/>
          <w:szCs w:val="21"/>
        </w:rPr>
        <w:t>发生效力。</w:t>
      </w:r>
    </w:p>
    <w:p w14:paraId="1CF85591">
      <w:pPr>
        <w:spacing w:line="360" w:lineRule="auto"/>
        <w:ind w:firstLine="394" w:firstLineChars="187"/>
        <w:rPr>
          <w:rFonts w:ascii="宋体" w:hAnsi="宋体" w:eastAsia="宋体" w:cs="Times New Roman"/>
          <w:b/>
          <w:bCs/>
          <w:szCs w:val="21"/>
        </w:rPr>
      </w:pPr>
      <w:r>
        <w:rPr>
          <w:rFonts w:hint="eastAsia" w:ascii="宋体" w:hAnsi="宋体" w:eastAsia="宋体" w:cs="Times New Roman"/>
          <w:b/>
          <w:bCs/>
          <w:szCs w:val="21"/>
        </w:rPr>
        <w:t>十四、知识产权</w:t>
      </w:r>
    </w:p>
    <w:p w14:paraId="2A6CB45B">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1、采购单位提供给中标单位的图纸、采购单位为实施工程自行编制或委托编制的技术规范以及反映采购单位要求的或其他类似性质的文件的著作权属于采购单位，中标单位可为实现合同目的而复制、使用此类文件，但不能用于与合同无关的其他事项。未经采购单位书面同意，中标单位不得为了合同以外的目的复制、使用上述文件或将其提供给任何第三方。</w:t>
      </w:r>
    </w:p>
    <w:p w14:paraId="7E6F38D2">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2、中标单位保证在履行合同过程中不侵犯任何第三方的知识产权。中标单位在使用材料、施工设备、工程设备或采用施工工艺时，因侵犯他人的专利权或其他知识产权所引起的责任，由中标单位承担。</w:t>
      </w:r>
    </w:p>
    <w:p w14:paraId="30A9CD31">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3、中标单位确认在合同签订前和签订时已确定采用的专利、专有技术、技术秘密的使用费已包含在本合同总价中。</w:t>
      </w:r>
    </w:p>
    <w:p w14:paraId="5C735BA6">
      <w:pPr>
        <w:spacing w:line="360" w:lineRule="auto"/>
        <w:ind w:firstLine="394" w:firstLineChars="187"/>
        <w:rPr>
          <w:rFonts w:ascii="宋体" w:hAnsi="宋体" w:eastAsia="宋体" w:cs="Times New Roman"/>
          <w:b/>
          <w:bCs/>
          <w:szCs w:val="21"/>
        </w:rPr>
      </w:pPr>
      <w:r>
        <w:rPr>
          <w:rFonts w:hint="eastAsia" w:ascii="宋体" w:hAnsi="宋体" w:eastAsia="宋体" w:cs="Times New Roman"/>
          <w:b/>
          <w:bCs/>
          <w:szCs w:val="21"/>
        </w:rPr>
        <w:t>十五、违约责任</w:t>
      </w:r>
    </w:p>
    <w:p w14:paraId="520C166A">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1、因采购单位暂停工程导致的停工，中标单位的工期相应顺延。</w:t>
      </w:r>
    </w:p>
    <w:p w14:paraId="3F5F5CA1">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2、采购单位无正当理由未按本合同约定按时支付工程预付款、工程进度款、工程竣工结算款的，采购单位应向中标单位承担违约责任，具体承担方式由采购单位与中标单位另行协商确定。因中标单位未及时提供合格发票或财政支付流程导致的付款迟延，不视为采购单位违约。</w:t>
      </w:r>
    </w:p>
    <w:p w14:paraId="13A4AF6F">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3、本合同项下工程质量没有达到招标文件中规定的质量标准，中标单位未按招标文件的规定采购分部分项工程量清单的任何材料设备，均属中标单位违约。中标单位必须立即返工或返修，并承担由此产生的费用及相关的检验、验收费用，直至验收合格。因此造成工期延误的，每延误一天，中标单位应向采购单位支付</w:t>
      </w:r>
      <w:r>
        <w:rPr>
          <w:rFonts w:hint="eastAsia" w:ascii="Times New Roman" w:hAnsi="Times New Roman" w:eastAsia="宋体" w:cs="Times New Roman"/>
          <w:szCs w:val="20"/>
        </w:rPr>
        <w:t>工程总价款的千分之五的</w:t>
      </w:r>
      <w:r>
        <w:rPr>
          <w:rFonts w:hint="eastAsia" w:ascii="宋体" w:hAnsi="宋体" w:eastAsia="宋体" w:cs="Times New Roman"/>
          <w:szCs w:val="21"/>
        </w:rPr>
        <w:t>违约金。违约金不足以弥补采购单位因此遭受损失（包括但不限于律师费、诉讼费、鉴定费、保全费、调查费等费用支出）的，中标单位还应予以赔偿。</w:t>
      </w:r>
    </w:p>
    <w:p w14:paraId="69EB6351">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4、中标单位应严格按照合同约定工期完工，因中标单位原因造成工程项目未按合同约定完工的，每延期一天，中标单位应向采购单位支付</w:t>
      </w:r>
      <w:r>
        <w:rPr>
          <w:rFonts w:hint="eastAsia" w:ascii="Times New Roman" w:hAnsi="Times New Roman" w:eastAsia="宋体" w:cs="Times New Roman"/>
          <w:szCs w:val="20"/>
        </w:rPr>
        <w:t>工程总价款的千分之五的</w:t>
      </w:r>
      <w:r>
        <w:rPr>
          <w:rFonts w:hint="eastAsia" w:ascii="宋体" w:hAnsi="宋体" w:eastAsia="宋体" w:cs="Times New Roman"/>
          <w:szCs w:val="21"/>
        </w:rPr>
        <w:t>违约金，如果违约金不足以弥补采购单位因此遭受损失（包括但不限于律师费、诉讼费、鉴定费、保全费、调查费等费用支出）的，中标单位应予以赔偿。</w:t>
      </w:r>
    </w:p>
    <w:p w14:paraId="0E390C36">
      <w:pPr>
        <w:spacing w:line="360" w:lineRule="auto"/>
        <w:ind w:firstLine="394" w:firstLineChars="187"/>
        <w:rPr>
          <w:rFonts w:ascii="宋体" w:hAnsi="宋体" w:eastAsia="宋体" w:cs="Times New Roman"/>
          <w:b/>
          <w:bCs/>
          <w:szCs w:val="21"/>
        </w:rPr>
      </w:pPr>
      <w:r>
        <w:rPr>
          <w:rFonts w:hint="eastAsia" w:ascii="宋体" w:hAnsi="宋体" w:eastAsia="宋体" w:cs="Times New Roman"/>
          <w:b/>
          <w:bCs/>
          <w:szCs w:val="21"/>
        </w:rPr>
        <w:t>十六、争议解决</w:t>
      </w:r>
    </w:p>
    <w:p w14:paraId="432CA875">
      <w:pPr>
        <w:spacing w:line="360" w:lineRule="auto"/>
        <w:jc w:val="left"/>
        <w:rPr>
          <w:rFonts w:ascii="宋体" w:hAnsi="宋体" w:eastAsia="宋体" w:cs="Times New Roman"/>
          <w:szCs w:val="21"/>
        </w:rPr>
      </w:pPr>
      <w:r>
        <w:rPr>
          <w:rFonts w:hint="eastAsia" w:ascii="宋体" w:hAnsi="宋体" w:eastAsia="宋体" w:cs="Times New Roman"/>
          <w:szCs w:val="21"/>
        </w:rPr>
        <w:t>双方约定，在履行本合同过程中产生争议时，由采购单位和中标单位自行调解，调解不成的任何一方均可向</w:t>
      </w:r>
      <w:r>
        <w:rPr>
          <w:rFonts w:hint="eastAsia" w:ascii="Times New Roman" w:hAnsi="Times New Roman" w:eastAsia="宋体" w:cs="Times New Roman"/>
        </w:rPr>
        <w:t>采购单位所在地的人民法院提起诉讼</w:t>
      </w:r>
      <w:r>
        <w:rPr>
          <w:rFonts w:hint="eastAsia" w:ascii="宋体" w:hAnsi="宋体" w:eastAsia="宋体" w:cs="Times New Roman"/>
          <w:szCs w:val="21"/>
        </w:rPr>
        <w:t>。</w:t>
      </w:r>
    </w:p>
    <w:p w14:paraId="3562003E">
      <w:pPr>
        <w:spacing w:line="360" w:lineRule="auto"/>
        <w:ind w:firstLine="394" w:firstLineChars="187"/>
        <w:rPr>
          <w:rFonts w:ascii="宋体" w:hAnsi="宋体" w:eastAsia="宋体" w:cs="Times New Roman"/>
          <w:b/>
          <w:bCs/>
          <w:szCs w:val="21"/>
        </w:rPr>
      </w:pPr>
      <w:r>
        <w:rPr>
          <w:rFonts w:hint="eastAsia" w:ascii="宋体" w:hAnsi="宋体" w:eastAsia="宋体" w:cs="Times New Roman"/>
          <w:b/>
          <w:bCs/>
          <w:szCs w:val="21"/>
        </w:rPr>
        <w:t>十七、不可抗力</w:t>
      </w:r>
    </w:p>
    <w:p w14:paraId="4C7456B2">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 xml:space="preserve">不可抗力是指在合同履行过程中不能避免且不能克服的自然灾害和社会性突发事件，本合同中约定的不可抗力如下： </w:t>
      </w:r>
    </w:p>
    <w:p w14:paraId="4CCA393E">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（1） 6 级以上的地震；</w:t>
      </w:r>
    </w:p>
    <w:p w14:paraId="55205F65">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（2）平均风力  8  级以上的大风；</w:t>
      </w:r>
    </w:p>
    <w:p w14:paraId="74C9BDD0">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（3）3个小时内降雨量为50 mm以上的暴雨；</w:t>
      </w:r>
    </w:p>
    <w:p w14:paraId="540FEBDC">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（4）  37  摄氏度以上并持续2天的高温天气；</w:t>
      </w:r>
    </w:p>
    <w:p w14:paraId="7552541E">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（5）其它：  战乱、动乱、空中飞行物体坠落或其他非采购单位承包责任造成的爆炸、火灾等。</w:t>
      </w:r>
    </w:p>
    <w:p w14:paraId="4B214603">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不可抗力发生后，遭遇不可抗力的一方应及时书面通知对方，并应在合理期限内向对方提供遭遇不可抗力的证明，同时采取必要措施，并由中标单位、采购单位共同协商确定是否继续履行本合同。</w:t>
      </w:r>
    </w:p>
    <w:p w14:paraId="56B29439">
      <w:pPr>
        <w:spacing w:line="360" w:lineRule="auto"/>
        <w:ind w:firstLine="394" w:firstLineChars="187"/>
        <w:rPr>
          <w:rFonts w:ascii="宋体" w:hAnsi="宋体" w:eastAsia="宋体" w:cs="Times New Roman"/>
          <w:b/>
          <w:bCs/>
          <w:szCs w:val="21"/>
        </w:rPr>
      </w:pPr>
      <w:r>
        <w:rPr>
          <w:rFonts w:hint="eastAsia" w:ascii="宋体" w:hAnsi="宋体" w:eastAsia="宋体" w:cs="Times New Roman"/>
          <w:b/>
          <w:bCs/>
          <w:szCs w:val="21"/>
        </w:rPr>
        <w:t>十八、补充条款</w:t>
      </w:r>
    </w:p>
    <w:p w14:paraId="1C483280">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1、工程量清单外增加的工程量，经监理人及采购单位审核确认后按实际增（减）工程造价，最后结算价应以采购单位审定为准。</w:t>
      </w:r>
    </w:p>
    <w:p w14:paraId="5F19814D">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2、采购单位、中标单位约定，本工程中安全文明施工费用不下浮。</w:t>
      </w:r>
    </w:p>
    <w:p w14:paraId="7E92CA7B">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3、结算时清单编制方法（子目套法）同原标底清单编制。</w:t>
      </w:r>
    </w:p>
    <w:p w14:paraId="614BFEDC">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4、本工程涉及“营改增”的内容参照《深圳市建筑业营改增建设工程计价依据调整实施细则》执行。</w:t>
      </w:r>
    </w:p>
    <w:p w14:paraId="0535A8A8">
      <w:pPr>
        <w:pStyle w:val="6"/>
        <w:spacing w:line="360" w:lineRule="auto"/>
        <w:jc w:val="both"/>
      </w:pPr>
      <w:r>
        <w:rPr>
          <w:rFonts w:hint="eastAsia"/>
        </w:rPr>
        <w:t>5、《工程报价单》中所列的量均为暂定量，最终由双方根据实际完成的工程量据实结算。计算工程量时除双方书面明确的外，均按照完成后的净值计算，不包括任何损耗。《工程报价单》中单价为中标单位根据列明材料规格、档次、施工做法以及有关标准、规定完成单位工程内容的全部费用。中标单位应在报价时提供相应的材料样本，作为材料供应和验收的依据。双方应就中标单位提供的材料样本进行封存。</w:t>
      </w:r>
    </w:p>
    <w:p w14:paraId="19C9F114">
      <w:pPr>
        <w:pStyle w:val="6"/>
        <w:spacing w:line="360" w:lineRule="auto"/>
      </w:pPr>
    </w:p>
    <w:p w14:paraId="06CC5BDD">
      <w:pPr>
        <w:pStyle w:val="6"/>
        <w:spacing w:line="360" w:lineRule="auto"/>
      </w:pPr>
    </w:p>
    <w:p w14:paraId="39E9E110">
      <w:pPr>
        <w:pStyle w:val="6"/>
      </w:pPr>
    </w:p>
    <w:p w14:paraId="66F8CE37">
      <w:pPr>
        <w:pStyle w:val="6"/>
      </w:pPr>
    </w:p>
    <w:p w14:paraId="4A2B2AF6">
      <w:pPr>
        <w:pStyle w:val="6"/>
      </w:pPr>
    </w:p>
    <w:p w14:paraId="124188EF">
      <w:pPr>
        <w:pStyle w:val="6"/>
      </w:pPr>
    </w:p>
    <w:p w14:paraId="452C0139">
      <w:pPr>
        <w:pStyle w:val="6"/>
      </w:pPr>
    </w:p>
    <w:p w14:paraId="03B4F9AD">
      <w:pPr>
        <w:pStyle w:val="6"/>
      </w:pPr>
    </w:p>
    <w:p w14:paraId="4DCD6349">
      <w:pPr>
        <w:pStyle w:val="6"/>
      </w:pPr>
    </w:p>
    <w:p w14:paraId="18B345C9">
      <w:pPr>
        <w:pStyle w:val="6"/>
      </w:pPr>
    </w:p>
    <w:p w14:paraId="0415100E">
      <w:pPr>
        <w:pStyle w:val="6"/>
      </w:pPr>
    </w:p>
    <w:p w14:paraId="134FB4B6">
      <w:pPr>
        <w:pStyle w:val="6"/>
      </w:pPr>
    </w:p>
    <w:p w14:paraId="084BB741">
      <w:pPr>
        <w:pStyle w:val="6"/>
      </w:pPr>
    </w:p>
    <w:p w14:paraId="579DE751">
      <w:pPr>
        <w:pStyle w:val="6"/>
      </w:pPr>
    </w:p>
    <w:p w14:paraId="610E65F8">
      <w:pPr>
        <w:pStyle w:val="6"/>
      </w:pPr>
    </w:p>
    <w:p w14:paraId="383A5438">
      <w:pPr>
        <w:pStyle w:val="6"/>
      </w:pPr>
    </w:p>
    <w:p w14:paraId="39DF56A5">
      <w:pPr>
        <w:pStyle w:val="6"/>
      </w:pPr>
    </w:p>
    <w:p w14:paraId="55A915A5">
      <w:pPr>
        <w:pStyle w:val="6"/>
      </w:pPr>
    </w:p>
    <w:p w14:paraId="2FA9E5BF">
      <w:pPr>
        <w:pStyle w:val="6"/>
      </w:pPr>
    </w:p>
    <w:p w14:paraId="2B2B3A36">
      <w:pPr>
        <w:pStyle w:val="6"/>
      </w:pPr>
    </w:p>
    <w:p w14:paraId="128FC482">
      <w:pPr>
        <w:pStyle w:val="6"/>
      </w:pPr>
    </w:p>
    <w:p w14:paraId="0149AADD">
      <w:pPr>
        <w:pStyle w:val="6"/>
      </w:pPr>
    </w:p>
    <w:p w14:paraId="25FA6F80">
      <w:pPr>
        <w:pStyle w:val="6"/>
      </w:pPr>
    </w:p>
    <w:p w14:paraId="18241C54">
      <w:pPr>
        <w:pStyle w:val="6"/>
      </w:pPr>
    </w:p>
    <w:p w14:paraId="65389A1F">
      <w:pPr>
        <w:pStyle w:val="6"/>
      </w:pPr>
    </w:p>
    <w:p w14:paraId="0029AA65">
      <w:pPr>
        <w:pStyle w:val="6"/>
      </w:pPr>
    </w:p>
    <w:p w14:paraId="17E6FD1B">
      <w:pPr>
        <w:pStyle w:val="6"/>
      </w:pPr>
    </w:p>
    <w:p w14:paraId="7F93C6B3">
      <w:pPr>
        <w:pStyle w:val="6"/>
      </w:pPr>
    </w:p>
    <w:p w14:paraId="1FF6014D">
      <w:pPr>
        <w:pStyle w:val="6"/>
        <w:rPr>
          <w:rFonts w:hint="eastAsia" w:ascii="Arial" w:hAnsi="Arial" w:eastAsia="宋体" w:cs="Times New Roman"/>
          <w:b/>
          <w:bCs/>
          <w:kern w:val="44"/>
          <w:sz w:val="32"/>
          <w:szCs w:val="32"/>
          <w:lang w:val="en-US" w:eastAsia="zh-CN" w:bidi="ar-SA"/>
        </w:rPr>
      </w:pPr>
      <w:r>
        <w:rPr>
          <w:rFonts w:hint="eastAsia" w:ascii="Arial" w:hAnsi="Arial" w:eastAsia="宋体" w:cs="Times New Roman"/>
          <w:b/>
          <w:bCs/>
          <w:kern w:val="44"/>
          <w:sz w:val="32"/>
          <w:szCs w:val="32"/>
          <w:lang w:val="en-US" w:eastAsia="zh-CN" w:bidi="ar-SA"/>
        </w:rPr>
        <w:t>工 程 质 量 缺 陷 保 修 书</w:t>
      </w:r>
    </w:p>
    <w:p w14:paraId="7B1B88E6">
      <w:pPr>
        <w:pStyle w:val="6"/>
      </w:pPr>
    </w:p>
    <w:p w14:paraId="3DECA223">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采购单位（全称）：深圳市龙华区同胜学校附属富隆苑幼儿园</w:t>
      </w:r>
    </w:p>
    <w:p w14:paraId="23303798">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 xml:space="preserve">中标单位（全称）：                                     </w:t>
      </w:r>
    </w:p>
    <w:p w14:paraId="7B472438">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为保证 深圳市龙华区同胜学校附属富隆苑幼儿园外墙与门头改造工程 在合理使用期限内正常使用，采购单位和中标单位根据《中华人民共和国建筑法》、《建设工程质量管理条例》和《深圳经济特区建设工程质量管理条例》，经协商一致，签订工程质量缺陷保修书。中标单位在质量缺陷保修期内按照有关规定及双方约定承担工程质量缺陷保修责任。</w:t>
      </w:r>
    </w:p>
    <w:p w14:paraId="619F4022">
      <w:pPr>
        <w:spacing w:line="360" w:lineRule="auto"/>
        <w:ind w:firstLine="394" w:firstLineChars="187"/>
        <w:rPr>
          <w:rFonts w:ascii="宋体" w:hAnsi="宋体" w:eastAsia="宋体" w:cs="Times New Roman"/>
          <w:b/>
          <w:bCs/>
          <w:szCs w:val="21"/>
        </w:rPr>
      </w:pPr>
      <w:r>
        <w:rPr>
          <w:rFonts w:hint="eastAsia" w:ascii="宋体" w:hAnsi="宋体" w:eastAsia="宋体" w:cs="Times New Roman"/>
          <w:b/>
          <w:bCs/>
          <w:szCs w:val="21"/>
        </w:rPr>
        <w:t>一、工程质量保修范围和内容</w:t>
      </w:r>
    </w:p>
    <w:p w14:paraId="67EE1BBE">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质量缺陷保修范围包括地基基础工程、主体结构工程、屋面防水工程/有防水要求的卫生间/房间和外墙面的防渗漏工程、电气管线、给排水管道、设备安装工程、供热和供冷系统工程、装饰装修工程以及双方约定的其他项目。</w:t>
      </w:r>
    </w:p>
    <w:p w14:paraId="47BEC13C">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具体质量缺陷保修范围，双方约定如下：</w:t>
      </w:r>
    </w:p>
    <w:p w14:paraId="6AAB13CA">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（1）施工范围内的标书内容工程；</w:t>
      </w:r>
    </w:p>
    <w:p w14:paraId="1B4599BE">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（2）在施工范围内，非因采购单位使用不当或者第三方造成的质量缺陷；</w:t>
      </w:r>
    </w:p>
    <w:p w14:paraId="5E0D4F5E">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 xml:space="preserve">（3）非因不可抗力造成的质量缺陷。 </w:t>
      </w:r>
    </w:p>
    <w:p w14:paraId="78BFC925">
      <w:pPr>
        <w:spacing w:line="360" w:lineRule="auto"/>
        <w:ind w:firstLine="394" w:firstLineChars="187"/>
        <w:rPr>
          <w:rFonts w:ascii="宋体" w:hAnsi="宋体" w:eastAsia="宋体" w:cs="Times New Roman"/>
          <w:b/>
          <w:bCs/>
          <w:szCs w:val="21"/>
        </w:rPr>
      </w:pPr>
      <w:r>
        <w:rPr>
          <w:rFonts w:hint="eastAsia" w:ascii="宋体" w:hAnsi="宋体" w:eastAsia="宋体" w:cs="Times New Roman"/>
          <w:b/>
          <w:bCs/>
          <w:szCs w:val="21"/>
        </w:rPr>
        <w:t>二、质量保修期</w:t>
      </w:r>
    </w:p>
    <w:p w14:paraId="236F749B">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质量缺陷保修期从工程实际竣工之日算起。单项竣工验收的工程，按单项工程分别计算质量缺陷保修期。</w:t>
      </w:r>
    </w:p>
    <w:p w14:paraId="3ED6B24A">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双方约定本工程质量缺陷保修期如下：</w:t>
      </w:r>
    </w:p>
    <w:p w14:paraId="4140DC18">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地基基础工程、主体结构工程为设计文件规定的合理使用年限；</w:t>
      </w:r>
    </w:p>
    <w:p w14:paraId="598BC4E3">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屋面防水工程、有防水要求的卫生间、房间和外墙面的防渗漏工程为∕年；</w:t>
      </w:r>
    </w:p>
    <w:p w14:paraId="54CE0964">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电气管线、给排水管道、设备安装工程为∕年；</w:t>
      </w:r>
    </w:p>
    <w:p w14:paraId="79C11C4C">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供热和供冷系统工程为∕个采暖期、供冷期；</w:t>
      </w:r>
    </w:p>
    <w:p w14:paraId="42329F9C">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装饰装修工程为∕年；</w:t>
      </w:r>
    </w:p>
    <w:p w14:paraId="4749F5DD">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 xml:space="preserve">本工程保修期为  年。 </w:t>
      </w:r>
    </w:p>
    <w:p w14:paraId="6B252E56">
      <w:pPr>
        <w:spacing w:line="360" w:lineRule="auto"/>
        <w:ind w:firstLine="394" w:firstLineChars="187"/>
        <w:rPr>
          <w:rFonts w:ascii="宋体" w:hAnsi="宋体" w:eastAsia="宋体" w:cs="Times New Roman"/>
          <w:b/>
          <w:bCs/>
          <w:szCs w:val="21"/>
        </w:rPr>
      </w:pPr>
      <w:r>
        <w:rPr>
          <w:rFonts w:hint="eastAsia" w:ascii="宋体" w:hAnsi="宋体" w:eastAsia="宋体" w:cs="Times New Roman"/>
          <w:b/>
          <w:bCs/>
          <w:szCs w:val="21"/>
        </w:rPr>
        <w:t>三、质量保修责任</w:t>
      </w:r>
    </w:p>
    <w:p w14:paraId="51952DEB">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1、属于保修范围和内容项目，在保修期内，中标单位应在接到保修通知之日后7天内派人修理。中标单位未约定期限内派人修理，采购单位可委托第三方进行修理，因此产生的费用由中标单位承担。</w:t>
      </w:r>
    </w:p>
    <w:p w14:paraId="606C44FD">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2、发生紧急抢修事故的，中标单位接到事故通知后，应立即到达事故现场抢修。</w:t>
      </w:r>
    </w:p>
    <w:p w14:paraId="476B5BE4">
      <w:pPr>
        <w:spacing w:line="360" w:lineRule="auto"/>
        <w:ind w:firstLine="394" w:firstLineChars="187"/>
        <w:rPr>
          <w:rFonts w:ascii="宋体" w:hAnsi="宋体" w:eastAsia="宋体" w:cs="Times New Roman"/>
          <w:b/>
          <w:bCs/>
          <w:szCs w:val="21"/>
        </w:rPr>
      </w:pPr>
      <w:r>
        <w:rPr>
          <w:rFonts w:hint="eastAsia" w:ascii="宋体" w:hAnsi="宋体" w:eastAsia="宋体" w:cs="Times New Roman"/>
          <w:b/>
          <w:bCs/>
          <w:szCs w:val="21"/>
        </w:rPr>
        <w:t>四、工程质量缺陷保修费用</w:t>
      </w:r>
    </w:p>
    <w:p w14:paraId="3FF5DADF">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工程质量缺陷保修费用及相关的损害赔偿责任由造成质量缺陷的责任方承担。</w:t>
      </w:r>
    </w:p>
    <w:p w14:paraId="3A1C25AC">
      <w:pPr>
        <w:spacing w:line="360" w:lineRule="auto"/>
        <w:ind w:firstLine="394" w:firstLineChars="187"/>
        <w:rPr>
          <w:rFonts w:ascii="宋体" w:hAnsi="宋体" w:eastAsia="宋体" w:cs="Times New Roman"/>
          <w:b/>
          <w:bCs/>
          <w:szCs w:val="21"/>
        </w:rPr>
      </w:pPr>
      <w:r>
        <w:rPr>
          <w:rFonts w:hint="eastAsia" w:ascii="宋体" w:hAnsi="宋体" w:eastAsia="宋体" w:cs="Times New Roman"/>
          <w:b/>
          <w:bCs/>
          <w:szCs w:val="21"/>
        </w:rPr>
        <w:t>五、工程质量缺陷保修金</w:t>
      </w:r>
    </w:p>
    <w:p w14:paraId="0F6BBE99">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采购单位、中标单位约定本工程的工程质量保修金为施工合同价款的  % ，具体金额如下：</w:t>
      </w:r>
    </w:p>
    <w:p w14:paraId="425EFF1E">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 xml:space="preserve">币种：   人民币   </w:t>
      </w:r>
    </w:p>
    <w:p w14:paraId="3770780C">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 xml:space="preserve">金额（大写）  竣工结算价× ％      </w:t>
      </w:r>
    </w:p>
    <w:p w14:paraId="72D49431">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 xml:space="preserve">（小写）           /          </w:t>
      </w:r>
    </w:p>
    <w:p w14:paraId="59D19AC4">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 xml:space="preserve">质量缺陷保修金银行利率为：      /           </w:t>
      </w:r>
    </w:p>
    <w:p w14:paraId="0803D780">
      <w:pPr>
        <w:spacing w:line="360" w:lineRule="auto"/>
        <w:ind w:firstLine="394" w:firstLineChars="187"/>
        <w:rPr>
          <w:rFonts w:ascii="宋体" w:hAnsi="宋体" w:eastAsia="宋体" w:cs="Times New Roman"/>
          <w:b/>
          <w:bCs/>
          <w:szCs w:val="21"/>
        </w:rPr>
      </w:pPr>
      <w:r>
        <w:rPr>
          <w:rFonts w:hint="eastAsia" w:ascii="宋体" w:hAnsi="宋体" w:eastAsia="宋体" w:cs="Times New Roman"/>
          <w:b/>
          <w:bCs/>
          <w:szCs w:val="21"/>
        </w:rPr>
        <w:t>六、工程质量缺陷保修金的支付</w:t>
      </w:r>
    </w:p>
    <w:p w14:paraId="2BBB6BFE">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采购单位在工程竣工验收满贰年后第 天内，将剩余工程质量缺陷保修金支付给中标单位，但并不免除中标单位在保修期内的保修责任。</w:t>
      </w:r>
    </w:p>
    <w:p w14:paraId="4A996641">
      <w:pPr>
        <w:spacing w:line="360" w:lineRule="auto"/>
        <w:ind w:firstLine="394" w:firstLineChars="187"/>
        <w:rPr>
          <w:rFonts w:ascii="宋体" w:hAnsi="宋体" w:eastAsia="宋体" w:cs="Times New Roman"/>
          <w:b/>
          <w:bCs/>
          <w:szCs w:val="21"/>
        </w:rPr>
      </w:pPr>
      <w:r>
        <w:rPr>
          <w:rFonts w:hint="eastAsia" w:ascii="宋体" w:hAnsi="宋体" w:eastAsia="宋体" w:cs="Times New Roman"/>
          <w:b/>
          <w:bCs/>
          <w:szCs w:val="21"/>
        </w:rPr>
        <w:t>七、其它</w:t>
      </w:r>
    </w:p>
    <w:p w14:paraId="04A3827A">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本《工程质量缺陷保修书》作为施工合同附件由采购单位中标单位双方共同签署，本《工程质量缺陷保修书》作为施工合同的组成部分，与施工合同具有通同等的法律效力。</w:t>
      </w:r>
    </w:p>
    <w:p w14:paraId="67821B9B">
      <w:pPr>
        <w:spacing w:line="360" w:lineRule="auto"/>
        <w:ind w:firstLine="392" w:firstLineChars="187"/>
        <w:rPr>
          <w:rFonts w:ascii="宋体" w:hAnsi="宋体" w:eastAsia="宋体" w:cs="Times New Roman"/>
          <w:szCs w:val="21"/>
        </w:rPr>
      </w:pPr>
    </w:p>
    <w:p w14:paraId="11DD5FF4">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采购单位（公章）                   中标单位（公章）</w:t>
      </w:r>
    </w:p>
    <w:p w14:paraId="48C168D4">
      <w:pPr>
        <w:spacing w:line="360" w:lineRule="auto"/>
        <w:ind w:firstLine="392" w:firstLineChars="187"/>
        <w:rPr>
          <w:rFonts w:ascii="宋体" w:hAnsi="宋体" w:eastAsia="宋体" w:cs="Times New Roman"/>
          <w:szCs w:val="21"/>
        </w:rPr>
      </w:pPr>
    </w:p>
    <w:p w14:paraId="60715880">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法定代表人：                      法定代表人：</w:t>
      </w:r>
    </w:p>
    <w:p w14:paraId="1D539DC2">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（签字）                         （签字）</w:t>
      </w:r>
    </w:p>
    <w:p w14:paraId="6D77E8B3">
      <w:pPr>
        <w:spacing w:line="360" w:lineRule="auto"/>
        <w:ind w:firstLine="392" w:firstLineChars="187"/>
        <w:rPr>
          <w:rFonts w:ascii="宋体" w:hAnsi="宋体" w:eastAsia="宋体" w:cs="Times New Roman"/>
          <w:szCs w:val="21"/>
        </w:rPr>
      </w:pPr>
      <w:r>
        <w:rPr>
          <w:rFonts w:hint="eastAsia" w:ascii="宋体" w:hAnsi="宋体" w:eastAsia="宋体" w:cs="Times New Roman"/>
          <w:szCs w:val="21"/>
        </w:rPr>
        <w:t>签订日期：    年   月   日       签订日期：      年   月   日</w:t>
      </w:r>
    </w:p>
    <w:p w14:paraId="1B97E9E1">
      <w:pPr>
        <w:pStyle w:val="6"/>
      </w:pPr>
    </w:p>
    <w:p w14:paraId="2CDFBE6C">
      <w:pPr>
        <w:widowControl/>
        <w:spacing w:line="360" w:lineRule="auto"/>
        <w:jc w:val="left"/>
        <w:rPr>
          <w:rFonts w:ascii="宋体" w:hAnsi="宋体" w:eastAsia="宋体" w:cs="宋体"/>
          <w:color w:val="FF0000"/>
          <w:szCs w:val="21"/>
        </w:rPr>
      </w:pPr>
    </w:p>
    <w:p w14:paraId="7A2E0CE9">
      <w:pPr>
        <w:widowControl/>
        <w:spacing w:line="360" w:lineRule="auto"/>
        <w:jc w:val="left"/>
        <w:rPr>
          <w:rFonts w:ascii="宋体" w:hAnsi="宋体" w:eastAsia="宋体" w:cs="宋体"/>
          <w:b/>
          <w:bCs/>
          <w:color w:val="0000FF"/>
          <w:kern w:val="44"/>
          <w:szCs w:val="21"/>
        </w:rPr>
      </w:pPr>
      <w:r>
        <w:rPr>
          <w:rFonts w:hint="eastAsia" w:ascii="宋体" w:hAnsi="宋体" w:eastAsia="宋体" w:cs="宋体"/>
          <w:b/>
          <w:bCs/>
          <w:color w:val="0000FF"/>
          <w:kern w:val="44"/>
          <w:szCs w:val="21"/>
        </w:rPr>
        <w:br w:type="page"/>
      </w:r>
    </w:p>
    <w:p w14:paraId="0B67EB78">
      <w:pPr>
        <w:keepNext/>
        <w:keepLines/>
        <w:spacing w:before="340"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第二册  通用条款（公开招标）</w:t>
      </w:r>
    </w:p>
    <w:p w14:paraId="085CC6A1">
      <w:pPr>
        <w:pStyle w:val="3"/>
        <w:rPr>
          <w:rFonts w:ascii="宋体" w:hAnsi="宋体" w:eastAsia="宋体" w:cs="宋体"/>
          <w:color w:val="000000" w:themeColor="text1"/>
        </w:rPr>
      </w:pPr>
      <w:bookmarkStart w:id="28" w:name="_Toc13687"/>
      <w:r>
        <w:rPr>
          <w:rFonts w:hint="eastAsia" w:ascii="宋体" w:hAnsi="宋体" w:eastAsia="宋体" w:cs="宋体"/>
          <w:color w:val="000000" w:themeColor="text1"/>
        </w:rPr>
        <w:t>第一章 总则</w:t>
      </w:r>
      <w:bookmarkEnd w:id="28"/>
    </w:p>
    <w:p w14:paraId="2E63DD33">
      <w:pPr>
        <w:spacing w:line="44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1.通用条款说明</w:t>
      </w:r>
    </w:p>
    <w:p w14:paraId="75054A1F">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1.1本自行采购文件分为第一册“专用条款”和第二册“通用条款”。</w:t>
      </w:r>
    </w:p>
    <w:p w14:paraId="174029FB">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1.2“专用条款”是对本次采购项目的具体要求，包含投标人资格要求、采购项目需求、投标文件格式、附件等内容。</w:t>
      </w:r>
    </w:p>
    <w:p w14:paraId="662A47BA">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1.3“通用条款”是通用于政府采购项目的基础性条款，具有普遍性和通用性。</w:t>
      </w:r>
    </w:p>
    <w:p w14:paraId="787D86DD">
      <w:pPr>
        <w:spacing w:line="440" w:lineRule="exact"/>
        <w:ind w:firstLine="411" w:firstLineChars="196"/>
        <w:rPr>
          <w:rFonts w:ascii="宋体" w:hAnsi="宋体" w:eastAsia="宋体" w:cs="宋体"/>
          <w:color w:val="000000" w:themeColor="text1"/>
          <w:sz w:val="24"/>
          <w:szCs w:val="24"/>
        </w:rPr>
      </w:pPr>
      <w:r>
        <w:rPr>
          <w:rFonts w:hint="eastAsia" w:ascii="宋体" w:hAnsi="宋体" w:eastAsia="宋体" w:cs="宋体"/>
          <w:color w:val="000000" w:themeColor="text1"/>
          <w:szCs w:val="21"/>
        </w:rPr>
        <w:t>1.4“专用条款”和“通用条款”表述不一致或有冲突时，以“专用条款”为准。</w:t>
      </w:r>
    </w:p>
    <w:p w14:paraId="05D8415F">
      <w:pPr>
        <w:spacing w:line="440" w:lineRule="exact"/>
        <w:rPr>
          <w:rFonts w:ascii="宋体" w:hAnsi="宋体" w:eastAsia="宋体" w:cs="宋体"/>
          <w:color w:val="000000" w:themeColor="text1"/>
          <w:sz w:val="24"/>
          <w:szCs w:val="24"/>
        </w:rPr>
      </w:pPr>
      <w:bookmarkStart w:id="29" w:name="_Toc60560629"/>
      <w:bookmarkStart w:id="30" w:name="_Toc73518121"/>
      <w:bookmarkStart w:id="31" w:name="_Toc73517643"/>
      <w:bookmarkStart w:id="32" w:name="_Toc60631624"/>
      <w:bookmarkStart w:id="33" w:name="_Toc100052368"/>
      <w:r>
        <w:rPr>
          <w:rFonts w:hint="eastAsia" w:ascii="宋体" w:hAnsi="宋体" w:eastAsia="宋体" w:cs="宋体"/>
          <w:color w:val="000000" w:themeColor="text1"/>
          <w:sz w:val="24"/>
          <w:szCs w:val="24"/>
        </w:rPr>
        <w:t>2.投标人责任</w:t>
      </w:r>
    </w:p>
    <w:p w14:paraId="19D983C9">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3.1欢迎诚信、有实力和有社会责任心的投标人参与龙华区自行采购活动。</w:t>
      </w:r>
    </w:p>
    <w:p w14:paraId="743F532E">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3.2投标人应当遵循公平竞争的原则，不得恶意串通，不得妨碍其他投标投标人的竞争行为，不得损害采购人或者其他投标人的合法权益。如违反上述要求，经核实后，投标人的投标无效。</w:t>
      </w:r>
    </w:p>
    <w:p w14:paraId="1981FB4B">
      <w:pPr>
        <w:spacing w:line="44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w:t>
      </w:r>
      <w:bookmarkEnd w:id="29"/>
      <w:bookmarkEnd w:id="30"/>
      <w:bookmarkEnd w:id="31"/>
      <w:bookmarkEnd w:id="32"/>
      <w:bookmarkEnd w:id="33"/>
      <w:r>
        <w:rPr>
          <w:rFonts w:hint="eastAsia" w:ascii="宋体" w:hAnsi="宋体" w:eastAsia="宋体" w:cs="宋体"/>
          <w:color w:val="000000" w:themeColor="text1"/>
          <w:sz w:val="24"/>
          <w:szCs w:val="24"/>
        </w:rPr>
        <w:t>投标人参加自行采购活动的条件</w:t>
      </w:r>
    </w:p>
    <w:p w14:paraId="6535A90C">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3.1投标人的资格要求</w:t>
      </w:r>
    </w:p>
    <w:p w14:paraId="542B1440">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参加本项目的投标人应具备的资格条件详见本项目采购公告中 “对投标人资格要求”的内容。</w:t>
      </w:r>
      <w:bookmarkStart w:id="34" w:name="_Toc60631626"/>
      <w:bookmarkStart w:id="35" w:name="_Toc100052370"/>
      <w:bookmarkStart w:id="36" w:name="_Toc60560631"/>
      <w:bookmarkStart w:id="37" w:name="_Toc73521553"/>
      <w:bookmarkStart w:id="38" w:name="_Toc73517645"/>
      <w:bookmarkStart w:id="39" w:name="_Toc73518123"/>
    </w:p>
    <w:p w14:paraId="39500A54">
      <w:pPr>
        <w:spacing w:line="44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4.本项目若涉及采购货物，则合格的货物及相应服务应满足以下要求：</w:t>
      </w:r>
    </w:p>
    <w:p w14:paraId="53190C95">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4.1  必须是全新、未使用过的原装合格正品（包括零部件），如安装或配置了软件的，须为正版软件。</w:t>
      </w:r>
    </w:p>
    <w:p w14:paraId="309BF38D">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4.2  国产的货物及其有关服务必须符合中华人民共和国的设计和制造生产标准或行业标准。采购公告有其他要求的，亦应符合其要求。</w:t>
      </w:r>
    </w:p>
    <w:p w14:paraId="454316CB">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4.3  进口货物及其有关服务必须符合原产地和/或中华人民共和国的设计和制造生产标准或行业标准。进口的货物必须具有合法的进口手续和途径，并通过中华人民共和国商检部门检验。采购公告有其他要求的，亦应符合其要求。</w:t>
      </w:r>
    </w:p>
    <w:p w14:paraId="27A7B02F">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4.4  投标人应保证，其所提供的货物在提供给采购单位前具有完全的所有权，采购单位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14:paraId="6E880A4D">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4.5  投标人应保证，其所提供的货物应具有行政主管部门颁发的资质证书或国家质量监督部门的产品《检验报告》。设备到货验收时，还必须提供设备的产品合格证、质量保证文件。若中选后，除非另有约定，投标人必须按合同规定完成设备的安装，并达到验收标准。</w:t>
      </w:r>
    </w:p>
    <w:p w14:paraId="2ED77C09">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4.6  对工期的要求：投标人在投标时对其所投项目应提交详细的《交货进度表》，列明交货计划等，在合同规定的时间内完工验收。</w:t>
      </w:r>
    </w:p>
    <w:p w14:paraId="19B24579">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4.7  投标人必须承担的设备运输、安装调试、验收检测和提供设备操作说明书、图纸等其他相关及类似的义务。</w:t>
      </w:r>
    </w:p>
    <w:p w14:paraId="2F5E8C8E">
      <w:pPr>
        <w:spacing w:line="44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5．投标费用</w:t>
      </w:r>
      <w:bookmarkEnd w:id="34"/>
      <w:bookmarkEnd w:id="35"/>
      <w:bookmarkEnd w:id="36"/>
      <w:bookmarkEnd w:id="37"/>
      <w:bookmarkEnd w:id="38"/>
      <w:bookmarkEnd w:id="39"/>
    </w:p>
    <w:p w14:paraId="7C2C753D">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不论投标结果如何，投标人应承担其编制投标文件与递交投标文件所涉及的一切费用。</w:t>
      </w:r>
    </w:p>
    <w:p w14:paraId="3C628286">
      <w:pPr>
        <w:spacing w:line="440" w:lineRule="exact"/>
        <w:rPr>
          <w:rFonts w:ascii="宋体" w:hAnsi="宋体" w:eastAsia="宋体" w:cs="宋体"/>
          <w:color w:val="000000" w:themeColor="text1"/>
          <w:sz w:val="24"/>
          <w:szCs w:val="24"/>
        </w:rPr>
      </w:pPr>
      <w:bookmarkStart w:id="40" w:name="_Toc60631627"/>
      <w:bookmarkStart w:id="41" w:name="_Toc73518124"/>
      <w:bookmarkStart w:id="42" w:name="_Toc100052371"/>
      <w:bookmarkStart w:id="43" w:name="_Toc60560632"/>
      <w:bookmarkStart w:id="44" w:name="_Toc73517646"/>
      <w:r>
        <w:rPr>
          <w:rFonts w:hint="eastAsia" w:ascii="宋体" w:hAnsi="宋体" w:eastAsia="宋体" w:cs="宋体"/>
          <w:color w:val="000000" w:themeColor="text1"/>
          <w:sz w:val="24"/>
          <w:szCs w:val="24"/>
        </w:rPr>
        <w:t>6．踏勘现场</w:t>
      </w:r>
      <w:bookmarkEnd w:id="40"/>
      <w:bookmarkEnd w:id="41"/>
      <w:bookmarkEnd w:id="42"/>
      <w:bookmarkEnd w:id="43"/>
      <w:bookmarkEnd w:id="44"/>
    </w:p>
    <w:p w14:paraId="7E16FF48">
      <w:pPr>
        <w:spacing w:line="440" w:lineRule="exact"/>
        <w:ind w:firstLine="411" w:firstLineChars="196"/>
        <w:rPr>
          <w:rFonts w:ascii="宋体" w:hAnsi="宋体" w:eastAsia="宋体" w:cs="宋体"/>
          <w:color w:val="000000" w:themeColor="text1"/>
          <w:szCs w:val="21"/>
        </w:rPr>
      </w:pPr>
      <w:bookmarkStart w:id="45" w:name="_Toc100052372"/>
      <w:r>
        <w:rPr>
          <w:rFonts w:hint="eastAsia" w:ascii="宋体" w:hAnsi="宋体" w:eastAsia="宋体" w:cs="宋体"/>
          <w:color w:val="000000" w:themeColor="text1"/>
          <w:szCs w:val="21"/>
        </w:rPr>
        <w:t>7.1如有需要（详见专用条款），采购人将组织投标人对项目现场及周围环境进行踏勘，以便投标人获取有关编制投标文件和签署合同所需的资料。踏勘现场所发生的费用由投标人自行承担。投标人应按采购公告所约定的时间、地点踏勘现场。</w:t>
      </w:r>
    </w:p>
    <w:p w14:paraId="60D097A3">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 xml:space="preserve">7.2投标人及其人员经过采购人的允许，可以踏勘目的进入采购人的项目现场。若采购文件要求投标人于统一时间地点踏勘现场的，投标人应当按时前往。 </w:t>
      </w:r>
    </w:p>
    <w:p w14:paraId="6D76ADAE">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7.3采购人必须通过</w:t>
      </w:r>
      <w:r>
        <w:rPr>
          <w:rFonts w:hint="eastAsia" w:ascii="宋体" w:hAnsi="宋体" w:cs="宋体"/>
          <w:b/>
          <w:color w:val="000000" w:themeColor="text1"/>
          <w:szCs w:val="21"/>
        </w:rPr>
        <w:t>深圳市千里招标代理有限公司</w:t>
      </w:r>
      <w:r>
        <w:rPr>
          <w:rFonts w:hint="eastAsia" w:ascii="宋体" w:hAnsi="宋体" w:eastAsia="宋体" w:cs="宋体"/>
          <w:color w:val="000000" w:themeColor="text1"/>
          <w:szCs w:val="21"/>
        </w:rPr>
        <w:t xml:space="preserve">向投标人提供有关现场的资料和数据。 </w:t>
      </w:r>
    </w:p>
    <w:p w14:paraId="740BA9C8">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7.4任何人或任何组织在踏勘现场时向投标人提交的任何书面资料或口头承诺，未经</w:t>
      </w:r>
      <w:r>
        <w:rPr>
          <w:rFonts w:hint="eastAsia" w:ascii="宋体" w:hAnsi="宋体" w:cs="宋体"/>
          <w:b/>
          <w:color w:val="000000" w:themeColor="text1"/>
          <w:szCs w:val="21"/>
        </w:rPr>
        <w:t>深圳市千里招标代理有限公司</w:t>
      </w:r>
      <w:r>
        <w:rPr>
          <w:rFonts w:hint="eastAsia" w:ascii="宋体" w:hAnsi="宋体" w:eastAsia="宋体" w:cs="宋体"/>
          <w:color w:val="000000" w:themeColor="text1"/>
          <w:szCs w:val="21"/>
        </w:rPr>
        <w:t>在网上发布或书面通知，均作无效处理。</w:t>
      </w:r>
      <w:r>
        <w:rPr>
          <w:rFonts w:hint="eastAsia" w:ascii="宋体" w:hAnsi="宋体" w:cs="宋体"/>
          <w:b/>
          <w:color w:val="000000" w:themeColor="text1"/>
          <w:szCs w:val="21"/>
        </w:rPr>
        <w:t>深圳市千里招标代理有限公司</w:t>
      </w:r>
      <w:r>
        <w:rPr>
          <w:rFonts w:hint="eastAsia" w:ascii="宋体" w:hAnsi="宋体" w:eastAsia="宋体" w:cs="宋体"/>
          <w:color w:val="000000" w:themeColor="text1"/>
          <w:szCs w:val="21"/>
        </w:rPr>
        <w:t>对投标人由此而做出的推论、理解和结论概不负责。</w:t>
      </w:r>
    </w:p>
    <w:p w14:paraId="04A96595">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7.5 未参与现场踏勘不作为否定投标人资格的理由。</w:t>
      </w:r>
    </w:p>
    <w:p w14:paraId="04484017">
      <w:pPr>
        <w:spacing w:line="44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8．采购答疑</w:t>
      </w:r>
      <w:bookmarkEnd w:id="45"/>
    </w:p>
    <w:p w14:paraId="4A6D2224">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8.1采购答疑的目的是澄清、解答投标人在查阅采购文件后或现场踏勘中可能提出的与投标有关的疑问或询问。</w:t>
      </w:r>
    </w:p>
    <w:p w14:paraId="408073F5">
      <w:pPr>
        <w:spacing w:line="440" w:lineRule="exact"/>
        <w:ind w:firstLine="411" w:firstLineChars="196"/>
        <w:rPr>
          <w:rFonts w:ascii="宋体" w:hAnsi="宋体" w:eastAsia="宋体" w:cs="宋体"/>
          <w:color w:val="000000" w:themeColor="text1"/>
          <w:sz w:val="24"/>
          <w:szCs w:val="24"/>
        </w:rPr>
      </w:pPr>
      <w:r>
        <w:rPr>
          <w:rFonts w:hint="eastAsia" w:ascii="宋体" w:hAnsi="宋体" w:eastAsia="宋体" w:cs="宋体"/>
          <w:color w:val="000000" w:themeColor="text1"/>
          <w:szCs w:val="21"/>
        </w:rPr>
        <w:t>8.2投标人如对采购文件内容有疑问，必须在采购文件规定的答疑截止时间前提交给</w:t>
      </w:r>
      <w:r>
        <w:rPr>
          <w:rFonts w:hint="eastAsia" w:ascii="宋体" w:hAnsi="宋体" w:cs="宋体"/>
          <w:b/>
          <w:color w:val="000000" w:themeColor="text1"/>
          <w:szCs w:val="21"/>
        </w:rPr>
        <w:t>深圳市千里招标代理有限公司</w:t>
      </w:r>
      <w:r>
        <w:rPr>
          <w:rFonts w:hint="eastAsia" w:ascii="宋体" w:hAnsi="宋体" w:eastAsia="宋体" w:cs="宋体"/>
          <w:color w:val="000000" w:themeColor="text1"/>
          <w:sz w:val="24"/>
          <w:szCs w:val="24"/>
        </w:rPr>
        <w:t>。</w:t>
      </w:r>
    </w:p>
    <w:p w14:paraId="0673FEA3">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8.3如</w:t>
      </w:r>
      <w:r>
        <w:rPr>
          <w:rFonts w:hint="eastAsia" w:ascii="宋体" w:hAnsi="宋体" w:cs="宋体"/>
          <w:b/>
          <w:color w:val="000000" w:themeColor="text1"/>
          <w:szCs w:val="21"/>
        </w:rPr>
        <w:t>深圳市千里招标代理有限公司</w:t>
      </w:r>
      <w:r>
        <w:rPr>
          <w:rFonts w:hint="eastAsia" w:ascii="宋体" w:hAnsi="宋体" w:eastAsia="宋体" w:cs="宋体"/>
          <w:color w:val="000000" w:themeColor="text1"/>
          <w:szCs w:val="21"/>
        </w:rPr>
        <w:t>认为有必要组织现场答疑会，投标人应按照文件规定的时间或书面通知（包括网站发布的通知）的时间和地点，参与现场答疑会。</w:t>
      </w:r>
    </w:p>
    <w:p w14:paraId="64FB4FF9">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8.4未参与采购答疑不作为否定投标人资格的理由。</w:t>
      </w:r>
    </w:p>
    <w:p w14:paraId="5AB278DB">
      <w:pPr>
        <w:rPr>
          <w:rFonts w:ascii="宋体" w:hAnsi="宋体" w:eastAsia="宋体" w:cs="宋体"/>
          <w:color w:val="000000" w:themeColor="text1"/>
        </w:rPr>
      </w:pPr>
      <w:r>
        <w:rPr>
          <w:rFonts w:hint="eastAsia" w:ascii="宋体" w:hAnsi="宋体" w:eastAsia="宋体" w:cs="宋体"/>
          <w:color w:val="000000" w:themeColor="text1"/>
        </w:rPr>
        <w:br w:type="page"/>
      </w:r>
    </w:p>
    <w:p w14:paraId="141EDCAC">
      <w:pPr>
        <w:pStyle w:val="3"/>
        <w:rPr>
          <w:rFonts w:ascii="宋体" w:hAnsi="宋体" w:eastAsia="宋体" w:cs="宋体"/>
          <w:color w:val="000000" w:themeColor="text1"/>
        </w:rPr>
      </w:pPr>
      <w:bookmarkStart w:id="46" w:name="_Toc10767"/>
      <w:r>
        <w:rPr>
          <w:rFonts w:hint="eastAsia" w:ascii="宋体" w:hAnsi="宋体" w:eastAsia="宋体" w:cs="宋体"/>
          <w:color w:val="000000" w:themeColor="text1"/>
        </w:rPr>
        <w:t xml:space="preserve">第二章 </w:t>
      </w:r>
      <w:bookmarkStart w:id="47" w:name="_Toc25500"/>
      <w:bookmarkStart w:id="48" w:name="_Toc4237"/>
      <w:bookmarkStart w:id="49" w:name="_Toc16272"/>
      <w:r>
        <w:rPr>
          <w:rFonts w:hint="eastAsia" w:ascii="宋体" w:hAnsi="宋体" w:eastAsia="宋体" w:cs="宋体"/>
          <w:color w:val="000000" w:themeColor="text1"/>
        </w:rPr>
        <w:t>采购文件</w:t>
      </w:r>
      <w:bookmarkEnd w:id="46"/>
      <w:bookmarkEnd w:id="47"/>
      <w:bookmarkEnd w:id="48"/>
      <w:bookmarkEnd w:id="49"/>
    </w:p>
    <w:p w14:paraId="1A36D9EB">
      <w:pPr>
        <w:spacing w:line="440" w:lineRule="exact"/>
        <w:rPr>
          <w:rFonts w:ascii="宋体" w:hAnsi="宋体" w:eastAsia="宋体" w:cs="宋体"/>
          <w:color w:val="000000" w:themeColor="text1"/>
          <w:sz w:val="24"/>
          <w:szCs w:val="24"/>
        </w:rPr>
      </w:pPr>
      <w:bookmarkStart w:id="50" w:name="_Toc73518127"/>
      <w:bookmarkStart w:id="51" w:name="_Toc100052374"/>
      <w:bookmarkStart w:id="52" w:name="_Toc73517649"/>
      <w:r>
        <w:rPr>
          <w:rFonts w:hint="eastAsia" w:ascii="宋体" w:hAnsi="宋体" w:eastAsia="宋体" w:cs="宋体"/>
          <w:color w:val="000000" w:themeColor="text1"/>
          <w:sz w:val="24"/>
          <w:szCs w:val="24"/>
        </w:rPr>
        <w:t>9．采购文件的编制与组成</w:t>
      </w:r>
      <w:bookmarkEnd w:id="50"/>
      <w:bookmarkEnd w:id="51"/>
      <w:bookmarkEnd w:id="52"/>
    </w:p>
    <w:p w14:paraId="20080C53">
      <w:pPr>
        <w:snapToGrid w:val="0"/>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9.1采购文件除以下内容外，</w:t>
      </w:r>
      <w:r>
        <w:rPr>
          <w:rFonts w:hint="eastAsia" w:ascii="宋体" w:hAnsi="宋体" w:cs="宋体"/>
          <w:b/>
          <w:color w:val="000000" w:themeColor="text1"/>
          <w:szCs w:val="21"/>
        </w:rPr>
        <w:t>深圳市千里招标代理有限公司</w:t>
      </w:r>
      <w:r>
        <w:rPr>
          <w:rFonts w:hint="eastAsia" w:ascii="宋体" w:hAnsi="宋体" w:eastAsia="宋体" w:cs="宋体"/>
          <w:color w:val="000000" w:themeColor="text1"/>
          <w:szCs w:val="21"/>
        </w:rPr>
        <w:t>在采购（或谈判）期间发出的答疑公告或其他补充修改函件，均是采购文件的组成部分，对投标人起约束作用；</w:t>
      </w:r>
    </w:p>
    <w:p w14:paraId="20F24D8A">
      <w:pPr>
        <w:spacing w:line="440" w:lineRule="exact"/>
        <w:ind w:firstLine="411" w:firstLineChars="196"/>
        <w:rPr>
          <w:rFonts w:ascii="宋体" w:hAnsi="宋体" w:eastAsia="宋体" w:cs="宋体"/>
          <w:color w:val="000000" w:themeColor="text1"/>
          <w:sz w:val="24"/>
          <w:szCs w:val="24"/>
        </w:rPr>
      </w:pPr>
      <w:r>
        <w:rPr>
          <w:rFonts w:hint="eastAsia" w:ascii="宋体" w:hAnsi="宋体" w:eastAsia="宋体" w:cs="宋体"/>
          <w:color w:val="000000" w:themeColor="text1"/>
          <w:szCs w:val="21"/>
        </w:rPr>
        <w:t>采购文件包括下列内容：</w:t>
      </w:r>
    </w:p>
    <w:p w14:paraId="1CF54157">
      <w:pPr>
        <w:spacing w:line="440" w:lineRule="exact"/>
        <w:ind w:left="420" w:leftChars="200" w:firstLine="472" w:firstLineChars="196"/>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第一册  专用条款</w:t>
      </w:r>
    </w:p>
    <w:p w14:paraId="2869BDE1">
      <w:pPr>
        <w:spacing w:line="440" w:lineRule="exact"/>
        <w:ind w:left="1079" w:leftChars="514"/>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关键信息</w:t>
      </w:r>
    </w:p>
    <w:p w14:paraId="47AD11FF">
      <w:pPr>
        <w:spacing w:line="440" w:lineRule="exact"/>
        <w:ind w:left="630" w:leftChars="300"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第一章  采购公告</w:t>
      </w:r>
    </w:p>
    <w:p w14:paraId="24D99163">
      <w:pPr>
        <w:spacing w:line="440" w:lineRule="exact"/>
        <w:ind w:left="630" w:leftChars="300"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第二章  项目需求</w:t>
      </w:r>
    </w:p>
    <w:p w14:paraId="31CCF714">
      <w:pPr>
        <w:spacing w:line="440" w:lineRule="exact"/>
        <w:ind w:left="630" w:leftChars="300"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第三章  投标文件格式、附件</w:t>
      </w:r>
    </w:p>
    <w:p w14:paraId="0D8AD7E4">
      <w:pPr>
        <w:spacing w:line="440" w:lineRule="exact"/>
        <w:ind w:left="420" w:leftChars="200" w:firstLine="472" w:firstLineChars="196"/>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第二册  通用条款</w:t>
      </w:r>
    </w:p>
    <w:p w14:paraId="5BADA1F0">
      <w:pPr>
        <w:spacing w:line="440" w:lineRule="exact"/>
        <w:ind w:left="630" w:leftChars="300"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第一章  总则</w:t>
      </w:r>
    </w:p>
    <w:p w14:paraId="41B0A288">
      <w:pPr>
        <w:spacing w:line="440" w:lineRule="exact"/>
        <w:ind w:left="630" w:leftChars="300"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第二章  采购文件</w:t>
      </w:r>
    </w:p>
    <w:p w14:paraId="21711076">
      <w:pPr>
        <w:spacing w:line="440" w:lineRule="exact"/>
        <w:ind w:left="630" w:leftChars="300"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第三章  投标文件的编制</w:t>
      </w:r>
    </w:p>
    <w:p w14:paraId="13699147">
      <w:pPr>
        <w:spacing w:line="440" w:lineRule="exact"/>
        <w:ind w:left="630" w:leftChars="300"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第四章  投标文件的递交</w:t>
      </w:r>
    </w:p>
    <w:p w14:paraId="6F6BDE10">
      <w:pPr>
        <w:spacing w:line="440" w:lineRule="exact"/>
        <w:ind w:left="630" w:leftChars="300"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第五章  开标</w:t>
      </w:r>
    </w:p>
    <w:p w14:paraId="0384A00D">
      <w:pPr>
        <w:spacing w:line="440" w:lineRule="exact"/>
        <w:ind w:left="630" w:leftChars="300"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第六章  评审要求</w:t>
      </w:r>
    </w:p>
    <w:p w14:paraId="13F1E2F7">
      <w:pPr>
        <w:spacing w:line="440" w:lineRule="exact"/>
        <w:ind w:left="630" w:leftChars="300"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第七章  评审程序及评审方法</w:t>
      </w:r>
    </w:p>
    <w:p w14:paraId="77F98B49">
      <w:pPr>
        <w:spacing w:line="440" w:lineRule="exact"/>
        <w:ind w:left="630" w:leftChars="300"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第八章  定标及公示</w:t>
      </w:r>
    </w:p>
    <w:p w14:paraId="34B57DD6">
      <w:pPr>
        <w:spacing w:line="440" w:lineRule="exact"/>
        <w:ind w:left="630" w:leftChars="300"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第九章  公开采购失败的后续处理</w:t>
      </w:r>
    </w:p>
    <w:p w14:paraId="49081E0F">
      <w:pPr>
        <w:spacing w:line="440" w:lineRule="exact"/>
        <w:ind w:left="630" w:leftChars="300"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第十章  合同的授予与备案</w:t>
      </w:r>
    </w:p>
    <w:p w14:paraId="425D3FAE">
      <w:pPr>
        <w:spacing w:line="440" w:lineRule="exact"/>
        <w:ind w:left="630" w:leftChars="300"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第十</w:t>
      </w:r>
      <w:r>
        <w:rPr>
          <w:rFonts w:hint="eastAsia" w:ascii="宋体" w:hAnsi="宋体" w:cs="宋体"/>
          <w:color w:val="000000" w:themeColor="text1"/>
          <w:szCs w:val="21"/>
        </w:rPr>
        <w:t>一</w:t>
      </w:r>
      <w:r>
        <w:rPr>
          <w:rFonts w:hint="eastAsia" w:ascii="宋体" w:hAnsi="宋体" w:eastAsia="宋体" w:cs="宋体"/>
          <w:color w:val="000000" w:themeColor="text1"/>
          <w:szCs w:val="21"/>
        </w:rPr>
        <w:t xml:space="preserve">章  </w:t>
      </w:r>
      <w:r>
        <w:rPr>
          <w:rFonts w:hint="eastAsia" w:ascii="宋体" w:hAnsi="宋体" w:cs="宋体"/>
          <w:color w:val="000000" w:themeColor="text1"/>
          <w:szCs w:val="21"/>
        </w:rPr>
        <w:t>质疑处理</w:t>
      </w:r>
    </w:p>
    <w:p w14:paraId="5976B206">
      <w:pPr>
        <w:spacing w:line="440" w:lineRule="exact"/>
        <w:ind w:left="630" w:leftChars="300" w:firstLine="411" w:firstLineChars="196"/>
        <w:rPr>
          <w:rFonts w:ascii="宋体" w:hAnsi="宋体" w:eastAsia="宋体" w:cs="宋体"/>
          <w:color w:val="000000" w:themeColor="text1"/>
          <w:szCs w:val="21"/>
        </w:rPr>
      </w:pPr>
    </w:p>
    <w:p w14:paraId="73513DA7">
      <w:pPr>
        <w:spacing w:line="440" w:lineRule="exact"/>
        <w:ind w:firstLine="411" w:firstLineChars="196"/>
        <w:rPr>
          <w:rFonts w:ascii="宋体" w:hAnsi="宋体" w:eastAsia="宋体" w:cs="宋体"/>
          <w:color w:val="000000" w:themeColor="text1"/>
          <w:szCs w:val="21"/>
        </w:rPr>
      </w:pPr>
      <w:bookmarkStart w:id="53" w:name="_Toc73517650"/>
      <w:bookmarkStart w:id="54" w:name="_Toc60560636"/>
      <w:bookmarkStart w:id="55" w:name="_Toc60631631"/>
      <w:bookmarkStart w:id="56" w:name="_Toc73518128"/>
      <w:bookmarkStart w:id="57" w:name="_Toc100052375"/>
      <w:bookmarkStart w:id="58" w:name="_Toc73518129"/>
      <w:bookmarkStart w:id="59" w:name="_Toc73517651"/>
      <w:bookmarkStart w:id="60" w:name="_Toc60560637"/>
      <w:bookmarkStart w:id="61" w:name="_Toc100052376"/>
      <w:bookmarkStart w:id="62" w:name="_Toc60631632"/>
      <w:r>
        <w:rPr>
          <w:rFonts w:hint="eastAsia" w:ascii="宋体" w:hAnsi="宋体" w:eastAsia="宋体" w:cs="宋体"/>
          <w:color w:val="000000" w:themeColor="text1"/>
          <w:szCs w:val="21"/>
        </w:rPr>
        <w:t>9.2投标人下载采购文件后，应仔细检查采购文件的所有内容，如有疑问应在答疑截止时间之前向</w:t>
      </w:r>
      <w:r>
        <w:rPr>
          <w:rFonts w:hint="eastAsia" w:ascii="宋体" w:hAnsi="宋体" w:cs="宋体"/>
          <w:b/>
          <w:color w:val="000000" w:themeColor="text1"/>
          <w:szCs w:val="21"/>
        </w:rPr>
        <w:t>深圳市千里招标代理有限公司</w:t>
      </w:r>
      <w:r>
        <w:rPr>
          <w:rFonts w:hint="eastAsia" w:ascii="宋体" w:hAnsi="宋体" w:eastAsia="宋体" w:cs="宋体"/>
          <w:color w:val="000000" w:themeColor="text1"/>
          <w:szCs w:val="21"/>
        </w:rPr>
        <w:t>提出，否则，由此引起的投标损失自负；投标人同时应认真审阅采购文件所有的事项、格式、条款和规范要求等，如果投标人的投标文件未按采购文件要求提交全部资料或者投标文件未对采购文件做出实质性投标，其风险应由投标人自行承担，并根据有关条款规定，其投标有可能被拒绝。</w:t>
      </w:r>
    </w:p>
    <w:p w14:paraId="4ABCCA1D">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9.3任何人或任何组织向投标人提交的任何书面或口头资料，未经</w:t>
      </w:r>
      <w:r>
        <w:rPr>
          <w:rFonts w:hint="eastAsia" w:ascii="宋体" w:hAnsi="宋体" w:cs="宋体"/>
          <w:b/>
          <w:color w:val="000000" w:themeColor="text1"/>
          <w:szCs w:val="21"/>
        </w:rPr>
        <w:t>深圳市千里招标代理有限公司</w:t>
      </w:r>
      <w:r>
        <w:rPr>
          <w:rFonts w:hint="eastAsia" w:ascii="宋体" w:hAnsi="宋体" w:eastAsia="宋体" w:cs="宋体"/>
          <w:color w:val="000000" w:themeColor="text1"/>
          <w:szCs w:val="21"/>
        </w:rPr>
        <w:t>在网上发布或书面通知，均作无效处理，不得作为采购文件的组成部分。</w:t>
      </w:r>
      <w:r>
        <w:rPr>
          <w:rFonts w:hint="eastAsia" w:ascii="宋体" w:hAnsi="宋体" w:cs="宋体"/>
          <w:b/>
          <w:color w:val="000000" w:themeColor="text1"/>
          <w:szCs w:val="21"/>
        </w:rPr>
        <w:t>深圳市千里招标代理有限公司</w:t>
      </w:r>
      <w:r>
        <w:rPr>
          <w:rFonts w:hint="eastAsia" w:ascii="宋体" w:hAnsi="宋体" w:eastAsia="宋体" w:cs="宋体"/>
          <w:color w:val="000000" w:themeColor="text1"/>
          <w:szCs w:val="21"/>
        </w:rPr>
        <w:t>对投标人由此而做出的推论、理解和结论概不负责。</w:t>
      </w:r>
    </w:p>
    <w:p w14:paraId="7154B734">
      <w:pPr>
        <w:spacing w:line="44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10．采购文件的</w:t>
      </w:r>
      <w:bookmarkEnd w:id="53"/>
      <w:bookmarkEnd w:id="54"/>
      <w:bookmarkEnd w:id="55"/>
      <w:bookmarkEnd w:id="56"/>
      <w:bookmarkEnd w:id="57"/>
      <w:r>
        <w:rPr>
          <w:rFonts w:hint="eastAsia" w:ascii="宋体" w:hAnsi="宋体" w:eastAsia="宋体" w:cs="宋体"/>
          <w:color w:val="000000" w:themeColor="text1"/>
          <w:sz w:val="24"/>
          <w:szCs w:val="24"/>
        </w:rPr>
        <w:t>答疑</w:t>
      </w:r>
    </w:p>
    <w:p w14:paraId="5398E88F">
      <w:pPr>
        <w:snapToGrid w:val="0"/>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10.1投标人如对采购文件内容有疑问，必须在采购文件规定的答疑截止时间前以提交给</w:t>
      </w:r>
      <w:r>
        <w:rPr>
          <w:rFonts w:hint="eastAsia" w:ascii="宋体" w:hAnsi="宋体" w:cs="宋体"/>
          <w:b/>
          <w:color w:val="000000" w:themeColor="text1"/>
          <w:szCs w:val="21"/>
        </w:rPr>
        <w:t>深圳市千里招标代理有限公司</w:t>
      </w:r>
      <w:r>
        <w:rPr>
          <w:rFonts w:hint="eastAsia" w:ascii="宋体" w:hAnsi="宋体" w:eastAsia="宋体" w:cs="宋体"/>
          <w:color w:val="000000" w:themeColor="text1"/>
          <w:szCs w:val="21"/>
        </w:rPr>
        <w:t>。不论是</w:t>
      </w:r>
      <w:r>
        <w:rPr>
          <w:rFonts w:hint="eastAsia" w:ascii="宋体" w:hAnsi="宋体" w:cs="宋体"/>
          <w:b/>
          <w:color w:val="000000" w:themeColor="text1"/>
          <w:szCs w:val="21"/>
        </w:rPr>
        <w:t>深圳市千里招标代理有限公司</w:t>
      </w:r>
      <w:r>
        <w:rPr>
          <w:rFonts w:hint="eastAsia" w:ascii="宋体" w:hAnsi="宋体" w:eastAsia="宋体" w:cs="宋体"/>
          <w:color w:val="000000" w:themeColor="text1"/>
          <w:szCs w:val="21"/>
        </w:rPr>
        <w:t>根据需要主动对采购文件进行必要的澄清或是根据投标人的要求对采购文件做出澄清，</w:t>
      </w:r>
      <w:r>
        <w:rPr>
          <w:rFonts w:hint="eastAsia" w:ascii="宋体" w:hAnsi="宋体" w:cs="宋体"/>
          <w:b/>
          <w:color w:val="000000" w:themeColor="text1"/>
          <w:szCs w:val="21"/>
        </w:rPr>
        <w:t>深圳市千里招标代理有限公司</w:t>
      </w:r>
      <w:r>
        <w:rPr>
          <w:rFonts w:hint="eastAsia" w:ascii="宋体" w:hAnsi="宋体" w:eastAsia="宋体" w:cs="宋体"/>
          <w:color w:val="000000" w:themeColor="text1"/>
          <w:szCs w:val="21"/>
        </w:rPr>
        <w:t>都将在投标截止日期前答复或发送给投标人。</w:t>
      </w:r>
    </w:p>
    <w:p w14:paraId="38271167">
      <w:pPr>
        <w:snapToGrid w:val="0"/>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10.2对于没有提出澄清又参与了该项目投标的投标人将被视为完全认同该采购文件，投标截止期后不再受理针对采购文件的相关质疑或投诉。</w:t>
      </w:r>
    </w:p>
    <w:p w14:paraId="27ADD5BF">
      <w:pPr>
        <w:snapToGrid w:val="0"/>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10.3对采购文件中描述有歧意或前后不一致的地方，</w:t>
      </w:r>
      <w:r>
        <w:rPr>
          <w:rFonts w:hint="eastAsia" w:ascii="宋体" w:hAnsi="宋体" w:eastAsia="宋体" w:cs="宋体"/>
          <w:b/>
          <w:color w:val="000000" w:themeColor="text1"/>
          <w:szCs w:val="21"/>
        </w:rPr>
        <w:t>评审小组</w:t>
      </w:r>
      <w:r>
        <w:rPr>
          <w:rFonts w:hint="eastAsia" w:ascii="宋体" w:hAnsi="宋体" w:eastAsia="宋体" w:cs="宋体"/>
          <w:color w:val="000000" w:themeColor="text1"/>
          <w:szCs w:val="21"/>
        </w:rPr>
        <w:t>有权进行评判，但对同一条款的评判应适用于每个投标人。</w:t>
      </w:r>
    </w:p>
    <w:bookmarkEnd w:id="58"/>
    <w:bookmarkEnd w:id="59"/>
    <w:bookmarkEnd w:id="60"/>
    <w:bookmarkEnd w:id="61"/>
    <w:bookmarkEnd w:id="62"/>
    <w:p w14:paraId="277A565A">
      <w:pPr>
        <w:pStyle w:val="9"/>
        <w:rPr>
          <w:rFonts w:ascii="宋体" w:hAnsi="宋体" w:eastAsia="宋体" w:cs="宋体"/>
          <w:color w:val="000000" w:themeColor="text1"/>
        </w:rPr>
      </w:pPr>
    </w:p>
    <w:p w14:paraId="532E5B44">
      <w:pPr>
        <w:pStyle w:val="9"/>
        <w:rPr>
          <w:rFonts w:ascii="宋体" w:hAnsi="宋体" w:eastAsia="宋体" w:cs="宋体"/>
          <w:color w:val="000000" w:themeColor="text1"/>
        </w:rPr>
      </w:pPr>
    </w:p>
    <w:p w14:paraId="2861E73D">
      <w:pPr>
        <w:pStyle w:val="3"/>
        <w:rPr>
          <w:rFonts w:ascii="宋体" w:hAnsi="宋体" w:eastAsia="宋体" w:cs="宋体"/>
          <w:color w:val="000000" w:themeColor="text1"/>
        </w:rPr>
      </w:pPr>
      <w:bookmarkStart w:id="63" w:name="_Toc31413"/>
      <w:bookmarkStart w:id="64" w:name="_Toc20431"/>
      <w:bookmarkStart w:id="65" w:name="_Toc18814"/>
      <w:bookmarkStart w:id="66" w:name="_Toc17279"/>
      <w:r>
        <w:rPr>
          <w:rFonts w:hint="eastAsia" w:ascii="宋体" w:hAnsi="宋体" w:eastAsia="宋体" w:cs="宋体"/>
          <w:color w:val="000000" w:themeColor="text1"/>
        </w:rPr>
        <w:t>第三章 投标文件的编制</w:t>
      </w:r>
      <w:bookmarkEnd w:id="63"/>
      <w:bookmarkEnd w:id="64"/>
      <w:bookmarkEnd w:id="65"/>
      <w:bookmarkEnd w:id="66"/>
    </w:p>
    <w:p w14:paraId="2A965560">
      <w:pPr>
        <w:spacing w:line="440" w:lineRule="exact"/>
        <w:rPr>
          <w:rFonts w:ascii="宋体" w:hAnsi="宋体" w:eastAsia="宋体" w:cs="宋体"/>
          <w:color w:val="000000" w:themeColor="text1"/>
          <w:sz w:val="24"/>
          <w:szCs w:val="24"/>
        </w:rPr>
      </w:pPr>
      <w:bookmarkStart w:id="67" w:name="_Toc60560639"/>
      <w:bookmarkStart w:id="68" w:name="_Toc100052378"/>
      <w:bookmarkStart w:id="69" w:name="_Toc73518131"/>
      <w:bookmarkStart w:id="70" w:name="_Toc73517653"/>
      <w:bookmarkStart w:id="71" w:name="_Toc60631634"/>
      <w:r>
        <w:rPr>
          <w:rFonts w:hint="eastAsia" w:ascii="宋体" w:hAnsi="宋体" w:eastAsia="宋体" w:cs="宋体"/>
          <w:color w:val="000000" w:themeColor="text1"/>
          <w:sz w:val="24"/>
          <w:szCs w:val="24"/>
        </w:rPr>
        <w:t>12．投标文件的语言及度量单位</w:t>
      </w:r>
      <w:bookmarkEnd w:id="67"/>
      <w:bookmarkEnd w:id="68"/>
      <w:bookmarkEnd w:id="69"/>
      <w:bookmarkEnd w:id="70"/>
      <w:bookmarkEnd w:id="71"/>
    </w:p>
    <w:p w14:paraId="578CB56E">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12.1投标人与</w:t>
      </w:r>
      <w:r>
        <w:rPr>
          <w:rFonts w:hint="eastAsia" w:ascii="宋体" w:hAnsi="宋体" w:cs="宋体"/>
          <w:b/>
          <w:color w:val="000000" w:themeColor="text1"/>
          <w:szCs w:val="21"/>
        </w:rPr>
        <w:t>深圳市千里招标代理有限公司</w:t>
      </w:r>
      <w:r>
        <w:rPr>
          <w:rFonts w:hint="eastAsia" w:ascii="宋体" w:hAnsi="宋体" w:eastAsia="宋体" w:cs="宋体"/>
          <w:color w:val="000000" w:themeColor="text1"/>
          <w:szCs w:val="21"/>
        </w:rPr>
        <w:t>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38FDBCE9">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 xml:space="preserve">12.2除技术规范另有规定外，投标文件使用的度量单位，均采用中华人民共和国法定计量单位。 </w:t>
      </w:r>
    </w:p>
    <w:p w14:paraId="6158F38E">
      <w:pPr>
        <w:spacing w:line="440" w:lineRule="exact"/>
        <w:rPr>
          <w:rFonts w:ascii="宋体" w:hAnsi="宋体" w:eastAsia="宋体" w:cs="宋体"/>
          <w:color w:val="000000" w:themeColor="text1"/>
          <w:sz w:val="24"/>
          <w:szCs w:val="24"/>
        </w:rPr>
      </w:pPr>
      <w:bookmarkStart w:id="72" w:name="_Toc60631635"/>
      <w:bookmarkStart w:id="73" w:name="_Toc73518132"/>
      <w:bookmarkStart w:id="74" w:name="_Toc100052379"/>
      <w:bookmarkStart w:id="75" w:name="_Toc73517654"/>
      <w:bookmarkStart w:id="76" w:name="_Toc60560640"/>
      <w:r>
        <w:rPr>
          <w:rFonts w:hint="eastAsia" w:ascii="宋体" w:hAnsi="宋体" w:eastAsia="宋体" w:cs="宋体"/>
          <w:color w:val="000000" w:themeColor="text1"/>
          <w:sz w:val="24"/>
          <w:szCs w:val="24"/>
        </w:rPr>
        <w:t>13．投标文件的组成</w:t>
      </w:r>
      <w:bookmarkEnd w:id="72"/>
      <w:bookmarkEnd w:id="73"/>
      <w:bookmarkEnd w:id="74"/>
      <w:bookmarkEnd w:id="75"/>
      <w:bookmarkEnd w:id="76"/>
    </w:p>
    <w:p w14:paraId="66ABB731">
      <w:pPr>
        <w:spacing w:line="440" w:lineRule="exact"/>
        <w:ind w:firstLine="411" w:firstLineChars="196"/>
        <w:rPr>
          <w:rFonts w:ascii="宋体" w:hAnsi="宋体" w:eastAsia="宋体" w:cs="宋体"/>
          <w:bCs/>
          <w:color w:val="000000" w:themeColor="text1"/>
          <w:szCs w:val="21"/>
        </w:rPr>
      </w:pPr>
      <w:bookmarkStart w:id="77" w:name="_Toc73517655"/>
      <w:bookmarkStart w:id="78" w:name="_Toc73518133"/>
      <w:bookmarkStart w:id="79" w:name="_Toc60631636"/>
      <w:bookmarkStart w:id="80" w:name="_Toc60560641"/>
      <w:r>
        <w:rPr>
          <w:rFonts w:hint="eastAsia" w:ascii="宋体" w:hAnsi="宋体" w:eastAsia="宋体" w:cs="宋体"/>
          <w:bCs/>
          <w:color w:val="000000" w:themeColor="text1"/>
          <w:szCs w:val="21"/>
        </w:rPr>
        <w:t>本项目实行纸质投标，投标文件必须有详细的、含页码编排的目录，商务、技术和经济部分合订成一本投标文件，整个文件尽量双面印刷，版面清晰、整洁，模糊不清者以缺项对待。</w:t>
      </w:r>
    </w:p>
    <w:bookmarkEnd w:id="77"/>
    <w:bookmarkEnd w:id="78"/>
    <w:bookmarkEnd w:id="79"/>
    <w:bookmarkEnd w:id="80"/>
    <w:p w14:paraId="5169A6A2">
      <w:pPr>
        <w:spacing w:line="44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14．证明投标文件投标技术方案的合格性和符合采购文件规定的文件要求</w:t>
      </w:r>
    </w:p>
    <w:p w14:paraId="2B65A585">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14.1投标人应提交证明文件证明其投标技术方案项下的货物、工程和服务的合格性符合采购文件规定。该投标技术方案及其证明文件作为投标文件的一部分。</w:t>
      </w:r>
    </w:p>
    <w:p w14:paraId="311467B9">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14.2投标人提供证明投标技术方案与采购文件的要求相一致的文件，可以是文字资料、图纸、数据或数码照片、制造商公布的产品说明书、产品彩页和我国政府机构出具的产品检验和核准证件等，以证明投标人投标的真实性。它包括并应符合以下要求：</w:t>
      </w:r>
    </w:p>
    <w:p w14:paraId="64776EF3">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14.2.1主要技术指标和性能的详细说明。</w:t>
      </w:r>
    </w:p>
    <w:p w14:paraId="2B9623F9">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14.2.2投标产品从采购人开始使用至采购文件中规定的周期内正常、连续地使用所必须的备件和专用工具清单，包括备件和专用工具的货源及现行价格。</w:t>
      </w:r>
    </w:p>
    <w:p w14:paraId="40F939D6">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14.2.3对照采购文件技术规格，逐条说明投标技术方案已对采购人的技术规格做出了实质性的投标，或申明与技术规格条文的偏差和例外。投标人应详细说明投标技术方案中产品的具体参数，不得照搬照抄采购文件的技术要求。</w:t>
      </w:r>
    </w:p>
    <w:p w14:paraId="56FD211E">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14.2.4产品说明书或彩页应为制造商公布或出具的中文产品说明书或彩页；提供外文说明书或彩页的，必须同时提供加盖制造商公章的对应中文翻译说明，评审依据以中文翻译内容为准，外文说明书或彩页仅供参考；产品说明书或彩页的尺寸和清晰度要求能够使用电脑阅读、识别和判断；</w:t>
      </w:r>
    </w:p>
    <w:p w14:paraId="6C7F07C7">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14.2.5我国政府机构出具的产品检验和核准证件应为证件正面、背面和附件标注的全部具体内容；产品检验和核准证件的尺寸和清晰度应该能够在电脑上被阅读、识别和判断，提供原件扫描件。</w:t>
      </w:r>
    </w:p>
    <w:p w14:paraId="70341D9E">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 xml:space="preserve">14.3相关资料不符合18.2款要求的，评审小组有权认定为投标技术方案不合格投标，其相关分数予以扣减或作投标无效处理。  </w:t>
      </w:r>
    </w:p>
    <w:p w14:paraId="3D7F24FB">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14.4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采购文件中技术规格的要求，是否满足要求，由评审小组来评判。</w:t>
      </w:r>
    </w:p>
    <w:p w14:paraId="7C47ADD4">
      <w:pPr>
        <w:spacing w:line="440" w:lineRule="exact"/>
        <w:ind w:firstLine="411" w:firstLineChars="196"/>
        <w:rPr>
          <w:rFonts w:ascii="宋体" w:hAnsi="宋体" w:eastAsia="宋体" w:cs="宋体"/>
          <w:color w:val="000000" w:themeColor="text1"/>
          <w:sz w:val="24"/>
          <w:szCs w:val="24"/>
        </w:rPr>
      </w:pPr>
      <w:r>
        <w:rPr>
          <w:rFonts w:hint="eastAsia" w:ascii="宋体" w:hAnsi="宋体" w:eastAsia="宋体" w:cs="宋体"/>
          <w:color w:val="000000" w:themeColor="text1"/>
          <w:szCs w:val="21"/>
        </w:rPr>
        <w:t>14.5为保证公平公正，除非另有规定或说明，投标人对同一货物或服务投标时，不得同时提供两套或两套以上的投标方案。</w:t>
      </w:r>
    </w:p>
    <w:p w14:paraId="02DBE4BE">
      <w:pPr>
        <w:spacing w:line="44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15．投标文件其他证明文件的要求</w:t>
      </w:r>
    </w:p>
    <w:p w14:paraId="7CEB0DCD">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15.1对项目采购文件《评审信息》评分项中涉及的相关业绩、社保情况等内容以及《资格性审查表》和《符合性审查表》中涉及的资格证书，投标人应提供相关部门出具的证明材料扫描件，原件备查。若投标人未按要求提供证明材料或提供的是部分证明材料或提供不清晰的扫描件（或照片）的，评审小组有权认定其投标文件未对采购文件有关需求进行投标，涉及资格性检查或符合性检查的予以投标无效处理，涉及《评审信息》打分项的则该项评分予以0分处理。</w:t>
      </w:r>
    </w:p>
    <w:p w14:paraId="08ABE7C8">
      <w:pPr>
        <w:spacing w:line="440" w:lineRule="exact"/>
        <w:ind w:firstLine="424" w:firstLineChars="202"/>
        <w:rPr>
          <w:rFonts w:ascii="宋体" w:hAnsi="宋体" w:eastAsia="宋体" w:cs="宋体"/>
          <w:color w:val="000000" w:themeColor="text1"/>
          <w:szCs w:val="21"/>
        </w:rPr>
      </w:pPr>
      <w:r>
        <w:rPr>
          <w:rFonts w:hint="eastAsia" w:ascii="宋体" w:hAnsi="宋体" w:eastAsia="宋体" w:cs="宋体"/>
          <w:color w:val="000000" w:themeColor="text1"/>
          <w:szCs w:val="21"/>
        </w:rPr>
        <w:t>15.2本项目涉及提供的有关资质证书，若原有资质证书处于年审期间，须提供证书颁发部门提供的回执，并且回执须证明该证书依然有效（若在法规范围不需提供的，投标人应做书面说明并提供证明文件，否则该证书无效），则该投标人提供年审证明的可按原资质投标；若投标人正在申报上一级别资质，在未获批准之前，仍按原级别资质投标。</w:t>
      </w:r>
    </w:p>
    <w:p w14:paraId="2CC5BF7B">
      <w:pPr>
        <w:pStyle w:val="9"/>
        <w:rPr>
          <w:rFonts w:ascii="宋体" w:hAnsi="宋体" w:eastAsia="宋体" w:cs="宋体"/>
          <w:color w:val="000000" w:themeColor="text1"/>
        </w:rPr>
      </w:pPr>
    </w:p>
    <w:p w14:paraId="7F08C72A">
      <w:pPr>
        <w:pStyle w:val="9"/>
        <w:rPr>
          <w:rFonts w:ascii="宋体" w:hAnsi="宋体" w:eastAsia="宋体" w:cs="宋体"/>
          <w:color w:val="000000" w:themeColor="text1"/>
        </w:rPr>
      </w:pPr>
    </w:p>
    <w:p w14:paraId="2955953B">
      <w:pPr>
        <w:pStyle w:val="3"/>
        <w:rPr>
          <w:rFonts w:ascii="宋体" w:hAnsi="宋体" w:eastAsia="宋体" w:cs="宋体"/>
          <w:color w:val="000000" w:themeColor="text1"/>
        </w:rPr>
      </w:pPr>
      <w:bookmarkStart w:id="81" w:name="_Toc18062"/>
      <w:bookmarkStart w:id="82" w:name="_Toc26761"/>
      <w:bookmarkStart w:id="83" w:name="_Toc21427"/>
      <w:bookmarkStart w:id="84" w:name="_Toc17641"/>
      <w:r>
        <w:rPr>
          <w:rFonts w:hint="eastAsia" w:ascii="宋体" w:hAnsi="宋体" w:eastAsia="宋体" w:cs="宋体"/>
          <w:color w:val="000000" w:themeColor="text1"/>
        </w:rPr>
        <w:t xml:space="preserve">第四章 </w:t>
      </w:r>
      <w:bookmarkStart w:id="85" w:name="_Toc30105"/>
      <w:r>
        <w:rPr>
          <w:rFonts w:hint="eastAsia" w:ascii="宋体" w:hAnsi="宋体" w:eastAsia="宋体" w:cs="宋体"/>
          <w:color w:val="000000" w:themeColor="text1"/>
        </w:rPr>
        <w:t>投标文件的</w:t>
      </w:r>
      <w:bookmarkEnd w:id="81"/>
      <w:r>
        <w:rPr>
          <w:rFonts w:hint="eastAsia" w:ascii="宋体" w:hAnsi="宋体" w:eastAsia="宋体" w:cs="宋体"/>
          <w:color w:val="000000" w:themeColor="text1"/>
        </w:rPr>
        <w:t>递交</w:t>
      </w:r>
      <w:bookmarkEnd w:id="82"/>
      <w:bookmarkEnd w:id="83"/>
      <w:bookmarkEnd w:id="84"/>
      <w:bookmarkEnd w:id="85"/>
    </w:p>
    <w:p w14:paraId="66B895AC">
      <w:pPr>
        <w:spacing w:line="44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18．投标有效期</w:t>
      </w:r>
    </w:p>
    <w:p w14:paraId="2A6456EA">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18.1 投标有效期为从投标截止之日算起的日历天数，具体见专用条款中投标有效期的天数要求。在此期限内，所有投标文件均保持有效；</w:t>
      </w:r>
    </w:p>
    <w:p w14:paraId="5B841182">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 xml:space="preserve">18.2 中选单位的投标书有效期，截止于完成本采购文件规定的全部项目内容，并通过竣工验收及保修结束。 </w:t>
      </w:r>
    </w:p>
    <w:p w14:paraId="7A818484">
      <w:pPr>
        <w:spacing w:line="440" w:lineRule="exact"/>
        <w:ind w:firstLine="420" w:firstLineChars="200"/>
        <w:rPr>
          <w:rFonts w:ascii="宋体" w:hAnsi="宋体" w:eastAsia="宋体" w:cs="宋体"/>
          <w:color w:val="000000" w:themeColor="text1"/>
          <w:szCs w:val="21"/>
        </w:rPr>
      </w:pPr>
      <w:bookmarkStart w:id="86" w:name="_Toc73517662"/>
      <w:bookmarkStart w:id="87" w:name="_Toc100052387"/>
      <w:bookmarkStart w:id="88" w:name="_Toc73518140"/>
      <w:bookmarkStart w:id="89" w:name="_Toc101074880"/>
      <w:r>
        <w:rPr>
          <w:rFonts w:hint="eastAsia" w:ascii="宋体" w:hAnsi="宋体" w:eastAsia="宋体" w:cs="宋体"/>
          <w:color w:val="000000" w:themeColor="text1"/>
          <w:szCs w:val="21"/>
        </w:rPr>
        <w:t>投标文件</w:t>
      </w:r>
      <w:bookmarkEnd w:id="86"/>
      <w:bookmarkEnd w:id="87"/>
      <w:bookmarkEnd w:id="88"/>
      <w:bookmarkEnd w:id="89"/>
      <w:r>
        <w:rPr>
          <w:rFonts w:hint="eastAsia" w:ascii="宋体" w:hAnsi="宋体" w:eastAsia="宋体" w:cs="宋体"/>
          <w:color w:val="000000" w:themeColor="text1"/>
          <w:szCs w:val="21"/>
        </w:rPr>
        <w:t>的递交</w:t>
      </w:r>
    </w:p>
    <w:p w14:paraId="3809F5E0">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19．投标文件的递交</w:t>
      </w:r>
    </w:p>
    <w:p w14:paraId="6F2FB8F4">
      <w:pPr>
        <w:spacing w:line="440" w:lineRule="exact"/>
        <w:ind w:firstLine="420" w:firstLineChars="200"/>
        <w:rPr>
          <w:rFonts w:ascii="宋体" w:hAnsi="宋体" w:eastAsia="宋体" w:cs="宋体"/>
          <w:color w:val="000000" w:themeColor="text1"/>
          <w:szCs w:val="21"/>
        </w:rPr>
      </w:pPr>
      <w:bookmarkStart w:id="90" w:name="_Toc60631644"/>
      <w:bookmarkStart w:id="91" w:name="_Toc73517663"/>
      <w:bookmarkStart w:id="92" w:name="_Toc60560649"/>
      <w:bookmarkStart w:id="93" w:name="_Toc73518141"/>
      <w:bookmarkStart w:id="94" w:name="_Toc100052388"/>
      <w:r>
        <w:rPr>
          <w:rFonts w:hint="eastAsia" w:ascii="宋体" w:hAnsi="宋体" w:eastAsia="宋体" w:cs="宋体"/>
          <w:color w:val="000000" w:themeColor="text1"/>
          <w:szCs w:val="21"/>
        </w:rPr>
        <w:t>本项目实行电子投标，投标单位务必于投标截止时间前，在</w:t>
      </w:r>
      <w:r>
        <w:rPr>
          <w:rFonts w:hint="eastAsia" w:ascii="宋体" w:hAnsi="宋体" w:cs="宋体"/>
          <w:color w:val="000000" w:themeColor="text1"/>
          <w:szCs w:val="21"/>
        </w:rPr>
        <w:t>深圳政府采购自行采购系统网（https://zxcg.szggzy.com/home/index.html）按要求上传</w:t>
      </w:r>
      <w:r>
        <w:rPr>
          <w:rFonts w:hint="eastAsia" w:ascii="宋体" w:hAnsi="宋体" w:eastAsia="宋体" w:cs="宋体"/>
          <w:color w:val="000000" w:themeColor="text1"/>
          <w:szCs w:val="21"/>
        </w:rPr>
        <w:t>投标文件，封表面均应正确标明项目名称、项目名称。投标文件未按照前述要求递交将作投标无效处理，</w:t>
      </w:r>
    </w:p>
    <w:p w14:paraId="430A2095">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20.样品的递交</w:t>
      </w:r>
    </w:p>
    <w:p w14:paraId="0ED963AF">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20.1 原则上，不接受样品要求（如有要求，详见第一册专用条款的第二章相关内容）。如确有必要，采购人可以要求投标人提供能反映货物材质或关键部分的极少部分的尺寸、价值不大的样品，投标人在投标时应提交《样品清单》，所提供样品必须密封包装，样品作为投标文件的一部分。</w:t>
      </w:r>
    </w:p>
    <w:p w14:paraId="5B8E4B2F">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20.2投标样品上必须标注“项目名称及项目编号、样品编号、样品名称”等信息。需要安装的投标样品必须为安装完整的成品，由投标人自行组织安装。</w:t>
      </w:r>
    </w:p>
    <w:p w14:paraId="4B60D7E5">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20.2.1样品递交签到：</w:t>
      </w:r>
    </w:p>
    <w:p w14:paraId="455CA8D7">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投标人授权人要求在本项目投标截止时间前，携带法定代表人证明书（盖公章）、法定代表人授权委托书（盖公章）、授权委托人身份证原件和扫描件、样品清单（加盖公章），到达</w:t>
      </w:r>
      <w:r>
        <w:rPr>
          <w:rFonts w:hint="eastAsia" w:ascii="宋体" w:hAnsi="宋体" w:cs="宋体"/>
          <w:color w:val="000000" w:themeColor="text1"/>
          <w:szCs w:val="21"/>
        </w:rPr>
        <w:t>深圳市千里招标代理有限公司</w:t>
      </w:r>
      <w:r>
        <w:rPr>
          <w:rFonts w:hint="eastAsia" w:ascii="宋体" w:hAnsi="宋体" w:eastAsia="宋体" w:cs="宋体"/>
          <w:color w:val="000000" w:themeColor="text1"/>
          <w:szCs w:val="21"/>
        </w:rPr>
        <w:t>，按</w:t>
      </w:r>
      <w:r>
        <w:rPr>
          <w:rFonts w:hint="eastAsia" w:ascii="宋体" w:hAnsi="宋体" w:cs="宋体"/>
          <w:color w:val="000000" w:themeColor="text1"/>
          <w:szCs w:val="21"/>
        </w:rPr>
        <w:t>深圳市千里招标代理有限公司</w:t>
      </w:r>
      <w:r>
        <w:rPr>
          <w:rFonts w:hint="eastAsia" w:ascii="宋体" w:hAnsi="宋体" w:eastAsia="宋体" w:cs="宋体"/>
          <w:color w:val="000000" w:themeColor="text1"/>
          <w:szCs w:val="21"/>
        </w:rPr>
        <w:t>工作人员指引进行样品递交签到。</w:t>
      </w:r>
    </w:p>
    <w:p w14:paraId="139A8D8A">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特别注意事项：（1）上述资料提供不齐全的，不予签到；（2）本项目投标截止时间后，不再受理签到；（3）未进行签到的，样品不予接收。</w:t>
      </w:r>
    </w:p>
    <w:p w14:paraId="55A248B1">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20.2.2 样品接收</w:t>
      </w:r>
    </w:p>
    <w:p w14:paraId="32CE7E1A">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 xml:space="preserve">本项目投标截止时间后进行投标样品接收。投标样品接收必须进行身份核对、样品核对、登记确认、顺序编号。 </w:t>
      </w:r>
    </w:p>
    <w:p w14:paraId="52E2D1B6">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（1）身份核对</w:t>
      </w:r>
      <w:r>
        <w:rPr>
          <w:rFonts w:hint="eastAsia" w:ascii="宋体" w:hAnsi="宋体" w:cs="宋体"/>
          <w:color w:val="000000" w:themeColor="text1"/>
          <w:szCs w:val="21"/>
        </w:rPr>
        <w:t>深圳市千里招标代理有限公司</w:t>
      </w:r>
      <w:r>
        <w:rPr>
          <w:rFonts w:hint="eastAsia" w:ascii="宋体" w:hAnsi="宋体" w:eastAsia="宋体" w:cs="宋体"/>
          <w:color w:val="000000" w:themeColor="text1"/>
          <w:szCs w:val="21"/>
        </w:rPr>
        <w:t>核对投标人授权委托人提供的“法定代表人证明书（盖公章）、法定代表人授权委托书（盖公章）、授权委托人身份证原件和扫描件”。资料不齐全的，不得接收投标样品。</w:t>
      </w:r>
    </w:p>
    <w:p w14:paraId="1EC5A061">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（2）样品核对。</w:t>
      </w:r>
      <w:r>
        <w:rPr>
          <w:rFonts w:hint="eastAsia" w:ascii="宋体" w:hAnsi="宋体" w:cs="宋体"/>
          <w:color w:val="000000" w:themeColor="text1"/>
          <w:szCs w:val="21"/>
        </w:rPr>
        <w:t>深圳市千里招标代理有限公司</w:t>
      </w:r>
      <w:r>
        <w:rPr>
          <w:rFonts w:hint="eastAsia" w:ascii="宋体" w:hAnsi="宋体" w:eastAsia="宋体" w:cs="宋体"/>
          <w:color w:val="000000" w:themeColor="text1"/>
          <w:szCs w:val="21"/>
        </w:rPr>
        <w:t>工作人员将投标样品与投标人提供的《样品清单》（盖公章）进行一一核对。有不一致的或损坏情况的，将要求投标人授权委托人在《样品清单》上注明。</w:t>
      </w:r>
    </w:p>
    <w:p w14:paraId="5C910237">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（3）登记确认。在完成身份核对及样品核对后，投标人授权委托人必须在《样品接收登记表》上登记确认。</w:t>
      </w:r>
    </w:p>
    <w:p w14:paraId="4CB1084D">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（4）顺序编号。</w:t>
      </w:r>
      <w:r>
        <w:rPr>
          <w:rFonts w:hint="eastAsia" w:ascii="宋体" w:hAnsi="宋体" w:cs="宋体"/>
          <w:color w:val="000000" w:themeColor="text1"/>
          <w:szCs w:val="21"/>
        </w:rPr>
        <w:t>深圳市千里招标代理有限公司</w:t>
      </w:r>
      <w:r>
        <w:rPr>
          <w:rFonts w:hint="eastAsia" w:ascii="宋体" w:hAnsi="宋体" w:eastAsia="宋体" w:cs="宋体"/>
          <w:color w:val="000000" w:themeColor="text1"/>
          <w:szCs w:val="21"/>
        </w:rPr>
        <w:t>工作人员按投标样品接收的先后顺序进行编号。</w:t>
      </w:r>
    </w:p>
    <w:p w14:paraId="7B397E6F">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20.3</w:t>
      </w:r>
      <w:r>
        <w:rPr>
          <w:rFonts w:hint="eastAsia" w:ascii="宋体" w:hAnsi="宋体" w:cs="宋体"/>
          <w:color w:val="000000" w:themeColor="text1"/>
          <w:szCs w:val="21"/>
        </w:rPr>
        <w:t>深圳市千里招标代理有限公司</w:t>
      </w:r>
      <w:r>
        <w:rPr>
          <w:rFonts w:hint="eastAsia" w:ascii="宋体" w:hAnsi="宋体" w:eastAsia="宋体" w:cs="宋体"/>
          <w:color w:val="000000" w:themeColor="text1"/>
          <w:szCs w:val="21"/>
        </w:rPr>
        <w:t>工作人员负责组织投标样品摆样，指引投标人授权委托人将投标样品搬运到指定地点摆放、拆除包装，按要求摆放整齐。</w:t>
      </w:r>
    </w:p>
    <w:p w14:paraId="56A47B16">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20.4样品的退回：（1）未中选的投标人投标样品，</w:t>
      </w:r>
      <w:r>
        <w:rPr>
          <w:rFonts w:hint="eastAsia" w:ascii="宋体" w:hAnsi="宋体" w:cs="宋体"/>
          <w:color w:val="000000" w:themeColor="text1"/>
          <w:szCs w:val="21"/>
        </w:rPr>
        <w:t>深圳市千里招标代理有限公司</w:t>
      </w:r>
      <w:r>
        <w:rPr>
          <w:rFonts w:hint="eastAsia" w:ascii="宋体" w:hAnsi="宋体" w:eastAsia="宋体" w:cs="宋体"/>
          <w:color w:val="000000" w:themeColor="text1"/>
          <w:szCs w:val="21"/>
        </w:rPr>
        <w:t>工作人员将按规定通知其投标人授权委托人在项目完成评审后的三天内取回。（2）中选的投标人投标样品，</w:t>
      </w:r>
      <w:r>
        <w:rPr>
          <w:rFonts w:hint="eastAsia" w:ascii="宋体" w:hAnsi="宋体" w:cs="宋体"/>
          <w:color w:val="000000" w:themeColor="text1"/>
          <w:szCs w:val="21"/>
        </w:rPr>
        <w:t>深圳市千里招标代理有限公司</w:t>
      </w:r>
      <w:r>
        <w:rPr>
          <w:rFonts w:hint="eastAsia" w:ascii="宋体" w:hAnsi="宋体" w:eastAsia="宋体" w:cs="宋体"/>
          <w:color w:val="000000" w:themeColor="text1"/>
          <w:szCs w:val="21"/>
        </w:rPr>
        <w:t>工作人员将按规定在中选通知书发出后通知采购人代表三天内取走。投标样品移交时，</w:t>
      </w:r>
      <w:r>
        <w:rPr>
          <w:rFonts w:hint="eastAsia" w:ascii="宋体" w:hAnsi="宋体" w:cs="宋体"/>
          <w:color w:val="000000" w:themeColor="text1"/>
          <w:szCs w:val="21"/>
        </w:rPr>
        <w:t>深圳市千里招标代理有限公司</w:t>
      </w:r>
      <w:r>
        <w:rPr>
          <w:rFonts w:hint="eastAsia" w:ascii="宋体" w:hAnsi="宋体" w:eastAsia="宋体" w:cs="宋体"/>
          <w:color w:val="000000" w:themeColor="text1"/>
          <w:szCs w:val="21"/>
        </w:rPr>
        <w:t>工作人员将再次核对投标人授权委托人或采购人代表身份、核对《样品清单》，签字确认后并取走样品。</w:t>
      </w:r>
    </w:p>
    <w:p w14:paraId="7EA5FED5">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20.5投标样品未能及时退回的，</w:t>
      </w:r>
      <w:r>
        <w:rPr>
          <w:rFonts w:hint="eastAsia" w:ascii="宋体" w:hAnsi="宋体" w:cs="宋体"/>
          <w:color w:val="000000" w:themeColor="text1"/>
          <w:szCs w:val="21"/>
        </w:rPr>
        <w:t>深圳市千里招标代理有限公司</w:t>
      </w:r>
      <w:r>
        <w:rPr>
          <w:rFonts w:hint="eastAsia" w:ascii="宋体" w:hAnsi="宋体" w:eastAsia="宋体" w:cs="宋体"/>
          <w:color w:val="000000" w:themeColor="text1"/>
          <w:szCs w:val="21"/>
        </w:rPr>
        <w:t>工作人员将及时存放到样品室，并发函或电话敦促相关单位取回。经敦促仍未能按规定取回的，视同投标人或采购人放弃取回，</w:t>
      </w:r>
      <w:r>
        <w:rPr>
          <w:rFonts w:hint="eastAsia" w:ascii="宋体" w:hAnsi="宋体" w:cs="宋体"/>
          <w:color w:val="000000" w:themeColor="text1"/>
          <w:szCs w:val="21"/>
        </w:rPr>
        <w:t>深圳市千里招标代理有限公司</w:t>
      </w:r>
      <w:r>
        <w:rPr>
          <w:rFonts w:hint="eastAsia" w:ascii="宋体" w:hAnsi="宋体" w:eastAsia="宋体" w:cs="宋体"/>
          <w:color w:val="000000" w:themeColor="text1"/>
          <w:szCs w:val="21"/>
        </w:rPr>
        <w:t>将定期清理。</w:t>
      </w:r>
    </w:p>
    <w:p w14:paraId="401189C6">
      <w:pPr>
        <w:spacing w:line="440" w:lineRule="exact"/>
        <w:ind w:firstLine="420" w:firstLineChars="200"/>
        <w:rPr>
          <w:rFonts w:ascii="宋体" w:hAnsi="宋体" w:eastAsia="宋体" w:cs="宋体"/>
          <w:color w:val="000000" w:themeColor="text1"/>
          <w:szCs w:val="21"/>
        </w:rPr>
      </w:pPr>
    </w:p>
    <w:p w14:paraId="63BD9075">
      <w:pPr>
        <w:spacing w:line="44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21．投标文件的修改和撤销</w:t>
      </w:r>
    </w:p>
    <w:p w14:paraId="2CEBA26F">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21.1投标截止时间以后不得修改投标文件。</w:t>
      </w:r>
    </w:p>
    <w:p w14:paraId="2C425C6F">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21.2从投标截止期至投标人在投标书中确定的投标有效期之间的这段时间内，投标人不得撤回其投标。</w:t>
      </w:r>
    </w:p>
    <w:bookmarkEnd w:id="90"/>
    <w:bookmarkEnd w:id="91"/>
    <w:bookmarkEnd w:id="92"/>
    <w:bookmarkEnd w:id="93"/>
    <w:bookmarkEnd w:id="94"/>
    <w:p w14:paraId="797E077B">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21.3</w:t>
      </w:r>
      <w:r>
        <w:rPr>
          <w:rFonts w:hint="eastAsia" w:ascii="宋体" w:hAnsi="宋体" w:cs="宋体"/>
          <w:color w:val="000000" w:themeColor="text1"/>
          <w:szCs w:val="21"/>
        </w:rPr>
        <w:t>深圳市千里招标代理有限公司</w:t>
      </w:r>
      <w:r>
        <w:rPr>
          <w:rFonts w:hint="eastAsia" w:ascii="宋体" w:hAnsi="宋体" w:eastAsia="宋体" w:cs="宋体"/>
          <w:color w:val="000000" w:themeColor="text1"/>
          <w:szCs w:val="21"/>
        </w:rPr>
        <w:t>不退还投标文件，另有规定的除外。</w:t>
      </w:r>
    </w:p>
    <w:p w14:paraId="05E39CE0">
      <w:pPr>
        <w:pStyle w:val="9"/>
        <w:rPr>
          <w:rFonts w:ascii="宋体" w:hAnsi="宋体" w:eastAsia="宋体" w:cs="宋体"/>
          <w:color w:val="000000" w:themeColor="text1"/>
          <w:szCs w:val="21"/>
        </w:rPr>
      </w:pPr>
    </w:p>
    <w:p w14:paraId="3414D37D">
      <w:pPr>
        <w:pStyle w:val="9"/>
        <w:rPr>
          <w:rFonts w:ascii="宋体" w:hAnsi="宋体" w:eastAsia="宋体" w:cs="宋体"/>
          <w:color w:val="000000" w:themeColor="text1"/>
          <w:szCs w:val="21"/>
        </w:rPr>
      </w:pPr>
    </w:p>
    <w:p w14:paraId="42691783">
      <w:pPr>
        <w:pStyle w:val="3"/>
        <w:rPr>
          <w:rFonts w:ascii="宋体" w:hAnsi="宋体" w:eastAsia="宋体" w:cs="宋体"/>
          <w:color w:val="000000" w:themeColor="text1"/>
        </w:rPr>
      </w:pPr>
      <w:bookmarkStart w:id="95" w:name="第五章1"/>
      <w:bookmarkEnd w:id="95"/>
      <w:bookmarkStart w:id="96" w:name="_Toc8126"/>
      <w:bookmarkStart w:id="97" w:name="_Toc1658"/>
      <w:bookmarkStart w:id="98" w:name="_Toc13806"/>
      <w:bookmarkStart w:id="99" w:name="_Toc101074881"/>
      <w:bookmarkStart w:id="100" w:name="_Toc73518144"/>
      <w:bookmarkStart w:id="101" w:name="_Toc73517666"/>
      <w:bookmarkStart w:id="102" w:name="_Toc100052391"/>
      <w:bookmarkStart w:id="103" w:name="_Toc14713"/>
      <w:r>
        <w:rPr>
          <w:rFonts w:hint="eastAsia" w:ascii="宋体" w:hAnsi="宋体" w:eastAsia="宋体" w:cs="宋体"/>
          <w:color w:val="000000" w:themeColor="text1"/>
        </w:rPr>
        <w:t xml:space="preserve">第五章 </w:t>
      </w:r>
      <w:bookmarkStart w:id="104" w:name="_Toc4434"/>
      <w:r>
        <w:rPr>
          <w:rFonts w:hint="eastAsia" w:ascii="宋体" w:hAnsi="宋体" w:eastAsia="宋体" w:cs="宋体"/>
          <w:color w:val="000000" w:themeColor="text1"/>
        </w:rPr>
        <w:t>开标</w:t>
      </w:r>
      <w:bookmarkEnd w:id="96"/>
      <w:bookmarkEnd w:id="97"/>
      <w:bookmarkEnd w:id="98"/>
      <w:bookmarkEnd w:id="99"/>
      <w:bookmarkEnd w:id="100"/>
      <w:bookmarkEnd w:id="101"/>
      <w:bookmarkEnd w:id="102"/>
      <w:bookmarkEnd w:id="103"/>
      <w:bookmarkEnd w:id="104"/>
    </w:p>
    <w:p w14:paraId="764722B6">
      <w:pPr>
        <w:spacing w:line="440" w:lineRule="exact"/>
        <w:rPr>
          <w:rFonts w:ascii="宋体" w:hAnsi="宋体" w:eastAsia="宋体" w:cs="宋体"/>
          <w:color w:val="000000" w:themeColor="text1"/>
          <w:sz w:val="24"/>
          <w:szCs w:val="24"/>
        </w:rPr>
      </w:pPr>
      <w:bookmarkStart w:id="105" w:name="_Toc73517667"/>
      <w:bookmarkStart w:id="106" w:name="_Toc100052392"/>
      <w:bookmarkStart w:id="107" w:name="_Toc60560655"/>
      <w:bookmarkStart w:id="108" w:name="_Toc73518145"/>
      <w:bookmarkStart w:id="109" w:name="_Toc60631650"/>
      <w:r>
        <w:rPr>
          <w:rFonts w:hint="eastAsia" w:ascii="宋体" w:hAnsi="宋体" w:eastAsia="宋体" w:cs="宋体"/>
          <w:color w:val="000000" w:themeColor="text1"/>
          <w:sz w:val="24"/>
          <w:szCs w:val="24"/>
        </w:rPr>
        <w:t>22．开标</w:t>
      </w:r>
      <w:bookmarkEnd w:id="105"/>
      <w:bookmarkEnd w:id="106"/>
      <w:bookmarkEnd w:id="107"/>
      <w:bookmarkEnd w:id="108"/>
      <w:bookmarkEnd w:id="109"/>
    </w:p>
    <w:p w14:paraId="27EAC427">
      <w:pPr>
        <w:spacing w:line="440" w:lineRule="exact"/>
        <w:ind w:firstLine="420" w:firstLineChars="200"/>
        <w:rPr>
          <w:rFonts w:ascii="宋体" w:hAnsi="宋体" w:eastAsia="宋体" w:cs="宋体"/>
          <w:color w:val="000000" w:themeColor="text1"/>
          <w:szCs w:val="21"/>
        </w:rPr>
      </w:pPr>
      <w:bookmarkStart w:id="110" w:name="_Toc73518146"/>
      <w:bookmarkStart w:id="111" w:name="_Toc73517668"/>
      <w:bookmarkStart w:id="112" w:name="_Toc100052393"/>
      <w:bookmarkStart w:id="113" w:name="_Toc101074882"/>
      <w:r>
        <w:rPr>
          <w:rFonts w:hint="eastAsia" w:ascii="宋体" w:hAnsi="宋体" w:eastAsia="宋体" w:cs="宋体"/>
          <w:color w:val="000000" w:themeColor="text1"/>
          <w:szCs w:val="21"/>
        </w:rPr>
        <w:t>22.1</w:t>
      </w:r>
      <w:r>
        <w:rPr>
          <w:rFonts w:hint="eastAsia" w:ascii="宋体" w:hAnsi="宋体" w:cs="宋体"/>
          <w:color w:val="000000" w:themeColor="text1"/>
          <w:szCs w:val="21"/>
        </w:rPr>
        <w:t>深圳市千里招标代理有限公司</w:t>
      </w:r>
      <w:r>
        <w:rPr>
          <w:rFonts w:hint="eastAsia" w:ascii="宋体" w:hAnsi="宋体" w:eastAsia="宋体" w:cs="宋体"/>
          <w:color w:val="000000" w:themeColor="text1"/>
          <w:szCs w:val="21"/>
        </w:rPr>
        <w:t>将在投标截止时间后，对投标文件进行开标。</w:t>
      </w:r>
    </w:p>
    <w:p w14:paraId="4BEA3D03">
      <w:pPr>
        <w:pStyle w:val="9"/>
        <w:rPr>
          <w:rFonts w:ascii="宋体" w:hAnsi="宋体" w:eastAsia="宋体" w:cs="宋体"/>
          <w:color w:val="000000" w:themeColor="text1"/>
        </w:rPr>
      </w:pPr>
    </w:p>
    <w:bookmarkEnd w:id="110"/>
    <w:bookmarkEnd w:id="111"/>
    <w:p w14:paraId="36EFDDBF">
      <w:pPr>
        <w:pStyle w:val="3"/>
        <w:rPr>
          <w:rFonts w:ascii="宋体" w:hAnsi="宋体" w:eastAsia="宋体" w:cs="宋体"/>
          <w:color w:val="000000" w:themeColor="text1"/>
        </w:rPr>
      </w:pPr>
      <w:bookmarkStart w:id="114" w:name="第六章1"/>
      <w:bookmarkEnd w:id="114"/>
      <w:bookmarkStart w:id="115" w:name="_Toc22853"/>
      <w:bookmarkStart w:id="116" w:name="_Toc27869"/>
      <w:bookmarkStart w:id="117" w:name="_Toc20179"/>
      <w:bookmarkStart w:id="118" w:name="_Toc7319"/>
      <w:r>
        <w:rPr>
          <w:rFonts w:hint="eastAsia" w:ascii="宋体" w:hAnsi="宋体" w:eastAsia="宋体" w:cs="宋体"/>
          <w:color w:val="000000" w:themeColor="text1"/>
        </w:rPr>
        <w:t xml:space="preserve">第六章 </w:t>
      </w:r>
      <w:bookmarkStart w:id="119" w:name="_Toc29225"/>
      <w:r>
        <w:rPr>
          <w:rFonts w:hint="eastAsia" w:ascii="宋体" w:hAnsi="宋体" w:eastAsia="宋体" w:cs="宋体"/>
          <w:color w:val="000000" w:themeColor="text1"/>
        </w:rPr>
        <w:t>评审要求</w:t>
      </w:r>
      <w:bookmarkEnd w:id="112"/>
      <w:bookmarkEnd w:id="113"/>
      <w:bookmarkEnd w:id="115"/>
      <w:bookmarkEnd w:id="116"/>
      <w:bookmarkEnd w:id="117"/>
      <w:bookmarkEnd w:id="118"/>
      <w:bookmarkEnd w:id="119"/>
    </w:p>
    <w:p w14:paraId="30F67AA2">
      <w:pPr>
        <w:spacing w:line="440" w:lineRule="exact"/>
        <w:rPr>
          <w:rFonts w:ascii="宋体" w:hAnsi="宋体" w:eastAsia="宋体" w:cs="宋体"/>
          <w:color w:val="000000" w:themeColor="text1"/>
          <w:sz w:val="24"/>
          <w:szCs w:val="24"/>
        </w:rPr>
      </w:pPr>
      <w:bookmarkStart w:id="120" w:name="_Toc73517669"/>
      <w:bookmarkStart w:id="121" w:name="_Toc100052394"/>
      <w:bookmarkStart w:id="122" w:name="_Toc73518147"/>
      <w:r>
        <w:rPr>
          <w:rFonts w:hint="eastAsia" w:ascii="宋体" w:hAnsi="宋体" w:eastAsia="宋体" w:cs="宋体"/>
          <w:color w:val="000000" w:themeColor="text1"/>
          <w:sz w:val="24"/>
        </w:rPr>
        <w:t>23．</w:t>
      </w:r>
      <w:r>
        <w:rPr>
          <w:rFonts w:hint="eastAsia" w:ascii="宋体" w:hAnsi="宋体" w:eastAsia="宋体" w:cs="宋体"/>
          <w:color w:val="000000" w:themeColor="text1"/>
          <w:sz w:val="24"/>
          <w:szCs w:val="24"/>
        </w:rPr>
        <w:t>评审小组组成</w:t>
      </w:r>
    </w:p>
    <w:p w14:paraId="1725348B">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23.1开标结束后召开评审会议，评审小组会由</w:t>
      </w:r>
      <w:r>
        <w:rPr>
          <w:rFonts w:hint="eastAsia" w:ascii="宋体" w:hAnsi="宋体" w:cs="宋体"/>
          <w:color w:val="000000" w:themeColor="text1"/>
          <w:szCs w:val="21"/>
        </w:rPr>
        <w:t>深圳市千里招标代理有限公司</w:t>
      </w:r>
      <w:r>
        <w:rPr>
          <w:rFonts w:hint="eastAsia" w:ascii="宋体" w:hAnsi="宋体" w:eastAsia="宋体" w:cs="宋体"/>
          <w:color w:val="000000" w:themeColor="text1"/>
          <w:szCs w:val="21"/>
        </w:rPr>
        <w:t>依法组建，负责评审活动。</w:t>
      </w:r>
    </w:p>
    <w:p w14:paraId="5342DC5C">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采购人代表须持本单位签发的《评审授权书》参加评审。</w:t>
      </w:r>
    </w:p>
    <w:p w14:paraId="7623744D">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采购单位无代表参与评审，应在开标前一天提交《采购单位不派评委参与项目评审承诺书》给</w:t>
      </w:r>
      <w:r>
        <w:rPr>
          <w:rFonts w:hint="eastAsia" w:ascii="宋体" w:hAnsi="宋体" w:cs="宋体"/>
          <w:color w:val="000000" w:themeColor="text1"/>
          <w:szCs w:val="21"/>
        </w:rPr>
        <w:t>深圳市千里招标代理有限公司</w:t>
      </w:r>
      <w:r>
        <w:rPr>
          <w:rFonts w:hint="eastAsia" w:ascii="宋体" w:hAnsi="宋体" w:eastAsia="宋体" w:cs="宋体"/>
          <w:color w:val="000000" w:themeColor="text1"/>
          <w:szCs w:val="21"/>
        </w:rPr>
        <w:t>。</w:t>
      </w:r>
    </w:p>
    <w:p w14:paraId="19104CB9">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 xml:space="preserve">23.2评审定标应当遵循公平、公正、科学、择优的原则。 </w:t>
      </w:r>
    </w:p>
    <w:p w14:paraId="478718C0">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23.3评审活动依法进行，任何单位和个人不得非法干预评审过程和结果。</w:t>
      </w:r>
    </w:p>
    <w:p w14:paraId="6B3002EF">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23.4评审过程中不允许违背评审程序或采用采购文件未载明的评审方法或评审因素进行评审。</w:t>
      </w:r>
    </w:p>
    <w:p w14:paraId="7E1E484F">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23.5开标后，直到签订合同为止，凡属于对投标文件的审查、澄清、评价和比较的有关资料以及中选候选人的推荐情况、与评审有关的其他任何情况均严格保密。</w:t>
      </w:r>
    </w:p>
    <w:p w14:paraId="2D66D72E">
      <w:pPr>
        <w:spacing w:line="44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24．向</w:t>
      </w:r>
      <w:r>
        <w:rPr>
          <w:rFonts w:hint="eastAsia" w:ascii="宋体" w:hAnsi="宋体" w:eastAsia="宋体" w:cs="宋体"/>
          <w:b/>
          <w:color w:val="000000" w:themeColor="text1"/>
          <w:sz w:val="24"/>
          <w:szCs w:val="24"/>
        </w:rPr>
        <w:t>评审小组</w:t>
      </w:r>
      <w:r>
        <w:rPr>
          <w:rFonts w:hint="eastAsia" w:ascii="宋体" w:hAnsi="宋体" w:eastAsia="宋体" w:cs="宋体"/>
          <w:color w:val="000000" w:themeColor="text1"/>
          <w:sz w:val="24"/>
          <w:szCs w:val="24"/>
        </w:rPr>
        <w:t>提供的资料</w:t>
      </w:r>
    </w:p>
    <w:p w14:paraId="5FE9FB95">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24.1公开发布的采购文件，包括图纸、服务清单、答疑文件等；</w:t>
      </w:r>
    </w:p>
    <w:p w14:paraId="738979CA">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24.2其他评审必须的资料。</w:t>
      </w:r>
    </w:p>
    <w:p w14:paraId="663FE4C8">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24.3评审小组应当认真研究采购文件，至少应了解熟悉以下内容：</w:t>
      </w:r>
    </w:p>
    <w:p w14:paraId="00F349F1">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（1）采购的目的；</w:t>
      </w:r>
    </w:p>
    <w:p w14:paraId="422946F5">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（2）采购项目需求的范围和性质；</w:t>
      </w:r>
    </w:p>
    <w:p w14:paraId="37D9B0E1">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（3）采购文件规定的投标人的资格、财政预算限额、商务条款；</w:t>
      </w:r>
    </w:p>
    <w:p w14:paraId="262E8A61">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（4）采购文件规定的评审程序、评审方法和评审因素；</w:t>
      </w:r>
    </w:p>
    <w:p w14:paraId="768D6C7F">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（5）采购文件所列示的资格性审查表及符合性审查表。</w:t>
      </w:r>
    </w:p>
    <w:p w14:paraId="0AC1753B">
      <w:pPr>
        <w:spacing w:line="44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25．独立评审</w:t>
      </w:r>
    </w:p>
    <w:p w14:paraId="6F4066B7">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25.1评审小组成员的评审活动应当独立进行，并应遵循投标文件初审、澄清有关问题、比较与评价、确定中标人、编写评审报告的工作程序。</w:t>
      </w:r>
      <w:bookmarkEnd w:id="120"/>
      <w:bookmarkEnd w:id="121"/>
      <w:bookmarkEnd w:id="122"/>
    </w:p>
    <w:p w14:paraId="709CD094">
      <w:pPr>
        <w:pStyle w:val="3"/>
        <w:rPr>
          <w:rFonts w:ascii="宋体" w:hAnsi="宋体" w:eastAsia="宋体" w:cs="宋体"/>
          <w:color w:val="000000" w:themeColor="text1"/>
        </w:rPr>
      </w:pPr>
      <w:bookmarkStart w:id="123" w:name="第七章1"/>
      <w:bookmarkEnd w:id="123"/>
      <w:bookmarkStart w:id="124" w:name="_Toc9551"/>
      <w:bookmarkStart w:id="125" w:name="_Toc19125"/>
      <w:bookmarkStart w:id="126" w:name="_Toc20125"/>
      <w:bookmarkStart w:id="127" w:name="_Toc101074883"/>
      <w:bookmarkStart w:id="128" w:name="_Toc1296"/>
      <w:bookmarkStart w:id="129" w:name="_Toc100052397"/>
      <w:r>
        <w:rPr>
          <w:rFonts w:hint="eastAsia" w:ascii="宋体" w:hAnsi="宋体" w:eastAsia="宋体" w:cs="宋体"/>
          <w:color w:val="000000" w:themeColor="text1"/>
        </w:rPr>
        <w:t xml:space="preserve">第七章 </w:t>
      </w:r>
      <w:bookmarkStart w:id="130" w:name="_Toc26636"/>
      <w:r>
        <w:rPr>
          <w:rFonts w:hint="eastAsia" w:ascii="宋体" w:hAnsi="宋体" w:eastAsia="宋体" w:cs="宋体"/>
          <w:color w:val="000000" w:themeColor="text1"/>
        </w:rPr>
        <w:t>评审程序</w:t>
      </w:r>
      <w:bookmarkStart w:id="131" w:name="_Toc73517671"/>
      <w:bookmarkStart w:id="132" w:name="_Toc73518149"/>
      <w:r>
        <w:rPr>
          <w:rFonts w:hint="eastAsia" w:ascii="宋体" w:hAnsi="宋体" w:eastAsia="宋体" w:cs="宋体"/>
          <w:color w:val="000000" w:themeColor="text1"/>
        </w:rPr>
        <w:t>及评审方法</w:t>
      </w:r>
      <w:bookmarkEnd w:id="124"/>
      <w:bookmarkEnd w:id="125"/>
      <w:bookmarkEnd w:id="126"/>
      <w:bookmarkEnd w:id="127"/>
      <w:bookmarkEnd w:id="128"/>
      <w:bookmarkEnd w:id="129"/>
      <w:bookmarkEnd w:id="130"/>
    </w:p>
    <w:p w14:paraId="08ACFE8A">
      <w:pPr>
        <w:spacing w:line="440" w:lineRule="exact"/>
        <w:rPr>
          <w:rFonts w:ascii="宋体" w:hAnsi="宋体" w:eastAsia="宋体" w:cs="宋体"/>
          <w:color w:val="000000" w:themeColor="text1"/>
          <w:sz w:val="24"/>
          <w:szCs w:val="24"/>
        </w:rPr>
      </w:pPr>
      <w:bookmarkStart w:id="133" w:name="_Toc100052398"/>
      <w:r>
        <w:rPr>
          <w:rFonts w:hint="eastAsia" w:ascii="宋体" w:hAnsi="宋体" w:eastAsia="宋体" w:cs="宋体"/>
          <w:color w:val="000000" w:themeColor="text1"/>
          <w:sz w:val="24"/>
          <w:szCs w:val="24"/>
        </w:rPr>
        <w:t>26．投标文件初审</w:t>
      </w:r>
      <w:bookmarkEnd w:id="133"/>
    </w:p>
    <w:bookmarkEnd w:id="131"/>
    <w:bookmarkEnd w:id="132"/>
    <w:p w14:paraId="7C36DCDE">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 xml:space="preserve">26.1投标文件初审包括资格性审查和符合性审查。资格性审查：依据法律法规和采购文件的规定，对投标文件中的资格证明等进行审查，以确定投标人是否具备投标资格。符合性审查：依据采购文件的规定，从投标文件的有效性、完整性和对采购文件的投标程度进行审查，以确定是否对采购文件的实质性要求作出投标。 </w:t>
      </w:r>
    </w:p>
    <w:p w14:paraId="59A75632">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 xml:space="preserve">26.2投标文件初审内容请详见《资格性审查表》和《符合性审查表》部分。投标人若有一条审查不通过则按投标无效处理。评审小组对投标单位打√为通过审查，打×为未通过审查。 </w:t>
      </w:r>
    </w:p>
    <w:p w14:paraId="5A1A6B5A">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26.3 投标文件初审中关于投标人家数的计算</w:t>
      </w:r>
      <w:r>
        <w:rPr>
          <w:rFonts w:hint="eastAsia" w:ascii="宋体" w:hAnsi="宋体" w:cs="宋体"/>
          <w:color w:val="000000" w:themeColor="text1"/>
          <w:szCs w:val="21"/>
        </w:rPr>
        <w:t>：</w:t>
      </w:r>
    </w:p>
    <w:p w14:paraId="1F2D5C56">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26.3.1采用最低评审价法的采购项目，提供相同品牌产品的不同投标人参加同一合同项下投标的，以其中通过资格审查、符合性审查且报价最低的参加评审；报价相同的，由采购人或者采购人委托评审小组按照采购文件规定的方式确定一个参加评审的投标人，采购文件未规定的采取随机抽取方式确定，其他投标无效。</w:t>
      </w:r>
    </w:p>
    <w:p w14:paraId="5F1AE868">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26.3.2使用综合评分法的自行采购项目，提供相同品牌产品且通过资格审查、符合性审查的不同投标人参加同一合同项下投标的，按一家投标人计算，评审后得分最高的同品牌投标人获得中标人推荐资格；评审得分相同的，由采购人或者采购人委托评审小组按照采购文件规定的方式确定一个投标投标人获得中标人推荐资格，采购文件未规定的采取随机抽取方式确定，其他同品牌投标人不作为中选候选人。</w:t>
      </w:r>
    </w:p>
    <w:p w14:paraId="77BAC698">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26.3.3非单一产品采购项目，采购人应当根据采购项目技术构成、产品价格比重等合理确定核心产品，并在采购文件中载明。多家投标投标人提供的核心产品品牌相同的，按前两款规定处理。</w:t>
      </w:r>
    </w:p>
    <w:p w14:paraId="6475D88C">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26.4投标人投标文件作无效处理的情形，具体包括但不限于以下：</w:t>
      </w:r>
    </w:p>
    <w:p w14:paraId="0A1CB020">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26.4.1不同投标人的投标文件由同一单位或者同一个人编制，或者由同一个人分阶段参与编制；</w:t>
      </w:r>
    </w:p>
    <w:p w14:paraId="4ADFBD60">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26.4.2不同投标人委托同一单位或者个人办理投标事宜；</w:t>
      </w:r>
    </w:p>
    <w:p w14:paraId="320C5025">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26.4.3不同投标人的投标文件载明的项目管理成员或者联系人员为同一人；</w:t>
      </w:r>
    </w:p>
    <w:p w14:paraId="33C60B37">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26.4.4不同投标人的投标文件异常一致或者投标报价呈规律性差异；</w:t>
      </w:r>
    </w:p>
    <w:p w14:paraId="18536676">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26.4.5不同投标人的投标文件相互混装；</w:t>
      </w:r>
    </w:p>
    <w:p w14:paraId="734D62ED">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26.4.6投标人之间相互约定给予未中选的投标人利益补偿；</w:t>
      </w:r>
    </w:p>
    <w:p w14:paraId="0BB59306">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26.4.7不同投标人的法定代表人、主要经营负责人、项目投标授权代表人、项目负责人、主要技术人员为同一人、属同一单位或者同一单位缴纳社会保险；</w:t>
      </w:r>
    </w:p>
    <w:p w14:paraId="17848240">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26.4.8不同投标人的投标文件内容存在非正常一致；</w:t>
      </w:r>
    </w:p>
    <w:p w14:paraId="75D4336E">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26.4.9在同一单位工作人员为两家以上（含两家）投标人进行同一项投标活动；</w:t>
      </w:r>
    </w:p>
    <w:p w14:paraId="2F10CFD0">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26.4.10法律、法规认定的其他情形。</w:t>
      </w:r>
    </w:p>
    <w:p w14:paraId="33628068">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26.5对不属于《资格性审查表》和《符合性审查表》所列的其他情形，除专用条款另有规定和32.4条款所列情形外，不得作为投保无效的理由。</w:t>
      </w:r>
    </w:p>
    <w:p w14:paraId="17957B55">
      <w:pPr>
        <w:spacing w:line="440" w:lineRule="exact"/>
        <w:rPr>
          <w:rFonts w:ascii="宋体" w:hAnsi="宋体" w:eastAsia="宋体" w:cs="宋体"/>
          <w:color w:val="000000" w:themeColor="text1"/>
          <w:sz w:val="24"/>
          <w:szCs w:val="24"/>
        </w:rPr>
      </w:pPr>
      <w:bookmarkStart w:id="134" w:name="_Toc100052399"/>
      <w:r>
        <w:rPr>
          <w:rFonts w:hint="eastAsia" w:ascii="宋体" w:hAnsi="宋体" w:eastAsia="宋体" w:cs="宋体"/>
          <w:color w:val="000000" w:themeColor="text1"/>
          <w:sz w:val="24"/>
          <w:szCs w:val="24"/>
        </w:rPr>
        <w:t>27．澄清有关问题</w:t>
      </w:r>
      <w:bookmarkEnd w:id="134"/>
    </w:p>
    <w:p w14:paraId="4CDDE80B">
      <w:pPr>
        <w:spacing w:line="440" w:lineRule="exact"/>
        <w:ind w:firstLine="420" w:firstLineChars="200"/>
        <w:rPr>
          <w:rFonts w:ascii="宋体" w:hAnsi="宋体" w:eastAsia="宋体" w:cs="宋体"/>
          <w:color w:val="000000" w:themeColor="text1"/>
          <w:szCs w:val="21"/>
        </w:rPr>
      </w:pPr>
      <w:bookmarkStart w:id="135" w:name="_Toc73518153"/>
      <w:bookmarkStart w:id="136" w:name="_Toc73517675"/>
      <w:r>
        <w:rPr>
          <w:rFonts w:hint="eastAsia" w:ascii="宋体" w:hAnsi="宋体" w:eastAsia="宋体" w:cs="宋体"/>
          <w:color w:val="000000" w:themeColor="text1"/>
          <w:szCs w:val="21"/>
        </w:rPr>
        <w:t>对于投标文件中含义不明确、同类问题表述不一致或者有明显文字和计算错误的内容，评审小组应当以书面形式要求投标人作出必要的澄清、说明或者补正。</w:t>
      </w:r>
    </w:p>
    <w:p w14:paraId="2029FC70">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　　投标人的澄清、说明或者补正应当采用书面形式，并加盖公章，或者由法定代表人或其授权的代表签字。投标人的澄清、说明或者补正不得超出投标文件的范围或者改变投标文件的实质性内容。</w:t>
      </w:r>
    </w:p>
    <w:p w14:paraId="542EA492">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凡属于评审小组在评审中发现的算术错误进行核实的修改不在此列。</w:t>
      </w:r>
    </w:p>
    <w:p w14:paraId="1F797249">
      <w:pPr>
        <w:spacing w:line="44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28. 错误的修正</w:t>
      </w:r>
    </w:p>
    <w:p w14:paraId="719D19C9">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投标文件报价出现前后不一致的，除专用条款另有规定外，按照下列规定修正：</w:t>
      </w:r>
    </w:p>
    <w:p w14:paraId="68CB932F">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28.1投标文件中开标一览表内容与投标文件中相应内容不一致的，以开标一览表为准；</w:t>
      </w:r>
    </w:p>
    <w:p w14:paraId="5C672DD7">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28.2大写金额和小写金额不一致的，以大写金额为准；</w:t>
      </w:r>
    </w:p>
    <w:p w14:paraId="3E2F77F5">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28.3单价金额小数点或者百分比有明显错位，以开标一览表的总价为准，并修改单价；</w:t>
      </w:r>
    </w:p>
    <w:p w14:paraId="139B57E7">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28.4总价金额与按单价汇总金额不一致的，以单价金额计算结果为准。</w:t>
      </w:r>
    </w:p>
    <w:p w14:paraId="640308FC">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28.5同时出现两种以上不一致的，按照前款规定的顺序修正。修正后的报价按照本通用条款33条的规定，经投标人确认后产生约束力，投标人不确认的，其投标无效。</w:t>
      </w:r>
    </w:p>
    <w:p w14:paraId="590BA074">
      <w:pPr>
        <w:spacing w:line="440" w:lineRule="exact"/>
        <w:ind w:firstLine="470" w:firstLineChars="196"/>
        <w:rPr>
          <w:rFonts w:ascii="宋体" w:hAnsi="宋体" w:eastAsia="宋体" w:cs="宋体"/>
          <w:color w:val="000000" w:themeColor="text1"/>
          <w:sz w:val="24"/>
          <w:szCs w:val="24"/>
        </w:rPr>
      </w:pPr>
    </w:p>
    <w:p w14:paraId="557A9C2F">
      <w:pPr>
        <w:spacing w:line="440" w:lineRule="exact"/>
        <w:rPr>
          <w:rFonts w:ascii="宋体" w:hAnsi="宋体" w:eastAsia="宋体" w:cs="宋体"/>
          <w:color w:val="000000" w:themeColor="text1"/>
          <w:sz w:val="24"/>
          <w:szCs w:val="24"/>
        </w:rPr>
      </w:pPr>
      <w:bookmarkStart w:id="137" w:name="_Toc100052401"/>
      <w:r>
        <w:rPr>
          <w:rFonts w:hint="eastAsia" w:ascii="宋体" w:hAnsi="宋体" w:eastAsia="宋体" w:cs="宋体"/>
          <w:color w:val="000000" w:themeColor="text1"/>
          <w:sz w:val="24"/>
          <w:szCs w:val="24"/>
        </w:rPr>
        <w:t>29．投标文件的</w:t>
      </w:r>
      <w:bookmarkEnd w:id="135"/>
      <w:bookmarkEnd w:id="136"/>
      <w:r>
        <w:rPr>
          <w:rFonts w:hint="eastAsia" w:ascii="宋体" w:hAnsi="宋体" w:eastAsia="宋体" w:cs="宋体"/>
          <w:color w:val="000000" w:themeColor="text1"/>
          <w:sz w:val="24"/>
          <w:szCs w:val="24"/>
        </w:rPr>
        <w:t>比较与评价</w:t>
      </w:r>
      <w:bookmarkEnd w:id="137"/>
    </w:p>
    <w:p w14:paraId="1E4B3798">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 xml:space="preserve">评审小组成员对需要共同认定的事项存在争议的，应当按照少数服从多数的原则作出结论。持不同意见的评审小组应当在评审报告上签署不同意见及理由，否则视为同意评审报告。 </w:t>
      </w:r>
    </w:p>
    <w:p w14:paraId="34BAC6EE">
      <w:pPr>
        <w:spacing w:line="44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30.实地考察、演示或设备测试 </w:t>
      </w:r>
    </w:p>
    <w:p w14:paraId="406AAE36">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30.1在采购过程中，评审小组有权决定是否对本项目投标人进行现场勘察或实地考察或检验有关证明材料的原件。投标人应随时做好接受检查的准备。</w:t>
      </w:r>
    </w:p>
    <w:p w14:paraId="05E793E9">
      <w:pPr>
        <w:spacing w:line="44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 xml:space="preserve">30.2若采购文件要求进行现场演示或设备测试的，投标人应做好相应准备。 </w:t>
      </w:r>
    </w:p>
    <w:p w14:paraId="24A7BB13">
      <w:pPr>
        <w:spacing w:line="440" w:lineRule="exact"/>
        <w:rPr>
          <w:rFonts w:ascii="宋体" w:hAnsi="宋体" w:eastAsia="宋体" w:cs="宋体"/>
          <w:color w:val="000000" w:themeColor="text1"/>
          <w:sz w:val="24"/>
          <w:szCs w:val="24"/>
        </w:rPr>
      </w:pPr>
      <w:bookmarkStart w:id="138" w:name="_Toc100052402"/>
      <w:r>
        <w:rPr>
          <w:rFonts w:hint="eastAsia" w:ascii="宋体" w:hAnsi="宋体" w:eastAsia="宋体" w:cs="宋体"/>
          <w:color w:val="000000" w:themeColor="text1"/>
          <w:sz w:val="24"/>
          <w:szCs w:val="24"/>
        </w:rPr>
        <w:t>31．评审方法</w:t>
      </w:r>
      <w:bookmarkEnd w:id="138"/>
    </w:p>
    <w:p w14:paraId="6830E605">
      <w:pPr>
        <w:spacing w:line="440" w:lineRule="exact"/>
        <w:ind w:firstLine="472" w:firstLineChars="196"/>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31.1最低价法</w:t>
      </w:r>
    </w:p>
    <w:p w14:paraId="671BEA95">
      <w:pPr>
        <w:spacing w:line="440" w:lineRule="exact"/>
        <w:ind w:firstLine="411" w:firstLineChars="196"/>
        <w:rPr>
          <w:rFonts w:ascii="宋体" w:hAnsi="宋体" w:eastAsia="宋体" w:cs="宋体"/>
          <w:bCs/>
          <w:color w:val="000000" w:themeColor="text1"/>
          <w:szCs w:val="21"/>
        </w:rPr>
      </w:pPr>
      <w:r>
        <w:rPr>
          <w:rFonts w:hint="eastAsia" w:ascii="宋体" w:hAnsi="宋体" w:eastAsia="宋体" w:cs="宋体"/>
          <w:color w:val="000000" w:themeColor="text1"/>
          <w:szCs w:val="21"/>
        </w:rPr>
        <w:t>最低评审价法，是指投标文件满足采购文件全部实质性要求，且投标报价最低的投标人为中选候选人的评审方法。</w:t>
      </w:r>
    </w:p>
    <w:p w14:paraId="7D2CED03">
      <w:pPr>
        <w:spacing w:line="440" w:lineRule="exact"/>
        <w:ind w:firstLine="472" w:firstLineChars="196"/>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31.1.2综合评分法</w:t>
      </w:r>
    </w:p>
    <w:p w14:paraId="06AA2B7D">
      <w:pPr>
        <w:spacing w:line="440" w:lineRule="exact"/>
        <w:ind w:firstLine="411" w:firstLineChars="196"/>
        <w:rPr>
          <w:rFonts w:ascii="宋体" w:hAnsi="宋体" w:eastAsia="宋体" w:cs="宋体"/>
          <w:bCs/>
          <w:color w:val="000000" w:themeColor="text1"/>
          <w:sz w:val="24"/>
          <w:szCs w:val="24"/>
        </w:rPr>
      </w:pPr>
      <w:r>
        <w:rPr>
          <w:rFonts w:hint="eastAsia" w:ascii="宋体" w:hAnsi="宋体" w:eastAsia="宋体" w:cs="宋体"/>
          <w:color w:val="000000" w:themeColor="text1"/>
          <w:szCs w:val="21"/>
        </w:rPr>
        <w:t>综合评分法，是指投标文件满足采购文件全部实质性要求，且按照评审因素的量化指标评审得分最高的投标人为中选候选人的评审方法。</w:t>
      </w:r>
    </w:p>
    <w:p w14:paraId="04507002">
      <w:pPr>
        <w:spacing w:line="440" w:lineRule="exact"/>
        <w:ind w:firstLine="472" w:firstLineChars="196"/>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31.1.3定性评审法</w:t>
      </w:r>
    </w:p>
    <w:p w14:paraId="13357E91">
      <w:pPr>
        <w:spacing w:line="440" w:lineRule="exact"/>
        <w:ind w:firstLine="411" w:firstLineChars="196"/>
        <w:rPr>
          <w:rFonts w:ascii="宋体" w:hAnsi="宋体" w:eastAsia="宋体" w:cs="宋体"/>
          <w:bCs/>
          <w:color w:val="000000" w:themeColor="text1"/>
          <w:sz w:val="24"/>
          <w:szCs w:val="24"/>
        </w:rPr>
      </w:pPr>
      <w:r>
        <w:rPr>
          <w:rFonts w:hint="eastAsia" w:ascii="宋体" w:hAnsi="宋体" w:eastAsia="宋体" w:cs="宋体"/>
          <w:color w:val="000000" w:themeColor="text1"/>
          <w:kern w:val="0"/>
          <w:szCs w:val="21"/>
        </w:rPr>
        <w:t>定性评审法，是指按照采购文件规定的各项因素进行技术商务定性评审，对各投标文件是否满足采购文件实质性要求提出意见，指出投标文件的优点、缺陷、问题以及签订合同前应注意和澄清的事项，并形成评审报告。所有递交的投标文件不被判定为废标或者无效标的投标人，均推荐为候选中标人。</w:t>
      </w:r>
    </w:p>
    <w:p w14:paraId="3B660F97">
      <w:pPr>
        <w:spacing w:line="440" w:lineRule="exact"/>
        <w:ind w:firstLine="411" w:firstLineChars="196"/>
        <w:rPr>
          <w:rFonts w:ascii="宋体" w:hAnsi="宋体" w:eastAsia="宋体" w:cs="宋体"/>
          <w:color w:val="000000" w:themeColor="text1"/>
          <w:szCs w:val="21"/>
        </w:rPr>
      </w:pPr>
    </w:p>
    <w:p w14:paraId="7DBF93A6">
      <w:pPr>
        <w:pStyle w:val="9"/>
        <w:rPr>
          <w:rFonts w:ascii="宋体" w:hAnsi="宋体" w:eastAsia="宋体" w:cs="宋体"/>
          <w:color w:val="000000" w:themeColor="text1"/>
        </w:rPr>
      </w:pPr>
    </w:p>
    <w:p w14:paraId="09F81CAB">
      <w:pPr>
        <w:pStyle w:val="3"/>
        <w:rPr>
          <w:rFonts w:ascii="宋体" w:hAnsi="宋体" w:eastAsia="宋体" w:cs="宋体"/>
          <w:color w:val="000000" w:themeColor="text1"/>
        </w:rPr>
      </w:pPr>
      <w:bookmarkStart w:id="139" w:name="第八章1"/>
      <w:bookmarkEnd w:id="139"/>
      <w:bookmarkStart w:id="140" w:name="_Toc1513"/>
      <w:bookmarkStart w:id="141" w:name="_Toc26094"/>
      <w:bookmarkStart w:id="142" w:name="_Toc30568"/>
      <w:bookmarkStart w:id="143" w:name="_Toc4934"/>
      <w:r>
        <w:rPr>
          <w:rFonts w:hint="eastAsia" w:ascii="宋体" w:hAnsi="宋体" w:eastAsia="宋体" w:cs="宋体"/>
          <w:color w:val="000000" w:themeColor="text1"/>
        </w:rPr>
        <w:t xml:space="preserve">第八章 </w:t>
      </w:r>
      <w:bookmarkStart w:id="144" w:name="_Toc24537"/>
      <w:r>
        <w:rPr>
          <w:rFonts w:hint="eastAsia" w:ascii="宋体" w:hAnsi="宋体" w:eastAsia="宋体" w:cs="宋体"/>
          <w:color w:val="000000" w:themeColor="text1"/>
        </w:rPr>
        <w:t>定标及公示</w:t>
      </w:r>
      <w:bookmarkEnd w:id="140"/>
      <w:bookmarkEnd w:id="141"/>
      <w:bookmarkEnd w:id="142"/>
      <w:bookmarkEnd w:id="143"/>
      <w:bookmarkEnd w:id="144"/>
    </w:p>
    <w:p w14:paraId="50C596C1">
      <w:pPr>
        <w:spacing w:line="44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32．定标方法</w:t>
      </w:r>
    </w:p>
    <w:p w14:paraId="341A0541">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32.1非评定分离项目定标方法</w:t>
      </w:r>
    </w:p>
    <w:p w14:paraId="7C260DC8">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32.1.1</w:t>
      </w:r>
      <w:r>
        <w:rPr>
          <w:rFonts w:hint="eastAsia" w:ascii="宋体" w:hAnsi="宋体" w:eastAsia="宋体" w:cs="宋体"/>
          <w:b/>
          <w:color w:val="000000" w:themeColor="text1"/>
          <w:szCs w:val="21"/>
        </w:rPr>
        <w:t>评审小组</w:t>
      </w:r>
      <w:r>
        <w:rPr>
          <w:rFonts w:hint="eastAsia" w:ascii="宋体" w:hAnsi="宋体" w:eastAsia="宋体" w:cs="宋体"/>
          <w:color w:val="000000" w:themeColor="text1"/>
          <w:szCs w:val="21"/>
        </w:rPr>
        <w:t>依据本项目采购文件所约定的评审方法进行评审和比较，向</w:t>
      </w:r>
      <w:r>
        <w:rPr>
          <w:rFonts w:hint="eastAsia" w:ascii="宋体" w:hAnsi="宋体" w:cs="宋体"/>
          <w:b/>
          <w:color w:val="000000" w:themeColor="text1"/>
          <w:szCs w:val="21"/>
        </w:rPr>
        <w:t>深圳市千里招标代理有限公司</w:t>
      </w:r>
      <w:r>
        <w:rPr>
          <w:rFonts w:hint="eastAsia" w:ascii="宋体" w:hAnsi="宋体" w:eastAsia="宋体" w:cs="宋体"/>
          <w:color w:val="000000" w:themeColor="text1"/>
          <w:szCs w:val="21"/>
        </w:rPr>
        <w:t>提交书面评审报告，并根据评审方法比较评价结果从优到劣进行排序，并推荐中选候选人或确定中标人。</w:t>
      </w:r>
    </w:p>
    <w:p w14:paraId="477884CB">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32.1.2采用最低评审价法的，评审结果按投标报价由低到高顺序排列。投标报价相同的并列。投标文件满足采购文件全部实质性要求且投标报价最低的投标人为排名第一的中选候选人。</w:t>
      </w:r>
    </w:p>
    <w:p w14:paraId="62EBE6DC">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32.1.3采用综合评分法的，评审结果按评审后得分由高到低顺序排列。得分相同的，按投标报价由低到高顺序排列。得分且投标报价相同的并列。投标文件满足采购文件全部实质性要求，且按照评审因素的量化指标评审得分最高的投标人为排名第一的中选候选人。</w:t>
      </w:r>
    </w:p>
    <w:p w14:paraId="2388FE9D">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32.2评定分离项目定标方法</w:t>
      </w:r>
    </w:p>
    <w:p w14:paraId="183DE185">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32.2.1本项目采用评审和定标分离办法，即</w:t>
      </w:r>
      <w:r>
        <w:rPr>
          <w:rFonts w:hint="eastAsia" w:ascii="宋体" w:hAnsi="宋体" w:eastAsia="宋体" w:cs="宋体"/>
          <w:b/>
          <w:color w:val="000000" w:themeColor="text1"/>
          <w:szCs w:val="21"/>
        </w:rPr>
        <w:t>评审小组</w:t>
      </w:r>
      <w:r>
        <w:rPr>
          <w:rFonts w:hint="eastAsia" w:ascii="宋体" w:hAnsi="宋体" w:eastAsia="宋体" w:cs="宋体"/>
          <w:color w:val="000000" w:themeColor="text1"/>
          <w:szCs w:val="21"/>
        </w:rPr>
        <w:t>按照本项目规定的评审方法对投标文件进行评审、推荐候选中标人并出具书面评审报告，由采购人根据</w:t>
      </w:r>
      <w:r>
        <w:rPr>
          <w:rFonts w:hint="eastAsia" w:ascii="宋体" w:hAnsi="宋体" w:eastAsia="宋体" w:cs="宋体"/>
          <w:b/>
          <w:color w:val="000000" w:themeColor="text1"/>
          <w:szCs w:val="21"/>
        </w:rPr>
        <w:t>评审小组</w:t>
      </w:r>
      <w:r>
        <w:rPr>
          <w:rFonts w:hint="eastAsia" w:ascii="宋体" w:hAnsi="宋体" w:eastAsia="宋体" w:cs="宋体"/>
          <w:color w:val="000000" w:themeColor="text1"/>
          <w:szCs w:val="21"/>
        </w:rPr>
        <w:t>出具的评审报告和推荐的候选中标人确定中标人。具体所采用的评审方法和定标方法（定标规则）详见本采购文件关键信息中的《评审信息》和《定标方法》。</w:t>
      </w:r>
    </w:p>
    <w:p w14:paraId="4FD92504">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32.2.2采用“综合评分法”或“最低价法”评审方法的项目，</w:t>
      </w:r>
      <w:r>
        <w:rPr>
          <w:rFonts w:hint="eastAsia" w:ascii="宋体" w:hAnsi="宋体" w:eastAsia="宋体" w:cs="宋体"/>
          <w:b/>
          <w:color w:val="000000" w:themeColor="text1"/>
          <w:szCs w:val="21"/>
        </w:rPr>
        <w:t>评审小组</w:t>
      </w:r>
      <w:r>
        <w:rPr>
          <w:rFonts w:hint="eastAsia" w:ascii="宋体" w:hAnsi="宋体" w:eastAsia="宋体" w:cs="宋体"/>
          <w:color w:val="000000" w:themeColor="text1"/>
          <w:szCs w:val="21"/>
        </w:rPr>
        <w:t>按照评审结果，推荐“N+2”数量（N为需要的中标人数量，当有效投标人少于“N+2”时，全部推荐；N的具体数量由采购人在项目申报时确定）的候选中标人。采用“定性评审法”评审方法的项目，所有递交投标文件不被判定为无效标的投标投标人，均推荐为候选中标人。采用“定性评审法”评审方法的项目，所有递交的投标文件不被判定为无效标的投标投标人，均推荐为候选中标人。</w:t>
      </w:r>
    </w:p>
    <w:p w14:paraId="66562417">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32.2.3采购人应当按照以下方法确定中标人：</w:t>
      </w:r>
    </w:p>
    <w:p w14:paraId="5CB13844">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32.2.3.1自定法。自定法是指采购人组织定标小组，由定标小组在候选中标人中确定中标人。</w:t>
      </w:r>
    </w:p>
    <w:p w14:paraId="3D9E964F">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36.2.3.2抽签法。抽签法是指候选中标人产生后，由采购人委托</w:t>
      </w:r>
      <w:r>
        <w:rPr>
          <w:rFonts w:hint="eastAsia" w:ascii="宋体" w:hAnsi="宋体" w:cs="宋体"/>
          <w:b/>
          <w:color w:val="000000" w:themeColor="text1"/>
          <w:szCs w:val="21"/>
        </w:rPr>
        <w:t>深圳市千里招标代理有限公司</w:t>
      </w:r>
      <w:r>
        <w:rPr>
          <w:rFonts w:hint="eastAsia" w:ascii="宋体" w:hAnsi="宋体" w:eastAsia="宋体" w:cs="宋体"/>
          <w:color w:val="000000" w:themeColor="text1"/>
          <w:szCs w:val="21"/>
        </w:rPr>
        <w:t>按照随机抽签的方式在候选中标人中确定中标人。并由采购人和</w:t>
      </w:r>
      <w:r>
        <w:rPr>
          <w:rFonts w:hint="eastAsia" w:ascii="宋体" w:hAnsi="宋体" w:cs="宋体"/>
          <w:color w:val="000000" w:themeColor="text1"/>
          <w:szCs w:val="21"/>
        </w:rPr>
        <w:t>深圳市千里招标代理有限公司</w:t>
      </w:r>
      <w:r>
        <w:rPr>
          <w:rFonts w:hint="eastAsia" w:ascii="宋体" w:hAnsi="宋体" w:eastAsia="宋体" w:cs="宋体"/>
          <w:color w:val="000000" w:themeColor="text1"/>
          <w:szCs w:val="21"/>
        </w:rPr>
        <w:t>签字确认抽签结果。</w:t>
      </w:r>
    </w:p>
    <w:p w14:paraId="2346ACB6">
      <w:pPr>
        <w:spacing w:line="440" w:lineRule="exact"/>
        <w:ind w:firstLine="411" w:firstLineChars="196"/>
        <w:rPr>
          <w:rFonts w:ascii="宋体" w:hAnsi="宋体" w:eastAsia="宋体" w:cs="宋体"/>
          <w:color w:val="000000" w:themeColor="text1"/>
          <w:sz w:val="24"/>
          <w:szCs w:val="24"/>
        </w:rPr>
      </w:pPr>
      <w:r>
        <w:rPr>
          <w:rFonts w:hint="eastAsia" w:ascii="宋体" w:hAnsi="宋体" w:eastAsia="宋体" w:cs="宋体"/>
          <w:color w:val="000000" w:themeColor="text1"/>
          <w:szCs w:val="21"/>
        </w:rPr>
        <w:t>32.3专用条款另有规定的，按专用条款相关要求定标。</w:t>
      </w:r>
    </w:p>
    <w:p w14:paraId="695F75D7">
      <w:pPr>
        <w:spacing w:line="440" w:lineRule="exact"/>
        <w:rPr>
          <w:rFonts w:ascii="宋体" w:hAnsi="宋体" w:eastAsia="宋体" w:cs="宋体"/>
          <w:color w:val="000000" w:themeColor="text1"/>
          <w:sz w:val="24"/>
          <w:szCs w:val="24"/>
        </w:rPr>
      </w:pPr>
      <w:bookmarkStart w:id="145" w:name="_Toc100052404"/>
      <w:r>
        <w:rPr>
          <w:rFonts w:hint="eastAsia" w:ascii="宋体" w:hAnsi="宋体" w:eastAsia="宋体" w:cs="宋体"/>
          <w:color w:val="000000" w:themeColor="text1"/>
          <w:sz w:val="24"/>
          <w:szCs w:val="24"/>
        </w:rPr>
        <w:t>33．编写评审报告</w:t>
      </w:r>
      <w:bookmarkEnd w:id="145"/>
    </w:p>
    <w:p w14:paraId="2B4FE6E6">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评审报告是</w:t>
      </w:r>
      <w:r>
        <w:rPr>
          <w:rFonts w:hint="eastAsia" w:ascii="宋体" w:hAnsi="宋体" w:eastAsia="宋体" w:cs="宋体"/>
          <w:b/>
          <w:color w:val="000000" w:themeColor="text1"/>
          <w:szCs w:val="21"/>
        </w:rPr>
        <w:t>评审小组</w:t>
      </w:r>
      <w:r>
        <w:rPr>
          <w:rFonts w:hint="eastAsia" w:ascii="宋体" w:hAnsi="宋体" w:eastAsia="宋体" w:cs="宋体"/>
          <w:color w:val="000000" w:themeColor="text1"/>
          <w:szCs w:val="21"/>
        </w:rPr>
        <w:t>根据全体评审成员签字的原始评审记录和评审结果编写的报告，评审报告由</w:t>
      </w:r>
      <w:r>
        <w:rPr>
          <w:rFonts w:hint="eastAsia" w:ascii="宋体" w:hAnsi="宋体" w:eastAsia="宋体" w:cs="宋体"/>
          <w:b/>
          <w:color w:val="000000" w:themeColor="text1"/>
          <w:szCs w:val="21"/>
        </w:rPr>
        <w:t>评审小组</w:t>
      </w:r>
      <w:r>
        <w:rPr>
          <w:rFonts w:hint="eastAsia" w:ascii="宋体" w:hAnsi="宋体" w:eastAsia="宋体" w:cs="宋体"/>
          <w:color w:val="000000" w:themeColor="text1"/>
          <w:szCs w:val="21"/>
        </w:rPr>
        <w:t>全体成员签字。对评审结论持有异议的评审小组成员可以书面方式阐述其不同意见和理由。评审小组成员拒绝在评审报告上签字且不陈述其不同意见和理由的，视为同意评审结论。评审小组应当对此作出书面说明并记录在案。</w:t>
      </w:r>
    </w:p>
    <w:p w14:paraId="4AAA70D3">
      <w:pPr>
        <w:spacing w:line="440" w:lineRule="exact"/>
        <w:rPr>
          <w:rFonts w:ascii="宋体" w:hAnsi="宋体" w:eastAsia="宋体" w:cs="宋体"/>
          <w:color w:val="000000" w:themeColor="text1"/>
          <w:sz w:val="24"/>
          <w:szCs w:val="24"/>
        </w:rPr>
      </w:pPr>
      <w:bookmarkStart w:id="146" w:name="_Toc100052405"/>
      <w:bookmarkStart w:id="147" w:name="_Toc73517681"/>
      <w:r>
        <w:rPr>
          <w:rFonts w:hint="eastAsia" w:ascii="宋体" w:hAnsi="宋体" w:eastAsia="宋体" w:cs="宋体"/>
          <w:color w:val="000000" w:themeColor="text1"/>
          <w:sz w:val="24"/>
          <w:szCs w:val="24"/>
        </w:rPr>
        <w:t>34．中选公告</w:t>
      </w:r>
      <w:bookmarkEnd w:id="146"/>
    </w:p>
    <w:p w14:paraId="08E76FA3">
      <w:pPr>
        <w:spacing w:line="440" w:lineRule="exact"/>
        <w:ind w:firstLine="411" w:firstLineChars="196"/>
        <w:jc w:val="left"/>
        <w:rPr>
          <w:rFonts w:ascii="宋体" w:hAnsi="宋体" w:eastAsia="宋体" w:cs="宋体"/>
          <w:color w:val="000000" w:themeColor="text1"/>
          <w:szCs w:val="21"/>
        </w:rPr>
      </w:pPr>
      <w:r>
        <w:rPr>
          <w:rFonts w:hint="eastAsia" w:ascii="宋体" w:hAnsi="宋体" w:eastAsia="宋体" w:cs="宋体"/>
          <w:color w:val="000000" w:themeColor="text1"/>
          <w:szCs w:val="21"/>
        </w:rPr>
        <w:t>34.1为体现“公开、公平、公正”的原则，评审结束后，</w:t>
      </w:r>
      <w:r>
        <w:rPr>
          <w:rFonts w:hint="eastAsia" w:ascii="宋体" w:hAnsi="宋体" w:cs="宋体"/>
          <w:b/>
          <w:color w:val="000000" w:themeColor="text1"/>
          <w:szCs w:val="21"/>
        </w:rPr>
        <w:t>深圳市千里招标代理有限公司</w:t>
      </w:r>
      <w:r>
        <w:rPr>
          <w:rFonts w:hint="eastAsia" w:ascii="宋体" w:hAnsi="宋体" w:eastAsia="宋体" w:cs="宋体"/>
          <w:color w:val="000000" w:themeColor="text1"/>
          <w:szCs w:val="21"/>
        </w:rPr>
        <w:t>将在“深圳</w:t>
      </w:r>
      <w:r>
        <w:rPr>
          <w:rFonts w:hint="eastAsia" w:ascii="宋体" w:hAnsi="宋体" w:cs="宋体"/>
          <w:color w:val="000000" w:themeColor="text1"/>
          <w:szCs w:val="21"/>
        </w:rPr>
        <w:t>政府采购自行采购系统网</w:t>
      </w:r>
      <w:r>
        <w:rPr>
          <w:rFonts w:hint="eastAsia" w:ascii="宋体" w:hAnsi="宋体" w:eastAsia="宋体" w:cs="宋体"/>
          <w:color w:val="000000" w:themeColor="text1"/>
          <w:szCs w:val="21"/>
        </w:rPr>
        <w:t>”（https://zxcg.szggzy.com/home/index.html）上发布中选结果公告并公示。投标人如对评审结果有异议，请于公示期内，以书面向采购中心反映。若在公示期内未提出异议，则视为认同该评审结果。</w:t>
      </w:r>
    </w:p>
    <w:p w14:paraId="6F45382C">
      <w:pPr>
        <w:spacing w:line="440" w:lineRule="exact"/>
        <w:rPr>
          <w:rFonts w:ascii="宋体" w:hAnsi="宋体" w:eastAsia="宋体" w:cs="宋体"/>
          <w:color w:val="000000" w:themeColor="text1"/>
          <w:sz w:val="24"/>
          <w:szCs w:val="24"/>
        </w:rPr>
      </w:pPr>
      <w:bookmarkStart w:id="148" w:name="_Toc100052406"/>
      <w:r>
        <w:rPr>
          <w:rFonts w:hint="eastAsia" w:ascii="宋体" w:hAnsi="宋体" w:eastAsia="宋体" w:cs="宋体"/>
          <w:color w:val="000000" w:themeColor="text1"/>
          <w:sz w:val="24"/>
          <w:szCs w:val="24"/>
        </w:rPr>
        <w:t>35．中选通知书</w:t>
      </w:r>
      <w:bookmarkEnd w:id="148"/>
    </w:p>
    <w:bookmarkEnd w:id="147"/>
    <w:p w14:paraId="5A5BD97A">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35.1中选公告公布以后</w:t>
      </w:r>
      <w:r>
        <w:rPr>
          <w:rFonts w:hint="eastAsia" w:ascii="宋体" w:hAnsi="宋体" w:cs="宋体"/>
          <w:color w:val="000000" w:themeColor="text1"/>
          <w:szCs w:val="21"/>
        </w:rPr>
        <w:t>，</w:t>
      </w:r>
      <w:r>
        <w:rPr>
          <w:rFonts w:hint="eastAsia" w:ascii="宋体" w:hAnsi="宋体" w:eastAsia="宋体" w:cs="宋体"/>
          <w:color w:val="000000" w:themeColor="text1"/>
          <w:szCs w:val="21"/>
        </w:rPr>
        <w:t>公示期内无人质疑投诉</w:t>
      </w:r>
      <w:r>
        <w:rPr>
          <w:rFonts w:hint="eastAsia" w:ascii="宋体" w:hAnsi="宋体" w:cs="宋体"/>
          <w:color w:val="000000" w:themeColor="text1"/>
          <w:szCs w:val="21"/>
        </w:rPr>
        <w:t>，</w:t>
      </w:r>
      <w:r>
        <w:rPr>
          <w:rFonts w:hint="eastAsia" w:ascii="宋体" w:hAnsi="宋体" w:eastAsia="宋体" w:cs="宋体"/>
          <w:color w:val="000000" w:themeColor="text1"/>
          <w:szCs w:val="21"/>
        </w:rPr>
        <w:t>请中标人和采购单位凭单位证明及本人身份证直接到</w:t>
      </w:r>
      <w:r>
        <w:rPr>
          <w:rFonts w:hint="eastAsia" w:ascii="宋体" w:hAnsi="宋体" w:cs="宋体"/>
          <w:b/>
          <w:color w:val="000000" w:themeColor="text1"/>
          <w:szCs w:val="21"/>
        </w:rPr>
        <w:t>深圳市千里招标代理有限公司</w:t>
      </w:r>
      <w:r>
        <w:rPr>
          <w:rFonts w:hint="eastAsia" w:ascii="宋体" w:hAnsi="宋体" w:eastAsia="宋体" w:cs="宋体"/>
          <w:b/>
          <w:color w:val="000000" w:themeColor="text1"/>
          <w:szCs w:val="21"/>
        </w:rPr>
        <w:t>领取《中选通知书》</w:t>
      </w:r>
      <w:r>
        <w:rPr>
          <w:rFonts w:hint="eastAsia" w:ascii="宋体" w:hAnsi="宋体" w:eastAsia="宋体" w:cs="宋体"/>
          <w:color w:val="000000" w:themeColor="text1"/>
          <w:szCs w:val="21"/>
        </w:rPr>
        <w:t>。</w:t>
      </w:r>
    </w:p>
    <w:p w14:paraId="49694001">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35.2中选通知书是合同的重要组成部分。</w:t>
      </w:r>
    </w:p>
    <w:p w14:paraId="7990AEEE">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35.3因质疑投诉或其它原因导致项目结果变更或采购终止的，</w:t>
      </w:r>
      <w:r>
        <w:rPr>
          <w:rFonts w:hint="eastAsia" w:ascii="宋体" w:hAnsi="宋体" w:cs="宋体"/>
          <w:b/>
          <w:color w:val="000000" w:themeColor="text1"/>
          <w:szCs w:val="21"/>
        </w:rPr>
        <w:t>深圳市千里招标代理有限公司</w:t>
      </w:r>
      <w:r>
        <w:rPr>
          <w:rFonts w:hint="eastAsia" w:ascii="宋体" w:hAnsi="宋体" w:eastAsia="宋体" w:cs="宋体"/>
          <w:color w:val="000000" w:themeColor="text1"/>
          <w:szCs w:val="21"/>
        </w:rPr>
        <w:t>有权收回或作废中选通知书。</w:t>
      </w:r>
    </w:p>
    <w:p w14:paraId="7551533B">
      <w:pPr>
        <w:pStyle w:val="9"/>
        <w:rPr>
          <w:rFonts w:ascii="宋体" w:hAnsi="宋体" w:eastAsia="宋体" w:cs="宋体"/>
          <w:color w:val="000000" w:themeColor="text1"/>
        </w:rPr>
      </w:pPr>
    </w:p>
    <w:p w14:paraId="69103E19">
      <w:pPr>
        <w:pStyle w:val="3"/>
        <w:rPr>
          <w:rFonts w:ascii="宋体" w:hAnsi="宋体" w:eastAsia="宋体" w:cs="宋体"/>
          <w:color w:val="000000" w:themeColor="text1"/>
        </w:rPr>
      </w:pPr>
      <w:bookmarkStart w:id="149" w:name="第九章1"/>
      <w:bookmarkEnd w:id="149"/>
      <w:bookmarkStart w:id="150" w:name="_Toc24400"/>
      <w:bookmarkStart w:id="151" w:name="_Toc25733"/>
      <w:bookmarkStart w:id="152" w:name="_Toc24474"/>
      <w:bookmarkStart w:id="153" w:name="_Toc11736"/>
      <w:bookmarkStart w:id="154" w:name="_Toc17412"/>
      <w:bookmarkStart w:id="155" w:name="_Toc101074884"/>
      <w:bookmarkStart w:id="156" w:name="_Toc100052407"/>
      <w:bookmarkStart w:id="157" w:name="_Toc73517678"/>
      <w:r>
        <w:rPr>
          <w:rFonts w:hint="eastAsia" w:ascii="宋体" w:hAnsi="宋体" w:eastAsia="宋体" w:cs="宋体"/>
          <w:color w:val="000000" w:themeColor="text1"/>
        </w:rPr>
        <w:t>第九章 公开采购失败的后续处理</w:t>
      </w:r>
      <w:bookmarkEnd w:id="150"/>
      <w:bookmarkEnd w:id="151"/>
      <w:bookmarkEnd w:id="152"/>
      <w:bookmarkEnd w:id="153"/>
      <w:bookmarkEnd w:id="154"/>
    </w:p>
    <w:p w14:paraId="35CC0C4A">
      <w:pPr>
        <w:spacing w:line="44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36．公开采购失败的处理</w:t>
      </w:r>
    </w:p>
    <w:p w14:paraId="155E0436">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36.1本项目公开采购过程中若由于投标截止后实际递交投标文件的投标人数量不足、经评审小组评审对采购文件作实质投标的投标人不足等原因造成公开采购失败，可由</w:t>
      </w:r>
      <w:r>
        <w:rPr>
          <w:rFonts w:hint="eastAsia" w:ascii="宋体" w:hAnsi="宋体" w:cs="宋体"/>
          <w:b/>
          <w:color w:val="000000" w:themeColor="text1"/>
          <w:szCs w:val="21"/>
        </w:rPr>
        <w:t>深圳市千里招标代理有限公司</w:t>
      </w:r>
      <w:r>
        <w:rPr>
          <w:rFonts w:hint="eastAsia" w:ascii="宋体" w:hAnsi="宋体" w:eastAsia="宋体" w:cs="宋体"/>
          <w:color w:val="000000" w:themeColor="text1"/>
          <w:szCs w:val="21"/>
        </w:rPr>
        <w:t>重新组织采购。</w:t>
      </w:r>
    </w:p>
    <w:p w14:paraId="1CF9338F">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36.2对公开采购失败的项目，评审小组在出具该项目采购失败结论的同时，提出重新采购组织形式的建议，以及进一步完善采购文件的资格、技术、商务要求的修改建议。</w:t>
      </w:r>
    </w:p>
    <w:p w14:paraId="6C3CFC54">
      <w:pPr>
        <w:pStyle w:val="9"/>
        <w:rPr>
          <w:rFonts w:ascii="宋体" w:hAnsi="宋体" w:eastAsia="宋体" w:cs="宋体"/>
          <w:color w:val="000000" w:themeColor="text1"/>
          <w:szCs w:val="21"/>
        </w:rPr>
      </w:pPr>
    </w:p>
    <w:p w14:paraId="0290CFBF">
      <w:pPr>
        <w:pStyle w:val="9"/>
        <w:rPr>
          <w:rFonts w:ascii="宋体" w:hAnsi="宋体" w:eastAsia="宋体" w:cs="宋体"/>
          <w:color w:val="000000" w:themeColor="text1"/>
          <w:szCs w:val="21"/>
        </w:rPr>
      </w:pPr>
    </w:p>
    <w:bookmarkEnd w:id="155"/>
    <w:bookmarkEnd w:id="156"/>
    <w:bookmarkEnd w:id="157"/>
    <w:p w14:paraId="64AE143A">
      <w:pPr>
        <w:pStyle w:val="3"/>
        <w:rPr>
          <w:rFonts w:ascii="宋体" w:hAnsi="宋体" w:eastAsia="宋体" w:cs="宋体"/>
          <w:color w:val="000000" w:themeColor="text1"/>
        </w:rPr>
      </w:pPr>
      <w:bookmarkStart w:id="158" w:name="第十章1"/>
      <w:bookmarkEnd w:id="158"/>
      <w:bookmarkStart w:id="159" w:name="_Toc13677"/>
      <w:bookmarkStart w:id="160" w:name="_Toc27904"/>
      <w:bookmarkStart w:id="161" w:name="_Toc26432"/>
      <w:bookmarkStart w:id="162" w:name="_Toc26814"/>
      <w:bookmarkStart w:id="163" w:name="_Toc21712"/>
      <w:r>
        <w:rPr>
          <w:rFonts w:hint="eastAsia" w:ascii="宋体" w:hAnsi="宋体" w:eastAsia="宋体" w:cs="宋体"/>
          <w:color w:val="000000" w:themeColor="text1"/>
        </w:rPr>
        <w:t>第十章 合同的授予与备案</w:t>
      </w:r>
      <w:bookmarkEnd w:id="159"/>
      <w:bookmarkEnd w:id="160"/>
      <w:bookmarkEnd w:id="161"/>
      <w:bookmarkEnd w:id="162"/>
      <w:bookmarkEnd w:id="163"/>
    </w:p>
    <w:p w14:paraId="1DC379EF">
      <w:pPr>
        <w:spacing w:line="440" w:lineRule="exact"/>
        <w:rPr>
          <w:rFonts w:ascii="宋体" w:hAnsi="宋体" w:eastAsia="宋体" w:cs="宋体"/>
          <w:color w:val="000000" w:themeColor="text1"/>
          <w:sz w:val="24"/>
          <w:szCs w:val="24"/>
        </w:rPr>
      </w:pPr>
      <w:bookmarkStart w:id="164" w:name="_33._合同授予标准"/>
      <w:bookmarkEnd w:id="164"/>
      <w:bookmarkStart w:id="165" w:name="_Toc73517679"/>
      <w:bookmarkStart w:id="166" w:name="_Toc100052408"/>
      <w:r>
        <w:rPr>
          <w:rFonts w:hint="eastAsia" w:ascii="宋体" w:hAnsi="宋体" w:eastAsia="宋体" w:cs="宋体"/>
          <w:color w:val="000000" w:themeColor="text1"/>
          <w:sz w:val="24"/>
          <w:szCs w:val="24"/>
        </w:rPr>
        <w:t>37．合同授予标准</w:t>
      </w:r>
      <w:bookmarkEnd w:id="165"/>
      <w:bookmarkEnd w:id="166"/>
    </w:p>
    <w:p w14:paraId="2F9530E0">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本项目的合同将授予按本采购文件规定评审确定的中标人。</w:t>
      </w:r>
    </w:p>
    <w:p w14:paraId="52653457">
      <w:pPr>
        <w:spacing w:line="440" w:lineRule="exact"/>
        <w:rPr>
          <w:rFonts w:ascii="宋体" w:hAnsi="宋体" w:eastAsia="宋体" w:cs="宋体"/>
          <w:color w:val="000000" w:themeColor="text1"/>
          <w:sz w:val="24"/>
          <w:szCs w:val="24"/>
        </w:rPr>
      </w:pPr>
      <w:bookmarkStart w:id="167" w:name="_Toc100052409"/>
      <w:bookmarkStart w:id="168" w:name="_Toc73517680"/>
      <w:r>
        <w:rPr>
          <w:rFonts w:hint="eastAsia" w:ascii="宋体" w:hAnsi="宋体" w:eastAsia="宋体" w:cs="宋体"/>
          <w:color w:val="000000" w:themeColor="text1"/>
          <w:sz w:val="24"/>
          <w:szCs w:val="24"/>
        </w:rPr>
        <w:t>38．</w:t>
      </w:r>
      <w:bookmarkEnd w:id="167"/>
      <w:bookmarkEnd w:id="168"/>
      <w:r>
        <w:rPr>
          <w:rFonts w:hint="eastAsia" w:ascii="宋体" w:hAnsi="宋体" w:eastAsia="宋体" w:cs="宋体"/>
          <w:color w:val="000000" w:themeColor="text1"/>
          <w:sz w:val="24"/>
          <w:szCs w:val="24"/>
        </w:rPr>
        <w:t>接受和拒绝任何或所有投标的权力</w:t>
      </w:r>
    </w:p>
    <w:p w14:paraId="4C9BDB0A">
      <w:pPr>
        <w:spacing w:line="440" w:lineRule="exact"/>
        <w:ind w:firstLine="413" w:firstLineChars="196"/>
        <w:rPr>
          <w:rFonts w:ascii="宋体" w:hAnsi="宋体" w:eastAsia="宋体" w:cs="宋体"/>
          <w:color w:val="000000" w:themeColor="text1"/>
          <w:szCs w:val="21"/>
        </w:rPr>
      </w:pPr>
      <w:r>
        <w:rPr>
          <w:rFonts w:hint="eastAsia" w:ascii="宋体" w:hAnsi="宋体" w:cs="宋体"/>
          <w:b/>
          <w:color w:val="000000" w:themeColor="text1"/>
          <w:szCs w:val="21"/>
        </w:rPr>
        <w:t>深圳市千里招标代理有限公司</w:t>
      </w:r>
      <w:r>
        <w:rPr>
          <w:rFonts w:hint="eastAsia" w:ascii="宋体" w:hAnsi="宋体" w:eastAsia="宋体" w:cs="宋体"/>
          <w:color w:val="000000" w:themeColor="text1"/>
          <w:szCs w:val="21"/>
        </w:rPr>
        <w:t>和采购人保留在投标之前任何时候接受或拒绝任何投标或所有投标，以及宣布采购无效的权力，对受影响的投标人不承担任何责任，也无义务向受影响的投标投标人解释采取这一行动的理由。</w:t>
      </w:r>
    </w:p>
    <w:p w14:paraId="21AD297A">
      <w:pPr>
        <w:spacing w:line="440" w:lineRule="exact"/>
        <w:rPr>
          <w:rFonts w:ascii="宋体" w:hAnsi="宋体" w:eastAsia="宋体" w:cs="宋体"/>
          <w:color w:val="000000" w:themeColor="text1"/>
          <w:sz w:val="24"/>
          <w:szCs w:val="24"/>
        </w:rPr>
      </w:pPr>
      <w:bookmarkStart w:id="169" w:name="_Toc73517682"/>
      <w:bookmarkStart w:id="170" w:name="_Toc100052410"/>
      <w:r>
        <w:rPr>
          <w:rFonts w:hint="eastAsia" w:ascii="宋体" w:hAnsi="宋体" w:eastAsia="宋体" w:cs="宋体"/>
          <w:color w:val="000000" w:themeColor="text1"/>
          <w:sz w:val="24"/>
          <w:szCs w:val="24"/>
        </w:rPr>
        <w:t>39．合同协议书的签订</w:t>
      </w:r>
      <w:bookmarkEnd w:id="169"/>
      <w:bookmarkEnd w:id="170"/>
    </w:p>
    <w:p w14:paraId="0F665F2D">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39.1中标人将于《中标通知书》发出之日起十个工作日内，按照采购文件（采购文件和投标文件等）内容与采购人签订政府采购合同；合同的实质性内容应当符合采购文件的规定；</w:t>
      </w:r>
    </w:p>
    <w:p w14:paraId="294846DA">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39.3中标人应当按照合同约定履行义务，完成中选项目，不得将中选项目转让（转包）给他人。</w:t>
      </w:r>
    </w:p>
    <w:p w14:paraId="6CBF89F7">
      <w:pPr>
        <w:spacing w:line="44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40.合同的备案</w:t>
      </w:r>
    </w:p>
    <w:p w14:paraId="59BCA302">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采购人与中标人应于合同签订之日起十日内，由采购人或委托中标人将采购合同上传至</w:t>
      </w:r>
      <w:r>
        <w:rPr>
          <w:rFonts w:hint="eastAsia" w:ascii="宋体" w:hAnsi="宋体" w:eastAsia="宋体" w:cs="宋体"/>
          <w:b/>
          <w:color w:val="000000" w:themeColor="text1"/>
          <w:szCs w:val="21"/>
        </w:rPr>
        <w:t>龙华区教育局招标采购管理系统</w:t>
      </w:r>
      <w:r>
        <w:rPr>
          <w:rFonts w:hint="eastAsia" w:ascii="宋体" w:hAnsi="宋体" w:cs="宋体"/>
          <w:b/>
          <w:color w:val="000000" w:themeColor="text1"/>
          <w:szCs w:val="21"/>
        </w:rPr>
        <w:t>或</w:t>
      </w:r>
      <w:r>
        <w:rPr>
          <w:rFonts w:hint="eastAsia" w:ascii="宋体" w:hAnsi="宋体" w:eastAsia="宋体" w:cs="宋体"/>
          <w:color w:val="000000" w:themeColor="text1"/>
          <w:szCs w:val="21"/>
        </w:rPr>
        <w:t>“深圳</w:t>
      </w:r>
      <w:r>
        <w:rPr>
          <w:rFonts w:hint="eastAsia" w:ascii="宋体" w:hAnsi="宋体" w:cs="宋体"/>
          <w:color w:val="000000" w:themeColor="text1"/>
          <w:szCs w:val="21"/>
        </w:rPr>
        <w:t>政府采购自行采购系统网</w:t>
      </w:r>
      <w:r>
        <w:rPr>
          <w:rFonts w:hint="eastAsia" w:ascii="宋体" w:hAnsi="宋体" w:eastAsia="宋体" w:cs="宋体"/>
          <w:color w:val="000000" w:themeColor="text1"/>
          <w:szCs w:val="21"/>
        </w:rPr>
        <w:t>”（https://zxcg.szggzy.com/home/index.html）备案。</w:t>
      </w:r>
    </w:p>
    <w:p w14:paraId="6E86E0DD">
      <w:pPr>
        <w:spacing w:line="440" w:lineRule="exac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41.投标人违法责任</w:t>
      </w:r>
    </w:p>
    <w:p w14:paraId="2A15BA65">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根据有关规定，有下列行为之一的，一至三年内禁止其参与采购人自行采购活动，情节严重的，依法承担赔偿责任；涉嫌犯罪的，依法移送司法机关处理：</w:t>
      </w:r>
    </w:p>
    <w:p w14:paraId="354B9198">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（1）在采购活动中应当回避而未回避的；</w:t>
      </w:r>
    </w:p>
    <w:p w14:paraId="016DB879">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（2）未按本条例规定签订、履行采购合同，造成严重后果的；</w:t>
      </w:r>
    </w:p>
    <w:p w14:paraId="68912165">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（3）隐瞒真实情况，提供虚假资料的；</w:t>
      </w:r>
    </w:p>
    <w:p w14:paraId="2071E8A5">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（4）以非法手段排斥其他投标人参与竞争的；</w:t>
      </w:r>
    </w:p>
    <w:p w14:paraId="6399D5D0">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（5）与其他采购参加人串通投标的；</w:t>
      </w:r>
    </w:p>
    <w:p w14:paraId="2BAAD893">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（6）恶意投诉的；</w:t>
      </w:r>
    </w:p>
    <w:p w14:paraId="2467EB15">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（7）向采购项目相关人行贿或者提供其他不当利益的；</w:t>
      </w:r>
    </w:p>
    <w:p w14:paraId="442ADD87">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（8）阻碍、抗拒龙华区教育局</w:t>
      </w:r>
      <w:r>
        <w:rPr>
          <w:rFonts w:hint="eastAsia" w:ascii="宋体" w:hAnsi="宋体" w:cs="宋体"/>
          <w:color w:val="000000" w:themeColor="text1"/>
          <w:szCs w:val="21"/>
        </w:rPr>
        <w:t>或财政局</w:t>
      </w:r>
      <w:r>
        <w:rPr>
          <w:rFonts w:hint="eastAsia" w:ascii="宋体" w:hAnsi="宋体" w:eastAsia="宋体" w:cs="宋体"/>
          <w:color w:val="000000" w:themeColor="text1"/>
          <w:szCs w:val="21"/>
        </w:rPr>
        <w:t>监督检查的；</w:t>
      </w:r>
    </w:p>
    <w:p w14:paraId="59C98B6A">
      <w:pPr>
        <w:spacing w:line="440" w:lineRule="exact"/>
        <w:ind w:firstLine="411" w:firstLineChars="196"/>
        <w:rPr>
          <w:rFonts w:ascii="宋体" w:hAnsi="宋体" w:eastAsia="宋体" w:cs="宋体"/>
          <w:color w:val="000000" w:themeColor="text1"/>
          <w:szCs w:val="21"/>
        </w:rPr>
      </w:pPr>
      <w:r>
        <w:rPr>
          <w:rFonts w:hint="eastAsia" w:ascii="宋体" w:hAnsi="宋体" w:eastAsia="宋体" w:cs="宋体"/>
          <w:color w:val="000000" w:themeColor="text1"/>
          <w:szCs w:val="21"/>
        </w:rPr>
        <w:t>（9）其他违反法律、法规、规章及本条例规定的行为。</w:t>
      </w:r>
    </w:p>
    <w:p w14:paraId="7384F7B8">
      <w:pPr>
        <w:pStyle w:val="3"/>
        <w:spacing w:beforeLines="50" w:afterLines="50"/>
      </w:pPr>
      <w:r>
        <w:rPr>
          <w:rFonts w:hint="eastAsia" w:ascii="宋体" w:hAnsi="宋体" w:eastAsia="宋体" w:cs="宋体"/>
          <w:color w:val="000000" w:themeColor="text1"/>
        </w:rPr>
        <w:t>第十</w:t>
      </w:r>
      <w:r>
        <w:rPr>
          <w:rFonts w:hint="eastAsia" w:ascii="宋体" w:hAnsi="宋体" w:cs="宋体"/>
          <w:color w:val="000000" w:themeColor="text1"/>
        </w:rPr>
        <w:t>一</w:t>
      </w:r>
      <w:r>
        <w:rPr>
          <w:rFonts w:hint="eastAsia" w:ascii="宋体" w:hAnsi="宋体" w:eastAsia="宋体" w:cs="宋体"/>
          <w:color w:val="000000" w:themeColor="text1"/>
        </w:rPr>
        <w:t>章</w:t>
      </w:r>
      <w:r>
        <w:rPr>
          <w:rFonts w:hint="eastAsia"/>
        </w:rPr>
        <w:t>质疑处理</w:t>
      </w:r>
    </w:p>
    <w:p w14:paraId="65A2E726">
      <w:pPr>
        <w:spacing w:line="360" w:lineRule="auto"/>
        <w:rPr>
          <w:rFonts w:asciiTheme="minorEastAsia" w:hAnsiTheme="minorEastAsia" w:cstheme="minorEastAsia"/>
          <w:szCs w:val="21"/>
        </w:rPr>
      </w:pPr>
      <w:r>
        <w:rPr>
          <w:rFonts w:hint="eastAsia" w:asciiTheme="minorEastAsia" w:hAnsiTheme="minorEastAsia" w:cstheme="minorEastAsia"/>
          <w:szCs w:val="21"/>
        </w:rPr>
        <w:t>42.质疑提出与答复</w:t>
      </w:r>
    </w:p>
    <w:p w14:paraId="6836E4AF">
      <w:pPr>
        <w:spacing w:line="360" w:lineRule="auto"/>
        <w:rPr>
          <w:rFonts w:asciiTheme="minorEastAsia" w:hAnsiTheme="minorEastAsia" w:cstheme="minorEastAsia"/>
          <w:szCs w:val="21"/>
        </w:rPr>
      </w:pPr>
      <w:r>
        <w:rPr>
          <w:rFonts w:hint="eastAsia" w:asciiTheme="minorEastAsia" w:hAnsiTheme="minorEastAsia" w:cstheme="minorEastAsia"/>
          <w:szCs w:val="21"/>
        </w:rPr>
        <w:t>42.1提出质疑</w:t>
      </w:r>
    </w:p>
    <w:p w14:paraId="67312063">
      <w:pPr>
        <w:spacing w:line="360" w:lineRule="auto"/>
        <w:rPr>
          <w:rFonts w:asciiTheme="minorEastAsia" w:hAnsiTheme="minorEastAsia" w:cstheme="minorEastAsia"/>
          <w:szCs w:val="21"/>
        </w:rPr>
      </w:pPr>
      <w:r>
        <w:rPr>
          <w:rFonts w:hint="eastAsia" w:asciiTheme="minorEastAsia" w:hAnsiTheme="minorEastAsia" w:cstheme="minorEastAsia"/>
          <w:szCs w:val="21"/>
        </w:rPr>
        <w:t xml:space="preserve">    参与政府采购活动的供应商认为自己的权益在采购活动中受到损害的，应当自知道或者应当知道其权益受到损害之日起七个工作日内向采购人、社会代理机构以书面形式提出质疑。</w:t>
      </w:r>
    </w:p>
    <w:p w14:paraId="513D5728">
      <w:pPr>
        <w:spacing w:line="360" w:lineRule="auto"/>
        <w:rPr>
          <w:rFonts w:asciiTheme="minorEastAsia" w:hAnsiTheme="minorEastAsia" w:cstheme="minorEastAsia"/>
          <w:szCs w:val="21"/>
        </w:rPr>
      </w:pPr>
      <w:r>
        <w:rPr>
          <w:rFonts w:hint="eastAsia" w:asciiTheme="minorEastAsia" w:hAnsiTheme="minorEastAsia" w:cstheme="minorEastAsia"/>
          <w:szCs w:val="21"/>
        </w:rPr>
        <w:t>42.2法律依据</w:t>
      </w:r>
    </w:p>
    <w:p w14:paraId="09753CDA">
      <w:pPr>
        <w:spacing w:line="360" w:lineRule="auto"/>
        <w:rPr>
          <w:rFonts w:asciiTheme="minorEastAsia" w:hAnsiTheme="minorEastAsia" w:cstheme="minorEastAsia"/>
          <w:szCs w:val="21"/>
        </w:rPr>
      </w:pPr>
      <w:r>
        <w:rPr>
          <w:rFonts w:hint="eastAsia" w:asciiTheme="minorEastAsia" w:hAnsiTheme="minorEastAsia" w:cstheme="minorEastAsia"/>
          <w:szCs w:val="21"/>
        </w:rPr>
        <w:t xml:space="preserve">    《中华人民共和国政府采购法》、《中华人民共和国政府采购法实施条例》、《深圳经济特区政府采购条例》、《深圳经济特区政府采购条例实施细则》、《政府采购质疑和投诉办法》（财政部令第94号）和其他有关法律法规规定。</w:t>
      </w:r>
    </w:p>
    <w:p w14:paraId="442D2D83">
      <w:pPr>
        <w:spacing w:line="360" w:lineRule="auto"/>
        <w:rPr>
          <w:rFonts w:asciiTheme="minorEastAsia" w:hAnsiTheme="minorEastAsia" w:cstheme="minorEastAsia"/>
          <w:szCs w:val="21"/>
        </w:rPr>
      </w:pPr>
      <w:r>
        <w:rPr>
          <w:rFonts w:hint="eastAsia" w:asciiTheme="minorEastAsia" w:hAnsiTheme="minorEastAsia" w:cstheme="minorEastAsia"/>
          <w:szCs w:val="21"/>
        </w:rPr>
        <w:t>42.3质疑条件</w:t>
      </w:r>
    </w:p>
    <w:p w14:paraId="3E5C2D3A">
      <w:pPr>
        <w:spacing w:line="360" w:lineRule="auto"/>
        <w:rPr>
          <w:rFonts w:asciiTheme="minorEastAsia" w:hAnsiTheme="minorEastAsia" w:cstheme="minorEastAsia"/>
          <w:szCs w:val="21"/>
        </w:rPr>
      </w:pPr>
      <w:r>
        <w:rPr>
          <w:rFonts w:hint="eastAsia" w:asciiTheme="minorEastAsia" w:hAnsiTheme="minorEastAsia" w:cstheme="minorEastAsia"/>
          <w:szCs w:val="21"/>
        </w:rPr>
        <w:t>42.3.1提出质疑的供应商应当是参与所质疑项目采购活动的供应商；</w:t>
      </w:r>
      <w:bookmarkStart w:id="171" w:name="_Hlk75374941"/>
      <w:r>
        <w:rPr>
          <w:rFonts w:hint="eastAsia" w:asciiTheme="minorEastAsia" w:hAnsiTheme="minorEastAsia" w:cstheme="minorEastAsia"/>
          <w:szCs w:val="21"/>
        </w:rPr>
        <w:t>以联合体形式参与的，质疑应当由组成联合体的所有成员共同提出</w:t>
      </w:r>
      <w:bookmarkEnd w:id="171"/>
      <w:r>
        <w:rPr>
          <w:rFonts w:hint="eastAsia" w:asciiTheme="minorEastAsia" w:hAnsiTheme="minorEastAsia" w:cstheme="minorEastAsia"/>
          <w:szCs w:val="21"/>
        </w:rPr>
        <w:t>；</w:t>
      </w:r>
    </w:p>
    <w:p w14:paraId="233CE349">
      <w:pPr>
        <w:spacing w:line="360" w:lineRule="auto"/>
        <w:rPr>
          <w:rFonts w:asciiTheme="minorEastAsia" w:hAnsiTheme="minorEastAsia" w:cstheme="minorEastAsia"/>
          <w:szCs w:val="21"/>
        </w:rPr>
      </w:pPr>
      <w:r>
        <w:rPr>
          <w:rFonts w:hint="eastAsia" w:asciiTheme="minorEastAsia" w:hAnsiTheme="minorEastAsia" w:cstheme="minorEastAsia"/>
          <w:szCs w:val="21"/>
        </w:rPr>
        <w:t>42.3.2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48538667">
      <w:pPr>
        <w:spacing w:line="360" w:lineRule="auto"/>
        <w:ind w:firstLine="420"/>
        <w:rPr>
          <w:rFonts w:asciiTheme="minorEastAsia" w:hAnsiTheme="minorEastAsia" w:cstheme="minorEastAsia"/>
          <w:szCs w:val="21"/>
        </w:rPr>
      </w:pPr>
      <w:r>
        <w:rPr>
          <w:rFonts w:hint="eastAsia" w:asciiTheme="minorEastAsia" w:hAnsiTheme="minorEastAsia" w:cstheme="minorEastAsia"/>
          <w:szCs w:val="21"/>
        </w:rPr>
        <w:t xml:space="preserve">42.3.3应提交书面质疑函，质疑函应当包括以下内容： </w:t>
      </w:r>
    </w:p>
    <w:p w14:paraId="4BE45B2D">
      <w:pPr>
        <w:spacing w:line="360" w:lineRule="auto"/>
        <w:ind w:firstLine="420"/>
        <w:rPr>
          <w:rFonts w:asciiTheme="minorEastAsia" w:hAnsiTheme="minorEastAsia" w:cstheme="minorEastAsia"/>
          <w:szCs w:val="21"/>
        </w:rPr>
      </w:pPr>
      <w:r>
        <w:rPr>
          <w:rFonts w:hint="eastAsia" w:asciiTheme="minorEastAsia" w:hAnsiTheme="minorEastAsia" w:cstheme="minorEastAsia"/>
          <w:szCs w:val="21"/>
        </w:rPr>
        <w:t>（1）供应商的名称（或者姓名）、地址、邮编、邮箱、联系人及联系电话；</w:t>
      </w:r>
    </w:p>
    <w:p w14:paraId="4D65957F">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（2）质疑项目的名称、编号；</w:t>
      </w:r>
    </w:p>
    <w:p w14:paraId="54B75E92">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（3）具体、明确的质疑对象、质疑事项和质疑请求；</w:t>
      </w:r>
    </w:p>
    <w:p w14:paraId="41C9FEAB">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（4）因质疑事项而受损害的权益；</w:t>
      </w:r>
    </w:p>
    <w:p w14:paraId="70BBF66C">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（5）事实依据；</w:t>
      </w:r>
    </w:p>
    <w:p w14:paraId="17AFAD6B">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（6）必要的法律依据；</w:t>
      </w:r>
    </w:p>
    <w:p w14:paraId="5D0648BD">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（7）提出质疑的日期。</w:t>
      </w:r>
    </w:p>
    <w:p w14:paraId="44742860">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供应商为自然人的，应当由本人签字；供应商为法人或者其他组织的，应当由法定代表人（负责人），或者其授权代理人签字或者盖章，并加盖公章。</w:t>
      </w:r>
    </w:p>
    <w:p w14:paraId="7661D436">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42.4提交材料</w:t>
      </w:r>
    </w:p>
    <w:p w14:paraId="5480C8DA">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4CAADC84">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0DE7E23">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42.5收文地点</w:t>
      </w:r>
    </w:p>
    <w:p w14:paraId="3654E297">
      <w:pPr>
        <w:spacing w:line="360" w:lineRule="auto"/>
        <w:ind w:firstLine="422" w:firstLineChars="200"/>
        <w:rPr>
          <w:rFonts w:asciiTheme="minorEastAsia" w:hAnsiTheme="minorEastAsia" w:cstheme="minorEastAsia"/>
          <w:b/>
          <w:bCs/>
          <w:szCs w:val="21"/>
        </w:rPr>
      </w:pPr>
      <w:r>
        <w:rPr>
          <w:rFonts w:hint="eastAsia" w:asciiTheme="minorEastAsia" w:hAnsiTheme="minorEastAsia" w:cstheme="minorEastAsia"/>
          <w:b/>
          <w:bCs/>
          <w:szCs w:val="21"/>
        </w:rPr>
        <w:t>地址：深圳市千里招标代理有限公司（地址：深圳市龙华区龙华街道清华社区和平路21号振华时代广场8层802）。</w:t>
      </w:r>
    </w:p>
    <w:p w14:paraId="1B7409D5">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42.6收文办理程序</w:t>
      </w:r>
    </w:p>
    <w:p w14:paraId="42F97504">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42.6.1供应商提交的质疑符合受理条件的，社会代理机构自收到质疑材料之日起即为受理，应当向供应商出具质疑函收文回执并可以要求其递交质疑的法定代表人（负责人）或者授权代理人签署质疑文书送达地址确认书。</w:t>
      </w:r>
    </w:p>
    <w:p w14:paraId="7B6FF323">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42.6.2供应商提交的质疑材料不符合质疑条件的，视情况处理：</w:t>
      </w:r>
    </w:p>
    <w:p w14:paraId="324615E3">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供应商提交的质疑材料不全或者未按要求签字或者盖章的，社会代理机构应当一次性告知供应商需补正的内容和补正期限。</w:t>
      </w:r>
    </w:p>
    <w:p w14:paraId="4EE72EE6">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供应商提交的质疑存在下列情形之一的，不予受理：</w:t>
      </w:r>
    </w:p>
    <w:p w14:paraId="0556EB3C">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（1）质疑主体不满足要求的；</w:t>
      </w:r>
    </w:p>
    <w:p w14:paraId="0F66727F">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（2）供应商自身权益未受到损害的；</w:t>
      </w:r>
    </w:p>
    <w:p w14:paraId="3D9EC407">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（3）供应商未在法定质疑期限内提出质疑的；</w:t>
      </w:r>
    </w:p>
    <w:p w14:paraId="301F63C1">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（4）质疑材料不全或者未按要求签字或者盖章的情况下，要求补正后，逾期未补正或者补正后仍不符合规定的；</w:t>
      </w:r>
    </w:p>
    <w:p w14:paraId="4D316C6C">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（5）其他不符合受理条件情形的。</w:t>
      </w:r>
    </w:p>
    <w:p w14:paraId="62ED10CA">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质疑事项不予受理的，社会代理机构应当向供应商出具不符合质疑条件告知书。</w:t>
      </w:r>
    </w:p>
    <w:p w14:paraId="3DEAC859">
      <w:pPr>
        <w:spacing w:line="360" w:lineRule="auto"/>
        <w:rPr>
          <w:rFonts w:asciiTheme="minorEastAsia" w:hAnsiTheme="minorEastAsia" w:cstheme="minorEastAsia"/>
          <w:szCs w:val="21"/>
        </w:rPr>
      </w:pPr>
      <w:r>
        <w:rPr>
          <w:rFonts w:hint="eastAsia" w:asciiTheme="minorEastAsia" w:hAnsiTheme="minorEastAsia" w:cstheme="minorEastAsia"/>
          <w:szCs w:val="21"/>
        </w:rPr>
        <w:t>42.7质疑答复时限</w:t>
      </w:r>
    </w:p>
    <w:p w14:paraId="721C9EA3">
      <w:pPr>
        <w:spacing w:line="360" w:lineRule="auto"/>
        <w:rPr>
          <w:rFonts w:asciiTheme="minorEastAsia" w:hAnsiTheme="minorEastAsia" w:cstheme="minorEastAsia"/>
          <w:szCs w:val="21"/>
        </w:rPr>
      </w:pPr>
      <w:r>
        <w:rPr>
          <w:rFonts w:hint="eastAsia" w:asciiTheme="minorEastAsia" w:hAnsiTheme="minorEastAsia" w:cstheme="minorEastAsia"/>
          <w:szCs w:val="21"/>
        </w:rPr>
        <w:t xml:space="preserve">    自收文之日起七个工作日内。</w:t>
      </w:r>
    </w:p>
    <w:p w14:paraId="25F14761">
      <w:pPr>
        <w:spacing w:line="360" w:lineRule="auto"/>
        <w:rPr>
          <w:rFonts w:asciiTheme="minorEastAsia" w:hAnsiTheme="minorEastAsia" w:cstheme="minorEastAsia"/>
          <w:szCs w:val="21"/>
        </w:rPr>
      </w:pPr>
      <w:r>
        <w:rPr>
          <w:rFonts w:hint="eastAsia" w:asciiTheme="minorEastAsia" w:hAnsiTheme="minorEastAsia" w:cstheme="minorEastAsia"/>
          <w:szCs w:val="21"/>
        </w:rPr>
        <w:t>42.8投诉</w:t>
      </w:r>
    </w:p>
    <w:p w14:paraId="1737B823">
      <w:pPr>
        <w:spacing w:line="360" w:lineRule="auto"/>
        <w:rPr>
          <w:rFonts w:asciiTheme="minorEastAsia" w:hAnsiTheme="minorEastAsia" w:cstheme="minorEastAsia"/>
          <w:szCs w:val="21"/>
        </w:rPr>
      </w:pPr>
      <w:r>
        <w:rPr>
          <w:rFonts w:hint="eastAsia" w:asciiTheme="minorEastAsia" w:hAnsiTheme="minorEastAsia" w:cstheme="minorEastAsia"/>
          <w:szCs w:val="21"/>
        </w:rPr>
        <w:t xml:space="preserve">    对质疑答复不满意或者未在规定时间内答复的，提出质疑的供应商可以在答复期满后15个工作日内向本项目预算主管单位投诉。</w:t>
      </w:r>
    </w:p>
    <w:p w14:paraId="12821A7A">
      <w:pPr>
        <w:spacing w:line="360" w:lineRule="auto"/>
        <w:rPr>
          <w:rFonts w:asciiTheme="minorEastAsia" w:hAnsiTheme="minorEastAsia" w:cstheme="minorEastAsia"/>
          <w:szCs w:val="21"/>
        </w:rPr>
      </w:pPr>
      <w:r>
        <w:rPr>
          <w:rFonts w:hint="eastAsia" w:asciiTheme="minorEastAsia" w:hAnsiTheme="minorEastAsia" w:cstheme="minorEastAsia"/>
          <w:szCs w:val="21"/>
        </w:rPr>
        <w:t>43. 质疑后续处理</w:t>
      </w:r>
    </w:p>
    <w:p w14:paraId="5DA49A0D">
      <w:pPr>
        <w:spacing w:line="360" w:lineRule="auto"/>
        <w:rPr>
          <w:rFonts w:asciiTheme="minorEastAsia" w:hAnsiTheme="minorEastAsia" w:cstheme="minorEastAsia"/>
          <w:szCs w:val="21"/>
        </w:rPr>
      </w:pPr>
      <w:r>
        <w:rPr>
          <w:rFonts w:hint="eastAsia" w:asciiTheme="minorEastAsia" w:hAnsiTheme="minorEastAsia" w:cstheme="minorEastAsia"/>
          <w:szCs w:val="21"/>
        </w:rPr>
        <w:t>43.1供应商质疑不成立，或者成立但未对中标、成交结果构成影响的，继续开展采购活动。</w:t>
      </w:r>
    </w:p>
    <w:p w14:paraId="4497968E">
      <w:pPr>
        <w:spacing w:line="360" w:lineRule="auto"/>
        <w:rPr>
          <w:rFonts w:asciiTheme="minorEastAsia" w:hAnsiTheme="minorEastAsia" w:cstheme="minorEastAsia"/>
          <w:szCs w:val="21"/>
        </w:rPr>
      </w:pPr>
      <w:r>
        <w:rPr>
          <w:rFonts w:hint="eastAsia" w:asciiTheme="minorEastAsia" w:hAnsiTheme="minorEastAsia" w:cstheme="minorEastAsia"/>
          <w:szCs w:val="21"/>
        </w:rPr>
        <w:t>43.2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6F5A5C37">
      <w:pPr>
        <w:rPr>
          <w:rFonts w:ascii="宋体" w:hAnsi="宋体" w:eastAsia="黑体" w:cs="Times New Roman"/>
          <w:b/>
          <w:bCs/>
          <w:color w:val="0000FF"/>
          <w:kern w:val="44"/>
          <w:sz w:val="36"/>
          <w:szCs w:val="44"/>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417" w:bottom="1440" w:left="1417"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E68C7">
    <w:pPr>
      <w:spacing w:line="176" w:lineRule="auto"/>
      <w:ind w:left="4143"/>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sdtPr>
    <w:sdtContent>
      <w:p w14:paraId="5623FDB4">
        <w:pPr>
          <w:pStyle w:val="11"/>
          <w:jc w:val="center"/>
        </w:pPr>
        <w:r>
          <w:fldChar w:fldCharType="begin"/>
        </w:r>
        <w:r>
          <w:instrText xml:space="preserve"> PAGE   \* MERGEFORMAT </w:instrText>
        </w:r>
        <w:r>
          <w:fldChar w:fldCharType="separate"/>
        </w:r>
        <w:r>
          <w:rPr>
            <w:lang w:val="zh-CN"/>
          </w:rPr>
          <w:t>64</w:t>
        </w:r>
        <w:r>
          <w:rPr>
            <w:lang w:val="zh-CN"/>
          </w:rPr>
          <w:fldChar w:fldCharType="end"/>
        </w:r>
      </w:p>
    </w:sdtContent>
  </w:sdt>
  <w:p w14:paraId="77DF8674">
    <w:pPr>
      <w:pStyle w:val="11"/>
      <w:spacing w:after="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5610D">
    <w:pPr>
      <w:pStyle w:val="11"/>
      <w:spacing w:after="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F4697">
    <w:pPr>
      <w:pStyle w:val="11"/>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E37B6">
    <w:pPr>
      <w:pStyle w:val="9"/>
      <w:spacing w:line="46" w:lineRule="auto"/>
      <w:rPr>
        <w:sz w:val="2"/>
      </w:rPr>
    </w:pPr>
    <w:r>
      <w:pict>
        <v:shape id="_x0000_s4097" o:spid="_x0000_s4097" style="position:absolute;left:0pt;margin-left:90pt;margin-top:53.85pt;height:0.75pt;width:415.3pt;mso-position-horizontal-relative:page;mso-position-vertical-relative:page;z-index:251659264;mso-width-relative:page;mso-height-relative:page;" fillcolor="#000000" filled="t" stroked="f" coordsize="8305,15" o:allowincell="f" path="m0,0l8305,0,8305,14,0,14,0,0xe">
          <v:path/>
          <v:fill on="t" focussize="0,0"/>
          <v:stroke on="f"/>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29C4F">
    <w:pPr>
      <w:pStyle w:val="12"/>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7CAF2">
    <w:pPr>
      <w:pStyle w:val="12"/>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52208">
    <w:pPr>
      <w:pStyle w:val="12"/>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58C2E"/>
    <w:multiLevelType w:val="singleLevel"/>
    <w:tmpl w:val="B9358C2E"/>
    <w:lvl w:ilvl="0" w:tentative="0">
      <w:start w:val="2"/>
      <w:numFmt w:val="decimal"/>
      <w:suff w:val="nothing"/>
      <w:lvlText w:val="%1、"/>
      <w:lvlJc w:val="left"/>
    </w:lvl>
  </w:abstractNum>
  <w:abstractNum w:abstractNumId="1">
    <w:nsid w:val="40AE3FBC"/>
    <w:multiLevelType w:val="singleLevel"/>
    <w:tmpl w:val="40AE3FBC"/>
    <w:lvl w:ilvl="0" w:tentative="0">
      <w:start w:val="10"/>
      <w:numFmt w:val="chineseCounting"/>
      <w:suff w:val="nothing"/>
      <w:lvlText w:val="%1、"/>
      <w:lvlJc w:val="left"/>
      <w:rPr>
        <w:rFonts w:hint="eastAsia"/>
      </w:rPr>
    </w:lvl>
  </w:abstractNum>
  <w:abstractNum w:abstractNumId="2">
    <w:nsid w:val="56327C81"/>
    <w:multiLevelType w:val="singleLevel"/>
    <w:tmpl w:val="56327C81"/>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NhYTE5YjQ2ZjQxZjc3OTcyODE5OWJjOTFmZWI0OTUifQ=="/>
  </w:docVars>
  <w:rsids>
    <w:rsidRoot w:val="002B296E"/>
    <w:rsid w:val="00005740"/>
    <w:rsid w:val="00005B4D"/>
    <w:rsid w:val="0000723B"/>
    <w:rsid w:val="000102B3"/>
    <w:rsid w:val="00012263"/>
    <w:rsid w:val="00012DCA"/>
    <w:rsid w:val="00015451"/>
    <w:rsid w:val="00015C20"/>
    <w:rsid w:val="000165A0"/>
    <w:rsid w:val="00017ECC"/>
    <w:rsid w:val="000227FD"/>
    <w:rsid w:val="00024DCF"/>
    <w:rsid w:val="00027E40"/>
    <w:rsid w:val="00030B9F"/>
    <w:rsid w:val="00033591"/>
    <w:rsid w:val="00035243"/>
    <w:rsid w:val="00036C4D"/>
    <w:rsid w:val="00036CC4"/>
    <w:rsid w:val="0004487D"/>
    <w:rsid w:val="0004655D"/>
    <w:rsid w:val="00046AE3"/>
    <w:rsid w:val="00047161"/>
    <w:rsid w:val="00047F90"/>
    <w:rsid w:val="0005162F"/>
    <w:rsid w:val="00051863"/>
    <w:rsid w:val="000520B1"/>
    <w:rsid w:val="00055C90"/>
    <w:rsid w:val="000579F6"/>
    <w:rsid w:val="00057A8B"/>
    <w:rsid w:val="000722BF"/>
    <w:rsid w:val="00073BE1"/>
    <w:rsid w:val="000762AC"/>
    <w:rsid w:val="00082568"/>
    <w:rsid w:val="00083BC2"/>
    <w:rsid w:val="0009130D"/>
    <w:rsid w:val="00094FCC"/>
    <w:rsid w:val="000A08E3"/>
    <w:rsid w:val="000A6E6A"/>
    <w:rsid w:val="000A7A9D"/>
    <w:rsid w:val="000B3AC3"/>
    <w:rsid w:val="000B4D4A"/>
    <w:rsid w:val="000B587C"/>
    <w:rsid w:val="000B7A0E"/>
    <w:rsid w:val="000C0E1A"/>
    <w:rsid w:val="000C2BCB"/>
    <w:rsid w:val="000C4236"/>
    <w:rsid w:val="000C64E7"/>
    <w:rsid w:val="000C689A"/>
    <w:rsid w:val="000C7808"/>
    <w:rsid w:val="000D123C"/>
    <w:rsid w:val="000D5B9F"/>
    <w:rsid w:val="000E0D11"/>
    <w:rsid w:val="000E23D7"/>
    <w:rsid w:val="000E7DAA"/>
    <w:rsid w:val="000F1063"/>
    <w:rsid w:val="000F1328"/>
    <w:rsid w:val="000F2DF3"/>
    <w:rsid w:val="00102CAD"/>
    <w:rsid w:val="001031B0"/>
    <w:rsid w:val="00105092"/>
    <w:rsid w:val="0010582A"/>
    <w:rsid w:val="001075AD"/>
    <w:rsid w:val="00110CBD"/>
    <w:rsid w:val="00114D7C"/>
    <w:rsid w:val="00122477"/>
    <w:rsid w:val="001232EC"/>
    <w:rsid w:val="00123E98"/>
    <w:rsid w:val="00123EB7"/>
    <w:rsid w:val="00125B86"/>
    <w:rsid w:val="00125EA7"/>
    <w:rsid w:val="00131454"/>
    <w:rsid w:val="0013358C"/>
    <w:rsid w:val="00133F32"/>
    <w:rsid w:val="00134804"/>
    <w:rsid w:val="00135452"/>
    <w:rsid w:val="00135D16"/>
    <w:rsid w:val="001423E8"/>
    <w:rsid w:val="0014403A"/>
    <w:rsid w:val="00145A2D"/>
    <w:rsid w:val="00147326"/>
    <w:rsid w:val="001477E0"/>
    <w:rsid w:val="001523C7"/>
    <w:rsid w:val="00152E85"/>
    <w:rsid w:val="001559D5"/>
    <w:rsid w:val="00157D5E"/>
    <w:rsid w:val="00160312"/>
    <w:rsid w:val="001604FE"/>
    <w:rsid w:val="00164113"/>
    <w:rsid w:val="00164DF0"/>
    <w:rsid w:val="0016625E"/>
    <w:rsid w:val="00174F2C"/>
    <w:rsid w:val="001776D1"/>
    <w:rsid w:val="00177B29"/>
    <w:rsid w:val="00183B03"/>
    <w:rsid w:val="00184F4C"/>
    <w:rsid w:val="00186AD1"/>
    <w:rsid w:val="00190D4E"/>
    <w:rsid w:val="00192AD1"/>
    <w:rsid w:val="00196ADD"/>
    <w:rsid w:val="001A0653"/>
    <w:rsid w:val="001A62A4"/>
    <w:rsid w:val="001B150F"/>
    <w:rsid w:val="001B3DCD"/>
    <w:rsid w:val="001B77F3"/>
    <w:rsid w:val="001C1026"/>
    <w:rsid w:val="001C146D"/>
    <w:rsid w:val="001C164F"/>
    <w:rsid w:val="001C1957"/>
    <w:rsid w:val="001C3631"/>
    <w:rsid w:val="001D0EB9"/>
    <w:rsid w:val="001D1A0E"/>
    <w:rsid w:val="001D4E88"/>
    <w:rsid w:val="001D5427"/>
    <w:rsid w:val="001D6F99"/>
    <w:rsid w:val="001E7D92"/>
    <w:rsid w:val="001F2FF4"/>
    <w:rsid w:val="001F4DAC"/>
    <w:rsid w:val="0020017A"/>
    <w:rsid w:val="0020780A"/>
    <w:rsid w:val="00210364"/>
    <w:rsid w:val="00210E92"/>
    <w:rsid w:val="0021479B"/>
    <w:rsid w:val="00215571"/>
    <w:rsid w:val="00225BA9"/>
    <w:rsid w:val="00231E55"/>
    <w:rsid w:val="00234B58"/>
    <w:rsid w:val="00234C21"/>
    <w:rsid w:val="0023517A"/>
    <w:rsid w:val="002360AF"/>
    <w:rsid w:val="002373AF"/>
    <w:rsid w:val="0024137C"/>
    <w:rsid w:val="002425D6"/>
    <w:rsid w:val="002428AB"/>
    <w:rsid w:val="00244C00"/>
    <w:rsid w:val="00245B43"/>
    <w:rsid w:val="00250418"/>
    <w:rsid w:val="002505A6"/>
    <w:rsid w:val="002549D4"/>
    <w:rsid w:val="0026325C"/>
    <w:rsid w:val="0026418F"/>
    <w:rsid w:val="0026450A"/>
    <w:rsid w:val="002709A8"/>
    <w:rsid w:val="00270C27"/>
    <w:rsid w:val="00271D87"/>
    <w:rsid w:val="00272EB2"/>
    <w:rsid w:val="002746A1"/>
    <w:rsid w:val="0027685D"/>
    <w:rsid w:val="00280C2F"/>
    <w:rsid w:val="002823CE"/>
    <w:rsid w:val="002834A5"/>
    <w:rsid w:val="002854A4"/>
    <w:rsid w:val="00285DE2"/>
    <w:rsid w:val="00290910"/>
    <w:rsid w:val="00293B10"/>
    <w:rsid w:val="002966B6"/>
    <w:rsid w:val="0029795C"/>
    <w:rsid w:val="002A0ED3"/>
    <w:rsid w:val="002A29E5"/>
    <w:rsid w:val="002A584C"/>
    <w:rsid w:val="002A758C"/>
    <w:rsid w:val="002B296E"/>
    <w:rsid w:val="002B5C22"/>
    <w:rsid w:val="002B6A5A"/>
    <w:rsid w:val="002C3DA7"/>
    <w:rsid w:val="002C3F0A"/>
    <w:rsid w:val="002C500F"/>
    <w:rsid w:val="002C6B4A"/>
    <w:rsid w:val="002D2996"/>
    <w:rsid w:val="002D2F16"/>
    <w:rsid w:val="002D36C4"/>
    <w:rsid w:val="002D5EB6"/>
    <w:rsid w:val="002D63FF"/>
    <w:rsid w:val="002D7302"/>
    <w:rsid w:val="002E0BE7"/>
    <w:rsid w:val="002E1005"/>
    <w:rsid w:val="002E4C9D"/>
    <w:rsid w:val="002E5DA1"/>
    <w:rsid w:val="002E63F0"/>
    <w:rsid w:val="002E6F35"/>
    <w:rsid w:val="002F006C"/>
    <w:rsid w:val="002F019C"/>
    <w:rsid w:val="002F403D"/>
    <w:rsid w:val="002F4FC9"/>
    <w:rsid w:val="002F54BE"/>
    <w:rsid w:val="00305131"/>
    <w:rsid w:val="00305CE7"/>
    <w:rsid w:val="00305DA0"/>
    <w:rsid w:val="003075D2"/>
    <w:rsid w:val="003103D1"/>
    <w:rsid w:val="00311E94"/>
    <w:rsid w:val="00315035"/>
    <w:rsid w:val="00321622"/>
    <w:rsid w:val="0032311B"/>
    <w:rsid w:val="00323813"/>
    <w:rsid w:val="00324CB2"/>
    <w:rsid w:val="00326B43"/>
    <w:rsid w:val="003277CD"/>
    <w:rsid w:val="0033310F"/>
    <w:rsid w:val="0033356C"/>
    <w:rsid w:val="00335A76"/>
    <w:rsid w:val="003402FF"/>
    <w:rsid w:val="00341AAD"/>
    <w:rsid w:val="00345849"/>
    <w:rsid w:val="00353939"/>
    <w:rsid w:val="003553CD"/>
    <w:rsid w:val="00356426"/>
    <w:rsid w:val="00356A28"/>
    <w:rsid w:val="00362D56"/>
    <w:rsid w:val="0037109F"/>
    <w:rsid w:val="003710C6"/>
    <w:rsid w:val="003731BF"/>
    <w:rsid w:val="00373CC6"/>
    <w:rsid w:val="0037772B"/>
    <w:rsid w:val="003811DD"/>
    <w:rsid w:val="00384FDC"/>
    <w:rsid w:val="00387363"/>
    <w:rsid w:val="0039233C"/>
    <w:rsid w:val="003936FA"/>
    <w:rsid w:val="00395B93"/>
    <w:rsid w:val="003960E2"/>
    <w:rsid w:val="003A0898"/>
    <w:rsid w:val="003A13DC"/>
    <w:rsid w:val="003A22B2"/>
    <w:rsid w:val="003A283F"/>
    <w:rsid w:val="003A3EA6"/>
    <w:rsid w:val="003A5619"/>
    <w:rsid w:val="003B4BF9"/>
    <w:rsid w:val="003B627E"/>
    <w:rsid w:val="003C55EB"/>
    <w:rsid w:val="003D016D"/>
    <w:rsid w:val="003D1101"/>
    <w:rsid w:val="003D2AD2"/>
    <w:rsid w:val="003E047E"/>
    <w:rsid w:val="003E32F8"/>
    <w:rsid w:val="003F0159"/>
    <w:rsid w:val="003F0EBF"/>
    <w:rsid w:val="003F1A85"/>
    <w:rsid w:val="00402051"/>
    <w:rsid w:val="0040232B"/>
    <w:rsid w:val="00411AD4"/>
    <w:rsid w:val="004142D5"/>
    <w:rsid w:val="004155CD"/>
    <w:rsid w:val="004159E6"/>
    <w:rsid w:val="00420DE3"/>
    <w:rsid w:val="00421174"/>
    <w:rsid w:val="00422460"/>
    <w:rsid w:val="004303AA"/>
    <w:rsid w:val="004308A1"/>
    <w:rsid w:val="00430AF8"/>
    <w:rsid w:val="00430E86"/>
    <w:rsid w:val="00432891"/>
    <w:rsid w:val="0043317D"/>
    <w:rsid w:val="00434018"/>
    <w:rsid w:val="004370D7"/>
    <w:rsid w:val="004432FE"/>
    <w:rsid w:val="004437AE"/>
    <w:rsid w:val="004454D9"/>
    <w:rsid w:val="00446748"/>
    <w:rsid w:val="004468B4"/>
    <w:rsid w:val="0045104F"/>
    <w:rsid w:val="00460807"/>
    <w:rsid w:val="00460ABA"/>
    <w:rsid w:val="00460E5B"/>
    <w:rsid w:val="00461030"/>
    <w:rsid w:val="004621E5"/>
    <w:rsid w:val="00463D37"/>
    <w:rsid w:val="00471274"/>
    <w:rsid w:val="00471E81"/>
    <w:rsid w:val="00472409"/>
    <w:rsid w:val="00480F0D"/>
    <w:rsid w:val="00486E73"/>
    <w:rsid w:val="0049129D"/>
    <w:rsid w:val="004964E6"/>
    <w:rsid w:val="004A0C96"/>
    <w:rsid w:val="004A19DD"/>
    <w:rsid w:val="004A20E5"/>
    <w:rsid w:val="004A27E3"/>
    <w:rsid w:val="004A5261"/>
    <w:rsid w:val="004A7791"/>
    <w:rsid w:val="004B0CD6"/>
    <w:rsid w:val="004B3152"/>
    <w:rsid w:val="004B5FA8"/>
    <w:rsid w:val="004C3ADD"/>
    <w:rsid w:val="004D1052"/>
    <w:rsid w:val="004D7F2E"/>
    <w:rsid w:val="004E098B"/>
    <w:rsid w:val="004E2AEC"/>
    <w:rsid w:val="004E3FBD"/>
    <w:rsid w:val="004E41AC"/>
    <w:rsid w:val="004E5F5E"/>
    <w:rsid w:val="004E7B5C"/>
    <w:rsid w:val="004F1DAC"/>
    <w:rsid w:val="00501787"/>
    <w:rsid w:val="00501E4E"/>
    <w:rsid w:val="005038E9"/>
    <w:rsid w:val="00506897"/>
    <w:rsid w:val="00511618"/>
    <w:rsid w:val="00512F84"/>
    <w:rsid w:val="00516147"/>
    <w:rsid w:val="0052007E"/>
    <w:rsid w:val="00524AB1"/>
    <w:rsid w:val="00530432"/>
    <w:rsid w:val="00532047"/>
    <w:rsid w:val="00535134"/>
    <w:rsid w:val="0053774E"/>
    <w:rsid w:val="00542088"/>
    <w:rsid w:val="0054303D"/>
    <w:rsid w:val="005436FB"/>
    <w:rsid w:val="0055085C"/>
    <w:rsid w:val="0055090F"/>
    <w:rsid w:val="005543A6"/>
    <w:rsid w:val="005554AD"/>
    <w:rsid w:val="005568B0"/>
    <w:rsid w:val="00557C1B"/>
    <w:rsid w:val="005668BA"/>
    <w:rsid w:val="00572D56"/>
    <w:rsid w:val="0057738E"/>
    <w:rsid w:val="00583993"/>
    <w:rsid w:val="00586861"/>
    <w:rsid w:val="0058780A"/>
    <w:rsid w:val="005901F0"/>
    <w:rsid w:val="005912AD"/>
    <w:rsid w:val="00591B30"/>
    <w:rsid w:val="00591BAF"/>
    <w:rsid w:val="00594982"/>
    <w:rsid w:val="005962CA"/>
    <w:rsid w:val="005A0B67"/>
    <w:rsid w:val="005A1E16"/>
    <w:rsid w:val="005A43AB"/>
    <w:rsid w:val="005A482C"/>
    <w:rsid w:val="005A579C"/>
    <w:rsid w:val="005A5B03"/>
    <w:rsid w:val="005B0170"/>
    <w:rsid w:val="005B1875"/>
    <w:rsid w:val="005B1FAC"/>
    <w:rsid w:val="005B3AB8"/>
    <w:rsid w:val="005B5597"/>
    <w:rsid w:val="005B629B"/>
    <w:rsid w:val="005B7B25"/>
    <w:rsid w:val="005C09EC"/>
    <w:rsid w:val="005C2223"/>
    <w:rsid w:val="005D725F"/>
    <w:rsid w:val="005E513F"/>
    <w:rsid w:val="005E6307"/>
    <w:rsid w:val="005F0B55"/>
    <w:rsid w:val="005F0EA2"/>
    <w:rsid w:val="005F464F"/>
    <w:rsid w:val="00602045"/>
    <w:rsid w:val="006137B4"/>
    <w:rsid w:val="00622334"/>
    <w:rsid w:val="00623B5C"/>
    <w:rsid w:val="0062431E"/>
    <w:rsid w:val="0063178E"/>
    <w:rsid w:val="0063427E"/>
    <w:rsid w:val="00634CA8"/>
    <w:rsid w:val="00634D11"/>
    <w:rsid w:val="006357F8"/>
    <w:rsid w:val="00637736"/>
    <w:rsid w:val="00642E74"/>
    <w:rsid w:val="0064411E"/>
    <w:rsid w:val="00650F5B"/>
    <w:rsid w:val="006530D0"/>
    <w:rsid w:val="00666B5D"/>
    <w:rsid w:val="00666D92"/>
    <w:rsid w:val="006706B4"/>
    <w:rsid w:val="0067242A"/>
    <w:rsid w:val="00672470"/>
    <w:rsid w:val="00673CED"/>
    <w:rsid w:val="00674722"/>
    <w:rsid w:val="006749FE"/>
    <w:rsid w:val="006801A9"/>
    <w:rsid w:val="0068296E"/>
    <w:rsid w:val="006900CE"/>
    <w:rsid w:val="00690C3A"/>
    <w:rsid w:val="00693C62"/>
    <w:rsid w:val="00693D42"/>
    <w:rsid w:val="00697AEC"/>
    <w:rsid w:val="006A4089"/>
    <w:rsid w:val="006A5F3A"/>
    <w:rsid w:val="006A6F0A"/>
    <w:rsid w:val="006B00E1"/>
    <w:rsid w:val="006B0A36"/>
    <w:rsid w:val="006B1275"/>
    <w:rsid w:val="006B1578"/>
    <w:rsid w:val="006B1F77"/>
    <w:rsid w:val="006B4428"/>
    <w:rsid w:val="006B56AA"/>
    <w:rsid w:val="006B6BCB"/>
    <w:rsid w:val="006B6F2B"/>
    <w:rsid w:val="006C4C6F"/>
    <w:rsid w:val="006C5C8C"/>
    <w:rsid w:val="006D0314"/>
    <w:rsid w:val="006D1AD5"/>
    <w:rsid w:val="006D20BD"/>
    <w:rsid w:val="006D4663"/>
    <w:rsid w:val="006D66CE"/>
    <w:rsid w:val="006D77F1"/>
    <w:rsid w:val="006E37A8"/>
    <w:rsid w:val="006E4B2D"/>
    <w:rsid w:val="006E4D4C"/>
    <w:rsid w:val="006F75CA"/>
    <w:rsid w:val="00701086"/>
    <w:rsid w:val="00701EE1"/>
    <w:rsid w:val="007031C1"/>
    <w:rsid w:val="007037E0"/>
    <w:rsid w:val="007046E4"/>
    <w:rsid w:val="0070524E"/>
    <w:rsid w:val="00712134"/>
    <w:rsid w:val="00721A12"/>
    <w:rsid w:val="00722A07"/>
    <w:rsid w:val="00726CBC"/>
    <w:rsid w:val="00731E2A"/>
    <w:rsid w:val="00734FD4"/>
    <w:rsid w:val="0074155C"/>
    <w:rsid w:val="00743833"/>
    <w:rsid w:val="00744A0C"/>
    <w:rsid w:val="0074718B"/>
    <w:rsid w:val="00750BEB"/>
    <w:rsid w:val="00751194"/>
    <w:rsid w:val="00752F41"/>
    <w:rsid w:val="007553E2"/>
    <w:rsid w:val="00755821"/>
    <w:rsid w:val="00760711"/>
    <w:rsid w:val="00760C63"/>
    <w:rsid w:val="007612BB"/>
    <w:rsid w:val="0076360D"/>
    <w:rsid w:val="00763D77"/>
    <w:rsid w:val="00764256"/>
    <w:rsid w:val="0076454F"/>
    <w:rsid w:val="00771537"/>
    <w:rsid w:val="007746E5"/>
    <w:rsid w:val="007764F5"/>
    <w:rsid w:val="0078066F"/>
    <w:rsid w:val="00783694"/>
    <w:rsid w:val="0079172F"/>
    <w:rsid w:val="00791F91"/>
    <w:rsid w:val="00792E1B"/>
    <w:rsid w:val="00793C07"/>
    <w:rsid w:val="00794DAC"/>
    <w:rsid w:val="007958AE"/>
    <w:rsid w:val="0079703B"/>
    <w:rsid w:val="0079727B"/>
    <w:rsid w:val="007A2280"/>
    <w:rsid w:val="007A5B9B"/>
    <w:rsid w:val="007A6674"/>
    <w:rsid w:val="007A7C7A"/>
    <w:rsid w:val="007B3C6D"/>
    <w:rsid w:val="007B48FC"/>
    <w:rsid w:val="007B743A"/>
    <w:rsid w:val="007C3FAA"/>
    <w:rsid w:val="007C65C2"/>
    <w:rsid w:val="007D1F29"/>
    <w:rsid w:val="007D2D0F"/>
    <w:rsid w:val="007D31C8"/>
    <w:rsid w:val="007D38B1"/>
    <w:rsid w:val="007D3AB6"/>
    <w:rsid w:val="007D4637"/>
    <w:rsid w:val="007D4C6C"/>
    <w:rsid w:val="007D4EC4"/>
    <w:rsid w:val="007D5983"/>
    <w:rsid w:val="007D65BA"/>
    <w:rsid w:val="007D72FB"/>
    <w:rsid w:val="007E4C94"/>
    <w:rsid w:val="007E5F04"/>
    <w:rsid w:val="007F1677"/>
    <w:rsid w:val="007F2C2A"/>
    <w:rsid w:val="007F5169"/>
    <w:rsid w:val="007F647E"/>
    <w:rsid w:val="007F7EC0"/>
    <w:rsid w:val="00801A38"/>
    <w:rsid w:val="00803B40"/>
    <w:rsid w:val="00806F28"/>
    <w:rsid w:val="00807B69"/>
    <w:rsid w:val="00810E85"/>
    <w:rsid w:val="00812244"/>
    <w:rsid w:val="00812D31"/>
    <w:rsid w:val="0081372D"/>
    <w:rsid w:val="008138A3"/>
    <w:rsid w:val="008140E8"/>
    <w:rsid w:val="008166D4"/>
    <w:rsid w:val="00817DB8"/>
    <w:rsid w:val="0082057C"/>
    <w:rsid w:val="008223B6"/>
    <w:rsid w:val="00830E2C"/>
    <w:rsid w:val="00835FB6"/>
    <w:rsid w:val="008363CE"/>
    <w:rsid w:val="00841109"/>
    <w:rsid w:val="00845602"/>
    <w:rsid w:val="00846672"/>
    <w:rsid w:val="00846987"/>
    <w:rsid w:val="00847127"/>
    <w:rsid w:val="00853091"/>
    <w:rsid w:val="00856054"/>
    <w:rsid w:val="00856105"/>
    <w:rsid w:val="0086614D"/>
    <w:rsid w:val="0086781F"/>
    <w:rsid w:val="00867F98"/>
    <w:rsid w:val="0087225E"/>
    <w:rsid w:val="00872B38"/>
    <w:rsid w:val="00872CDB"/>
    <w:rsid w:val="008801A3"/>
    <w:rsid w:val="0088330C"/>
    <w:rsid w:val="00883411"/>
    <w:rsid w:val="00883AA8"/>
    <w:rsid w:val="008853B1"/>
    <w:rsid w:val="008859FC"/>
    <w:rsid w:val="00885C49"/>
    <w:rsid w:val="0089165B"/>
    <w:rsid w:val="008920BC"/>
    <w:rsid w:val="008976C8"/>
    <w:rsid w:val="008A1016"/>
    <w:rsid w:val="008A402F"/>
    <w:rsid w:val="008A73D1"/>
    <w:rsid w:val="008B2078"/>
    <w:rsid w:val="008B641C"/>
    <w:rsid w:val="008B6A92"/>
    <w:rsid w:val="008B6F21"/>
    <w:rsid w:val="008B7807"/>
    <w:rsid w:val="008C2951"/>
    <w:rsid w:val="008C4241"/>
    <w:rsid w:val="008C50F1"/>
    <w:rsid w:val="008C6819"/>
    <w:rsid w:val="008D3759"/>
    <w:rsid w:val="008D5DDF"/>
    <w:rsid w:val="008E245A"/>
    <w:rsid w:val="008E2B32"/>
    <w:rsid w:val="008E6B4B"/>
    <w:rsid w:val="008F0025"/>
    <w:rsid w:val="008F0E1B"/>
    <w:rsid w:val="008F3278"/>
    <w:rsid w:val="008F59CA"/>
    <w:rsid w:val="008F615A"/>
    <w:rsid w:val="008F7FE5"/>
    <w:rsid w:val="00900B57"/>
    <w:rsid w:val="00904713"/>
    <w:rsid w:val="009059F6"/>
    <w:rsid w:val="00905D0E"/>
    <w:rsid w:val="00912406"/>
    <w:rsid w:val="009136FB"/>
    <w:rsid w:val="00914845"/>
    <w:rsid w:val="00921A8A"/>
    <w:rsid w:val="009220BF"/>
    <w:rsid w:val="0092669F"/>
    <w:rsid w:val="00933427"/>
    <w:rsid w:val="009356F2"/>
    <w:rsid w:val="00937148"/>
    <w:rsid w:val="00940369"/>
    <w:rsid w:val="009454F4"/>
    <w:rsid w:val="00946EFC"/>
    <w:rsid w:val="00946F59"/>
    <w:rsid w:val="00950E98"/>
    <w:rsid w:val="0095203B"/>
    <w:rsid w:val="009537E3"/>
    <w:rsid w:val="00957952"/>
    <w:rsid w:val="009612CA"/>
    <w:rsid w:val="00963D52"/>
    <w:rsid w:val="00965A51"/>
    <w:rsid w:val="00970EA5"/>
    <w:rsid w:val="00973CA7"/>
    <w:rsid w:val="009757C4"/>
    <w:rsid w:val="0097679F"/>
    <w:rsid w:val="00987D22"/>
    <w:rsid w:val="009929A4"/>
    <w:rsid w:val="00993BB4"/>
    <w:rsid w:val="00995F01"/>
    <w:rsid w:val="0099660B"/>
    <w:rsid w:val="009974A8"/>
    <w:rsid w:val="009A0EA8"/>
    <w:rsid w:val="009A1BDE"/>
    <w:rsid w:val="009A6E5F"/>
    <w:rsid w:val="009B170E"/>
    <w:rsid w:val="009B1762"/>
    <w:rsid w:val="009B4107"/>
    <w:rsid w:val="009B6F40"/>
    <w:rsid w:val="009C1E9F"/>
    <w:rsid w:val="009C4AF0"/>
    <w:rsid w:val="009C75DB"/>
    <w:rsid w:val="009D062B"/>
    <w:rsid w:val="009D39E4"/>
    <w:rsid w:val="009D4278"/>
    <w:rsid w:val="009D7FE6"/>
    <w:rsid w:val="009E444A"/>
    <w:rsid w:val="009E50FB"/>
    <w:rsid w:val="009E5DEE"/>
    <w:rsid w:val="009E66C2"/>
    <w:rsid w:val="009E6EF2"/>
    <w:rsid w:val="009F76F8"/>
    <w:rsid w:val="00A027FE"/>
    <w:rsid w:val="00A049ED"/>
    <w:rsid w:val="00A06F79"/>
    <w:rsid w:val="00A13C69"/>
    <w:rsid w:val="00A13FD3"/>
    <w:rsid w:val="00A15662"/>
    <w:rsid w:val="00A15B4D"/>
    <w:rsid w:val="00A17A05"/>
    <w:rsid w:val="00A20B5D"/>
    <w:rsid w:val="00A21678"/>
    <w:rsid w:val="00A21934"/>
    <w:rsid w:val="00A249CD"/>
    <w:rsid w:val="00A26BE9"/>
    <w:rsid w:val="00A3093B"/>
    <w:rsid w:val="00A30D3A"/>
    <w:rsid w:val="00A32364"/>
    <w:rsid w:val="00A33CFD"/>
    <w:rsid w:val="00A452CA"/>
    <w:rsid w:val="00A47B1C"/>
    <w:rsid w:val="00A50064"/>
    <w:rsid w:val="00A51785"/>
    <w:rsid w:val="00A52400"/>
    <w:rsid w:val="00A53AEC"/>
    <w:rsid w:val="00A55EDA"/>
    <w:rsid w:val="00A57355"/>
    <w:rsid w:val="00A610B1"/>
    <w:rsid w:val="00A63E72"/>
    <w:rsid w:val="00A665D9"/>
    <w:rsid w:val="00A66F56"/>
    <w:rsid w:val="00A675A0"/>
    <w:rsid w:val="00A7451A"/>
    <w:rsid w:val="00A83A06"/>
    <w:rsid w:val="00A925B1"/>
    <w:rsid w:val="00A92A0C"/>
    <w:rsid w:val="00A95ABA"/>
    <w:rsid w:val="00AA0D1E"/>
    <w:rsid w:val="00AA1328"/>
    <w:rsid w:val="00AA470C"/>
    <w:rsid w:val="00AA5E0D"/>
    <w:rsid w:val="00AA6718"/>
    <w:rsid w:val="00AB0EAD"/>
    <w:rsid w:val="00AB2F6A"/>
    <w:rsid w:val="00AB5AAE"/>
    <w:rsid w:val="00AB6537"/>
    <w:rsid w:val="00AC01BC"/>
    <w:rsid w:val="00AC108C"/>
    <w:rsid w:val="00AC5751"/>
    <w:rsid w:val="00AC6148"/>
    <w:rsid w:val="00AC6830"/>
    <w:rsid w:val="00AD25EB"/>
    <w:rsid w:val="00AD273D"/>
    <w:rsid w:val="00AD3773"/>
    <w:rsid w:val="00AD6720"/>
    <w:rsid w:val="00AD732E"/>
    <w:rsid w:val="00AE1C0F"/>
    <w:rsid w:val="00AE2AFA"/>
    <w:rsid w:val="00AE7D66"/>
    <w:rsid w:val="00AF1DF5"/>
    <w:rsid w:val="00AF31E6"/>
    <w:rsid w:val="00AF7704"/>
    <w:rsid w:val="00AF79C5"/>
    <w:rsid w:val="00B13D11"/>
    <w:rsid w:val="00B1422D"/>
    <w:rsid w:val="00B1504B"/>
    <w:rsid w:val="00B16D72"/>
    <w:rsid w:val="00B17FE0"/>
    <w:rsid w:val="00B20EEA"/>
    <w:rsid w:val="00B21464"/>
    <w:rsid w:val="00B21605"/>
    <w:rsid w:val="00B27CA4"/>
    <w:rsid w:val="00B31267"/>
    <w:rsid w:val="00B35B9A"/>
    <w:rsid w:val="00B35E87"/>
    <w:rsid w:val="00B372CB"/>
    <w:rsid w:val="00B41ECA"/>
    <w:rsid w:val="00B45AD9"/>
    <w:rsid w:val="00B46B50"/>
    <w:rsid w:val="00B51FC7"/>
    <w:rsid w:val="00B532E2"/>
    <w:rsid w:val="00B55775"/>
    <w:rsid w:val="00B61F3D"/>
    <w:rsid w:val="00B63142"/>
    <w:rsid w:val="00B63FE9"/>
    <w:rsid w:val="00B70889"/>
    <w:rsid w:val="00B75E35"/>
    <w:rsid w:val="00B762CF"/>
    <w:rsid w:val="00B7694F"/>
    <w:rsid w:val="00B810FB"/>
    <w:rsid w:val="00B85510"/>
    <w:rsid w:val="00B86F8C"/>
    <w:rsid w:val="00B87097"/>
    <w:rsid w:val="00B935F7"/>
    <w:rsid w:val="00B94787"/>
    <w:rsid w:val="00B96CF9"/>
    <w:rsid w:val="00B97368"/>
    <w:rsid w:val="00B97861"/>
    <w:rsid w:val="00BA0C36"/>
    <w:rsid w:val="00BA2DFA"/>
    <w:rsid w:val="00BA5985"/>
    <w:rsid w:val="00BA6DCA"/>
    <w:rsid w:val="00BB2E37"/>
    <w:rsid w:val="00BB311E"/>
    <w:rsid w:val="00BB3B9D"/>
    <w:rsid w:val="00BB475D"/>
    <w:rsid w:val="00BB612C"/>
    <w:rsid w:val="00BB74E8"/>
    <w:rsid w:val="00BC0022"/>
    <w:rsid w:val="00BC2E32"/>
    <w:rsid w:val="00BC3702"/>
    <w:rsid w:val="00BC3723"/>
    <w:rsid w:val="00BC3A0B"/>
    <w:rsid w:val="00BC4367"/>
    <w:rsid w:val="00BC79A5"/>
    <w:rsid w:val="00BD19A7"/>
    <w:rsid w:val="00BD4173"/>
    <w:rsid w:val="00BD7D8C"/>
    <w:rsid w:val="00BE2354"/>
    <w:rsid w:val="00BE5E00"/>
    <w:rsid w:val="00BE7E28"/>
    <w:rsid w:val="00BF134C"/>
    <w:rsid w:val="00BF23B2"/>
    <w:rsid w:val="00BF53C2"/>
    <w:rsid w:val="00BF55BD"/>
    <w:rsid w:val="00C036E1"/>
    <w:rsid w:val="00C04962"/>
    <w:rsid w:val="00C06DAA"/>
    <w:rsid w:val="00C13727"/>
    <w:rsid w:val="00C148C6"/>
    <w:rsid w:val="00C14B6A"/>
    <w:rsid w:val="00C15825"/>
    <w:rsid w:val="00C174A1"/>
    <w:rsid w:val="00C23FD2"/>
    <w:rsid w:val="00C24AC7"/>
    <w:rsid w:val="00C25258"/>
    <w:rsid w:val="00C255CE"/>
    <w:rsid w:val="00C26177"/>
    <w:rsid w:val="00C27633"/>
    <w:rsid w:val="00C27BEA"/>
    <w:rsid w:val="00C35401"/>
    <w:rsid w:val="00C3712E"/>
    <w:rsid w:val="00C435E6"/>
    <w:rsid w:val="00C443E4"/>
    <w:rsid w:val="00C446EE"/>
    <w:rsid w:val="00C51F32"/>
    <w:rsid w:val="00C520EF"/>
    <w:rsid w:val="00C5244A"/>
    <w:rsid w:val="00C56E41"/>
    <w:rsid w:val="00C609D6"/>
    <w:rsid w:val="00C622B3"/>
    <w:rsid w:val="00C67553"/>
    <w:rsid w:val="00C676A9"/>
    <w:rsid w:val="00C67EFD"/>
    <w:rsid w:val="00C719FB"/>
    <w:rsid w:val="00C71C81"/>
    <w:rsid w:val="00C71F2E"/>
    <w:rsid w:val="00C72488"/>
    <w:rsid w:val="00C72BAA"/>
    <w:rsid w:val="00C741BF"/>
    <w:rsid w:val="00C746A8"/>
    <w:rsid w:val="00C77F0C"/>
    <w:rsid w:val="00C81319"/>
    <w:rsid w:val="00C835AC"/>
    <w:rsid w:val="00C85BA9"/>
    <w:rsid w:val="00C867A5"/>
    <w:rsid w:val="00C86A3C"/>
    <w:rsid w:val="00C87D50"/>
    <w:rsid w:val="00C901A7"/>
    <w:rsid w:val="00C9117D"/>
    <w:rsid w:val="00C91D5D"/>
    <w:rsid w:val="00CA1F6D"/>
    <w:rsid w:val="00CA5ACE"/>
    <w:rsid w:val="00CB2457"/>
    <w:rsid w:val="00CB2684"/>
    <w:rsid w:val="00CB7888"/>
    <w:rsid w:val="00CB7DE1"/>
    <w:rsid w:val="00CD0810"/>
    <w:rsid w:val="00CD0871"/>
    <w:rsid w:val="00CD15AC"/>
    <w:rsid w:val="00CD3BC6"/>
    <w:rsid w:val="00CD7D7E"/>
    <w:rsid w:val="00CE00DF"/>
    <w:rsid w:val="00CE0851"/>
    <w:rsid w:val="00CE2815"/>
    <w:rsid w:val="00CE52DC"/>
    <w:rsid w:val="00CF1384"/>
    <w:rsid w:val="00CF2476"/>
    <w:rsid w:val="00CF31A3"/>
    <w:rsid w:val="00CF53F3"/>
    <w:rsid w:val="00D0005C"/>
    <w:rsid w:val="00D01223"/>
    <w:rsid w:val="00D0531F"/>
    <w:rsid w:val="00D0649F"/>
    <w:rsid w:val="00D06A2B"/>
    <w:rsid w:val="00D06CDA"/>
    <w:rsid w:val="00D07388"/>
    <w:rsid w:val="00D101DB"/>
    <w:rsid w:val="00D137A0"/>
    <w:rsid w:val="00D14DA8"/>
    <w:rsid w:val="00D152BD"/>
    <w:rsid w:val="00D17566"/>
    <w:rsid w:val="00D20765"/>
    <w:rsid w:val="00D20B53"/>
    <w:rsid w:val="00D22980"/>
    <w:rsid w:val="00D23242"/>
    <w:rsid w:val="00D23D28"/>
    <w:rsid w:val="00D331DF"/>
    <w:rsid w:val="00D351FE"/>
    <w:rsid w:val="00D3713E"/>
    <w:rsid w:val="00D40D69"/>
    <w:rsid w:val="00D43946"/>
    <w:rsid w:val="00D463F3"/>
    <w:rsid w:val="00D46E2E"/>
    <w:rsid w:val="00D526AB"/>
    <w:rsid w:val="00D54B44"/>
    <w:rsid w:val="00D65A9A"/>
    <w:rsid w:val="00D6748D"/>
    <w:rsid w:val="00D67EFB"/>
    <w:rsid w:val="00D8046B"/>
    <w:rsid w:val="00D825BB"/>
    <w:rsid w:val="00D87525"/>
    <w:rsid w:val="00D9165B"/>
    <w:rsid w:val="00DA03A3"/>
    <w:rsid w:val="00DA044F"/>
    <w:rsid w:val="00DA0F19"/>
    <w:rsid w:val="00DA1172"/>
    <w:rsid w:val="00DA4D0F"/>
    <w:rsid w:val="00DA72AF"/>
    <w:rsid w:val="00DB05CE"/>
    <w:rsid w:val="00DB09FD"/>
    <w:rsid w:val="00DB214F"/>
    <w:rsid w:val="00DC0B27"/>
    <w:rsid w:val="00DC0DC3"/>
    <w:rsid w:val="00DC5979"/>
    <w:rsid w:val="00DC683E"/>
    <w:rsid w:val="00DD7ACC"/>
    <w:rsid w:val="00DD7C86"/>
    <w:rsid w:val="00DE210F"/>
    <w:rsid w:val="00DE6729"/>
    <w:rsid w:val="00DE780F"/>
    <w:rsid w:val="00DF005C"/>
    <w:rsid w:val="00DF193F"/>
    <w:rsid w:val="00DF25E1"/>
    <w:rsid w:val="00DF2B9A"/>
    <w:rsid w:val="00DF45C1"/>
    <w:rsid w:val="00DF4EB0"/>
    <w:rsid w:val="00DF63D3"/>
    <w:rsid w:val="00E01277"/>
    <w:rsid w:val="00E0373F"/>
    <w:rsid w:val="00E07FC2"/>
    <w:rsid w:val="00E10C3F"/>
    <w:rsid w:val="00E16381"/>
    <w:rsid w:val="00E16BE0"/>
    <w:rsid w:val="00E20FDC"/>
    <w:rsid w:val="00E21413"/>
    <w:rsid w:val="00E2292D"/>
    <w:rsid w:val="00E22D57"/>
    <w:rsid w:val="00E278B7"/>
    <w:rsid w:val="00E30D44"/>
    <w:rsid w:val="00E329CC"/>
    <w:rsid w:val="00E35F37"/>
    <w:rsid w:val="00E426CB"/>
    <w:rsid w:val="00E4477C"/>
    <w:rsid w:val="00E53672"/>
    <w:rsid w:val="00E5578E"/>
    <w:rsid w:val="00E604F1"/>
    <w:rsid w:val="00E61DE2"/>
    <w:rsid w:val="00E71B7C"/>
    <w:rsid w:val="00E72E33"/>
    <w:rsid w:val="00E7592D"/>
    <w:rsid w:val="00E826CD"/>
    <w:rsid w:val="00E8442D"/>
    <w:rsid w:val="00E93D2E"/>
    <w:rsid w:val="00E9738B"/>
    <w:rsid w:val="00E97895"/>
    <w:rsid w:val="00E97ED5"/>
    <w:rsid w:val="00EA6339"/>
    <w:rsid w:val="00EB051B"/>
    <w:rsid w:val="00EB0F3C"/>
    <w:rsid w:val="00EB2414"/>
    <w:rsid w:val="00EB4289"/>
    <w:rsid w:val="00EB44C9"/>
    <w:rsid w:val="00EB5B32"/>
    <w:rsid w:val="00EB75BE"/>
    <w:rsid w:val="00EC1A0F"/>
    <w:rsid w:val="00EC2883"/>
    <w:rsid w:val="00EC3753"/>
    <w:rsid w:val="00EC40A2"/>
    <w:rsid w:val="00EC4659"/>
    <w:rsid w:val="00EC4D83"/>
    <w:rsid w:val="00EC69E5"/>
    <w:rsid w:val="00ED4FC7"/>
    <w:rsid w:val="00ED59E6"/>
    <w:rsid w:val="00ED7712"/>
    <w:rsid w:val="00EE126C"/>
    <w:rsid w:val="00EE2C1D"/>
    <w:rsid w:val="00EF10A6"/>
    <w:rsid w:val="00EF1CEA"/>
    <w:rsid w:val="00EF31F9"/>
    <w:rsid w:val="00EF4E8F"/>
    <w:rsid w:val="00EF5AA6"/>
    <w:rsid w:val="00EF6432"/>
    <w:rsid w:val="00EF6661"/>
    <w:rsid w:val="00F013C6"/>
    <w:rsid w:val="00F035C6"/>
    <w:rsid w:val="00F04303"/>
    <w:rsid w:val="00F04A50"/>
    <w:rsid w:val="00F0516B"/>
    <w:rsid w:val="00F05E51"/>
    <w:rsid w:val="00F0669D"/>
    <w:rsid w:val="00F1360A"/>
    <w:rsid w:val="00F17533"/>
    <w:rsid w:val="00F21003"/>
    <w:rsid w:val="00F211FE"/>
    <w:rsid w:val="00F238BB"/>
    <w:rsid w:val="00F23BD1"/>
    <w:rsid w:val="00F308C4"/>
    <w:rsid w:val="00F411D8"/>
    <w:rsid w:val="00F43EFC"/>
    <w:rsid w:val="00F446EB"/>
    <w:rsid w:val="00F4506A"/>
    <w:rsid w:val="00F4736A"/>
    <w:rsid w:val="00F508E5"/>
    <w:rsid w:val="00F56227"/>
    <w:rsid w:val="00F571BE"/>
    <w:rsid w:val="00F5795E"/>
    <w:rsid w:val="00F57B77"/>
    <w:rsid w:val="00F6136F"/>
    <w:rsid w:val="00F6601D"/>
    <w:rsid w:val="00F67588"/>
    <w:rsid w:val="00F70F28"/>
    <w:rsid w:val="00F72CA9"/>
    <w:rsid w:val="00F739A8"/>
    <w:rsid w:val="00F742EC"/>
    <w:rsid w:val="00F8221A"/>
    <w:rsid w:val="00F87390"/>
    <w:rsid w:val="00F940B3"/>
    <w:rsid w:val="00F95BD0"/>
    <w:rsid w:val="00FA21E9"/>
    <w:rsid w:val="00FA593E"/>
    <w:rsid w:val="00FB3C21"/>
    <w:rsid w:val="00FB45E4"/>
    <w:rsid w:val="00FB5381"/>
    <w:rsid w:val="00FC18D7"/>
    <w:rsid w:val="00FC62F9"/>
    <w:rsid w:val="00FC6BE7"/>
    <w:rsid w:val="00FD2FD3"/>
    <w:rsid w:val="00FD5E8F"/>
    <w:rsid w:val="00FE26CC"/>
    <w:rsid w:val="00FE48A3"/>
    <w:rsid w:val="00FE692E"/>
    <w:rsid w:val="00FE78A2"/>
    <w:rsid w:val="00FF3E28"/>
    <w:rsid w:val="01031527"/>
    <w:rsid w:val="012C1C02"/>
    <w:rsid w:val="014063FE"/>
    <w:rsid w:val="01721FEB"/>
    <w:rsid w:val="01722330"/>
    <w:rsid w:val="01B52807"/>
    <w:rsid w:val="01CA5CC8"/>
    <w:rsid w:val="02226211"/>
    <w:rsid w:val="02513D20"/>
    <w:rsid w:val="0293255D"/>
    <w:rsid w:val="02E25F12"/>
    <w:rsid w:val="030516AD"/>
    <w:rsid w:val="038A3F97"/>
    <w:rsid w:val="03993BA4"/>
    <w:rsid w:val="03A66B69"/>
    <w:rsid w:val="03BE1E8E"/>
    <w:rsid w:val="03E017D2"/>
    <w:rsid w:val="042C4F6C"/>
    <w:rsid w:val="04446205"/>
    <w:rsid w:val="047255F5"/>
    <w:rsid w:val="048C54B6"/>
    <w:rsid w:val="049A4077"/>
    <w:rsid w:val="05130EC4"/>
    <w:rsid w:val="05452235"/>
    <w:rsid w:val="05A21435"/>
    <w:rsid w:val="05B65AF0"/>
    <w:rsid w:val="06127C3D"/>
    <w:rsid w:val="06215480"/>
    <w:rsid w:val="062E1176"/>
    <w:rsid w:val="063A7FDA"/>
    <w:rsid w:val="063E255E"/>
    <w:rsid w:val="065D710A"/>
    <w:rsid w:val="069468A4"/>
    <w:rsid w:val="06D86E6E"/>
    <w:rsid w:val="06E710CA"/>
    <w:rsid w:val="06E94E42"/>
    <w:rsid w:val="07101435"/>
    <w:rsid w:val="072B0FB7"/>
    <w:rsid w:val="07724E37"/>
    <w:rsid w:val="079876D5"/>
    <w:rsid w:val="07B37245"/>
    <w:rsid w:val="07EC1177"/>
    <w:rsid w:val="08142204"/>
    <w:rsid w:val="08A54D99"/>
    <w:rsid w:val="08E33B14"/>
    <w:rsid w:val="09A3577C"/>
    <w:rsid w:val="09B4074E"/>
    <w:rsid w:val="09B47989"/>
    <w:rsid w:val="09CB6A81"/>
    <w:rsid w:val="0A0106F5"/>
    <w:rsid w:val="0A2F0DBE"/>
    <w:rsid w:val="0A522CFE"/>
    <w:rsid w:val="0A537E82"/>
    <w:rsid w:val="0A670558"/>
    <w:rsid w:val="0B5C3158"/>
    <w:rsid w:val="0B845139"/>
    <w:rsid w:val="0B913B41"/>
    <w:rsid w:val="0BB023D2"/>
    <w:rsid w:val="0BC027C4"/>
    <w:rsid w:val="0BC750CE"/>
    <w:rsid w:val="0BE16F32"/>
    <w:rsid w:val="0BFC1B0A"/>
    <w:rsid w:val="0C204376"/>
    <w:rsid w:val="0C254A1B"/>
    <w:rsid w:val="0C526FE5"/>
    <w:rsid w:val="0C6875C2"/>
    <w:rsid w:val="0CA248BC"/>
    <w:rsid w:val="0CA77331"/>
    <w:rsid w:val="0CB16402"/>
    <w:rsid w:val="0CEC0DE7"/>
    <w:rsid w:val="0D0227BA"/>
    <w:rsid w:val="0D605732"/>
    <w:rsid w:val="0D844388"/>
    <w:rsid w:val="0DC626C8"/>
    <w:rsid w:val="0DDE4FD5"/>
    <w:rsid w:val="0DEE34CD"/>
    <w:rsid w:val="0E0B7D94"/>
    <w:rsid w:val="0E230C39"/>
    <w:rsid w:val="0E607F86"/>
    <w:rsid w:val="0E8A0CB9"/>
    <w:rsid w:val="0E9C279A"/>
    <w:rsid w:val="0EB421D9"/>
    <w:rsid w:val="0F142273"/>
    <w:rsid w:val="0F5B4403"/>
    <w:rsid w:val="0F5D008C"/>
    <w:rsid w:val="0FD3114F"/>
    <w:rsid w:val="0FEE5EBF"/>
    <w:rsid w:val="108300B5"/>
    <w:rsid w:val="108654B0"/>
    <w:rsid w:val="108C64EF"/>
    <w:rsid w:val="10BE733F"/>
    <w:rsid w:val="10CA1840"/>
    <w:rsid w:val="10D97CD5"/>
    <w:rsid w:val="10FC5772"/>
    <w:rsid w:val="11093651"/>
    <w:rsid w:val="11662604"/>
    <w:rsid w:val="11796EDC"/>
    <w:rsid w:val="119D5A3B"/>
    <w:rsid w:val="11CA04F2"/>
    <w:rsid w:val="12635AA8"/>
    <w:rsid w:val="127840D2"/>
    <w:rsid w:val="12900790"/>
    <w:rsid w:val="12900868"/>
    <w:rsid w:val="134F24D1"/>
    <w:rsid w:val="13AA7707"/>
    <w:rsid w:val="13FF3EF7"/>
    <w:rsid w:val="14472A41"/>
    <w:rsid w:val="144E2788"/>
    <w:rsid w:val="145236E5"/>
    <w:rsid w:val="14806439"/>
    <w:rsid w:val="149C1746"/>
    <w:rsid w:val="14E4477F"/>
    <w:rsid w:val="15BD1BCA"/>
    <w:rsid w:val="15F256D4"/>
    <w:rsid w:val="16105DC5"/>
    <w:rsid w:val="163F682C"/>
    <w:rsid w:val="16730284"/>
    <w:rsid w:val="16753FFC"/>
    <w:rsid w:val="16B965DF"/>
    <w:rsid w:val="16C94348"/>
    <w:rsid w:val="1741793A"/>
    <w:rsid w:val="1743234C"/>
    <w:rsid w:val="17933E49"/>
    <w:rsid w:val="17966F3F"/>
    <w:rsid w:val="179901BE"/>
    <w:rsid w:val="179908D3"/>
    <w:rsid w:val="17A0290D"/>
    <w:rsid w:val="17C24EE1"/>
    <w:rsid w:val="17C27715"/>
    <w:rsid w:val="17C57205"/>
    <w:rsid w:val="17E4768B"/>
    <w:rsid w:val="17FC3BA5"/>
    <w:rsid w:val="182513C0"/>
    <w:rsid w:val="18397E11"/>
    <w:rsid w:val="18B25665"/>
    <w:rsid w:val="194505FE"/>
    <w:rsid w:val="19687E48"/>
    <w:rsid w:val="196B1CEA"/>
    <w:rsid w:val="198E1EAE"/>
    <w:rsid w:val="1A24288D"/>
    <w:rsid w:val="1AA52C99"/>
    <w:rsid w:val="1B1B5294"/>
    <w:rsid w:val="1B356450"/>
    <w:rsid w:val="1B434F04"/>
    <w:rsid w:val="1B974A15"/>
    <w:rsid w:val="1B9C14FB"/>
    <w:rsid w:val="1BEB4F4B"/>
    <w:rsid w:val="1BEF4851"/>
    <w:rsid w:val="1BFE3C79"/>
    <w:rsid w:val="1C2C01A7"/>
    <w:rsid w:val="1C4F3541"/>
    <w:rsid w:val="1C584649"/>
    <w:rsid w:val="1C792E22"/>
    <w:rsid w:val="1CB57848"/>
    <w:rsid w:val="1CBF2475"/>
    <w:rsid w:val="1D2D5631"/>
    <w:rsid w:val="1D345E0F"/>
    <w:rsid w:val="1D880AB9"/>
    <w:rsid w:val="1DB9452C"/>
    <w:rsid w:val="1DE33F41"/>
    <w:rsid w:val="1DE71C83"/>
    <w:rsid w:val="1E206809"/>
    <w:rsid w:val="1E5A29B0"/>
    <w:rsid w:val="1E71779F"/>
    <w:rsid w:val="1E8A6AB3"/>
    <w:rsid w:val="1EFB3211"/>
    <w:rsid w:val="1F103EA9"/>
    <w:rsid w:val="1F1D7927"/>
    <w:rsid w:val="1F784B5D"/>
    <w:rsid w:val="1FB14636"/>
    <w:rsid w:val="1FCA3C17"/>
    <w:rsid w:val="1FDB296A"/>
    <w:rsid w:val="1FE909DC"/>
    <w:rsid w:val="1FF42436"/>
    <w:rsid w:val="204333BD"/>
    <w:rsid w:val="20457135"/>
    <w:rsid w:val="20631369"/>
    <w:rsid w:val="20755F4B"/>
    <w:rsid w:val="20AF152F"/>
    <w:rsid w:val="21431371"/>
    <w:rsid w:val="2149055F"/>
    <w:rsid w:val="21513626"/>
    <w:rsid w:val="215C64E4"/>
    <w:rsid w:val="215D225D"/>
    <w:rsid w:val="219537A4"/>
    <w:rsid w:val="21C36564"/>
    <w:rsid w:val="21DF0EC4"/>
    <w:rsid w:val="21FE7DF1"/>
    <w:rsid w:val="22332EAB"/>
    <w:rsid w:val="228D0920"/>
    <w:rsid w:val="22C32593"/>
    <w:rsid w:val="23290736"/>
    <w:rsid w:val="23362D65"/>
    <w:rsid w:val="236E5E5F"/>
    <w:rsid w:val="2378337E"/>
    <w:rsid w:val="239A32F4"/>
    <w:rsid w:val="23A61C99"/>
    <w:rsid w:val="23C5440E"/>
    <w:rsid w:val="23F30C56"/>
    <w:rsid w:val="24266C7C"/>
    <w:rsid w:val="244A2F6C"/>
    <w:rsid w:val="246A64EC"/>
    <w:rsid w:val="248E0882"/>
    <w:rsid w:val="24AB04CD"/>
    <w:rsid w:val="24B85FE4"/>
    <w:rsid w:val="24D67678"/>
    <w:rsid w:val="24DD7172"/>
    <w:rsid w:val="252E63EA"/>
    <w:rsid w:val="25493224"/>
    <w:rsid w:val="256533FF"/>
    <w:rsid w:val="25714E00"/>
    <w:rsid w:val="25E847EB"/>
    <w:rsid w:val="267047E0"/>
    <w:rsid w:val="26BC253A"/>
    <w:rsid w:val="270F7B55"/>
    <w:rsid w:val="273B6B9C"/>
    <w:rsid w:val="27427F2B"/>
    <w:rsid w:val="27857F9B"/>
    <w:rsid w:val="2795721C"/>
    <w:rsid w:val="27A641C3"/>
    <w:rsid w:val="27A6670B"/>
    <w:rsid w:val="27C546B8"/>
    <w:rsid w:val="281763AE"/>
    <w:rsid w:val="281E4418"/>
    <w:rsid w:val="282633A8"/>
    <w:rsid w:val="284461F5"/>
    <w:rsid w:val="284D21DA"/>
    <w:rsid w:val="286F1880"/>
    <w:rsid w:val="28A10C81"/>
    <w:rsid w:val="28EC2844"/>
    <w:rsid w:val="29114058"/>
    <w:rsid w:val="29745A9F"/>
    <w:rsid w:val="29895F6F"/>
    <w:rsid w:val="29995DFC"/>
    <w:rsid w:val="29AC6F9B"/>
    <w:rsid w:val="29B91807"/>
    <w:rsid w:val="29E821D3"/>
    <w:rsid w:val="29F75268"/>
    <w:rsid w:val="2A930A9D"/>
    <w:rsid w:val="2A967EB2"/>
    <w:rsid w:val="2AD417E1"/>
    <w:rsid w:val="2B065713"/>
    <w:rsid w:val="2B2871E7"/>
    <w:rsid w:val="2BA9299F"/>
    <w:rsid w:val="2BD93492"/>
    <w:rsid w:val="2BF832AE"/>
    <w:rsid w:val="2BFE65C2"/>
    <w:rsid w:val="2C02412C"/>
    <w:rsid w:val="2C1665B8"/>
    <w:rsid w:val="2C295297"/>
    <w:rsid w:val="2C6E17C2"/>
    <w:rsid w:val="2D365320"/>
    <w:rsid w:val="2D66371B"/>
    <w:rsid w:val="2D7F69DE"/>
    <w:rsid w:val="2DB16F26"/>
    <w:rsid w:val="2DB3388B"/>
    <w:rsid w:val="2DCA6ECC"/>
    <w:rsid w:val="2E815E80"/>
    <w:rsid w:val="2E954277"/>
    <w:rsid w:val="2EDF69A7"/>
    <w:rsid w:val="2F1A79DF"/>
    <w:rsid w:val="2F2A413F"/>
    <w:rsid w:val="2F33431C"/>
    <w:rsid w:val="2F363171"/>
    <w:rsid w:val="2F8A6913"/>
    <w:rsid w:val="30311375"/>
    <w:rsid w:val="30473F91"/>
    <w:rsid w:val="306058C5"/>
    <w:rsid w:val="30A47C65"/>
    <w:rsid w:val="30B023A9"/>
    <w:rsid w:val="30C714A1"/>
    <w:rsid w:val="311772A4"/>
    <w:rsid w:val="31B235F9"/>
    <w:rsid w:val="31B92B8B"/>
    <w:rsid w:val="324D032D"/>
    <w:rsid w:val="3257574A"/>
    <w:rsid w:val="32FB3683"/>
    <w:rsid w:val="32FD564D"/>
    <w:rsid w:val="3328091C"/>
    <w:rsid w:val="338F3097"/>
    <w:rsid w:val="33A51F6D"/>
    <w:rsid w:val="33C06DA7"/>
    <w:rsid w:val="33E81E5A"/>
    <w:rsid w:val="342509B8"/>
    <w:rsid w:val="34297F29"/>
    <w:rsid w:val="34AE6BFF"/>
    <w:rsid w:val="34CA3E45"/>
    <w:rsid w:val="34D34153"/>
    <w:rsid w:val="355A6D02"/>
    <w:rsid w:val="359758E5"/>
    <w:rsid w:val="359D5EEA"/>
    <w:rsid w:val="35BA1D81"/>
    <w:rsid w:val="35D02BA5"/>
    <w:rsid w:val="35E8637E"/>
    <w:rsid w:val="35FC7E3E"/>
    <w:rsid w:val="363C3B17"/>
    <w:rsid w:val="36474247"/>
    <w:rsid w:val="365612FD"/>
    <w:rsid w:val="3677309A"/>
    <w:rsid w:val="36F40B16"/>
    <w:rsid w:val="370C52DF"/>
    <w:rsid w:val="370C5E5F"/>
    <w:rsid w:val="374B6987"/>
    <w:rsid w:val="374D6BA3"/>
    <w:rsid w:val="375A306E"/>
    <w:rsid w:val="37781F72"/>
    <w:rsid w:val="37CE1367"/>
    <w:rsid w:val="37D746BF"/>
    <w:rsid w:val="38C84008"/>
    <w:rsid w:val="38CA5FD2"/>
    <w:rsid w:val="38EB0F04"/>
    <w:rsid w:val="39411452"/>
    <w:rsid w:val="3954305A"/>
    <w:rsid w:val="397B72CC"/>
    <w:rsid w:val="397C49C3"/>
    <w:rsid w:val="39B22FFA"/>
    <w:rsid w:val="39C15930"/>
    <w:rsid w:val="3A0C2C55"/>
    <w:rsid w:val="3A173499"/>
    <w:rsid w:val="3A30022F"/>
    <w:rsid w:val="3A371445"/>
    <w:rsid w:val="3A886145"/>
    <w:rsid w:val="3A8D72B7"/>
    <w:rsid w:val="3AB900AC"/>
    <w:rsid w:val="3AC52EF5"/>
    <w:rsid w:val="3B007A89"/>
    <w:rsid w:val="3B027CA5"/>
    <w:rsid w:val="3B2E2848"/>
    <w:rsid w:val="3B5D4EDB"/>
    <w:rsid w:val="3B81506E"/>
    <w:rsid w:val="3BA6272A"/>
    <w:rsid w:val="3BB22833"/>
    <w:rsid w:val="3BE27C97"/>
    <w:rsid w:val="3BE473AB"/>
    <w:rsid w:val="3C9A513B"/>
    <w:rsid w:val="3CCD2793"/>
    <w:rsid w:val="3CFA57E4"/>
    <w:rsid w:val="3D0221DE"/>
    <w:rsid w:val="3D1E60DF"/>
    <w:rsid w:val="3DD1754B"/>
    <w:rsid w:val="3DE2791A"/>
    <w:rsid w:val="3E151A9D"/>
    <w:rsid w:val="3E375EB7"/>
    <w:rsid w:val="3E38205E"/>
    <w:rsid w:val="3E7B2EA8"/>
    <w:rsid w:val="3EA47C68"/>
    <w:rsid w:val="3ED03C16"/>
    <w:rsid w:val="3EEB27FE"/>
    <w:rsid w:val="3EF92944"/>
    <w:rsid w:val="3F3423F7"/>
    <w:rsid w:val="3F8E1B07"/>
    <w:rsid w:val="40161AFD"/>
    <w:rsid w:val="403226BF"/>
    <w:rsid w:val="403326AF"/>
    <w:rsid w:val="406E35DA"/>
    <w:rsid w:val="408B6047"/>
    <w:rsid w:val="40AF442B"/>
    <w:rsid w:val="40E165AE"/>
    <w:rsid w:val="411C75E7"/>
    <w:rsid w:val="41540B2E"/>
    <w:rsid w:val="415E333C"/>
    <w:rsid w:val="418F600A"/>
    <w:rsid w:val="419B5FD1"/>
    <w:rsid w:val="419E1DAA"/>
    <w:rsid w:val="41E46616"/>
    <w:rsid w:val="420D5851"/>
    <w:rsid w:val="424B3CDF"/>
    <w:rsid w:val="426D19F0"/>
    <w:rsid w:val="42D31F27"/>
    <w:rsid w:val="42D33CD5"/>
    <w:rsid w:val="42FC5208"/>
    <w:rsid w:val="43341596"/>
    <w:rsid w:val="436F7EA2"/>
    <w:rsid w:val="43860D47"/>
    <w:rsid w:val="43ED0DC6"/>
    <w:rsid w:val="43FB4652"/>
    <w:rsid w:val="43FF1225"/>
    <w:rsid w:val="445F4788"/>
    <w:rsid w:val="44B32884"/>
    <w:rsid w:val="44E73A68"/>
    <w:rsid w:val="45223845"/>
    <w:rsid w:val="45290298"/>
    <w:rsid w:val="45B51211"/>
    <w:rsid w:val="45BD6D52"/>
    <w:rsid w:val="45EF52CA"/>
    <w:rsid w:val="46276812"/>
    <w:rsid w:val="462A4554"/>
    <w:rsid w:val="46517D32"/>
    <w:rsid w:val="46753001"/>
    <w:rsid w:val="46821C9A"/>
    <w:rsid w:val="46E51A75"/>
    <w:rsid w:val="47762C36"/>
    <w:rsid w:val="477C0DDF"/>
    <w:rsid w:val="480212E4"/>
    <w:rsid w:val="482B73A4"/>
    <w:rsid w:val="48C04CFB"/>
    <w:rsid w:val="48FF5824"/>
    <w:rsid w:val="49266FC3"/>
    <w:rsid w:val="492B03C7"/>
    <w:rsid w:val="493C6A78"/>
    <w:rsid w:val="49425710"/>
    <w:rsid w:val="498E5824"/>
    <w:rsid w:val="49DE053E"/>
    <w:rsid w:val="4A625D30"/>
    <w:rsid w:val="4A767D68"/>
    <w:rsid w:val="4B475260"/>
    <w:rsid w:val="4B4C2876"/>
    <w:rsid w:val="4B7E5126"/>
    <w:rsid w:val="4B9E1324"/>
    <w:rsid w:val="4BBF201F"/>
    <w:rsid w:val="4BD447E4"/>
    <w:rsid w:val="4BE17463"/>
    <w:rsid w:val="4C9D0B46"/>
    <w:rsid w:val="4CA26BF2"/>
    <w:rsid w:val="4CEE1E37"/>
    <w:rsid w:val="4D145F92"/>
    <w:rsid w:val="4D294F88"/>
    <w:rsid w:val="4D330192"/>
    <w:rsid w:val="4D461C73"/>
    <w:rsid w:val="4DBD0281"/>
    <w:rsid w:val="4E092CA1"/>
    <w:rsid w:val="4E4156DB"/>
    <w:rsid w:val="4E93713A"/>
    <w:rsid w:val="4F1456D4"/>
    <w:rsid w:val="4F7C54AB"/>
    <w:rsid w:val="4F9905AE"/>
    <w:rsid w:val="4F9C1BDE"/>
    <w:rsid w:val="4FC33F25"/>
    <w:rsid w:val="4FD001C7"/>
    <w:rsid w:val="4FFF6109"/>
    <w:rsid w:val="500B71A4"/>
    <w:rsid w:val="502E60F8"/>
    <w:rsid w:val="50334005"/>
    <w:rsid w:val="505E4B9C"/>
    <w:rsid w:val="50A30487"/>
    <w:rsid w:val="50DD1804"/>
    <w:rsid w:val="5181771E"/>
    <w:rsid w:val="51A52CE0"/>
    <w:rsid w:val="52195EFA"/>
    <w:rsid w:val="529674E9"/>
    <w:rsid w:val="52AB1DB1"/>
    <w:rsid w:val="52AB40BC"/>
    <w:rsid w:val="53297F06"/>
    <w:rsid w:val="535D3873"/>
    <w:rsid w:val="53876B42"/>
    <w:rsid w:val="54153BAB"/>
    <w:rsid w:val="543E18F6"/>
    <w:rsid w:val="546B1FBF"/>
    <w:rsid w:val="54996B2C"/>
    <w:rsid w:val="54F104FB"/>
    <w:rsid w:val="550A7A2A"/>
    <w:rsid w:val="554A7E27"/>
    <w:rsid w:val="555E1B24"/>
    <w:rsid w:val="556A04C9"/>
    <w:rsid w:val="559E5653"/>
    <w:rsid w:val="55A420D7"/>
    <w:rsid w:val="55AB3C2F"/>
    <w:rsid w:val="55EC35D4"/>
    <w:rsid w:val="56383CF3"/>
    <w:rsid w:val="56455CD4"/>
    <w:rsid w:val="565C42B5"/>
    <w:rsid w:val="56AE76A6"/>
    <w:rsid w:val="56D4209E"/>
    <w:rsid w:val="56DB2C2D"/>
    <w:rsid w:val="56E4418B"/>
    <w:rsid w:val="57064221"/>
    <w:rsid w:val="5773022F"/>
    <w:rsid w:val="57770C7B"/>
    <w:rsid w:val="57857431"/>
    <w:rsid w:val="580A1AEF"/>
    <w:rsid w:val="58776655"/>
    <w:rsid w:val="58B74216"/>
    <w:rsid w:val="58C16652"/>
    <w:rsid w:val="590752B6"/>
    <w:rsid w:val="591F15CA"/>
    <w:rsid w:val="596D67DA"/>
    <w:rsid w:val="59760D08"/>
    <w:rsid w:val="597804EF"/>
    <w:rsid w:val="599E6993"/>
    <w:rsid w:val="59AC5554"/>
    <w:rsid w:val="5A564466"/>
    <w:rsid w:val="5A902780"/>
    <w:rsid w:val="5A9F4737"/>
    <w:rsid w:val="5AAE2C06"/>
    <w:rsid w:val="5AC00BD8"/>
    <w:rsid w:val="5AE8436A"/>
    <w:rsid w:val="5AF80325"/>
    <w:rsid w:val="5B480D7C"/>
    <w:rsid w:val="5B6339F0"/>
    <w:rsid w:val="5BF6561B"/>
    <w:rsid w:val="5BFA4C14"/>
    <w:rsid w:val="5C26582B"/>
    <w:rsid w:val="5C2A6C04"/>
    <w:rsid w:val="5C3543D2"/>
    <w:rsid w:val="5C406532"/>
    <w:rsid w:val="5C5753B0"/>
    <w:rsid w:val="5CE36031"/>
    <w:rsid w:val="5DB26EB1"/>
    <w:rsid w:val="5DBA559D"/>
    <w:rsid w:val="5DFE3EA4"/>
    <w:rsid w:val="5E465887"/>
    <w:rsid w:val="5E473A9D"/>
    <w:rsid w:val="5E8425FB"/>
    <w:rsid w:val="5EE50BC0"/>
    <w:rsid w:val="5F181B76"/>
    <w:rsid w:val="5F463D55"/>
    <w:rsid w:val="5FD4389C"/>
    <w:rsid w:val="5FEC48FC"/>
    <w:rsid w:val="6013374F"/>
    <w:rsid w:val="603A2D63"/>
    <w:rsid w:val="60B116A2"/>
    <w:rsid w:val="60B42F40"/>
    <w:rsid w:val="60B7767B"/>
    <w:rsid w:val="612D6A4E"/>
    <w:rsid w:val="61696F59"/>
    <w:rsid w:val="61D672CA"/>
    <w:rsid w:val="61E63AF5"/>
    <w:rsid w:val="626A2DAC"/>
    <w:rsid w:val="62784498"/>
    <w:rsid w:val="63293771"/>
    <w:rsid w:val="637C7D45"/>
    <w:rsid w:val="639808F7"/>
    <w:rsid w:val="645F2960"/>
    <w:rsid w:val="64654C7D"/>
    <w:rsid w:val="64BD496D"/>
    <w:rsid w:val="64BE25DF"/>
    <w:rsid w:val="64C44758"/>
    <w:rsid w:val="64F93617"/>
    <w:rsid w:val="655D3BA6"/>
    <w:rsid w:val="65655387"/>
    <w:rsid w:val="659A6BA8"/>
    <w:rsid w:val="65BB267B"/>
    <w:rsid w:val="65FE7BFD"/>
    <w:rsid w:val="66EC6F90"/>
    <w:rsid w:val="66F2031E"/>
    <w:rsid w:val="67761AFC"/>
    <w:rsid w:val="67AA7E58"/>
    <w:rsid w:val="67AB0BF9"/>
    <w:rsid w:val="67C56F9E"/>
    <w:rsid w:val="68077DF9"/>
    <w:rsid w:val="68382663"/>
    <w:rsid w:val="686314D3"/>
    <w:rsid w:val="6888718C"/>
    <w:rsid w:val="68E5527F"/>
    <w:rsid w:val="68E73E4A"/>
    <w:rsid w:val="69A578CA"/>
    <w:rsid w:val="6A7343B6"/>
    <w:rsid w:val="6AB029CA"/>
    <w:rsid w:val="6AB40090"/>
    <w:rsid w:val="6ADE7537"/>
    <w:rsid w:val="6AE34B4E"/>
    <w:rsid w:val="6B1F6200"/>
    <w:rsid w:val="6B4A3375"/>
    <w:rsid w:val="6B825FC3"/>
    <w:rsid w:val="6B8359E9"/>
    <w:rsid w:val="6BCA186A"/>
    <w:rsid w:val="6C613F7C"/>
    <w:rsid w:val="6C806253"/>
    <w:rsid w:val="6CF748E0"/>
    <w:rsid w:val="6D15191A"/>
    <w:rsid w:val="6D7D3037"/>
    <w:rsid w:val="6D934609"/>
    <w:rsid w:val="6DA86E98"/>
    <w:rsid w:val="6DAE50AD"/>
    <w:rsid w:val="6DDA2238"/>
    <w:rsid w:val="6E0E1EE1"/>
    <w:rsid w:val="6E5A21EA"/>
    <w:rsid w:val="6E5B7961"/>
    <w:rsid w:val="6EB8009F"/>
    <w:rsid w:val="6EC72090"/>
    <w:rsid w:val="6EF81C5F"/>
    <w:rsid w:val="6F834B73"/>
    <w:rsid w:val="6F857F81"/>
    <w:rsid w:val="6FC62348"/>
    <w:rsid w:val="6FE10E18"/>
    <w:rsid w:val="6FEC14A9"/>
    <w:rsid w:val="6FEC6252"/>
    <w:rsid w:val="701357E4"/>
    <w:rsid w:val="702E23C7"/>
    <w:rsid w:val="70A15EF2"/>
    <w:rsid w:val="70CB230C"/>
    <w:rsid w:val="71211F2C"/>
    <w:rsid w:val="721E46BD"/>
    <w:rsid w:val="72271FEC"/>
    <w:rsid w:val="72655E48"/>
    <w:rsid w:val="72824C4C"/>
    <w:rsid w:val="728A3B01"/>
    <w:rsid w:val="72D93738"/>
    <w:rsid w:val="732D2743"/>
    <w:rsid w:val="73434202"/>
    <w:rsid w:val="734819F2"/>
    <w:rsid w:val="735B7378"/>
    <w:rsid w:val="737A608E"/>
    <w:rsid w:val="73A806E2"/>
    <w:rsid w:val="73B40E35"/>
    <w:rsid w:val="73BC418E"/>
    <w:rsid w:val="741D2E7E"/>
    <w:rsid w:val="748B2B51"/>
    <w:rsid w:val="74A16CBA"/>
    <w:rsid w:val="74CB28DA"/>
    <w:rsid w:val="74D53759"/>
    <w:rsid w:val="74F33BDF"/>
    <w:rsid w:val="752B5D11"/>
    <w:rsid w:val="752C70F1"/>
    <w:rsid w:val="75387844"/>
    <w:rsid w:val="753903C8"/>
    <w:rsid w:val="75CC2E8E"/>
    <w:rsid w:val="75DC4AB5"/>
    <w:rsid w:val="75EF406B"/>
    <w:rsid w:val="76391AC6"/>
    <w:rsid w:val="765B7C8E"/>
    <w:rsid w:val="76707B96"/>
    <w:rsid w:val="76726D86"/>
    <w:rsid w:val="768D36C7"/>
    <w:rsid w:val="76C3504D"/>
    <w:rsid w:val="77030113"/>
    <w:rsid w:val="770422FE"/>
    <w:rsid w:val="7746449A"/>
    <w:rsid w:val="775546DD"/>
    <w:rsid w:val="778C3E77"/>
    <w:rsid w:val="77E31CE9"/>
    <w:rsid w:val="78376C25"/>
    <w:rsid w:val="78746DE5"/>
    <w:rsid w:val="78A72AF0"/>
    <w:rsid w:val="790F6B0E"/>
    <w:rsid w:val="79134850"/>
    <w:rsid w:val="79200163"/>
    <w:rsid w:val="79261AEA"/>
    <w:rsid w:val="7956473D"/>
    <w:rsid w:val="798661F3"/>
    <w:rsid w:val="799314ED"/>
    <w:rsid w:val="79EE2C15"/>
    <w:rsid w:val="7A80407C"/>
    <w:rsid w:val="7A9E45ED"/>
    <w:rsid w:val="7AA46F38"/>
    <w:rsid w:val="7AB9035E"/>
    <w:rsid w:val="7B3675F7"/>
    <w:rsid w:val="7B467F1D"/>
    <w:rsid w:val="7BA7772C"/>
    <w:rsid w:val="7C0924C9"/>
    <w:rsid w:val="7C507B69"/>
    <w:rsid w:val="7C711A95"/>
    <w:rsid w:val="7C8D4919"/>
    <w:rsid w:val="7CBA4FE2"/>
    <w:rsid w:val="7CD24A22"/>
    <w:rsid w:val="7CD74C16"/>
    <w:rsid w:val="7D2F777E"/>
    <w:rsid w:val="7D5F0561"/>
    <w:rsid w:val="7D60202E"/>
    <w:rsid w:val="7D64256D"/>
    <w:rsid w:val="7D6458CE"/>
    <w:rsid w:val="7D8555F0"/>
    <w:rsid w:val="7D916095"/>
    <w:rsid w:val="7DB14637"/>
    <w:rsid w:val="7DC51E91"/>
    <w:rsid w:val="7E141A72"/>
    <w:rsid w:val="7E703977"/>
    <w:rsid w:val="7E963DC6"/>
    <w:rsid w:val="7EF02F3D"/>
    <w:rsid w:val="7F1B1599"/>
    <w:rsid w:val="7F5F65D1"/>
    <w:rsid w:val="7F606315"/>
    <w:rsid w:val="7F6210EB"/>
    <w:rsid w:val="7F8B73C1"/>
    <w:rsid w:val="7F961D37"/>
    <w:rsid w:val="7FAC3308"/>
    <w:rsid w:val="7FDB05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autoRedefine/>
    <w:qFormat/>
    <w:uiPriority w:val="0"/>
    <w:pPr>
      <w:keepNext/>
      <w:keepLines/>
      <w:spacing w:before="340" w:afterLines="25" w:line="578" w:lineRule="auto"/>
      <w:outlineLvl w:val="0"/>
    </w:pPr>
    <w:rPr>
      <w:rFonts w:ascii="Arial" w:hAnsi="Arial" w:eastAsia="宋体" w:cs="Times New Roman"/>
      <w:b/>
      <w:bCs/>
      <w:kern w:val="44"/>
      <w:sz w:val="44"/>
      <w:szCs w:val="44"/>
    </w:rPr>
  </w:style>
  <w:style w:type="paragraph" w:styleId="3">
    <w:name w:val="heading 2"/>
    <w:basedOn w:val="4"/>
    <w:next w:val="5"/>
    <w:link w:val="32"/>
    <w:autoRedefine/>
    <w:semiHidden/>
    <w:unhideWhenUsed/>
    <w:qFormat/>
    <w:uiPriority w:val="9"/>
    <w:pPr>
      <w:spacing w:line="416" w:lineRule="auto"/>
      <w:outlineLvl w:val="1"/>
    </w:pPr>
    <w:rPr>
      <w:rFonts w:asciiTheme="majorHAnsi" w:hAnsiTheme="majorHAnsi" w:eastAsiaTheme="majorEastAsia" w:cstheme="majorBidi"/>
      <w:sz w:val="32"/>
    </w:rPr>
  </w:style>
  <w:style w:type="paragraph" w:styleId="4">
    <w:name w:val="heading 3"/>
    <w:basedOn w:val="5"/>
    <w:next w:val="1"/>
    <w:autoRedefine/>
    <w:qFormat/>
    <w:uiPriority w:val="9"/>
    <w:pPr>
      <w:spacing w:before="260" w:after="260" w:line="240" w:lineRule="auto"/>
      <w:outlineLvl w:val="2"/>
    </w:pPr>
    <w:rPr>
      <w:rFonts w:ascii="宋体" w:hAnsi="宋体" w:eastAsia="宋体"/>
      <w:szCs w:val="32"/>
    </w:rPr>
  </w:style>
  <w:style w:type="paragraph" w:styleId="5">
    <w:name w:val="heading 4"/>
    <w:basedOn w:val="1"/>
    <w:next w:val="1"/>
    <w:autoRedefine/>
    <w:qFormat/>
    <w:uiPriority w:val="9"/>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spacing w:line="360" w:lineRule="auto"/>
      <w:ind w:firstLine="394" w:firstLineChars="187"/>
      <w:jc w:val="center"/>
    </w:pPr>
    <w:rPr>
      <w:rFonts w:ascii="宋体" w:hAnsi="宋体" w:eastAsia="宋体" w:cs="宋体"/>
      <w:b/>
      <w:szCs w:val="21"/>
    </w:rPr>
  </w:style>
  <w:style w:type="paragraph" w:styleId="7">
    <w:name w:val="Document Map"/>
    <w:basedOn w:val="1"/>
    <w:link w:val="31"/>
    <w:autoRedefine/>
    <w:semiHidden/>
    <w:unhideWhenUsed/>
    <w:qFormat/>
    <w:uiPriority w:val="99"/>
    <w:rPr>
      <w:rFonts w:ascii="宋体" w:eastAsia="宋体"/>
      <w:sz w:val="18"/>
      <w:szCs w:val="18"/>
    </w:rPr>
  </w:style>
  <w:style w:type="paragraph" w:styleId="8">
    <w:name w:val="annotation text"/>
    <w:basedOn w:val="1"/>
    <w:link w:val="33"/>
    <w:autoRedefine/>
    <w:unhideWhenUsed/>
    <w:qFormat/>
    <w:uiPriority w:val="0"/>
    <w:pPr>
      <w:jc w:val="left"/>
    </w:pPr>
  </w:style>
  <w:style w:type="paragraph" w:styleId="9">
    <w:name w:val="Body Text"/>
    <w:basedOn w:val="1"/>
    <w:link w:val="38"/>
    <w:autoRedefine/>
    <w:qFormat/>
    <w:uiPriority w:val="0"/>
    <w:pPr>
      <w:spacing w:line="360" w:lineRule="auto"/>
    </w:pPr>
    <w:rPr>
      <w:b/>
      <w:bCs/>
      <w:sz w:val="24"/>
    </w:rPr>
  </w:style>
  <w:style w:type="paragraph" w:styleId="10">
    <w:name w:val="Balloon Text"/>
    <w:basedOn w:val="1"/>
    <w:link w:val="27"/>
    <w:autoRedefine/>
    <w:semiHidden/>
    <w:unhideWhenUsed/>
    <w:qFormat/>
    <w:uiPriority w:val="99"/>
    <w:rPr>
      <w:sz w:val="18"/>
      <w:szCs w:val="18"/>
    </w:rPr>
  </w:style>
  <w:style w:type="paragraph" w:styleId="11">
    <w:name w:val="footer"/>
    <w:basedOn w:val="1"/>
    <w:link w:val="26"/>
    <w:autoRedefine/>
    <w:unhideWhenUsed/>
    <w:qFormat/>
    <w:uiPriority w:val="99"/>
    <w:pPr>
      <w:tabs>
        <w:tab w:val="center" w:pos="4153"/>
        <w:tab w:val="right" w:pos="8306"/>
      </w:tabs>
      <w:snapToGrid w:val="0"/>
      <w:jc w:val="left"/>
    </w:pPr>
    <w:rPr>
      <w:sz w:val="18"/>
      <w:szCs w:val="18"/>
    </w:rPr>
  </w:style>
  <w:style w:type="paragraph" w:styleId="12">
    <w:name w:val="header"/>
    <w:basedOn w:val="1"/>
    <w:link w:val="25"/>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qFormat/>
    <w:uiPriority w:val="0"/>
    <w:pPr>
      <w:widowControl/>
      <w:jc w:val="left"/>
    </w:pPr>
    <w:rPr>
      <w:kern w:val="0"/>
      <w:sz w:val="20"/>
      <w:szCs w:val="20"/>
      <w:lang w:val="de-DE" w:eastAsia="en-US"/>
    </w:rPr>
  </w:style>
  <w:style w:type="paragraph" w:styleId="14">
    <w:name w:val="Body Text 2"/>
    <w:basedOn w:val="1"/>
    <w:autoRedefine/>
    <w:qFormat/>
    <w:uiPriority w:val="0"/>
    <w:pPr>
      <w:spacing w:line="360" w:lineRule="auto"/>
    </w:pPr>
    <w:rPr>
      <w:sz w:val="24"/>
    </w:rPr>
  </w:style>
  <w:style w:type="paragraph" w:styleId="15">
    <w:name w:val="Normal (Web)"/>
    <w:basedOn w:val="1"/>
    <w:link w:val="28"/>
    <w:autoRedefine/>
    <w:qFormat/>
    <w:uiPriority w:val="99"/>
    <w:pPr>
      <w:widowControl/>
      <w:spacing w:before="100" w:beforeAutospacing="1" w:afterAutospacing="1"/>
      <w:jc w:val="left"/>
    </w:pPr>
    <w:rPr>
      <w:rFonts w:ascii="宋体" w:hAnsi="宋体"/>
      <w:sz w:val="24"/>
      <w:szCs w:val="24"/>
    </w:rPr>
  </w:style>
  <w:style w:type="paragraph" w:styleId="16">
    <w:name w:val="annotation subject"/>
    <w:basedOn w:val="8"/>
    <w:next w:val="8"/>
    <w:link w:val="35"/>
    <w:autoRedefine/>
    <w:semiHidden/>
    <w:unhideWhenUsed/>
    <w:qFormat/>
    <w:uiPriority w:val="99"/>
    <w:rPr>
      <w:b/>
      <w:bCs/>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0"/>
    <w:rPr>
      <w:b/>
      <w:bCs/>
    </w:rPr>
  </w:style>
  <w:style w:type="character" w:styleId="21">
    <w:name w:val="page number"/>
    <w:basedOn w:val="19"/>
    <w:qFormat/>
    <w:uiPriority w:val="0"/>
  </w:style>
  <w:style w:type="character" w:styleId="22">
    <w:name w:val="FollowedHyperlink"/>
    <w:basedOn w:val="19"/>
    <w:autoRedefine/>
    <w:semiHidden/>
    <w:unhideWhenUsed/>
    <w:qFormat/>
    <w:uiPriority w:val="99"/>
    <w:rPr>
      <w:color w:val="800080" w:themeColor="followedHyperlink"/>
      <w:u w:val="single"/>
    </w:rPr>
  </w:style>
  <w:style w:type="character" w:styleId="23">
    <w:name w:val="Hyperlink"/>
    <w:basedOn w:val="19"/>
    <w:autoRedefine/>
    <w:unhideWhenUsed/>
    <w:qFormat/>
    <w:uiPriority w:val="99"/>
    <w:rPr>
      <w:color w:val="0000FF" w:themeColor="hyperlink"/>
      <w:u w:val="single"/>
    </w:rPr>
  </w:style>
  <w:style w:type="character" w:styleId="24">
    <w:name w:val="annotation reference"/>
    <w:basedOn w:val="19"/>
    <w:autoRedefine/>
    <w:semiHidden/>
    <w:unhideWhenUsed/>
    <w:qFormat/>
    <w:uiPriority w:val="99"/>
    <w:rPr>
      <w:sz w:val="21"/>
      <w:szCs w:val="21"/>
    </w:rPr>
  </w:style>
  <w:style w:type="character" w:customStyle="1" w:styleId="25">
    <w:name w:val="页眉 Char"/>
    <w:basedOn w:val="19"/>
    <w:link w:val="12"/>
    <w:autoRedefine/>
    <w:semiHidden/>
    <w:qFormat/>
    <w:uiPriority w:val="99"/>
    <w:rPr>
      <w:sz w:val="18"/>
      <w:szCs w:val="18"/>
    </w:rPr>
  </w:style>
  <w:style w:type="character" w:customStyle="1" w:styleId="26">
    <w:name w:val="页脚 Char"/>
    <w:basedOn w:val="19"/>
    <w:link w:val="11"/>
    <w:autoRedefine/>
    <w:qFormat/>
    <w:uiPriority w:val="99"/>
    <w:rPr>
      <w:sz w:val="18"/>
      <w:szCs w:val="18"/>
    </w:rPr>
  </w:style>
  <w:style w:type="character" w:customStyle="1" w:styleId="27">
    <w:name w:val="批注框文本 Char"/>
    <w:basedOn w:val="19"/>
    <w:link w:val="10"/>
    <w:autoRedefine/>
    <w:semiHidden/>
    <w:qFormat/>
    <w:uiPriority w:val="99"/>
    <w:rPr>
      <w:sz w:val="18"/>
      <w:szCs w:val="18"/>
    </w:rPr>
  </w:style>
  <w:style w:type="character" w:customStyle="1" w:styleId="28">
    <w:name w:val="普通(网站) Char"/>
    <w:link w:val="15"/>
    <w:autoRedefine/>
    <w:qFormat/>
    <w:uiPriority w:val="99"/>
    <w:rPr>
      <w:rFonts w:ascii="宋体" w:hAnsi="宋体"/>
      <w:sz w:val="24"/>
      <w:szCs w:val="24"/>
    </w:rPr>
  </w:style>
  <w:style w:type="character" w:customStyle="1" w:styleId="29">
    <w:name w:val="标题 1 Char"/>
    <w:basedOn w:val="19"/>
    <w:link w:val="2"/>
    <w:autoRedefine/>
    <w:qFormat/>
    <w:uiPriority w:val="0"/>
    <w:rPr>
      <w:rFonts w:ascii="Arial" w:hAnsi="Arial" w:eastAsia="宋体" w:cs="Times New Roman"/>
      <w:b/>
      <w:bCs/>
      <w:kern w:val="44"/>
      <w:sz w:val="44"/>
      <w:szCs w:val="44"/>
    </w:rPr>
  </w:style>
  <w:style w:type="paragraph" w:styleId="30">
    <w:name w:val="List Paragraph"/>
    <w:basedOn w:val="1"/>
    <w:autoRedefine/>
    <w:qFormat/>
    <w:uiPriority w:val="34"/>
    <w:pPr>
      <w:ind w:firstLine="420" w:firstLineChars="200"/>
    </w:pPr>
  </w:style>
  <w:style w:type="character" w:customStyle="1" w:styleId="31">
    <w:name w:val="文档结构图 Char"/>
    <w:basedOn w:val="19"/>
    <w:link w:val="7"/>
    <w:autoRedefine/>
    <w:semiHidden/>
    <w:qFormat/>
    <w:uiPriority w:val="99"/>
    <w:rPr>
      <w:rFonts w:ascii="宋体" w:eastAsia="宋体"/>
      <w:sz w:val="18"/>
      <w:szCs w:val="18"/>
    </w:rPr>
  </w:style>
  <w:style w:type="character" w:customStyle="1" w:styleId="32">
    <w:name w:val="标题 2 Char"/>
    <w:basedOn w:val="19"/>
    <w:link w:val="3"/>
    <w:autoRedefine/>
    <w:semiHidden/>
    <w:qFormat/>
    <w:uiPriority w:val="9"/>
    <w:rPr>
      <w:rFonts w:asciiTheme="majorHAnsi" w:hAnsiTheme="majorHAnsi" w:eastAsiaTheme="majorEastAsia" w:cstheme="majorBidi"/>
      <w:b/>
      <w:bCs/>
      <w:sz w:val="32"/>
      <w:szCs w:val="32"/>
    </w:rPr>
  </w:style>
  <w:style w:type="character" w:customStyle="1" w:styleId="33">
    <w:name w:val="批注文字 Char"/>
    <w:basedOn w:val="19"/>
    <w:link w:val="8"/>
    <w:autoRedefine/>
    <w:qFormat/>
    <w:uiPriority w:val="0"/>
  </w:style>
  <w:style w:type="character" w:customStyle="1" w:styleId="34">
    <w:name w:val="标题 3 Char"/>
    <w:autoRedefine/>
    <w:qFormat/>
    <w:uiPriority w:val="0"/>
    <w:rPr>
      <w:rFonts w:ascii="黑体" w:eastAsia="黑体"/>
      <w:bCs/>
      <w:sz w:val="30"/>
    </w:rPr>
  </w:style>
  <w:style w:type="character" w:customStyle="1" w:styleId="35">
    <w:name w:val="批注主题 Char"/>
    <w:basedOn w:val="33"/>
    <w:link w:val="16"/>
    <w:autoRedefine/>
    <w:semiHidden/>
    <w:qFormat/>
    <w:uiPriority w:val="99"/>
    <w:rPr>
      <w:b/>
      <w:bCs/>
    </w:rPr>
  </w:style>
  <w:style w:type="table" w:customStyle="1" w:styleId="36">
    <w:name w:val="网格型1"/>
    <w:basedOn w:val="17"/>
    <w:autoRedefine/>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7">
    <w:name w:val="Table Paragraph"/>
    <w:qFormat/>
    <w:uiPriority w:val="1"/>
    <w:pPr>
      <w:widowControl w:val="0"/>
      <w:jc w:val="both"/>
    </w:pPr>
    <w:rPr>
      <w:rFonts w:ascii="宋体" w:hAnsi="宋体" w:eastAsia="宋体" w:cs="宋体"/>
      <w:kern w:val="2"/>
      <w:sz w:val="21"/>
      <w:szCs w:val="24"/>
      <w:lang w:val="zh-CN" w:eastAsia="zh-CN" w:bidi="zh-CN"/>
    </w:rPr>
  </w:style>
  <w:style w:type="character" w:customStyle="1" w:styleId="38">
    <w:name w:val="正文文本 Char"/>
    <w:link w:val="9"/>
    <w:qFormat/>
    <w:uiPriority w:val="0"/>
    <w:rPr>
      <w:rFonts w:asciiTheme="minorHAnsi" w:hAnsiTheme="minorHAnsi" w:eastAsiaTheme="minorEastAsia" w:cstheme="minorBidi"/>
      <w:b/>
      <w:bCs/>
      <w:kern w:val="2"/>
      <w:sz w:val="24"/>
      <w:szCs w:val="22"/>
    </w:rPr>
  </w:style>
  <w:style w:type="paragraph" w:customStyle="1" w:styleId="39">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69</Pages>
  <Words>38384</Words>
  <Characters>39775</Characters>
  <Lines>297</Lines>
  <Paragraphs>83</Paragraphs>
  <TotalTime>33</TotalTime>
  <ScaleCrop>false</ScaleCrop>
  <LinksUpToDate>false</LinksUpToDate>
  <CharactersWithSpaces>41407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2021-03-03T00:56:00Z</dcterms:created>
  <dc:creator>win7-1</dc:creator>
  <cp:lastModifiedBy>viki淡</cp:lastModifiedBy>
  <cp:lastPrinted>2021-01-15T01:17:00Z</cp:lastPrinted>
  <dcterms:modified xsi:type="dcterms:W3CDTF">2024-07-22T09:01:50Z</dcterms:modified>
  <cp:revision>485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1D35441E0ED44CDAA276D758760C3890_12</vt:lpwstr>
  </property>
</Properties>
</file>