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F2C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66659E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095AC983">
      <w:pPr>
        <w:jc w:val="center"/>
        <w:rPr>
          <w:rFonts w:hint="eastAsia" w:ascii="黑体" w:hAnsi="黑体" w:eastAsia="黑体" w:cs="黑体"/>
          <w:sz w:val="44"/>
          <w:szCs w:val="44"/>
        </w:rPr>
      </w:pPr>
      <w:r>
        <w:rPr>
          <w:rFonts w:hint="eastAsia" w:ascii="黑体" w:hAnsi="黑体" w:eastAsia="黑体" w:cs="黑体"/>
          <w:sz w:val="44"/>
          <w:szCs w:val="44"/>
        </w:rPr>
        <w:t>深圳农业科技创新集团有限公司</w:t>
      </w:r>
    </w:p>
    <w:p w14:paraId="19D0122F">
      <w:pPr>
        <w:jc w:val="center"/>
        <w:rPr>
          <w:rFonts w:hint="eastAsia" w:ascii="黑体" w:hAnsi="黑体" w:eastAsia="黑体" w:cs="黑体"/>
          <w:sz w:val="44"/>
          <w:szCs w:val="44"/>
          <w:lang w:eastAsia="zh-CN"/>
        </w:rPr>
      </w:pPr>
      <w:r>
        <w:rPr>
          <w:rFonts w:hint="eastAsia" w:ascii="黑体" w:hAnsi="黑体" w:eastAsia="黑体" w:cs="黑体"/>
          <w:sz w:val="44"/>
          <w:szCs w:val="44"/>
        </w:rPr>
        <w:t>关于2026-2027年后勤服务项目的询价函</w:t>
      </w:r>
    </w:p>
    <w:p w14:paraId="2DF58352">
      <w:pPr>
        <w:ind w:firstLine="640" w:firstLineChars="200"/>
        <w:rPr>
          <w:rFonts w:ascii="仿宋" w:hAnsi="仿宋" w:eastAsia="仿宋" w:cs="仿宋"/>
          <w:sz w:val="32"/>
          <w:szCs w:val="32"/>
        </w:rPr>
      </w:pPr>
    </w:p>
    <w:p w14:paraId="45079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为保障公司办公场所规范有序运转，结合公司总部及河套科创中心研发场地后勤服务实际需求，拟组织开展</w:t>
      </w:r>
      <w:r>
        <w:rPr>
          <w:rFonts w:hint="eastAsia" w:ascii="仿宋_GB2312" w:hAnsi="仿宋_GB2312" w:eastAsia="仿宋_GB2312" w:cs="仿宋_GB2312"/>
          <w:sz w:val="32"/>
          <w:szCs w:val="32"/>
          <w:lang w:eastAsia="zh-CN"/>
        </w:rPr>
        <w:t>后勤服务</w:t>
      </w:r>
      <w:r>
        <w:rPr>
          <w:rFonts w:ascii="仿宋_GB2312" w:hAnsi="仿宋_GB2312" w:eastAsia="仿宋_GB2312" w:cs="仿宋_GB2312"/>
          <w:sz w:val="32"/>
          <w:szCs w:val="32"/>
        </w:rPr>
        <w:t>采购工作。</w:t>
      </w:r>
      <w:r>
        <w:rPr>
          <w:rFonts w:hint="eastAsia" w:ascii="仿宋_GB2312" w:hAnsi="仿宋_GB2312" w:eastAsia="仿宋_GB2312" w:cs="仿宋_GB2312"/>
          <w:sz w:val="32"/>
          <w:szCs w:val="32"/>
        </w:rPr>
        <w:t>相关事宜函告如下：</w:t>
      </w:r>
    </w:p>
    <w:p w14:paraId="05373F9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一、</w:t>
      </w:r>
      <w:r>
        <w:rPr>
          <w:rFonts w:hint="eastAsia" w:ascii="黑体" w:hAnsi="黑体" w:eastAsia="黑体" w:cs="黑体"/>
          <w:sz w:val="32"/>
          <w:szCs w:val="32"/>
          <w:highlight w:val="none"/>
          <w:lang w:val="en-US" w:eastAsia="zh-CN"/>
        </w:rPr>
        <w:t>项目名称</w:t>
      </w:r>
    </w:p>
    <w:p w14:paraId="08C9794E">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深圳农业科技创新集团有限公司2026-2027年后勤服务项目</w:t>
      </w:r>
    </w:p>
    <w:p w14:paraId="2D35FB5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联系方式</w:t>
      </w:r>
    </w:p>
    <w:p w14:paraId="7D662234">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联系人:</w:t>
      </w:r>
      <w:r>
        <w:rPr>
          <w:rFonts w:hint="eastAsia" w:ascii="仿宋_GB2312" w:hAnsi="仿宋_GB2312" w:eastAsia="仿宋_GB2312" w:cs="仿宋_GB2312"/>
          <w:sz w:val="32"/>
          <w:szCs w:val="32"/>
          <w:highlight w:val="none"/>
          <w:lang w:val="en-US" w:eastAsia="zh-CN"/>
        </w:rPr>
        <w:t>王先生</w:t>
      </w:r>
    </w:p>
    <w:p w14:paraId="4191CA3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电</w:t>
      </w:r>
      <w:r>
        <w:rPr>
          <w:rFonts w:hint="eastAsia" w:ascii="仿宋_GB2312" w:hAnsi="仿宋_GB2312" w:eastAsia="仿宋_GB2312" w:cs="仿宋_GB2312"/>
          <w:sz w:val="32"/>
          <w:szCs w:val="32"/>
          <w:highlight w:val="none"/>
          <w:lang w:val="en-US" w:eastAsia="zh-CN"/>
        </w:rPr>
        <w:t xml:space="preserve">  </w:t>
      </w:r>
      <w:r>
        <w:rPr>
          <w:rFonts w:hint="default" w:ascii="仿宋_GB2312" w:hAnsi="仿宋_GB2312" w:eastAsia="仿宋_GB2312" w:cs="仿宋_GB2312"/>
          <w:sz w:val="32"/>
          <w:szCs w:val="32"/>
          <w:highlight w:val="none"/>
          <w:lang w:val="en-US" w:eastAsia="zh-CN"/>
        </w:rPr>
        <w:t>话:</w:t>
      </w:r>
      <w:r>
        <w:rPr>
          <w:rFonts w:hint="eastAsia" w:ascii="仿宋_GB2312" w:hAnsi="仿宋_GB2312" w:eastAsia="仿宋_GB2312" w:cs="仿宋_GB2312"/>
          <w:sz w:val="32"/>
          <w:szCs w:val="32"/>
          <w:highlight w:val="none"/>
          <w:lang w:val="en-US" w:eastAsia="zh-CN"/>
        </w:rPr>
        <w:t>13538236523</w:t>
      </w:r>
    </w:p>
    <w:p w14:paraId="2BFF0C8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邮箱:wangzhijie@atigroup.cn</w:t>
      </w:r>
    </w:p>
    <w:p w14:paraId="57C8DE1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采购方式及预算安排</w:t>
      </w:r>
    </w:p>
    <w:p w14:paraId="58B72DC2">
      <w:pPr>
        <w:snapToGrid w:val="0"/>
        <w:spacing w:before="0" w:beforeAutospacing="0" w:after="0" w:afterAutospacing="0" w:line="560" w:lineRule="exact"/>
        <w:ind w:firstLine="640" w:firstLineChars="200"/>
        <w:jc w:val="both"/>
        <w:rPr>
          <w:rFonts w:hint="eastAsia"/>
        </w:rPr>
      </w:pPr>
      <w:r>
        <w:rPr>
          <w:rFonts w:ascii="仿宋_GB2312" w:hAnsi="仿宋_GB2312" w:eastAsia="仿宋_GB2312" w:cs="仿宋_GB2312"/>
          <w:sz w:val="32"/>
          <w:szCs w:val="32"/>
        </w:rPr>
        <w:t>本次采购服务期限为一年，如履约评价优秀，可按年度续约，总服务期限不超过</w:t>
      </w:r>
      <w:r>
        <w:rPr>
          <w:rFonts w:hint="eastAsia" w:ascii="仿宋_GB2312" w:hAnsi="仿宋_GB2312" w:eastAsia="仿宋_GB2312" w:cs="仿宋_GB2312"/>
          <w:sz w:val="32"/>
          <w:szCs w:val="32"/>
          <w:lang w:val="en-US" w:eastAsia="zh-CN"/>
        </w:rPr>
        <w:t>24</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highlight w:val="none"/>
          <w:lang w:val="en-US" w:eastAsia="zh-CN"/>
        </w:rPr>
        <w:t>，采购控制价为人民币</w:t>
      </w:r>
      <w:r>
        <w:rPr>
          <w:rFonts w:hint="eastAsia" w:ascii="仿宋_GB2312" w:hAnsi="仿宋_GB2312" w:eastAsia="仿宋_GB2312" w:cs="仿宋_GB2312"/>
          <w:sz w:val="32"/>
          <w:szCs w:val="32"/>
          <w:lang w:val="en-US" w:eastAsia="zh-CN"/>
        </w:rPr>
        <w:t>45.6</w:t>
      </w:r>
      <w:r>
        <w:rPr>
          <w:rFonts w:ascii="仿宋_GB2312" w:hAnsi="仿宋_GB2312" w:eastAsia="仿宋_GB2312" w:cs="仿宋_GB2312"/>
          <w:sz w:val="32"/>
          <w:szCs w:val="32"/>
        </w:rPr>
        <w:t>万元（含税）。其中前台服务人员</w:t>
      </w:r>
      <w:r>
        <w:rPr>
          <w:rFonts w:hint="eastAsia" w:ascii="仿宋_GB2312" w:hAnsi="仿宋_GB2312" w:eastAsia="仿宋_GB2312" w:cs="仿宋_GB2312"/>
          <w:sz w:val="32"/>
          <w:szCs w:val="32"/>
          <w:lang w:val="en-US" w:eastAsia="zh-CN"/>
        </w:rPr>
        <w:t>2名，</w:t>
      </w:r>
      <w:r>
        <w:rPr>
          <w:rFonts w:ascii="仿宋_GB2312" w:hAnsi="仿宋_GB2312" w:eastAsia="仿宋_GB2312" w:cs="仿宋_GB2312"/>
          <w:sz w:val="32"/>
          <w:szCs w:val="32"/>
        </w:rPr>
        <w:t>单价1.</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万元/人/月，保洁服务人员</w:t>
      </w:r>
      <w:r>
        <w:rPr>
          <w:rFonts w:hint="eastAsia" w:ascii="仿宋_GB2312" w:hAnsi="仿宋_GB2312" w:eastAsia="仿宋_GB2312" w:cs="仿宋_GB2312"/>
          <w:sz w:val="32"/>
          <w:szCs w:val="32"/>
          <w:lang w:val="en-US" w:eastAsia="zh-CN"/>
        </w:rPr>
        <w:t>2名，</w:t>
      </w:r>
      <w:r>
        <w:rPr>
          <w:rFonts w:ascii="仿宋_GB2312" w:hAnsi="仿宋_GB2312" w:eastAsia="仿宋_GB2312" w:cs="仿宋_GB2312"/>
          <w:sz w:val="32"/>
          <w:szCs w:val="32"/>
        </w:rPr>
        <w:t>单价0.</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万元/人/月，费用根据实际派驻人员数量及出勤情况据实结算。</w:t>
      </w:r>
    </w:p>
    <w:p w14:paraId="1430A9EA">
      <w:pPr>
        <w:snapToGrid w:val="0"/>
        <w:spacing w:before="0" w:beforeAutospacing="0" w:after="0" w:afterAutospacing="0" w:line="560" w:lineRule="exact"/>
        <w:ind w:firstLine="420" w:firstLineChars="0"/>
        <w:jc w:val="left"/>
        <w:rPr>
          <w:rFonts w:hint="eastAsia" w:ascii="仿宋_GB2312" w:hAnsi="仿宋_GB2312" w:eastAsia="仿宋_GB2312" w:cs="仿宋_GB2312"/>
        </w:rPr>
      </w:pPr>
      <w:r>
        <w:rPr>
          <w:rFonts w:hint="eastAsia" w:ascii="仿宋_GB2312" w:hAnsi="仿宋_GB2312" w:eastAsia="仿宋_GB2312" w:cs="仿宋_GB2312"/>
          <w:sz w:val="32"/>
          <w:szCs w:val="32"/>
        </w:rPr>
        <w:t>（二）服务期限</w:t>
      </w:r>
      <w:bookmarkStart w:id="0" w:name="_GoBack"/>
      <w:bookmarkEnd w:id="0"/>
    </w:p>
    <w:p w14:paraId="76D7BB4A">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拟采用公开询价方式采购，按综合评估法确定中标候选人。</w:t>
      </w:r>
    </w:p>
    <w:p w14:paraId="720EFEEC">
      <w:pPr>
        <w:keepNext w:val="0"/>
        <w:keepLines w:val="0"/>
        <w:pageBreakBefore w:val="0"/>
        <w:wordWrap/>
        <w:topLinePunct w:val="0"/>
        <w:autoSpaceDE/>
        <w:autoSpaceDN/>
        <w:bidi w:val="0"/>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资质要求</w:t>
      </w:r>
    </w:p>
    <w:p w14:paraId="47A53E43">
      <w:pPr>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（一）投标人必须是在中华人民共和国境内注册（不含港、澳、台地区）的独立法人，具有合法有效的营业执照，具备物业服务或后勤综合服务相应经营范围与服务能力（提供营业执照复印件</w:t>
      </w:r>
      <w:r>
        <w:rPr>
          <w:rFonts w:hint="eastAsia" w:ascii="仿宋_GB2312" w:hAnsi="仿宋_GB2312" w:eastAsia="仿宋_GB2312" w:cs="仿宋_GB2312"/>
          <w:sz w:val="32"/>
          <w:szCs w:val="32"/>
          <w:lang w:val="en-US" w:eastAsia="zh-CN"/>
        </w:rPr>
        <w:t>或扫描件</w:t>
      </w:r>
      <w:r>
        <w:rPr>
          <w:rFonts w:ascii="仿宋_GB2312" w:hAnsi="仿宋_GB2312" w:eastAsia="仿宋_GB2312" w:cs="仿宋_GB2312"/>
          <w:sz w:val="32"/>
          <w:szCs w:val="32"/>
        </w:rPr>
        <w:t>并加盖公章）；</w:t>
      </w:r>
    </w:p>
    <w:p w14:paraId="377361DA">
      <w:pPr>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投标人近三年在经营活动中无重大违法违规记录，未被列入失信被执行人名单（提供承诺书并加盖公章，格式自拟）</w:t>
      </w:r>
      <w:r>
        <w:rPr>
          <w:rFonts w:ascii="仿宋_GB2312" w:hAnsi="仿宋_GB2312" w:eastAsia="仿宋_GB2312" w:cs="仿宋_GB2312"/>
          <w:sz w:val="32"/>
          <w:szCs w:val="32"/>
        </w:rPr>
        <w:t>；</w:t>
      </w:r>
    </w:p>
    <w:p w14:paraId="5E540736">
      <w:pPr>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不接受联合体投标。</w:t>
      </w:r>
    </w:p>
    <w:p w14:paraId="698A4BC1">
      <w:pPr>
        <w:keepNext w:val="0"/>
        <w:keepLines w:val="0"/>
        <w:pageBreakBefore w:val="0"/>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宋体"/>
          <w:sz w:val="32"/>
          <w:szCs w:val="32"/>
        </w:rPr>
        <w:t>服务内容</w:t>
      </w:r>
      <w:r>
        <w:rPr>
          <w:rFonts w:hint="eastAsia" w:ascii="宋体" w:hAnsi="宋体" w:cs="宋体"/>
          <w:b/>
          <w:sz w:val="32"/>
          <w:szCs w:val="32"/>
        </w:rPr>
        <w:t>及</w:t>
      </w:r>
      <w:r>
        <w:rPr>
          <w:rFonts w:hint="eastAsia" w:ascii="黑体" w:hAnsi="黑体" w:eastAsia="黑体" w:cs="宋体"/>
          <w:sz w:val="32"/>
          <w:szCs w:val="32"/>
        </w:rPr>
        <w:t>范围</w:t>
      </w:r>
    </w:p>
    <w:p w14:paraId="154889E4">
      <w:pPr>
        <w:snapToGrid w:val="0"/>
        <w:spacing w:before="0" w:beforeAutospacing="0" w:after="0" w:afterAutospacing="0" w:line="560" w:lineRule="exact"/>
        <w:ind w:firstLine="640" w:firstLineChars="200"/>
        <w:jc w:val="both"/>
        <w:rPr>
          <w:rFonts w:hint="eastAsia"/>
        </w:rPr>
      </w:pPr>
      <w:r>
        <w:rPr>
          <w:rFonts w:ascii="仿宋_GB2312" w:hAnsi="仿宋_GB2312" w:eastAsia="仿宋_GB2312" w:cs="仿宋_GB2312"/>
          <w:sz w:val="32"/>
          <w:szCs w:val="32"/>
        </w:rPr>
        <w:t>本次采购的</w:t>
      </w:r>
      <w:r>
        <w:rPr>
          <w:rFonts w:hint="eastAsia" w:ascii="仿宋_GB2312" w:hAnsi="仿宋_GB2312" w:eastAsia="仿宋_GB2312" w:cs="仿宋_GB2312"/>
          <w:sz w:val="32"/>
          <w:szCs w:val="32"/>
          <w:lang w:eastAsia="zh-CN"/>
        </w:rPr>
        <w:t>后勤服务</w:t>
      </w:r>
      <w:r>
        <w:rPr>
          <w:rFonts w:ascii="仿宋_GB2312" w:hAnsi="仿宋_GB2312" w:eastAsia="仿宋_GB2312" w:cs="仿宋_GB2312"/>
          <w:sz w:val="32"/>
          <w:szCs w:val="32"/>
        </w:rPr>
        <w:t>覆盖公司总部办公区、河套科创中心研发场地，具体内容及要求包括但不限于：</w:t>
      </w:r>
    </w:p>
    <w:p w14:paraId="55FD84BE">
      <w:pPr>
        <w:snapToGrid w:val="0"/>
        <w:spacing w:before="0" w:beforeAutospacing="0" w:after="0" w:afterAutospacing="0" w:line="560" w:lineRule="exact"/>
        <w:ind w:firstLine="420" w:firstLineChars="0"/>
        <w:jc w:val="left"/>
        <w:rPr>
          <w:rFonts w:hint="eastAsia" w:ascii="仿宋_GB2312" w:hAnsi="仿宋_GB2312" w:eastAsia="仿宋_GB2312" w:cs="仿宋_GB2312"/>
        </w:rPr>
      </w:pPr>
      <w:r>
        <w:rPr>
          <w:rFonts w:hint="eastAsia" w:ascii="仿宋_GB2312" w:hAnsi="仿宋_GB2312" w:eastAsia="仿宋_GB2312" w:cs="仿宋_GB2312"/>
          <w:sz w:val="32"/>
          <w:szCs w:val="32"/>
        </w:rPr>
        <w:t>（一）前台服务</w:t>
      </w:r>
    </w:p>
    <w:p w14:paraId="7B254660">
      <w:pPr>
        <w:snapToGrid w:val="0"/>
        <w:spacing w:before="0" w:beforeAutospacing="0" w:after="0" w:afterAutospacing="0" w:line="560" w:lineRule="exact"/>
        <w:ind w:firstLine="420" w:firstLineChars="0"/>
        <w:jc w:val="both"/>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配置前台服务人员2名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负责公司总部及河套科创中心研发场地的访客接待、电话接听、咨询解答、会议支持、突发情况处理</w:t>
      </w:r>
      <w:r>
        <w:rPr>
          <w:rFonts w:hint="eastAsia" w:ascii="仿宋_GB2312" w:hAnsi="仿宋_GB2312" w:eastAsia="仿宋_GB2312" w:cs="仿宋_GB2312"/>
          <w:sz w:val="32"/>
          <w:szCs w:val="32"/>
          <w:lang w:val="en-US" w:eastAsia="zh-CN"/>
        </w:rPr>
        <w:t>以及公司安排的其他</w:t>
      </w:r>
      <w:r>
        <w:rPr>
          <w:rFonts w:hint="eastAsia" w:ascii="仿宋_GB2312" w:hAnsi="仿宋_GB2312" w:eastAsia="仿宋_GB2312" w:cs="仿宋_GB2312"/>
          <w:sz w:val="32"/>
          <w:szCs w:val="32"/>
        </w:rPr>
        <w:t>行政协助事务，工作日服务时间至少覆盖9:00-18:00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大专及以上学历，具备2年以上相关</w:t>
      </w:r>
      <w:r>
        <w:rPr>
          <w:rFonts w:hint="eastAsia" w:ascii="仿宋_GB2312" w:hAnsi="仿宋_GB2312" w:eastAsia="仿宋_GB2312" w:cs="仿宋_GB2312"/>
          <w:sz w:val="32"/>
          <w:szCs w:val="32"/>
          <w:lang w:val="en-US" w:eastAsia="zh-CN"/>
        </w:rPr>
        <w:t>工作经验，</w:t>
      </w:r>
      <w:r>
        <w:rPr>
          <w:rFonts w:hint="eastAsia" w:ascii="仿宋_GB2312" w:hAnsi="仿宋_GB2312" w:eastAsia="仿宋_GB2312" w:cs="仿宋_GB2312"/>
          <w:sz w:val="32"/>
          <w:szCs w:val="32"/>
        </w:rPr>
        <w:t>具备良好职业素养;服务意识强烈、沟通能力较强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可接受公司安排人员轮岗或调整</w:t>
      </w:r>
      <w:r>
        <w:rPr>
          <w:rFonts w:hint="eastAsia" w:ascii="仿宋_GB2312" w:hAnsi="仿宋_GB2312" w:eastAsia="仿宋_GB2312" w:cs="仿宋_GB2312"/>
          <w:sz w:val="32"/>
          <w:szCs w:val="32"/>
          <w:lang w:eastAsia="zh-CN"/>
        </w:rPr>
        <w:t>。</w:t>
      </w:r>
    </w:p>
    <w:p w14:paraId="7FFF243E">
      <w:pPr>
        <w:snapToGrid w:val="0"/>
        <w:spacing w:before="0" w:beforeAutospacing="0" w:after="0" w:afterAutospacing="0" w:line="560" w:lineRule="exact"/>
        <w:ind w:firstLine="640" w:firstLineChars="200"/>
        <w:jc w:val="left"/>
        <w:rPr>
          <w:rFonts w:hint="eastAsia" w:ascii="仿宋_GB2312" w:hAnsi="仿宋_GB2312" w:eastAsia="仿宋_GB2312" w:cs="仿宋_GB2312"/>
        </w:rPr>
      </w:pPr>
      <w:r>
        <w:rPr>
          <w:rFonts w:hint="eastAsia" w:ascii="仿宋_GB2312" w:hAnsi="仿宋_GB2312" w:eastAsia="仿宋_GB2312" w:cs="仿宋_GB2312"/>
          <w:sz w:val="32"/>
          <w:szCs w:val="32"/>
        </w:rPr>
        <w:t>（二）保洁服务</w:t>
      </w:r>
    </w:p>
    <w:p w14:paraId="19D9D21B">
      <w:pPr>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配置保洁服务人员2名，分别负责总部办公区、河套科创中心研发场地的日常保洁工作，覆盖办公区、会议室、公共区域、卫生间、茶水间等功能区域的日常清洁、垃圾清运、卫生维护、重点区域消杀等事项，确保</w:t>
      </w:r>
      <w:r>
        <w:rPr>
          <w:rFonts w:hint="eastAsia" w:ascii="仿宋_GB2312" w:hAnsi="仿宋_GB2312" w:eastAsia="仿宋_GB2312" w:cs="仿宋_GB2312"/>
          <w:sz w:val="32"/>
          <w:szCs w:val="32"/>
        </w:rPr>
        <w:t>环境卫生整洁、办公秩序良好</w:t>
      </w:r>
      <w:r>
        <w:rPr>
          <w:rFonts w:hint="eastAsia" w:ascii="仿宋_GB2312" w:hAnsi="仿宋_GB2312" w:eastAsia="仿宋_GB2312" w:cs="仿宋_GB2312"/>
          <w:sz w:val="32"/>
          <w:szCs w:val="32"/>
          <w:lang w:val="en-US" w:eastAsia="zh-CN"/>
        </w:rPr>
        <w:t>。</w:t>
      </w:r>
    </w:p>
    <w:p w14:paraId="72AFDF82">
      <w:pPr>
        <w:snapToGrid w:val="0"/>
        <w:spacing w:before="0" w:beforeAutospacing="0" w:after="0" w:afterAutospacing="0" w:line="560" w:lineRule="exact"/>
        <w:ind w:firstLine="42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服务期内，供应商应保持服务人员相对稳定，建立服务人员管理台账，并接受公司考核评价。供应商应根据公司实际需求及时安排、调整服务人员</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服务人员调整需提前</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个工作日告知甲方并征得同意，确保服务连续性与稳定性</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供应商须建立内部质量巡检机制，定期开展服务自查与人员培训，服从甲方日常管理与服务质量考核。</w:t>
      </w:r>
      <w:r>
        <w:rPr>
          <w:rFonts w:hint="eastAsia" w:ascii="仿宋_GB2312" w:hAnsi="仿宋_GB2312" w:eastAsia="仿宋_GB2312" w:cs="仿宋_GB2312"/>
          <w:sz w:val="32"/>
          <w:szCs w:val="32"/>
        </w:rPr>
        <w:t>服务费用按实际到岗人员数量及服务情况按月据实结算</w:t>
      </w:r>
      <w:r>
        <w:rPr>
          <w:rFonts w:hint="eastAsia" w:ascii="仿宋_GB2312" w:hAnsi="仿宋_GB2312" w:eastAsia="仿宋_GB2312" w:cs="仿宋_GB2312"/>
          <w:sz w:val="32"/>
          <w:szCs w:val="32"/>
          <w:lang w:val="en-US" w:eastAsia="zh-CN"/>
        </w:rPr>
        <w:t>。</w:t>
      </w:r>
    </w:p>
    <w:p w14:paraId="1A7D9725">
      <w:pPr>
        <w:keepNext w:val="0"/>
        <w:keepLines w:val="0"/>
        <w:pageBreakBefore w:val="0"/>
        <w:wordWrap/>
        <w:topLinePunct w:val="0"/>
        <w:autoSpaceDE/>
        <w:autoSpaceDN/>
        <w:bidi w:val="0"/>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六、中选方式</w:t>
      </w:r>
    </w:p>
    <w:p w14:paraId="337E7057">
      <w:pPr>
        <w:keepNext w:val="0"/>
        <w:keepLines w:val="0"/>
        <w:pageBreakBefore w:val="0"/>
        <w:widowControl w:val="0"/>
        <w:wordWrap/>
        <w:topLinePunct w:val="0"/>
        <w:autoSpaceDE/>
        <w:autoSpaceDN/>
        <w:bidi w:val="0"/>
        <w:spacing w:line="560" w:lineRule="exact"/>
        <w:ind w:left="0" w:leftChars="0" w:right="0" w:rightChars="0" w:firstLine="640" w:firstLineChars="200"/>
        <w:textAlignment w:val="auto"/>
        <w:rPr>
          <w:rFonts w:hint="eastAsia" w:ascii="仿宋_GB2312" w:hAnsi="宋体" w:eastAsia="仿宋_GB2312"/>
          <w:sz w:val="32"/>
          <w:szCs w:val="32"/>
          <w:lang w:val="en-US" w:eastAsia="zh-CN"/>
        </w:rPr>
      </w:pPr>
      <w:r>
        <w:rPr>
          <w:rFonts w:hint="eastAsia" w:ascii="仿宋" w:hAnsi="仿宋" w:eastAsia="仿宋" w:cs="仿宋"/>
          <w:sz w:val="32"/>
          <w:szCs w:val="32"/>
        </w:rPr>
        <w:t>服务</w:t>
      </w:r>
      <w:r>
        <w:rPr>
          <w:rFonts w:hint="eastAsia" w:ascii="仿宋_GB2312" w:hAnsi="Calibri" w:eastAsia="仿宋_GB2312" w:cs="Times New Roman"/>
          <w:kern w:val="2"/>
          <w:sz w:val="32"/>
          <w:szCs w:val="32"/>
          <w:lang w:val="en-US" w:eastAsia="zh-CN" w:bidi="ar-SA"/>
        </w:rPr>
        <w:t>本项目采用公开询价方式进行采购，</w:t>
      </w:r>
      <w:r>
        <w:rPr>
          <w:rFonts w:hint="eastAsia" w:ascii="仿宋_GB2312" w:hAnsi="宋体" w:eastAsia="仿宋_GB2312"/>
          <w:sz w:val="32"/>
          <w:szCs w:val="32"/>
          <w:lang w:val="en-US" w:eastAsia="zh-CN"/>
        </w:rPr>
        <w:t>采用综合评估法确定中标候选人。经采购人综合评定，得分第一的推荐为中标候选人；得分相同的，按报价由低到高顺序排列；如报价仍然相同，则采用抽签的方法确定排序。</w:t>
      </w:r>
    </w:p>
    <w:p w14:paraId="159C6DEC">
      <w:pPr>
        <w:keepNext w:val="0"/>
        <w:keepLines w:val="0"/>
        <w:pageBreakBefore w:val="0"/>
        <w:wordWrap/>
        <w:topLinePunct w:val="0"/>
        <w:autoSpaceDE/>
        <w:autoSpaceDN/>
        <w:bidi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评分标准如下：</w:t>
      </w:r>
    </w:p>
    <w:tbl>
      <w:tblPr>
        <w:tblStyle w:val="10"/>
        <w:tblW w:w="4997"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47"/>
        <w:gridCol w:w="647"/>
        <w:gridCol w:w="1150"/>
        <w:gridCol w:w="668"/>
        <w:gridCol w:w="5943"/>
      </w:tblGrid>
      <w:tr w14:paraId="6D18B5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tcBorders>
              <w:top w:val="single" w:color="000000" w:sz="8" w:space="0"/>
              <w:left w:val="single" w:color="000000" w:sz="8" w:space="0"/>
              <w:bottom w:val="single" w:color="000000" w:sz="8" w:space="0"/>
              <w:right w:val="single" w:color="000000" w:sz="8" w:space="0"/>
            </w:tcBorders>
            <w:noWrap w:val="0"/>
            <w:vAlign w:val="center"/>
          </w:tcPr>
          <w:p w14:paraId="5B494BC6">
            <w:pPr>
              <w:widowControl w:val="0"/>
              <w:wordWrap w:val="0"/>
              <w:jc w:val="center"/>
              <w:rPr>
                <w:rFonts w:ascii="宋体" w:hAnsi="宋体" w:cs="宋体"/>
                <w:b/>
                <w:bCs/>
                <w:szCs w:val="21"/>
              </w:rPr>
            </w:pPr>
            <w:r>
              <w:rPr>
                <w:rFonts w:hint="eastAsia" w:ascii="宋体" w:hAnsi="宋体" w:cs="宋体"/>
                <w:b/>
                <w:bCs/>
                <w:szCs w:val="21"/>
                <w:lang w:bidi="ar"/>
              </w:rPr>
              <w:t>序号</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center"/>
          </w:tcPr>
          <w:p w14:paraId="3A09A178">
            <w:pPr>
              <w:widowControl w:val="0"/>
              <w:wordWrap w:val="0"/>
              <w:jc w:val="center"/>
              <w:rPr>
                <w:rFonts w:ascii="宋体" w:hAnsi="宋体" w:cs="宋体"/>
                <w:b/>
                <w:bCs/>
                <w:szCs w:val="21"/>
              </w:rPr>
            </w:pPr>
            <w:r>
              <w:rPr>
                <w:rFonts w:hint="eastAsia" w:ascii="宋体" w:hAnsi="宋体" w:cs="宋体"/>
                <w:b/>
                <w:bCs/>
                <w:szCs w:val="21"/>
                <w:lang w:bidi="ar"/>
              </w:rPr>
              <w:t>评分项</w:t>
            </w:r>
          </w:p>
        </w:tc>
        <w:tc>
          <w:tcPr>
            <w:tcW w:w="3281" w:type="pct"/>
            <w:tcBorders>
              <w:top w:val="single" w:color="000000" w:sz="8" w:space="0"/>
              <w:left w:val="single" w:color="000000" w:sz="8" w:space="0"/>
              <w:bottom w:val="single" w:color="000000" w:sz="8" w:space="0"/>
              <w:right w:val="single" w:color="000000" w:sz="8" w:space="0"/>
            </w:tcBorders>
            <w:noWrap w:val="0"/>
            <w:vAlign w:val="center"/>
          </w:tcPr>
          <w:p w14:paraId="0AD9288E">
            <w:pPr>
              <w:widowControl w:val="0"/>
              <w:wordWrap w:val="0"/>
              <w:jc w:val="center"/>
              <w:rPr>
                <w:rFonts w:ascii="宋体" w:hAnsi="宋体" w:cs="宋体"/>
                <w:b/>
                <w:bCs/>
                <w:szCs w:val="21"/>
              </w:rPr>
            </w:pPr>
            <w:r>
              <w:rPr>
                <w:rFonts w:hint="eastAsia" w:ascii="宋体" w:hAnsi="宋体" w:cs="宋体"/>
                <w:b/>
                <w:bCs/>
                <w:szCs w:val="21"/>
                <w:lang w:bidi="ar"/>
              </w:rPr>
              <w:t>权重</w:t>
            </w:r>
          </w:p>
        </w:tc>
      </w:tr>
      <w:tr w14:paraId="1B37D1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restart"/>
            <w:tcBorders>
              <w:top w:val="single" w:color="000000" w:sz="8" w:space="0"/>
              <w:left w:val="single" w:color="000000" w:sz="8" w:space="0"/>
              <w:right w:val="single" w:color="000000" w:sz="8" w:space="0"/>
            </w:tcBorders>
            <w:noWrap w:val="0"/>
            <w:vAlign w:val="center"/>
          </w:tcPr>
          <w:p w14:paraId="73F60368">
            <w:pPr>
              <w:widowControl w:val="0"/>
              <w:wordWrap w:val="0"/>
              <w:jc w:val="center"/>
              <w:rPr>
                <w:rFonts w:ascii="宋体" w:hAnsi="宋体" w:cs="宋体"/>
                <w:b/>
                <w:bCs/>
                <w:szCs w:val="21"/>
              </w:rPr>
            </w:pPr>
            <w:r>
              <w:rPr>
                <w:rFonts w:hint="eastAsia" w:ascii="宋体" w:hAnsi="宋体" w:cs="宋体"/>
                <w:b/>
                <w:bCs/>
                <w:szCs w:val="21"/>
                <w:lang w:bidi="ar"/>
              </w:rPr>
              <w:t>1</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729406A2">
            <w:pPr>
              <w:widowControl w:val="0"/>
              <w:wordWrap w:val="0"/>
              <w:jc w:val="center"/>
              <w:rPr>
                <w:rFonts w:ascii="宋体" w:hAnsi="宋体" w:cs="宋体"/>
                <w:b/>
                <w:bCs/>
                <w:szCs w:val="21"/>
              </w:rPr>
            </w:pPr>
            <w:r>
              <w:rPr>
                <w:rFonts w:hint="eastAsia" w:ascii="宋体" w:hAnsi="宋体" w:cs="宋体"/>
                <w:b/>
                <w:bCs/>
                <w:szCs w:val="21"/>
                <w:lang w:bidi="ar"/>
              </w:rPr>
              <w:t>价格</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367027DA">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40%</w:t>
            </w:r>
          </w:p>
        </w:tc>
      </w:tr>
      <w:tr w14:paraId="5284EB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bottom w:val="single" w:color="auto" w:sz="8" w:space="0"/>
              <w:right w:val="single" w:color="000000" w:sz="8" w:space="0"/>
            </w:tcBorders>
            <w:noWrap w:val="0"/>
            <w:vAlign w:val="center"/>
          </w:tcPr>
          <w:p w14:paraId="10DBAD70">
            <w:pPr>
              <w:widowControl w:val="0"/>
              <w:wordWrap w:val="0"/>
              <w:jc w:val="center"/>
              <w:rPr>
                <w:rFonts w:ascii="宋体" w:hAnsi="宋体" w:cs="宋体"/>
                <w:b/>
                <w:bCs/>
                <w:szCs w:val="21"/>
                <w:lang w:bidi="ar"/>
              </w:rPr>
            </w:pPr>
          </w:p>
        </w:tc>
        <w:tc>
          <w:tcPr>
            <w:tcW w:w="4642" w:type="pct"/>
            <w:gridSpan w:val="4"/>
            <w:tcBorders>
              <w:top w:val="single" w:color="000000" w:sz="8" w:space="0"/>
              <w:left w:val="single" w:color="000000" w:sz="8" w:space="0"/>
              <w:bottom w:val="single" w:color="000000" w:sz="8" w:space="0"/>
              <w:right w:val="single" w:color="000000" w:sz="8" w:space="0"/>
            </w:tcBorders>
            <w:noWrap w:val="0"/>
            <w:vAlign w:val="top"/>
          </w:tcPr>
          <w:p w14:paraId="1FFD6F51">
            <w:pPr>
              <w:widowControl w:val="0"/>
              <w:wordWrap w:val="0"/>
              <w:jc w:val="left"/>
              <w:rPr>
                <w:rFonts w:hint="default" w:ascii="宋体" w:hAnsi="宋体" w:cs="Times New Roman"/>
                <w:color w:val="000000"/>
                <w:sz w:val="21"/>
                <w:szCs w:val="21"/>
                <w:lang w:val="zh-CN" w:eastAsia="zh-CN"/>
              </w:rPr>
            </w:pPr>
            <w:r>
              <w:rPr>
                <w:rFonts w:hint="default" w:ascii="宋体" w:hAnsi="宋体" w:cs="Times New Roman"/>
                <w:color w:val="000000"/>
                <w:sz w:val="21"/>
                <w:szCs w:val="21"/>
                <w:lang w:val="zh-CN" w:eastAsia="zh-CN"/>
              </w:rPr>
              <w:t>价格分1=[1-A× |1一投标报价/Z|]×价格权重×100;</w:t>
            </w:r>
          </w:p>
          <w:p w14:paraId="2E822989">
            <w:pPr>
              <w:widowControl w:val="0"/>
              <w:wordWrap w:val="0"/>
              <w:jc w:val="left"/>
              <w:rPr>
                <w:rFonts w:hint="default" w:ascii="宋体" w:hAnsi="宋体" w:cs="Times New Roman"/>
                <w:color w:val="000000"/>
                <w:sz w:val="21"/>
                <w:szCs w:val="21"/>
                <w:lang w:val="zh-CN" w:eastAsia="zh-CN"/>
              </w:rPr>
            </w:pPr>
            <w:r>
              <w:rPr>
                <w:rFonts w:hint="default" w:ascii="宋体" w:hAnsi="宋体" w:cs="Times New Roman"/>
                <w:color w:val="000000"/>
                <w:sz w:val="21"/>
                <w:szCs w:val="21"/>
                <w:lang w:val="zh-CN" w:eastAsia="zh-CN"/>
              </w:rPr>
              <w:t>Z:即本次招标的最佳报价，即对所有通过不可偏离检查和符合性检查且报价不超过招标控制金额的有效投标报价取算术平均值下浮5%,作为本次招标最佳报价；</w:t>
            </w:r>
          </w:p>
          <w:p w14:paraId="1C9D3B61">
            <w:pPr>
              <w:tabs>
                <w:tab w:val="left" w:pos="360"/>
                <w:tab w:val="left" w:pos="1050"/>
              </w:tabs>
              <w:overflowPunct w:val="0"/>
              <w:spacing w:line="300" w:lineRule="exact"/>
              <w:jc w:val="left"/>
              <w:rPr>
                <w:rFonts w:ascii="宋体" w:hAnsi="宋体" w:cs="宋体"/>
                <w:b/>
                <w:bCs/>
                <w:szCs w:val="21"/>
                <w:lang w:bidi="ar"/>
              </w:rPr>
            </w:pPr>
            <w:r>
              <w:rPr>
                <w:rFonts w:hint="default" w:ascii="宋体" w:hAnsi="宋体" w:cs="Times New Roman"/>
                <w:color w:val="000000"/>
                <w:sz w:val="21"/>
                <w:szCs w:val="21"/>
                <w:lang w:val="zh-CN" w:eastAsia="zh-CN"/>
              </w:rPr>
              <w:t>A:价格调整系数，当投标报价低于本次招标最佳报价时，A=0.5;当投标报价高于本次招标最佳报价时，取A=1;当价格分&lt;0时，取0。</w:t>
            </w:r>
          </w:p>
        </w:tc>
      </w:tr>
      <w:tr w14:paraId="71F7AB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restart"/>
            <w:tcBorders>
              <w:top w:val="single" w:color="000000" w:sz="8" w:space="0"/>
              <w:left w:val="single" w:color="000000" w:sz="8" w:space="0"/>
              <w:right w:val="single" w:color="000000" w:sz="8" w:space="0"/>
            </w:tcBorders>
            <w:noWrap w:val="0"/>
            <w:vAlign w:val="center"/>
          </w:tcPr>
          <w:p w14:paraId="39597B64">
            <w:pPr>
              <w:widowControl w:val="0"/>
              <w:wordWrap w:val="0"/>
              <w:jc w:val="center"/>
              <w:rPr>
                <w:rFonts w:ascii="宋体" w:hAnsi="宋体" w:cs="宋体"/>
                <w:b/>
                <w:bCs/>
                <w:szCs w:val="21"/>
              </w:rPr>
            </w:pPr>
          </w:p>
          <w:p w14:paraId="6F21FA0A">
            <w:pPr>
              <w:widowControl w:val="0"/>
              <w:wordWrap w:val="0"/>
              <w:jc w:val="center"/>
              <w:rPr>
                <w:rFonts w:ascii="宋体" w:hAnsi="宋体" w:cs="宋体"/>
                <w:b/>
                <w:bCs/>
                <w:szCs w:val="21"/>
              </w:rPr>
            </w:pPr>
          </w:p>
          <w:p w14:paraId="06EA568A">
            <w:pPr>
              <w:widowControl w:val="0"/>
              <w:wordWrap w:val="0"/>
              <w:jc w:val="center"/>
              <w:rPr>
                <w:rFonts w:ascii="宋体" w:hAnsi="宋体" w:cs="宋体"/>
                <w:b/>
                <w:bCs/>
                <w:szCs w:val="21"/>
              </w:rPr>
            </w:pPr>
          </w:p>
          <w:p w14:paraId="0EDDAF84">
            <w:pPr>
              <w:widowControl w:val="0"/>
              <w:wordWrap w:val="0"/>
              <w:jc w:val="center"/>
              <w:rPr>
                <w:rFonts w:ascii="宋体" w:hAnsi="宋体" w:cs="宋体"/>
                <w:b/>
                <w:bCs/>
                <w:szCs w:val="21"/>
              </w:rPr>
            </w:pPr>
          </w:p>
          <w:p w14:paraId="074411FC">
            <w:pPr>
              <w:widowControl w:val="0"/>
              <w:wordWrap w:val="0"/>
              <w:jc w:val="center"/>
              <w:rPr>
                <w:rFonts w:ascii="宋体" w:hAnsi="宋体" w:cs="宋体"/>
                <w:b/>
                <w:bCs/>
                <w:szCs w:val="21"/>
              </w:rPr>
            </w:pPr>
          </w:p>
          <w:p w14:paraId="3A68572A">
            <w:pPr>
              <w:widowControl w:val="0"/>
              <w:wordWrap w:val="0"/>
              <w:jc w:val="center"/>
              <w:rPr>
                <w:rFonts w:hint="eastAsia" w:ascii="宋体" w:hAnsi="宋体" w:eastAsia="宋体" w:cs="宋体"/>
                <w:b/>
                <w:bCs/>
                <w:szCs w:val="21"/>
                <w:lang w:val="en-US" w:eastAsia="zh-CN"/>
              </w:rPr>
            </w:pPr>
            <w:r>
              <w:rPr>
                <w:rFonts w:hint="eastAsia" w:ascii="宋体" w:hAnsi="宋体" w:cs="宋体"/>
                <w:b/>
                <w:bCs/>
                <w:szCs w:val="21"/>
                <w:lang w:val="en-US" w:eastAsia="zh-CN"/>
              </w:rPr>
              <w:t>2</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31FC940B">
            <w:pPr>
              <w:widowControl w:val="0"/>
              <w:wordWrap w:val="0"/>
              <w:jc w:val="center"/>
              <w:rPr>
                <w:rFonts w:ascii="宋体" w:hAnsi="宋体" w:cs="宋体"/>
                <w:b/>
                <w:bCs/>
                <w:szCs w:val="21"/>
              </w:rPr>
            </w:pPr>
            <w:r>
              <w:rPr>
                <w:rFonts w:hint="eastAsia" w:ascii="宋体" w:hAnsi="宋体" w:cs="宋体"/>
                <w:b/>
                <w:bCs/>
                <w:szCs w:val="21"/>
                <w:lang w:bidi="ar"/>
              </w:rPr>
              <w:t>技术部分</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4B46C32A">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40%</w:t>
            </w:r>
          </w:p>
        </w:tc>
      </w:tr>
      <w:tr w14:paraId="1DDEF0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right w:val="single" w:color="000000" w:sz="8" w:space="0"/>
            </w:tcBorders>
            <w:noWrap w:val="0"/>
            <w:vAlign w:val="center"/>
          </w:tcPr>
          <w:p w14:paraId="25053D51">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636E2F56">
            <w:pPr>
              <w:widowControl w:val="0"/>
              <w:wordWrap w:val="0"/>
              <w:jc w:val="center"/>
              <w:rPr>
                <w:rFonts w:ascii="宋体" w:hAnsi="宋体" w:cs="宋体"/>
                <w:szCs w:val="21"/>
              </w:rPr>
            </w:pPr>
            <w:r>
              <w:rPr>
                <w:rFonts w:hint="eastAsia" w:ascii="宋体" w:hAnsi="宋体" w:cs="宋体"/>
                <w:szCs w:val="21"/>
                <w:lang w:bidi="ar"/>
              </w:rPr>
              <w:t>序号</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2152D436">
            <w:pPr>
              <w:widowControl w:val="0"/>
              <w:wordWrap w:val="0"/>
              <w:jc w:val="center"/>
              <w:rPr>
                <w:rFonts w:ascii="宋体" w:hAnsi="宋体" w:cs="宋体"/>
                <w:szCs w:val="21"/>
              </w:rPr>
            </w:pPr>
            <w:r>
              <w:rPr>
                <w:rFonts w:hint="eastAsia" w:ascii="宋体" w:hAnsi="宋体" w:cs="宋体"/>
                <w:szCs w:val="21"/>
                <w:lang w:bidi="ar"/>
              </w:rPr>
              <w:t>评分因素</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431D8DC1">
            <w:pPr>
              <w:widowControl w:val="0"/>
              <w:wordWrap w:val="0"/>
              <w:jc w:val="center"/>
              <w:rPr>
                <w:rFonts w:ascii="宋体" w:hAnsi="宋体" w:cs="宋体"/>
                <w:szCs w:val="21"/>
              </w:rPr>
            </w:pPr>
            <w:r>
              <w:rPr>
                <w:rFonts w:hint="eastAsia" w:ascii="宋体" w:hAnsi="宋体" w:cs="宋体"/>
                <w:szCs w:val="21"/>
                <w:lang w:bidi="ar"/>
              </w:rPr>
              <w:t>权重</w:t>
            </w:r>
          </w:p>
        </w:tc>
        <w:tc>
          <w:tcPr>
            <w:tcW w:w="3281" w:type="pct"/>
            <w:tcBorders>
              <w:top w:val="inset" w:color="000000" w:sz="6" w:space="0"/>
              <w:left w:val="inset" w:color="000000" w:sz="6" w:space="0"/>
              <w:bottom w:val="inset" w:color="000000" w:sz="6" w:space="0"/>
              <w:right w:val="inset" w:color="000000" w:sz="6" w:space="0"/>
            </w:tcBorders>
            <w:noWrap w:val="0"/>
            <w:vAlign w:val="center"/>
          </w:tcPr>
          <w:p w14:paraId="1E072C10">
            <w:pPr>
              <w:widowControl w:val="0"/>
              <w:wordWrap w:val="0"/>
              <w:jc w:val="center"/>
              <w:rPr>
                <w:rFonts w:ascii="宋体" w:hAnsi="宋体" w:cs="宋体"/>
                <w:szCs w:val="21"/>
              </w:rPr>
            </w:pPr>
            <w:r>
              <w:rPr>
                <w:rFonts w:hint="eastAsia" w:ascii="宋体" w:hAnsi="宋体" w:cs="宋体"/>
                <w:szCs w:val="21"/>
                <w:lang w:bidi="ar"/>
              </w:rPr>
              <w:t>评分准则</w:t>
            </w:r>
          </w:p>
        </w:tc>
      </w:tr>
      <w:tr w14:paraId="32A4A0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311" w:hRule="atLeast"/>
        </w:trPr>
        <w:tc>
          <w:tcPr>
            <w:tcW w:w="357" w:type="pct"/>
            <w:vMerge w:val="continue"/>
            <w:tcBorders>
              <w:left w:val="single" w:color="000000" w:sz="8" w:space="0"/>
              <w:right w:val="single" w:color="000000" w:sz="8" w:space="0"/>
            </w:tcBorders>
            <w:noWrap w:val="0"/>
            <w:vAlign w:val="center"/>
          </w:tcPr>
          <w:p w14:paraId="2C04A72E">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030FF742">
            <w:pPr>
              <w:widowControl w:val="0"/>
              <w:wordWrap w:val="0"/>
              <w:jc w:val="center"/>
              <w:rPr>
                <w:rFonts w:hint="eastAsia" w:ascii="宋体" w:hAnsi="宋体" w:eastAsia="宋体" w:cs="宋体"/>
                <w:szCs w:val="21"/>
                <w:lang w:val="en-US" w:eastAsia="zh-CN" w:bidi="ar"/>
              </w:rPr>
            </w:pPr>
            <w:r>
              <w:rPr>
                <w:rFonts w:hint="eastAsia" w:ascii="宋体" w:hAnsi="宋体" w:cs="宋体"/>
                <w:szCs w:val="21"/>
                <w:lang w:val="en-US" w:eastAsia="zh-CN" w:bidi="ar"/>
              </w:rPr>
              <w:t>1</w:t>
            </w:r>
          </w:p>
        </w:tc>
        <w:tc>
          <w:tcPr>
            <w:tcW w:w="635"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29A9E12B">
            <w:pPr>
              <w:snapToGrid w:val="0"/>
              <w:spacing w:line="360" w:lineRule="auto"/>
              <w:rPr>
                <w:rFonts w:hint="default" w:ascii="宋体" w:hAnsi="宋体" w:eastAsia="宋体" w:cs="Times New Roman"/>
                <w:kern w:val="2"/>
                <w:sz w:val="21"/>
                <w:szCs w:val="21"/>
                <w:lang w:val="en-US" w:eastAsia="zh-CN" w:bidi="ar-SA"/>
              </w:rPr>
            </w:pPr>
            <w:r>
              <w:rPr>
                <w:rFonts w:hint="eastAsia" w:ascii="宋体" w:hAnsi="宋体"/>
                <w:szCs w:val="21"/>
              </w:rPr>
              <w:t>前台</w:t>
            </w:r>
            <w:r>
              <w:rPr>
                <w:rFonts w:ascii="宋体" w:hAnsi="宋体"/>
                <w:szCs w:val="21"/>
              </w:rPr>
              <w:t>服务</w:t>
            </w:r>
            <w:r>
              <w:rPr>
                <w:rFonts w:hint="eastAsia" w:ascii="宋体" w:hAnsi="宋体"/>
                <w:szCs w:val="21"/>
              </w:rPr>
              <w:t>方案</w:t>
            </w:r>
          </w:p>
        </w:tc>
        <w:tc>
          <w:tcPr>
            <w:tcW w:w="368"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4BF3C1DD">
            <w:pPr>
              <w:adjustRightInd w:val="0"/>
              <w:jc w:val="cente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rPr>
              <w:t>15</w:t>
            </w:r>
          </w:p>
        </w:tc>
        <w:tc>
          <w:tcPr>
            <w:tcW w:w="3281"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58BA94C8">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1、评审标准：</w:t>
            </w:r>
          </w:p>
          <w:p w14:paraId="6D9E5754">
            <w:pPr>
              <w:autoSpaceDE w:val="0"/>
              <w:autoSpaceDN w:val="0"/>
              <w:adjustRightInd w:val="0"/>
              <w:spacing w:line="300" w:lineRule="exact"/>
              <w:jc w:val="left"/>
              <w:rPr>
                <w:rFonts w:hint="eastAsia" w:ascii="宋体" w:hAnsi="宋体"/>
                <w:bCs/>
                <w:kern w:val="0"/>
                <w:szCs w:val="21"/>
                <w:lang w:val="zh-CN"/>
              </w:rPr>
            </w:pPr>
            <w:r>
              <w:rPr>
                <w:rFonts w:hint="eastAsia" w:ascii="宋体" w:hAnsi="宋体"/>
                <w:bCs/>
                <w:kern w:val="0"/>
                <w:szCs w:val="21"/>
                <w:lang w:val="zh-CN"/>
              </w:rPr>
              <w:t>投标人根据</w:t>
            </w:r>
            <w:r>
              <w:rPr>
                <w:rFonts w:ascii="宋体" w:hAnsi="宋体"/>
                <w:bCs/>
                <w:kern w:val="0"/>
                <w:szCs w:val="21"/>
                <w:lang w:val="zh-CN"/>
              </w:rPr>
              <w:t>对本项目</w:t>
            </w:r>
            <w:r>
              <w:rPr>
                <w:rFonts w:hint="eastAsia" w:ascii="宋体" w:hAnsi="宋体"/>
                <w:bCs/>
                <w:kern w:val="0"/>
                <w:szCs w:val="21"/>
                <w:lang w:val="zh-CN"/>
              </w:rPr>
              <w:t>前台</w:t>
            </w:r>
            <w:r>
              <w:rPr>
                <w:rFonts w:ascii="宋体" w:hAnsi="宋体"/>
                <w:bCs/>
                <w:kern w:val="0"/>
                <w:szCs w:val="21"/>
                <w:lang w:val="zh-CN"/>
              </w:rPr>
              <w:t>服务要求的理解程度</w:t>
            </w:r>
            <w:r>
              <w:rPr>
                <w:rFonts w:hint="eastAsia" w:ascii="宋体" w:hAnsi="宋体"/>
                <w:bCs/>
                <w:kern w:val="0"/>
                <w:szCs w:val="21"/>
                <w:lang w:val="zh-CN"/>
              </w:rPr>
              <w:t>制定详细实施方案，评标人根据投标人对本项目前台会务专属服务内容的</w:t>
            </w:r>
            <w:r>
              <w:rPr>
                <w:rFonts w:ascii="宋体" w:hAnsi="宋体"/>
                <w:bCs/>
                <w:kern w:val="0"/>
                <w:szCs w:val="21"/>
                <w:lang w:val="zh-CN"/>
              </w:rPr>
              <w:t>理解</w:t>
            </w:r>
            <w:r>
              <w:rPr>
                <w:rFonts w:hint="eastAsia" w:ascii="宋体" w:hAnsi="宋体"/>
                <w:bCs/>
                <w:kern w:val="0"/>
                <w:szCs w:val="21"/>
                <w:lang w:val="zh-CN"/>
              </w:rPr>
              <w:t>和实施方案进行评审。</w:t>
            </w:r>
          </w:p>
          <w:p w14:paraId="3F36F3CE">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2、评分标准：</w:t>
            </w:r>
          </w:p>
          <w:p w14:paraId="3D6F8785">
            <w:pPr>
              <w:autoSpaceDE w:val="0"/>
              <w:autoSpaceDN w:val="0"/>
              <w:adjustRightInd w:val="0"/>
              <w:spacing w:line="300" w:lineRule="exact"/>
              <w:jc w:val="left"/>
              <w:rPr>
                <w:rFonts w:hint="eastAsia" w:ascii="宋体" w:hAnsi="宋体" w:eastAsia="宋体" w:cs="宋体"/>
                <w:kern w:val="2"/>
                <w:sz w:val="21"/>
                <w:szCs w:val="21"/>
                <w:lang w:val="en-US" w:eastAsia="zh-CN" w:bidi="ar-SA"/>
              </w:rPr>
            </w:pPr>
            <w:r>
              <w:rPr>
                <w:rFonts w:hint="eastAsia" w:ascii="宋体" w:hAnsi="宋体"/>
                <w:bCs/>
                <w:kern w:val="0"/>
                <w:szCs w:val="21"/>
                <w:lang w:val="zh-CN"/>
              </w:rPr>
              <w:t>根据优劣情况评分：优得81-100%；良得61-80%；中得31-60%；差得0-30%。未提供响应方案不得分。</w:t>
            </w:r>
          </w:p>
        </w:tc>
      </w:tr>
      <w:tr w14:paraId="220434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right w:val="single" w:color="000000" w:sz="8" w:space="0"/>
            </w:tcBorders>
            <w:noWrap w:val="0"/>
            <w:vAlign w:val="center"/>
          </w:tcPr>
          <w:p w14:paraId="37CF612E">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6CEFE206">
            <w:pPr>
              <w:widowControl w:val="0"/>
              <w:wordWrap w:val="0"/>
              <w:jc w:val="center"/>
              <w:rPr>
                <w:rFonts w:hint="eastAsia" w:ascii="宋体" w:hAnsi="宋体" w:eastAsia="宋体" w:cs="宋体"/>
                <w:szCs w:val="21"/>
                <w:lang w:eastAsia="zh-CN"/>
              </w:rPr>
            </w:pPr>
            <w:r>
              <w:rPr>
                <w:rFonts w:hint="eastAsia" w:ascii="宋体" w:hAnsi="宋体" w:cs="宋体"/>
                <w:szCs w:val="21"/>
                <w:lang w:val="en-US" w:eastAsia="zh-CN" w:bidi="ar"/>
              </w:rPr>
              <w:t>2</w:t>
            </w:r>
          </w:p>
        </w:tc>
        <w:tc>
          <w:tcPr>
            <w:tcW w:w="635"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6B655078">
            <w:pPr>
              <w:adjustRightInd w:val="0"/>
              <w:jc w:val="center"/>
              <w:rPr>
                <w:rFonts w:hint="default" w:ascii="宋体" w:hAnsi="宋体" w:eastAsia="宋体" w:cs="Times New Roman"/>
                <w:kern w:val="2"/>
                <w:sz w:val="21"/>
                <w:szCs w:val="21"/>
                <w:lang w:val="en-US" w:eastAsia="zh-CN" w:bidi="ar-SA"/>
              </w:rPr>
            </w:pPr>
            <w:r>
              <w:rPr>
                <w:rFonts w:ascii="宋体" w:hAnsi="宋体"/>
                <w:szCs w:val="21"/>
              </w:rPr>
              <w:t>清洁卫生</w:t>
            </w:r>
            <w:r>
              <w:rPr>
                <w:rFonts w:hint="eastAsia" w:ascii="宋体" w:hAnsi="宋体"/>
                <w:szCs w:val="21"/>
              </w:rPr>
              <w:t>服务方案</w:t>
            </w:r>
          </w:p>
        </w:tc>
        <w:tc>
          <w:tcPr>
            <w:tcW w:w="368"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1FCA9BBD">
            <w:pPr>
              <w:adjustRightInd w:val="0"/>
              <w:jc w:val="cente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rPr>
              <w:t>15</w:t>
            </w:r>
          </w:p>
        </w:tc>
        <w:tc>
          <w:tcPr>
            <w:tcW w:w="3281"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7CF5CF38">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1、评审标准：</w:t>
            </w:r>
          </w:p>
          <w:p w14:paraId="4CC2D858">
            <w:pPr>
              <w:autoSpaceDE w:val="0"/>
              <w:autoSpaceDN w:val="0"/>
              <w:adjustRightInd w:val="0"/>
              <w:spacing w:line="300" w:lineRule="exact"/>
              <w:jc w:val="left"/>
              <w:rPr>
                <w:rFonts w:hint="eastAsia" w:ascii="宋体" w:hAnsi="宋体"/>
                <w:bCs/>
                <w:kern w:val="0"/>
                <w:szCs w:val="21"/>
                <w:lang w:val="zh-CN"/>
              </w:rPr>
            </w:pPr>
            <w:r>
              <w:rPr>
                <w:rFonts w:hint="eastAsia" w:ascii="宋体" w:hAnsi="宋体"/>
                <w:bCs/>
                <w:kern w:val="0"/>
                <w:szCs w:val="21"/>
                <w:lang w:val="zh-CN"/>
              </w:rPr>
              <w:t>投标人根据</w:t>
            </w:r>
            <w:r>
              <w:rPr>
                <w:rFonts w:ascii="宋体" w:hAnsi="宋体"/>
                <w:bCs/>
                <w:kern w:val="0"/>
                <w:szCs w:val="21"/>
                <w:lang w:val="zh-CN"/>
              </w:rPr>
              <w:t>对本项目</w:t>
            </w:r>
            <w:r>
              <w:rPr>
                <w:rFonts w:hint="eastAsia" w:ascii="宋体" w:hAnsi="宋体"/>
                <w:bCs/>
                <w:kern w:val="0"/>
                <w:szCs w:val="21"/>
                <w:lang w:val="zh-CN"/>
              </w:rPr>
              <w:t>清洁卫生等</w:t>
            </w:r>
            <w:r>
              <w:rPr>
                <w:rFonts w:ascii="宋体" w:hAnsi="宋体"/>
                <w:bCs/>
                <w:kern w:val="0"/>
                <w:szCs w:val="21"/>
                <w:lang w:val="zh-CN"/>
              </w:rPr>
              <w:t>的理解程度</w:t>
            </w:r>
            <w:r>
              <w:rPr>
                <w:rFonts w:hint="eastAsia" w:ascii="宋体" w:hAnsi="宋体"/>
                <w:bCs/>
                <w:kern w:val="0"/>
                <w:szCs w:val="21"/>
                <w:lang w:val="zh-CN"/>
              </w:rPr>
              <w:t>制定详细实施方案，评标人根据投标人对本项目清洁卫生服务内容的</w:t>
            </w:r>
            <w:r>
              <w:rPr>
                <w:rFonts w:ascii="宋体" w:hAnsi="宋体"/>
                <w:bCs/>
                <w:kern w:val="0"/>
                <w:szCs w:val="21"/>
                <w:lang w:val="zh-CN"/>
              </w:rPr>
              <w:t>理解</w:t>
            </w:r>
            <w:r>
              <w:rPr>
                <w:rFonts w:hint="eastAsia" w:ascii="宋体" w:hAnsi="宋体"/>
                <w:bCs/>
                <w:kern w:val="0"/>
                <w:szCs w:val="21"/>
                <w:lang w:val="zh-CN"/>
              </w:rPr>
              <w:t>和实施方案进行评审。</w:t>
            </w:r>
          </w:p>
          <w:p w14:paraId="60151426">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2、评分标准：</w:t>
            </w:r>
          </w:p>
          <w:p w14:paraId="6ABE56AC">
            <w:pPr>
              <w:autoSpaceDE w:val="0"/>
              <w:autoSpaceDN w:val="0"/>
              <w:adjustRightInd w:val="0"/>
              <w:spacing w:line="300" w:lineRule="exact"/>
              <w:jc w:val="left"/>
              <w:rPr>
                <w:rFonts w:ascii="宋体" w:hAnsi="Times New Roman" w:eastAsia="宋体" w:cs="Times New Roman"/>
                <w:b/>
                <w:color w:val="000000"/>
                <w:kern w:val="2"/>
                <w:sz w:val="21"/>
                <w:szCs w:val="21"/>
                <w:lang w:val="en-US" w:eastAsia="zh-CN" w:bidi="ar-SA"/>
              </w:rPr>
            </w:pPr>
            <w:r>
              <w:rPr>
                <w:rFonts w:hint="eastAsia" w:ascii="宋体" w:hAnsi="宋体"/>
                <w:bCs/>
                <w:kern w:val="0"/>
                <w:szCs w:val="21"/>
                <w:lang w:val="zh-CN"/>
              </w:rPr>
              <w:t>根据优劣情况评分：优得81-100%；良得61-80%；中得31-60%；差得0-30%。未提供响应方案不得分。</w:t>
            </w:r>
          </w:p>
        </w:tc>
      </w:tr>
      <w:tr w14:paraId="034DC4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tcBorders>
              <w:left w:val="single" w:color="000000" w:sz="8" w:space="0"/>
              <w:right w:val="single" w:color="000000" w:sz="8" w:space="0"/>
            </w:tcBorders>
            <w:noWrap w:val="0"/>
            <w:vAlign w:val="center"/>
          </w:tcPr>
          <w:p w14:paraId="64D570BE">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027B60C7">
            <w:pPr>
              <w:widowControl w:val="0"/>
              <w:wordWrap w:val="0"/>
              <w:jc w:val="center"/>
              <w:rPr>
                <w:rFonts w:hint="default" w:ascii="宋体" w:hAnsi="宋体" w:cs="宋体"/>
                <w:szCs w:val="21"/>
                <w:lang w:val="en-US" w:eastAsia="zh-CN" w:bidi="ar"/>
              </w:rPr>
            </w:pPr>
            <w:r>
              <w:rPr>
                <w:rFonts w:hint="eastAsia" w:ascii="宋体" w:hAnsi="宋体" w:cs="宋体"/>
                <w:szCs w:val="21"/>
                <w:lang w:val="en-US" w:eastAsia="zh-CN" w:bidi="ar"/>
              </w:rPr>
              <w:t>3</w:t>
            </w:r>
          </w:p>
        </w:tc>
        <w:tc>
          <w:tcPr>
            <w:tcW w:w="635"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01F317F2">
            <w:pPr>
              <w:adjustRightInd w:val="0"/>
              <w:jc w:val="center"/>
              <w:rPr>
                <w:rFonts w:hint="eastAsia" w:ascii="宋体" w:hAnsi="宋体" w:eastAsia="宋体" w:cs="宋体"/>
                <w:kern w:val="0"/>
                <w:sz w:val="21"/>
                <w:szCs w:val="21"/>
                <w:lang w:val="en-US" w:eastAsia="zh-CN" w:bidi="ar-SA"/>
              </w:rPr>
            </w:pPr>
            <w:r>
              <w:rPr>
                <w:rFonts w:ascii="宋体" w:hAnsi="宋体"/>
                <w:szCs w:val="21"/>
              </w:rPr>
              <w:t>管理规章制度</w:t>
            </w:r>
            <w:r>
              <w:rPr>
                <w:rFonts w:hint="eastAsia" w:ascii="宋体" w:hAnsi="宋体"/>
                <w:szCs w:val="21"/>
              </w:rPr>
              <w:t>和培训方案</w:t>
            </w:r>
          </w:p>
        </w:tc>
        <w:tc>
          <w:tcPr>
            <w:tcW w:w="368"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1BECFBC2">
            <w:pPr>
              <w:adjustRightInd w:val="0"/>
              <w:jc w:val="cente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rPr>
              <w:t>10</w:t>
            </w:r>
          </w:p>
        </w:tc>
        <w:tc>
          <w:tcPr>
            <w:tcW w:w="3281"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1CDE588E">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1、评审标准：</w:t>
            </w:r>
          </w:p>
          <w:p w14:paraId="217D54CD">
            <w:pPr>
              <w:autoSpaceDE w:val="0"/>
              <w:autoSpaceDN w:val="0"/>
              <w:adjustRightInd w:val="0"/>
              <w:spacing w:line="300" w:lineRule="exact"/>
              <w:jc w:val="left"/>
              <w:rPr>
                <w:rFonts w:hint="eastAsia" w:ascii="宋体" w:hAnsi="宋体"/>
                <w:bCs/>
                <w:kern w:val="0"/>
                <w:szCs w:val="21"/>
                <w:lang w:val="zh-CN"/>
              </w:rPr>
            </w:pPr>
            <w:r>
              <w:rPr>
                <w:rFonts w:hint="eastAsia" w:ascii="宋体" w:hAnsi="宋体"/>
                <w:bCs/>
                <w:kern w:val="0"/>
                <w:szCs w:val="21"/>
                <w:lang w:val="zh-CN"/>
              </w:rPr>
              <w:t>投标人制定针</w:t>
            </w:r>
            <w:r>
              <w:rPr>
                <w:rFonts w:ascii="宋体" w:hAnsi="宋体"/>
                <w:bCs/>
                <w:kern w:val="0"/>
                <w:szCs w:val="21"/>
                <w:lang w:val="zh-CN"/>
              </w:rPr>
              <w:t>对本项目</w:t>
            </w:r>
            <w:r>
              <w:rPr>
                <w:rFonts w:hint="eastAsia" w:ascii="宋体" w:hAnsi="宋体"/>
                <w:bCs/>
                <w:kern w:val="0"/>
                <w:szCs w:val="21"/>
                <w:lang w:val="zh-CN"/>
              </w:rPr>
              <w:t>相关管理制度和员工培训方案，评标人根据投标人制定的管理制度和培训方案对进行评审。</w:t>
            </w:r>
          </w:p>
          <w:p w14:paraId="1063ED42">
            <w:pPr>
              <w:autoSpaceDE w:val="0"/>
              <w:autoSpaceDN w:val="0"/>
              <w:adjustRightInd w:val="0"/>
              <w:spacing w:line="300" w:lineRule="exact"/>
              <w:jc w:val="left"/>
              <w:rPr>
                <w:rFonts w:ascii="宋体" w:hAnsi="宋体"/>
                <w:b/>
                <w:kern w:val="0"/>
                <w:szCs w:val="21"/>
                <w:lang w:val="zh-CN"/>
              </w:rPr>
            </w:pPr>
            <w:r>
              <w:rPr>
                <w:rFonts w:hint="eastAsia" w:ascii="宋体" w:hAnsi="宋体"/>
                <w:b/>
                <w:kern w:val="0"/>
                <w:szCs w:val="21"/>
                <w:lang w:val="zh-CN"/>
              </w:rPr>
              <w:t>2、评分标准：</w:t>
            </w:r>
          </w:p>
          <w:p w14:paraId="4A498AE3">
            <w:pPr>
              <w:autoSpaceDE w:val="0"/>
              <w:autoSpaceDN w:val="0"/>
              <w:adjustRightInd w:val="0"/>
              <w:spacing w:line="300" w:lineRule="exact"/>
              <w:jc w:val="left"/>
              <w:rPr>
                <w:rFonts w:hint="eastAsia" w:ascii="宋体" w:hAnsi="Times New Roman" w:eastAsia="宋体" w:cs="Times New Roman"/>
                <w:color w:val="000000"/>
                <w:kern w:val="2"/>
                <w:sz w:val="21"/>
                <w:szCs w:val="21"/>
                <w:lang w:val="en-US" w:eastAsia="zh-CN" w:bidi="ar-SA"/>
              </w:rPr>
            </w:pPr>
            <w:r>
              <w:rPr>
                <w:rFonts w:hint="eastAsia" w:ascii="宋体" w:hAnsi="宋体"/>
                <w:bCs/>
                <w:kern w:val="0"/>
                <w:szCs w:val="21"/>
                <w:lang w:val="zh-CN"/>
              </w:rPr>
              <w:t>根据优劣情况评分：优得81-100%；良得61-80%；中得31-60%；差得0-30%。未提供响应方案不得分。</w:t>
            </w:r>
          </w:p>
        </w:tc>
      </w:tr>
      <w:tr w14:paraId="573611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trPr>
        <w:tc>
          <w:tcPr>
            <w:tcW w:w="357" w:type="pct"/>
            <w:vMerge w:val="restart"/>
            <w:tcBorders>
              <w:top w:val="single" w:color="000000" w:sz="8" w:space="0"/>
              <w:left w:val="single" w:color="000000" w:sz="8" w:space="0"/>
              <w:bottom w:val="single" w:color="000000" w:sz="8" w:space="0"/>
              <w:right w:val="single" w:color="000000" w:sz="8" w:space="0"/>
            </w:tcBorders>
            <w:noWrap w:val="0"/>
            <w:vAlign w:val="center"/>
          </w:tcPr>
          <w:p w14:paraId="22215564">
            <w:pPr>
              <w:widowControl w:val="0"/>
              <w:wordWrap w:val="0"/>
              <w:jc w:val="center"/>
              <w:rPr>
                <w:rFonts w:ascii="宋体" w:hAnsi="宋体" w:cs="宋体"/>
                <w:b/>
                <w:bCs/>
                <w:szCs w:val="21"/>
              </w:rPr>
            </w:pPr>
            <w:r>
              <w:rPr>
                <w:rFonts w:hint="eastAsia" w:ascii="宋体" w:hAnsi="宋体" w:cs="宋体"/>
                <w:b/>
                <w:bCs/>
                <w:szCs w:val="21"/>
                <w:lang w:bidi="ar"/>
              </w:rPr>
              <w:t>3</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0792309F">
            <w:pPr>
              <w:widowControl w:val="0"/>
              <w:wordWrap w:val="0"/>
              <w:jc w:val="center"/>
              <w:rPr>
                <w:rFonts w:ascii="宋体" w:hAnsi="宋体" w:cs="宋体"/>
                <w:b/>
                <w:bCs/>
                <w:szCs w:val="21"/>
              </w:rPr>
            </w:pPr>
            <w:r>
              <w:rPr>
                <w:rFonts w:hint="eastAsia" w:ascii="宋体" w:hAnsi="宋体" w:cs="宋体"/>
                <w:b/>
                <w:bCs/>
                <w:szCs w:val="21"/>
                <w:lang w:bidi="ar"/>
              </w:rPr>
              <w:t>商务部分</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652D2C5F">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20%</w:t>
            </w:r>
          </w:p>
        </w:tc>
      </w:tr>
      <w:tr w14:paraId="4576DF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top w:val="single" w:color="000000" w:sz="8" w:space="0"/>
              <w:left w:val="single" w:color="000000" w:sz="8" w:space="0"/>
              <w:bottom w:val="single" w:color="000000" w:sz="8" w:space="0"/>
              <w:right w:val="single" w:color="000000" w:sz="8" w:space="0"/>
            </w:tcBorders>
            <w:noWrap w:val="0"/>
            <w:vAlign w:val="center"/>
          </w:tcPr>
          <w:p w14:paraId="342EA223">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75DF49D4">
            <w:pPr>
              <w:widowControl w:val="0"/>
              <w:wordWrap w:val="0"/>
              <w:jc w:val="center"/>
              <w:rPr>
                <w:rFonts w:ascii="宋体" w:hAnsi="宋体" w:cs="宋体"/>
                <w:szCs w:val="21"/>
              </w:rPr>
            </w:pPr>
            <w:r>
              <w:rPr>
                <w:rFonts w:hint="eastAsia" w:ascii="宋体" w:hAnsi="宋体" w:cs="宋体"/>
                <w:szCs w:val="21"/>
                <w:lang w:bidi="ar"/>
              </w:rPr>
              <w:t>序号</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5833FCF8">
            <w:pPr>
              <w:widowControl w:val="0"/>
              <w:wordWrap w:val="0"/>
              <w:jc w:val="center"/>
              <w:rPr>
                <w:rFonts w:ascii="宋体" w:hAnsi="宋体" w:cs="宋体"/>
                <w:szCs w:val="21"/>
              </w:rPr>
            </w:pPr>
            <w:r>
              <w:rPr>
                <w:rFonts w:hint="eastAsia" w:ascii="宋体" w:hAnsi="宋体" w:cs="宋体"/>
                <w:szCs w:val="21"/>
                <w:lang w:bidi="ar"/>
              </w:rPr>
              <w:t>评分因素</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2F46D6A4">
            <w:pPr>
              <w:widowControl w:val="0"/>
              <w:wordWrap w:val="0"/>
              <w:jc w:val="center"/>
              <w:rPr>
                <w:rFonts w:ascii="宋体" w:hAnsi="宋体" w:cs="宋体"/>
                <w:szCs w:val="21"/>
              </w:rPr>
            </w:pPr>
            <w:r>
              <w:rPr>
                <w:rFonts w:hint="eastAsia" w:ascii="宋体" w:hAnsi="宋体" w:cs="宋体"/>
                <w:szCs w:val="21"/>
                <w:lang w:bidi="ar"/>
              </w:rPr>
              <w:t>权重</w:t>
            </w:r>
          </w:p>
        </w:tc>
        <w:tc>
          <w:tcPr>
            <w:tcW w:w="3281" w:type="pct"/>
            <w:tcBorders>
              <w:top w:val="inset" w:color="000000" w:sz="6" w:space="0"/>
              <w:left w:val="inset" w:color="000000" w:sz="6" w:space="0"/>
              <w:bottom w:val="inset" w:color="000000" w:sz="6" w:space="0"/>
              <w:right w:val="inset" w:color="000000" w:sz="6" w:space="0"/>
            </w:tcBorders>
            <w:noWrap w:val="0"/>
            <w:vAlign w:val="center"/>
          </w:tcPr>
          <w:p w14:paraId="76AD0428">
            <w:pPr>
              <w:widowControl w:val="0"/>
              <w:wordWrap w:val="0"/>
              <w:jc w:val="center"/>
              <w:rPr>
                <w:rFonts w:ascii="宋体" w:hAnsi="宋体" w:cs="宋体"/>
                <w:szCs w:val="21"/>
              </w:rPr>
            </w:pPr>
            <w:r>
              <w:rPr>
                <w:rFonts w:hint="eastAsia" w:ascii="宋体" w:hAnsi="宋体" w:cs="宋体"/>
                <w:szCs w:val="21"/>
                <w:lang w:bidi="ar"/>
              </w:rPr>
              <w:t>评分准则</w:t>
            </w:r>
          </w:p>
        </w:tc>
      </w:tr>
      <w:tr w14:paraId="20A0B4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top w:val="single" w:color="000000" w:sz="8" w:space="0"/>
              <w:left w:val="single" w:color="000000" w:sz="8" w:space="0"/>
              <w:bottom w:val="single" w:color="000000" w:sz="8" w:space="0"/>
              <w:right w:val="single" w:color="000000" w:sz="8" w:space="0"/>
            </w:tcBorders>
            <w:noWrap w:val="0"/>
            <w:vAlign w:val="center"/>
          </w:tcPr>
          <w:p w14:paraId="7B911426">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24D93D99">
            <w:pPr>
              <w:widowControl w:val="0"/>
              <w:wordWrap w:val="0"/>
              <w:jc w:val="center"/>
              <w:rPr>
                <w:rFonts w:hint="eastAsia" w:ascii="宋体" w:hAnsi="宋体" w:eastAsia="宋体" w:cs="宋体"/>
                <w:szCs w:val="21"/>
                <w:lang w:val="en-US" w:eastAsia="zh-CN" w:bidi="ar"/>
              </w:rPr>
            </w:pPr>
            <w:r>
              <w:rPr>
                <w:rFonts w:hint="eastAsia" w:ascii="宋体" w:hAnsi="宋体" w:cs="宋体"/>
                <w:szCs w:val="21"/>
                <w:lang w:val="en-US" w:eastAsia="zh-CN" w:bidi="ar"/>
              </w:rPr>
              <w:t>1</w:t>
            </w:r>
          </w:p>
        </w:tc>
        <w:tc>
          <w:tcPr>
            <w:tcW w:w="635"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71AB4F9E">
            <w:pPr>
              <w:autoSpaceDE w:val="0"/>
              <w:autoSpaceDN w:val="0"/>
              <w:adjustRightInd w:val="0"/>
              <w:jc w:val="center"/>
              <w:rPr>
                <w:rFonts w:hint="eastAsia" w:ascii="宋体" w:hAnsi="宋体" w:eastAsia="宋体" w:cs="Times New Roman"/>
                <w:kern w:val="2"/>
                <w:sz w:val="21"/>
                <w:szCs w:val="21"/>
                <w:lang w:val="en-US" w:eastAsia="zh-CN" w:bidi="ar-SA"/>
              </w:rPr>
            </w:pPr>
            <w:r>
              <w:rPr>
                <w:rFonts w:ascii="宋体" w:hAnsi="宋体"/>
                <w:szCs w:val="21"/>
              </w:rPr>
              <w:t>财务状况</w:t>
            </w:r>
          </w:p>
        </w:tc>
        <w:tc>
          <w:tcPr>
            <w:tcW w:w="368"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173439C3">
            <w:pPr>
              <w:autoSpaceDE w:val="0"/>
              <w:autoSpaceDN w:val="0"/>
              <w:adjustRightInd w:val="0"/>
              <w:jc w:val="center"/>
              <w:rPr>
                <w:rFonts w:hint="eastAsia" w:ascii="宋体" w:hAnsi="宋体" w:eastAsia="宋体" w:cs="Times New Roman"/>
                <w:kern w:val="2"/>
                <w:sz w:val="21"/>
                <w:szCs w:val="21"/>
                <w:lang w:val="en-US" w:eastAsia="zh-CN" w:bidi="ar-SA"/>
              </w:rPr>
            </w:pPr>
            <w:r>
              <w:rPr>
                <w:rFonts w:hint="eastAsia" w:ascii="宋体" w:hAnsi="宋体" w:cs="宋体"/>
                <w:szCs w:val="21"/>
                <w:lang w:val="en-US" w:eastAsia="zh-CN"/>
              </w:rPr>
              <w:t>5</w:t>
            </w:r>
          </w:p>
        </w:tc>
        <w:tc>
          <w:tcPr>
            <w:tcW w:w="3281" w:type="pct"/>
            <w:tcBorders>
              <w:top w:val="inset" w:color="000000" w:sz="6" w:space="0"/>
              <w:left w:val="inset" w:color="000000" w:sz="6" w:space="0"/>
              <w:bottom w:val="inset" w:color="000000" w:sz="6" w:space="0"/>
              <w:right w:val="inset" w:color="000000" w:sz="6" w:space="0"/>
            </w:tcBorders>
            <w:shd w:val="clear" w:color="auto" w:fill="auto"/>
            <w:noWrap w:val="0"/>
            <w:vAlign w:val="center"/>
          </w:tcPr>
          <w:p w14:paraId="4055E92B">
            <w:pPr>
              <w:autoSpaceDE w:val="0"/>
              <w:autoSpaceDN w:val="0"/>
              <w:adjustRightInd w:val="0"/>
              <w:spacing w:line="300" w:lineRule="exact"/>
              <w:jc w:val="left"/>
              <w:rPr>
                <w:rFonts w:ascii="宋体" w:hAnsi="宋体"/>
                <w:b/>
                <w:bCs w:val="0"/>
                <w:kern w:val="0"/>
                <w:szCs w:val="21"/>
                <w:lang w:val="zh-CN"/>
              </w:rPr>
            </w:pPr>
            <w:r>
              <w:rPr>
                <w:rFonts w:hint="eastAsia" w:ascii="宋体" w:hAnsi="宋体" w:cs="宋体"/>
                <w:b/>
                <w:bCs/>
                <w:szCs w:val="21"/>
                <w:lang w:bidi="ar"/>
              </w:rPr>
              <w:t>（一）</w:t>
            </w:r>
            <w:r>
              <w:rPr>
                <w:rFonts w:hint="eastAsia" w:ascii="宋体" w:hAnsi="宋体"/>
                <w:b/>
                <w:bCs w:val="0"/>
                <w:kern w:val="0"/>
                <w:szCs w:val="21"/>
                <w:lang w:val="zh-CN"/>
              </w:rPr>
              <w:t>评审标准：</w:t>
            </w:r>
          </w:p>
          <w:p w14:paraId="438597C2">
            <w:pPr>
              <w:autoSpaceDE w:val="0"/>
              <w:autoSpaceDN w:val="0"/>
              <w:adjustRightInd w:val="0"/>
              <w:spacing w:line="300" w:lineRule="exact"/>
              <w:jc w:val="left"/>
              <w:rPr>
                <w:rFonts w:hint="eastAsia" w:ascii="宋体" w:hAnsi="宋体"/>
                <w:bCs/>
                <w:kern w:val="0"/>
                <w:szCs w:val="21"/>
                <w:lang w:val="zh-CN"/>
              </w:rPr>
            </w:pPr>
            <w:r>
              <w:rPr>
                <w:rFonts w:ascii="宋体" w:hAnsi="宋体"/>
                <w:bCs/>
                <w:kern w:val="0"/>
                <w:szCs w:val="21"/>
                <w:lang w:val="zh-CN"/>
              </w:rPr>
              <w:t>各投标人</w:t>
            </w:r>
            <w:r>
              <w:rPr>
                <w:rFonts w:hint="eastAsia" w:ascii="宋体" w:hAnsi="宋体"/>
                <w:bCs/>
                <w:kern w:val="0"/>
                <w:szCs w:val="21"/>
                <w:lang w:val="zh-CN"/>
              </w:rPr>
              <w:t>提供</w:t>
            </w:r>
            <w:r>
              <w:rPr>
                <w:rFonts w:ascii="宋体" w:hAnsi="宋体"/>
                <w:bCs/>
                <w:kern w:val="0"/>
                <w:szCs w:val="21"/>
                <w:lang w:val="zh-CN"/>
              </w:rPr>
              <w:t>20</w:t>
            </w:r>
            <w:r>
              <w:rPr>
                <w:rFonts w:hint="eastAsia" w:ascii="宋体" w:hAnsi="宋体"/>
                <w:bCs/>
                <w:kern w:val="0"/>
                <w:szCs w:val="21"/>
                <w:lang w:val="en-US" w:eastAsia="zh-CN"/>
              </w:rPr>
              <w:t>23</w:t>
            </w:r>
            <w:r>
              <w:rPr>
                <w:rFonts w:ascii="宋体" w:hAnsi="宋体"/>
                <w:bCs/>
                <w:kern w:val="0"/>
                <w:szCs w:val="21"/>
                <w:lang w:val="zh-CN"/>
              </w:rPr>
              <w:t>年以来的盈利状况</w:t>
            </w:r>
            <w:r>
              <w:rPr>
                <w:rFonts w:hint="eastAsia" w:ascii="宋体" w:hAnsi="宋体"/>
                <w:bCs/>
                <w:kern w:val="0"/>
                <w:szCs w:val="21"/>
                <w:lang w:val="zh-CN"/>
              </w:rPr>
              <w:t>，评标人根据盈利状况</w:t>
            </w:r>
            <w:r>
              <w:rPr>
                <w:rFonts w:ascii="宋体" w:hAnsi="宋体"/>
                <w:bCs/>
                <w:kern w:val="0"/>
                <w:szCs w:val="21"/>
                <w:lang w:val="zh-CN"/>
              </w:rPr>
              <w:t>进行评分</w:t>
            </w:r>
            <w:r>
              <w:rPr>
                <w:rFonts w:hint="eastAsia" w:ascii="宋体" w:hAnsi="宋体"/>
                <w:bCs/>
                <w:kern w:val="0"/>
                <w:szCs w:val="21"/>
                <w:lang w:val="zh-CN"/>
              </w:rPr>
              <w:t>。（</w:t>
            </w:r>
            <w:r>
              <w:rPr>
                <w:rFonts w:ascii="宋体" w:hAnsi="宋体"/>
                <w:bCs/>
                <w:kern w:val="0"/>
                <w:szCs w:val="21"/>
                <w:lang w:val="zh-CN"/>
              </w:rPr>
              <w:t>须提供经会计师事务所审计的财务报表，复印件加盖投标人公章）</w:t>
            </w:r>
          </w:p>
          <w:p w14:paraId="28AC44CC">
            <w:pPr>
              <w:autoSpaceDE w:val="0"/>
              <w:autoSpaceDN w:val="0"/>
              <w:adjustRightInd w:val="0"/>
              <w:spacing w:line="300" w:lineRule="exact"/>
              <w:jc w:val="left"/>
              <w:rPr>
                <w:rFonts w:ascii="宋体" w:hAnsi="宋体"/>
                <w:b/>
                <w:bCs w:val="0"/>
                <w:kern w:val="0"/>
                <w:szCs w:val="21"/>
                <w:lang w:val="zh-CN"/>
              </w:rPr>
            </w:pPr>
            <w:r>
              <w:rPr>
                <w:rFonts w:hint="eastAsia" w:ascii="宋体" w:hAnsi="宋体" w:cs="宋体"/>
                <w:b/>
                <w:bCs/>
                <w:szCs w:val="21"/>
                <w:lang w:bidi="ar"/>
              </w:rPr>
              <w:t>（</w:t>
            </w:r>
            <w:r>
              <w:rPr>
                <w:rFonts w:hint="eastAsia" w:ascii="宋体" w:hAnsi="宋体" w:cs="宋体"/>
                <w:b/>
                <w:bCs/>
                <w:szCs w:val="21"/>
                <w:lang w:val="en-US" w:eastAsia="zh-CN" w:bidi="ar"/>
              </w:rPr>
              <w:t>二</w:t>
            </w:r>
            <w:r>
              <w:rPr>
                <w:rFonts w:hint="eastAsia" w:ascii="宋体" w:hAnsi="宋体" w:cs="宋体"/>
                <w:b/>
                <w:bCs/>
                <w:szCs w:val="21"/>
                <w:lang w:bidi="ar"/>
              </w:rPr>
              <w:t>）</w:t>
            </w:r>
            <w:r>
              <w:rPr>
                <w:rFonts w:hint="eastAsia" w:ascii="宋体" w:hAnsi="宋体"/>
                <w:b/>
                <w:bCs w:val="0"/>
                <w:kern w:val="0"/>
                <w:szCs w:val="21"/>
                <w:lang w:val="zh-CN"/>
              </w:rPr>
              <w:t>评分标准：</w:t>
            </w:r>
          </w:p>
          <w:p w14:paraId="2BB64DB8">
            <w:pPr>
              <w:autoSpaceDE w:val="0"/>
              <w:autoSpaceDN w:val="0"/>
              <w:adjustRightInd w:val="0"/>
              <w:spacing w:line="300" w:lineRule="exact"/>
              <w:jc w:val="left"/>
              <w:rPr>
                <w:rFonts w:ascii="宋体" w:hAnsi="宋体"/>
                <w:bCs/>
                <w:kern w:val="0"/>
                <w:szCs w:val="21"/>
                <w:lang w:val="zh-CN"/>
              </w:rPr>
            </w:pPr>
            <w:r>
              <w:rPr>
                <w:rFonts w:ascii="宋体" w:hAnsi="宋体"/>
                <w:bCs/>
                <w:kern w:val="0"/>
                <w:szCs w:val="21"/>
                <w:lang w:val="zh-CN"/>
              </w:rPr>
              <w:t>连续</w:t>
            </w:r>
            <w:r>
              <w:rPr>
                <w:rFonts w:hint="eastAsia" w:ascii="宋体" w:hAnsi="宋体"/>
                <w:bCs/>
                <w:kern w:val="0"/>
                <w:szCs w:val="21"/>
                <w:lang w:val="zh-CN"/>
              </w:rPr>
              <w:t>3</w:t>
            </w:r>
            <w:r>
              <w:rPr>
                <w:rFonts w:ascii="宋体" w:hAnsi="宋体"/>
                <w:bCs/>
                <w:kern w:val="0"/>
                <w:szCs w:val="21"/>
                <w:lang w:val="zh-CN"/>
              </w:rPr>
              <w:t>年</w:t>
            </w:r>
            <w:r>
              <w:rPr>
                <w:rFonts w:hint="eastAsia" w:ascii="宋体" w:hAnsi="宋体"/>
                <w:bCs/>
                <w:kern w:val="0"/>
                <w:szCs w:val="21"/>
                <w:lang w:val="zh-CN"/>
              </w:rPr>
              <w:t>每年</w:t>
            </w:r>
            <w:r>
              <w:rPr>
                <w:rFonts w:ascii="宋体" w:hAnsi="宋体"/>
                <w:bCs/>
                <w:kern w:val="0"/>
                <w:szCs w:val="21"/>
                <w:lang w:val="zh-CN"/>
              </w:rPr>
              <w:t>均盈利</w:t>
            </w:r>
            <w:r>
              <w:rPr>
                <w:rFonts w:hint="eastAsia" w:ascii="宋体" w:hAnsi="宋体"/>
                <w:bCs/>
                <w:kern w:val="0"/>
                <w:szCs w:val="21"/>
                <w:lang w:val="en-US" w:eastAsia="zh-CN"/>
              </w:rPr>
              <w:t>500</w:t>
            </w:r>
            <w:r>
              <w:rPr>
                <w:rFonts w:ascii="宋体" w:hAnsi="宋体"/>
                <w:bCs/>
                <w:kern w:val="0"/>
                <w:szCs w:val="21"/>
                <w:lang w:val="zh-CN"/>
              </w:rPr>
              <w:t>万元及以上得</w:t>
            </w:r>
            <w:r>
              <w:rPr>
                <w:rFonts w:hint="eastAsia" w:ascii="宋体" w:hAnsi="宋体"/>
                <w:bCs/>
                <w:kern w:val="0"/>
                <w:szCs w:val="21"/>
                <w:lang w:val="en-US" w:eastAsia="zh-CN"/>
              </w:rPr>
              <w:t>5</w:t>
            </w:r>
            <w:r>
              <w:rPr>
                <w:rFonts w:ascii="宋体" w:hAnsi="宋体"/>
                <w:bCs/>
                <w:kern w:val="0"/>
                <w:szCs w:val="21"/>
                <w:lang w:val="zh-CN"/>
              </w:rPr>
              <w:t>分，</w:t>
            </w:r>
            <w:r>
              <w:rPr>
                <w:rFonts w:hint="eastAsia" w:ascii="宋体" w:hAnsi="宋体"/>
                <w:bCs/>
                <w:kern w:val="0"/>
                <w:szCs w:val="21"/>
                <w:lang w:val="zh-CN"/>
              </w:rPr>
              <w:t>2</w:t>
            </w:r>
            <w:r>
              <w:rPr>
                <w:rFonts w:ascii="宋体" w:hAnsi="宋体"/>
                <w:bCs/>
                <w:kern w:val="0"/>
                <w:szCs w:val="21"/>
                <w:lang w:val="zh-CN"/>
              </w:rPr>
              <w:t>年</w:t>
            </w:r>
            <w:r>
              <w:rPr>
                <w:rFonts w:hint="eastAsia" w:ascii="宋体" w:hAnsi="宋体"/>
                <w:bCs/>
                <w:kern w:val="0"/>
                <w:szCs w:val="21"/>
                <w:lang w:val="zh-CN"/>
              </w:rPr>
              <w:t>均</w:t>
            </w:r>
            <w:r>
              <w:rPr>
                <w:rFonts w:ascii="宋体" w:hAnsi="宋体"/>
                <w:bCs/>
                <w:kern w:val="0"/>
                <w:szCs w:val="21"/>
                <w:lang w:val="zh-CN"/>
              </w:rPr>
              <w:t>盈利</w:t>
            </w:r>
            <w:r>
              <w:rPr>
                <w:rFonts w:hint="eastAsia" w:ascii="宋体" w:hAnsi="宋体"/>
                <w:bCs/>
                <w:kern w:val="0"/>
                <w:szCs w:val="21"/>
                <w:lang w:val="en-US" w:eastAsia="zh-CN"/>
              </w:rPr>
              <w:t>500</w:t>
            </w:r>
            <w:r>
              <w:rPr>
                <w:rFonts w:hint="eastAsia" w:ascii="宋体" w:hAnsi="宋体"/>
                <w:bCs/>
                <w:kern w:val="0"/>
                <w:szCs w:val="21"/>
                <w:lang w:val="zh-CN"/>
              </w:rPr>
              <w:t>万元及以上</w:t>
            </w:r>
            <w:r>
              <w:rPr>
                <w:rFonts w:ascii="宋体" w:hAnsi="宋体"/>
                <w:bCs/>
                <w:kern w:val="0"/>
                <w:szCs w:val="21"/>
                <w:lang w:val="zh-CN"/>
              </w:rPr>
              <w:t>得</w:t>
            </w:r>
            <w:r>
              <w:rPr>
                <w:rFonts w:hint="eastAsia" w:ascii="宋体" w:hAnsi="宋体"/>
                <w:bCs/>
                <w:kern w:val="0"/>
                <w:szCs w:val="21"/>
                <w:lang w:val="en-US" w:eastAsia="zh-CN"/>
              </w:rPr>
              <w:t>3</w:t>
            </w:r>
            <w:r>
              <w:rPr>
                <w:rFonts w:ascii="宋体" w:hAnsi="宋体"/>
                <w:bCs/>
                <w:kern w:val="0"/>
                <w:szCs w:val="21"/>
                <w:lang w:val="zh-CN"/>
              </w:rPr>
              <w:t>分，</w:t>
            </w:r>
            <w:r>
              <w:rPr>
                <w:rFonts w:hint="eastAsia" w:ascii="宋体" w:hAnsi="宋体"/>
                <w:bCs/>
                <w:kern w:val="0"/>
                <w:szCs w:val="21"/>
                <w:lang w:val="zh-CN"/>
              </w:rPr>
              <w:t>1</w:t>
            </w:r>
            <w:r>
              <w:rPr>
                <w:rFonts w:ascii="宋体" w:hAnsi="宋体"/>
                <w:bCs/>
                <w:kern w:val="0"/>
                <w:szCs w:val="21"/>
                <w:lang w:val="zh-CN"/>
              </w:rPr>
              <w:t>年盈利</w:t>
            </w:r>
            <w:r>
              <w:rPr>
                <w:rFonts w:hint="eastAsia" w:ascii="宋体" w:hAnsi="宋体"/>
                <w:bCs/>
                <w:kern w:val="0"/>
                <w:szCs w:val="21"/>
                <w:lang w:val="en-US" w:eastAsia="zh-CN"/>
              </w:rPr>
              <w:t>500</w:t>
            </w:r>
            <w:r>
              <w:rPr>
                <w:rFonts w:hint="eastAsia" w:ascii="宋体" w:hAnsi="宋体"/>
                <w:bCs/>
                <w:kern w:val="0"/>
                <w:szCs w:val="21"/>
                <w:lang w:val="zh-CN"/>
              </w:rPr>
              <w:t>万元及以上</w:t>
            </w:r>
            <w:r>
              <w:rPr>
                <w:rFonts w:ascii="宋体" w:hAnsi="宋体"/>
                <w:bCs/>
                <w:kern w:val="0"/>
                <w:szCs w:val="21"/>
                <w:lang w:val="zh-CN"/>
              </w:rPr>
              <w:t>得</w:t>
            </w:r>
            <w:r>
              <w:rPr>
                <w:rFonts w:hint="eastAsia" w:ascii="宋体" w:hAnsi="宋体"/>
                <w:bCs/>
                <w:kern w:val="0"/>
                <w:szCs w:val="21"/>
                <w:lang w:val="en-US" w:eastAsia="zh-CN"/>
              </w:rPr>
              <w:t>1</w:t>
            </w:r>
            <w:r>
              <w:rPr>
                <w:rFonts w:ascii="宋体" w:hAnsi="宋体"/>
                <w:bCs/>
                <w:kern w:val="0"/>
                <w:szCs w:val="21"/>
                <w:lang w:val="zh-CN"/>
              </w:rPr>
              <w:t>分，其他不得分。</w:t>
            </w:r>
          </w:p>
          <w:p w14:paraId="6B03718E">
            <w:pPr>
              <w:autoSpaceDE w:val="0"/>
              <w:autoSpaceDN w:val="0"/>
              <w:adjustRightInd w:val="0"/>
              <w:spacing w:line="300" w:lineRule="exact"/>
              <w:jc w:val="left"/>
              <w:rPr>
                <w:rFonts w:hint="eastAsia" w:ascii="Times New Roman" w:hAnsi="Times New Roman" w:eastAsia="宋体" w:cs="Times New Roman"/>
                <w:kern w:val="2"/>
                <w:sz w:val="21"/>
                <w:szCs w:val="21"/>
                <w:lang w:val="en-US" w:eastAsia="zh-CN" w:bidi="ar-SA"/>
              </w:rPr>
            </w:pPr>
            <w:r>
              <w:rPr>
                <w:rFonts w:ascii="宋体" w:hAnsi="宋体"/>
                <w:bCs/>
                <w:kern w:val="0"/>
                <w:szCs w:val="21"/>
                <w:lang w:val="zh-CN"/>
              </w:rPr>
              <w:t>（须提供经会计师事务所审计的财务报表，复印件加盖投标人公章）</w:t>
            </w:r>
          </w:p>
        </w:tc>
      </w:tr>
      <w:tr w14:paraId="34D63B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top w:val="single" w:color="000000" w:sz="8" w:space="0"/>
              <w:left w:val="single" w:color="000000" w:sz="8" w:space="0"/>
              <w:bottom w:val="single" w:color="000000" w:sz="8" w:space="0"/>
              <w:right w:val="single" w:color="000000" w:sz="8" w:space="0"/>
            </w:tcBorders>
            <w:noWrap w:val="0"/>
            <w:vAlign w:val="center"/>
          </w:tcPr>
          <w:p w14:paraId="7DDFAD9A">
            <w:pPr>
              <w:rPr>
                <w:rFonts w:ascii="宋体" w:hAnsi="宋体" w:cs="宋体"/>
                <w:sz w:val="20"/>
              </w:rPr>
            </w:pPr>
          </w:p>
        </w:tc>
        <w:tc>
          <w:tcPr>
            <w:tcW w:w="357" w:type="pct"/>
            <w:tcBorders>
              <w:top w:val="single" w:color="000000" w:sz="8" w:space="0"/>
              <w:left w:val="single" w:color="000000" w:sz="8" w:space="0"/>
              <w:bottom w:val="single" w:color="000000" w:sz="8" w:space="0"/>
              <w:right w:val="single" w:color="000000" w:sz="8" w:space="0"/>
            </w:tcBorders>
            <w:noWrap w:val="0"/>
            <w:vAlign w:val="center"/>
          </w:tcPr>
          <w:p w14:paraId="63503D61">
            <w:pPr>
              <w:widowControl w:val="0"/>
              <w:wordWrap w:val="0"/>
              <w:jc w:val="center"/>
              <w:rPr>
                <w:rFonts w:hint="eastAsia" w:ascii="宋体" w:hAnsi="宋体" w:eastAsia="宋体" w:cs="宋体"/>
                <w:szCs w:val="21"/>
                <w:lang w:eastAsia="zh-CN"/>
              </w:rPr>
            </w:pPr>
            <w:r>
              <w:rPr>
                <w:rFonts w:hint="eastAsia" w:ascii="宋体" w:hAnsi="宋体" w:cs="宋体"/>
                <w:szCs w:val="21"/>
                <w:lang w:val="en-US" w:eastAsia="zh-CN" w:bidi="ar"/>
              </w:rPr>
              <w:t>2</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66C52504">
            <w:pPr>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业绩情况</w:t>
            </w:r>
          </w:p>
        </w:tc>
        <w:tc>
          <w:tcPr>
            <w:tcW w:w="368" w:type="pct"/>
            <w:tcBorders>
              <w:top w:val="single" w:color="000000" w:sz="8" w:space="0"/>
              <w:left w:val="single" w:color="000000" w:sz="8" w:space="0"/>
              <w:bottom w:val="single" w:color="000000" w:sz="8" w:space="0"/>
              <w:right w:val="single" w:color="000000" w:sz="8" w:space="0"/>
            </w:tcBorders>
            <w:noWrap w:val="0"/>
            <w:vAlign w:val="center"/>
          </w:tcPr>
          <w:p w14:paraId="6CFA1996">
            <w:pPr>
              <w:widowControl w:val="0"/>
              <w:wordWrap w:val="0"/>
              <w:jc w:val="center"/>
              <w:rPr>
                <w:rFonts w:hint="default" w:ascii="宋体" w:hAnsi="宋体" w:cs="宋体" w:eastAsiaTheme="minorEastAsia"/>
                <w:szCs w:val="21"/>
                <w:lang w:val="en-US" w:eastAsia="zh-CN"/>
              </w:rPr>
            </w:pPr>
            <w:r>
              <w:rPr>
                <w:rFonts w:hint="eastAsia" w:ascii="宋体" w:hAnsi="宋体" w:cs="宋体" w:eastAsiaTheme="minorEastAsia"/>
                <w:szCs w:val="21"/>
                <w:lang w:val="en-US" w:eastAsia="zh-CN"/>
              </w:rPr>
              <w:t>10</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7380B4FA">
            <w:pPr>
              <w:autoSpaceDE w:val="0"/>
              <w:autoSpaceDN w:val="0"/>
              <w:adjustRightInd w:val="0"/>
              <w:spacing w:line="300" w:lineRule="exact"/>
              <w:jc w:val="left"/>
              <w:rPr>
                <w:rFonts w:ascii="宋体" w:hAnsi="宋体"/>
                <w:bCs/>
                <w:kern w:val="0"/>
                <w:szCs w:val="21"/>
                <w:lang w:val="zh-CN"/>
              </w:rPr>
            </w:pPr>
            <w:r>
              <w:rPr>
                <w:rFonts w:hint="eastAsia" w:ascii="宋体" w:hAnsi="宋体"/>
                <w:bCs/>
                <w:kern w:val="0"/>
                <w:szCs w:val="21"/>
                <w:lang w:val="zh-CN"/>
              </w:rPr>
              <w:t>根据投标人近</w:t>
            </w:r>
            <w:r>
              <w:rPr>
                <w:rFonts w:hint="eastAsia" w:ascii="宋体" w:hAnsi="宋体"/>
                <w:bCs/>
                <w:kern w:val="0"/>
                <w:szCs w:val="21"/>
                <w:lang w:val="en-US" w:eastAsia="zh-CN"/>
              </w:rPr>
              <w:t>2</w:t>
            </w:r>
            <w:r>
              <w:rPr>
                <w:rFonts w:hint="eastAsia" w:ascii="宋体" w:hAnsi="宋体"/>
                <w:bCs/>
                <w:kern w:val="0"/>
                <w:szCs w:val="21"/>
                <w:lang w:val="zh-CN"/>
              </w:rPr>
              <w:t>年（自20</w:t>
            </w:r>
            <w:r>
              <w:rPr>
                <w:rFonts w:hint="eastAsia" w:ascii="宋体" w:hAnsi="宋体"/>
                <w:bCs/>
                <w:kern w:val="0"/>
                <w:szCs w:val="21"/>
                <w:lang w:val="en-US" w:eastAsia="zh-CN"/>
              </w:rPr>
              <w:t>24</w:t>
            </w:r>
            <w:r>
              <w:rPr>
                <w:rFonts w:hint="eastAsia" w:ascii="宋体" w:hAnsi="宋体"/>
                <w:bCs/>
                <w:kern w:val="0"/>
                <w:szCs w:val="21"/>
                <w:lang w:val="zh-CN"/>
              </w:rPr>
              <w:t>年</w:t>
            </w:r>
            <w:r>
              <w:rPr>
                <w:rFonts w:hint="eastAsia" w:ascii="宋体" w:hAnsi="宋体"/>
                <w:bCs/>
                <w:kern w:val="0"/>
                <w:szCs w:val="21"/>
                <w:lang w:val="en-US" w:eastAsia="zh-CN"/>
              </w:rPr>
              <w:t>7</w:t>
            </w:r>
            <w:r>
              <w:rPr>
                <w:rFonts w:hint="eastAsia" w:ascii="宋体" w:hAnsi="宋体"/>
                <w:bCs/>
                <w:kern w:val="0"/>
                <w:szCs w:val="21"/>
                <w:lang w:val="zh-CN"/>
              </w:rPr>
              <w:t>月</w:t>
            </w:r>
            <w:r>
              <w:rPr>
                <w:rFonts w:hint="eastAsia" w:ascii="宋体" w:hAnsi="宋体"/>
                <w:bCs/>
                <w:kern w:val="0"/>
                <w:szCs w:val="21"/>
                <w:lang w:val="en-US" w:eastAsia="zh-CN"/>
              </w:rPr>
              <w:t>20</w:t>
            </w:r>
            <w:r>
              <w:rPr>
                <w:rFonts w:hint="eastAsia" w:ascii="宋体" w:hAnsi="宋体"/>
                <w:bCs/>
                <w:kern w:val="0"/>
                <w:szCs w:val="21"/>
                <w:lang w:val="zh-CN"/>
              </w:rPr>
              <w:t>日起）正在履约的</w:t>
            </w:r>
            <w:r>
              <w:rPr>
                <w:rFonts w:hint="default" w:ascii="宋体" w:hAnsi="宋体" w:cs="宋体"/>
                <w:szCs w:val="21"/>
                <w:lang w:val="en-US" w:eastAsia="zh-CN" w:bidi="ar"/>
              </w:rPr>
              <w:t>同类物业后勤保障服务</w:t>
            </w:r>
            <w:r>
              <w:rPr>
                <w:rFonts w:hint="eastAsia" w:ascii="宋体" w:hAnsi="宋体"/>
                <w:bCs/>
                <w:kern w:val="0"/>
                <w:szCs w:val="21"/>
                <w:lang w:val="zh-CN"/>
              </w:rPr>
              <w:t>业绩进行评分，H为</w:t>
            </w:r>
            <w:r>
              <w:rPr>
                <w:rFonts w:hint="eastAsia" w:ascii="宋体" w:hAnsi="宋体"/>
                <w:bCs/>
                <w:kern w:val="0"/>
                <w:szCs w:val="21"/>
                <w:lang w:val="en-US" w:eastAsia="zh-CN"/>
              </w:rPr>
              <w:t>单个</w:t>
            </w:r>
            <w:r>
              <w:rPr>
                <w:rFonts w:hint="eastAsia" w:ascii="宋体" w:hAnsi="宋体"/>
                <w:bCs/>
                <w:kern w:val="0"/>
                <w:szCs w:val="21"/>
                <w:lang w:val="zh-CN"/>
              </w:rPr>
              <w:t>合同金额（单位：万元）（服务内容至少包含前台、会务、保洁等服务）：</w:t>
            </w:r>
          </w:p>
          <w:p w14:paraId="00B2C1AA">
            <w:pPr>
              <w:autoSpaceDE w:val="0"/>
              <w:autoSpaceDN w:val="0"/>
              <w:adjustRightInd w:val="0"/>
              <w:spacing w:line="300" w:lineRule="exact"/>
              <w:jc w:val="left"/>
              <w:rPr>
                <w:rFonts w:ascii="宋体" w:hAnsi="宋体"/>
                <w:bCs/>
                <w:kern w:val="0"/>
                <w:szCs w:val="21"/>
                <w:lang w:val="zh-CN"/>
              </w:rPr>
            </w:pPr>
            <w:r>
              <w:rPr>
                <w:rFonts w:hint="eastAsia" w:ascii="宋体" w:hAnsi="宋体"/>
                <w:bCs/>
                <w:kern w:val="0"/>
                <w:szCs w:val="21"/>
                <w:lang w:val="zh-CN"/>
              </w:rPr>
              <w:t>H＜</w:t>
            </w:r>
            <w:r>
              <w:rPr>
                <w:rFonts w:hint="eastAsia" w:ascii="宋体" w:hAnsi="宋体"/>
                <w:bCs/>
                <w:kern w:val="0"/>
                <w:szCs w:val="21"/>
                <w:lang w:val="en-US" w:eastAsia="zh-CN"/>
              </w:rPr>
              <w:t>50</w:t>
            </w:r>
            <w:r>
              <w:rPr>
                <w:rFonts w:hint="eastAsia" w:ascii="宋体" w:hAnsi="宋体"/>
                <w:bCs/>
                <w:kern w:val="0"/>
                <w:szCs w:val="21"/>
                <w:lang w:val="zh-CN"/>
              </w:rPr>
              <w:t>，不得分；</w:t>
            </w:r>
          </w:p>
          <w:p w14:paraId="1BC5F535">
            <w:pPr>
              <w:autoSpaceDE w:val="0"/>
              <w:autoSpaceDN w:val="0"/>
              <w:adjustRightInd w:val="0"/>
              <w:spacing w:line="300" w:lineRule="exact"/>
              <w:jc w:val="left"/>
              <w:rPr>
                <w:rFonts w:ascii="宋体" w:hAnsi="宋体"/>
                <w:bCs/>
                <w:kern w:val="0"/>
                <w:szCs w:val="21"/>
                <w:lang w:val="zh-CN"/>
              </w:rPr>
            </w:pPr>
            <w:r>
              <w:rPr>
                <w:rFonts w:hint="eastAsia" w:ascii="宋体" w:hAnsi="宋体"/>
                <w:bCs/>
                <w:kern w:val="0"/>
                <w:szCs w:val="21"/>
                <w:lang w:val="en-US" w:eastAsia="zh-CN"/>
              </w:rPr>
              <w:t>5</w:t>
            </w:r>
            <w:r>
              <w:rPr>
                <w:rFonts w:hint="eastAsia" w:ascii="宋体" w:hAnsi="宋体"/>
                <w:bCs/>
                <w:kern w:val="0"/>
                <w:szCs w:val="21"/>
                <w:lang w:val="zh-CN"/>
              </w:rPr>
              <w:t>0≤H＜</w:t>
            </w:r>
            <w:r>
              <w:rPr>
                <w:rFonts w:hint="eastAsia" w:ascii="宋体" w:hAnsi="宋体"/>
                <w:bCs/>
                <w:kern w:val="0"/>
                <w:szCs w:val="21"/>
                <w:lang w:val="en-US" w:eastAsia="zh-CN"/>
              </w:rPr>
              <w:t>1</w:t>
            </w:r>
            <w:r>
              <w:rPr>
                <w:rFonts w:hint="eastAsia" w:ascii="宋体" w:hAnsi="宋体"/>
                <w:bCs/>
                <w:kern w:val="0"/>
                <w:szCs w:val="21"/>
                <w:lang w:val="zh-CN"/>
              </w:rPr>
              <w:t>00，每个得</w:t>
            </w:r>
            <w:r>
              <w:rPr>
                <w:rFonts w:hint="eastAsia" w:ascii="宋体" w:hAnsi="宋体"/>
                <w:bCs/>
                <w:kern w:val="0"/>
                <w:szCs w:val="21"/>
                <w:lang w:val="en-US" w:eastAsia="zh-CN"/>
              </w:rPr>
              <w:t>1</w:t>
            </w:r>
            <w:r>
              <w:rPr>
                <w:rFonts w:hint="eastAsia" w:ascii="宋体" w:hAnsi="宋体"/>
                <w:bCs/>
                <w:kern w:val="0"/>
                <w:szCs w:val="21"/>
                <w:lang w:val="zh-CN"/>
              </w:rPr>
              <w:t>分，统计个数≤</w:t>
            </w:r>
            <w:r>
              <w:rPr>
                <w:rFonts w:ascii="宋体" w:hAnsi="宋体"/>
                <w:bCs/>
                <w:kern w:val="0"/>
                <w:szCs w:val="21"/>
                <w:lang w:val="zh-CN"/>
              </w:rPr>
              <w:t>10</w:t>
            </w:r>
            <w:r>
              <w:rPr>
                <w:rFonts w:hint="eastAsia" w:ascii="宋体" w:hAnsi="宋体"/>
                <w:bCs/>
                <w:kern w:val="0"/>
                <w:szCs w:val="21"/>
                <w:lang w:val="zh-CN"/>
              </w:rPr>
              <w:t>个；</w:t>
            </w:r>
          </w:p>
          <w:p w14:paraId="5B45D869">
            <w:pPr>
              <w:autoSpaceDE w:val="0"/>
              <w:autoSpaceDN w:val="0"/>
              <w:adjustRightInd w:val="0"/>
              <w:spacing w:line="300" w:lineRule="exact"/>
              <w:jc w:val="left"/>
              <w:rPr>
                <w:rFonts w:ascii="宋体" w:hAnsi="宋体"/>
                <w:bCs/>
                <w:kern w:val="0"/>
                <w:szCs w:val="21"/>
                <w:lang w:val="zh-CN"/>
              </w:rPr>
            </w:pPr>
            <w:r>
              <w:rPr>
                <w:rFonts w:hint="eastAsia" w:ascii="宋体" w:hAnsi="宋体"/>
                <w:bCs/>
                <w:kern w:val="0"/>
                <w:szCs w:val="21"/>
                <w:lang w:val="zh-CN"/>
              </w:rPr>
              <w:t>H≥</w:t>
            </w:r>
            <w:r>
              <w:rPr>
                <w:rFonts w:hint="eastAsia" w:ascii="宋体" w:hAnsi="宋体"/>
                <w:bCs/>
                <w:kern w:val="0"/>
                <w:szCs w:val="21"/>
                <w:lang w:val="en-US" w:eastAsia="zh-CN"/>
              </w:rPr>
              <w:t>1</w:t>
            </w:r>
            <w:r>
              <w:rPr>
                <w:rFonts w:hint="eastAsia" w:ascii="宋体" w:hAnsi="宋体"/>
                <w:bCs/>
                <w:kern w:val="0"/>
                <w:szCs w:val="21"/>
                <w:lang w:val="zh-CN"/>
              </w:rPr>
              <w:t>00，每个得</w:t>
            </w:r>
            <w:r>
              <w:rPr>
                <w:rFonts w:hint="eastAsia" w:ascii="宋体" w:hAnsi="宋体"/>
                <w:bCs/>
                <w:kern w:val="0"/>
                <w:szCs w:val="21"/>
                <w:lang w:val="en-US" w:eastAsia="zh-CN"/>
              </w:rPr>
              <w:t>2</w:t>
            </w:r>
            <w:r>
              <w:rPr>
                <w:rFonts w:hint="eastAsia" w:ascii="宋体" w:hAnsi="宋体"/>
                <w:bCs/>
                <w:kern w:val="0"/>
                <w:szCs w:val="21"/>
                <w:lang w:val="zh-CN"/>
              </w:rPr>
              <w:t>分，统计个数≤</w:t>
            </w:r>
            <w:r>
              <w:rPr>
                <w:rFonts w:ascii="宋体" w:hAnsi="宋体"/>
                <w:bCs/>
                <w:kern w:val="0"/>
                <w:szCs w:val="21"/>
                <w:lang w:val="zh-CN"/>
              </w:rPr>
              <w:t>5</w:t>
            </w:r>
            <w:r>
              <w:rPr>
                <w:rFonts w:hint="eastAsia" w:ascii="宋体" w:hAnsi="宋体"/>
                <w:bCs/>
                <w:kern w:val="0"/>
                <w:szCs w:val="21"/>
                <w:lang w:val="zh-CN"/>
              </w:rPr>
              <w:t>个。</w:t>
            </w:r>
          </w:p>
          <w:p w14:paraId="19817FF3">
            <w:pPr>
              <w:widowControl w:val="0"/>
              <w:wordWrap w:val="0"/>
              <w:rPr>
                <w:rFonts w:hint="default" w:ascii="宋体" w:hAnsi="宋体" w:cs="宋体"/>
                <w:szCs w:val="21"/>
                <w:lang w:val="en-US" w:eastAsia="zh-CN" w:bidi="ar"/>
              </w:rPr>
            </w:pPr>
            <w:r>
              <w:rPr>
                <w:rFonts w:hint="eastAsia" w:ascii="宋体" w:hAnsi="宋体"/>
                <w:bCs/>
                <w:kern w:val="0"/>
                <w:szCs w:val="21"/>
                <w:lang w:val="zh-CN"/>
              </w:rPr>
              <w:t>（业绩证明材料要求：需提供合同复印件加盖公章或其他财务收款凭证等其他合格证明材料，总分不超过</w:t>
            </w:r>
            <w:r>
              <w:rPr>
                <w:rFonts w:hint="eastAsia" w:ascii="宋体" w:hAnsi="宋体"/>
                <w:bCs/>
                <w:kern w:val="0"/>
                <w:szCs w:val="21"/>
                <w:lang w:val="en-US" w:eastAsia="zh-CN"/>
              </w:rPr>
              <w:t>10</w:t>
            </w:r>
            <w:r>
              <w:rPr>
                <w:rFonts w:hint="eastAsia" w:ascii="宋体" w:hAnsi="宋体"/>
                <w:bCs/>
                <w:kern w:val="0"/>
                <w:szCs w:val="21"/>
                <w:lang w:val="zh-CN"/>
              </w:rPr>
              <w:t>分）</w:t>
            </w:r>
          </w:p>
        </w:tc>
      </w:tr>
      <w:tr w14:paraId="160CF5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497" w:hRule="atLeast"/>
        </w:trPr>
        <w:tc>
          <w:tcPr>
            <w:tcW w:w="357" w:type="pct"/>
            <w:tcBorders>
              <w:top w:val="single" w:color="000000" w:sz="8" w:space="0"/>
              <w:left w:val="single" w:color="000000" w:sz="8" w:space="0"/>
              <w:bottom w:val="single" w:color="000000" w:sz="8" w:space="0"/>
              <w:right w:val="single" w:color="000000" w:sz="8" w:space="0"/>
            </w:tcBorders>
            <w:noWrap w:val="0"/>
            <w:vAlign w:val="center"/>
          </w:tcPr>
          <w:p w14:paraId="45E04043">
            <w:pPr>
              <w:rPr>
                <w:rFonts w:ascii="宋体" w:hAnsi="宋体" w:cs="宋体"/>
                <w:sz w:val="20"/>
              </w:rPr>
            </w:pPr>
          </w:p>
        </w:tc>
        <w:tc>
          <w:tcPr>
            <w:tcW w:w="357" w:type="pct"/>
            <w:tcBorders>
              <w:top w:val="single" w:color="000000" w:sz="8" w:space="0"/>
              <w:left w:val="single" w:color="000000" w:sz="8" w:space="0"/>
              <w:bottom w:val="single" w:color="000000" w:sz="8" w:space="0"/>
              <w:right w:val="single" w:color="000000" w:sz="8" w:space="0"/>
            </w:tcBorders>
            <w:noWrap w:val="0"/>
            <w:vAlign w:val="center"/>
          </w:tcPr>
          <w:p w14:paraId="4DE9AA59">
            <w:pPr>
              <w:widowControl w:val="0"/>
              <w:wordWrap w:val="0"/>
              <w:jc w:val="center"/>
              <w:rPr>
                <w:rFonts w:hint="eastAsia" w:ascii="宋体" w:hAnsi="宋体" w:eastAsia="宋体" w:cs="宋体"/>
                <w:szCs w:val="21"/>
                <w:lang w:val="en-US" w:eastAsia="zh-CN" w:bidi="ar"/>
              </w:rPr>
            </w:pPr>
            <w:r>
              <w:rPr>
                <w:rFonts w:hint="eastAsia" w:ascii="宋体" w:hAnsi="宋体" w:cs="宋体"/>
                <w:szCs w:val="21"/>
                <w:lang w:val="en-US" w:eastAsia="zh-CN" w:bidi="ar"/>
              </w:rPr>
              <w:t>3</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2C14E349">
            <w:pPr>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增值服务</w:t>
            </w:r>
          </w:p>
        </w:tc>
        <w:tc>
          <w:tcPr>
            <w:tcW w:w="368" w:type="pct"/>
            <w:tcBorders>
              <w:top w:val="single" w:color="000000" w:sz="8" w:space="0"/>
              <w:left w:val="single" w:color="000000" w:sz="8" w:space="0"/>
              <w:bottom w:val="single" w:color="000000" w:sz="8" w:space="0"/>
              <w:right w:val="single" w:color="000000" w:sz="8" w:space="0"/>
            </w:tcBorders>
            <w:noWrap w:val="0"/>
            <w:vAlign w:val="center"/>
          </w:tcPr>
          <w:p w14:paraId="40A9FEEB">
            <w:pPr>
              <w:widowControl w:val="0"/>
              <w:wordWrap w:val="0"/>
              <w:jc w:val="center"/>
              <w:rPr>
                <w:rFonts w:hint="default" w:ascii="宋体" w:hAnsi="宋体" w:cs="宋体" w:eastAsiaTheme="minorEastAsia"/>
                <w:szCs w:val="21"/>
                <w:lang w:val="en-US" w:eastAsia="zh-CN"/>
              </w:rPr>
            </w:pPr>
            <w:r>
              <w:rPr>
                <w:rFonts w:hint="eastAsia" w:ascii="宋体" w:hAnsi="宋体" w:cs="宋体" w:eastAsiaTheme="minorEastAsia"/>
                <w:szCs w:val="21"/>
                <w:lang w:val="en-US" w:eastAsia="zh-CN"/>
              </w:rPr>
              <w:t>5</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6467A4A9">
            <w:pPr>
              <w:widowControl w:val="0"/>
              <w:numPr>
                <w:ilvl w:val="0"/>
                <w:numId w:val="0"/>
              </w:numPr>
              <w:wordWrap w:val="0"/>
              <w:ind w:leftChars="0"/>
              <w:rPr>
                <w:rFonts w:hint="eastAsia" w:ascii="宋体" w:hAnsi="宋体" w:cs="宋体"/>
                <w:b/>
                <w:bCs/>
                <w:szCs w:val="21"/>
                <w:lang w:val="en-US" w:eastAsia="zh-CN" w:bidi="ar"/>
              </w:rPr>
            </w:pPr>
            <w:r>
              <w:rPr>
                <w:rFonts w:hint="eastAsia" w:ascii="宋体" w:hAnsi="宋体" w:cs="宋体"/>
                <w:b/>
                <w:bCs/>
                <w:szCs w:val="21"/>
                <w:lang w:val="en-US" w:eastAsia="zh-CN" w:bidi="ar"/>
              </w:rPr>
              <w:t>（一）评审内容：</w:t>
            </w:r>
          </w:p>
          <w:p w14:paraId="172A0DC5">
            <w:pPr>
              <w:widowControl w:val="0"/>
              <w:numPr>
                <w:ilvl w:val="0"/>
                <w:numId w:val="0"/>
              </w:numPr>
              <w:wordWrap w:val="0"/>
              <w:ind w:leftChars="0"/>
              <w:rPr>
                <w:rFonts w:hint="eastAsia" w:ascii="宋体" w:hAnsi="宋体" w:cs="宋体"/>
                <w:szCs w:val="21"/>
                <w:lang w:val="en-US" w:eastAsia="zh-CN" w:bidi="ar"/>
              </w:rPr>
            </w:pPr>
            <w:r>
              <w:rPr>
                <w:rFonts w:hint="eastAsia" w:ascii="宋体" w:hAnsi="宋体" w:cs="宋体"/>
                <w:szCs w:val="21"/>
                <w:lang w:val="en-US" w:eastAsia="zh-CN" w:bidi="ar"/>
              </w:rPr>
              <w:t>根据投标人在基本服务内容之外承诺提供的增值服务进行评分，重点考察增值服务项目与公司实际需求的契合度、针对性、实用性及承诺的可兑现性。</w:t>
            </w:r>
          </w:p>
          <w:p w14:paraId="0EBC8D3D">
            <w:pPr>
              <w:widowControl w:val="0"/>
              <w:numPr>
                <w:ilvl w:val="0"/>
                <w:numId w:val="0"/>
              </w:numPr>
              <w:wordWrap w:val="0"/>
              <w:ind w:leftChars="0"/>
              <w:rPr>
                <w:rFonts w:hint="eastAsia" w:ascii="宋体" w:hAnsi="宋体" w:cs="宋体"/>
                <w:b/>
                <w:bCs/>
                <w:szCs w:val="21"/>
                <w:lang w:val="en-US" w:eastAsia="zh-CN" w:bidi="ar"/>
              </w:rPr>
            </w:pPr>
            <w:r>
              <w:rPr>
                <w:rFonts w:hint="eastAsia" w:ascii="宋体" w:hAnsi="宋体" w:cs="宋体"/>
                <w:b/>
                <w:bCs/>
                <w:szCs w:val="21"/>
                <w:lang w:val="en-US" w:eastAsia="zh-CN" w:bidi="ar"/>
              </w:rPr>
              <w:t>（二）评审标准：</w:t>
            </w:r>
          </w:p>
          <w:p w14:paraId="6E811436">
            <w:pPr>
              <w:widowControl w:val="0"/>
              <w:numPr>
                <w:ilvl w:val="0"/>
                <w:numId w:val="0"/>
              </w:numPr>
              <w:wordWrap w:val="0"/>
              <w:ind w:leftChars="0"/>
              <w:rPr>
                <w:rFonts w:ascii="宋体" w:hAnsi="宋体" w:cs="宋体"/>
              </w:rPr>
            </w:pPr>
            <w:r>
              <w:rPr>
                <w:rFonts w:hint="eastAsia" w:ascii="宋体" w:hAnsi="宋体"/>
                <w:bCs/>
                <w:kern w:val="0"/>
                <w:szCs w:val="21"/>
                <w:lang w:val="zh-CN"/>
              </w:rPr>
              <w:t>根据优劣情况评分：优得</w:t>
            </w:r>
            <w:r>
              <w:rPr>
                <w:rFonts w:hint="eastAsia" w:ascii="宋体" w:hAnsi="宋体"/>
                <w:bCs/>
                <w:kern w:val="0"/>
                <w:szCs w:val="21"/>
                <w:lang w:val="en-US" w:eastAsia="zh-CN"/>
              </w:rPr>
              <w:t>5分</w:t>
            </w:r>
            <w:r>
              <w:rPr>
                <w:rFonts w:hint="eastAsia" w:ascii="宋体" w:hAnsi="宋体"/>
                <w:bCs/>
                <w:kern w:val="0"/>
                <w:szCs w:val="21"/>
                <w:lang w:val="zh-CN"/>
              </w:rPr>
              <w:t>；良得</w:t>
            </w:r>
            <w:r>
              <w:rPr>
                <w:rFonts w:hint="eastAsia" w:ascii="宋体" w:hAnsi="宋体"/>
                <w:bCs/>
                <w:kern w:val="0"/>
                <w:szCs w:val="21"/>
                <w:lang w:val="en-US" w:eastAsia="zh-CN"/>
              </w:rPr>
              <w:t>4分</w:t>
            </w:r>
            <w:r>
              <w:rPr>
                <w:rFonts w:hint="eastAsia" w:ascii="宋体" w:hAnsi="宋体"/>
                <w:bCs/>
                <w:kern w:val="0"/>
                <w:szCs w:val="21"/>
                <w:lang w:val="zh-CN"/>
              </w:rPr>
              <w:t>；中得</w:t>
            </w:r>
            <w:r>
              <w:rPr>
                <w:rFonts w:hint="eastAsia" w:ascii="宋体" w:hAnsi="宋体"/>
                <w:bCs/>
                <w:kern w:val="0"/>
                <w:szCs w:val="21"/>
                <w:lang w:val="en-US" w:eastAsia="zh-CN"/>
              </w:rPr>
              <w:t>3分</w:t>
            </w:r>
            <w:r>
              <w:rPr>
                <w:rFonts w:hint="eastAsia" w:ascii="宋体" w:hAnsi="宋体"/>
                <w:bCs/>
                <w:kern w:val="0"/>
                <w:szCs w:val="21"/>
                <w:lang w:val="zh-CN"/>
              </w:rPr>
              <w:t>；差得0-</w:t>
            </w:r>
            <w:r>
              <w:rPr>
                <w:rFonts w:hint="eastAsia" w:ascii="宋体" w:hAnsi="宋体"/>
                <w:bCs/>
                <w:kern w:val="0"/>
                <w:szCs w:val="21"/>
                <w:lang w:val="en-US" w:eastAsia="zh-CN"/>
              </w:rPr>
              <w:t>2分</w:t>
            </w:r>
            <w:r>
              <w:rPr>
                <w:rFonts w:hint="eastAsia" w:ascii="宋体" w:hAnsi="宋体"/>
                <w:bCs/>
                <w:kern w:val="0"/>
                <w:szCs w:val="21"/>
                <w:lang w:val="zh-CN"/>
              </w:rPr>
              <w:t>。未提供响应方案不得分。</w:t>
            </w:r>
          </w:p>
        </w:tc>
      </w:tr>
    </w:tbl>
    <w:p w14:paraId="47D81CC9">
      <w:pPr>
        <w:pStyle w:val="5"/>
        <w:rPr>
          <w:rFonts w:hint="eastAsia" w:ascii="仿宋" w:hAnsi="仿宋" w:eastAsia="仿宋" w:cs="仿宋"/>
          <w:sz w:val="32"/>
          <w:szCs w:val="32"/>
          <w:lang w:val="en-US" w:eastAsia="zh-CN"/>
        </w:rPr>
      </w:pPr>
    </w:p>
    <w:p w14:paraId="15491EC0">
      <w:pPr>
        <w:pStyle w:val="5"/>
        <w:rPr>
          <w:rFonts w:hint="default"/>
          <w:lang w:val="en-US" w:eastAsia="zh-CN"/>
        </w:rPr>
      </w:pPr>
      <w:r>
        <w:rPr>
          <w:rFonts w:hint="eastAsia" w:ascii="仿宋" w:hAnsi="仿宋" w:eastAsia="仿宋" w:cs="仿宋"/>
          <w:sz w:val="32"/>
          <w:szCs w:val="32"/>
          <w:lang w:val="en-US" w:eastAsia="zh-CN"/>
        </w:rPr>
        <w:t>附件：供应商基本情况表</w:t>
      </w:r>
    </w:p>
    <w:p w14:paraId="6CFC4C07">
      <w:pPr>
        <w:rPr>
          <w:rFonts w:ascii="仿宋" w:hAnsi="仿宋" w:eastAsia="仿宋" w:cs="仿宋"/>
          <w:sz w:val="32"/>
          <w:szCs w:val="32"/>
        </w:rPr>
      </w:pPr>
    </w:p>
    <w:p w14:paraId="2871F5EF">
      <w:pPr>
        <w:rPr>
          <w:rFonts w:ascii="仿宋" w:hAnsi="仿宋" w:eastAsia="仿宋" w:cs="仿宋"/>
          <w:sz w:val="32"/>
          <w:szCs w:val="32"/>
        </w:rPr>
      </w:pPr>
    </w:p>
    <w:p w14:paraId="290880B8">
      <w:pPr>
        <w:ind w:firstLine="640" w:firstLineChars="200"/>
        <w:jc w:val="right"/>
        <w:rPr>
          <w:rFonts w:ascii="仿宋" w:hAnsi="仿宋" w:eastAsia="仿宋" w:cs="仿宋"/>
          <w:sz w:val="32"/>
          <w:szCs w:val="32"/>
        </w:rPr>
      </w:pPr>
      <w:r>
        <w:rPr>
          <w:rFonts w:hint="eastAsia" w:ascii="仿宋" w:hAnsi="仿宋" w:eastAsia="仿宋" w:cs="仿宋"/>
          <w:sz w:val="32"/>
          <w:szCs w:val="32"/>
        </w:rPr>
        <w:t>深圳农业</w:t>
      </w:r>
      <w:r>
        <w:rPr>
          <w:rFonts w:hint="eastAsia" w:ascii="仿宋" w:hAnsi="仿宋" w:eastAsia="仿宋" w:cs="仿宋"/>
          <w:sz w:val="32"/>
          <w:szCs w:val="32"/>
          <w:lang w:val="en-US" w:eastAsia="zh-CN"/>
        </w:rPr>
        <w:t>科技创新</w:t>
      </w:r>
      <w:r>
        <w:rPr>
          <w:rFonts w:hint="eastAsia" w:ascii="仿宋" w:hAnsi="仿宋" w:eastAsia="仿宋" w:cs="仿宋"/>
          <w:sz w:val="32"/>
          <w:szCs w:val="32"/>
        </w:rPr>
        <w:t xml:space="preserve">集团有限公司   </w:t>
      </w:r>
    </w:p>
    <w:p w14:paraId="0E939639">
      <w:pPr>
        <w:jc w:val="cente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w:t>
      </w:r>
    </w:p>
    <w:p w14:paraId="0105AAB4">
      <w:pPr>
        <w:pStyle w:val="4"/>
        <w:rPr>
          <w:rFonts w:hint="eastAsia" w:ascii="仿宋" w:hAnsi="仿宋" w:eastAsia="仿宋" w:cs="仿宋"/>
          <w:sz w:val="32"/>
          <w:szCs w:val="32"/>
        </w:rPr>
      </w:pPr>
    </w:p>
    <w:p w14:paraId="0F021EF3">
      <w:pPr>
        <w:pStyle w:val="5"/>
        <w:rPr>
          <w:rFonts w:hint="eastAsia" w:ascii="仿宋" w:hAnsi="仿宋" w:eastAsia="仿宋" w:cs="仿宋"/>
          <w:sz w:val="32"/>
          <w:szCs w:val="32"/>
        </w:rPr>
      </w:pPr>
    </w:p>
    <w:p w14:paraId="2195AD4D">
      <w:pPr>
        <w:rPr>
          <w:rFonts w:hint="eastAsia" w:ascii="仿宋" w:hAnsi="仿宋" w:eastAsia="仿宋" w:cs="仿宋"/>
          <w:sz w:val="32"/>
          <w:szCs w:val="32"/>
        </w:rPr>
      </w:pPr>
      <w:r>
        <w:rPr>
          <w:rFonts w:hint="eastAsia" w:ascii="仿宋" w:hAnsi="仿宋" w:eastAsia="仿宋" w:cs="仿宋"/>
          <w:sz w:val="32"/>
          <w:szCs w:val="32"/>
        </w:rPr>
        <w:br w:type="page"/>
      </w:r>
    </w:p>
    <w:p w14:paraId="7702DCCF">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0A1ACBE6">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供应商基本情况表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798F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060414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69D16E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6DF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69F5313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6BA259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3198FF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7D1C3C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7C9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67B93A0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1895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D7B14B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20B31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40CB5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797581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3F1BC33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63B9A4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7CF5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7F75F7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47D7C2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4C5917D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3B9BA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F05FD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2218B4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E40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5B6D3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7E99D3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656EFE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05B4075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12BC6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02143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20D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9" w:type="dxa"/>
            <w:vAlign w:val="center"/>
          </w:tcPr>
          <w:p w14:paraId="6877A9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C8E7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F0CFA4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A700D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A68C5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4ACCD5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90A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47A9E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0EEC77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025A20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4318DD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0BCBFE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8CF35E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967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9CB95E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421D0C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0D615E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744D7C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5CF44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7B6A8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14B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6C18DF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11D3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7EEF26E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3B59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8F4E5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20AA194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1E331C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697149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1C96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trPr>
        <w:tc>
          <w:tcPr>
            <w:tcW w:w="943" w:type="dxa"/>
            <w:gridSpan w:val="2"/>
            <w:vAlign w:val="center"/>
          </w:tcPr>
          <w:p w14:paraId="1A14DB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359301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436A81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4C2B48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034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5FEE00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24F112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3D83E65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122055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7885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AC2861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7E2D4FF1">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64A2AD9">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6B48B9BB">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39C284E8">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743D748F">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22BEC8D3">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040D82B5">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35B91120">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0385275">
      <w:pPr>
        <w:numPr>
          <w:ilvl w:val="0"/>
          <w:numId w:val="0"/>
        </w:numPr>
        <w:rPr>
          <w:rFonts w:hint="default" w:ascii="仿宋_GB2312" w:hAnsi="仿宋_GB2312" w:eastAsia="仿宋_GB2312" w:cs="仿宋_GB2312"/>
          <w:i w:val="0"/>
          <w:iCs w:val="0"/>
          <w:caps w:val="0"/>
          <w:color w:val="404040"/>
          <w:spacing w:val="0"/>
          <w:sz w:val="32"/>
          <w:szCs w:val="32"/>
          <w:shd w:val="clear" w:fill="FFFFFF"/>
          <w:lang w:val="en-US" w:eastAsia="zh-CN"/>
        </w:rPr>
      </w:pPr>
    </w:p>
    <w:p w14:paraId="6D0CB56D">
      <w:pPr>
        <w:pStyle w:val="5"/>
        <w:rPr>
          <w:rFonts w:hint="eastAsia" w:ascii="仿宋" w:hAnsi="仿宋" w:eastAsia="仿宋" w:cs="仿宋"/>
          <w:sz w:val="32"/>
          <w:szCs w:val="32"/>
        </w:rPr>
      </w:pPr>
    </w:p>
    <w:p w14:paraId="68739F59">
      <w:pPr>
        <w:keepNext w:val="0"/>
        <w:keepLines w:val="0"/>
        <w:pageBreakBefore w:val="0"/>
        <w:wordWrap w:val="0"/>
        <w:topLinePunct w:val="0"/>
        <w:bidi w:val="0"/>
        <w:spacing w:line="560" w:lineRule="exact"/>
        <w:ind w:left="0"/>
        <w:jc w:val="right"/>
        <w:textAlignment w:val="auto"/>
        <w:rPr>
          <w:rFonts w:hint="eastAsia" w:ascii="仿宋_GB2312" w:hAnsi="仿宋_GB2312" w:eastAsia="仿宋_GB2312" w:cs="仿宋_GB2312"/>
          <w:sz w:val="32"/>
          <w:szCs w:val="32"/>
        </w:rPr>
      </w:pPr>
    </w:p>
    <w:sectPr>
      <w:footerReference r:id="rId5" w:type="first"/>
      <w:headerReference r:id="rId3" w:type="default"/>
      <w:footerReference r:id="rId4" w:type="default"/>
      <w:pgSz w:w="11906" w:h="16838"/>
      <w:pgMar w:top="2098" w:right="1474" w:bottom="198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7CC534-4466-4DFD-B63E-388EB5CA51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EAABB12-6C9E-4B81-A22C-FA2B195A8D4D}"/>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A5A5CBDE-FF60-458C-BE00-BC0B42C1352A}"/>
  </w:font>
  <w:font w:name="仿宋">
    <w:panose1 w:val="02010609060101010101"/>
    <w:charset w:val="86"/>
    <w:family w:val="modern"/>
    <w:pitch w:val="default"/>
    <w:sig w:usb0="800002BF" w:usb1="38CF7CFA" w:usb2="00000016" w:usb3="00000000" w:csb0="00040001" w:csb1="00000000"/>
    <w:embedRegular r:id="rId4" w:fontKey="{0713A345-2E0E-48A1-AEEA-7C6822F852A3}"/>
  </w:font>
  <w:font w:name="方正小标宋简体">
    <w:panose1 w:val="02000000000000000000"/>
    <w:charset w:val="86"/>
    <w:family w:val="auto"/>
    <w:pitch w:val="default"/>
    <w:sig w:usb0="00000001" w:usb1="080E0000" w:usb2="00000000" w:usb3="00000000" w:csb0="00040000" w:csb1="00000000"/>
    <w:embedRegular r:id="rId5" w:fontKey="{25DE274A-AD8F-4DC5-9F47-6776F01BA9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D7A80">
    <w:pPr>
      <w:pStyle w:val="7"/>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8748C6">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- 7 -</w:t>
                          </w:r>
                          <w:r>
                            <w:rPr>
                              <w:rFonts w:hint="eastAsia" w:ascii="宋体" w:hAnsi="宋体" w:cs="宋体"/>
                              <w:sz w:val="32"/>
                              <w:szCs w:val="3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28748C6">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- 7 -</w:t>
                    </w:r>
                    <w:r>
                      <w:rPr>
                        <w:rFonts w:hint="eastAsia" w:ascii="宋体" w:hAnsi="宋体" w:cs="宋体"/>
                        <w:sz w:val="32"/>
                        <w:szCs w:val="32"/>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C10193">
                          <w:pPr>
                            <w:pStyle w:val="7"/>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5C10193">
                    <w:pPr>
                      <w:pStyle w:val="7"/>
                      <w:jc w:val="right"/>
                    </w:pPr>
                  </w:p>
                </w:txbxContent>
              </v:textbox>
            </v:shape>
          </w:pict>
        </mc:Fallback>
      </mc:AlternateContent>
    </w:r>
  </w:p>
  <w:p w14:paraId="794C64EE">
    <w:pPr>
      <w:pStyle w:val="7"/>
      <w:tabs>
        <w:tab w:val="clear" w:pos="4153"/>
        <w:tab w:val="clear" w:pos="8306"/>
      </w:tabs>
      <w:ind w:right="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8EE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160A7F">
                          <w:pPr>
                            <w:snapToGrid w:val="0"/>
                            <w:rPr>
                              <w:sz w:val="24"/>
                            </w:rPr>
                          </w:pPr>
                          <w:r>
                            <w:rPr>
                              <w:rFonts w:hint="eastAsia"/>
                              <w:sz w:val="24"/>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0160A7F">
                    <w:pPr>
                      <w:snapToGrid w:val="0"/>
                      <w:rPr>
                        <w:sz w:val="24"/>
                      </w:rPr>
                    </w:pPr>
                    <w:r>
                      <w:rPr>
                        <w:rFonts w:hint="eastAsia"/>
                        <w:sz w:val="24"/>
                      </w:rPr>
                      <w:t>-1-</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4FD24">
    <w:pPr>
      <w:pStyle w:val="8"/>
      <w:jc w:val="both"/>
    </w:pPr>
  </w:p>
  <w:p w14:paraId="202AB827">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YWEzYjhkMWU0YjMxMTUxMzg0YmJjNzdkNDUwY2IifQ=="/>
  </w:docVars>
  <w:rsids>
    <w:rsidRoot w:val="00A0323F"/>
    <w:rsid w:val="00016D8E"/>
    <w:rsid w:val="00046609"/>
    <w:rsid w:val="00082BCF"/>
    <w:rsid w:val="000B38F7"/>
    <w:rsid w:val="000B4446"/>
    <w:rsid w:val="001612B1"/>
    <w:rsid w:val="00186AF9"/>
    <w:rsid w:val="0026084E"/>
    <w:rsid w:val="002A719A"/>
    <w:rsid w:val="002E2221"/>
    <w:rsid w:val="00373CB0"/>
    <w:rsid w:val="0038510D"/>
    <w:rsid w:val="003B26E4"/>
    <w:rsid w:val="003D1473"/>
    <w:rsid w:val="005240FD"/>
    <w:rsid w:val="005429F3"/>
    <w:rsid w:val="00586C19"/>
    <w:rsid w:val="00692F83"/>
    <w:rsid w:val="007A6E0E"/>
    <w:rsid w:val="00885F49"/>
    <w:rsid w:val="008D0F37"/>
    <w:rsid w:val="00A0323F"/>
    <w:rsid w:val="00A2305B"/>
    <w:rsid w:val="00A25FB6"/>
    <w:rsid w:val="00A826E5"/>
    <w:rsid w:val="00B05B4B"/>
    <w:rsid w:val="00BD6AF3"/>
    <w:rsid w:val="00C973CA"/>
    <w:rsid w:val="00E74032"/>
    <w:rsid w:val="00EB22C8"/>
    <w:rsid w:val="00ED225D"/>
    <w:rsid w:val="00F1669E"/>
    <w:rsid w:val="012B5576"/>
    <w:rsid w:val="013D4B60"/>
    <w:rsid w:val="01524DE4"/>
    <w:rsid w:val="016E20AC"/>
    <w:rsid w:val="0172376C"/>
    <w:rsid w:val="01880258"/>
    <w:rsid w:val="01937C28"/>
    <w:rsid w:val="02E92312"/>
    <w:rsid w:val="02EA6FC5"/>
    <w:rsid w:val="03893171"/>
    <w:rsid w:val="03C020B7"/>
    <w:rsid w:val="049752DD"/>
    <w:rsid w:val="04C268F1"/>
    <w:rsid w:val="04E86B91"/>
    <w:rsid w:val="04FF173F"/>
    <w:rsid w:val="055A7F44"/>
    <w:rsid w:val="058761A0"/>
    <w:rsid w:val="05C9468B"/>
    <w:rsid w:val="05DA763D"/>
    <w:rsid w:val="05EE1047"/>
    <w:rsid w:val="06320837"/>
    <w:rsid w:val="065D2980"/>
    <w:rsid w:val="074A5D27"/>
    <w:rsid w:val="07E07279"/>
    <w:rsid w:val="07F92946"/>
    <w:rsid w:val="08575FBE"/>
    <w:rsid w:val="08710F69"/>
    <w:rsid w:val="08E21658"/>
    <w:rsid w:val="08E46EA7"/>
    <w:rsid w:val="090441B5"/>
    <w:rsid w:val="094037B7"/>
    <w:rsid w:val="094D77D0"/>
    <w:rsid w:val="09FE7362"/>
    <w:rsid w:val="0A1977EC"/>
    <w:rsid w:val="0A2148B9"/>
    <w:rsid w:val="0A3D69D8"/>
    <w:rsid w:val="0A7F0E46"/>
    <w:rsid w:val="0AA5575B"/>
    <w:rsid w:val="0ABE65A1"/>
    <w:rsid w:val="0AC460B7"/>
    <w:rsid w:val="0AD225F7"/>
    <w:rsid w:val="0AE962F7"/>
    <w:rsid w:val="0B485214"/>
    <w:rsid w:val="0B673342"/>
    <w:rsid w:val="0C5919D1"/>
    <w:rsid w:val="0C6E6689"/>
    <w:rsid w:val="0CB71D6A"/>
    <w:rsid w:val="0D555024"/>
    <w:rsid w:val="0D72469C"/>
    <w:rsid w:val="0ECB6B19"/>
    <w:rsid w:val="0EDC2522"/>
    <w:rsid w:val="0EF41315"/>
    <w:rsid w:val="0FB90435"/>
    <w:rsid w:val="0FDA030E"/>
    <w:rsid w:val="10EE19D3"/>
    <w:rsid w:val="11D13A86"/>
    <w:rsid w:val="11FA160D"/>
    <w:rsid w:val="11FE30F5"/>
    <w:rsid w:val="12052094"/>
    <w:rsid w:val="12A12A75"/>
    <w:rsid w:val="12EE2A19"/>
    <w:rsid w:val="14055F2A"/>
    <w:rsid w:val="14622397"/>
    <w:rsid w:val="14A10D4F"/>
    <w:rsid w:val="15376B99"/>
    <w:rsid w:val="15783F61"/>
    <w:rsid w:val="15F44672"/>
    <w:rsid w:val="16A776B7"/>
    <w:rsid w:val="17293D79"/>
    <w:rsid w:val="17411E34"/>
    <w:rsid w:val="192E5AC4"/>
    <w:rsid w:val="19BD4746"/>
    <w:rsid w:val="19CE5CE6"/>
    <w:rsid w:val="19FA202D"/>
    <w:rsid w:val="1A1051CA"/>
    <w:rsid w:val="1A3F4DF4"/>
    <w:rsid w:val="1AA56C42"/>
    <w:rsid w:val="1B400146"/>
    <w:rsid w:val="1B4D2BF1"/>
    <w:rsid w:val="1BA32316"/>
    <w:rsid w:val="1BEF5095"/>
    <w:rsid w:val="1C4E2EFE"/>
    <w:rsid w:val="1C784BE4"/>
    <w:rsid w:val="1C8361D3"/>
    <w:rsid w:val="1C8800DD"/>
    <w:rsid w:val="1CFB4B98"/>
    <w:rsid w:val="1D746DE1"/>
    <w:rsid w:val="1EB23D94"/>
    <w:rsid w:val="1EDC0931"/>
    <w:rsid w:val="1F37047D"/>
    <w:rsid w:val="1FD560AD"/>
    <w:rsid w:val="20FD4B17"/>
    <w:rsid w:val="213D605E"/>
    <w:rsid w:val="214964AC"/>
    <w:rsid w:val="214D4EB3"/>
    <w:rsid w:val="226513C9"/>
    <w:rsid w:val="232868DC"/>
    <w:rsid w:val="23671171"/>
    <w:rsid w:val="240B7C0A"/>
    <w:rsid w:val="247C3F22"/>
    <w:rsid w:val="24836D69"/>
    <w:rsid w:val="24A9123F"/>
    <w:rsid w:val="24DA5084"/>
    <w:rsid w:val="26806A39"/>
    <w:rsid w:val="2685523F"/>
    <w:rsid w:val="27125FA8"/>
    <w:rsid w:val="271B159C"/>
    <w:rsid w:val="273C40BC"/>
    <w:rsid w:val="27642EE2"/>
    <w:rsid w:val="27AA5AD0"/>
    <w:rsid w:val="27C634CD"/>
    <w:rsid w:val="280B2388"/>
    <w:rsid w:val="282B368D"/>
    <w:rsid w:val="28B0474F"/>
    <w:rsid w:val="293671FE"/>
    <w:rsid w:val="293B2135"/>
    <w:rsid w:val="29442B98"/>
    <w:rsid w:val="29AA23E9"/>
    <w:rsid w:val="29AC58EC"/>
    <w:rsid w:val="29F51563"/>
    <w:rsid w:val="2A365850"/>
    <w:rsid w:val="2AE77BF2"/>
    <w:rsid w:val="2AF96942"/>
    <w:rsid w:val="2B0F6777"/>
    <w:rsid w:val="2B705804"/>
    <w:rsid w:val="2B930ED6"/>
    <w:rsid w:val="2C264CFB"/>
    <w:rsid w:val="2CAE1BBE"/>
    <w:rsid w:val="2DA83E6E"/>
    <w:rsid w:val="2E874865"/>
    <w:rsid w:val="2EB97B04"/>
    <w:rsid w:val="2FD14693"/>
    <w:rsid w:val="2FDF66E7"/>
    <w:rsid w:val="30CF3133"/>
    <w:rsid w:val="31507277"/>
    <w:rsid w:val="31E367AE"/>
    <w:rsid w:val="31FD2C13"/>
    <w:rsid w:val="32160E68"/>
    <w:rsid w:val="334B460B"/>
    <w:rsid w:val="33B2575C"/>
    <w:rsid w:val="33F42DE4"/>
    <w:rsid w:val="34086058"/>
    <w:rsid w:val="34280C1E"/>
    <w:rsid w:val="34792CC6"/>
    <w:rsid w:val="34AE3693"/>
    <w:rsid w:val="34DA16C6"/>
    <w:rsid w:val="35301450"/>
    <w:rsid w:val="3555038B"/>
    <w:rsid w:val="35771BC5"/>
    <w:rsid w:val="36926EE6"/>
    <w:rsid w:val="37580B6B"/>
    <w:rsid w:val="37BC6E85"/>
    <w:rsid w:val="380033C4"/>
    <w:rsid w:val="38A677FE"/>
    <w:rsid w:val="38B90A1D"/>
    <w:rsid w:val="396E39C4"/>
    <w:rsid w:val="3A361B71"/>
    <w:rsid w:val="3B233415"/>
    <w:rsid w:val="3B7F5FE0"/>
    <w:rsid w:val="3B88278A"/>
    <w:rsid w:val="3BD6108A"/>
    <w:rsid w:val="3C1315F4"/>
    <w:rsid w:val="3D4D544D"/>
    <w:rsid w:val="3DA47C31"/>
    <w:rsid w:val="3DEE6DAB"/>
    <w:rsid w:val="3E3948A1"/>
    <w:rsid w:val="3EAA2E95"/>
    <w:rsid w:val="3EC115E0"/>
    <w:rsid w:val="3EEC344B"/>
    <w:rsid w:val="3F545B3A"/>
    <w:rsid w:val="3F5C36FF"/>
    <w:rsid w:val="40095F44"/>
    <w:rsid w:val="409A440B"/>
    <w:rsid w:val="40F41E3E"/>
    <w:rsid w:val="412255E9"/>
    <w:rsid w:val="420F77F0"/>
    <w:rsid w:val="428471F1"/>
    <w:rsid w:val="42872932"/>
    <w:rsid w:val="42907DEC"/>
    <w:rsid w:val="430C7C4A"/>
    <w:rsid w:val="43F5638C"/>
    <w:rsid w:val="440246FB"/>
    <w:rsid w:val="44513222"/>
    <w:rsid w:val="447E6694"/>
    <w:rsid w:val="44FB21D6"/>
    <w:rsid w:val="45554E75"/>
    <w:rsid w:val="45775557"/>
    <w:rsid w:val="467E5DB6"/>
    <w:rsid w:val="46C27E2B"/>
    <w:rsid w:val="470E2BC8"/>
    <w:rsid w:val="47A8679C"/>
    <w:rsid w:val="48197D55"/>
    <w:rsid w:val="491A0BFD"/>
    <w:rsid w:val="495810E0"/>
    <w:rsid w:val="495E1757"/>
    <w:rsid w:val="49DC660B"/>
    <w:rsid w:val="49F308E0"/>
    <w:rsid w:val="4A2C64BB"/>
    <w:rsid w:val="4B0A36B3"/>
    <w:rsid w:val="4B1A7075"/>
    <w:rsid w:val="4B7A5E26"/>
    <w:rsid w:val="4B7E5E68"/>
    <w:rsid w:val="4B83684D"/>
    <w:rsid w:val="4C644E61"/>
    <w:rsid w:val="4C9D338A"/>
    <w:rsid w:val="4D3F2693"/>
    <w:rsid w:val="4D5F057C"/>
    <w:rsid w:val="4D7758FC"/>
    <w:rsid w:val="4DCD49C2"/>
    <w:rsid w:val="4E287FC5"/>
    <w:rsid w:val="4E6A42F1"/>
    <w:rsid w:val="4E7937FC"/>
    <w:rsid w:val="4F4B26A6"/>
    <w:rsid w:val="4F687340"/>
    <w:rsid w:val="505066D1"/>
    <w:rsid w:val="505C668F"/>
    <w:rsid w:val="506E5C81"/>
    <w:rsid w:val="50BA3B81"/>
    <w:rsid w:val="50BD4B06"/>
    <w:rsid w:val="51040785"/>
    <w:rsid w:val="51160FE4"/>
    <w:rsid w:val="51CE390B"/>
    <w:rsid w:val="520410DB"/>
    <w:rsid w:val="520B38BA"/>
    <w:rsid w:val="523555EC"/>
    <w:rsid w:val="52511B3C"/>
    <w:rsid w:val="52891824"/>
    <w:rsid w:val="52C051D0"/>
    <w:rsid w:val="542D7105"/>
    <w:rsid w:val="54336CC9"/>
    <w:rsid w:val="545C0475"/>
    <w:rsid w:val="550D2817"/>
    <w:rsid w:val="55761BAF"/>
    <w:rsid w:val="55A4620D"/>
    <w:rsid w:val="561F13DA"/>
    <w:rsid w:val="56321D83"/>
    <w:rsid w:val="5675522A"/>
    <w:rsid w:val="56ED3277"/>
    <w:rsid w:val="575B3360"/>
    <w:rsid w:val="575C7D57"/>
    <w:rsid w:val="57705548"/>
    <w:rsid w:val="57DE61E7"/>
    <w:rsid w:val="58693E8C"/>
    <w:rsid w:val="58876BCF"/>
    <w:rsid w:val="58C1740C"/>
    <w:rsid w:val="598D6B88"/>
    <w:rsid w:val="5A2D2F1F"/>
    <w:rsid w:val="5AB12815"/>
    <w:rsid w:val="5AE30C9D"/>
    <w:rsid w:val="5B767C9D"/>
    <w:rsid w:val="5BB12F7A"/>
    <w:rsid w:val="5D385380"/>
    <w:rsid w:val="5DA866C1"/>
    <w:rsid w:val="5DEA26E1"/>
    <w:rsid w:val="5E1E68F7"/>
    <w:rsid w:val="5E4332B3"/>
    <w:rsid w:val="5F3A0F0C"/>
    <w:rsid w:val="5FE771E7"/>
    <w:rsid w:val="5FED69F6"/>
    <w:rsid w:val="60C167EF"/>
    <w:rsid w:val="60D809DC"/>
    <w:rsid w:val="60F1769A"/>
    <w:rsid w:val="61534246"/>
    <w:rsid w:val="615D70C1"/>
    <w:rsid w:val="634F7FDD"/>
    <w:rsid w:val="63DE41BE"/>
    <w:rsid w:val="6455294F"/>
    <w:rsid w:val="645E03E9"/>
    <w:rsid w:val="64911B42"/>
    <w:rsid w:val="649A79EF"/>
    <w:rsid w:val="64E75689"/>
    <w:rsid w:val="65172860"/>
    <w:rsid w:val="65B761F3"/>
    <w:rsid w:val="66230D57"/>
    <w:rsid w:val="667A4C22"/>
    <w:rsid w:val="66B6078F"/>
    <w:rsid w:val="67C81E63"/>
    <w:rsid w:val="67E97064"/>
    <w:rsid w:val="685D143A"/>
    <w:rsid w:val="687A1374"/>
    <w:rsid w:val="69067592"/>
    <w:rsid w:val="69A43B52"/>
    <w:rsid w:val="69F20F61"/>
    <w:rsid w:val="6A413938"/>
    <w:rsid w:val="6A55270E"/>
    <w:rsid w:val="6AA47B81"/>
    <w:rsid w:val="6B70777C"/>
    <w:rsid w:val="6B8D2F01"/>
    <w:rsid w:val="6BE66EDE"/>
    <w:rsid w:val="6BF825B0"/>
    <w:rsid w:val="6C210BC2"/>
    <w:rsid w:val="6C333419"/>
    <w:rsid w:val="6C6A2195"/>
    <w:rsid w:val="6C737FB3"/>
    <w:rsid w:val="6C88441D"/>
    <w:rsid w:val="6CF64A51"/>
    <w:rsid w:val="6F4F392C"/>
    <w:rsid w:val="701B28B0"/>
    <w:rsid w:val="704241B9"/>
    <w:rsid w:val="70D24CB2"/>
    <w:rsid w:val="70F133F4"/>
    <w:rsid w:val="719C7770"/>
    <w:rsid w:val="71DB1D5C"/>
    <w:rsid w:val="723A1D75"/>
    <w:rsid w:val="729E789B"/>
    <w:rsid w:val="72B811F3"/>
    <w:rsid w:val="72CB5DE1"/>
    <w:rsid w:val="73806A67"/>
    <w:rsid w:val="738F6E24"/>
    <w:rsid w:val="73DC2DCE"/>
    <w:rsid w:val="74716D26"/>
    <w:rsid w:val="74B56D0C"/>
    <w:rsid w:val="74D83748"/>
    <w:rsid w:val="75254B27"/>
    <w:rsid w:val="756B6CE8"/>
    <w:rsid w:val="759A0322"/>
    <w:rsid w:val="766205ED"/>
    <w:rsid w:val="767A68A9"/>
    <w:rsid w:val="76A7323D"/>
    <w:rsid w:val="77755368"/>
    <w:rsid w:val="77DD7433"/>
    <w:rsid w:val="784F4804"/>
    <w:rsid w:val="78846F38"/>
    <w:rsid w:val="78D645E4"/>
    <w:rsid w:val="78DB4815"/>
    <w:rsid w:val="79795F5A"/>
    <w:rsid w:val="79F57AA2"/>
    <w:rsid w:val="7A2A7DC3"/>
    <w:rsid w:val="7A5D1A50"/>
    <w:rsid w:val="7B1E0809"/>
    <w:rsid w:val="7B6A44CF"/>
    <w:rsid w:val="7B823DB1"/>
    <w:rsid w:val="7BF01B10"/>
    <w:rsid w:val="7C2E5873"/>
    <w:rsid w:val="7C5C2BCF"/>
    <w:rsid w:val="7D0C0035"/>
    <w:rsid w:val="7D2221D8"/>
    <w:rsid w:val="7D3014EE"/>
    <w:rsid w:val="7D892E81"/>
    <w:rsid w:val="7DF80F37"/>
    <w:rsid w:val="7F3E58B3"/>
    <w:rsid w:val="7FB67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annotation text"/>
    <w:basedOn w:val="1"/>
    <w:qFormat/>
    <w:uiPriority w:val="0"/>
    <w:pPr>
      <w:jc w:val="left"/>
    </w:pPr>
  </w:style>
  <w:style w:type="paragraph" w:styleId="4">
    <w:name w:val="Body Text"/>
    <w:basedOn w:val="1"/>
    <w:next w:val="5"/>
    <w:qFormat/>
    <w:uiPriority w:val="99"/>
    <w:pPr>
      <w:spacing w:after="120"/>
    </w:pPr>
  </w:style>
  <w:style w:type="paragraph" w:customStyle="1" w:styleId="5">
    <w:name w:val="_Style 3"/>
    <w:basedOn w:val="1"/>
    <w:qFormat/>
    <w:uiPriority w:val="34"/>
    <w:pPr>
      <w:ind w:firstLine="420"/>
    </w:pPr>
    <w:rPr>
      <w:rFonts w:ascii="Calibri" w:hAnsi="Calibri"/>
    </w:rPr>
  </w:style>
  <w:style w:type="paragraph" w:styleId="6">
    <w:name w:val="Balloon Text"/>
    <w:basedOn w:val="1"/>
    <w:link w:val="14"/>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2"/>
    <w:basedOn w:val="1"/>
    <w:next w:val="1"/>
    <w:qFormat/>
    <w:uiPriority w:val="0"/>
    <w:pPr>
      <w:spacing w:line="400" w:lineRule="exact"/>
    </w:pPr>
    <w:rPr>
      <w:rFonts w:eastAsia="等线"/>
    </w:rPr>
  </w:style>
  <w:style w:type="character" w:customStyle="1" w:styleId="14">
    <w:name w:val="批注框文本 字符"/>
    <w:basedOn w:val="12"/>
    <w:link w:val="6"/>
    <w:qFormat/>
    <w:uiPriority w:val="0"/>
    <w:rPr>
      <w:kern w:val="2"/>
      <w:sz w:val="18"/>
      <w:szCs w:val="18"/>
    </w:rPr>
  </w:style>
  <w:style w:type="paragraph" w:customStyle="1" w:styleId="15">
    <w:name w:val="缺省文本"/>
    <w:basedOn w:val="1"/>
    <w:qFormat/>
    <w:uiPriority w:val="0"/>
    <w:pPr>
      <w:autoSpaceDE w:val="0"/>
      <w:autoSpaceDN w:val="0"/>
      <w:adjustRightInd w:val="0"/>
      <w:jc w:val="left"/>
    </w:pPr>
    <w:rPr>
      <w:kern w:val="0"/>
      <w:sz w:val="24"/>
      <w:szCs w:val="20"/>
    </w:rPr>
  </w:style>
  <w:style w:type="paragraph" w:customStyle="1" w:styleId="16">
    <w:name w:val="Body text|1"/>
    <w:basedOn w:val="1"/>
    <w:qFormat/>
    <w:uiPriority w:val="0"/>
    <w:pPr>
      <w:spacing w:after="120" w:line="288" w:lineRule="auto"/>
    </w:pPr>
    <w:rPr>
      <w:rFonts w:ascii="宋体" w:hAnsi="宋体" w:cs="宋体"/>
      <w:sz w:val="22"/>
      <w:szCs w:val="22"/>
      <w:lang w:val="zh-TW" w:eastAsia="zh-TW" w:bidi="zh-TW"/>
    </w:rPr>
  </w:style>
  <w:style w:type="paragraph" w:customStyle="1" w:styleId="17">
    <w:name w:val="Table Text"/>
    <w:basedOn w:val="1"/>
    <w:semiHidden/>
    <w:qFormat/>
    <w:uiPriority w:val="0"/>
    <w:rPr>
      <w:rFonts w:ascii="宋体" w:hAnsi="宋体" w:eastAsia="宋体" w:cs="宋体"/>
      <w:sz w:val="25"/>
      <w:szCs w:val="25"/>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AD933-1F4D-4959-B3C5-AC88DDFF85B4}">
  <ds:schemaRefs/>
</ds:datastoreItem>
</file>

<file path=docProps/app.xml><?xml version="1.0" encoding="utf-8"?>
<Properties xmlns="http://schemas.openxmlformats.org/officeDocument/2006/extended-properties" xmlns:vt="http://schemas.openxmlformats.org/officeDocument/2006/docPropsVTypes">
  <Template>Normal</Template>
  <Pages>7</Pages>
  <Words>2149</Words>
  <Characters>2337</Characters>
  <Lines>8</Lines>
  <Paragraphs>2</Paragraphs>
  <TotalTime>1</TotalTime>
  <ScaleCrop>false</ScaleCrop>
  <LinksUpToDate>false</LinksUpToDate>
  <CharactersWithSpaces>2370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2023-03-22T06:47:00Z</dcterms:created>
  <dc:creator>Administrator</dc:creator>
  <cp:lastModifiedBy>其不然果</cp:lastModifiedBy>
  <cp:lastPrinted>2023-09-04T08:46:00Z</cp:lastPrinted>
  <dcterms:modified xsi:type="dcterms:W3CDTF">2026-07-20T03:38:05Z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0AC1EF2F1AE14A729216AF4EA7B48957_13</vt:lpwstr>
  </property>
  <property fmtid="{D5CDD505-2E9C-101B-9397-08002B2CF9AE}" pid="4" name="KSOTemplateDocerSaveRecord">
    <vt:lpwstr>eyJoZGlkIjoiOWY2YWEzYjhkMWU0YjMxMTUxMzg0YmJjNzdkNDUwY2IiLCJ1c2VySWQiOiI0OTI4Mzk1MDcifQ==</vt:lpwstr>
  </property>
</Properties>
</file>