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5F2CC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附件1</w:t>
      </w:r>
    </w:p>
    <w:p w14:paraId="66659EF7">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lang w:val="en-US" w:eastAsia="zh-CN"/>
        </w:rPr>
      </w:pPr>
    </w:p>
    <w:p w14:paraId="4D341BAB">
      <w:pPr>
        <w:jc w:val="center"/>
        <w:rPr>
          <w:rFonts w:hint="eastAsia" w:ascii="黑体" w:hAnsi="黑体" w:eastAsia="黑体" w:cs="黑体"/>
          <w:sz w:val="44"/>
          <w:szCs w:val="44"/>
        </w:rPr>
      </w:pPr>
      <w:r>
        <w:rPr>
          <w:rFonts w:hint="eastAsia" w:ascii="黑体" w:hAnsi="黑体" w:eastAsia="黑体" w:cs="黑体"/>
          <w:sz w:val="44"/>
          <w:szCs w:val="44"/>
        </w:rPr>
        <w:t>深圳农业科技创新集团有限公司关于2026-2027年常年法律顾问服务项目</w:t>
      </w:r>
    </w:p>
    <w:p w14:paraId="19D0122F">
      <w:pPr>
        <w:jc w:val="center"/>
        <w:rPr>
          <w:rFonts w:ascii="黑体" w:hAnsi="黑体" w:eastAsia="黑体" w:cs="黑体"/>
          <w:sz w:val="44"/>
          <w:szCs w:val="44"/>
        </w:rPr>
      </w:pPr>
      <w:r>
        <w:rPr>
          <w:rFonts w:hint="eastAsia" w:ascii="黑体" w:hAnsi="黑体" w:eastAsia="黑体" w:cs="黑体"/>
          <w:sz w:val="44"/>
          <w:szCs w:val="44"/>
        </w:rPr>
        <w:t>的询价函</w:t>
      </w:r>
    </w:p>
    <w:p w14:paraId="2DF58352">
      <w:pPr>
        <w:ind w:firstLine="640" w:firstLineChars="200"/>
        <w:rPr>
          <w:rFonts w:ascii="仿宋" w:hAnsi="仿宋" w:eastAsia="仿宋" w:cs="仿宋"/>
          <w:sz w:val="32"/>
          <w:szCs w:val="32"/>
        </w:rPr>
      </w:pPr>
    </w:p>
    <w:p w14:paraId="4507925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为保障公司合法合规经营，有效防范经营管理与业务拓展中的法律风险，支撑公司战略落地与业务高质量发展，结合公司当前法务需求实际，拟开展常年法律顾问服务采购工作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相关事宜函告如下：</w:t>
      </w:r>
    </w:p>
    <w:p w14:paraId="05373F99">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default" w:ascii="黑体" w:hAnsi="黑体" w:eastAsia="黑体" w:cs="黑体"/>
          <w:sz w:val="32"/>
          <w:szCs w:val="32"/>
          <w:highlight w:val="none"/>
          <w:lang w:val="en-US" w:eastAsia="zh-CN"/>
        </w:rPr>
      </w:pPr>
      <w:r>
        <w:rPr>
          <w:rFonts w:hint="eastAsia" w:ascii="黑体" w:hAnsi="黑体" w:eastAsia="黑体" w:cs="黑体"/>
          <w:sz w:val="32"/>
          <w:szCs w:val="32"/>
          <w:highlight w:val="none"/>
        </w:rPr>
        <w:t>一、</w:t>
      </w:r>
      <w:r>
        <w:rPr>
          <w:rFonts w:hint="eastAsia" w:ascii="黑体" w:hAnsi="黑体" w:eastAsia="黑体" w:cs="黑体"/>
          <w:sz w:val="32"/>
          <w:szCs w:val="32"/>
          <w:highlight w:val="none"/>
          <w:lang w:val="en-US" w:eastAsia="zh-CN"/>
        </w:rPr>
        <w:t>项目名称</w:t>
      </w:r>
    </w:p>
    <w:p w14:paraId="08C9794E">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深圳农业科技创新集团有限公司</w:t>
      </w:r>
      <w:r>
        <w:rPr>
          <w:rFonts w:hint="eastAsia" w:ascii="仿宋_GB2312" w:hAnsi="仿宋_GB2312" w:eastAsia="仿宋_GB2312" w:cs="仿宋_GB2312"/>
          <w:sz w:val="32"/>
          <w:szCs w:val="32"/>
          <w:highlight w:val="none"/>
          <w:lang w:val="en-US" w:eastAsia="zh-CN"/>
        </w:rPr>
        <w:t>2026-2027年</w:t>
      </w:r>
      <w:r>
        <w:rPr>
          <w:rFonts w:hint="eastAsia" w:ascii="仿宋_GB2312" w:hAnsi="仿宋_GB2312" w:eastAsia="仿宋_GB2312" w:cs="仿宋_GB2312"/>
          <w:sz w:val="32"/>
          <w:szCs w:val="32"/>
          <w:highlight w:val="none"/>
        </w:rPr>
        <w:t>常年法律顾问服务</w:t>
      </w:r>
      <w:r>
        <w:rPr>
          <w:rFonts w:hint="eastAsia" w:ascii="仿宋_GB2312" w:hAnsi="仿宋_GB2312" w:eastAsia="仿宋_GB2312" w:cs="仿宋_GB2312"/>
          <w:sz w:val="32"/>
          <w:szCs w:val="32"/>
          <w:highlight w:val="none"/>
          <w:lang w:val="en-US" w:eastAsia="zh-CN"/>
        </w:rPr>
        <w:t>项目</w:t>
      </w:r>
    </w:p>
    <w:p w14:paraId="2D35FB52">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default"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二</w:t>
      </w:r>
      <w:r>
        <w:rPr>
          <w:rFonts w:hint="eastAsia" w:ascii="黑体" w:hAnsi="黑体" w:eastAsia="黑体" w:cs="黑体"/>
          <w:sz w:val="32"/>
          <w:szCs w:val="32"/>
          <w:highlight w:val="none"/>
        </w:rPr>
        <w:t>、</w:t>
      </w:r>
      <w:r>
        <w:rPr>
          <w:rFonts w:hint="eastAsia" w:ascii="黑体" w:hAnsi="黑体" w:eastAsia="黑体" w:cs="黑体"/>
          <w:sz w:val="32"/>
          <w:szCs w:val="32"/>
          <w:highlight w:val="none"/>
          <w:lang w:val="en-US" w:eastAsia="zh-CN"/>
        </w:rPr>
        <w:t>联系方式</w:t>
      </w:r>
    </w:p>
    <w:p w14:paraId="7D662234">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联系人:</w:t>
      </w:r>
      <w:r>
        <w:rPr>
          <w:rFonts w:hint="eastAsia" w:ascii="仿宋_GB2312" w:hAnsi="仿宋_GB2312" w:eastAsia="仿宋_GB2312" w:cs="仿宋_GB2312"/>
          <w:sz w:val="32"/>
          <w:szCs w:val="32"/>
          <w:highlight w:val="none"/>
          <w:lang w:val="en-US" w:eastAsia="zh-CN"/>
        </w:rPr>
        <w:t>王先生</w:t>
      </w:r>
    </w:p>
    <w:p w14:paraId="4191CA37">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电</w:t>
      </w:r>
      <w:r>
        <w:rPr>
          <w:rFonts w:hint="eastAsia" w:ascii="仿宋_GB2312" w:hAnsi="仿宋_GB2312" w:eastAsia="仿宋_GB2312" w:cs="仿宋_GB2312"/>
          <w:sz w:val="32"/>
          <w:szCs w:val="32"/>
          <w:highlight w:val="none"/>
          <w:lang w:val="en-US" w:eastAsia="zh-CN"/>
        </w:rPr>
        <w:t xml:space="preserve">  </w:t>
      </w:r>
      <w:r>
        <w:rPr>
          <w:rFonts w:hint="default" w:ascii="仿宋_GB2312" w:hAnsi="仿宋_GB2312" w:eastAsia="仿宋_GB2312" w:cs="仿宋_GB2312"/>
          <w:sz w:val="32"/>
          <w:szCs w:val="32"/>
          <w:highlight w:val="none"/>
          <w:lang w:val="en-US" w:eastAsia="zh-CN"/>
        </w:rPr>
        <w:t>话:</w:t>
      </w:r>
      <w:r>
        <w:rPr>
          <w:rFonts w:hint="eastAsia" w:ascii="仿宋_GB2312" w:hAnsi="仿宋_GB2312" w:eastAsia="仿宋_GB2312" w:cs="仿宋_GB2312"/>
          <w:sz w:val="32"/>
          <w:szCs w:val="32"/>
          <w:highlight w:val="none"/>
          <w:lang w:val="en-US" w:eastAsia="zh-CN"/>
        </w:rPr>
        <w:t>13538236523</w:t>
      </w:r>
    </w:p>
    <w:p w14:paraId="2BFF0C81">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邮箱:wangzhijie@atigroup.cn</w:t>
      </w:r>
    </w:p>
    <w:p w14:paraId="57C8DE1B">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default" w:ascii="黑体" w:hAnsi="黑体" w:eastAsia="黑体" w:cs="黑体"/>
          <w:sz w:val="32"/>
          <w:szCs w:val="32"/>
          <w:highlight w:val="none"/>
          <w:lang w:val="en-US"/>
        </w:rPr>
      </w:pPr>
      <w:r>
        <w:rPr>
          <w:rFonts w:hint="eastAsia" w:ascii="黑体" w:hAnsi="黑体" w:eastAsia="黑体" w:cs="黑体"/>
          <w:sz w:val="32"/>
          <w:szCs w:val="32"/>
          <w:highlight w:val="none"/>
          <w:lang w:val="en-US" w:eastAsia="zh-CN"/>
        </w:rPr>
        <w:t>三</w:t>
      </w:r>
      <w:r>
        <w:rPr>
          <w:rFonts w:hint="eastAsia" w:ascii="黑体" w:hAnsi="黑体" w:eastAsia="黑体" w:cs="黑体"/>
          <w:sz w:val="32"/>
          <w:szCs w:val="32"/>
          <w:highlight w:val="none"/>
        </w:rPr>
        <w:t>、</w:t>
      </w:r>
      <w:r>
        <w:rPr>
          <w:rFonts w:hint="eastAsia" w:ascii="黑体" w:hAnsi="黑体" w:eastAsia="黑体" w:cs="黑体"/>
          <w:sz w:val="32"/>
          <w:szCs w:val="32"/>
          <w:highlight w:val="none"/>
          <w:lang w:val="en-US" w:eastAsia="zh-CN"/>
        </w:rPr>
        <w:t>采购方式及预算安排</w:t>
      </w:r>
    </w:p>
    <w:p w14:paraId="76D7BB4A">
      <w:pPr>
        <w:keepNext w:val="0"/>
        <w:keepLines w:val="0"/>
        <w:pageBreakBefore w:val="0"/>
        <w:widowControl w:val="0"/>
        <w:numPr>
          <w:ilvl w:val="-1"/>
          <w:numId w:val="0"/>
        </w:numPr>
        <w:kinsoku/>
        <w:wordWrap/>
        <w:overflowPunct/>
        <w:topLinePunct w:val="0"/>
        <w:autoSpaceDE/>
        <w:autoSpaceDN/>
        <w:bidi w:val="0"/>
        <w:adjustRightInd/>
        <w:snapToGrid w:val="0"/>
        <w:spacing w:line="560" w:lineRule="exact"/>
        <w:ind w:leftChars="0"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本次采购服务期限为一年，如履约评价优秀，可继续续约，总服务期限不超过36个月，采购控制价为人民币15万元（壹拾伍万元整）。拟采用公开询价方式采购，按综合评估法确定中标候选人。</w:t>
      </w:r>
    </w:p>
    <w:p w14:paraId="720EFEEC">
      <w:pPr>
        <w:keepNext w:val="0"/>
        <w:keepLines w:val="0"/>
        <w:pageBreakBefore w:val="0"/>
        <w:wordWrap/>
        <w:topLinePunct w:val="0"/>
        <w:autoSpaceDE/>
        <w:autoSpaceDN/>
        <w:bidi w:val="0"/>
        <w:spacing w:line="560" w:lineRule="exact"/>
        <w:ind w:firstLine="640" w:firstLineChars="200"/>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四</w:t>
      </w:r>
      <w:r>
        <w:rPr>
          <w:rFonts w:hint="eastAsia" w:ascii="黑体" w:hAnsi="黑体" w:eastAsia="黑体" w:cs="黑体"/>
          <w:sz w:val="32"/>
          <w:szCs w:val="32"/>
        </w:rPr>
        <w:t>、</w:t>
      </w:r>
      <w:r>
        <w:rPr>
          <w:rFonts w:hint="eastAsia" w:ascii="黑体" w:hAnsi="黑体" w:eastAsia="黑体" w:cs="黑体"/>
          <w:sz w:val="32"/>
          <w:szCs w:val="32"/>
          <w:lang w:val="en-US" w:eastAsia="zh-CN"/>
        </w:rPr>
        <w:t>资质要求</w:t>
      </w:r>
    </w:p>
    <w:p w14:paraId="52FADD20">
      <w:pPr>
        <w:keepNext w:val="0"/>
        <w:keepLines w:val="0"/>
        <w:pageBreakBefore w:val="0"/>
        <w:widowControl w:val="0"/>
        <w:numPr>
          <w:ilvl w:val="-1"/>
          <w:numId w:val="0"/>
        </w:numPr>
        <w:kinsoku/>
        <w:wordWrap/>
        <w:overflowPunct/>
        <w:topLinePunct w:val="0"/>
        <w:autoSpaceDE/>
        <w:autoSpaceDN/>
        <w:bidi w:val="0"/>
        <w:adjustRightInd/>
        <w:snapToGrid w:val="0"/>
        <w:spacing w:line="560" w:lineRule="exact"/>
        <w:ind w:leftChars="0"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highlight w:val="none"/>
          <w:lang w:val="en-US" w:eastAsia="zh-CN"/>
        </w:rPr>
        <w:t>投标人必须是依照《中华人民共和国律师法》在中华人民共和国境内注册（不含港、澳、台地区）成立的律师事务所，具有《律师事务所执业许可证》，且证书年审合格（提供《律师事务所执业许可证》及全国律师执业诚信信息公示平台证书年审合格截图）；</w:t>
      </w:r>
    </w:p>
    <w:p w14:paraId="5961505E">
      <w:pPr>
        <w:keepNext w:val="0"/>
        <w:keepLines w:val="0"/>
        <w:pageBreakBefore w:val="0"/>
        <w:widowControl w:val="0"/>
        <w:numPr>
          <w:ilvl w:val="-1"/>
          <w:numId w:val="0"/>
        </w:numPr>
        <w:kinsoku/>
        <w:wordWrap/>
        <w:overflowPunct/>
        <w:topLinePunct w:val="0"/>
        <w:autoSpaceDE/>
        <w:autoSpaceDN/>
        <w:bidi w:val="0"/>
        <w:adjustRightInd/>
        <w:snapToGrid w:val="0"/>
        <w:spacing w:line="560" w:lineRule="exact"/>
        <w:ind w:leftChars="0"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highlight w:val="none"/>
          <w:lang w:val="en-US" w:eastAsia="zh-CN"/>
        </w:rPr>
        <w:t>近三年无不良执业记录，律师事务所及主要合伙人近三年没有遭受过行政处罚（提供承诺书并加盖公章，格式自拟）；</w:t>
      </w:r>
    </w:p>
    <w:p w14:paraId="5E540736">
      <w:pPr>
        <w:keepNext w:val="0"/>
        <w:keepLines w:val="0"/>
        <w:pageBreakBefore w:val="0"/>
        <w:widowControl w:val="0"/>
        <w:numPr>
          <w:ilvl w:val="-1"/>
          <w:numId w:val="0"/>
        </w:numPr>
        <w:kinsoku/>
        <w:wordWrap/>
        <w:overflowPunct/>
        <w:topLinePunct w:val="0"/>
        <w:autoSpaceDE/>
        <w:autoSpaceDN/>
        <w:bidi w:val="0"/>
        <w:adjustRightInd/>
        <w:snapToGrid w:val="0"/>
        <w:spacing w:line="560" w:lineRule="exact"/>
        <w:ind w:leftChars="0"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highlight w:val="none"/>
          <w:lang w:val="en-US" w:eastAsia="zh-CN"/>
        </w:rPr>
        <w:t>本项目不接受联合体投标。</w:t>
      </w:r>
    </w:p>
    <w:p w14:paraId="698A4BC1">
      <w:pPr>
        <w:keepNext w:val="0"/>
        <w:keepLines w:val="0"/>
        <w:pageBreakBefore w:val="0"/>
        <w:wordWrap/>
        <w:topLinePunct w:val="0"/>
        <w:autoSpaceDE/>
        <w:autoSpaceDN/>
        <w:bidi w:val="0"/>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lang w:val="en-US" w:eastAsia="zh-CN"/>
        </w:rPr>
        <w:t>五</w:t>
      </w:r>
      <w:r>
        <w:rPr>
          <w:rFonts w:hint="eastAsia" w:ascii="黑体" w:hAnsi="黑体" w:eastAsia="黑体" w:cs="黑体"/>
          <w:sz w:val="32"/>
          <w:szCs w:val="32"/>
        </w:rPr>
        <w:t>、</w:t>
      </w:r>
      <w:r>
        <w:rPr>
          <w:rFonts w:hint="eastAsia" w:ascii="黑体" w:hAnsi="黑体" w:eastAsia="黑体" w:cs="宋体"/>
          <w:sz w:val="32"/>
          <w:szCs w:val="32"/>
        </w:rPr>
        <w:t>服务内容</w:t>
      </w:r>
      <w:r>
        <w:rPr>
          <w:rFonts w:hint="eastAsia" w:ascii="宋体" w:hAnsi="宋体" w:cs="宋体"/>
          <w:b/>
          <w:sz w:val="32"/>
          <w:szCs w:val="32"/>
        </w:rPr>
        <w:t>及</w:t>
      </w:r>
      <w:r>
        <w:rPr>
          <w:rFonts w:hint="eastAsia" w:ascii="黑体" w:hAnsi="黑体" w:eastAsia="黑体" w:cs="宋体"/>
          <w:sz w:val="32"/>
          <w:szCs w:val="32"/>
        </w:rPr>
        <w:t>范围</w:t>
      </w:r>
    </w:p>
    <w:p w14:paraId="671B8D62">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本次采购的常年法律顾问服务具体内容包括但不限于：</w:t>
      </w:r>
    </w:p>
    <w:p w14:paraId="0054152E">
      <w:pPr>
        <w:keepNext w:val="0"/>
        <w:keepLines w:val="0"/>
        <w:pageBreakBefore w:val="0"/>
        <w:widowControl w:val="0"/>
        <w:numPr>
          <w:ilvl w:val="-1"/>
          <w:numId w:val="0"/>
        </w:numPr>
        <w:kinsoku/>
        <w:wordWrap/>
        <w:overflowPunct/>
        <w:topLinePunct w:val="0"/>
        <w:autoSpaceDE/>
        <w:autoSpaceDN/>
        <w:bidi w:val="0"/>
        <w:adjustRightInd/>
        <w:snapToGrid w:val="0"/>
        <w:spacing w:line="560" w:lineRule="exact"/>
        <w:ind w:leftChars="0"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highlight w:val="none"/>
          <w:lang w:val="en-US" w:eastAsia="zh-CN"/>
        </w:rPr>
        <w:t>法律咨询。包括甲方主营业务范围、经营管理、重大决策等各方面法律问题的咨询解答。</w:t>
      </w:r>
    </w:p>
    <w:p w14:paraId="4700C542">
      <w:pPr>
        <w:keepNext w:val="0"/>
        <w:keepLines w:val="0"/>
        <w:pageBreakBefore w:val="0"/>
        <w:widowControl w:val="0"/>
        <w:numPr>
          <w:ilvl w:val="-1"/>
          <w:numId w:val="0"/>
        </w:numPr>
        <w:kinsoku/>
        <w:wordWrap/>
        <w:overflowPunct/>
        <w:topLinePunct w:val="0"/>
        <w:autoSpaceDE/>
        <w:autoSpaceDN/>
        <w:bidi w:val="0"/>
        <w:adjustRightInd/>
        <w:snapToGrid w:val="0"/>
        <w:spacing w:line="560" w:lineRule="exact"/>
        <w:ind w:leftChars="0"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highlight w:val="none"/>
          <w:lang w:val="en-US" w:eastAsia="zh-CN"/>
        </w:rPr>
        <w:t>合规审查。根据甲方业务类型，包括但不限于对合同、招投标文件、函件、意向书等文书内容进行合规审查、法律风险分析，协助起草、审查相关文书，并出具相应的法律意见；</w:t>
      </w:r>
    </w:p>
    <w:p w14:paraId="7C48A790">
      <w:pPr>
        <w:keepNext w:val="0"/>
        <w:keepLines w:val="0"/>
        <w:pageBreakBefore w:val="0"/>
        <w:widowControl w:val="0"/>
        <w:numPr>
          <w:ilvl w:val="-1"/>
          <w:numId w:val="0"/>
        </w:numPr>
        <w:kinsoku/>
        <w:wordWrap/>
        <w:overflowPunct/>
        <w:topLinePunct w:val="0"/>
        <w:autoSpaceDE/>
        <w:autoSpaceDN/>
        <w:bidi w:val="0"/>
        <w:adjustRightInd/>
        <w:snapToGrid w:val="0"/>
        <w:spacing w:line="560" w:lineRule="exact"/>
        <w:ind w:leftChars="0"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highlight w:val="none"/>
          <w:lang w:val="en-US" w:eastAsia="zh-CN"/>
        </w:rPr>
        <w:t>协助参与会议谈判。根据甲方需求，协助参与各类决策会议、商务谈判等，并提供法律支持；</w:t>
      </w:r>
    </w:p>
    <w:p w14:paraId="0CD26035">
      <w:pPr>
        <w:keepNext w:val="0"/>
        <w:keepLines w:val="0"/>
        <w:pageBreakBefore w:val="0"/>
        <w:widowControl w:val="0"/>
        <w:numPr>
          <w:ilvl w:val="-1"/>
          <w:numId w:val="0"/>
        </w:numPr>
        <w:kinsoku/>
        <w:wordWrap/>
        <w:overflowPunct/>
        <w:topLinePunct w:val="0"/>
        <w:autoSpaceDE/>
        <w:autoSpaceDN/>
        <w:bidi w:val="0"/>
        <w:adjustRightInd/>
        <w:snapToGrid w:val="0"/>
        <w:spacing w:line="560" w:lineRule="exact"/>
        <w:ind w:leftChars="0"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highlight w:val="none"/>
          <w:lang w:val="en-US" w:eastAsia="zh-CN"/>
        </w:rPr>
        <w:t>协助经营决策。包括但不限于对甲方经营、管理方面等重大决策的合规性、可行性、风险预测及对策提供法律依据、提出法律意见；</w:t>
      </w:r>
    </w:p>
    <w:p w14:paraId="057677B9">
      <w:pPr>
        <w:keepNext w:val="0"/>
        <w:keepLines w:val="0"/>
        <w:pageBreakBefore w:val="0"/>
        <w:widowControl w:val="0"/>
        <w:numPr>
          <w:ilvl w:val="-1"/>
          <w:numId w:val="0"/>
        </w:numPr>
        <w:kinsoku/>
        <w:wordWrap/>
        <w:overflowPunct/>
        <w:topLinePunct w:val="0"/>
        <w:autoSpaceDE/>
        <w:autoSpaceDN/>
        <w:bidi w:val="0"/>
        <w:adjustRightInd/>
        <w:snapToGrid w:val="0"/>
        <w:spacing w:line="560" w:lineRule="exact"/>
        <w:ind w:leftChars="0"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highlight w:val="none"/>
          <w:lang w:val="en-US" w:eastAsia="zh-CN"/>
        </w:rPr>
        <w:t>法律培训。根据甲方需求，提供线下专题法律讲座、培训等活动，每年不少于两次；</w:t>
      </w:r>
    </w:p>
    <w:p w14:paraId="52989091">
      <w:pPr>
        <w:keepNext w:val="0"/>
        <w:keepLines w:val="0"/>
        <w:pageBreakBefore w:val="0"/>
        <w:widowControl w:val="0"/>
        <w:numPr>
          <w:ilvl w:val="-1"/>
          <w:numId w:val="0"/>
        </w:numPr>
        <w:kinsoku/>
        <w:wordWrap/>
        <w:overflowPunct/>
        <w:topLinePunct w:val="0"/>
        <w:autoSpaceDE/>
        <w:autoSpaceDN/>
        <w:bidi w:val="0"/>
        <w:adjustRightInd/>
        <w:snapToGrid w:val="0"/>
        <w:spacing w:line="560" w:lineRule="exact"/>
        <w:ind w:leftChars="0"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highlight w:val="none"/>
          <w:lang w:val="en-US" w:eastAsia="zh-CN"/>
        </w:rPr>
        <w:t>根据需要为公司的重大决策、重大项目的法律分析和论证以及其他有关法律事务出具法律意见书或发送律师函;</w:t>
      </w:r>
    </w:p>
    <w:p w14:paraId="1CD0B90C">
      <w:pPr>
        <w:keepNext w:val="0"/>
        <w:keepLines w:val="0"/>
        <w:pageBreakBefore w:val="0"/>
        <w:widowControl w:val="0"/>
        <w:numPr>
          <w:ilvl w:val="-1"/>
          <w:numId w:val="0"/>
        </w:numPr>
        <w:kinsoku/>
        <w:wordWrap/>
        <w:overflowPunct/>
        <w:topLinePunct w:val="0"/>
        <w:autoSpaceDE/>
        <w:autoSpaceDN/>
        <w:bidi w:val="0"/>
        <w:adjustRightInd/>
        <w:snapToGrid w:val="0"/>
        <w:spacing w:line="560" w:lineRule="exact"/>
        <w:ind w:leftChars="0"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highlight w:val="none"/>
          <w:lang w:val="en-US" w:eastAsia="zh-CN"/>
        </w:rPr>
        <w:t>为公司整体法律体系及合规体系建设提供建议，并协助公司完善合规体系、完善相关制度建设；</w:t>
      </w:r>
    </w:p>
    <w:p w14:paraId="712571C5">
      <w:pPr>
        <w:keepNext w:val="0"/>
        <w:keepLines w:val="0"/>
        <w:pageBreakBefore w:val="0"/>
        <w:widowControl w:val="0"/>
        <w:numPr>
          <w:ilvl w:val="-1"/>
          <w:numId w:val="0"/>
        </w:numPr>
        <w:kinsoku/>
        <w:wordWrap/>
        <w:overflowPunct/>
        <w:topLinePunct w:val="0"/>
        <w:autoSpaceDE/>
        <w:autoSpaceDN/>
        <w:bidi w:val="0"/>
        <w:adjustRightInd/>
        <w:snapToGrid w:val="0"/>
        <w:spacing w:line="560" w:lineRule="exact"/>
        <w:ind w:leftChars="0"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八</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highlight w:val="none"/>
          <w:lang w:val="en-US" w:eastAsia="zh-CN"/>
        </w:rPr>
        <w:t>其他日常法律服务事项。</w:t>
      </w:r>
    </w:p>
    <w:p w14:paraId="72AFDF82">
      <w:pPr>
        <w:keepNext w:val="0"/>
        <w:keepLines w:val="0"/>
        <w:pageBreakBefore w:val="0"/>
        <w:widowControl w:val="0"/>
        <w:wordWrap/>
        <w:topLinePunct w:val="0"/>
        <w:autoSpaceDE/>
        <w:autoSpaceDN/>
        <w:bidi w:val="0"/>
        <w:spacing w:line="560" w:lineRule="exact"/>
        <w:ind w:left="0" w:leftChars="0" w:right="0" w:righ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highlight w:val="none"/>
          <w:lang w:val="en-US" w:eastAsia="zh-CN"/>
        </w:rPr>
        <w:t>服务期内，供应商应建立工作台账制度，通过《工作日志》《服务总结》等形式记录工作过程，并在年度末提交公司进行评价。法律咨询应做到一般问题即时回复，重大或疑难问题24小时内回复；法律文件审查应做到一般文件24小时内提出审查意见，重大或疑难文件按双方协商时限完成。对于涉及公司重大经营决策、投资并购、高额交易等事项的法律文件，供应商须实行“双律师审核制”，即由主办律师完成初审后，提交资深律师进行实质性复核并签字确认，确保法律意见的专业深度与风险把控层级</w:t>
      </w:r>
      <w:r>
        <w:rPr>
          <w:rFonts w:hint="eastAsia" w:ascii="仿宋_GB2312" w:hAnsi="仿宋_GB2312" w:eastAsia="仿宋_GB2312" w:cs="仿宋_GB2312"/>
          <w:sz w:val="32"/>
          <w:szCs w:val="32"/>
          <w:lang w:val="en-US" w:eastAsia="zh-CN"/>
        </w:rPr>
        <w:t>。</w:t>
      </w:r>
    </w:p>
    <w:p w14:paraId="1A7D9725">
      <w:pPr>
        <w:keepNext w:val="0"/>
        <w:keepLines w:val="0"/>
        <w:pageBreakBefore w:val="0"/>
        <w:wordWrap/>
        <w:topLinePunct w:val="0"/>
        <w:autoSpaceDE/>
        <w:autoSpaceDN/>
        <w:bidi w:val="0"/>
        <w:spacing w:line="560" w:lineRule="exact"/>
        <w:ind w:firstLine="640" w:firstLineChars="200"/>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六、中选方式</w:t>
      </w:r>
    </w:p>
    <w:p w14:paraId="337E7057">
      <w:pPr>
        <w:keepNext w:val="0"/>
        <w:keepLines w:val="0"/>
        <w:pageBreakBefore w:val="0"/>
        <w:widowControl w:val="0"/>
        <w:wordWrap/>
        <w:topLinePunct w:val="0"/>
        <w:autoSpaceDE/>
        <w:autoSpaceDN/>
        <w:bidi w:val="0"/>
        <w:spacing w:line="560" w:lineRule="exact"/>
        <w:ind w:left="0" w:leftChars="0" w:right="0" w:rightChars="0" w:firstLine="640" w:firstLineChars="200"/>
        <w:textAlignment w:val="auto"/>
        <w:rPr>
          <w:rFonts w:hint="eastAsia" w:ascii="仿宋_GB2312" w:hAnsi="宋体" w:eastAsia="仿宋_GB2312"/>
          <w:sz w:val="32"/>
          <w:szCs w:val="32"/>
          <w:lang w:val="en-US" w:eastAsia="zh-CN"/>
        </w:rPr>
      </w:pPr>
      <w:r>
        <w:rPr>
          <w:rFonts w:hint="eastAsia" w:ascii="仿宋" w:hAnsi="仿宋" w:eastAsia="仿宋" w:cs="仿宋"/>
          <w:sz w:val="32"/>
          <w:szCs w:val="32"/>
        </w:rPr>
        <w:t>服务</w:t>
      </w:r>
      <w:r>
        <w:rPr>
          <w:rFonts w:hint="eastAsia" w:ascii="仿宋_GB2312" w:hAnsi="Calibri" w:eastAsia="仿宋_GB2312" w:cs="Times New Roman"/>
          <w:kern w:val="2"/>
          <w:sz w:val="32"/>
          <w:szCs w:val="32"/>
          <w:lang w:val="en-US" w:eastAsia="zh-CN" w:bidi="ar-SA"/>
        </w:rPr>
        <w:t>本项目采用公开询价方式进行采购，</w:t>
      </w:r>
      <w:r>
        <w:rPr>
          <w:rFonts w:hint="eastAsia" w:ascii="仿宋_GB2312" w:hAnsi="宋体" w:eastAsia="仿宋_GB2312"/>
          <w:sz w:val="32"/>
          <w:szCs w:val="32"/>
          <w:lang w:val="en-US" w:eastAsia="zh-CN"/>
        </w:rPr>
        <w:t>采用综合评估法确定中标候选人。经采购人综合评定，得分第一的推荐为中标候选人；得分相同的</w:t>
      </w:r>
      <w:bookmarkStart w:id="0" w:name="_GoBack"/>
      <w:bookmarkEnd w:id="0"/>
      <w:r>
        <w:rPr>
          <w:rFonts w:hint="eastAsia" w:ascii="仿宋_GB2312" w:hAnsi="宋体" w:eastAsia="仿宋_GB2312"/>
          <w:sz w:val="32"/>
          <w:szCs w:val="32"/>
          <w:lang w:val="en-US" w:eastAsia="zh-CN"/>
        </w:rPr>
        <w:t>，按报价由低到高顺序排列；如报价仍然相同，则采用抽签的方法确定排序。</w:t>
      </w:r>
    </w:p>
    <w:p w14:paraId="159C6DEC">
      <w:pPr>
        <w:keepNext w:val="0"/>
        <w:keepLines w:val="0"/>
        <w:pageBreakBefore w:val="0"/>
        <w:wordWrap/>
        <w:topLinePunct w:val="0"/>
        <w:autoSpaceDE/>
        <w:autoSpaceDN/>
        <w:bidi w:val="0"/>
        <w:spacing w:line="560" w:lineRule="exact"/>
        <w:ind w:firstLine="640" w:firstLineChars="200"/>
        <w:rPr>
          <w:rFonts w:hint="eastAsia" w:ascii="仿宋_GB2312" w:hAnsi="宋体" w:eastAsia="仿宋_GB2312"/>
          <w:sz w:val="32"/>
          <w:szCs w:val="32"/>
          <w:lang w:val="en-US" w:eastAsia="zh-CN"/>
        </w:rPr>
      </w:pPr>
      <w:r>
        <w:rPr>
          <w:rFonts w:hint="eastAsia" w:ascii="仿宋_GB2312" w:hAnsi="宋体" w:eastAsia="仿宋_GB2312"/>
          <w:sz w:val="32"/>
          <w:szCs w:val="32"/>
          <w:lang w:val="en-US" w:eastAsia="zh-CN"/>
        </w:rPr>
        <w:t>评分标准如下：</w:t>
      </w:r>
    </w:p>
    <w:tbl>
      <w:tblPr>
        <w:tblStyle w:val="10"/>
        <w:tblW w:w="4997" w:type="pct"/>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20" w:type="dxa"/>
          <w:left w:w="108" w:type="dxa"/>
          <w:bottom w:w="20" w:type="dxa"/>
          <w:right w:w="108" w:type="dxa"/>
        </w:tblCellMar>
      </w:tblPr>
      <w:tblGrid>
        <w:gridCol w:w="647"/>
        <w:gridCol w:w="647"/>
        <w:gridCol w:w="1150"/>
        <w:gridCol w:w="668"/>
        <w:gridCol w:w="5943"/>
      </w:tblGrid>
      <w:tr w14:paraId="3362435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c>
          <w:tcPr>
            <w:tcW w:w="357" w:type="pct"/>
            <w:tcBorders>
              <w:top w:val="single" w:color="000000" w:sz="8" w:space="0"/>
              <w:left w:val="single" w:color="000000" w:sz="8" w:space="0"/>
              <w:bottom w:val="single" w:color="000000" w:sz="8" w:space="0"/>
              <w:right w:val="single" w:color="000000" w:sz="8" w:space="0"/>
            </w:tcBorders>
            <w:noWrap w:val="0"/>
            <w:vAlign w:val="center"/>
          </w:tcPr>
          <w:p w14:paraId="12BBE0EB">
            <w:pPr>
              <w:widowControl w:val="0"/>
              <w:wordWrap w:val="0"/>
              <w:jc w:val="center"/>
              <w:rPr>
                <w:rFonts w:ascii="宋体" w:hAnsi="宋体" w:cs="宋体"/>
                <w:b/>
                <w:bCs/>
                <w:szCs w:val="21"/>
              </w:rPr>
            </w:pPr>
            <w:r>
              <w:rPr>
                <w:rFonts w:hint="eastAsia" w:ascii="宋体" w:hAnsi="宋体" w:cs="宋体"/>
                <w:b/>
                <w:bCs/>
                <w:szCs w:val="21"/>
                <w:lang w:bidi="ar"/>
              </w:rPr>
              <w:t>序号</w:t>
            </w:r>
          </w:p>
        </w:tc>
        <w:tc>
          <w:tcPr>
            <w:tcW w:w="1361" w:type="pct"/>
            <w:gridSpan w:val="3"/>
            <w:tcBorders>
              <w:top w:val="single" w:color="000000" w:sz="8" w:space="0"/>
              <w:left w:val="single" w:color="000000" w:sz="8" w:space="0"/>
              <w:bottom w:val="single" w:color="000000" w:sz="8" w:space="0"/>
              <w:right w:val="single" w:color="000000" w:sz="8" w:space="0"/>
            </w:tcBorders>
            <w:noWrap w:val="0"/>
            <w:vAlign w:val="center"/>
          </w:tcPr>
          <w:p w14:paraId="6679D997">
            <w:pPr>
              <w:widowControl w:val="0"/>
              <w:wordWrap w:val="0"/>
              <w:jc w:val="center"/>
              <w:rPr>
                <w:rFonts w:ascii="宋体" w:hAnsi="宋体" w:cs="宋体"/>
                <w:b/>
                <w:bCs/>
                <w:szCs w:val="21"/>
              </w:rPr>
            </w:pPr>
            <w:r>
              <w:rPr>
                <w:rFonts w:hint="eastAsia" w:ascii="宋体" w:hAnsi="宋体" w:cs="宋体"/>
                <w:b/>
                <w:bCs/>
                <w:szCs w:val="21"/>
                <w:lang w:bidi="ar"/>
              </w:rPr>
              <w:t>评分项</w:t>
            </w:r>
          </w:p>
        </w:tc>
        <w:tc>
          <w:tcPr>
            <w:tcW w:w="3281" w:type="pct"/>
            <w:tcBorders>
              <w:top w:val="single" w:color="000000" w:sz="8" w:space="0"/>
              <w:left w:val="single" w:color="000000" w:sz="8" w:space="0"/>
              <w:bottom w:val="single" w:color="000000" w:sz="8" w:space="0"/>
              <w:right w:val="single" w:color="000000" w:sz="8" w:space="0"/>
            </w:tcBorders>
            <w:noWrap w:val="0"/>
            <w:vAlign w:val="center"/>
          </w:tcPr>
          <w:p w14:paraId="1DEB5E20">
            <w:pPr>
              <w:widowControl w:val="0"/>
              <w:wordWrap w:val="0"/>
              <w:jc w:val="center"/>
              <w:rPr>
                <w:rFonts w:ascii="宋体" w:hAnsi="宋体" w:cs="宋体"/>
                <w:b/>
                <w:bCs/>
                <w:szCs w:val="21"/>
              </w:rPr>
            </w:pPr>
            <w:r>
              <w:rPr>
                <w:rFonts w:hint="eastAsia" w:ascii="宋体" w:hAnsi="宋体" w:cs="宋体"/>
                <w:b/>
                <w:bCs/>
                <w:szCs w:val="21"/>
                <w:lang w:bidi="ar"/>
              </w:rPr>
              <w:t>权重</w:t>
            </w:r>
          </w:p>
        </w:tc>
      </w:tr>
      <w:tr w14:paraId="2D03BDE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c>
          <w:tcPr>
            <w:tcW w:w="357" w:type="pct"/>
            <w:vMerge w:val="restart"/>
            <w:tcBorders>
              <w:top w:val="single" w:color="000000" w:sz="8" w:space="0"/>
              <w:left w:val="single" w:color="000000" w:sz="8" w:space="0"/>
              <w:right w:val="single" w:color="000000" w:sz="8" w:space="0"/>
            </w:tcBorders>
            <w:noWrap w:val="0"/>
            <w:vAlign w:val="center"/>
          </w:tcPr>
          <w:p w14:paraId="32846BC1">
            <w:pPr>
              <w:widowControl w:val="0"/>
              <w:wordWrap w:val="0"/>
              <w:jc w:val="center"/>
              <w:rPr>
                <w:rFonts w:ascii="宋体" w:hAnsi="宋体" w:cs="宋体"/>
                <w:b/>
                <w:bCs/>
                <w:szCs w:val="21"/>
              </w:rPr>
            </w:pPr>
            <w:r>
              <w:rPr>
                <w:rFonts w:hint="eastAsia" w:ascii="宋体" w:hAnsi="宋体" w:cs="宋体"/>
                <w:b/>
                <w:bCs/>
                <w:szCs w:val="21"/>
                <w:lang w:bidi="ar"/>
              </w:rPr>
              <w:t>1</w:t>
            </w:r>
          </w:p>
        </w:tc>
        <w:tc>
          <w:tcPr>
            <w:tcW w:w="1361" w:type="pct"/>
            <w:gridSpan w:val="3"/>
            <w:tcBorders>
              <w:top w:val="single" w:color="000000" w:sz="8" w:space="0"/>
              <w:left w:val="single" w:color="000000" w:sz="8" w:space="0"/>
              <w:bottom w:val="single" w:color="000000" w:sz="8" w:space="0"/>
              <w:right w:val="single" w:color="000000" w:sz="8" w:space="0"/>
            </w:tcBorders>
            <w:noWrap w:val="0"/>
            <w:vAlign w:val="top"/>
          </w:tcPr>
          <w:p w14:paraId="67EB5F79">
            <w:pPr>
              <w:widowControl w:val="0"/>
              <w:wordWrap w:val="0"/>
              <w:jc w:val="center"/>
              <w:rPr>
                <w:rFonts w:ascii="宋体" w:hAnsi="宋体" w:cs="宋体"/>
                <w:b/>
                <w:bCs/>
                <w:szCs w:val="21"/>
              </w:rPr>
            </w:pPr>
            <w:r>
              <w:rPr>
                <w:rFonts w:hint="eastAsia" w:ascii="宋体" w:hAnsi="宋体" w:cs="宋体"/>
                <w:b/>
                <w:bCs/>
                <w:szCs w:val="21"/>
                <w:lang w:bidi="ar"/>
              </w:rPr>
              <w:t>价格</w:t>
            </w:r>
          </w:p>
        </w:tc>
        <w:tc>
          <w:tcPr>
            <w:tcW w:w="3281" w:type="pct"/>
            <w:tcBorders>
              <w:top w:val="single" w:color="000000" w:sz="8" w:space="0"/>
              <w:left w:val="single" w:color="000000" w:sz="8" w:space="0"/>
              <w:bottom w:val="single" w:color="000000" w:sz="8" w:space="0"/>
              <w:right w:val="single" w:color="000000" w:sz="8" w:space="0"/>
            </w:tcBorders>
            <w:noWrap w:val="0"/>
            <w:vAlign w:val="top"/>
          </w:tcPr>
          <w:p w14:paraId="36FFDA2A">
            <w:pPr>
              <w:widowControl w:val="0"/>
              <w:wordWrap w:val="0"/>
              <w:jc w:val="center"/>
              <w:rPr>
                <w:rFonts w:hint="default" w:ascii="宋体" w:hAnsi="宋体" w:cs="宋体" w:eastAsiaTheme="minorEastAsia"/>
                <w:b/>
                <w:bCs/>
                <w:szCs w:val="21"/>
                <w:lang w:val="en-US" w:eastAsia="zh-CN"/>
              </w:rPr>
            </w:pPr>
            <w:r>
              <w:rPr>
                <w:rFonts w:hint="eastAsia" w:ascii="宋体" w:hAnsi="宋体" w:cs="宋体"/>
                <w:b/>
                <w:bCs/>
                <w:szCs w:val="21"/>
                <w:lang w:val="en-US" w:eastAsia="zh-CN" w:bidi="ar"/>
              </w:rPr>
              <w:t>40%</w:t>
            </w:r>
          </w:p>
        </w:tc>
      </w:tr>
      <w:tr w14:paraId="0323C13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c>
          <w:tcPr>
            <w:tcW w:w="357" w:type="pct"/>
            <w:vMerge w:val="continue"/>
            <w:tcBorders>
              <w:left w:val="single" w:color="000000" w:sz="8" w:space="0"/>
              <w:bottom w:val="single" w:color="auto" w:sz="8" w:space="0"/>
              <w:right w:val="single" w:color="000000" w:sz="8" w:space="0"/>
            </w:tcBorders>
            <w:noWrap w:val="0"/>
            <w:vAlign w:val="center"/>
          </w:tcPr>
          <w:p w14:paraId="324AEC0F">
            <w:pPr>
              <w:widowControl w:val="0"/>
              <w:wordWrap w:val="0"/>
              <w:jc w:val="center"/>
              <w:rPr>
                <w:rFonts w:ascii="宋体" w:hAnsi="宋体" w:cs="宋体"/>
                <w:b/>
                <w:bCs/>
                <w:szCs w:val="21"/>
                <w:lang w:bidi="ar"/>
              </w:rPr>
            </w:pPr>
          </w:p>
        </w:tc>
        <w:tc>
          <w:tcPr>
            <w:tcW w:w="4642" w:type="pct"/>
            <w:gridSpan w:val="4"/>
            <w:tcBorders>
              <w:top w:val="single" w:color="000000" w:sz="8" w:space="0"/>
              <w:left w:val="single" w:color="000000" w:sz="8" w:space="0"/>
              <w:bottom w:val="single" w:color="000000" w:sz="8" w:space="0"/>
              <w:right w:val="single" w:color="000000" w:sz="8" w:space="0"/>
            </w:tcBorders>
            <w:noWrap w:val="0"/>
            <w:vAlign w:val="top"/>
          </w:tcPr>
          <w:p w14:paraId="1FFD6F51">
            <w:pPr>
              <w:widowControl w:val="0"/>
              <w:wordWrap w:val="0"/>
              <w:jc w:val="left"/>
              <w:rPr>
                <w:rFonts w:hint="default" w:ascii="宋体" w:hAnsi="宋体" w:cs="Times New Roman"/>
                <w:color w:val="000000"/>
                <w:sz w:val="21"/>
                <w:szCs w:val="21"/>
                <w:lang w:val="zh-CN" w:eastAsia="zh-CN"/>
              </w:rPr>
            </w:pPr>
            <w:r>
              <w:rPr>
                <w:rFonts w:hint="default" w:ascii="宋体" w:hAnsi="宋体" w:cs="Times New Roman"/>
                <w:color w:val="000000"/>
                <w:sz w:val="21"/>
                <w:szCs w:val="21"/>
                <w:lang w:val="zh-CN" w:eastAsia="zh-CN"/>
              </w:rPr>
              <w:t>价格分1=[1-A× |1一投标报价/Z|]×价格权重×100;</w:t>
            </w:r>
          </w:p>
          <w:p w14:paraId="2E822989">
            <w:pPr>
              <w:widowControl w:val="0"/>
              <w:wordWrap w:val="0"/>
              <w:jc w:val="left"/>
              <w:rPr>
                <w:rFonts w:hint="default" w:ascii="宋体" w:hAnsi="宋体" w:cs="Times New Roman"/>
                <w:color w:val="000000"/>
                <w:sz w:val="21"/>
                <w:szCs w:val="21"/>
                <w:lang w:val="zh-CN" w:eastAsia="zh-CN"/>
              </w:rPr>
            </w:pPr>
            <w:r>
              <w:rPr>
                <w:rFonts w:hint="default" w:ascii="宋体" w:hAnsi="宋体" w:cs="Times New Roman"/>
                <w:color w:val="000000"/>
                <w:sz w:val="21"/>
                <w:szCs w:val="21"/>
                <w:lang w:val="zh-CN" w:eastAsia="zh-CN"/>
              </w:rPr>
              <w:t>Z:即本次招标的最佳报价，即对所有通过不可偏离检查和符合性检查且报价不超过招标控制金额的有效投标报价取算术平均值下浮5%,作为本次招标最佳报价；</w:t>
            </w:r>
          </w:p>
          <w:p w14:paraId="0C717C44">
            <w:pPr>
              <w:widowControl w:val="0"/>
              <w:wordWrap w:val="0"/>
              <w:jc w:val="left"/>
              <w:rPr>
                <w:rFonts w:ascii="宋体" w:hAnsi="宋体" w:cs="宋体"/>
                <w:b/>
                <w:bCs/>
                <w:szCs w:val="21"/>
                <w:lang w:bidi="ar"/>
              </w:rPr>
            </w:pPr>
            <w:r>
              <w:rPr>
                <w:rFonts w:hint="default" w:ascii="宋体" w:hAnsi="宋体" w:cs="Times New Roman"/>
                <w:color w:val="000000"/>
                <w:sz w:val="21"/>
                <w:szCs w:val="21"/>
                <w:lang w:val="zh-CN" w:eastAsia="zh-CN"/>
              </w:rPr>
              <w:t xml:space="preserve">A:价格调整系数，当投标报价低于本次招标最佳报价时，A=0.5;当投标报价高于本次招标最佳报价时，取A=1;当价格分&lt;0时，取0。 </w:t>
            </w:r>
          </w:p>
        </w:tc>
      </w:tr>
      <w:tr w14:paraId="4F3F451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c>
          <w:tcPr>
            <w:tcW w:w="357" w:type="pct"/>
            <w:vMerge w:val="restart"/>
            <w:tcBorders>
              <w:top w:val="single" w:color="000000" w:sz="8" w:space="0"/>
              <w:left w:val="single" w:color="000000" w:sz="8" w:space="0"/>
              <w:right w:val="single" w:color="000000" w:sz="8" w:space="0"/>
            </w:tcBorders>
            <w:noWrap w:val="0"/>
            <w:vAlign w:val="center"/>
          </w:tcPr>
          <w:p w14:paraId="0CC5DAE0">
            <w:pPr>
              <w:widowControl w:val="0"/>
              <w:wordWrap w:val="0"/>
              <w:jc w:val="center"/>
              <w:rPr>
                <w:rFonts w:ascii="宋体" w:hAnsi="宋体" w:cs="宋体"/>
                <w:b/>
                <w:bCs/>
                <w:szCs w:val="21"/>
              </w:rPr>
            </w:pPr>
            <w:r>
              <w:rPr>
                <w:rFonts w:hint="eastAsia" w:ascii="宋体" w:hAnsi="宋体" w:cs="宋体"/>
                <w:b/>
                <w:bCs/>
                <w:szCs w:val="21"/>
                <w:lang w:bidi="ar"/>
              </w:rPr>
              <w:t>2</w:t>
            </w:r>
          </w:p>
        </w:tc>
        <w:tc>
          <w:tcPr>
            <w:tcW w:w="1361" w:type="pct"/>
            <w:gridSpan w:val="3"/>
            <w:tcBorders>
              <w:top w:val="single" w:color="000000" w:sz="8" w:space="0"/>
              <w:left w:val="single" w:color="000000" w:sz="8" w:space="0"/>
              <w:bottom w:val="single" w:color="000000" w:sz="8" w:space="0"/>
              <w:right w:val="single" w:color="000000" w:sz="8" w:space="0"/>
            </w:tcBorders>
            <w:noWrap w:val="0"/>
            <w:vAlign w:val="top"/>
          </w:tcPr>
          <w:p w14:paraId="5F9C0EB0">
            <w:pPr>
              <w:widowControl w:val="0"/>
              <w:wordWrap w:val="0"/>
              <w:jc w:val="center"/>
              <w:rPr>
                <w:rFonts w:ascii="宋体" w:hAnsi="宋体" w:cs="宋体"/>
                <w:b/>
                <w:bCs/>
                <w:szCs w:val="21"/>
              </w:rPr>
            </w:pPr>
            <w:r>
              <w:rPr>
                <w:rFonts w:hint="eastAsia" w:ascii="宋体" w:hAnsi="宋体" w:cs="宋体"/>
                <w:b/>
                <w:bCs/>
                <w:szCs w:val="21"/>
                <w:lang w:bidi="ar"/>
              </w:rPr>
              <w:t>技术部分</w:t>
            </w:r>
          </w:p>
        </w:tc>
        <w:tc>
          <w:tcPr>
            <w:tcW w:w="3281" w:type="pct"/>
            <w:tcBorders>
              <w:top w:val="single" w:color="000000" w:sz="8" w:space="0"/>
              <w:left w:val="single" w:color="000000" w:sz="8" w:space="0"/>
              <w:bottom w:val="single" w:color="000000" w:sz="8" w:space="0"/>
              <w:right w:val="single" w:color="000000" w:sz="8" w:space="0"/>
            </w:tcBorders>
            <w:noWrap w:val="0"/>
            <w:vAlign w:val="top"/>
          </w:tcPr>
          <w:p w14:paraId="2FE782AA">
            <w:pPr>
              <w:widowControl w:val="0"/>
              <w:wordWrap w:val="0"/>
              <w:jc w:val="center"/>
              <w:rPr>
                <w:rFonts w:hint="default" w:ascii="宋体" w:hAnsi="宋体" w:cs="宋体" w:eastAsiaTheme="minorEastAsia"/>
                <w:b/>
                <w:bCs/>
                <w:szCs w:val="21"/>
                <w:lang w:val="en-US" w:eastAsia="zh-CN"/>
              </w:rPr>
            </w:pPr>
            <w:r>
              <w:rPr>
                <w:rFonts w:hint="eastAsia" w:ascii="宋体" w:hAnsi="宋体" w:cs="宋体"/>
                <w:b/>
                <w:bCs/>
                <w:szCs w:val="21"/>
                <w:lang w:val="en-US" w:eastAsia="zh-CN" w:bidi="ar"/>
              </w:rPr>
              <w:t>40%</w:t>
            </w:r>
          </w:p>
        </w:tc>
      </w:tr>
      <w:tr w14:paraId="2151C07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c>
          <w:tcPr>
            <w:tcW w:w="357" w:type="pct"/>
            <w:vMerge w:val="continue"/>
            <w:tcBorders>
              <w:left w:val="single" w:color="000000" w:sz="8" w:space="0"/>
              <w:right w:val="single" w:color="000000" w:sz="8" w:space="0"/>
            </w:tcBorders>
            <w:noWrap w:val="0"/>
            <w:vAlign w:val="center"/>
          </w:tcPr>
          <w:p w14:paraId="02856EBB">
            <w:pPr>
              <w:rPr>
                <w:rFonts w:ascii="宋体" w:hAnsi="宋体" w:cs="宋体"/>
                <w:sz w:val="20"/>
              </w:rPr>
            </w:pPr>
          </w:p>
        </w:tc>
        <w:tc>
          <w:tcPr>
            <w:tcW w:w="357" w:type="pct"/>
            <w:tcBorders>
              <w:top w:val="inset" w:color="000000" w:sz="6" w:space="0"/>
              <w:left w:val="inset" w:color="000000" w:sz="6" w:space="0"/>
              <w:bottom w:val="inset" w:color="000000" w:sz="6" w:space="0"/>
              <w:right w:val="inset" w:color="000000" w:sz="6" w:space="0"/>
            </w:tcBorders>
            <w:noWrap w:val="0"/>
            <w:vAlign w:val="center"/>
          </w:tcPr>
          <w:p w14:paraId="20AF6466">
            <w:pPr>
              <w:widowControl w:val="0"/>
              <w:wordWrap w:val="0"/>
              <w:jc w:val="center"/>
              <w:rPr>
                <w:rFonts w:ascii="宋体" w:hAnsi="宋体" w:cs="宋体"/>
                <w:szCs w:val="21"/>
              </w:rPr>
            </w:pPr>
            <w:r>
              <w:rPr>
                <w:rFonts w:hint="eastAsia" w:ascii="宋体" w:hAnsi="宋体" w:cs="宋体"/>
                <w:szCs w:val="21"/>
                <w:lang w:bidi="ar"/>
              </w:rPr>
              <w:t>序号</w:t>
            </w:r>
          </w:p>
        </w:tc>
        <w:tc>
          <w:tcPr>
            <w:tcW w:w="635" w:type="pct"/>
            <w:tcBorders>
              <w:top w:val="inset" w:color="000000" w:sz="6" w:space="0"/>
              <w:left w:val="inset" w:color="000000" w:sz="6" w:space="0"/>
              <w:bottom w:val="inset" w:color="000000" w:sz="6" w:space="0"/>
              <w:right w:val="inset" w:color="000000" w:sz="6" w:space="0"/>
            </w:tcBorders>
            <w:noWrap w:val="0"/>
            <w:vAlign w:val="center"/>
          </w:tcPr>
          <w:p w14:paraId="56C8CC03">
            <w:pPr>
              <w:widowControl w:val="0"/>
              <w:wordWrap w:val="0"/>
              <w:jc w:val="center"/>
              <w:rPr>
                <w:rFonts w:ascii="宋体" w:hAnsi="宋体" w:cs="宋体"/>
                <w:szCs w:val="21"/>
              </w:rPr>
            </w:pPr>
            <w:r>
              <w:rPr>
                <w:rFonts w:hint="eastAsia" w:ascii="宋体" w:hAnsi="宋体" w:cs="宋体"/>
                <w:szCs w:val="21"/>
                <w:lang w:bidi="ar"/>
              </w:rPr>
              <w:t>评分因素</w:t>
            </w:r>
          </w:p>
        </w:tc>
        <w:tc>
          <w:tcPr>
            <w:tcW w:w="368" w:type="pct"/>
            <w:tcBorders>
              <w:top w:val="inset" w:color="000000" w:sz="6" w:space="0"/>
              <w:left w:val="inset" w:color="000000" w:sz="6" w:space="0"/>
              <w:bottom w:val="inset" w:color="000000" w:sz="6" w:space="0"/>
              <w:right w:val="inset" w:color="000000" w:sz="6" w:space="0"/>
            </w:tcBorders>
            <w:noWrap w:val="0"/>
            <w:vAlign w:val="center"/>
          </w:tcPr>
          <w:p w14:paraId="4A4CC1E1">
            <w:pPr>
              <w:widowControl w:val="0"/>
              <w:wordWrap w:val="0"/>
              <w:jc w:val="center"/>
              <w:rPr>
                <w:rFonts w:ascii="宋体" w:hAnsi="宋体" w:cs="宋体"/>
                <w:szCs w:val="21"/>
              </w:rPr>
            </w:pPr>
            <w:r>
              <w:rPr>
                <w:rFonts w:hint="eastAsia" w:ascii="宋体" w:hAnsi="宋体" w:cs="宋体"/>
                <w:szCs w:val="21"/>
                <w:lang w:bidi="ar"/>
              </w:rPr>
              <w:t>权重</w:t>
            </w:r>
          </w:p>
        </w:tc>
        <w:tc>
          <w:tcPr>
            <w:tcW w:w="3281" w:type="pct"/>
            <w:tcBorders>
              <w:top w:val="inset" w:color="000000" w:sz="6" w:space="0"/>
              <w:left w:val="inset" w:color="000000" w:sz="6" w:space="0"/>
              <w:bottom w:val="inset" w:color="000000" w:sz="6" w:space="0"/>
              <w:right w:val="inset" w:color="000000" w:sz="6" w:space="0"/>
            </w:tcBorders>
            <w:noWrap w:val="0"/>
            <w:vAlign w:val="center"/>
          </w:tcPr>
          <w:p w14:paraId="2128D561">
            <w:pPr>
              <w:widowControl w:val="0"/>
              <w:wordWrap w:val="0"/>
              <w:jc w:val="center"/>
              <w:rPr>
                <w:rFonts w:ascii="宋体" w:hAnsi="宋体" w:cs="宋体"/>
                <w:szCs w:val="21"/>
              </w:rPr>
            </w:pPr>
            <w:r>
              <w:rPr>
                <w:rFonts w:hint="eastAsia" w:ascii="宋体" w:hAnsi="宋体" w:cs="宋体"/>
                <w:szCs w:val="21"/>
                <w:lang w:bidi="ar"/>
              </w:rPr>
              <w:t>评分准则</w:t>
            </w:r>
          </w:p>
        </w:tc>
      </w:tr>
      <w:tr w14:paraId="021D8EA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c>
          <w:tcPr>
            <w:tcW w:w="357" w:type="pct"/>
            <w:vMerge w:val="continue"/>
            <w:tcBorders>
              <w:left w:val="single" w:color="000000" w:sz="8" w:space="0"/>
              <w:right w:val="single" w:color="000000" w:sz="8" w:space="0"/>
            </w:tcBorders>
            <w:noWrap w:val="0"/>
            <w:vAlign w:val="center"/>
          </w:tcPr>
          <w:p w14:paraId="055CCAD2">
            <w:pPr>
              <w:rPr>
                <w:rFonts w:ascii="宋体" w:hAnsi="宋体" w:cs="宋体"/>
                <w:sz w:val="20"/>
              </w:rPr>
            </w:pPr>
          </w:p>
        </w:tc>
        <w:tc>
          <w:tcPr>
            <w:tcW w:w="357" w:type="pct"/>
            <w:tcBorders>
              <w:top w:val="inset" w:color="000000" w:sz="6" w:space="0"/>
              <w:left w:val="inset" w:color="000000" w:sz="6" w:space="0"/>
              <w:bottom w:val="inset" w:color="000000" w:sz="6" w:space="0"/>
              <w:right w:val="inset" w:color="000000" w:sz="6" w:space="0"/>
            </w:tcBorders>
            <w:noWrap w:val="0"/>
            <w:vAlign w:val="center"/>
          </w:tcPr>
          <w:p w14:paraId="08714C64">
            <w:pPr>
              <w:widowControl w:val="0"/>
              <w:wordWrap w:val="0"/>
              <w:jc w:val="center"/>
              <w:rPr>
                <w:rFonts w:ascii="宋体" w:hAnsi="宋体" w:cs="宋体"/>
                <w:szCs w:val="21"/>
              </w:rPr>
            </w:pPr>
            <w:r>
              <w:rPr>
                <w:rFonts w:hint="eastAsia" w:ascii="宋体" w:hAnsi="宋体" w:cs="宋体"/>
                <w:szCs w:val="21"/>
                <w:lang w:bidi="ar"/>
              </w:rPr>
              <w:t>1</w:t>
            </w:r>
          </w:p>
        </w:tc>
        <w:tc>
          <w:tcPr>
            <w:tcW w:w="635" w:type="pct"/>
            <w:tcBorders>
              <w:top w:val="inset" w:color="000000" w:sz="6" w:space="0"/>
              <w:left w:val="inset" w:color="000000" w:sz="6" w:space="0"/>
              <w:bottom w:val="inset" w:color="000000" w:sz="6" w:space="0"/>
              <w:right w:val="inset" w:color="000000" w:sz="6" w:space="0"/>
            </w:tcBorders>
            <w:noWrap w:val="0"/>
            <w:vAlign w:val="center"/>
          </w:tcPr>
          <w:p w14:paraId="5484FA90">
            <w:pPr>
              <w:widowControl w:val="0"/>
              <w:wordWrap w:val="0"/>
              <w:jc w:val="center"/>
              <w:rPr>
                <w:rFonts w:ascii="宋体" w:hAnsi="宋体" w:cs="宋体"/>
                <w:szCs w:val="21"/>
              </w:rPr>
            </w:pPr>
            <w:r>
              <w:rPr>
                <w:rFonts w:hint="eastAsia" w:ascii="宋体" w:hAnsi="宋体" w:cs="宋体"/>
                <w:szCs w:val="21"/>
                <w:lang w:bidi="ar"/>
              </w:rPr>
              <w:t>项目服务方案</w:t>
            </w:r>
          </w:p>
        </w:tc>
        <w:tc>
          <w:tcPr>
            <w:tcW w:w="368" w:type="pct"/>
            <w:tcBorders>
              <w:top w:val="inset" w:color="000000" w:sz="6" w:space="0"/>
              <w:left w:val="inset" w:color="000000" w:sz="6" w:space="0"/>
              <w:bottom w:val="inset" w:color="000000" w:sz="6" w:space="0"/>
              <w:right w:val="inset" w:color="000000" w:sz="6" w:space="0"/>
            </w:tcBorders>
            <w:noWrap w:val="0"/>
            <w:vAlign w:val="center"/>
          </w:tcPr>
          <w:p w14:paraId="636ACF94">
            <w:pPr>
              <w:widowControl w:val="0"/>
              <w:wordWrap w:val="0"/>
              <w:jc w:val="center"/>
              <w:rPr>
                <w:rFonts w:hint="default" w:ascii="宋体" w:hAnsi="宋体" w:cs="宋体" w:eastAsiaTheme="minorEastAsia"/>
                <w:szCs w:val="21"/>
                <w:lang w:val="en-US" w:eastAsia="zh-CN"/>
              </w:rPr>
            </w:pPr>
            <w:r>
              <w:rPr>
                <w:rFonts w:hint="eastAsia" w:ascii="宋体" w:hAnsi="宋体" w:cs="宋体" w:eastAsiaTheme="minorEastAsia"/>
                <w:szCs w:val="21"/>
                <w:lang w:val="en-US" w:eastAsia="zh-CN"/>
              </w:rPr>
              <w:t>20</w:t>
            </w:r>
          </w:p>
        </w:tc>
        <w:tc>
          <w:tcPr>
            <w:tcW w:w="3281" w:type="pct"/>
            <w:tcBorders>
              <w:top w:val="inset" w:color="000000" w:sz="6" w:space="0"/>
              <w:left w:val="inset" w:color="000000" w:sz="6" w:space="0"/>
              <w:bottom w:val="inset" w:color="000000" w:sz="6" w:space="0"/>
              <w:right w:val="inset" w:color="000000" w:sz="6" w:space="0"/>
            </w:tcBorders>
            <w:noWrap w:val="0"/>
            <w:vAlign w:val="top"/>
          </w:tcPr>
          <w:p w14:paraId="5C8185C8">
            <w:pPr>
              <w:widowControl w:val="0"/>
              <w:wordWrap w:val="0"/>
              <w:rPr>
                <w:rFonts w:ascii="宋体" w:hAnsi="宋体" w:cs="宋体"/>
                <w:b/>
                <w:bCs/>
                <w:szCs w:val="21"/>
              </w:rPr>
            </w:pPr>
            <w:r>
              <w:rPr>
                <w:rFonts w:hint="eastAsia" w:ascii="宋体" w:hAnsi="宋体" w:cs="宋体"/>
                <w:b/>
                <w:bCs/>
                <w:szCs w:val="21"/>
                <w:lang w:bidi="ar"/>
              </w:rPr>
              <w:t>（一）评审内容：</w:t>
            </w:r>
          </w:p>
          <w:p w14:paraId="10E94165">
            <w:pPr>
              <w:widowControl w:val="0"/>
              <w:wordWrap w:val="0"/>
              <w:rPr>
                <w:rFonts w:ascii="宋体" w:hAnsi="宋体" w:cs="宋体"/>
                <w:szCs w:val="21"/>
              </w:rPr>
            </w:pPr>
            <w:r>
              <w:rPr>
                <w:rFonts w:hint="eastAsia" w:ascii="宋体" w:hAnsi="宋体" w:cs="宋体"/>
                <w:szCs w:val="21"/>
                <w:lang w:bidi="ar"/>
              </w:rPr>
              <w:t>根据投标人对本次</w:t>
            </w:r>
            <w:r>
              <w:rPr>
                <w:rFonts w:hint="eastAsia" w:ascii="宋体" w:hAnsi="宋体" w:cs="宋体"/>
                <w:szCs w:val="21"/>
                <w:lang w:val="en-US" w:eastAsia="zh-CN" w:bidi="ar"/>
              </w:rPr>
              <w:t>常年法律顾问</w:t>
            </w:r>
            <w:r>
              <w:rPr>
                <w:rFonts w:hint="eastAsia" w:ascii="宋体" w:hAnsi="宋体" w:cs="宋体"/>
                <w:szCs w:val="21"/>
                <w:lang w:bidi="ar"/>
              </w:rPr>
              <w:t>服务的详尽程度、合理性，工作进度安排及可操作性，方案的可实施性，后续服务承诺等进行评分。</w:t>
            </w:r>
          </w:p>
          <w:p w14:paraId="3322660E">
            <w:pPr>
              <w:jc w:val="left"/>
              <w:rPr>
                <w:rFonts w:ascii="宋体" w:hAnsi="宋体" w:cs="宋体"/>
                <w:b/>
                <w:bCs/>
                <w:szCs w:val="21"/>
              </w:rPr>
            </w:pPr>
            <w:r>
              <w:rPr>
                <w:rFonts w:hint="eastAsia" w:ascii="宋体" w:hAnsi="宋体" w:cs="宋体"/>
                <w:b/>
                <w:bCs/>
                <w:kern w:val="0"/>
                <w:szCs w:val="21"/>
                <w:lang w:bidi="ar"/>
              </w:rPr>
              <w:t>（二）评审标准：</w:t>
            </w:r>
          </w:p>
          <w:p w14:paraId="056DCEE2">
            <w:pPr>
              <w:widowControl w:val="0"/>
              <w:wordWrap w:val="0"/>
              <w:rPr>
                <w:rFonts w:ascii="宋体" w:hAnsi="宋体" w:cs="宋体"/>
                <w:szCs w:val="21"/>
              </w:rPr>
            </w:pPr>
            <w:r>
              <w:rPr>
                <w:rFonts w:hint="eastAsia" w:ascii="宋体" w:hAnsi="宋体" w:cs="宋体"/>
                <w:szCs w:val="21"/>
                <w:lang w:bidi="ar"/>
              </w:rPr>
              <w:t>根据招标文件需求和投标文件</w:t>
            </w:r>
          </w:p>
          <w:p w14:paraId="14399F49">
            <w:pPr>
              <w:widowControl w:val="0"/>
              <w:wordWrap w:val="0"/>
              <w:rPr>
                <w:rFonts w:ascii="宋体" w:hAnsi="宋体" w:cs="宋体"/>
                <w:szCs w:val="21"/>
              </w:rPr>
            </w:pPr>
            <w:r>
              <w:rPr>
                <w:rFonts w:hint="eastAsia" w:ascii="宋体" w:hAnsi="宋体" w:cs="宋体"/>
                <w:szCs w:val="21"/>
                <w:lang w:bidi="ar"/>
              </w:rPr>
              <w:t>1.内容完整、详细并思路清晰，合理性及适当性强、可操作性强、可实施性强的为优，得</w:t>
            </w:r>
            <w:r>
              <w:rPr>
                <w:rFonts w:hint="eastAsia" w:ascii="宋体" w:hAnsi="宋体" w:cs="宋体"/>
                <w:szCs w:val="21"/>
                <w:lang w:val="en-US" w:eastAsia="zh-CN" w:bidi="ar"/>
              </w:rPr>
              <w:t>16-20</w:t>
            </w:r>
            <w:r>
              <w:rPr>
                <w:rFonts w:hint="eastAsia" w:ascii="宋体" w:hAnsi="宋体" w:cs="宋体"/>
                <w:szCs w:val="21"/>
                <w:lang w:bidi="ar"/>
              </w:rPr>
              <w:t>分；</w:t>
            </w:r>
          </w:p>
          <w:p w14:paraId="6835F892">
            <w:pPr>
              <w:widowControl w:val="0"/>
              <w:wordWrap w:val="0"/>
              <w:rPr>
                <w:rFonts w:ascii="宋体" w:hAnsi="宋体" w:cs="宋体"/>
                <w:szCs w:val="21"/>
              </w:rPr>
            </w:pPr>
            <w:r>
              <w:rPr>
                <w:rFonts w:hint="eastAsia" w:ascii="宋体" w:hAnsi="宋体" w:cs="宋体"/>
                <w:szCs w:val="21"/>
                <w:lang w:bidi="ar"/>
              </w:rPr>
              <w:t>2.内容完整并思路较清晰、合理性及适当性较强、可操作性较强、可实施性较强的为良，得</w:t>
            </w:r>
            <w:r>
              <w:rPr>
                <w:rFonts w:hint="eastAsia" w:ascii="宋体" w:hAnsi="宋体" w:cs="宋体"/>
                <w:szCs w:val="21"/>
                <w:lang w:val="en-US" w:eastAsia="zh-CN" w:bidi="ar"/>
              </w:rPr>
              <w:t>11-15</w:t>
            </w:r>
            <w:r>
              <w:rPr>
                <w:rFonts w:hint="eastAsia" w:ascii="宋体" w:hAnsi="宋体" w:cs="宋体"/>
                <w:szCs w:val="21"/>
                <w:lang w:bidi="ar"/>
              </w:rPr>
              <w:t>分；</w:t>
            </w:r>
          </w:p>
          <w:p w14:paraId="7E0BF453">
            <w:pPr>
              <w:widowControl w:val="0"/>
              <w:wordWrap w:val="0"/>
              <w:rPr>
                <w:rFonts w:ascii="宋体" w:hAnsi="宋体" w:cs="宋体"/>
                <w:szCs w:val="21"/>
              </w:rPr>
            </w:pPr>
            <w:r>
              <w:rPr>
                <w:rFonts w:hint="eastAsia" w:ascii="宋体" w:hAnsi="宋体" w:cs="宋体"/>
                <w:szCs w:val="21"/>
                <w:lang w:bidi="ar"/>
              </w:rPr>
              <w:t>3.内容一般完整并思路一般清晰、合理性及适当性一般、可操作性较一般、可实施性较一般的为中，得</w:t>
            </w:r>
            <w:r>
              <w:rPr>
                <w:rFonts w:hint="eastAsia" w:ascii="宋体" w:hAnsi="宋体" w:cs="宋体"/>
                <w:szCs w:val="21"/>
                <w:lang w:val="en-US" w:eastAsia="zh-CN" w:bidi="ar"/>
              </w:rPr>
              <w:t>6-10</w:t>
            </w:r>
            <w:r>
              <w:rPr>
                <w:rFonts w:hint="eastAsia" w:ascii="宋体" w:hAnsi="宋体" w:cs="宋体"/>
                <w:szCs w:val="21"/>
                <w:lang w:bidi="ar"/>
              </w:rPr>
              <w:t>分；</w:t>
            </w:r>
          </w:p>
          <w:p w14:paraId="559F0069">
            <w:pPr>
              <w:widowControl w:val="0"/>
              <w:wordWrap w:val="0"/>
              <w:rPr>
                <w:rFonts w:ascii="宋体" w:hAnsi="宋体" w:cs="宋体"/>
                <w:szCs w:val="21"/>
              </w:rPr>
            </w:pPr>
            <w:r>
              <w:rPr>
                <w:rFonts w:hint="eastAsia" w:ascii="宋体" w:hAnsi="宋体" w:cs="宋体"/>
                <w:szCs w:val="21"/>
                <w:lang w:bidi="ar"/>
              </w:rPr>
              <w:t>4.其他情况，评价为差，得0</w:t>
            </w:r>
            <w:r>
              <w:rPr>
                <w:rFonts w:hint="eastAsia" w:ascii="宋体" w:hAnsi="宋体" w:cs="宋体"/>
                <w:szCs w:val="21"/>
                <w:lang w:val="en-US" w:eastAsia="zh-CN" w:bidi="ar"/>
              </w:rPr>
              <w:t>-5</w:t>
            </w:r>
            <w:r>
              <w:rPr>
                <w:rFonts w:hint="eastAsia" w:ascii="宋体" w:hAnsi="宋体" w:cs="宋体"/>
                <w:szCs w:val="21"/>
                <w:lang w:bidi="ar"/>
              </w:rPr>
              <w:t>分。</w:t>
            </w:r>
          </w:p>
        </w:tc>
      </w:tr>
      <w:tr w14:paraId="1729430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c>
          <w:tcPr>
            <w:tcW w:w="357" w:type="pct"/>
            <w:vMerge w:val="continue"/>
            <w:tcBorders>
              <w:left w:val="single" w:color="000000" w:sz="8" w:space="0"/>
              <w:bottom w:val="single" w:color="auto" w:sz="8" w:space="0"/>
              <w:right w:val="single" w:color="000000" w:sz="8" w:space="0"/>
            </w:tcBorders>
            <w:noWrap w:val="0"/>
            <w:vAlign w:val="center"/>
          </w:tcPr>
          <w:p w14:paraId="4EF66A91">
            <w:pPr>
              <w:widowControl w:val="0"/>
              <w:rPr>
                <w:rFonts w:ascii="宋体" w:hAnsi="宋体" w:cs="宋体"/>
                <w:b/>
                <w:bCs/>
                <w:szCs w:val="21"/>
              </w:rPr>
            </w:pPr>
          </w:p>
        </w:tc>
        <w:tc>
          <w:tcPr>
            <w:tcW w:w="357" w:type="pct"/>
            <w:tcBorders>
              <w:top w:val="inset" w:color="000000" w:sz="6" w:space="0"/>
              <w:left w:val="inset" w:color="000000" w:sz="6" w:space="0"/>
              <w:bottom w:val="inset" w:color="000000" w:sz="6" w:space="0"/>
              <w:right w:val="inset" w:color="000000" w:sz="6" w:space="0"/>
            </w:tcBorders>
            <w:noWrap w:val="0"/>
            <w:vAlign w:val="center"/>
          </w:tcPr>
          <w:p w14:paraId="2F1695BD">
            <w:pPr>
              <w:widowControl w:val="0"/>
              <w:wordWrap w:val="0"/>
              <w:jc w:val="center"/>
              <w:rPr>
                <w:rFonts w:ascii="宋体" w:hAnsi="宋体" w:cs="宋体"/>
                <w:szCs w:val="21"/>
              </w:rPr>
            </w:pPr>
            <w:r>
              <w:rPr>
                <w:rFonts w:hint="eastAsia" w:ascii="宋体" w:hAnsi="宋体" w:cs="宋体"/>
                <w:szCs w:val="21"/>
              </w:rPr>
              <w:t>2</w:t>
            </w:r>
          </w:p>
        </w:tc>
        <w:tc>
          <w:tcPr>
            <w:tcW w:w="635" w:type="pct"/>
            <w:tcBorders>
              <w:top w:val="inset" w:color="000000" w:sz="6" w:space="0"/>
              <w:left w:val="inset" w:color="000000" w:sz="6" w:space="0"/>
              <w:bottom w:val="inset" w:color="000000" w:sz="6" w:space="0"/>
              <w:right w:val="inset" w:color="000000" w:sz="6" w:space="0"/>
            </w:tcBorders>
            <w:noWrap w:val="0"/>
            <w:vAlign w:val="center"/>
          </w:tcPr>
          <w:p w14:paraId="23F75CCD">
            <w:pPr>
              <w:jc w:val="center"/>
              <w:textAlignment w:val="center"/>
              <w:rPr>
                <w:rFonts w:ascii="宋体" w:hAnsi="宋体" w:cs="宋体"/>
                <w:szCs w:val="21"/>
              </w:rPr>
            </w:pPr>
            <w:r>
              <w:rPr>
                <w:rFonts w:hint="eastAsia" w:ascii="宋体" w:hAnsi="宋体" w:cs="宋体"/>
                <w:szCs w:val="21"/>
                <w:lang w:bidi="ar"/>
              </w:rPr>
              <w:t>拟安排的项目团队成员情况</w:t>
            </w:r>
          </w:p>
        </w:tc>
        <w:tc>
          <w:tcPr>
            <w:tcW w:w="368" w:type="pct"/>
            <w:tcBorders>
              <w:top w:val="inset" w:color="000000" w:sz="6" w:space="0"/>
              <w:left w:val="inset" w:color="000000" w:sz="6" w:space="0"/>
              <w:bottom w:val="inset" w:color="000000" w:sz="6" w:space="0"/>
              <w:right w:val="inset" w:color="000000" w:sz="6" w:space="0"/>
            </w:tcBorders>
            <w:noWrap w:val="0"/>
            <w:vAlign w:val="center"/>
          </w:tcPr>
          <w:p w14:paraId="62F646A9">
            <w:pPr>
              <w:widowControl w:val="0"/>
              <w:wordWrap w:val="0"/>
              <w:jc w:val="center"/>
              <w:rPr>
                <w:rFonts w:hint="default" w:ascii="宋体" w:hAnsi="宋体" w:cs="宋体" w:eastAsiaTheme="minorEastAsia"/>
                <w:szCs w:val="21"/>
                <w:lang w:val="en-US" w:eastAsia="zh-CN"/>
              </w:rPr>
            </w:pPr>
            <w:r>
              <w:rPr>
                <w:rFonts w:hint="eastAsia" w:ascii="宋体" w:hAnsi="宋体" w:cs="宋体"/>
                <w:szCs w:val="21"/>
                <w:lang w:val="en-US" w:eastAsia="zh-CN" w:bidi="ar"/>
              </w:rPr>
              <w:t>20</w:t>
            </w:r>
          </w:p>
        </w:tc>
        <w:tc>
          <w:tcPr>
            <w:tcW w:w="3281" w:type="pct"/>
            <w:tcBorders>
              <w:top w:val="inset" w:color="000000" w:sz="6" w:space="0"/>
              <w:left w:val="inset" w:color="000000" w:sz="6" w:space="0"/>
              <w:bottom w:val="inset" w:color="000000" w:sz="6" w:space="0"/>
              <w:right w:val="inset" w:color="000000" w:sz="6" w:space="0"/>
            </w:tcBorders>
            <w:noWrap w:val="0"/>
            <w:vAlign w:val="top"/>
          </w:tcPr>
          <w:p w14:paraId="58F87ACC">
            <w:pPr>
              <w:widowControl w:val="0"/>
              <w:wordWrap w:val="0"/>
              <w:rPr>
                <w:rFonts w:ascii="宋体" w:hAnsi="宋体" w:cs="宋体"/>
                <w:b/>
                <w:bCs/>
                <w:szCs w:val="21"/>
              </w:rPr>
            </w:pPr>
            <w:r>
              <w:rPr>
                <w:rFonts w:hint="eastAsia" w:ascii="宋体" w:hAnsi="宋体" w:cs="宋体"/>
                <w:b/>
                <w:bCs/>
                <w:szCs w:val="21"/>
                <w:lang w:bidi="ar"/>
              </w:rPr>
              <w:t>（一）评审内容：</w:t>
            </w:r>
          </w:p>
          <w:p w14:paraId="25D1CB81">
            <w:pPr>
              <w:widowControl w:val="0"/>
              <w:wordWrap w:val="0"/>
              <w:rPr>
                <w:rFonts w:ascii="宋体" w:hAnsi="宋体" w:cs="宋体"/>
                <w:szCs w:val="21"/>
              </w:rPr>
            </w:pPr>
            <w:r>
              <w:rPr>
                <w:rFonts w:hint="eastAsia" w:ascii="宋体" w:hAnsi="宋体" w:cs="宋体"/>
                <w:szCs w:val="21"/>
                <w:lang w:bidi="ar"/>
              </w:rPr>
              <w:t>根据投标人对本次</w:t>
            </w:r>
            <w:r>
              <w:rPr>
                <w:rFonts w:hint="eastAsia" w:ascii="宋体" w:hAnsi="宋体" w:cs="宋体"/>
                <w:szCs w:val="21"/>
                <w:lang w:val="en-US" w:eastAsia="zh-CN" w:bidi="ar"/>
              </w:rPr>
              <w:t>常年法律顾问单位拟派团队人员的情况进行综合评审，从团队人员的执业时间、履历、过往业绩、</w:t>
            </w:r>
            <w:r>
              <w:rPr>
                <w:rFonts w:hint="eastAsia" w:ascii="宋体" w:hAnsi="宋体" w:cs="宋体"/>
                <w:szCs w:val="21"/>
                <w:lang w:bidi="ar"/>
              </w:rPr>
              <w:t>服务</w:t>
            </w:r>
            <w:r>
              <w:rPr>
                <w:rFonts w:hint="eastAsia" w:ascii="宋体" w:hAnsi="宋体" w:cs="宋体"/>
                <w:szCs w:val="21"/>
                <w:lang w:val="en-US" w:eastAsia="zh-CN" w:bidi="ar"/>
              </w:rPr>
              <w:t>履约评价等情况进行综合评审，全面考察团队人员的实力以及与招标人的需求匹配情况</w:t>
            </w:r>
            <w:r>
              <w:rPr>
                <w:rFonts w:hint="eastAsia" w:ascii="宋体" w:hAnsi="宋体" w:cs="宋体"/>
                <w:szCs w:val="21"/>
                <w:lang w:bidi="ar"/>
              </w:rPr>
              <w:t>。</w:t>
            </w:r>
          </w:p>
          <w:p w14:paraId="1004A751">
            <w:pPr>
              <w:wordWrap w:val="0"/>
              <w:jc w:val="left"/>
              <w:rPr>
                <w:rFonts w:ascii="宋体" w:hAnsi="宋体" w:cs="宋体"/>
                <w:b/>
                <w:bCs/>
                <w:szCs w:val="21"/>
              </w:rPr>
            </w:pPr>
            <w:r>
              <w:rPr>
                <w:rFonts w:hint="eastAsia" w:ascii="宋体" w:hAnsi="宋体" w:cs="宋体"/>
                <w:b/>
                <w:bCs/>
                <w:kern w:val="0"/>
                <w:szCs w:val="21"/>
                <w:lang w:bidi="ar"/>
              </w:rPr>
              <w:t>（二）评审标准：</w:t>
            </w:r>
          </w:p>
          <w:p w14:paraId="22ED3E3D">
            <w:pPr>
              <w:widowControl w:val="0"/>
              <w:wordWrap w:val="0"/>
              <w:rPr>
                <w:rFonts w:ascii="宋体" w:hAnsi="宋体" w:cs="宋体"/>
                <w:szCs w:val="21"/>
              </w:rPr>
            </w:pPr>
            <w:r>
              <w:rPr>
                <w:rFonts w:hint="eastAsia" w:ascii="宋体" w:hAnsi="宋体" w:cs="宋体"/>
                <w:szCs w:val="21"/>
                <w:lang w:bidi="ar"/>
              </w:rPr>
              <w:t>1.</w:t>
            </w:r>
            <w:r>
              <w:rPr>
                <w:rFonts w:hint="eastAsia" w:ascii="宋体" w:hAnsi="宋体" w:cs="宋体"/>
                <w:szCs w:val="21"/>
                <w:lang w:val="en-US" w:eastAsia="zh-CN" w:bidi="ar"/>
              </w:rPr>
              <w:t>团队人员情况</w:t>
            </w:r>
            <w:r>
              <w:rPr>
                <w:rFonts w:hint="eastAsia" w:ascii="宋体" w:hAnsi="宋体" w:cs="宋体"/>
                <w:szCs w:val="21"/>
                <w:lang w:bidi="ar"/>
              </w:rPr>
              <w:t>为优得</w:t>
            </w:r>
            <w:r>
              <w:rPr>
                <w:rFonts w:hint="eastAsia" w:ascii="宋体" w:hAnsi="宋体" w:cs="宋体"/>
                <w:szCs w:val="21"/>
                <w:lang w:val="en-US" w:eastAsia="zh-CN" w:bidi="ar"/>
              </w:rPr>
              <w:t>16-20</w:t>
            </w:r>
            <w:r>
              <w:rPr>
                <w:rFonts w:hint="eastAsia" w:ascii="宋体" w:hAnsi="宋体" w:cs="宋体"/>
                <w:szCs w:val="21"/>
                <w:lang w:bidi="ar"/>
              </w:rPr>
              <w:t>分</w:t>
            </w:r>
            <w:r>
              <w:rPr>
                <w:rFonts w:hint="eastAsia" w:ascii="宋体" w:hAnsi="宋体" w:cs="宋体"/>
                <w:szCs w:val="21"/>
                <w:lang w:eastAsia="zh-CN" w:bidi="ar"/>
              </w:rPr>
              <w:t>；</w:t>
            </w:r>
            <w:r>
              <w:rPr>
                <w:rFonts w:hint="eastAsia" w:ascii="宋体" w:hAnsi="宋体" w:cs="宋体"/>
                <w:szCs w:val="21"/>
                <w:lang w:bidi="ar"/>
              </w:rPr>
              <w:t>良得</w:t>
            </w:r>
            <w:r>
              <w:rPr>
                <w:rFonts w:hint="eastAsia" w:ascii="宋体" w:hAnsi="宋体" w:cs="宋体"/>
                <w:szCs w:val="21"/>
                <w:lang w:val="en-US" w:eastAsia="zh-CN" w:bidi="ar"/>
              </w:rPr>
              <w:t>11-15</w:t>
            </w:r>
            <w:r>
              <w:rPr>
                <w:rFonts w:hint="eastAsia" w:ascii="宋体" w:hAnsi="宋体" w:cs="宋体"/>
                <w:szCs w:val="21"/>
                <w:lang w:bidi="ar"/>
              </w:rPr>
              <w:t>分</w:t>
            </w:r>
            <w:r>
              <w:rPr>
                <w:rFonts w:hint="eastAsia" w:ascii="宋体" w:hAnsi="宋体" w:cs="宋体"/>
                <w:szCs w:val="21"/>
                <w:lang w:eastAsia="zh-CN" w:bidi="ar"/>
              </w:rPr>
              <w:t>；</w:t>
            </w:r>
            <w:r>
              <w:rPr>
                <w:rFonts w:hint="eastAsia" w:ascii="宋体" w:hAnsi="宋体" w:cs="宋体"/>
                <w:szCs w:val="21"/>
                <w:lang w:bidi="ar"/>
              </w:rPr>
              <w:t>中得</w:t>
            </w:r>
            <w:r>
              <w:rPr>
                <w:rFonts w:hint="eastAsia" w:ascii="宋体" w:hAnsi="宋体" w:cs="宋体"/>
                <w:szCs w:val="21"/>
                <w:lang w:val="en-US" w:eastAsia="zh-CN" w:bidi="ar"/>
              </w:rPr>
              <w:t>6-10</w:t>
            </w:r>
            <w:r>
              <w:rPr>
                <w:rFonts w:hint="eastAsia" w:ascii="宋体" w:hAnsi="宋体" w:cs="宋体"/>
                <w:szCs w:val="21"/>
                <w:lang w:bidi="ar"/>
              </w:rPr>
              <w:t>分；</w:t>
            </w:r>
          </w:p>
          <w:p w14:paraId="34C51F68">
            <w:pPr>
              <w:widowControl w:val="0"/>
              <w:wordWrap w:val="0"/>
              <w:rPr>
                <w:rFonts w:hint="eastAsia" w:ascii="宋体" w:hAnsi="宋体" w:cs="宋体"/>
                <w:b/>
                <w:bCs/>
                <w:szCs w:val="21"/>
                <w:lang w:bidi="ar"/>
              </w:rPr>
            </w:pPr>
            <w:r>
              <w:rPr>
                <w:rFonts w:hint="eastAsia" w:ascii="宋体" w:hAnsi="宋体" w:cs="宋体"/>
                <w:szCs w:val="21"/>
                <w:lang w:bidi="ar"/>
              </w:rPr>
              <w:t>差得0</w:t>
            </w:r>
            <w:r>
              <w:rPr>
                <w:rFonts w:hint="eastAsia" w:ascii="宋体" w:hAnsi="宋体" w:cs="宋体"/>
                <w:szCs w:val="21"/>
                <w:lang w:val="en-US" w:eastAsia="zh-CN" w:bidi="ar"/>
              </w:rPr>
              <w:t>-5</w:t>
            </w:r>
            <w:r>
              <w:rPr>
                <w:rFonts w:hint="eastAsia" w:ascii="宋体" w:hAnsi="宋体" w:cs="宋体"/>
                <w:szCs w:val="21"/>
                <w:lang w:bidi="ar"/>
              </w:rPr>
              <w:t>分。</w:t>
            </w:r>
          </w:p>
          <w:p w14:paraId="4B2B889C">
            <w:pPr>
              <w:widowControl w:val="0"/>
              <w:wordWrap w:val="0"/>
              <w:rPr>
                <w:rFonts w:ascii="宋体" w:hAnsi="宋体" w:cs="宋体"/>
                <w:b/>
                <w:bCs/>
                <w:szCs w:val="21"/>
              </w:rPr>
            </w:pPr>
            <w:r>
              <w:rPr>
                <w:rFonts w:hint="eastAsia" w:ascii="宋体" w:hAnsi="宋体" w:cs="宋体"/>
                <w:b/>
                <w:bCs/>
                <w:szCs w:val="21"/>
                <w:lang w:bidi="ar"/>
              </w:rPr>
              <w:t>（</w:t>
            </w:r>
            <w:r>
              <w:rPr>
                <w:rFonts w:hint="eastAsia" w:ascii="宋体" w:hAnsi="宋体" w:cs="宋体"/>
                <w:b/>
                <w:bCs/>
                <w:szCs w:val="21"/>
                <w:lang w:val="en-US" w:eastAsia="zh-CN" w:bidi="ar"/>
              </w:rPr>
              <w:t>三</w:t>
            </w:r>
            <w:r>
              <w:rPr>
                <w:rFonts w:hint="eastAsia" w:ascii="宋体" w:hAnsi="宋体" w:cs="宋体"/>
                <w:b/>
                <w:bCs/>
                <w:szCs w:val="21"/>
                <w:lang w:bidi="ar"/>
              </w:rPr>
              <w:t>）证明文件</w:t>
            </w:r>
          </w:p>
          <w:p w14:paraId="3CECB5E8">
            <w:pPr>
              <w:widowControl w:val="0"/>
              <w:wordWrap w:val="0"/>
              <w:rPr>
                <w:rFonts w:ascii="宋体" w:hAnsi="宋体" w:cs="宋体"/>
                <w:szCs w:val="21"/>
              </w:rPr>
            </w:pPr>
            <w:r>
              <w:rPr>
                <w:rFonts w:hint="eastAsia" w:ascii="宋体" w:hAnsi="宋体" w:cs="宋体"/>
                <w:szCs w:val="21"/>
                <w:lang w:bidi="ar"/>
              </w:rPr>
              <w:t>1.需提供在投标人单位缴纳的社保证明（从招标公告截止当月的上一个月起倒算连续3个月，社保证明文件须清晰体现验真码及查询网址，若无法查询，招标人可能做出对投标人不利的判定）等资料原件扫描件或复印件，原件备查。</w:t>
            </w:r>
          </w:p>
          <w:p w14:paraId="4867500F">
            <w:pPr>
              <w:widowControl w:val="0"/>
              <w:wordWrap w:val="0"/>
              <w:rPr>
                <w:rFonts w:ascii="宋体" w:hAnsi="宋体" w:cs="宋体"/>
                <w:szCs w:val="21"/>
              </w:rPr>
            </w:pPr>
            <w:r>
              <w:rPr>
                <w:rFonts w:hint="eastAsia" w:ascii="宋体" w:hAnsi="宋体" w:cs="宋体"/>
                <w:szCs w:val="21"/>
                <w:lang w:bidi="ar"/>
              </w:rPr>
              <w:t>2.需提供</w:t>
            </w:r>
            <w:r>
              <w:rPr>
                <w:rFonts w:hint="eastAsia" w:ascii="宋体" w:hAnsi="宋体" w:cs="宋体"/>
                <w:szCs w:val="21"/>
                <w:lang w:val="en-US" w:eastAsia="zh-CN" w:bidi="ar"/>
              </w:rPr>
              <w:t>项目负责人</w:t>
            </w:r>
            <w:r>
              <w:rPr>
                <w:rFonts w:hint="eastAsia" w:ascii="宋体" w:hAnsi="宋体" w:cs="宋体"/>
                <w:szCs w:val="21"/>
                <w:lang w:eastAsia="zh-CN" w:bidi="ar"/>
              </w:rPr>
              <w:t>、</w:t>
            </w:r>
            <w:r>
              <w:rPr>
                <w:rFonts w:hint="eastAsia" w:ascii="宋体" w:hAnsi="宋体" w:cs="宋体"/>
                <w:szCs w:val="21"/>
                <w:lang w:val="en-US" w:eastAsia="zh-CN" w:bidi="ar"/>
              </w:rPr>
              <w:t>直接对接联系人以及其他拟派团队人员的简历、业绩和</w:t>
            </w:r>
            <w:r>
              <w:rPr>
                <w:rFonts w:hint="eastAsia" w:ascii="宋体" w:hAnsi="宋体" w:cs="宋体"/>
                <w:szCs w:val="21"/>
                <w:lang w:bidi="ar"/>
              </w:rPr>
              <w:t>经验证明及优势说明。</w:t>
            </w:r>
          </w:p>
          <w:p w14:paraId="081F80CF">
            <w:pPr>
              <w:widowControl w:val="0"/>
              <w:wordWrap w:val="0"/>
              <w:spacing w:beforeAutospacing="0" w:after="120" w:afterAutospacing="0"/>
              <w:jc w:val="both"/>
              <w:rPr>
                <w:rFonts w:ascii="宋体" w:hAnsi="宋体" w:cs="宋体"/>
              </w:rPr>
            </w:pPr>
            <w:r>
              <w:rPr>
                <w:rFonts w:hint="eastAsia" w:ascii="宋体" w:hAnsi="宋体" w:cs="宋体"/>
                <w:szCs w:val="21"/>
                <w:lang w:bidi="ar"/>
              </w:rPr>
              <w:t>3.需</w:t>
            </w:r>
            <w:r>
              <w:rPr>
                <w:rFonts w:hint="eastAsia" w:ascii="宋体" w:hAnsi="宋体" w:cs="宋体"/>
                <w:szCs w:val="21"/>
                <w:lang w:val="zh-CN" w:bidi="ar"/>
              </w:rPr>
              <w:t>提供</w:t>
            </w:r>
            <w:r>
              <w:rPr>
                <w:rFonts w:hint="eastAsia" w:ascii="宋体" w:hAnsi="宋体" w:cs="宋体"/>
                <w:szCs w:val="21"/>
                <w:lang w:val="en-US" w:eastAsia="zh-CN" w:bidi="ar"/>
              </w:rPr>
              <w:t>服务团队</w:t>
            </w:r>
            <w:r>
              <w:rPr>
                <w:rFonts w:hint="eastAsia" w:ascii="宋体" w:hAnsi="宋体" w:cs="宋体"/>
                <w:szCs w:val="21"/>
                <w:lang w:val="zh-CN" w:bidi="ar"/>
              </w:rPr>
              <w:t>相关人员的执业证书。</w:t>
            </w:r>
          </w:p>
        </w:tc>
      </w:tr>
      <w:tr w14:paraId="63C58CD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c>
          <w:tcPr>
            <w:tcW w:w="357" w:type="pct"/>
            <w:vMerge w:val="restart"/>
            <w:tcBorders>
              <w:top w:val="single" w:color="000000" w:sz="8" w:space="0"/>
              <w:left w:val="single" w:color="000000" w:sz="8" w:space="0"/>
              <w:bottom w:val="single" w:color="000000" w:sz="8" w:space="0"/>
              <w:right w:val="single" w:color="000000" w:sz="8" w:space="0"/>
            </w:tcBorders>
            <w:noWrap w:val="0"/>
            <w:vAlign w:val="center"/>
          </w:tcPr>
          <w:p w14:paraId="75EF03C2">
            <w:pPr>
              <w:widowControl w:val="0"/>
              <w:wordWrap w:val="0"/>
              <w:jc w:val="center"/>
              <w:rPr>
                <w:rFonts w:ascii="宋体" w:hAnsi="宋体" w:cs="宋体"/>
                <w:b/>
                <w:bCs/>
                <w:szCs w:val="21"/>
              </w:rPr>
            </w:pPr>
            <w:r>
              <w:rPr>
                <w:rFonts w:hint="eastAsia" w:ascii="宋体" w:hAnsi="宋体" w:cs="宋体"/>
                <w:b/>
                <w:bCs/>
                <w:szCs w:val="21"/>
                <w:lang w:bidi="ar"/>
              </w:rPr>
              <w:t>3</w:t>
            </w:r>
          </w:p>
        </w:tc>
        <w:tc>
          <w:tcPr>
            <w:tcW w:w="1361" w:type="pct"/>
            <w:gridSpan w:val="3"/>
            <w:tcBorders>
              <w:top w:val="single" w:color="000000" w:sz="8" w:space="0"/>
              <w:left w:val="single" w:color="000000" w:sz="8" w:space="0"/>
              <w:bottom w:val="single" w:color="000000" w:sz="8" w:space="0"/>
              <w:right w:val="single" w:color="000000" w:sz="8" w:space="0"/>
            </w:tcBorders>
            <w:noWrap w:val="0"/>
            <w:vAlign w:val="top"/>
          </w:tcPr>
          <w:p w14:paraId="763FF2B7">
            <w:pPr>
              <w:widowControl w:val="0"/>
              <w:wordWrap w:val="0"/>
              <w:jc w:val="center"/>
              <w:rPr>
                <w:rFonts w:ascii="宋体" w:hAnsi="宋体" w:cs="宋体"/>
                <w:b/>
                <w:bCs/>
                <w:szCs w:val="21"/>
              </w:rPr>
            </w:pPr>
            <w:r>
              <w:rPr>
                <w:rFonts w:hint="eastAsia" w:ascii="宋体" w:hAnsi="宋体" w:cs="宋体"/>
                <w:b/>
                <w:bCs/>
                <w:szCs w:val="21"/>
                <w:lang w:bidi="ar"/>
              </w:rPr>
              <w:t>商务部分</w:t>
            </w:r>
          </w:p>
        </w:tc>
        <w:tc>
          <w:tcPr>
            <w:tcW w:w="3281" w:type="pct"/>
            <w:tcBorders>
              <w:top w:val="single" w:color="000000" w:sz="8" w:space="0"/>
              <w:left w:val="single" w:color="000000" w:sz="8" w:space="0"/>
              <w:bottom w:val="single" w:color="000000" w:sz="8" w:space="0"/>
              <w:right w:val="single" w:color="000000" w:sz="8" w:space="0"/>
            </w:tcBorders>
            <w:noWrap w:val="0"/>
            <w:vAlign w:val="top"/>
          </w:tcPr>
          <w:p w14:paraId="5C7F14CF">
            <w:pPr>
              <w:widowControl w:val="0"/>
              <w:wordWrap w:val="0"/>
              <w:jc w:val="center"/>
              <w:rPr>
                <w:rFonts w:hint="default" w:ascii="宋体" w:hAnsi="宋体" w:cs="宋体" w:eastAsiaTheme="minorEastAsia"/>
                <w:b/>
                <w:bCs/>
                <w:szCs w:val="21"/>
                <w:lang w:val="en-US" w:eastAsia="zh-CN"/>
              </w:rPr>
            </w:pPr>
            <w:r>
              <w:rPr>
                <w:rFonts w:hint="eastAsia" w:ascii="宋体" w:hAnsi="宋体" w:cs="宋体"/>
                <w:b/>
                <w:bCs/>
                <w:szCs w:val="21"/>
                <w:lang w:val="en-US" w:eastAsia="zh-CN" w:bidi="ar"/>
              </w:rPr>
              <w:t>20%</w:t>
            </w:r>
          </w:p>
        </w:tc>
      </w:tr>
      <w:tr w14:paraId="7B48B3C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c>
          <w:tcPr>
            <w:tcW w:w="357" w:type="pct"/>
            <w:vMerge w:val="continue"/>
            <w:tcBorders>
              <w:top w:val="single" w:color="000000" w:sz="8" w:space="0"/>
              <w:left w:val="single" w:color="000000" w:sz="8" w:space="0"/>
              <w:bottom w:val="single" w:color="000000" w:sz="8" w:space="0"/>
              <w:right w:val="single" w:color="000000" w:sz="8" w:space="0"/>
            </w:tcBorders>
            <w:noWrap w:val="0"/>
            <w:vAlign w:val="center"/>
          </w:tcPr>
          <w:p w14:paraId="21A576B4">
            <w:pPr>
              <w:rPr>
                <w:rFonts w:ascii="宋体" w:hAnsi="宋体" w:cs="宋体"/>
                <w:sz w:val="20"/>
              </w:rPr>
            </w:pPr>
          </w:p>
        </w:tc>
        <w:tc>
          <w:tcPr>
            <w:tcW w:w="357" w:type="pct"/>
            <w:tcBorders>
              <w:top w:val="inset" w:color="000000" w:sz="6" w:space="0"/>
              <w:left w:val="inset" w:color="000000" w:sz="6" w:space="0"/>
              <w:bottom w:val="inset" w:color="000000" w:sz="6" w:space="0"/>
              <w:right w:val="inset" w:color="000000" w:sz="6" w:space="0"/>
            </w:tcBorders>
            <w:noWrap w:val="0"/>
            <w:vAlign w:val="center"/>
          </w:tcPr>
          <w:p w14:paraId="12231048">
            <w:pPr>
              <w:widowControl w:val="0"/>
              <w:wordWrap w:val="0"/>
              <w:jc w:val="center"/>
              <w:rPr>
                <w:rFonts w:ascii="宋体" w:hAnsi="宋体" w:cs="宋体"/>
                <w:szCs w:val="21"/>
              </w:rPr>
            </w:pPr>
            <w:r>
              <w:rPr>
                <w:rFonts w:hint="eastAsia" w:ascii="宋体" w:hAnsi="宋体" w:cs="宋体"/>
                <w:szCs w:val="21"/>
                <w:lang w:bidi="ar"/>
              </w:rPr>
              <w:t>序号</w:t>
            </w:r>
          </w:p>
        </w:tc>
        <w:tc>
          <w:tcPr>
            <w:tcW w:w="635" w:type="pct"/>
            <w:tcBorders>
              <w:top w:val="inset" w:color="000000" w:sz="6" w:space="0"/>
              <w:left w:val="inset" w:color="000000" w:sz="6" w:space="0"/>
              <w:bottom w:val="inset" w:color="000000" w:sz="6" w:space="0"/>
              <w:right w:val="inset" w:color="000000" w:sz="6" w:space="0"/>
            </w:tcBorders>
            <w:noWrap w:val="0"/>
            <w:vAlign w:val="center"/>
          </w:tcPr>
          <w:p w14:paraId="68862AB9">
            <w:pPr>
              <w:widowControl w:val="0"/>
              <w:wordWrap w:val="0"/>
              <w:jc w:val="center"/>
              <w:rPr>
                <w:rFonts w:ascii="宋体" w:hAnsi="宋体" w:cs="宋体"/>
                <w:szCs w:val="21"/>
              </w:rPr>
            </w:pPr>
            <w:r>
              <w:rPr>
                <w:rFonts w:hint="eastAsia" w:ascii="宋体" w:hAnsi="宋体" w:cs="宋体"/>
                <w:szCs w:val="21"/>
                <w:lang w:bidi="ar"/>
              </w:rPr>
              <w:t>评分因素</w:t>
            </w:r>
          </w:p>
        </w:tc>
        <w:tc>
          <w:tcPr>
            <w:tcW w:w="368" w:type="pct"/>
            <w:tcBorders>
              <w:top w:val="inset" w:color="000000" w:sz="6" w:space="0"/>
              <w:left w:val="inset" w:color="000000" w:sz="6" w:space="0"/>
              <w:bottom w:val="inset" w:color="000000" w:sz="6" w:space="0"/>
              <w:right w:val="inset" w:color="000000" w:sz="6" w:space="0"/>
            </w:tcBorders>
            <w:noWrap w:val="0"/>
            <w:vAlign w:val="center"/>
          </w:tcPr>
          <w:p w14:paraId="59327E93">
            <w:pPr>
              <w:widowControl w:val="0"/>
              <w:wordWrap w:val="0"/>
              <w:jc w:val="center"/>
              <w:rPr>
                <w:rFonts w:ascii="宋体" w:hAnsi="宋体" w:cs="宋体"/>
                <w:szCs w:val="21"/>
              </w:rPr>
            </w:pPr>
            <w:r>
              <w:rPr>
                <w:rFonts w:hint="eastAsia" w:ascii="宋体" w:hAnsi="宋体" w:cs="宋体"/>
                <w:szCs w:val="21"/>
                <w:lang w:bidi="ar"/>
              </w:rPr>
              <w:t>权重</w:t>
            </w:r>
          </w:p>
        </w:tc>
        <w:tc>
          <w:tcPr>
            <w:tcW w:w="3281" w:type="pct"/>
            <w:tcBorders>
              <w:top w:val="inset" w:color="000000" w:sz="6" w:space="0"/>
              <w:left w:val="inset" w:color="000000" w:sz="6" w:space="0"/>
              <w:bottom w:val="inset" w:color="000000" w:sz="6" w:space="0"/>
              <w:right w:val="inset" w:color="000000" w:sz="6" w:space="0"/>
            </w:tcBorders>
            <w:noWrap w:val="0"/>
            <w:vAlign w:val="center"/>
          </w:tcPr>
          <w:p w14:paraId="268BA62D">
            <w:pPr>
              <w:widowControl w:val="0"/>
              <w:wordWrap w:val="0"/>
              <w:jc w:val="center"/>
              <w:rPr>
                <w:rFonts w:ascii="宋体" w:hAnsi="宋体" w:cs="宋体"/>
                <w:szCs w:val="21"/>
              </w:rPr>
            </w:pPr>
            <w:r>
              <w:rPr>
                <w:rFonts w:hint="eastAsia" w:ascii="宋体" w:hAnsi="宋体" w:cs="宋体"/>
                <w:szCs w:val="21"/>
                <w:lang w:bidi="ar"/>
              </w:rPr>
              <w:t>评分准则</w:t>
            </w:r>
          </w:p>
        </w:tc>
      </w:tr>
      <w:tr w14:paraId="339D472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c>
          <w:tcPr>
            <w:tcW w:w="357" w:type="pct"/>
            <w:vMerge w:val="continue"/>
            <w:tcBorders>
              <w:top w:val="single" w:color="000000" w:sz="8" w:space="0"/>
              <w:left w:val="single" w:color="000000" w:sz="8" w:space="0"/>
              <w:bottom w:val="single" w:color="000000" w:sz="8" w:space="0"/>
              <w:right w:val="single" w:color="000000" w:sz="8" w:space="0"/>
            </w:tcBorders>
            <w:noWrap w:val="0"/>
            <w:vAlign w:val="center"/>
          </w:tcPr>
          <w:p w14:paraId="011D81EA">
            <w:pPr>
              <w:rPr>
                <w:rFonts w:ascii="宋体" w:hAnsi="宋体" w:cs="宋体"/>
                <w:sz w:val="20"/>
              </w:rPr>
            </w:pPr>
          </w:p>
        </w:tc>
        <w:tc>
          <w:tcPr>
            <w:tcW w:w="357" w:type="pct"/>
            <w:tcBorders>
              <w:top w:val="single" w:color="000000" w:sz="8" w:space="0"/>
              <w:left w:val="single" w:color="000000" w:sz="8" w:space="0"/>
              <w:bottom w:val="single" w:color="000000" w:sz="8" w:space="0"/>
              <w:right w:val="single" w:color="000000" w:sz="8" w:space="0"/>
            </w:tcBorders>
            <w:noWrap w:val="0"/>
            <w:vAlign w:val="center"/>
          </w:tcPr>
          <w:p w14:paraId="4F6533D9">
            <w:pPr>
              <w:widowControl w:val="0"/>
              <w:wordWrap w:val="0"/>
              <w:jc w:val="center"/>
              <w:rPr>
                <w:rFonts w:ascii="宋体" w:hAnsi="宋体" w:cs="宋体"/>
                <w:szCs w:val="21"/>
              </w:rPr>
            </w:pPr>
            <w:r>
              <w:rPr>
                <w:rFonts w:hint="eastAsia" w:ascii="宋体" w:hAnsi="宋体" w:cs="宋体"/>
                <w:szCs w:val="21"/>
                <w:lang w:bidi="ar"/>
              </w:rPr>
              <w:t>1</w:t>
            </w:r>
          </w:p>
        </w:tc>
        <w:tc>
          <w:tcPr>
            <w:tcW w:w="635" w:type="pct"/>
            <w:tcBorders>
              <w:top w:val="single" w:color="000000" w:sz="8" w:space="0"/>
              <w:left w:val="single" w:color="000000" w:sz="8" w:space="0"/>
              <w:bottom w:val="single" w:color="000000" w:sz="8" w:space="0"/>
              <w:right w:val="single" w:color="000000" w:sz="8" w:space="0"/>
            </w:tcBorders>
            <w:noWrap w:val="0"/>
            <w:vAlign w:val="center"/>
          </w:tcPr>
          <w:p w14:paraId="74ABFF3D">
            <w:pPr>
              <w:jc w:val="center"/>
              <w:textAlignment w:val="center"/>
              <w:rPr>
                <w:rFonts w:ascii="宋体" w:hAnsi="宋体" w:cs="宋体"/>
                <w:kern w:val="0"/>
                <w:szCs w:val="21"/>
                <w:lang w:bidi="ar"/>
              </w:rPr>
            </w:pPr>
            <w:r>
              <w:rPr>
                <w:rFonts w:hint="eastAsia" w:ascii="宋体" w:hAnsi="宋体" w:cs="宋体"/>
                <w:szCs w:val="21"/>
                <w:lang w:bidi="ar"/>
              </w:rPr>
              <w:t>服务案例</w:t>
            </w:r>
          </w:p>
        </w:tc>
        <w:tc>
          <w:tcPr>
            <w:tcW w:w="368" w:type="pct"/>
            <w:tcBorders>
              <w:top w:val="single" w:color="000000" w:sz="8" w:space="0"/>
              <w:left w:val="single" w:color="000000" w:sz="8" w:space="0"/>
              <w:bottom w:val="single" w:color="000000" w:sz="8" w:space="0"/>
              <w:right w:val="single" w:color="000000" w:sz="8" w:space="0"/>
            </w:tcBorders>
            <w:noWrap w:val="0"/>
            <w:vAlign w:val="center"/>
          </w:tcPr>
          <w:p w14:paraId="23074AC2">
            <w:pPr>
              <w:widowControl w:val="0"/>
              <w:wordWrap w:val="0"/>
              <w:jc w:val="center"/>
              <w:rPr>
                <w:rFonts w:hint="default" w:ascii="宋体" w:hAnsi="宋体" w:cs="宋体" w:eastAsiaTheme="minorEastAsia"/>
                <w:szCs w:val="21"/>
                <w:lang w:val="en-US" w:eastAsia="zh-CN"/>
              </w:rPr>
            </w:pPr>
            <w:r>
              <w:rPr>
                <w:rFonts w:hint="eastAsia" w:ascii="宋体" w:hAnsi="宋体" w:cs="宋体"/>
                <w:szCs w:val="21"/>
                <w:lang w:val="en-US" w:eastAsia="zh-CN" w:bidi="ar"/>
              </w:rPr>
              <w:t>20</w:t>
            </w:r>
          </w:p>
        </w:tc>
        <w:tc>
          <w:tcPr>
            <w:tcW w:w="3281" w:type="pct"/>
            <w:tcBorders>
              <w:top w:val="single" w:color="000000" w:sz="8" w:space="0"/>
              <w:left w:val="single" w:color="000000" w:sz="8" w:space="0"/>
              <w:bottom w:val="single" w:color="000000" w:sz="8" w:space="0"/>
              <w:right w:val="single" w:color="000000" w:sz="8" w:space="0"/>
            </w:tcBorders>
            <w:noWrap w:val="0"/>
            <w:vAlign w:val="top"/>
          </w:tcPr>
          <w:p w14:paraId="2386BA4E">
            <w:pPr>
              <w:jc w:val="left"/>
              <w:rPr>
                <w:rFonts w:ascii="宋体" w:hAnsi="宋体" w:cs="宋体"/>
                <w:b/>
                <w:bCs/>
                <w:kern w:val="0"/>
                <w:szCs w:val="21"/>
                <w:lang w:bidi="ar"/>
              </w:rPr>
            </w:pPr>
            <w:r>
              <w:rPr>
                <w:rFonts w:hint="eastAsia" w:ascii="宋体" w:hAnsi="宋体" w:cs="宋体"/>
                <w:b/>
                <w:bCs/>
                <w:kern w:val="0"/>
                <w:szCs w:val="21"/>
                <w:lang w:bidi="ar"/>
              </w:rPr>
              <w:t xml:space="preserve">（一）评审标准： </w:t>
            </w:r>
          </w:p>
          <w:p w14:paraId="2DA86770">
            <w:pPr>
              <w:widowControl w:val="0"/>
              <w:rPr>
                <w:rFonts w:ascii="宋体" w:hAnsi="宋体" w:cs="宋体"/>
                <w:szCs w:val="21"/>
                <w:lang w:bidi="ar"/>
              </w:rPr>
            </w:pPr>
            <w:r>
              <w:rPr>
                <w:rFonts w:hint="eastAsia" w:ascii="宋体" w:hAnsi="宋体" w:cs="宋体"/>
                <w:szCs w:val="21"/>
                <w:lang w:bidi="ar"/>
              </w:rPr>
              <w:t>1、近三年（以合同签订时间为准）</w:t>
            </w:r>
            <w:r>
              <w:rPr>
                <w:rFonts w:hint="eastAsia" w:ascii="宋体" w:hAnsi="宋体" w:cs="宋体"/>
                <w:szCs w:val="21"/>
                <w:lang w:eastAsia="zh-CN" w:bidi="ar"/>
              </w:rPr>
              <w:t>，</w:t>
            </w:r>
            <w:r>
              <w:rPr>
                <w:rFonts w:hint="eastAsia" w:ascii="宋体" w:hAnsi="宋体" w:cs="宋体"/>
                <w:szCs w:val="21"/>
                <w:lang w:bidi="ar"/>
              </w:rPr>
              <w:t>投标人及其分所具有</w:t>
            </w:r>
            <w:r>
              <w:rPr>
                <w:rFonts w:hint="eastAsia" w:ascii="宋体" w:hAnsi="宋体" w:cs="宋体"/>
                <w:szCs w:val="21"/>
                <w:lang w:val="en-US" w:eastAsia="zh-CN" w:bidi="ar"/>
              </w:rPr>
              <w:t>农业科技企业或国有企业</w:t>
            </w:r>
            <w:r>
              <w:rPr>
                <w:rFonts w:hint="eastAsia" w:ascii="宋体" w:hAnsi="宋体" w:cs="宋体"/>
                <w:szCs w:val="21"/>
                <w:lang w:bidi="ar"/>
              </w:rPr>
              <w:t>常年法律顾问服务项目成功案例，提供1个得</w:t>
            </w:r>
            <w:r>
              <w:rPr>
                <w:rFonts w:hint="eastAsia" w:ascii="宋体" w:hAnsi="宋体" w:cs="宋体"/>
                <w:szCs w:val="21"/>
                <w:lang w:val="en-US" w:eastAsia="zh-CN" w:bidi="ar"/>
              </w:rPr>
              <w:t>2</w:t>
            </w:r>
            <w:r>
              <w:rPr>
                <w:rFonts w:hint="eastAsia" w:ascii="宋体" w:hAnsi="宋体" w:cs="宋体"/>
                <w:szCs w:val="21"/>
                <w:lang w:bidi="ar"/>
              </w:rPr>
              <w:t>分，本项最高得</w:t>
            </w:r>
            <w:r>
              <w:rPr>
                <w:rFonts w:hint="eastAsia" w:ascii="宋体" w:hAnsi="宋体" w:cs="宋体"/>
                <w:szCs w:val="21"/>
                <w:lang w:val="en-US" w:eastAsia="zh-CN" w:bidi="ar"/>
              </w:rPr>
              <w:t>10</w:t>
            </w:r>
            <w:r>
              <w:rPr>
                <w:rFonts w:hint="eastAsia" w:ascii="宋体" w:hAnsi="宋体" w:cs="宋体"/>
                <w:szCs w:val="21"/>
                <w:lang w:bidi="ar"/>
              </w:rPr>
              <w:t>分；</w:t>
            </w:r>
          </w:p>
          <w:p w14:paraId="7E9445A4">
            <w:pPr>
              <w:widowControl w:val="0"/>
              <w:rPr>
                <w:rFonts w:hint="eastAsia" w:ascii="宋体" w:hAnsi="宋体" w:eastAsia="宋体" w:cs="宋体"/>
                <w:szCs w:val="21"/>
                <w:lang w:eastAsia="zh-CN"/>
              </w:rPr>
            </w:pPr>
            <w:r>
              <w:rPr>
                <w:rFonts w:ascii="宋体" w:hAnsi="宋体" w:cs="宋体"/>
                <w:szCs w:val="21"/>
              </w:rPr>
              <w:t>2</w:t>
            </w:r>
            <w:r>
              <w:rPr>
                <w:rFonts w:hint="eastAsia" w:ascii="宋体" w:hAnsi="宋体" w:cs="宋体"/>
                <w:szCs w:val="21"/>
              </w:rPr>
              <w:t>、</w:t>
            </w:r>
            <w:r>
              <w:rPr>
                <w:rFonts w:hint="eastAsia" w:ascii="宋体" w:hAnsi="宋体" w:cs="宋体"/>
                <w:szCs w:val="21"/>
                <w:lang w:bidi="ar"/>
              </w:rPr>
              <w:t>近三年（以合同签订时间为准）</w:t>
            </w:r>
            <w:r>
              <w:rPr>
                <w:rFonts w:hint="eastAsia" w:ascii="宋体" w:hAnsi="宋体" w:cs="宋体"/>
                <w:szCs w:val="21"/>
                <w:lang w:eastAsia="zh-CN" w:bidi="ar"/>
              </w:rPr>
              <w:t>，</w:t>
            </w:r>
            <w:r>
              <w:rPr>
                <w:rFonts w:hint="eastAsia" w:ascii="宋体" w:hAnsi="宋体" w:cs="宋体"/>
                <w:szCs w:val="21"/>
                <w:lang w:bidi="ar"/>
              </w:rPr>
              <w:t>投标人及其分所具有</w:t>
            </w:r>
            <w:r>
              <w:rPr>
                <w:rFonts w:hint="eastAsia" w:ascii="宋体" w:hAnsi="宋体" w:cs="宋体"/>
                <w:szCs w:val="21"/>
                <w:lang w:val="en-US" w:eastAsia="zh-CN" w:bidi="ar"/>
              </w:rPr>
              <w:t>农业领域或国有企业的投资、诉讼相关</w:t>
            </w:r>
            <w:r>
              <w:rPr>
                <w:rFonts w:hint="eastAsia" w:ascii="宋体" w:hAnsi="宋体" w:cs="宋体"/>
                <w:szCs w:val="21"/>
                <w:lang w:eastAsia="zh-CN" w:bidi="ar"/>
              </w:rPr>
              <w:t>专项法律</w:t>
            </w:r>
            <w:r>
              <w:rPr>
                <w:rFonts w:hint="eastAsia" w:ascii="宋体" w:hAnsi="宋体" w:cs="宋体"/>
                <w:szCs w:val="21"/>
                <w:lang w:bidi="ar"/>
              </w:rPr>
              <w:t>服务项目成功案例，提供1个得</w:t>
            </w:r>
            <w:r>
              <w:rPr>
                <w:rFonts w:ascii="宋体" w:hAnsi="宋体" w:cs="宋体"/>
                <w:szCs w:val="21"/>
                <w:lang w:bidi="ar"/>
              </w:rPr>
              <w:t>2</w:t>
            </w:r>
            <w:r>
              <w:rPr>
                <w:rFonts w:hint="eastAsia" w:ascii="宋体" w:hAnsi="宋体" w:cs="宋体"/>
                <w:szCs w:val="21"/>
                <w:lang w:bidi="ar"/>
              </w:rPr>
              <w:t>分，本项最高得</w:t>
            </w:r>
            <w:r>
              <w:rPr>
                <w:rFonts w:hint="eastAsia" w:ascii="宋体" w:hAnsi="宋体" w:cs="宋体"/>
                <w:szCs w:val="21"/>
                <w:lang w:val="en-US" w:eastAsia="zh-CN" w:bidi="ar"/>
              </w:rPr>
              <w:t>10</w:t>
            </w:r>
            <w:r>
              <w:rPr>
                <w:rFonts w:hint="eastAsia" w:ascii="宋体" w:hAnsi="宋体" w:cs="宋体"/>
                <w:szCs w:val="21"/>
                <w:lang w:bidi="ar"/>
              </w:rPr>
              <w:t>分</w:t>
            </w:r>
            <w:r>
              <w:rPr>
                <w:rFonts w:hint="eastAsia" w:ascii="宋体" w:hAnsi="宋体" w:cs="宋体"/>
                <w:szCs w:val="21"/>
                <w:lang w:eastAsia="zh-CN" w:bidi="ar"/>
              </w:rPr>
              <w:t>。</w:t>
            </w:r>
          </w:p>
          <w:p w14:paraId="231FBBEC">
            <w:pPr>
              <w:jc w:val="left"/>
              <w:rPr>
                <w:rFonts w:ascii="宋体" w:hAnsi="宋体" w:cs="宋体"/>
                <w:b/>
                <w:bCs/>
                <w:kern w:val="0"/>
                <w:szCs w:val="21"/>
                <w:lang w:bidi="ar"/>
              </w:rPr>
            </w:pPr>
            <w:r>
              <w:rPr>
                <w:rFonts w:hint="eastAsia" w:ascii="宋体" w:hAnsi="宋体" w:cs="宋体"/>
                <w:b/>
                <w:bCs/>
                <w:kern w:val="0"/>
                <w:szCs w:val="21"/>
                <w:lang w:bidi="ar"/>
              </w:rPr>
              <w:t xml:space="preserve">（二）证明文件： </w:t>
            </w:r>
          </w:p>
          <w:p w14:paraId="6D77B9EC">
            <w:pPr>
              <w:textAlignment w:val="center"/>
              <w:rPr>
                <w:rFonts w:ascii="宋体" w:hAnsi="宋体" w:cs="宋体"/>
                <w:lang w:bidi="ar"/>
              </w:rPr>
            </w:pPr>
            <w:r>
              <w:rPr>
                <w:rFonts w:hint="eastAsia" w:ascii="宋体" w:hAnsi="宋体" w:cs="宋体"/>
                <w:color w:val="000000"/>
                <w:szCs w:val="21"/>
                <w:lang w:bidi="ar"/>
              </w:rPr>
              <w:t>1.需提供加盖公章的合同复印件或扫描件（须体现合同名称、服务业务内容、合同签订时间、双方盖章页等关键信息），原件备查。</w:t>
            </w:r>
          </w:p>
          <w:p w14:paraId="535390B3">
            <w:pPr>
              <w:pStyle w:val="9"/>
              <w:widowControl w:val="0"/>
              <w:tabs>
                <w:tab w:val="left" w:pos="2138"/>
              </w:tabs>
              <w:spacing w:beforeAutospacing="0" w:after="120" w:afterAutospacing="0"/>
              <w:ind w:left="0" w:leftChars="0" w:right="0" w:rightChars="0"/>
              <w:jc w:val="both"/>
              <w:rPr>
                <w:rFonts w:ascii="宋体" w:hAnsi="宋体" w:cs="宋体"/>
              </w:rPr>
            </w:pPr>
            <w:r>
              <w:rPr>
                <w:rFonts w:hint="eastAsia" w:ascii="宋体" w:hAnsi="宋体" w:cs="宋体"/>
                <w:kern w:val="2"/>
                <w:sz w:val="21"/>
                <w:szCs w:val="21"/>
                <w:lang w:bidi="ar"/>
              </w:rPr>
              <w:t>2.</w:t>
            </w:r>
            <w:r>
              <w:rPr>
                <w:rFonts w:hint="eastAsia" w:ascii="宋体" w:hAnsi="宋体" w:cs="宋体"/>
                <w:kern w:val="2"/>
                <w:sz w:val="21"/>
                <w:szCs w:val="21"/>
                <w:lang w:val="zh-CN" w:bidi="ar"/>
              </w:rPr>
              <w:t>若提供资料内容不明确，评标人无法判断，本</w:t>
            </w:r>
            <w:r>
              <w:rPr>
                <w:rFonts w:hint="eastAsia" w:ascii="宋体" w:hAnsi="宋体" w:cs="宋体"/>
                <w:kern w:val="2"/>
                <w:sz w:val="21"/>
                <w:szCs w:val="21"/>
                <w:lang w:bidi="ar"/>
              </w:rPr>
              <w:t>项</w:t>
            </w:r>
            <w:r>
              <w:rPr>
                <w:rFonts w:hint="eastAsia" w:ascii="宋体" w:hAnsi="宋体" w:cs="宋体"/>
                <w:kern w:val="2"/>
                <w:sz w:val="21"/>
                <w:szCs w:val="21"/>
                <w:lang w:val="zh-CN" w:bidi="ar"/>
              </w:rPr>
              <w:t>不得分。</w:t>
            </w:r>
          </w:p>
        </w:tc>
      </w:tr>
    </w:tbl>
    <w:p w14:paraId="59EF2F63">
      <w:pPr>
        <w:pStyle w:val="5"/>
        <w:rPr>
          <w:rFonts w:hint="eastAsia" w:ascii="仿宋" w:hAnsi="仿宋" w:eastAsia="仿宋" w:cs="仿宋"/>
          <w:sz w:val="32"/>
          <w:szCs w:val="32"/>
          <w:lang w:val="en-US" w:eastAsia="zh-CN"/>
        </w:rPr>
      </w:pPr>
    </w:p>
    <w:p w14:paraId="15491EC0">
      <w:pPr>
        <w:pStyle w:val="5"/>
        <w:rPr>
          <w:rFonts w:hint="default"/>
          <w:lang w:val="en-US" w:eastAsia="zh-CN"/>
        </w:rPr>
      </w:pPr>
      <w:r>
        <w:rPr>
          <w:rFonts w:hint="eastAsia" w:ascii="仿宋" w:hAnsi="仿宋" w:eastAsia="仿宋" w:cs="仿宋"/>
          <w:sz w:val="32"/>
          <w:szCs w:val="32"/>
          <w:lang w:val="en-US" w:eastAsia="zh-CN"/>
        </w:rPr>
        <w:t>附件：供应商基本情况表</w:t>
      </w:r>
    </w:p>
    <w:p w14:paraId="6CFC4C07">
      <w:pPr>
        <w:rPr>
          <w:rFonts w:ascii="仿宋" w:hAnsi="仿宋" w:eastAsia="仿宋" w:cs="仿宋"/>
          <w:sz w:val="32"/>
          <w:szCs w:val="32"/>
        </w:rPr>
      </w:pPr>
    </w:p>
    <w:p w14:paraId="2871F5EF">
      <w:pPr>
        <w:rPr>
          <w:rFonts w:ascii="仿宋" w:hAnsi="仿宋" w:eastAsia="仿宋" w:cs="仿宋"/>
          <w:sz w:val="32"/>
          <w:szCs w:val="32"/>
        </w:rPr>
      </w:pPr>
    </w:p>
    <w:p w14:paraId="290880B8">
      <w:pPr>
        <w:ind w:firstLine="640" w:firstLineChars="200"/>
        <w:jc w:val="right"/>
        <w:rPr>
          <w:rFonts w:ascii="仿宋" w:hAnsi="仿宋" w:eastAsia="仿宋" w:cs="仿宋"/>
          <w:sz w:val="32"/>
          <w:szCs w:val="32"/>
        </w:rPr>
      </w:pPr>
      <w:r>
        <w:rPr>
          <w:rFonts w:hint="eastAsia" w:ascii="仿宋" w:hAnsi="仿宋" w:eastAsia="仿宋" w:cs="仿宋"/>
          <w:sz w:val="32"/>
          <w:szCs w:val="32"/>
        </w:rPr>
        <w:t>深圳农业</w:t>
      </w:r>
      <w:r>
        <w:rPr>
          <w:rFonts w:hint="eastAsia" w:ascii="仿宋" w:hAnsi="仿宋" w:eastAsia="仿宋" w:cs="仿宋"/>
          <w:sz w:val="32"/>
          <w:szCs w:val="32"/>
          <w:lang w:val="en-US" w:eastAsia="zh-CN"/>
        </w:rPr>
        <w:t>科技创新</w:t>
      </w:r>
      <w:r>
        <w:rPr>
          <w:rFonts w:hint="eastAsia" w:ascii="仿宋" w:hAnsi="仿宋" w:eastAsia="仿宋" w:cs="仿宋"/>
          <w:sz w:val="32"/>
          <w:szCs w:val="32"/>
        </w:rPr>
        <w:t xml:space="preserve">集团有限公司   </w:t>
      </w:r>
    </w:p>
    <w:p w14:paraId="0E939639">
      <w:pPr>
        <w:jc w:val="center"/>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 xml:space="preserve">  202</w:t>
      </w:r>
      <w:r>
        <w:rPr>
          <w:rFonts w:hint="eastAsia" w:ascii="仿宋" w:hAnsi="仿宋" w:eastAsia="仿宋" w:cs="仿宋"/>
          <w:sz w:val="32"/>
          <w:szCs w:val="32"/>
          <w:lang w:val="en-US" w:eastAsia="zh-CN"/>
        </w:rPr>
        <w:t>6</w:t>
      </w:r>
      <w:r>
        <w:rPr>
          <w:rFonts w:hint="eastAsia" w:ascii="仿宋" w:hAnsi="仿宋" w:eastAsia="仿宋" w:cs="仿宋"/>
          <w:sz w:val="32"/>
          <w:szCs w:val="32"/>
        </w:rPr>
        <w:t>年</w:t>
      </w:r>
      <w:r>
        <w:rPr>
          <w:rFonts w:hint="eastAsia" w:ascii="仿宋" w:hAnsi="仿宋" w:eastAsia="仿宋" w:cs="仿宋"/>
          <w:sz w:val="32"/>
          <w:szCs w:val="32"/>
          <w:lang w:val="en-US" w:eastAsia="zh-CN"/>
        </w:rPr>
        <w:t>6</w:t>
      </w:r>
      <w:r>
        <w:rPr>
          <w:rFonts w:hint="eastAsia" w:ascii="仿宋" w:hAnsi="仿宋" w:eastAsia="仿宋" w:cs="仿宋"/>
          <w:sz w:val="32"/>
          <w:szCs w:val="32"/>
        </w:rPr>
        <w:t>月</w:t>
      </w:r>
      <w:r>
        <w:rPr>
          <w:rFonts w:hint="eastAsia" w:ascii="仿宋" w:hAnsi="仿宋" w:eastAsia="仿宋" w:cs="仿宋"/>
          <w:sz w:val="32"/>
          <w:szCs w:val="32"/>
          <w:lang w:val="en-US" w:eastAsia="zh-CN"/>
        </w:rPr>
        <w:t>16</w:t>
      </w:r>
      <w:r>
        <w:rPr>
          <w:rFonts w:hint="eastAsia" w:ascii="仿宋" w:hAnsi="仿宋" w:eastAsia="仿宋" w:cs="仿宋"/>
          <w:sz w:val="32"/>
          <w:szCs w:val="32"/>
        </w:rPr>
        <w:t>日</w:t>
      </w:r>
    </w:p>
    <w:p w14:paraId="0105AAB4">
      <w:pPr>
        <w:pStyle w:val="4"/>
        <w:rPr>
          <w:rFonts w:hint="eastAsia" w:ascii="仿宋" w:hAnsi="仿宋" w:eastAsia="仿宋" w:cs="仿宋"/>
          <w:sz w:val="32"/>
          <w:szCs w:val="32"/>
        </w:rPr>
      </w:pPr>
    </w:p>
    <w:p w14:paraId="0F021EF3">
      <w:pPr>
        <w:pStyle w:val="5"/>
        <w:rPr>
          <w:rFonts w:hint="eastAsia" w:ascii="仿宋" w:hAnsi="仿宋" w:eastAsia="仿宋" w:cs="仿宋"/>
          <w:sz w:val="32"/>
          <w:szCs w:val="32"/>
        </w:rPr>
      </w:pPr>
    </w:p>
    <w:p w14:paraId="2195AD4D">
      <w:pPr>
        <w:rPr>
          <w:rFonts w:hint="eastAsia" w:ascii="仿宋" w:hAnsi="仿宋" w:eastAsia="仿宋" w:cs="仿宋"/>
          <w:sz w:val="32"/>
          <w:szCs w:val="32"/>
        </w:rPr>
      </w:pPr>
      <w:r>
        <w:rPr>
          <w:rFonts w:hint="eastAsia" w:ascii="仿宋" w:hAnsi="仿宋" w:eastAsia="仿宋" w:cs="仿宋"/>
          <w:sz w:val="32"/>
          <w:szCs w:val="32"/>
        </w:rPr>
        <w:br w:type="page"/>
      </w:r>
    </w:p>
    <w:p w14:paraId="7702DCCF">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w:t>
      </w:r>
    </w:p>
    <w:p w14:paraId="0A1ACBE6">
      <w:pPr>
        <w:jc w:val="center"/>
        <w:rPr>
          <w:rFonts w:hint="eastAsia"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供应商基本情况表</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9"/>
        <w:gridCol w:w="144"/>
        <w:gridCol w:w="720"/>
        <w:gridCol w:w="1177"/>
        <w:gridCol w:w="227"/>
        <w:gridCol w:w="924"/>
        <w:gridCol w:w="84"/>
        <w:gridCol w:w="1116"/>
        <w:gridCol w:w="516"/>
        <w:gridCol w:w="264"/>
        <w:gridCol w:w="1200"/>
        <w:gridCol w:w="1351"/>
      </w:tblGrid>
      <w:tr w14:paraId="798F3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3" w:type="dxa"/>
            <w:gridSpan w:val="3"/>
            <w:vAlign w:val="center"/>
          </w:tcPr>
          <w:p w14:paraId="0604140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项目名称</w:t>
            </w:r>
          </w:p>
        </w:tc>
        <w:tc>
          <w:tcPr>
            <w:tcW w:w="6859" w:type="dxa"/>
            <w:gridSpan w:val="9"/>
            <w:vAlign w:val="center"/>
          </w:tcPr>
          <w:p w14:paraId="69D16E41">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14:paraId="46DFE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3" w:type="dxa"/>
            <w:gridSpan w:val="3"/>
            <w:vAlign w:val="center"/>
          </w:tcPr>
          <w:p w14:paraId="69F53133">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投标（响应）供应商</w:t>
            </w:r>
          </w:p>
        </w:tc>
        <w:tc>
          <w:tcPr>
            <w:tcW w:w="2328" w:type="dxa"/>
            <w:gridSpan w:val="3"/>
            <w:vAlign w:val="center"/>
          </w:tcPr>
          <w:p w14:paraId="6BA2591F">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980" w:type="dxa"/>
            <w:gridSpan w:val="4"/>
            <w:vAlign w:val="center"/>
          </w:tcPr>
          <w:p w14:paraId="3198FFD8">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供应商统一社会信用代码</w:t>
            </w:r>
          </w:p>
        </w:tc>
        <w:tc>
          <w:tcPr>
            <w:tcW w:w="2551" w:type="dxa"/>
            <w:gridSpan w:val="2"/>
            <w:vAlign w:val="center"/>
          </w:tcPr>
          <w:p w14:paraId="7D1C3C62">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14:paraId="47C9E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vAlign w:val="center"/>
          </w:tcPr>
          <w:p w14:paraId="67B93A06">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bCs/>
                <w:sz w:val="28"/>
                <w:szCs w:val="28"/>
                <w:vertAlign w:val="baseline"/>
              </w:rPr>
              <w:t>投标（响应）供应商相关人员情况</w:t>
            </w:r>
          </w:p>
        </w:tc>
      </w:tr>
      <w:tr w14:paraId="18954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0D7B14B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序号</w:t>
            </w:r>
          </w:p>
        </w:tc>
        <w:tc>
          <w:tcPr>
            <w:tcW w:w="2268" w:type="dxa"/>
            <w:gridSpan w:val="4"/>
            <w:vAlign w:val="center"/>
          </w:tcPr>
          <w:p w14:paraId="620B31B0">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职务</w:t>
            </w:r>
          </w:p>
        </w:tc>
        <w:tc>
          <w:tcPr>
            <w:tcW w:w="1008" w:type="dxa"/>
            <w:gridSpan w:val="2"/>
            <w:vAlign w:val="center"/>
          </w:tcPr>
          <w:p w14:paraId="540CB5F1">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姓名</w:t>
            </w:r>
          </w:p>
        </w:tc>
        <w:tc>
          <w:tcPr>
            <w:tcW w:w="1632" w:type="dxa"/>
            <w:gridSpan w:val="2"/>
            <w:vAlign w:val="center"/>
          </w:tcPr>
          <w:p w14:paraId="797581A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身份证号码</w:t>
            </w:r>
          </w:p>
        </w:tc>
        <w:tc>
          <w:tcPr>
            <w:tcW w:w="1464" w:type="dxa"/>
            <w:gridSpan w:val="2"/>
            <w:vAlign w:val="center"/>
          </w:tcPr>
          <w:p w14:paraId="3F1BC333">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劳动合同关系单位</w:t>
            </w:r>
          </w:p>
        </w:tc>
        <w:tc>
          <w:tcPr>
            <w:tcW w:w="1351" w:type="dxa"/>
            <w:vAlign w:val="center"/>
          </w:tcPr>
          <w:p w14:paraId="63B9A4E0">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缴纳社会保险单位</w:t>
            </w:r>
          </w:p>
        </w:tc>
      </w:tr>
      <w:tr w14:paraId="7CF5A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57F75F7D">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w:t>
            </w:r>
          </w:p>
        </w:tc>
        <w:tc>
          <w:tcPr>
            <w:tcW w:w="2268" w:type="dxa"/>
            <w:gridSpan w:val="4"/>
            <w:vAlign w:val="center"/>
          </w:tcPr>
          <w:p w14:paraId="47D7C2A6">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法定代表人/单位负责人/主要经营负责人</w:t>
            </w:r>
          </w:p>
        </w:tc>
        <w:tc>
          <w:tcPr>
            <w:tcW w:w="1008" w:type="dxa"/>
            <w:gridSpan w:val="2"/>
            <w:vAlign w:val="center"/>
          </w:tcPr>
          <w:p w14:paraId="4C5917D4">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14:paraId="43B9BAB6">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14:paraId="4F05FDA7">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351" w:type="dxa"/>
            <w:vAlign w:val="center"/>
          </w:tcPr>
          <w:p w14:paraId="52218B48">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14:paraId="6E409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35B6D39F">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w:t>
            </w:r>
          </w:p>
        </w:tc>
        <w:tc>
          <w:tcPr>
            <w:tcW w:w="2268" w:type="dxa"/>
            <w:gridSpan w:val="4"/>
            <w:vAlign w:val="center"/>
          </w:tcPr>
          <w:p w14:paraId="7E99D331">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项目投标授权代表人</w:t>
            </w:r>
          </w:p>
        </w:tc>
        <w:tc>
          <w:tcPr>
            <w:tcW w:w="1008" w:type="dxa"/>
            <w:gridSpan w:val="2"/>
            <w:vAlign w:val="center"/>
          </w:tcPr>
          <w:p w14:paraId="656EFEF2">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14:paraId="05B40752">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14:paraId="612BC615">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351" w:type="dxa"/>
            <w:vAlign w:val="center"/>
          </w:tcPr>
          <w:p w14:paraId="0021433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14:paraId="420DE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6877A9D1">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3</w:t>
            </w:r>
          </w:p>
        </w:tc>
        <w:tc>
          <w:tcPr>
            <w:tcW w:w="2268" w:type="dxa"/>
            <w:gridSpan w:val="4"/>
            <w:vAlign w:val="center"/>
          </w:tcPr>
          <w:p w14:paraId="7C8E77FF">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项目负责人</w:t>
            </w:r>
          </w:p>
        </w:tc>
        <w:tc>
          <w:tcPr>
            <w:tcW w:w="1008" w:type="dxa"/>
            <w:gridSpan w:val="2"/>
            <w:vAlign w:val="center"/>
          </w:tcPr>
          <w:p w14:paraId="1F0CFA4F">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14:paraId="3A700D2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14:paraId="0A68C541">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351" w:type="dxa"/>
            <w:vAlign w:val="center"/>
          </w:tcPr>
          <w:p w14:paraId="4ACCD56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14:paraId="390AA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247A9EC7">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4</w:t>
            </w:r>
          </w:p>
        </w:tc>
        <w:tc>
          <w:tcPr>
            <w:tcW w:w="2268" w:type="dxa"/>
            <w:gridSpan w:val="4"/>
            <w:vAlign w:val="center"/>
          </w:tcPr>
          <w:p w14:paraId="0EEC77E1">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主要技术人员</w:t>
            </w:r>
          </w:p>
        </w:tc>
        <w:tc>
          <w:tcPr>
            <w:tcW w:w="1008" w:type="dxa"/>
            <w:gridSpan w:val="2"/>
            <w:vAlign w:val="center"/>
          </w:tcPr>
          <w:p w14:paraId="025A20C4">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14:paraId="44318DD2">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14:paraId="40BCBFEB">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351" w:type="dxa"/>
            <w:vAlign w:val="center"/>
          </w:tcPr>
          <w:p w14:paraId="28CF35E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14:paraId="09671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79CB95ED">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5</w:t>
            </w:r>
          </w:p>
        </w:tc>
        <w:tc>
          <w:tcPr>
            <w:tcW w:w="2268" w:type="dxa"/>
            <w:gridSpan w:val="4"/>
            <w:vAlign w:val="center"/>
          </w:tcPr>
          <w:p w14:paraId="421D0CD7">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投标文件编制人员</w:t>
            </w:r>
          </w:p>
        </w:tc>
        <w:tc>
          <w:tcPr>
            <w:tcW w:w="1008" w:type="dxa"/>
            <w:gridSpan w:val="2"/>
            <w:vAlign w:val="center"/>
          </w:tcPr>
          <w:p w14:paraId="0D615E6E">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14:paraId="6744D7CE">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14:paraId="65CF4446">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351" w:type="dxa"/>
            <w:vAlign w:val="center"/>
          </w:tcPr>
          <w:p w14:paraId="67B6A88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14:paraId="514BC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tcPr>
          <w:p w14:paraId="16C18DF3">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bCs/>
                <w:sz w:val="28"/>
                <w:szCs w:val="28"/>
                <w:vertAlign w:val="baseline"/>
              </w:rPr>
              <w:t>说明：同一职务有多人担任（如主要技术人员），应分行填写。</w:t>
            </w:r>
          </w:p>
        </w:tc>
      </w:tr>
      <w:tr w14:paraId="11D3D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vAlign w:val="center"/>
          </w:tcPr>
          <w:p w14:paraId="7EEF26EF">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bCs/>
                <w:sz w:val="28"/>
                <w:szCs w:val="28"/>
                <w:vertAlign w:val="baseline"/>
              </w:rPr>
              <w:t>投标（响应）供应商关联关系情况</w:t>
            </w:r>
          </w:p>
        </w:tc>
      </w:tr>
      <w:tr w14:paraId="3B592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gridSpan w:val="2"/>
            <w:vAlign w:val="center"/>
          </w:tcPr>
          <w:p w14:paraId="78F4E5C7">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序号</w:t>
            </w:r>
          </w:p>
        </w:tc>
        <w:tc>
          <w:tcPr>
            <w:tcW w:w="1897" w:type="dxa"/>
            <w:gridSpan w:val="2"/>
            <w:vAlign w:val="center"/>
          </w:tcPr>
          <w:p w14:paraId="20AA1942">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关联关系类型</w:t>
            </w:r>
          </w:p>
        </w:tc>
        <w:tc>
          <w:tcPr>
            <w:tcW w:w="2351" w:type="dxa"/>
            <w:gridSpan w:val="4"/>
            <w:vAlign w:val="center"/>
          </w:tcPr>
          <w:p w14:paraId="1E331CB0">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关联主体名称</w:t>
            </w:r>
          </w:p>
        </w:tc>
        <w:tc>
          <w:tcPr>
            <w:tcW w:w="3331" w:type="dxa"/>
            <w:gridSpan w:val="4"/>
            <w:vAlign w:val="center"/>
          </w:tcPr>
          <w:p w14:paraId="697149A8">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备注</w:t>
            </w:r>
          </w:p>
        </w:tc>
      </w:tr>
      <w:tr w14:paraId="1C96D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0" w:hRule="atLeast"/>
        </w:trPr>
        <w:tc>
          <w:tcPr>
            <w:tcW w:w="943" w:type="dxa"/>
            <w:gridSpan w:val="2"/>
            <w:vAlign w:val="center"/>
          </w:tcPr>
          <w:p w14:paraId="1A14DB2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w:t>
            </w:r>
          </w:p>
        </w:tc>
        <w:tc>
          <w:tcPr>
            <w:tcW w:w="1897" w:type="dxa"/>
            <w:gridSpan w:val="2"/>
            <w:vAlign w:val="center"/>
          </w:tcPr>
          <w:p w14:paraId="359301FE">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控股股东</w:t>
            </w:r>
          </w:p>
        </w:tc>
        <w:tc>
          <w:tcPr>
            <w:tcW w:w="2351" w:type="dxa"/>
            <w:gridSpan w:val="4"/>
            <w:vAlign w:val="center"/>
          </w:tcPr>
          <w:p w14:paraId="436A817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3331" w:type="dxa"/>
            <w:gridSpan w:val="4"/>
            <w:vAlign w:val="center"/>
          </w:tcPr>
          <w:p w14:paraId="4C2B4820">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1"/>
                <w:szCs w:val="21"/>
                <w:vertAlign w:val="baseline"/>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40347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gridSpan w:val="2"/>
            <w:vAlign w:val="center"/>
          </w:tcPr>
          <w:p w14:paraId="05FEE00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w:t>
            </w:r>
          </w:p>
        </w:tc>
        <w:tc>
          <w:tcPr>
            <w:tcW w:w="1897" w:type="dxa"/>
            <w:gridSpan w:val="2"/>
            <w:vAlign w:val="center"/>
          </w:tcPr>
          <w:p w14:paraId="24F112F0">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管理关系</w:t>
            </w:r>
          </w:p>
        </w:tc>
        <w:tc>
          <w:tcPr>
            <w:tcW w:w="2351" w:type="dxa"/>
            <w:gridSpan w:val="4"/>
            <w:vAlign w:val="center"/>
          </w:tcPr>
          <w:p w14:paraId="3D83E65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3331" w:type="dxa"/>
            <w:gridSpan w:val="4"/>
            <w:vAlign w:val="center"/>
          </w:tcPr>
          <w:p w14:paraId="122055CF">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1"/>
                <w:szCs w:val="21"/>
                <w:vertAlign w:val="baseline"/>
              </w:rPr>
              <w:t>指对投标（响应）供应商不具有出资持股关系，但对其存在管理关系的主体。</w:t>
            </w:r>
          </w:p>
        </w:tc>
      </w:tr>
      <w:tr w14:paraId="78854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tcPr>
          <w:p w14:paraId="5AC28614">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bCs/>
                <w:sz w:val="28"/>
                <w:szCs w:val="28"/>
                <w:vertAlign w:val="baseline"/>
              </w:rPr>
              <w:t>说明：同一关联关系类型有多个主体的，应分行填写。</w:t>
            </w:r>
          </w:p>
        </w:tc>
      </w:tr>
    </w:tbl>
    <w:p w14:paraId="7E2D4FF1">
      <w:pPr>
        <w:rPr>
          <w:rFonts w:hint="eastAsia" w:ascii="仿宋_GB2312" w:hAnsi="仿宋_GB2312" w:eastAsia="仿宋_GB2312" w:cs="仿宋_GB2312"/>
          <w:b/>
          <w:bCs/>
          <w:sz w:val="32"/>
          <w:szCs w:val="32"/>
          <w:vertAlign w:val="baseline"/>
        </w:rPr>
      </w:pPr>
      <w:r>
        <w:rPr>
          <w:rFonts w:hint="eastAsia" w:ascii="仿宋_GB2312" w:hAnsi="仿宋_GB2312" w:eastAsia="仿宋_GB2312" w:cs="仿宋_GB2312"/>
          <w:b/>
          <w:bCs/>
          <w:sz w:val="32"/>
          <w:szCs w:val="32"/>
          <w:vertAlign w:val="baseline"/>
          <w:lang w:val="en-US" w:eastAsia="zh-CN"/>
        </w:rPr>
        <w:t>注：</w:t>
      </w:r>
      <w:r>
        <w:rPr>
          <w:rFonts w:hint="eastAsia" w:ascii="仿宋_GB2312" w:hAnsi="仿宋_GB2312" w:eastAsia="仿宋_GB2312" w:cs="仿宋_GB2312"/>
          <w:sz w:val="32"/>
          <w:szCs w:val="32"/>
          <w:vertAlign w:val="baseline"/>
        </w:rPr>
        <w:t>项目投标授权代表人</w:t>
      </w:r>
      <w:r>
        <w:rPr>
          <w:rFonts w:hint="eastAsia" w:ascii="仿宋_GB2312" w:hAnsi="仿宋_GB2312" w:eastAsia="仿宋_GB2312" w:cs="仿宋_GB2312"/>
          <w:sz w:val="32"/>
          <w:szCs w:val="32"/>
          <w:vertAlign w:val="baseline"/>
          <w:lang w:eastAsia="zh-CN"/>
        </w:rPr>
        <w:t>、</w:t>
      </w:r>
      <w:r>
        <w:rPr>
          <w:rFonts w:hint="eastAsia" w:ascii="仿宋_GB2312" w:hAnsi="仿宋_GB2312" w:eastAsia="仿宋_GB2312" w:cs="仿宋_GB2312"/>
          <w:sz w:val="32"/>
          <w:szCs w:val="32"/>
          <w:vertAlign w:val="baseline"/>
        </w:rPr>
        <w:t>项目负责人</w:t>
      </w:r>
      <w:r>
        <w:rPr>
          <w:rFonts w:hint="eastAsia" w:ascii="仿宋_GB2312" w:hAnsi="仿宋_GB2312" w:eastAsia="仿宋_GB2312" w:cs="仿宋_GB2312"/>
          <w:sz w:val="32"/>
          <w:szCs w:val="32"/>
          <w:vertAlign w:val="baseline"/>
          <w:lang w:eastAsia="zh-CN"/>
        </w:rPr>
        <w:t>、</w:t>
      </w:r>
      <w:r>
        <w:rPr>
          <w:rFonts w:hint="eastAsia" w:ascii="仿宋_GB2312" w:hAnsi="仿宋_GB2312" w:eastAsia="仿宋_GB2312" w:cs="仿宋_GB2312"/>
          <w:sz w:val="32"/>
          <w:szCs w:val="32"/>
          <w:vertAlign w:val="baseline"/>
        </w:rPr>
        <w:t>主要技术人员</w:t>
      </w:r>
      <w:r>
        <w:rPr>
          <w:rFonts w:hint="eastAsia" w:ascii="仿宋_GB2312" w:hAnsi="仿宋_GB2312" w:eastAsia="仿宋_GB2312" w:cs="仿宋_GB2312"/>
          <w:b w:val="0"/>
          <w:bCs w:val="0"/>
          <w:sz w:val="32"/>
          <w:szCs w:val="32"/>
          <w:vertAlign w:val="baseline"/>
          <w:lang w:val="en-US" w:eastAsia="zh-CN"/>
        </w:rPr>
        <w:t>需另附近3个月（连续且自投标截止之日倒推3个月）的社保缴纳记录证明。社保缴纳单位应为投标人单位，特殊情况（如退休返聘、外籍员工等）需提供相关证明材料。社保缴纳记录应为投标人注册所在地社会保障部门出具的社保缴纳记录证明文件，并包含养老保险和医疗保险等主要险种。</w:t>
      </w:r>
    </w:p>
    <w:p w14:paraId="664A2AD9">
      <w:pPr>
        <w:rPr>
          <w:rFonts w:hint="eastAsia" w:ascii="仿宋_GB2312" w:hAnsi="仿宋_GB2312" w:eastAsia="仿宋_GB2312" w:cs="仿宋_GB2312"/>
          <w:b/>
          <w:bCs/>
          <w:sz w:val="32"/>
          <w:szCs w:val="32"/>
          <w:vertAlign w:val="baseline"/>
          <w:lang w:val="en-US" w:eastAsia="zh-CN"/>
        </w:rPr>
      </w:pPr>
      <w:r>
        <w:rPr>
          <w:rFonts w:hint="eastAsia" w:ascii="仿宋_GB2312" w:hAnsi="仿宋_GB2312" w:eastAsia="仿宋_GB2312" w:cs="仿宋_GB2312"/>
          <w:b/>
          <w:bCs/>
          <w:sz w:val="32"/>
          <w:szCs w:val="32"/>
          <w:vertAlign w:val="baseline"/>
        </w:rPr>
        <w:t>投标（响应）供应商</w:t>
      </w:r>
      <w:r>
        <w:rPr>
          <w:rFonts w:hint="eastAsia" w:ascii="仿宋_GB2312" w:hAnsi="仿宋_GB2312" w:eastAsia="仿宋_GB2312" w:cs="仿宋_GB2312"/>
          <w:b/>
          <w:bCs/>
          <w:sz w:val="32"/>
          <w:szCs w:val="32"/>
          <w:vertAlign w:val="baseline"/>
          <w:lang w:val="en-US" w:eastAsia="zh-CN"/>
        </w:rPr>
        <w:t>声明：</w:t>
      </w:r>
    </w:p>
    <w:p w14:paraId="6B48B9BB">
      <w:pPr>
        <w:numPr>
          <w:ilvl w:val="0"/>
          <w:numId w:val="0"/>
        </w:numPr>
        <w:rPr>
          <w:rFonts w:hint="eastAsia" w:ascii="仿宋_GB2312" w:hAnsi="仿宋_GB2312" w:eastAsia="仿宋_GB2312" w:cs="仿宋_GB2312"/>
          <w:i w:val="0"/>
          <w:iCs w:val="0"/>
          <w:caps w:val="0"/>
          <w:color w:val="404040"/>
          <w:spacing w:val="0"/>
          <w:sz w:val="32"/>
          <w:szCs w:val="32"/>
          <w:shd w:val="clear" w:fill="FFFFFF"/>
          <w:lang w:val="en-US" w:eastAsia="zh-CN"/>
        </w:rPr>
      </w:pPr>
      <w:r>
        <w:rPr>
          <w:rFonts w:hint="eastAsia" w:ascii="仿宋_GB2312" w:hAnsi="仿宋_GB2312" w:eastAsia="仿宋_GB2312" w:cs="仿宋_GB2312"/>
          <w:i w:val="0"/>
          <w:iCs w:val="0"/>
          <w:caps w:val="0"/>
          <w:color w:val="404040"/>
          <w:spacing w:val="0"/>
          <w:sz w:val="32"/>
          <w:szCs w:val="32"/>
          <w:shd w:val="clear" w:fill="FFFFFF"/>
          <w:lang w:val="en-US" w:eastAsia="zh-CN"/>
        </w:rPr>
        <w:t>1.投标（响应）供应商填写内容与事实不符的，招标人有权取消其投标资格、否决投标或解除合同，并依法追究其法律责任。</w:t>
      </w:r>
    </w:p>
    <w:p w14:paraId="39C284E8">
      <w:pPr>
        <w:numPr>
          <w:ilvl w:val="0"/>
          <w:numId w:val="0"/>
        </w:numPr>
        <w:rPr>
          <w:rFonts w:hint="eastAsia" w:ascii="仿宋_GB2312" w:hAnsi="仿宋_GB2312" w:eastAsia="仿宋_GB2312" w:cs="仿宋_GB2312"/>
          <w:i w:val="0"/>
          <w:iCs w:val="0"/>
          <w:caps w:val="0"/>
          <w:color w:val="404040"/>
          <w:spacing w:val="0"/>
          <w:sz w:val="32"/>
          <w:szCs w:val="32"/>
          <w:shd w:val="clear" w:fill="FFFFFF"/>
          <w:lang w:eastAsia="zh-CN"/>
        </w:rPr>
      </w:pPr>
      <w:r>
        <w:rPr>
          <w:rFonts w:hint="eastAsia" w:ascii="仿宋_GB2312" w:hAnsi="仿宋_GB2312" w:eastAsia="仿宋_GB2312" w:cs="仿宋_GB2312"/>
          <w:i w:val="0"/>
          <w:iCs w:val="0"/>
          <w:caps w:val="0"/>
          <w:color w:val="404040"/>
          <w:spacing w:val="0"/>
          <w:sz w:val="32"/>
          <w:szCs w:val="32"/>
          <w:shd w:val="clear" w:fill="FFFFFF"/>
          <w:lang w:val="en-US" w:eastAsia="zh-CN"/>
        </w:rPr>
        <w:t>2.投标（响应）供应商存</w:t>
      </w:r>
      <w:r>
        <w:rPr>
          <w:rFonts w:hint="eastAsia" w:ascii="仿宋_GB2312" w:hAnsi="仿宋_GB2312" w:eastAsia="仿宋_GB2312" w:cs="仿宋_GB2312"/>
          <w:color w:val="404040"/>
          <w:sz w:val="32"/>
          <w:szCs w:val="32"/>
          <w:shd w:val="clear" w:fill="FFFFFF"/>
          <w:lang w:val="en-US" w:eastAsia="zh-CN"/>
        </w:rPr>
        <w:t>在</w:t>
      </w:r>
      <w:r>
        <w:rPr>
          <w:rFonts w:hint="eastAsia" w:ascii="仿宋_GB2312" w:hAnsi="仿宋_GB2312" w:eastAsia="仿宋_GB2312" w:cs="仿宋_GB2312"/>
          <w:i w:val="0"/>
          <w:iCs w:val="0"/>
          <w:caps w:val="0"/>
          <w:color w:val="404040"/>
          <w:spacing w:val="0"/>
          <w:sz w:val="32"/>
          <w:szCs w:val="32"/>
          <w:shd w:val="clear" w:fill="FFFFFF"/>
          <w:lang w:val="en-US" w:eastAsia="zh-CN"/>
        </w:rPr>
        <w:t>围标串标行为</w:t>
      </w:r>
      <w:r>
        <w:rPr>
          <w:rFonts w:hint="eastAsia" w:ascii="仿宋_GB2312" w:hAnsi="仿宋_GB2312" w:eastAsia="仿宋_GB2312" w:cs="仿宋_GB2312"/>
          <w:color w:val="404040"/>
          <w:sz w:val="32"/>
          <w:szCs w:val="32"/>
          <w:shd w:val="clear" w:fill="FFFFFF"/>
          <w:lang w:val="en-US" w:eastAsia="zh-CN"/>
        </w:rPr>
        <w:t>的，</w:t>
      </w:r>
      <w:r>
        <w:rPr>
          <w:rFonts w:hint="eastAsia" w:ascii="仿宋_GB2312" w:hAnsi="仿宋_GB2312" w:eastAsia="仿宋_GB2312" w:cs="仿宋_GB2312"/>
          <w:i w:val="0"/>
          <w:iCs w:val="0"/>
          <w:caps w:val="0"/>
          <w:color w:val="404040"/>
          <w:spacing w:val="0"/>
          <w:sz w:val="32"/>
          <w:szCs w:val="32"/>
          <w:shd w:val="clear" w:fill="FFFFFF"/>
        </w:rPr>
        <w:t>将</w:t>
      </w:r>
      <w:r>
        <w:rPr>
          <w:rFonts w:hint="eastAsia" w:ascii="仿宋_GB2312" w:hAnsi="仿宋_GB2312" w:eastAsia="仿宋_GB2312" w:cs="仿宋_GB2312"/>
          <w:i w:val="0"/>
          <w:iCs w:val="0"/>
          <w:caps w:val="0"/>
          <w:color w:val="404040"/>
          <w:spacing w:val="0"/>
          <w:sz w:val="32"/>
          <w:szCs w:val="32"/>
          <w:shd w:val="clear" w:fill="FFFFFF"/>
          <w:lang w:val="en-US" w:eastAsia="zh-CN"/>
        </w:rPr>
        <w:t>被</w:t>
      </w:r>
      <w:r>
        <w:rPr>
          <w:rFonts w:hint="eastAsia" w:ascii="仿宋_GB2312" w:hAnsi="仿宋_GB2312" w:eastAsia="仿宋_GB2312" w:cs="仿宋_GB2312"/>
          <w:i w:val="0"/>
          <w:iCs w:val="0"/>
          <w:caps w:val="0"/>
          <w:color w:val="404040"/>
          <w:spacing w:val="0"/>
          <w:sz w:val="32"/>
          <w:szCs w:val="32"/>
          <w:shd w:val="clear" w:fill="FFFFFF"/>
        </w:rPr>
        <w:t>列入</w:t>
      </w:r>
      <w:r>
        <w:rPr>
          <w:rFonts w:hint="eastAsia" w:ascii="仿宋_GB2312" w:hAnsi="仿宋_GB2312" w:eastAsia="仿宋_GB2312" w:cs="仿宋_GB2312"/>
          <w:i w:val="0"/>
          <w:iCs w:val="0"/>
          <w:caps w:val="0"/>
          <w:color w:val="404040"/>
          <w:spacing w:val="0"/>
          <w:sz w:val="32"/>
          <w:szCs w:val="32"/>
          <w:shd w:val="clear" w:fill="FFFFFF"/>
          <w:lang w:val="en-US" w:eastAsia="zh-CN"/>
        </w:rPr>
        <w:t>招标人</w:t>
      </w:r>
      <w:r>
        <w:rPr>
          <w:rFonts w:hint="eastAsia" w:ascii="仿宋_GB2312" w:hAnsi="仿宋_GB2312" w:eastAsia="仿宋_GB2312" w:cs="仿宋_GB2312"/>
          <w:i w:val="0"/>
          <w:iCs w:val="0"/>
          <w:caps w:val="0"/>
          <w:color w:val="404040"/>
          <w:spacing w:val="0"/>
          <w:sz w:val="32"/>
          <w:szCs w:val="32"/>
          <w:shd w:val="clear" w:fill="FFFFFF"/>
        </w:rPr>
        <w:t>采购失信名单</w:t>
      </w:r>
      <w:r>
        <w:rPr>
          <w:rFonts w:hint="eastAsia" w:ascii="仿宋_GB2312" w:hAnsi="仿宋_GB2312" w:eastAsia="仿宋_GB2312" w:cs="仿宋_GB2312"/>
          <w:i w:val="0"/>
          <w:iCs w:val="0"/>
          <w:caps w:val="0"/>
          <w:color w:val="404040"/>
          <w:spacing w:val="0"/>
          <w:sz w:val="32"/>
          <w:szCs w:val="32"/>
          <w:shd w:val="clear" w:fill="FFFFFF"/>
          <w:lang w:eastAsia="zh-CN"/>
        </w:rPr>
        <w:t>。</w:t>
      </w:r>
    </w:p>
    <w:p w14:paraId="743D748F">
      <w:pPr>
        <w:numPr>
          <w:ilvl w:val="0"/>
          <w:numId w:val="0"/>
        </w:numPr>
        <w:rPr>
          <w:rFonts w:hint="eastAsia" w:ascii="仿宋_GB2312" w:hAnsi="仿宋_GB2312" w:eastAsia="仿宋_GB2312" w:cs="仿宋_GB2312"/>
          <w:i w:val="0"/>
          <w:iCs w:val="0"/>
          <w:caps w:val="0"/>
          <w:color w:val="404040"/>
          <w:spacing w:val="0"/>
          <w:sz w:val="32"/>
          <w:szCs w:val="32"/>
          <w:shd w:val="clear" w:fill="FFFFFF"/>
          <w:lang w:val="en-US" w:eastAsia="zh-CN"/>
        </w:rPr>
      </w:pPr>
      <w:r>
        <w:rPr>
          <w:rFonts w:hint="eastAsia" w:ascii="仿宋_GB2312" w:hAnsi="仿宋_GB2312" w:eastAsia="仿宋_GB2312" w:cs="仿宋_GB2312"/>
          <w:i w:val="0"/>
          <w:iCs w:val="0"/>
          <w:caps w:val="0"/>
          <w:color w:val="404040"/>
          <w:spacing w:val="0"/>
          <w:sz w:val="32"/>
          <w:szCs w:val="32"/>
          <w:shd w:val="clear" w:fill="FFFFFF"/>
          <w:lang w:val="en-US" w:eastAsia="zh-CN"/>
        </w:rPr>
        <w:t>3.本情况表自签署之日起生效，适用于本次招采活动及后续合同履行阶段。</w:t>
      </w:r>
    </w:p>
    <w:p w14:paraId="22BEC8D3">
      <w:pPr>
        <w:numPr>
          <w:ilvl w:val="0"/>
          <w:numId w:val="0"/>
        </w:numPr>
        <w:rPr>
          <w:rFonts w:hint="eastAsia" w:ascii="仿宋_GB2312" w:hAnsi="仿宋_GB2312" w:eastAsia="仿宋_GB2312" w:cs="仿宋_GB2312"/>
          <w:i w:val="0"/>
          <w:iCs w:val="0"/>
          <w:caps w:val="0"/>
          <w:color w:val="404040"/>
          <w:spacing w:val="0"/>
          <w:sz w:val="32"/>
          <w:szCs w:val="32"/>
          <w:shd w:val="clear" w:fill="FFFFFF"/>
          <w:lang w:val="en-US" w:eastAsia="zh-CN"/>
        </w:rPr>
      </w:pPr>
    </w:p>
    <w:p w14:paraId="040D82B5">
      <w:pPr>
        <w:numPr>
          <w:ilvl w:val="0"/>
          <w:numId w:val="0"/>
        </w:numPr>
        <w:rPr>
          <w:rFonts w:hint="eastAsia" w:ascii="仿宋_GB2312" w:hAnsi="仿宋_GB2312" w:eastAsia="仿宋_GB2312" w:cs="仿宋_GB2312"/>
          <w:i w:val="0"/>
          <w:iCs w:val="0"/>
          <w:caps w:val="0"/>
          <w:color w:val="404040"/>
          <w:spacing w:val="0"/>
          <w:sz w:val="32"/>
          <w:szCs w:val="32"/>
          <w:shd w:val="clear" w:fill="FFFFFF"/>
          <w:lang w:val="en-US" w:eastAsia="zh-CN"/>
        </w:rPr>
      </w:pPr>
    </w:p>
    <w:p w14:paraId="35B91120">
      <w:pPr>
        <w:ind w:left="5760" w:hanging="5760" w:hangingChars="1800"/>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404040"/>
          <w:spacing w:val="0"/>
          <w:sz w:val="32"/>
          <w:szCs w:val="32"/>
          <w:shd w:val="clear" w:fill="FFFFFF"/>
          <w:lang w:val="en-US" w:eastAsia="zh-CN"/>
        </w:rPr>
        <w:t xml:space="preserve">                           </w:t>
      </w:r>
      <w:r>
        <w:rPr>
          <w:rFonts w:hint="eastAsia" w:ascii="仿宋_GB2312" w:hAnsi="仿宋_GB2312" w:eastAsia="仿宋_GB2312" w:cs="仿宋_GB2312"/>
          <w:sz w:val="32"/>
          <w:szCs w:val="32"/>
        </w:rPr>
        <w:t>填表单位：（加盖单位公章）</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p>
    <w:p w14:paraId="30385275">
      <w:pPr>
        <w:numPr>
          <w:ilvl w:val="0"/>
          <w:numId w:val="0"/>
        </w:numPr>
        <w:rPr>
          <w:rFonts w:hint="default" w:ascii="仿宋_GB2312" w:hAnsi="仿宋_GB2312" w:eastAsia="仿宋_GB2312" w:cs="仿宋_GB2312"/>
          <w:i w:val="0"/>
          <w:iCs w:val="0"/>
          <w:caps w:val="0"/>
          <w:color w:val="404040"/>
          <w:spacing w:val="0"/>
          <w:sz w:val="32"/>
          <w:szCs w:val="32"/>
          <w:shd w:val="clear" w:fill="FFFFFF"/>
          <w:lang w:val="en-US" w:eastAsia="zh-CN"/>
        </w:rPr>
      </w:pPr>
    </w:p>
    <w:p w14:paraId="6D0CB56D">
      <w:pPr>
        <w:pStyle w:val="5"/>
        <w:rPr>
          <w:rFonts w:hint="eastAsia" w:ascii="仿宋" w:hAnsi="仿宋" w:eastAsia="仿宋" w:cs="仿宋"/>
          <w:sz w:val="32"/>
          <w:szCs w:val="32"/>
        </w:rPr>
      </w:pPr>
    </w:p>
    <w:p w14:paraId="68739F59">
      <w:pPr>
        <w:keepNext w:val="0"/>
        <w:keepLines w:val="0"/>
        <w:pageBreakBefore w:val="0"/>
        <w:wordWrap w:val="0"/>
        <w:topLinePunct w:val="0"/>
        <w:bidi w:val="0"/>
        <w:spacing w:line="560" w:lineRule="exact"/>
        <w:ind w:left="0"/>
        <w:jc w:val="right"/>
        <w:textAlignment w:val="auto"/>
        <w:rPr>
          <w:rFonts w:hint="eastAsia" w:ascii="仿宋_GB2312" w:hAnsi="仿宋_GB2312" w:eastAsia="仿宋_GB2312" w:cs="仿宋_GB2312"/>
          <w:sz w:val="32"/>
          <w:szCs w:val="32"/>
        </w:rPr>
      </w:pPr>
    </w:p>
    <w:sectPr>
      <w:footerReference r:id="rId5" w:type="first"/>
      <w:headerReference r:id="rId3" w:type="default"/>
      <w:footerReference r:id="rId4" w:type="default"/>
      <w:pgSz w:w="11906" w:h="16838"/>
      <w:pgMar w:top="2098" w:right="1474" w:bottom="1984" w:left="1588"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embedRegular r:id="rId1" w:fontKey="{7C12B68E-2449-44D6-B2FE-466AEC982955}"/>
  </w:font>
  <w:font w:name="仿宋">
    <w:panose1 w:val="02010609060101010101"/>
    <w:charset w:val="86"/>
    <w:family w:val="modern"/>
    <w:pitch w:val="default"/>
    <w:sig w:usb0="800002BF" w:usb1="38CF7CFA" w:usb2="00000016" w:usb3="00000000" w:csb0="00040001" w:csb1="00000000"/>
    <w:embedRegular r:id="rId2" w:fontKey="{DB359B12-7980-4B8F-9D77-0E577213E511}"/>
  </w:font>
  <w:font w:name="方正小标宋简体">
    <w:panose1 w:val="02000000000000000000"/>
    <w:charset w:val="86"/>
    <w:family w:val="auto"/>
    <w:pitch w:val="default"/>
    <w:sig w:usb0="00000001" w:usb1="080E0000" w:usb2="00000000" w:usb3="00000000" w:csb0="00040000" w:csb1="00000000"/>
    <w:embedRegular r:id="rId3" w:fontKey="{6F1BFC58-CEBD-43DD-A915-2237A8BCA773}"/>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DD7A80">
    <w:pPr>
      <w:pStyle w:val="7"/>
      <w:jc w:val="right"/>
      <w:rPr>
        <w:sz w:val="24"/>
      </w:rPr>
    </w:pPr>
    <w:r>
      <w:rPr>
        <w:sz w:val="24"/>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28748C6">
                          <w:pPr>
                            <w:pStyle w:val="7"/>
                            <w:rPr>
                              <w:rFonts w:ascii="宋体" w:hAnsi="宋体" w:cs="宋体"/>
                              <w:sz w:val="32"/>
                              <w:szCs w:val="32"/>
                            </w:rPr>
                          </w:pPr>
                          <w:r>
                            <w:rPr>
                              <w:rFonts w:hint="eastAsia" w:ascii="宋体" w:hAnsi="宋体" w:cs="宋体"/>
                              <w:sz w:val="32"/>
                              <w:szCs w:val="32"/>
                            </w:rPr>
                            <w:fldChar w:fldCharType="begin"/>
                          </w:r>
                          <w:r>
                            <w:rPr>
                              <w:rFonts w:hint="eastAsia" w:ascii="宋体" w:hAnsi="宋体" w:cs="宋体"/>
                              <w:sz w:val="32"/>
                              <w:szCs w:val="32"/>
                            </w:rPr>
                            <w:instrText xml:space="preserve"> PAGE  \* MERGEFORMAT </w:instrText>
                          </w:r>
                          <w:r>
                            <w:rPr>
                              <w:rFonts w:hint="eastAsia" w:ascii="宋体" w:hAnsi="宋体" w:cs="宋体"/>
                              <w:sz w:val="32"/>
                              <w:szCs w:val="32"/>
                            </w:rPr>
                            <w:fldChar w:fldCharType="separate"/>
                          </w:r>
                          <w:r>
                            <w:rPr>
                              <w:rFonts w:ascii="宋体" w:hAnsi="宋体" w:cs="宋体"/>
                              <w:sz w:val="32"/>
                              <w:szCs w:val="32"/>
                            </w:rPr>
                            <w:t>- 7 -</w:t>
                          </w:r>
                          <w:r>
                            <w:rPr>
                              <w:rFonts w:hint="eastAsia" w:ascii="宋体" w:hAnsi="宋体" w:cs="宋体"/>
                              <w:sz w:val="32"/>
                              <w:szCs w:val="32"/>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14:paraId="428748C6">
                    <w:pPr>
                      <w:pStyle w:val="7"/>
                      <w:rPr>
                        <w:rFonts w:ascii="宋体" w:hAnsi="宋体" w:cs="宋体"/>
                        <w:sz w:val="32"/>
                        <w:szCs w:val="32"/>
                      </w:rPr>
                    </w:pPr>
                    <w:r>
                      <w:rPr>
                        <w:rFonts w:hint="eastAsia" w:ascii="宋体" w:hAnsi="宋体" w:cs="宋体"/>
                        <w:sz w:val="32"/>
                        <w:szCs w:val="32"/>
                      </w:rPr>
                      <w:fldChar w:fldCharType="begin"/>
                    </w:r>
                    <w:r>
                      <w:rPr>
                        <w:rFonts w:hint="eastAsia" w:ascii="宋体" w:hAnsi="宋体" w:cs="宋体"/>
                        <w:sz w:val="32"/>
                        <w:szCs w:val="32"/>
                      </w:rPr>
                      <w:instrText xml:space="preserve"> PAGE  \* MERGEFORMAT </w:instrText>
                    </w:r>
                    <w:r>
                      <w:rPr>
                        <w:rFonts w:hint="eastAsia" w:ascii="宋体" w:hAnsi="宋体" w:cs="宋体"/>
                        <w:sz w:val="32"/>
                        <w:szCs w:val="32"/>
                      </w:rPr>
                      <w:fldChar w:fldCharType="separate"/>
                    </w:r>
                    <w:r>
                      <w:rPr>
                        <w:rFonts w:ascii="宋体" w:hAnsi="宋体" w:cs="宋体"/>
                        <w:sz w:val="32"/>
                        <w:szCs w:val="32"/>
                      </w:rPr>
                      <w:t>- 7 -</w:t>
                    </w:r>
                    <w:r>
                      <w:rPr>
                        <w:rFonts w:hint="eastAsia" w:ascii="宋体" w:hAnsi="宋体" w:cs="宋体"/>
                        <w:sz w:val="32"/>
                        <w:szCs w:val="32"/>
                      </w:rPr>
                      <w:fldChar w:fldCharType="end"/>
                    </w:r>
                  </w:p>
                </w:txbxContent>
              </v:textbox>
            </v:shap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5C10193">
                          <w:pPr>
                            <w:pStyle w:val="7"/>
                            <w:jc w:val="right"/>
                          </w:pP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QHJYcIBAACN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UByWHCAQAAjQMAAA4AAAAAAAAAAQAgAAAAHgEAAGRycy9lMm9Eb2MueG1sUEsF&#10;BgAAAAAGAAYAWQEAAFIFAAAAAA==&#10;">
              <v:fill on="f" focussize="0,0"/>
              <v:stroke on="f"/>
              <v:imagedata o:title=""/>
              <o:lock v:ext="edit" aspectratio="f"/>
              <v:textbox inset="0mm,0mm,0mm,0mm" style="mso-fit-shape-to-text:t;">
                <w:txbxContent>
                  <w:p w14:paraId="15C10193">
                    <w:pPr>
                      <w:pStyle w:val="7"/>
                      <w:jc w:val="right"/>
                    </w:pPr>
                  </w:p>
                </w:txbxContent>
              </v:textbox>
            </v:shape>
          </w:pict>
        </mc:Fallback>
      </mc:AlternateContent>
    </w:r>
  </w:p>
  <w:p w14:paraId="794C64EE">
    <w:pPr>
      <w:pStyle w:val="7"/>
      <w:tabs>
        <w:tab w:val="clear" w:pos="4153"/>
        <w:tab w:val="clear" w:pos="8306"/>
      </w:tabs>
      <w:ind w:right="360"/>
      <w:jc w:val="center"/>
      <w:rPr>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0D8EE7">
    <w:pPr>
      <w:pStyle w:val="7"/>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0160A7F">
                          <w:pPr>
                            <w:snapToGrid w:val="0"/>
                            <w:rPr>
                              <w:sz w:val="24"/>
                            </w:rPr>
                          </w:pPr>
                          <w:r>
                            <w:rPr>
                              <w:rFonts w:hint="eastAsia"/>
                              <w:sz w:val="24"/>
                            </w:rPr>
                            <w:t>-1-</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fill on="f" focussize="0,0"/>
              <v:stroke on="f"/>
              <v:imagedata o:title=""/>
              <o:lock v:ext="edit" aspectratio="f"/>
              <v:textbox inset="0mm,0mm,0mm,0mm" style="mso-fit-shape-to-text:t;">
                <w:txbxContent>
                  <w:p w14:paraId="10160A7F">
                    <w:pPr>
                      <w:snapToGrid w:val="0"/>
                      <w:rPr>
                        <w:sz w:val="24"/>
                      </w:rPr>
                    </w:pPr>
                    <w:r>
                      <w:rPr>
                        <w:rFonts w:hint="eastAsia"/>
                        <w:sz w:val="24"/>
                      </w:rPr>
                      <w:t>-1-</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54FD24">
    <w:pPr>
      <w:pStyle w:val="8"/>
      <w:jc w:val="both"/>
    </w:pPr>
  </w:p>
  <w:p w14:paraId="202AB827">
    <w:pPr>
      <w:pStyle w:val="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Y2YWEzYjhkMWU0YjMxMTUxMzg0YmJjNzdkNDUwY2IifQ=="/>
  </w:docVars>
  <w:rsids>
    <w:rsidRoot w:val="00A0323F"/>
    <w:rsid w:val="00016D8E"/>
    <w:rsid w:val="00046609"/>
    <w:rsid w:val="00082BCF"/>
    <w:rsid w:val="000B38F7"/>
    <w:rsid w:val="000B4446"/>
    <w:rsid w:val="001612B1"/>
    <w:rsid w:val="00186AF9"/>
    <w:rsid w:val="0026084E"/>
    <w:rsid w:val="002A719A"/>
    <w:rsid w:val="002E2221"/>
    <w:rsid w:val="00373CB0"/>
    <w:rsid w:val="0038510D"/>
    <w:rsid w:val="003B26E4"/>
    <w:rsid w:val="003D1473"/>
    <w:rsid w:val="005240FD"/>
    <w:rsid w:val="005429F3"/>
    <w:rsid w:val="00586C19"/>
    <w:rsid w:val="00692F83"/>
    <w:rsid w:val="007A6E0E"/>
    <w:rsid w:val="00885F49"/>
    <w:rsid w:val="008D0F37"/>
    <w:rsid w:val="00A0323F"/>
    <w:rsid w:val="00A2305B"/>
    <w:rsid w:val="00A25FB6"/>
    <w:rsid w:val="00A826E5"/>
    <w:rsid w:val="00B05B4B"/>
    <w:rsid w:val="00BD6AF3"/>
    <w:rsid w:val="00C973CA"/>
    <w:rsid w:val="00E74032"/>
    <w:rsid w:val="00EB22C8"/>
    <w:rsid w:val="00ED225D"/>
    <w:rsid w:val="00F1669E"/>
    <w:rsid w:val="012B5576"/>
    <w:rsid w:val="013D4B60"/>
    <w:rsid w:val="01524DE4"/>
    <w:rsid w:val="016E20AC"/>
    <w:rsid w:val="0172376C"/>
    <w:rsid w:val="01937C28"/>
    <w:rsid w:val="02E92312"/>
    <w:rsid w:val="02EA6FC5"/>
    <w:rsid w:val="03893171"/>
    <w:rsid w:val="03C020B7"/>
    <w:rsid w:val="049752DD"/>
    <w:rsid w:val="04E86B91"/>
    <w:rsid w:val="04FF173F"/>
    <w:rsid w:val="055A7F44"/>
    <w:rsid w:val="058761A0"/>
    <w:rsid w:val="05C9468B"/>
    <w:rsid w:val="05DA763D"/>
    <w:rsid w:val="05EE1047"/>
    <w:rsid w:val="06320837"/>
    <w:rsid w:val="065D2980"/>
    <w:rsid w:val="074A5D27"/>
    <w:rsid w:val="07E07279"/>
    <w:rsid w:val="07F92946"/>
    <w:rsid w:val="08575FBE"/>
    <w:rsid w:val="08710F69"/>
    <w:rsid w:val="08E21658"/>
    <w:rsid w:val="08E46EA7"/>
    <w:rsid w:val="090441B5"/>
    <w:rsid w:val="094037B7"/>
    <w:rsid w:val="094D77D0"/>
    <w:rsid w:val="0A1977EC"/>
    <w:rsid w:val="0A2148B9"/>
    <w:rsid w:val="0A3D69D8"/>
    <w:rsid w:val="0A7F0E46"/>
    <w:rsid w:val="0AA5575B"/>
    <w:rsid w:val="0ABE65A1"/>
    <w:rsid w:val="0AC460B7"/>
    <w:rsid w:val="0AD225F7"/>
    <w:rsid w:val="0AE962F7"/>
    <w:rsid w:val="0B485214"/>
    <w:rsid w:val="0B673342"/>
    <w:rsid w:val="0C5919D1"/>
    <w:rsid w:val="0C6E6689"/>
    <w:rsid w:val="0CB71D6A"/>
    <w:rsid w:val="0D555024"/>
    <w:rsid w:val="0D72469C"/>
    <w:rsid w:val="0ECB6B19"/>
    <w:rsid w:val="0EDC2522"/>
    <w:rsid w:val="0EF41315"/>
    <w:rsid w:val="0FB90435"/>
    <w:rsid w:val="0FDA030E"/>
    <w:rsid w:val="10EE19D3"/>
    <w:rsid w:val="11D13A86"/>
    <w:rsid w:val="11FA160D"/>
    <w:rsid w:val="11FE30F5"/>
    <w:rsid w:val="12052094"/>
    <w:rsid w:val="12A12A75"/>
    <w:rsid w:val="12EE2A19"/>
    <w:rsid w:val="14055F2A"/>
    <w:rsid w:val="14622397"/>
    <w:rsid w:val="14A10D4F"/>
    <w:rsid w:val="15376B99"/>
    <w:rsid w:val="15783F61"/>
    <w:rsid w:val="15F44672"/>
    <w:rsid w:val="16A776B7"/>
    <w:rsid w:val="17293D79"/>
    <w:rsid w:val="17411E34"/>
    <w:rsid w:val="192E5AC4"/>
    <w:rsid w:val="19BD4746"/>
    <w:rsid w:val="19CE5CE6"/>
    <w:rsid w:val="19FA202D"/>
    <w:rsid w:val="1A1051CA"/>
    <w:rsid w:val="1A3F4DF4"/>
    <w:rsid w:val="1AA56C42"/>
    <w:rsid w:val="1B400146"/>
    <w:rsid w:val="1B4D2BF1"/>
    <w:rsid w:val="1BA32316"/>
    <w:rsid w:val="1BEF5095"/>
    <w:rsid w:val="1C4E2EFE"/>
    <w:rsid w:val="1C784BE4"/>
    <w:rsid w:val="1C8361D3"/>
    <w:rsid w:val="1C8800DD"/>
    <w:rsid w:val="1CFB4B98"/>
    <w:rsid w:val="1D746DE1"/>
    <w:rsid w:val="1EB23D94"/>
    <w:rsid w:val="1EDC0931"/>
    <w:rsid w:val="1F37047D"/>
    <w:rsid w:val="1FD560AD"/>
    <w:rsid w:val="20FD4B17"/>
    <w:rsid w:val="213D605E"/>
    <w:rsid w:val="214964AC"/>
    <w:rsid w:val="214D4EB3"/>
    <w:rsid w:val="226513C9"/>
    <w:rsid w:val="232868DC"/>
    <w:rsid w:val="23671171"/>
    <w:rsid w:val="240B7C0A"/>
    <w:rsid w:val="247C3F22"/>
    <w:rsid w:val="24836D69"/>
    <w:rsid w:val="24A9123F"/>
    <w:rsid w:val="24DA5084"/>
    <w:rsid w:val="26806A39"/>
    <w:rsid w:val="2685523F"/>
    <w:rsid w:val="27125FA8"/>
    <w:rsid w:val="271B159C"/>
    <w:rsid w:val="273C40BC"/>
    <w:rsid w:val="27642EE2"/>
    <w:rsid w:val="27AA5AD0"/>
    <w:rsid w:val="27C634CD"/>
    <w:rsid w:val="282B368D"/>
    <w:rsid w:val="28B0474F"/>
    <w:rsid w:val="293671FE"/>
    <w:rsid w:val="293B2135"/>
    <w:rsid w:val="29442B98"/>
    <w:rsid w:val="29AA23E9"/>
    <w:rsid w:val="29AC58EC"/>
    <w:rsid w:val="29F51563"/>
    <w:rsid w:val="2A365850"/>
    <w:rsid w:val="2AE77BF2"/>
    <w:rsid w:val="2AF96942"/>
    <w:rsid w:val="2B0F6777"/>
    <w:rsid w:val="2B705804"/>
    <w:rsid w:val="2B930ED6"/>
    <w:rsid w:val="2C264CFB"/>
    <w:rsid w:val="2CAE1BBE"/>
    <w:rsid w:val="2DA83E6E"/>
    <w:rsid w:val="2E874865"/>
    <w:rsid w:val="2EB97B04"/>
    <w:rsid w:val="2FD14693"/>
    <w:rsid w:val="30CF3133"/>
    <w:rsid w:val="31507277"/>
    <w:rsid w:val="31E367AE"/>
    <w:rsid w:val="31FD2C13"/>
    <w:rsid w:val="32160E68"/>
    <w:rsid w:val="334B460B"/>
    <w:rsid w:val="33B2575C"/>
    <w:rsid w:val="33F42DE4"/>
    <w:rsid w:val="34086058"/>
    <w:rsid w:val="34280C1E"/>
    <w:rsid w:val="34792CC6"/>
    <w:rsid w:val="34AE3693"/>
    <w:rsid w:val="34DA16C6"/>
    <w:rsid w:val="35301450"/>
    <w:rsid w:val="3555038B"/>
    <w:rsid w:val="35771BC5"/>
    <w:rsid w:val="36926EE6"/>
    <w:rsid w:val="37580B6B"/>
    <w:rsid w:val="37BC6E85"/>
    <w:rsid w:val="380033C4"/>
    <w:rsid w:val="38A677FE"/>
    <w:rsid w:val="38B90A1D"/>
    <w:rsid w:val="396E39C4"/>
    <w:rsid w:val="3A361B71"/>
    <w:rsid w:val="3B233415"/>
    <w:rsid w:val="3B88278A"/>
    <w:rsid w:val="3BD6108A"/>
    <w:rsid w:val="3C1315F4"/>
    <w:rsid w:val="3D4D544D"/>
    <w:rsid w:val="3DA47C31"/>
    <w:rsid w:val="3DEE6DAB"/>
    <w:rsid w:val="3E3948A1"/>
    <w:rsid w:val="3EAA2E95"/>
    <w:rsid w:val="3EC115E0"/>
    <w:rsid w:val="3EEC344B"/>
    <w:rsid w:val="3F545B3A"/>
    <w:rsid w:val="3F5C36FF"/>
    <w:rsid w:val="40095F44"/>
    <w:rsid w:val="409A440B"/>
    <w:rsid w:val="40F41E3E"/>
    <w:rsid w:val="412255E9"/>
    <w:rsid w:val="420F77F0"/>
    <w:rsid w:val="428471F1"/>
    <w:rsid w:val="42872932"/>
    <w:rsid w:val="42907DEC"/>
    <w:rsid w:val="430C7C4A"/>
    <w:rsid w:val="43F5638C"/>
    <w:rsid w:val="440246FB"/>
    <w:rsid w:val="44513222"/>
    <w:rsid w:val="447E6694"/>
    <w:rsid w:val="44FB21D6"/>
    <w:rsid w:val="45554E75"/>
    <w:rsid w:val="467E5DB6"/>
    <w:rsid w:val="46C27E2B"/>
    <w:rsid w:val="470E2BC8"/>
    <w:rsid w:val="47A8679C"/>
    <w:rsid w:val="48197D55"/>
    <w:rsid w:val="491A0BFD"/>
    <w:rsid w:val="495810E0"/>
    <w:rsid w:val="49DC660B"/>
    <w:rsid w:val="49F308E0"/>
    <w:rsid w:val="4A2C64BB"/>
    <w:rsid w:val="4B0A36B3"/>
    <w:rsid w:val="4B1A7075"/>
    <w:rsid w:val="4B7A5E26"/>
    <w:rsid w:val="4B7E5E68"/>
    <w:rsid w:val="4B83684D"/>
    <w:rsid w:val="4C644E61"/>
    <w:rsid w:val="4C9D338A"/>
    <w:rsid w:val="4D3F2693"/>
    <w:rsid w:val="4D5F057C"/>
    <w:rsid w:val="4D7758FC"/>
    <w:rsid w:val="4DCD49C2"/>
    <w:rsid w:val="4E287FC5"/>
    <w:rsid w:val="4E6A42F1"/>
    <w:rsid w:val="4E7937FC"/>
    <w:rsid w:val="4F4B26A6"/>
    <w:rsid w:val="4F687340"/>
    <w:rsid w:val="505066D1"/>
    <w:rsid w:val="505C668F"/>
    <w:rsid w:val="506E5C81"/>
    <w:rsid w:val="50BA3B81"/>
    <w:rsid w:val="50BD4B06"/>
    <w:rsid w:val="51040785"/>
    <w:rsid w:val="51160FE4"/>
    <w:rsid w:val="51CE390B"/>
    <w:rsid w:val="520410DB"/>
    <w:rsid w:val="520B38BA"/>
    <w:rsid w:val="523555EC"/>
    <w:rsid w:val="52511B3C"/>
    <w:rsid w:val="52891824"/>
    <w:rsid w:val="52C051D0"/>
    <w:rsid w:val="542D7105"/>
    <w:rsid w:val="54336CC9"/>
    <w:rsid w:val="545C0475"/>
    <w:rsid w:val="550D2817"/>
    <w:rsid w:val="55761BAF"/>
    <w:rsid w:val="55A4620D"/>
    <w:rsid w:val="561F13DA"/>
    <w:rsid w:val="56321D83"/>
    <w:rsid w:val="5675522A"/>
    <w:rsid w:val="56ED3277"/>
    <w:rsid w:val="575B3360"/>
    <w:rsid w:val="575C7D57"/>
    <w:rsid w:val="57705548"/>
    <w:rsid w:val="57DE61E7"/>
    <w:rsid w:val="58693E8C"/>
    <w:rsid w:val="58C1740C"/>
    <w:rsid w:val="598D6B88"/>
    <w:rsid w:val="5A2D2F1F"/>
    <w:rsid w:val="5AB12815"/>
    <w:rsid w:val="5AE30C9D"/>
    <w:rsid w:val="5B767C9D"/>
    <w:rsid w:val="5BB12F7A"/>
    <w:rsid w:val="5D385380"/>
    <w:rsid w:val="5DEA26E1"/>
    <w:rsid w:val="5E1E68F7"/>
    <w:rsid w:val="5E4332B3"/>
    <w:rsid w:val="5F3A0F0C"/>
    <w:rsid w:val="5FE771E7"/>
    <w:rsid w:val="5FED69F6"/>
    <w:rsid w:val="60C167EF"/>
    <w:rsid w:val="60D809DC"/>
    <w:rsid w:val="60F1769A"/>
    <w:rsid w:val="61534246"/>
    <w:rsid w:val="615D70C1"/>
    <w:rsid w:val="634F7FDD"/>
    <w:rsid w:val="63DE41BE"/>
    <w:rsid w:val="6455294F"/>
    <w:rsid w:val="645E03E9"/>
    <w:rsid w:val="64911B42"/>
    <w:rsid w:val="649A79EF"/>
    <w:rsid w:val="64E75689"/>
    <w:rsid w:val="65172860"/>
    <w:rsid w:val="65B761F3"/>
    <w:rsid w:val="66230D57"/>
    <w:rsid w:val="667A4C22"/>
    <w:rsid w:val="66B6078F"/>
    <w:rsid w:val="67C81E63"/>
    <w:rsid w:val="67E97064"/>
    <w:rsid w:val="685D143A"/>
    <w:rsid w:val="687A1374"/>
    <w:rsid w:val="69067592"/>
    <w:rsid w:val="69A43B52"/>
    <w:rsid w:val="69F20F61"/>
    <w:rsid w:val="6AA47B81"/>
    <w:rsid w:val="6B70777C"/>
    <w:rsid w:val="6B8D2F01"/>
    <w:rsid w:val="6BE66EDE"/>
    <w:rsid w:val="6BF825B0"/>
    <w:rsid w:val="6C210BC2"/>
    <w:rsid w:val="6C333419"/>
    <w:rsid w:val="6C6A2195"/>
    <w:rsid w:val="6C737FB3"/>
    <w:rsid w:val="6C88441D"/>
    <w:rsid w:val="6CF64A51"/>
    <w:rsid w:val="6F4F392C"/>
    <w:rsid w:val="701B28B0"/>
    <w:rsid w:val="704241B9"/>
    <w:rsid w:val="70D24CB2"/>
    <w:rsid w:val="70F133F4"/>
    <w:rsid w:val="719C7770"/>
    <w:rsid w:val="71DB1D5C"/>
    <w:rsid w:val="723A1D75"/>
    <w:rsid w:val="729E789B"/>
    <w:rsid w:val="72B811F3"/>
    <w:rsid w:val="72CB5DE1"/>
    <w:rsid w:val="73806A67"/>
    <w:rsid w:val="738F6E24"/>
    <w:rsid w:val="73DC2DCE"/>
    <w:rsid w:val="74716D26"/>
    <w:rsid w:val="74B56D0C"/>
    <w:rsid w:val="74D83748"/>
    <w:rsid w:val="75254B27"/>
    <w:rsid w:val="756B6CE8"/>
    <w:rsid w:val="759A0322"/>
    <w:rsid w:val="766205ED"/>
    <w:rsid w:val="767A68A9"/>
    <w:rsid w:val="76A7323D"/>
    <w:rsid w:val="77755368"/>
    <w:rsid w:val="77DD7433"/>
    <w:rsid w:val="784F4804"/>
    <w:rsid w:val="78846F38"/>
    <w:rsid w:val="78D645E4"/>
    <w:rsid w:val="78DB4815"/>
    <w:rsid w:val="79795F5A"/>
    <w:rsid w:val="79F57AA2"/>
    <w:rsid w:val="7A2A7DC3"/>
    <w:rsid w:val="7A5D1A50"/>
    <w:rsid w:val="7B1E0809"/>
    <w:rsid w:val="7B6A44CF"/>
    <w:rsid w:val="7B823DB1"/>
    <w:rsid w:val="7BF01B10"/>
    <w:rsid w:val="7C2E5873"/>
    <w:rsid w:val="7C5C2BCF"/>
    <w:rsid w:val="7D0C0035"/>
    <w:rsid w:val="7D2221D8"/>
    <w:rsid w:val="7D3014EE"/>
    <w:rsid w:val="7D892E81"/>
    <w:rsid w:val="7DF80F37"/>
    <w:rsid w:val="7F3E58B3"/>
    <w:rsid w:val="7FB67F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200" w:firstLineChars="200"/>
    </w:pPr>
  </w:style>
  <w:style w:type="paragraph" w:styleId="3">
    <w:name w:val="annotation text"/>
    <w:basedOn w:val="1"/>
    <w:qFormat/>
    <w:uiPriority w:val="0"/>
    <w:pPr>
      <w:jc w:val="left"/>
    </w:pPr>
  </w:style>
  <w:style w:type="paragraph" w:styleId="4">
    <w:name w:val="Body Text"/>
    <w:basedOn w:val="1"/>
    <w:next w:val="5"/>
    <w:qFormat/>
    <w:uiPriority w:val="99"/>
    <w:pPr>
      <w:spacing w:after="120"/>
    </w:pPr>
  </w:style>
  <w:style w:type="paragraph" w:customStyle="1" w:styleId="5">
    <w:name w:val="_Style 3"/>
    <w:basedOn w:val="1"/>
    <w:qFormat/>
    <w:uiPriority w:val="34"/>
    <w:pPr>
      <w:ind w:firstLine="420"/>
    </w:pPr>
    <w:rPr>
      <w:rFonts w:ascii="Calibri" w:hAnsi="Calibri"/>
    </w:rPr>
  </w:style>
  <w:style w:type="paragraph" w:styleId="6">
    <w:name w:val="Balloon Text"/>
    <w:basedOn w:val="1"/>
    <w:link w:val="14"/>
    <w:qFormat/>
    <w:uiPriority w:val="0"/>
    <w:rPr>
      <w:sz w:val="18"/>
      <w:szCs w:val="18"/>
    </w:rPr>
  </w:style>
  <w:style w:type="paragraph" w:styleId="7">
    <w:name w:val="footer"/>
    <w:basedOn w:val="1"/>
    <w:qFormat/>
    <w:uiPriority w:val="99"/>
    <w:pPr>
      <w:tabs>
        <w:tab w:val="center" w:pos="4153"/>
        <w:tab w:val="right" w:pos="8306"/>
      </w:tabs>
      <w:snapToGrid w:val="0"/>
      <w:jc w:val="left"/>
    </w:pPr>
    <w:rPr>
      <w:sz w:val="18"/>
      <w:szCs w:val="18"/>
    </w:rPr>
  </w:style>
  <w:style w:type="paragraph" w:styleId="8">
    <w:name w:val="header"/>
    <w:basedOn w:val="1"/>
    <w:qFormat/>
    <w:uiPriority w:val="99"/>
    <w:pPr>
      <w:tabs>
        <w:tab w:val="center" w:pos="4153"/>
        <w:tab w:val="right" w:pos="8306"/>
      </w:tabs>
      <w:snapToGrid w:val="0"/>
      <w:jc w:val="center"/>
    </w:pPr>
    <w:rPr>
      <w:sz w:val="18"/>
      <w:szCs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table" w:styleId="11">
    <w:name w:val="Table Grid"/>
    <w:basedOn w:val="10"/>
    <w:qFormat/>
    <w:uiPriority w:val="39"/>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正文2"/>
    <w:basedOn w:val="1"/>
    <w:next w:val="1"/>
    <w:qFormat/>
    <w:uiPriority w:val="0"/>
    <w:pPr>
      <w:spacing w:line="400" w:lineRule="exact"/>
    </w:pPr>
    <w:rPr>
      <w:rFonts w:eastAsia="等线"/>
    </w:rPr>
  </w:style>
  <w:style w:type="character" w:customStyle="1" w:styleId="14">
    <w:name w:val="批注框文本 字符"/>
    <w:basedOn w:val="12"/>
    <w:link w:val="6"/>
    <w:qFormat/>
    <w:uiPriority w:val="0"/>
    <w:rPr>
      <w:kern w:val="2"/>
      <w:sz w:val="18"/>
      <w:szCs w:val="18"/>
    </w:rPr>
  </w:style>
  <w:style w:type="paragraph" w:customStyle="1" w:styleId="15">
    <w:name w:val="缺省文本"/>
    <w:basedOn w:val="1"/>
    <w:qFormat/>
    <w:uiPriority w:val="0"/>
    <w:pPr>
      <w:autoSpaceDE w:val="0"/>
      <w:autoSpaceDN w:val="0"/>
      <w:adjustRightInd w:val="0"/>
      <w:jc w:val="left"/>
    </w:pPr>
    <w:rPr>
      <w:kern w:val="0"/>
      <w:sz w:val="24"/>
      <w:szCs w:val="20"/>
    </w:rPr>
  </w:style>
  <w:style w:type="paragraph" w:customStyle="1" w:styleId="16">
    <w:name w:val="Body text|1"/>
    <w:basedOn w:val="1"/>
    <w:qFormat/>
    <w:uiPriority w:val="0"/>
    <w:pPr>
      <w:spacing w:after="120" w:line="288" w:lineRule="auto"/>
    </w:pPr>
    <w:rPr>
      <w:rFonts w:ascii="宋体" w:hAnsi="宋体" w:cs="宋体"/>
      <w:sz w:val="22"/>
      <w:szCs w:val="22"/>
      <w:lang w:val="zh-TW" w:eastAsia="zh-TW" w:bidi="zh-TW"/>
    </w:rPr>
  </w:style>
  <w:style w:type="paragraph" w:customStyle="1" w:styleId="17">
    <w:name w:val="Table Text"/>
    <w:basedOn w:val="1"/>
    <w:semiHidden/>
    <w:qFormat/>
    <w:uiPriority w:val="0"/>
    <w:rPr>
      <w:rFonts w:ascii="宋体" w:hAnsi="宋体" w:eastAsia="宋体" w:cs="宋体"/>
      <w:sz w:val="25"/>
      <w:szCs w:val="25"/>
      <w:lang w:val="en-US" w:eastAsia="en-US" w:bidi="ar-SA"/>
    </w:rPr>
  </w:style>
  <w:style w:type="table" w:customStyle="1" w:styleId="1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57AD933-1F4D-4959-B3C5-AC88DDFF85B4}">
  <ds:schemaRefs/>
</ds:datastoreItem>
</file>

<file path=docProps/app.xml><?xml version="1.0" encoding="utf-8"?>
<Properties xmlns="http://schemas.openxmlformats.org/officeDocument/2006/extended-properties" xmlns:vt="http://schemas.openxmlformats.org/officeDocument/2006/docPropsVTypes">
  <Template>Normal</Template>
  <Pages>7</Pages>
  <Words>2270</Words>
  <Characters>2399</Characters>
  <Lines>8</Lines>
  <Paragraphs>2</Paragraphs>
  <TotalTime>38</TotalTime>
  <ScaleCrop>false</ScaleCrop>
  <LinksUpToDate>false</LinksUpToDate>
  <CharactersWithSpaces>2435</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2023-03-22T06:47:00Z</dcterms:created>
  <dc:creator>Administrator</dc:creator>
  <cp:lastModifiedBy>其不然果</cp:lastModifiedBy>
  <cp:lastPrinted>2023-09-04T08:46:00Z</cp:lastPrinted>
  <dcterms:modified xsi:type="dcterms:W3CDTF">2026-07-02T09:19:19Z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0AC1EF2F1AE14A729216AF4EA7B48957_13</vt:lpwstr>
  </property>
  <property fmtid="{D5CDD505-2E9C-101B-9397-08002B2CF9AE}" pid="4" name="KSOTemplateDocerSaveRecord">
    <vt:lpwstr>eyJoZGlkIjoiOWY2YWEzYjhkMWU0YjMxMTUxMzg0YmJjNzdkNDUwY2IiLCJ1c2VySWQiOiI0OTI4Mzk1MDcifQ==</vt:lpwstr>
  </property>
</Properties>
</file>