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BD1C8" w14:textId="77777777" w:rsidR="00635ABF" w:rsidRPr="00567B58" w:rsidRDefault="00000000" w:rsidP="00567B58">
      <w:pPr>
        <w:spacing w:line="580" w:lineRule="exact"/>
        <w:jc w:val="center"/>
        <w:rPr>
          <w:rFonts w:ascii="方正小标宋_GBK" w:eastAsia="方正小标宋_GBK" w:hAnsi="方正小标宋_GBK" w:cs="方正小标宋_GBK" w:hint="eastAsia"/>
          <w:sz w:val="44"/>
          <w:szCs w:val="44"/>
        </w:rPr>
      </w:pPr>
      <w:proofErr w:type="gramStart"/>
      <w:r w:rsidRPr="00567B58">
        <w:rPr>
          <w:rFonts w:ascii="方正小标宋_GBK" w:eastAsia="方正小标宋_GBK" w:hAnsi="方正小标宋_GBK" w:cs="方正小标宋_GBK" w:hint="eastAsia"/>
          <w:sz w:val="44"/>
          <w:szCs w:val="44"/>
        </w:rPr>
        <w:t>南通赛格时代</w:t>
      </w:r>
      <w:proofErr w:type="gramEnd"/>
      <w:r w:rsidRPr="00567B58">
        <w:rPr>
          <w:rFonts w:ascii="方正小标宋_GBK" w:eastAsia="方正小标宋_GBK" w:hAnsi="方正小标宋_GBK" w:cs="方正小标宋_GBK" w:hint="eastAsia"/>
          <w:sz w:val="44"/>
          <w:szCs w:val="44"/>
        </w:rPr>
        <w:t>广场发展有限公司</w:t>
      </w:r>
    </w:p>
    <w:p w14:paraId="0492B270" w14:textId="77777777" w:rsidR="00635ABF" w:rsidRPr="00567B58" w:rsidRDefault="00000000" w:rsidP="00567B58">
      <w:pPr>
        <w:spacing w:line="580" w:lineRule="exact"/>
        <w:jc w:val="center"/>
        <w:rPr>
          <w:rFonts w:ascii="方正小标宋_GBK" w:eastAsia="方正小标宋_GBK" w:hAnsi="方正小标宋_GBK" w:cs="方正小标宋_GBK" w:hint="eastAsia"/>
          <w:sz w:val="44"/>
          <w:szCs w:val="44"/>
        </w:rPr>
      </w:pPr>
      <w:r w:rsidRPr="00567B58">
        <w:rPr>
          <w:rFonts w:ascii="方正小标宋_GBK" w:eastAsia="方正小标宋_GBK" w:hAnsi="方正小标宋_GBK" w:cs="方正小标宋_GBK" w:hint="eastAsia"/>
          <w:sz w:val="44"/>
          <w:szCs w:val="44"/>
        </w:rPr>
        <w:t>关于持有物业委托开放式非独家招商代理服务佣金公开询价的公告</w:t>
      </w:r>
    </w:p>
    <w:p w14:paraId="705DBBCE" w14:textId="77777777" w:rsidR="00635ABF" w:rsidRDefault="00635ABF">
      <w:pPr>
        <w:pStyle w:val="a5"/>
        <w:widowControl/>
        <w:spacing w:beforeAutospacing="0" w:afterAutospacing="0"/>
        <w:jc w:val="both"/>
        <w:rPr>
          <w:rFonts w:ascii="仿宋" w:eastAsia="仿宋" w:hAnsi="仿宋" w:hint="eastAsia"/>
          <w:sz w:val="32"/>
          <w:szCs w:val="32"/>
          <w:lang w:val="zh-TW"/>
        </w:rPr>
      </w:pPr>
    </w:p>
    <w:p w14:paraId="586949F3" w14:textId="77777777" w:rsidR="00635ABF" w:rsidRDefault="00000000">
      <w:pPr>
        <w:pStyle w:val="a5"/>
        <w:widowControl/>
        <w:spacing w:beforeAutospacing="0" w:afterAutospacing="0" w:line="580" w:lineRule="exact"/>
        <w:ind w:firstLineChars="200" w:firstLine="640"/>
        <w:jc w:val="both"/>
        <w:rPr>
          <w:rFonts w:ascii="仿宋" w:eastAsia="仿宋" w:hAnsi="仿宋" w:hint="eastAsia"/>
          <w:sz w:val="32"/>
          <w:szCs w:val="32"/>
          <w:lang w:val="zh-TW"/>
        </w:rPr>
      </w:pPr>
      <w:r>
        <w:rPr>
          <w:rFonts w:ascii="仿宋" w:eastAsia="仿宋" w:hAnsi="仿宋" w:hint="eastAsia"/>
          <w:sz w:val="32"/>
          <w:szCs w:val="32"/>
          <w:lang w:val="zh-TW"/>
        </w:rPr>
        <w:t>依据</w:t>
      </w:r>
      <w:proofErr w:type="gramStart"/>
      <w:r>
        <w:rPr>
          <w:rFonts w:ascii="仿宋" w:eastAsia="仿宋" w:hAnsi="仿宋" w:hint="eastAsia"/>
          <w:sz w:val="32"/>
          <w:szCs w:val="32"/>
        </w:rPr>
        <w:t>南通赛格时代</w:t>
      </w:r>
      <w:proofErr w:type="gramEnd"/>
      <w:r>
        <w:rPr>
          <w:rFonts w:ascii="仿宋" w:eastAsia="仿宋" w:hAnsi="仿宋" w:hint="eastAsia"/>
          <w:sz w:val="32"/>
          <w:szCs w:val="32"/>
        </w:rPr>
        <w:t>广场发展</w:t>
      </w:r>
      <w:r>
        <w:rPr>
          <w:rFonts w:ascii="仿宋" w:eastAsia="仿宋" w:hAnsi="仿宋" w:hint="eastAsia"/>
          <w:sz w:val="32"/>
          <w:szCs w:val="32"/>
          <w:lang w:val="zh-TW"/>
        </w:rPr>
        <w:t>有限公司业务发展规划，为精准掌握中介市场实际情况，公司拟开展“中介</w:t>
      </w:r>
      <w:r>
        <w:rPr>
          <w:rFonts w:ascii="仿宋" w:eastAsia="仿宋" w:hAnsi="仿宋" w:hint="eastAsia"/>
          <w:sz w:val="32"/>
          <w:szCs w:val="32"/>
        </w:rPr>
        <w:t>招商</w:t>
      </w:r>
      <w:r>
        <w:rPr>
          <w:rFonts w:ascii="仿宋" w:eastAsia="仿宋" w:hAnsi="仿宋" w:hint="eastAsia"/>
          <w:sz w:val="32"/>
          <w:szCs w:val="32"/>
          <w:lang w:val="zh-TW"/>
        </w:rPr>
        <w:t>代理服务”市场</w:t>
      </w:r>
      <w:r>
        <w:rPr>
          <w:rFonts w:ascii="仿宋" w:eastAsia="仿宋" w:hAnsi="仿宋" w:hint="eastAsia"/>
          <w:sz w:val="32"/>
          <w:szCs w:val="32"/>
        </w:rPr>
        <w:t>佣金</w:t>
      </w:r>
      <w:r>
        <w:rPr>
          <w:rFonts w:ascii="仿宋" w:eastAsia="仿宋" w:hAnsi="仿宋" w:hint="eastAsia"/>
          <w:sz w:val="32"/>
          <w:szCs w:val="32"/>
          <w:lang w:val="zh-TW"/>
        </w:rPr>
        <w:t>价格调研及公开询价工作。具体内容如下：</w:t>
      </w:r>
    </w:p>
    <w:p w14:paraId="74F04196" w14:textId="77777777" w:rsidR="00635ABF" w:rsidRDefault="00000000">
      <w:pPr>
        <w:pStyle w:val="a5"/>
        <w:widowControl/>
        <w:spacing w:beforeAutospacing="0" w:afterAutospacing="0" w:line="580" w:lineRule="exact"/>
        <w:ind w:firstLineChars="200" w:firstLine="640"/>
        <w:jc w:val="both"/>
        <w:rPr>
          <w:rFonts w:ascii="黑体" w:eastAsia="黑体" w:hAnsi="黑体" w:cs="黑体" w:hint="eastAsia"/>
          <w:sz w:val="32"/>
          <w:szCs w:val="32"/>
        </w:rPr>
      </w:pPr>
      <w:r>
        <w:rPr>
          <w:rFonts w:ascii="黑体" w:eastAsia="黑体" w:hAnsi="黑体" w:cs="黑体" w:hint="eastAsia"/>
          <w:sz w:val="32"/>
          <w:szCs w:val="32"/>
        </w:rPr>
        <w:t>一、公司简介</w:t>
      </w:r>
    </w:p>
    <w:p w14:paraId="3AD9E7C0" w14:textId="77777777" w:rsidR="00635ABF" w:rsidRDefault="00000000">
      <w:pPr>
        <w:spacing w:line="580" w:lineRule="exact"/>
        <w:ind w:firstLineChars="200" w:firstLine="640"/>
        <w:rPr>
          <w:rFonts w:ascii="仿宋" w:eastAsia="仿宋" w:hAnsi="仿宋" w:cs="仿宋" w:hint="eastAsia"/>
          <w:sz w:val="32"/>
          <w:szCs w:val="32"/>
        </w:rPr>
      </w:pPr>
      <w:proofErr w:type="gramStart"/>
      <w:r>
        <w:rPr>
          <w:rFonts w:ascii="仿宋" w:eastAsia="仿宋" w:hAnsi="仿宋" w:cs="仿宋" w:hint="eastAsia"/>
          <w:sz w:val="32"/>
          <w:szCs w:val="32"/>
        </w:rPr>
        <w:t>南通赛格时代</w:t>
      </w:r>
      <w:proofErr w:type="gramEnd"/>
      <w:r>
        <w:rPr>
          <w:rFonts w:ascii="仿宋" w:eastAsia="仿宋" w:hAnsi="仿宋" w:cs="仿宋" w:hint="eastAsia"/>
          <w:sz w:val="32"/>
          <w:szCs w:val="32"/>
        </w:rPr>
        <w:t>广场发展有限公司于2013年成立，位于江苏省南通市崇川区深南路89号，注册资本为3000万元，主营房地产开发经营、非居住房地产租赁、物业管理等业务。</w:t>
      </w:r>
    </w:p>
    <w:p w14:paraId="0FF5B614" w14:textId="77777777" w:rsidR="00635ABF" w:rsidRDefault="00000000">
      <w:pPr>
        <w:spacing w:line="580" w:lineRule="exact"/>
        <w:ind w:firstLineChars="200" w:firstLine="640"/>
        <w:rPr>
          <w:sz w:val="32"/>
          <w:szCs w:val="32"/>
        </w:rPr>
      </w:pPr>
      <w:r>
        <w:rPr>
          <w:rFonts w:ascii="仿宋" w:eastAsia="仿宋" w:hAnsi="仿宋" w:cs="仿宋" w:hint="eastAsia"/>
          <w:sz w:val="32"/>
          <w:szCs w:val="32"/>
        </w:rPr>
        <w:t>本项目地处五龙商圈的核心位置，在周边1-3公里的范围内，集聚了多个具有国际化水平、高品质的商业体，构建起了“大型综合体+特色商业街+便民商业”的多层次配套体系。周边分布着山</w:t>
      </w:r>
      <w:proofErr w:type="gramStart"/>
      <w:r>
        <w:rPr>
          <w:rFonts w:ascii="仿宋" w:eastAsia="仿宋" w:hAnsi="仿宋" w:cs="仿宋" w:hint="eastAsia"/>
          <w:sz w:val="32"/>
          <w:szCs w:val="32"/>
        </w:rPr>
        <w:t>姆</w:t>
      </w:r>
      <w:proofErr w:type="gramEnd"/>
      <w:r>
        <w:rPr>
          <w:rFonts w:ascii="仿宋" w:eastAsia="仿宋" w:hAnsi="仿宋" w:cs="仿宋" w:hint="eastAsia"/>
          <w:sz w:val="32"/>
          <w:szCs w:val="32"/>
        </w:rPr>
        <w:t>会员商店、大润发、</w:t>
      </w:r>
      <w:proofErr w:type="gramStart"/>
      <w:r>
        <w:rPr>
          <w:rFonts w:ascii="仿宋" w:eastAsia="仿宋" w:hAnsi="仿宋" w:cs="仿宋" w:hint="eastAsia"/>
          <w:sz w:val="32"/>
          <w:szCs w:val="32"/>
        </w:rPr>
        <w:t>迪</w:t>
      </w:r>
      <w:proofErr w:type="gramEnd"/>
      <w:r>
        <w:rPr>
          <w:rFonts w:ascii="仿宋" w:eastAsia="仿宋" w:hAnsi="仿宋" w:cs="仿宋" w:hint="eastAsia"/>
          <w:sz w:val="32"/>
          <w:szCs w:val="32"/>
        </w:rPr>
        <w:t>卡</w:t>
      </w:r>
      <w:proofErr w:type="gramStart"/>
      <w:r>
        <w:rPr>
          <w:rFonts w:ascii="仿宋" w:eastAsia="仿宋" w:hAnsi="仿宋" w:cs="仿宋" w:hint="eastAsia"/>
          <w:sz w:val="32"/>
          <w:szCs w:val="32"/>
        </w:rPr>
        <w:t>侬</w:t>
      </w:r>
      <w:proofErr w:type="gramEnd"/>
      <w:r>
        <w:rPr>
          <w:rFonts w:ascii="仿宋" w:eastAsia="仿宋" w:hAnsi="仿宋" w:cs="仿宋" w:hint="eastAsia"/>
          <w:sz w:val="32"/>
          <w:szCs w:val="32"/>
        </w:rPr>
        <w:t xml:space="preserve">、龙信广场、万达广场等多个大型商业体，商业聚集效应显著。此外，周边银行网点数量众多，包含农业银行、南京银行等二十余家，可为商业活动提供金融方面的支持。 </w:t>
      </w:r>
    </w:p>
    <w:p w14:paraId="19E382EE" w14:textId="77777777" w:rsidR="00635ABF" w:rsidRDefault="00000000">
      <w:p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二、项目背景及物业概况</w:t>
      </w:r>
    </w:p>
    <w:p w14:paraId="3C584685" w14:textId="48F515B5" w:rsidR="00635ABF" w:rsidRDefault="00000000">
      <w:pPr>
        <w:spacing w:line="58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本次拟招租的物业为</w:t>
      </w:r>
      <w:proofErr w:type="gramStart"/>
      <w:r>
        <w:rPr>
          <w:rFonts w:ascii="仿宋" w:eastAsia="仿宋" w:hAnsi="仿宋" w:cs="仿宋" w:hint="eastAsia"/>
          <w:sz w:val="32"/>
          <w:szCs w:val="32"/>
        </w:rPr>
        <w:t>南通赛格时代</w:t>
      </w:r>
      <w:proofErr w:type="gramEnd"/>
      <w:r>
        <w:rPr>
          <w:rFonts w:ascii="仿宋" w:eastAsia="仿宋" w:hAnsi="仿宋" w:cs="仿宋" w:hint="eastAsia"/>
          <w:sz w:val="32"/>
          <w:szCs w:val="32"/>
        </w:rPr>
        <w:t>广场项目内公司</w:t>
      </w:r>
      <w:proofErr w:type="gramStart"/>
      <w:r>
        <w:rPr>
          <w:rFonts w:ascii="仿宋" w:eastAsia="仿宋" w:hAnsi="仿宋" w:cs="仿宋" w:hint="eastAsia"/>
          <w:sz w:val="32"/>
          <w:szCs w:val="32"/>
        </w:rPr>
        <w:t>自持</w:t>
      </w:r>
      <w:proofErr w:type="gramEnd"/>
      <w:r>
        <w:rPr>
          <w:rFonts w:ascii="仿宋" w:eastAsia="仿宋" w:hAnsi="仿宋" w:cs="仿宋" w:hint="eastAsia"/>
          <w:sz w:val="32"/>
          <w:szCs w:val="32"/>
        </w:rPr>
        <w:t>商业物业，整体规划为商业综合体，涵盖主题零售、休闲娱乐、商</w:t>
      </w:r>
      <w:r>
        <w:rPr>
          <w:rFonts w:ascii="仿宋" w:eastAsia="仿宋" w:hAnsi="仿宋" w:cs="仿宋" w:hint="eastAsia"/>
          <w:sz w:val="32"/>
          <w:szCs w:val="32"/>
        </w:rPr>
        <w:lastRenderedPageBreak/>
        <w:t>务配套等多元商业使用空间。本次可供租赁的物业建筑面积约为22015.92平方米，综合验收合格，一消合格，产权清晰；中央空调、自动扶梯、消防设施、通风设施、电力设施齐全，公共区域已完成基础装修。交通通达性良好，项目周边稳定客流充足，具备良好的商业经营基础。</w:t>
      </w:r>
    </w:p>
    <w:p w14:paraId="47C98A61" w14:textId="7D4E90D9" w:rsidR="00635ABF" w:rsidRDefault="00000000">
      <w:pPr>
        <w:jc w:val="center"/>
        <w:rPr>
          <w:rFonts w:ascii="仿宋" w:eastAsia="仿宋" w:hAnsi="仿宋" w:cs="仿宋" w:hint="eastAsia"/>
          <w:b/>
          <w:bCs/>
          <w:sz w:val="24"/>
        </w:rPr>
      </w:pPr>
      <w:r>
        <w:rPr>
          <w:rFonts w:ascii="仿宋" w:eastAsia="仿宋" w:hAnsi="仿宋" w:cs="仿宋" w:hint="eastAsia"/>
          <w:b/>
          <w:bCs/>
          <w:sz w:val="24"/>
        </w:rPr>
        <w:t>招租区域明细表</w:t>
      </w:r>
    </w:p>
    <w:tbl>
      <w:tblPr>
        <w:tblW w:w="8776" w:type="dxa"/>
        <w:tblInd w:w="93" w:type="dxa"/>
        <w:tblLook w:val="04A0" w:firstRow="1" w:lastRow="0" w:firstColumn="1" w:lastColumn="0" w:noHBand="0" w:noVBand="1"/>
      </w:tblPr>
      <w:tblGrid>
        <w:gridCol w:w="1130"/>
        <w:gridCol w:w="1130"/>
        <w:gridCol w:w="1287"/>
        <w:gridCol w:w="1287"/>
        <w:gridCol w:w="3942"/>
      </w:tblGrid>
      <w:tr w:rsidR="00635ABF" w14:paraId="190D137C" w14:textId="77777777">
        <w:trPr>
          <w:trHeight w:val="315"/>
        </w:trPr>
        <w:tc>
          <w:tcPr>
            <w:tcW w:w="1130" w:type="dxa"/>
            <w:vMerge w:val="restart"/>
            <w:tcBorders>
              <w:top w:val="single" w:sz="8" w:space="0" w:color="000000"/>
              <w:left w:val="single" w:sz="8" w:space="0" w:color="000000"/>
              <w:bottom w:val="single" w:sz="8" w:space="0" w:color="000000"/>
              <w:right w:val="single" w:sz="8" w:space="0" w:color="000000"/>
            </w:tcBorders>
            <w:noWrap/>
            <w:vAlign w:val="center"/>
          </w:tcPr>
          <w:p w14:paraId="54BE4841"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楼层</w:t>
            </w:r>
          </w:p>
        </w:tc>
        <w:tc>
          <w:tcPr>
            <w:tcW w:w="1130" w:type="dxa"/>
            <w:vMerge w:val="restart"/>
            <w:tcBorders>
              <w:top w:val="single" w:sz="8" w:space="0" w:color="000000"/>
              <w:left w:val="nil"/>
              <w:bottom w:val="single" w:sz="8" w:space="0" w:color="000000"/>
              <w:right w:val="single" w:sz="8" w:space="0" w:color="000000"/>
            </w:tcBorders>
            <w:noWrap/>
            <w:vAlign w:val="center"/>
          </w:tcPr>
          <w:p w14:paraId="65E206FF"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房屋用途</w:t>
            </w:r>
          </w:p>
        </w:tc>
        <w:tc>
          <w:tcPr>
            <w:tcW w:w="1287" w:type="dxa"/>
            <w:vMerge w:val="restart"/>
            <w:tcBorders>
              <w:top w:val="single" w:sz="8" w:space="0" w:color="000000"/>
              <w:left w:val="nil"/>
              <w:bottom w:val="single" w:sz="8" w:space="0" w:color="000000"/>
              <w:right w:val="single" w:sz="8" w:space="0" w:color="000000"/>
            </w:tcBorders>
            <w:vAlign w:val="center"/>
          </w:tcPr>
          <w:p w14:paraId="467C9A8F"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套内面积</w:t>
            </w:r>
            <w:r>
              <w:rPr>
                <w:rFonts w:ascii="仿宋" w:eastAsia="仿宋" w:hAnsi="仿宋" w:cs="仿宋" w:hint="eastAsia"/>
                <w:b/>
                <w:bCs/>
                <w:color w:val="000000"/>
                <w:kern w:val="0"/>
                <w:szCs w:val="21"/>
                <w:lang w:bidi="ar"/>
              </w:rPr>
              <w:br/>
              <w:t>（㎡）</w:t>
            </w:r>
          </w:p>
        </w:tc>
        <w:tc>
          <w:tcPr>
            <w:tcW w:w="1287" w:type="dxa"/>
            <w:vMerge w:val="restart"/>
            <w:tcBorders>
              <w:top w:val="single" w:sz="8" w:space="0" w:color="000000"/>
              <w:left w:val="nil"/>
              <w:bottom w:val="single" w:sz="8" w:space="0" w:color="000000"/>
              <w:right w:val="single" w:sz="8" w:space="0" w:color="000000"/>
            </w:tcBorders>
            <w:vAlign w:val="center"/>
          </w:tcPr>
          <w:p w14:paraId="506FE7E5"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建筑面积</w:t>
            </w:r>
            <w:r>
              <w:rPr>
                <w:rFonts w:ascii="仿宋" w:eastAsia="仿宋" w:hAnsi="仿宋" w:cs="仿宋" w:hint="eastAsia"/>
                <w:b/>
                <w:bCs/>
                <w:color w:val="000000"/>
                <w:kern w:val="0"/>
                <w:szCs w:val="21"/>
                <w:lang w:bidi="ar"/>
              </w:rPr>
              <w:br/>
              <w:t>（㎡）</w:t>
            </w:r>
          </w:p>
        </w:tc>
        <w:tc>
          <w:tcPr>
            <w:tcW w:w="3942" w:type="dxa"/>
            <w:vMerge w:val="restart"/>
            <w:tcBorders>
              <w:top w:val="single" w:sz="8" w:space="0" w:color="000000"/>
              <w:left w:val="nil"/>
              <w:bottom w:val="single" w:sz="8" w:space="0" w:color="000000"/>
              <w:right w:val="single" w:sz="8" w:space="0" w:color="000000"/>
            </w:tcBorders>
            <w:noWrap/>
            <w:vAlign w:val="center"/>
          </w:tcPr>
          <w:p w14:paraId="422B2F4D" w14:textId="77777777" w:rsidR="00635ABF" w:rsidRDefault="00000000">
            <w:pPr>
              <w:widowControl/>
              <w:jc w:val="center"/>
              <w:textAlignment w:val="center"/>
              <w:rPr>
                <w:rFonts w:ascii="仿宋" w:eastAsia="仿宋" w:hAnsi="仿宋" w:cs="仿宋" w:hint="eastAsia"/>
                <w:b/>
                <w:bCs/>
                <w:color w:val="000000"/>
                <w:szCs w:val="21"/>
              </w:rPr>
            </w:pPr>
            <w:proofErr w:type="gramStart"/>
            <w:r>
              <w:rPr>
                <w:rFonts w:ascii="仿宋" w:eastAsia="仿宋" w:hAnsi="仿宋" w:cs="仿宋" w:hint="eastAsia"/>
                <w:b/>
                <w:bCs/>
                <w:color w:val="000000"/>
                <w:kern w:val="0"/>
                <w:szCs w:val="21"/>
                <w:lang w:bidi="ar"/>
              </w:rPr>
              <w:t>招租业</w:t>
            </w:r>
            <w:proofErr w:type="gramEnd"/>
            <w:r>
              <w:rPr>
                <w:rFonts w:ascii="仿宋" w:eastAsia="仿宋" w:hAnsi="仿宋" w:cs="仿宋" w:hint="eastAsia"/>
                <w:b/>
                <w:bCs/>
                <w:color w:val="000000"/>
                <w:kern w:val="0"/>
                <w:szCs w:val="21"/>
                <w:lang w:bidi="ar"/>
              </w:rPr>
              <w:t>态</w:t>
            </w:r>
          </w:p>
        </w:tc>
      </w:tr>
      <w:tr w:rsidR="00635ABF" w14:paraId="5A27E96C" w14:textId="77777777">
        <w:trPr>
          <w:trHeight w:val="385"/>
        </w:trPr>
        <w:tc>
          <w:tcPr>
            <w:tcW w:w="1130" w:type="dxa"/>
            <w:vMerge/>
            <w:tcBorders>
              <w:top w:val="single" w:sz="8" w:space="0" w:color="000000"/>
              <w:left w:val="single" w:sz="8" w:space="0" w:color="000000"/>
              <w:bottom w:val="single" w:sz="8" w:space="0" w:color="000000"/>
              <w:right w:val="single" w:sz="8" w:space="0" w:color="000000"/>
            </w:tcBorders>
            <w:noWrap/>
            <w:vAlign w:val="center"/>
          </w:tcPr>
          <w:p w14:paraId="1CC3A948" w14:textId="77777777" w:rsidR="00635ABF" w:rsidRDefault="00635ABF">
            <w:pPr>
              <w:jc w:val="center"/>
              <w:rPr>
                <w:rFonts w:ascii="仿宋" w:eastAsia="仿宋" w:hAnsi="仿宋" w:cs="仿宋" w:hint="eastAsia"/>
                <w:b/>
                <w:bCs/>
                <w:color w:val="000000"/>
                <w:szCs w:val="21"/>
              </w:rPr>
            </w:pPr>
          </w:p>
        </w:tc>
        <w:tc>
          <w:tcPr>
            <w:tcW w:w="1130" w:type="dxa"/>
            <w:vMerge/>
            <w:tcBorders>
              <w:top w:val="single" w:sz="8" w:space="0" w:color="000000"/>
              <w:left w:val="nil"/>
              <w:bottom w:val="single" w:sz="8" w:space="0" w:color="000000"/>
              <w:right w:val="single" w:sz="8" w:space="0" w:color="000000"/>
            </w:tcBorders>
            <w:noWrap/>
            <w:vAlign w:val="center"/>
          </w:tcPr>
          <w:p w14:paraId="51847B61" w14:textId="77777777" w:rsidR="00635ABF" w:rsidRDefault="00635ABF">
            <w:pPr>
              <w:jc w:val="center"/>
              <w:rPr>
                <w:rFonts w:ascii="仿宋" w:eastAsia="仿宋" w:hAnsi="仿宋" w:cs="仿宋" w:hint="eastAsia"/>
                <w:b/>
                <w:bCs/>
                <w:color w:val="000000"/>
                <w:szCs w:val="21"/>
              </w:rPr>
            </w:pPr>
          </w:p>
        </w:tc>
        <w:tc>
          <w:tcPr>
            <w:tcW w:w="1287" w:type="dxa"/>
            <w:vMerge/>
            <w:tcBorders>
              <w:top w:val="single" w:sz="8" w:space="0" w:color="000000"/>
              <w:left w:val="nil"/>
              <w:bottom w:val="single" w:sz="8" w:space="0" w:color="000000"/>
              <w:right w:val="single" w:sz="8" w:space="0" w:color="000000"/>
            </w:tcBorders>
            <w:vAlign w:val="center"/>
          </w:tcPr>
          <w:p w14:paraId="34023636" w14:textId="77777777" w:rsidR="00635ABF" w:rsidRDefault="00635ABF">
            <w:pPr>
              <w:jc w:val="center"/>
              <w:rPr>
                <w:rFonts w:ascii="仿宋" w:eastAsia="仿宋" w:hAnsi="仿宋" w:cs="仿宋" w:hint="eastAsia"/>
                <w:b/>
                <w:bCs/>
                <w:color w:val="000000"/>
                <w:szCs w:val="21"/>
              </w:rPr>
            </w:pPr>
          </w:p>
        </w:tc>
        <w:tc>
          <w:tcPr>
            <w:tcW w:w="1287" w:type="dxa"/>
            <w:vMerge/>
            <w:tcBorders>
              <w:top w:val="single" w:sz="8" w:space="0" w:color="000000"/>
              <w:left w:val="nil"/>
              <w:bottom w:val="single" w:sz="8" w:space="0" w:color="000000"/>
              <w:right w:val="single" w:sz="8" w:space="0" w:color="000000"/>
            </w:tcBorders>
            <w:vAlign w:val="center"/>
          </w:tcPr>
          <w:p w14:paraId="26785986" w14:textId="77777777" w:rsidR="00635ABF" w:rsidRDefault="00635ABF">
            <w:pPr>
              <w:jc w:val="center"/>
              <w:rPr>
                <w:rFonts w:ascii="仿宋" w:eastAsia="仿宋" w:hAnsi="仿宋" w:cs="仿宋" w:hint="eastAsia"/>
                <w:b/>
                <w:bCs/>
                <w:color w:val="000000"/>
                <w:szCs w:val="21"/>
              </w:rPr>
            </w:pPr>
          </w:p>
        </w:tc>
        <w:tc>
          <w:tcPr>
            <w:tcW w:w="3942" w:type="dxa"/>
            <w:vMerge/>
            <w:tcBorders>
              <w:top w:val="single" w:sz="8" w:space="0" w:color="000000"/>
              <w:left w:val="nil"/>
              <w:bottom w:val="single" w:sz="8" w:space="0" w:color="000000"/>
              <w:right w:val="single" w:sz="8" w:space="0" w:color="000000"/>
            </w:tcBorders>
            <w:noWrap/>
            <w:vAlign w:val="center"/>
          </w:tcPr>
          <w:p w14:paraId="7D3EEA0A" w14:textId="77777777" w:rsidR="00635ABF" w:rsidRDefault="00635ABF">
            <w:pPr>
              <w:jc w:val="center"/>
              <w:rPr>
                <w:rFonts w:ascii="仿宋" w:eastAsia="仿宋" w:hAnsi="仿宋" w:cs="仿宋" w:hint="eastAsia"/>
                <w:b/>
                <w:bCs/>
                <w:color w:val="000000"/>
                <w:szCs w:val="21"/>
              </w:rPr>
            </w:pPr>
          </w:p>
        </w:tc>
      </w:tr>
      <w:tr w:rsidR="00635ABF" w14:paraId="10CEB647" w14:textId="77777777">
        <w:trPr>
          <w:trHeight w:val="849"/>
        </w:trPr>
        <w:tc>
          <w:tcPr>
            <w:tcW w:w="0" w:type="auto"/>
            <w:tcBorders>
              <w:top w:val="nil"/>
              <w:left w:val="single" w:sz="8" w:space="0" w:color="000000"/>
              <w:bottom w:val="single" w:sz="8" w:space="0" w:color="000000"/>
              <w:right w:val="single" w:sz="8" w:space="0" w:color="000000"/>
            </w:tcBorders>
            <w:noWrap/>
            <w:vAlign w:val="center"/>
          </w:tcPr>
          <w:p w14:paraId="54A0B741"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1层</w:t>
            </w:r>
          </w:p>
        </w:tc>
        <w:tc>
          <w:tcPr>
            <w:tcW w:w="0" w:type="auto"/>
            <w:tcBorders>
              <w:top w:val="nil"/>
              <w:left w:val="nil"/>
              <w:bottom w:val="single" w:sz="8" w:space="0" w:color="000000"/>
              <w:right w:val="single" w:sz="8" w:space="0" w:color="000000"/>
            </w:tcBorders>
            <w:noWrap/>
            <w:vAlign w:val="center"/>
          </w:tcPr>
          <w:p w14:paraId="1C698EBF"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商业</w:t>
            </w:r>
          </w:p>
        </w:tc>
        <w:tc>
          <w:tcPr>
            <w:tcW w:w="0" w:type="auto"/>
            <w:tcBorders>
              <w:top w:val="nil"/>
              <w:left w:val="nil"/>
              <w:bottom w:val="single" w:sz="8" w:space="0" w:color="000000"/>
              <w:right w:val="single" w:sz="8" w:space="0" w:color="000000"/>
            </w:tcBorders>
            <w:noWrap/>
            <w:vAlign w:val="center"/>
          </w:tcPr>
          <w:p w14:paraId="5A7CFEAE"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3183.73</w:t>
            </w:r>
          </w:p>
        </w:tc>
        <w:tc>
          <w:tcPr>
            <w:tcW w:w="0" w:type="auto"/>
            <w:tcBorders>
              <w:top w:val="nil"/>
              <w:left w:val="nil"/>
              <w:bottom w:val="single" w:sz="8" w:space="0" w:color="000000"/>
              <w:right w:val="single" w:sz="8" w:space="0" w:color="000000"/>
            </w:tcBorders>
            <w:noWrap/>
            <w:vAlign w:val="center"/>
          </w:tcPr>
          <w:p w14:paraId="43375B26"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5144.29</w:t>
            </w:r>
          </w:p>
        </w:tc>
        <w:tc>
          <w:tcPr>
            <w:tcW w:w="3942" w:type="dxa"/>
            <w:tcBorders>
              <w:top w:val="nil"/>
              <w:left w:val="nil"/>
              <w:bottom w:val="single" w:sz="8" w:space="0" w:color="000000"/>
              <w:right w:val="single" w:sz="8" w:space="0" w:color="000000"/>
            </w:tcBorders>
            <w:vAlign w:val="center"/>
          </w:tcPr>
          <w:p w14:paraId="3A1887B5" w14:textId="77777777" w:rsidR="00635ABF" w:rsidRDefault="00000000">
            <w:pPr>
              <w:widowControl/>
              <w:jc w:val="left"/>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百货零售、电子数码、4S店、连锁餐饮、商超等</w:t>
            </w:r>
          </w:p>
        </w:tc>
      </w:tr>
      <w:tr w:rsidR="00635ABF" w14:paraId="2E423D9B" w14:textId="77777777">
        <w:trPr>
          <w:trHeight w:val="566"/>
        </w:trPr>
        <w:tc>
          <w:tcPr>
            <w:tcW w:w="0" w:type="auto"/>
            <w:tcBorders>
              <w:top w:val="nil"/>
              <w:left w:val="single" w:sz="8" w:space="0" w:color="000000"/>
              <w:bottom w:val="single" w:sz="8" w:space="0" w:color="000000"/>
              <w:right w:val="single" w:sz="8" w:space="0" w:color="000000"/>
            </w:tcBorders>
            <w:noWrap/>
            <w:vAlign w:val="center"/>
          </w:tcPr>
          <w:p w14:paraId="7DA8928E"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2层</w:t>
            </w:r>
          </w:p>
        </w:tc>
        <w:tc>
          <w:tcPr>
            <w:tcW w:w="0" w:type="auto"/>
            <w:tcBorders>
              <w:top w:val="nil"/>
              <w:left w:val="nil"/>
              <w:bottom w:val="single" w:sz="8" w:space="0" w:color="000000"/>
              <w:right w:val="single" w:sz="8" w:space="0" w:color="000000"/>
            </w:tcBorders>
            <w:noWrap/>
            <w:vAlign w:val="center"/>
          </w:tcPr>
          <w:p w14:paraId="20577EE6"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商业</w:t>
            </w:r>
          </w:p>
        </w:tc>
        <w:tc>
          <w:tcPr>
            <w:tcW w:w="0" w:type="auto"/>
            <w:tcBorders>
              <w:top w:val="nil"/>
              <w:left w:val="nil"/>
              <w:bottom w:val="single" w:sz="8" w:space="0" w:color="000000"/>
              <w:right w:val="single" w:sz="8" w:space="0" w:color="000000"/>
            </w:tcBorders>
            <w:noWrap/>
            <w:vAlign w:val="center"/>
          </w:tcPr>
          <w:p w14:paraId="00DB45EE"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4278.35</w:t>
            </w:r>
          </w:p>
        </w:tc>
        <w:tc>
          <w:tcPr>
            <w:tcW w:w="0" w:type="auto"/>
            <w:tcBorders>
              <w:top w:val="nil"/>
              <w:left w:val="nil"/>
              <w:bottom w:val="single" w:sz="8" w:space="0" w:color="000000"/>
              <w:right w:val="single" w:sz="8" w:space="0" w:color="000000"/>
            </w:tcBorders>
            <w:noWrap/>
            <w:vAlign w:val="center"/>
          </w:tcPr>
          <w:p w14:paraId="6975AE16"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5007.03</w:t>
            </w:r>
          </w:p>
        </w:tc>
        <w:tc>
          <w:tcPr>
            <w:tcW w:w="3942" w:type="dxa"/>
            <w:tcBorders>
              <w:top w:val="nil"/>
              <w:left w:val="nil"/>
              <w:bottom w:val="single" w:sz="8" w:space="0" w:color="000000"/>
              <w:right w:val="single" w:sz="8" w:space="0" w:color="000000"/>
            </w:tcBorders>
            <w:vAlign w:val="center"/>
          </w:tcPr>
          <w:p w14:paraId="26FFAB44" w14:textId="77777777" w:rsidR="00635ABF" w:rsidRDefault="00000000">
            <w:pPr>
              <w:widowControl/>
              <w:jc w:val="left"/>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零售、餐饮、电竞、娱乐、培训等</w:t>
            </w:r>
          </w:p>
        </w:tc>
      </w:tr>
      <w:tr w:rsidR="00635ABF" w14:paraId="416F2791" w14:textId="77777777">
        <w:trPr>
          <w:trHeight w:val="566"/>
        </w:trPr>
        <w:tc>
          <w:tcPr>
            <w:tcW w:w="0" w:type="auto"/>
            <w:tcBorders>
              <w:top w:val="nil"/>
              <w:left w:val="single" w:sz="8" w:space="0" w:color="000000"/>
              <w:bottom w:val="single" w:sz="8" w:space="0" w:color="000000"/>
              <w:right w:val="single" w:sz="8" w:space="0" w:color="000000"/>
            </w:tcBorders>
            <w:noWrap/>
            <w:vAlign w:val="center"/>
          </w:tcPr>
          <w:p w14:paraId="41A12DDC"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3层</w:t>
            </w:r>
          </w:p>
        </w:tc>
        <w:tc>
          <w:tcPr>
            <w:tcW w:w="0" w:type="auto"/>
            <w:tcBorders>
              <w:top w:val="nil"/>
              <w:left w:val="nil"/>
              <w:bottom w:val="single" w:sz="8" w:space="0" w:color="000000"/>
              <w:right w:val="single" w:sz="8" w:space="0" w:color="000000"/>
            </w:tcBorders>
            <w:noWrap/>
            <w:vAlign w:val="center"/>
          </w:tcPr>
          <w:p w14:paraId="14EF438A"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商业</w:t>
            </w:r>
          </w:p>
        </w:tc>
        <w:tc>
          <w:tcPr>
            <w:tcW w:w="0" w:type="auto"/>
            <w:tcBorders>
              <w:top w:val="nil"/>
              <w:left w:val="nil"/>
              <w:bottom w:val="single" w:sz="8" w:space="0" w:color="000000"/>
              <w:right w:val="single" w:sz="8" w:space="0" w:color="000000"/>
            </w:tcBorders>
            <w:noWrap/>
            <w:vAlign w:val="center"/>
          </w:tcPr>
          <w:p w14:paraId="52685363"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3087.13</w:t>
            </w:r>
          </w:p>
        </w:tc>
        <w:tc>
          <w:tcPr>
            <w:tcW w:w="0" w:type="auto"/>
            <w:tcBorders>
              <w:top w:val="nil"/>
              <w:left w:val="nil"/>
              <w:bottom w:val="single" w:sz="8" w:space="0" w:color="000000"/>
              <w:right w:val="single" w:sz="8" w:space="0" w:color="000000"/>
            </w:tcBorders>
            <w:noWrap/>
            <w:vAlign w:val="center"/>
          </w:tcPr>
          <w:p w14:paraId="5FFC48EA"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3639.59</w:t>
            </w:r>
          </w:p>
        </w:tc>
        <w:tc>
          <w:tcPr>
            <w:tcW w:w="3942" w:type="dxa"/>
            <w:tcBorders>
              <w:top w:val="nil"/>
              <w:left w:val="nil"/>
              <w:bottom w:val="single" w:sz="8" w:space="0" w:color="000000"/>
              <w:right w:val="single" w:sz="8" w:space="0" w:color="000000"/>
            </w:tcBorders>
            <w:vAlign w:val="center"/>
          </w:tcPr>
          <w:p w14:paraId="4C29DAD6" w14:textId="77777777" w:rsidR="00635ABF" w:rsidRDefault="00000000">
            <w:pPr>
              <w:widowControl/>
              <w:jc w:val="left"/>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餐饮、电竞、娱乐、办公等</w:t>
            </w:r>
          </w:p>
        </w:tc>
      </w:tr>
      <w:tr w:rsidR="00635ABF" w14:paraId="1629E1E0" w14:textId="77777777">
        <w:trPr>
          <w:trHeight w:val="566"/>
        </w:trPr>
        <w:tc>
          <w:tcPr>
            <w:tcW w:w="0" w:type="auto"/>
            <w:tcBorders>
              <w:top w:val="nil"/>
              <w:left w:val="single" w:sz="8" w:space="0" w:color="000000"/>
              <w:bottom w:val="single" w:sz="8" w:space="0" w:color="000000"/>
              <w:right w:val="single" w:sz="8" w:space="0" w:color="000000"/>
            </w:tcBorders>
            <w:noWrap/>
            <w:vAlign w:val="center"/>
          </w:tcPr>
          <w:p w14:paraId="19111B2E"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4层</w:t>
            </w:r>
          </w:p>
        </w:tc>
        <w:tc>
          <w:tcPr>
            <w:tcW w:w="0" w:type="auto"/>
            <w:tcBorders>
              <w:top w:val="nil"/>
              <w:left w:val="nil"/>
              <w:bottom w:val="single" w:sz="8" w:space="0" w:color="000000"/>
              <w:right w:val="single" w:sz="8" w:space="0" w:color="000000"/>
            </w:tcBorders>
            <w:noWrap/>
            <w:vAlign w:val="center"/>
          </w:tcPr>
          <w:p w14:paraId="7331F244"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商业</w:t>
            </w:r>
          </w:p>
        </w:tc>
        <w:tc>
          <w:tcPr>
            <w:tcW w:w="0" w:type="auto"/>
            <w:tcBorders>
              <w:top w:val="nil"/>
              <w:left w:val="nil"/>
              <w:bottom w:val="single" w:sz="8" w:space="0" w:color="000000"/>
              <w:right w:val="single" w:sz="8" w:space="0" w:color="000000"/>
            </w:tcBorders>
            <w:noWrap/>
            <w:vAlign w:val="center"/>
          </w:tcPr>
          <w:p w14:paraId="31F2A6D5"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3497.43</w:t>
            </w:r>
          </w:p>
        </w:tc>
        <w:tc>
          <w:tcPr>
            <w:tcW w:w="0" w:type="auto"/>
            <w:tcBorders>
              <w:top w:val="nil"/>
              <w:left w:val="nil"/>
              <w:bottom w:val="single" w:sz="8" w:space="0" w:color="000000"/>
              <w:right w:val="single" w:sz="8" w:space="0" w:color="000000"/>
            </w:tcBorders>
            <w:noWrap/>
            <w:vAlign w:val="center"/>
          </w:tcPr>
          <w:p w14:paraId="2D32F2CD"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4123.32</w:t>
            </w:r>
          </w:p>
        </w:tc>
        <w:tc>
          <w:tcPr>
            <w:tcW w:w="3942" w:type="dxa"/>
            <w:tcBorders>
              <w:top w:val="nil"/>
              <w:left w:val="nil"/>
              <w:bottom w:val="single" w:sz="8" w:space="0" w:color="000000"/>
              <w:right w:val="single" w:sz="8" w:space="0" w:color="000000"/>
            </w:tcBorders>
            <w:vAlign w:val="center"/>
          </w:tcPr>
          <w:p w14:paraId="0B6D940D" w14:textId="77777777" w:rsidR="00635ABF" w:rsidRDefault="00000000">
            <w:pPr>
              <w:widowControl/>
              <w:jc w:val="left"/>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影院、运动、宴会等</w:t>
            </w:r>
          </w:p>
        </w:tc>
      </w:tr>
      <w:tr w:rsidR="00635ABF" w14:paraId="78CFFC31" w14:textId="77777777">
        <w:trPr>
          <w:trHeight w:val="566"/>
        </w:trPr>
        <w:tc>
          <w:tcPr>
            <w:tcW w:w="0" w:type="auto"/>
            <w:tcBorders>
              <w:top w:val="nil"/>
              <w:left w:val="single" w:sz="8" w:space="0" w:color="000000"/>
              <w:bottom w:val="single" w:sz="8" w:space="0" w:color="000000"/>
              <w:right w:val="single" w:sz="8" w:space="0" w:color="000000"/>
            </w:tcBorders>
            <w:noWrap/>
            <w:vAlign w:val="center"/>
          </w:tcPr>
          <w:p w14:paraId="62AE1020"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5层</w:t>
            </w:r>
          </w:p>
        </w:tc>
        <w:tc>
          <w:tcPr>
            <w:tcW w:w="0" w:type="auto"/>
            <w:tcBorders>
              <w:top w:val="nil"/>
              <w:left w:val="nil"/>
              <w:bottom w:val="single" w:sz="8" w:space="0" w:color="000000"/>
              <w:right w:val="single" w:sz="8" w:space="0" w:color="000000"/>
            </w:tcBorders>
            <w:noWrap/>
            <w:vAlign w:val="center"/>
          </w:tcPr>
          <w:p w14:paraId="73ADC07A"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商业</w:t>
            </w:r>
          </w:p>
        </w:tc>
        <w:tc>
          <w:tcPr>
            <w:tcW w:w="0" w:type="auto"/>
            <w:tcBorders>
              <w:top w:val="nil"/>
              <w:left w:val="nil"/>
              <w:bottom w:val="single" w:sz="8" w:space="0" w:color="000000"/>
              <w:right w:val="single" w:sz="8" w:space="0" w:color="000000"/>
            </w:tcBorders>
            <w:noWrap/>
            <w:vAlign w:val="center"/>
          </w:tcPr>
          <w:p w14:paraId="1BF38B35"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3671.08</w:t>
            </w:r>
          </w:p>
        </w:tc>
        <w:tc>
          <w:tcPr>
            <w:tcW w:w="0" w:type="auto"/>
            <w:tcBorders>
              <w:top w:val="nil"/>
              <w:left w:val="nil"/>
              <w:bottom w:val="single" w:sz="8" w:space="0" w:color="000000"/>
              <w:right w:val="single" w:sz="8" w:space="0" w:color="000000"/>
            </w:tcBorders>
            <w:noWrap/>
            <w:vAlign w:val="center"/>
          </w:tcPr>
          <w:p w14:paraId="0D0A7C60" w14:textId="77777777" w:rsidR="00635ABF" w:rsidRDefault="00000000">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4101.69</w:t>
            </w:r>
          </w:p>
        </w:tc>
        <w:tc>
          <w:tcPr>
            <w:tcW w:w="3942" w:type="dxa"/>
            <w:tcBorders>
              <w:top w:val="nil"/>
              <w:left w:val="nil"/>
              <w:bottom w:val="single" w:sz="8" w:space="0" w:color="000000"/>
              <w:right w:val="single" w:sz="8" w:space="0" w:color="000000"/>
            </w:tcBorders>
            <w:vAlign w:val="center"/>
          </w:tcPr>
          <w:p w14:paraId="0719BC93" w14:textId="77777777" w:rsidR="00635ABF" w:rsidRDefault="00000000">
            <w:pPr>
              <w:widowControl/>
              <w:jc w:val="left"/>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体育、竞技、娱乐、酒店等</w:t>
            </w:r>
          </w:p>
        </w:tc>
      </w:tr>
      <w:tr w:rsidR="00635ABF" w14:paraId="5EFF03CB" w14:textId="77777777">
        <w:trPr>
          <w:trHeight w:val="588"/>
        </w:trPr>
        <w:tc>
          <w:tcPr>
            <w:tcW w:w="0" w:type="auto"/>
            <w:gridSpan w:val="2"/>
            <w:tcBorders>
              <w:top w:val="nil"/>
              <w:left w:val="single" w:sz="8" w:space="0" w:color="000000"/>
              <w:bottom w:val="single" w:sz="8" w:space="0" w:color="000000"/>
              <w:right w:val="single" w:sz="8" w:space="0" w:color="000000"/>
            </w:tcBorders>
            <w:noWrap/>
            <w:vAlign w:val="center"/>
          </w:tcPr>
          <w:p w14:paraId="0DA682F0"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合计</w:t>
            </w:r>
          </w:p>
        </w:tc>
        <w:tc>
          <w:tcPr>
            <w:tcW w:w="0" w:type="auto"/>
            <w:tcBorders>
              <w:top w:val="nil"/>
              <w:left w:val="nil"/>
              <w:bottom w:val="single" w:sz="8" w:space="0" w:color="000000"/>
              <w:right w:val="single" w:sz="8" w:space="0" w:color="000000"/>
            </w:tcBorders>
            <w:noWrap/>
            <w:vAlign w:val="center"/>
          </w:tcPr>
          <w:p w14:paraId="09084C9F"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17717.72</w:t>
            </w:r>
          </w:p>
        </w:tc>
        <w:tc>
          <w:tcPr>
            <w:tcW w:w="0" w:type="auto"/>
            <w:tcBorders>
              <w:top w:val="nil"/>
              <w:left w:val="nil"/>
              <w:bottom w:val="single" w:sz="8" w:space="0" w:color="000000"/>
              <w:right w:val="single" w:sz="8" w:space="0" w:color="000000"/>
            </w:tcBorders>
            <w:noWrap/>
            <w:vAlign w:val="center"/>
          </w:tcPr>
          <w:p w14:paraId="26804C36" w14:textId="77777777" w:rsidR="00635ABF" w:rsidRDefault="00000000">
            <w:pPr>
              <w:widowControl/>
              <w:jc w:val="center"/>
              <w:textAlignment w:val="center"/>
              <w:rPr>
                <w:rFonts w:ascii="仿宋" w:eastAsia="仿宋" w:hAnsi="仿宋" w:cs="仿宋" w:hint="eastAsia"/>
                <w:b/>
                <w:bCs/>
                <w:color w:val="000000"/>
                <w:szCs w:val="21"/>
              </w:rPr>
            </w:pPr>
            <w:r>
              <w:rPr>
                <w:rFonts w:ascii="仿宋" w:eastAsia="仿宋" w:hAnsi="仿宋" w:cs="仿宋" w:hint="eastAsia"/>
                <w:b/>
                <w:bCs/>
                <w:color w:val="000000"/>
                <w:kern w:val="0"/>
                <w:szCs w:val="21"/>
                <w:lang w:bidi="ar"/>
              </w:rPr>
              <w:t>22015.92</w:t>
            </w:r>
          </w:p>
        </w:tc>
        <w:tc>
          <w:tcPr>
            <w:tcW w:w="0" w:type="auto"/>
            <w:tcBorders>
              <w:top w:val="nil"/>
              <w:left w:val="nil"/>
              <w:bottom w:val="single" w:sz="8" w:space="0" w:color="000000"/>
              <w:right w:val="single" w:sz="8" w:space="0" w:color="000000"/>
            </w:tcBorders>
            <w:noWrap/>
            <w:vAlign w:val="center"/>
          </w:tcPr>
          <w:p w14:paraId="43035DBA" w14:textId="77777777" w:rsidR="00635ABF" w:rsidRDefault="00635ABF">
            <w:pPr>
              <w:jc w:val="center"/>
              <w:rPr>
                <w:rFonts w:ascii="仿宋" w:eastAsia="仿宋" w:hAnsi="仿宋" w:cs="仿宋" w:hint="eastAsia"/>
                <w:b/>
                <w:bCs/>
                <w:color w:val="000000"/>
                <w:szCs w:val="21"/>
              </w:rPr>
            </w:pPr>
          </w:p>
        </w:tc>
      </w:tr>
    </w:tbl>
    <w:p w14:paraId="4BE05C13" w14:textId="77777777" w:rsidR="00635ABF" w:rsidRDefault="00635ABF"/>
    <w:p w14:paraId="0EDF5315" w14:textId="77777777" w:rsidR="00635ABF" w:rsidRDefault="00000000">
      <w:pPr>
        <w:numPr>
          <w:ilvl w:val="0"/>
          <w:numId w:val="1"/>
        </w:num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询价项目</w:t>
      </w:r>
    </w:p>
    <w:p w14:paraId="4E604C20"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项目名称：开放式非独家招商代理服务佣金的公开询价</w:t>
      </w:r>
    </w:p>
    <w:p w14:paraId="2C4367B7" w14:textId="77777777" w:rsidR="00635ABF" w:rsidRDefault="00000000">
      <w:pPr>
        <w:spacing w:line="58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服务内容：为</w:t>
      </w:r>
      <w:proofErr w:type="gramStart"/>
      <w:r>
        <w:rPr>
          <w:rFonts w:ascii="仿宋" w:eastAsia="仿宋" w:hAnsi="仿宋" w:cs="仿宋" w:hint="eastAsia"/>
          <w:sz w:val="32"/>
          <w:szCs w:val="32"/>
        </w:rPr>
        <w:t>南通赛</w:t>
      </w:r>
      <w:proofErr w:type="gramEnd"/>
      <w:r>
        <w:rPr>
          <w:rFonts w:ascii="仿宋" w:eastAsia="仿宋" w:hAnsi="仿宋" w:cs="仿宋" w:hint="eastAsia"/>
          <w:sz w:val="32"/>
          <w:szCs w:val="32"/>
        </w:rPr>
        <w:t>格公司持有项目提供开放式非独家招商代理服务</w:t>
      </w:r>
    </w:p>
    <w:p w14:paraId="35124A0F" w14:textId="77777777" w:rsidR="00635ABF" w:rsidRDefault="00000000">
      <w:pPr>
        <w:numPr>
          <w:ilvl w:val="0"/>
          <w:numId w:val="1"/>
        </w:num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报价人资格要求</w:t>
      </w:r>
    </w:p>
    <w:p w14:paraId="1F8F0016"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黑体" w:eastAsia="黑体" w:hAnsi="黑体" w:cs="黑体" w:hint="eastAsia"/>
          <w:sz w:val="32"/>
          <w:szCs w:val="32"/>
        </w:rPr>
        <w:t xml:space="preserve"> </w:t>
      </w:r>
      <w:r>
        <w:rPr>
          <w:rFonts w:ascii="仿宋" w:eastAsia="仿宋" w:hAnsi="仿宋" w:cs="仿宋" w:hint="eastAsia"/>
          <w:sz w:val="32"/>
          <w:szCs w:val="32"/>
        </w:rPr>
        <w:t>1.服务单位需在中国境内正式成立和登记的法人，有依其章程规定、在其企业法人营业执照规定的经营范围内行事的法律能力，具备履行招商代理服务能力；</w:t>
      </w:r>
    </w:p>
    <w:p w14:paraId="170E5F42" w14:textId="000AB9E4"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lastRenderedPageBreak/>
        <w:t>2.</w:t>
      </w:r>
      <w:r w:rsidRPr="00567B58">
        <w:rPr>
          <w:rFonts w:ascii="仿宋" w:eastAsia="仿宋" w:hAnsi="仿宋" w:cs="仿宋" w:hint="eastAsia"/>
          <w:sz w:val="32"/>
          <w:szCs w:val="32"/>
        </w:rPr>
        <w:t>报价人的经营范围须包含商业管理</w:t>
      </w:r>
      <w:r>
        <w:rPr>
          <w:rFonts w:ascii="仿宋" w:eastAsia="仿宋" w:hAnsi="仿宋" w:cs="仿宋" w:hint="eastAsia"/>
          <w:sz w:val="32"/>
          <w:szCs w:val="32"/>
        </w:rPr>
        <w:t>咨询</w:t>
      </w:r>
      <w:r w:rsidRPr="00567B58">
        <w:rPr>
          <w:rFonts w:ascii="仿宋" w:eastAsia="仿宋" w:hAnsi="仿宋" w:cs="仿宋" w:hint="eastAsia"/>
          <w:sz w:val="32"/>
          <w:szCs w:val="32"/>
        </w:rPr>
        <w:t>、商业信息咨询、房地产经纪</w:t>
      </w:r>
      <w:r>
        <w:rPr>
          <w:rFonts w:ascii="仿宋" w:eastAsia="仿宋" w:hAnsi="仿宋" w:cs="仿宋" w:hint="eastAsia"/>
          <w:sz w:val="32"/>
          <w:szCs w:val="32"/>
        </w:rPr>
        <w:t>、</w:t>
      </w:r>
      <w:r w:rsidRPr="00567B58">
        <w:rPr>
          <w:rFonts w:ascii="仿宋" w:eastAsia="仿宋" w:hAnsi="仿宋" w:cs="仿宋" w:hint="eastAsia"/>
          <w:sz w:val="32"/>
          <w:szCs w:val="32"/>
        </w:rPr>
        <w:t>商业综合体管理服务、招商代理、房地产信息咨询或房地产中介</w:t>
      </w:r>
      <w:r>
        <w:rPr>
          <w:rFonts w:ascii="仿宋" w:eastAsia="仿宋" w:hAnsi="仿宋" w:cs="仿宋" w:hint="eastAsia"/>
          <w:sz w:val="32"/>
          <w:szCs w:val="32"/>
        </w:rPr>
        <w:t>服务</w:t>
      </w:r>
      <w:r w:rsidRPr="00567B58">
        <w:rPr>
          <w:rFonts w:ascii="仿宋" w:eastAsia="仿宋" w:hAnsi="仿宋" w:cs="仿宋" w:hint="eastAsia"/>
          <w:sz w:val="32"/>
          <w:szCs w:val="32"/>
        </w:rPr>
        <w:t>等相关业务类别之一</w:t>
      </w:r>
      <w:r>
        <w:rPr>
          <w:rFonts w:ascii="仿宋" w:eastAsia="仿宋" w:hAnsi="仿宋" w:cs="仿宋" w:hint="eastAsia"/>
          <w:sz w:val="32"/>
          <w:szCs w:val="32"/>
        </w:rPr>
        <w:t>或多个；</w:t>
      </w:r>
    </w:p>
    <w:p w14:paraId="7653BC6E"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3.报价人资信良好，近三年内（成立时间不足三年的，自成立之日起计算）没有被行政管理部门或行业协会给予行政处罚或行业处分记录，且无重大负面消息；</w:t>
      </w:r>
    </w:p>
    <w:p w14:paraId="1D870DC2"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4.本项目不接受联合体报价人进行报价。</w:t>
      </w:r>
    </w:p>
    <w:p w14:paraId="32ADD711" w14:textId="77777777" w:rsidR="00635ABF" w:rsidRDefault="00000000">
      <w:pPr>
        <w:pStyle w:val="a5"/>
        <w:widowControl/>
        <w:spacing w:beforeAutospacing="0" w:afterAutospacing="0" w:line="580" w:lineRule="exact"/>
        <w:ind w:firstLineChars="200" w:firstLine="640"/>
        <w:jc w:val="both"/>
        <w:rPr>
          <w:rFonts w:ascii="黑体" w:eastAsia="黑体" w:hAnsi="黑体" w:cs="黑体" w:hint="eastAsia"/>
          <w:bCs/>
          <w:sz w:val="32"/>
          <w:szCs w:val="32"/>
        </w:rPr>
      </w:pPr>
      <w:r>
        <w:rPr>
          <w:rStyle w:val="a6"/>
          <w:rFonts w:ascii="黑体" w:eastAsia="黑体" w:hAnsi="黑体" w:cs="黑体" w:hint="eastAsia"/>
          <w:b w:val="0"/>
          <w:bCs/>
          <w:sz w:val="32"/>
          <w:szCs w:val="32"/>
        </w:rPr>
        <w:t>五、报价人须知</w:t>
      </w:r>
    </w:p>
    <w:p w14:paraId="58D44B9B"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1.</w:t>
      </w:r>
      <w:proofErr w:type="gramStart"/>
      <w:r>
        <w:rPr>
          <w:rFonts w:ascii="仿宋" w:eastAsia="仿宋" w:hAnsi="仿宋" w:cs="仿宋" w:hint="eastAsia"/>
          <w:sz w:val="32"/>
          <w:szCs w:val="32"/>
        </w:rPr>
        <w:t>此公开</w:t>
      </w:r>
      <w:proofErr w:type="gramEnd"/>
      <w:r>
        <w:rPr>
          <w:rFonts w:ascii="仿宋" w:eastAsia="仿宋" w:hAnsi="仿宋" w:cs="仿宋" w:hint="eastAsia"/>
          <w:sz w:val="32"/>
          <w:szCs w:val="32"/>
        </w:rPr>
        <w:t>询价仅做询价用途，并非中标依据。后续以公开招标信息为准（如有）。</w:t>
      </w:r>
    </w:p>
    <w:p w14:paraId="657C74C1"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2.项目代理服务为非独家代理、非首席代理。</w:t>
      </w:r>
    </w:p>
    <w:p w14:paraId="2E735ABE"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3.报价无效规则</w:t>
      </w:r>
    </w:p>
    <w:p w14:paraId="3AEC1CD4"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（1）代理服务单位之间存在协商报价文件实质性内容等情况。</w:t>
      </w:r>
    </w:p>
    <w:p w14:paraId="1710014E"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（2）代理服务单位与询价人之间、代理服务单位相互之间，为谋求特定服务单位成交或者排斥其他服务单位的其他串通行为。</w:t>
      </w:r>
    </w:p>
    <w:p w14:paraId="0164B10F" w14:textId="77777777" w:rsidR="00635ABF" w:rsidRDefault="00000000">
      <w:pPr>
        <w:pStyle w:val="a5"/>
        <w:widowControl/>
        <w:spacing w:beforeAutospacing="0" w:afterAutospacing="0" w:line="580" w:lineRule="exact"/>
        <w:ind w:firstLineChars="200" w:firstLine="640"/>
        <w:jc w:val="both"/>
        <w:rPr>
          <w:rStyle w:val="a6"/>
          <w:rFonts w:ascii="黑体" w:eastAsia="黑体" w:hAnsi="黑体" w:cs="黑体" w:hint="eastAsia"/>
          <w:b w:val="0"/>
          <w:bCs/>
          <w:sz w:val="32"/>
          <w:szCs w:val="32"/>
        </w:rPr>
      </w:pPr>
      <w:r>
        <w:rPr>
          <w:rStyle w:val="a6"/>
          <w:rFonts w:ascii="黑体" w:eastAsia="黑体" w:hAnsi="黑体" w:cs="黑体" w:hint="eastAsia"/>
          <w:b w:val="0"/>
          <w:bCs/>
          <w:sz w:val="32"/>
          <w:szCs w:val="32"/>
        </w:rPr>
        <w:t>六、报价文件要求</w:t>
      </w:r>
    </w:p>
    <w:p w14:paraId="05656C12"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1.报价文件要求：报价文件为一式两份并加盖公章的纸质版。</w:t>
      </w:r>
    </w:p>
    <w:p w14:paraId="00ECF187"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2.报价文件的递交要求：装订密封并加盖报价人公司公章。</w:t>
      </w:r>
    </w:p>
    <w:p w14:paraId="25EDC134"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lastRenderedPageBreak/>
        <w:t>3.报价文件无效情况：报价截止时间后提供的报价文件；报价文件组成不全的报价文件；报价文件内容</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实质性响应询价公告要求的报价文件；报价文件无密封或密封破损；报价文件无报价人印鉴和法定代表人或授权代表的签字；报价文件无授权代表的授权委托书；报价文件无报价单位公章；</w:t>
      </w:r>
    </w:p>
    <w:p w14:paraId="3D857BC6" w14:textId="77777777" w:rsidR="00635ABF" w:rsidRDefault="00000000">
      <w:pPr>
        <w:pStyle w:val="a5"/>
        <w:widowControl/>
        <w:spacing w:beforeAutospacing="0" w:afterAutospacing="0" w:line="580" w:lineRule="exact"/>
        <w:ind w:firstLineChars="200" w:firstLine="640"/>
        <w:jc w:val="both"/>
        <w:rPr>
          <w:rStyle w:val="a6"/>
          <w:rFonts w:ascii="黑体" w:eastAsia="黑体" w:hAnsi="黑体" w:cs="黑体" w:hint="eastAsia"/>
          <w:b w:val="0"/>
          <w:bCs/>
          <w:sz w:val="32"/>
          <w:szCs w:val="32"/>
        </w:rPr>
      </w:pPr>
      <w:r>
        <w:rPr>
          <w:rStyle w:val="a6"/>
          <w:rFonts w:ascii="黑体" w:eastAsia="黑体" w:hAnsi="黑体" w:cs="黑体" w:hint="eastAsia"/>
          <w:b w:val="0"/>
          <w:bCs/>
          <w:sz w:val="32"/>
          <w:szCs w:val="32"/>
        </w:rPr>
        <w:t>七、报价须提交资料</w:t>
      </w:r>
    </w:p>
    <w:p w14:paraId="3FB6491F"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所提交资料须在有效期限内。</w:t>
      </w:r>
    </w:p>
    <w:p w14:paraId="2B51D8CA"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1.法定代表人证明书、法定代表人授权委托书（加盖公章）；</w:t>
      </w:r>
    </w:p>
    <w:p w14:paraId="36B1412A"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2.报价人营业执照副本及能证明其经营范围复印件（加盖公章）；</w:t>
      </w:r>
    </w:p>
    <w:p w14:paraId="796BDE6D"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3.报价人相关执业资格材料（如有）复印件（加盖公章）；</w:t>
      </w:r>
    </w:p>
    <w:p w14:paraId="5887AE49"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4.近三年没有被行政管理部门或行业协会给予行政处罚或行业处分记录查询结果(加盖公章)。“信用中国”、“中国政府采购网”为报价人信用信息的查询渠道，相关信息以公告发出前的查询结果为准;</w:t>
      </w:r>
    </w:p>
    <w:p w14:paraId="2DB4102E"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5.报价单。</w:t>
      </w:r>
    </w:p>
    <w:p w14:paraId="0072BC5C" w14:textId="77777777" w:rsidR="00635ABF" w:rsidRDefault="00000000">
      <w:pPr>
        <w:pStyle w:val="a5"/>
        <w:widowControl/>
        <w:spacing w:beforeAutospacing="0" w:afterAutospacing="0" w:line="580" w:lineRule="exact"/>
        <w:ind w:firstLineChars="200" w:firstLine="640"/>
        <w:jc w:val="both"/>
        <w:rPr>
          <w:rStyle w:val="a6"/>
          <w:rFonts w:ascii="黑体" w:eastAsia="黑体" w:hAnsi="黑体" w:cs="黑体" w:hint="eastAsia"/>
          <w:b w:val="0"/>
          <w:bCs/>
          <w:sz w:val="32"/>
          <w:szCs w:val="32"/>
        </w:rPr>
      </w:pPr>
      <w:r>
        <w:rPr>
          <w:rStyle w:val="a6"/>
          <w:rFonts w:ascii="黑体" w:eastAsia="黑体" w:hAnsi="黑体" w:cs="黑体" w:hint="eastAsia"/>
          <w:b w:val="0"/>
          <w:bCs/>
          <w:sz w:val="32"/>
          <w:szCs w:val="32"/>
        </w:rPr>
        <w:t>八、递交报价文件的时间</w:t>
      </w:r>
    </w:p>
    <w:p w14:paraId="79ACF6F0"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自本公告发布之日起10个工作日内</w:t>
      </w:r>
    </w:p>
    <w:p w14:paraId="447006FD" w14:textId="77777777" w:rsidR="00635ABF" w:rsidRDefault="00000000">
      <w:pPr>
        <w:pStyle w:val="a5"/>
        <w:widowControl/>
        <w:spacing w:beforeAutospacing="0" w:afterAutospacing="0" w:line="580" w:lineRule="exact"/>
        <w:ind w:firstLineChars="200" w:firstLine="640"/>
        <w:jc w:val="both"/>
        <w:rPr>
          <w:rFonts w:ascii="黑体" w:eastAsia="黑体" w:hAnsi="黑体" w:cs="黑体" w:hint="eastAsia"/>
          <w:bCs/>
          <w:sz w:val="32"/>
          <w:szCs w:val="32"/>
        </w:rPr>
      </w:pPr>
      <w:r>
        <w:rPr>
          <w:rStyle w:val="a6"/>
          <w:rFonts w:ascii="黑体" w:eastAsia="黑体" w:hAnsi="黑体" w:cs="黑体" w:hint="eastAsia"/>
          <w:b w:val="0"/>
          <w:bCs/>
          <w:sz w:val="32"/>
          <w:szCs w:val="32"/>
        </w:rPr>
        <w:t>九、相关信息</w:t>
      </w:r>
    </w:p>
    <w:p w14:paraId="001E67DC"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询价人：</w:t>
      </w:r>
      <w:proofErr w:type="gramStart"/>
      <w:r>
        <w:rPr>
          <w:rFonts w:ascii="仿宋" w:eastAsia="仿宋" w:hAnsi="仿宋" w:cs="仿宋" w:hint="eastAsia"/>
          <w:sz w:val="32"/>
          <w:szCs w:val="32"/>
        </w:rPr>
        <w:t>南通赛格时代</w:t>
      </w:r>
      <w:proofErr w:type="gramEnd"/>
      <w:r>
        <w:rPr>
          <w:rFonts w:ascii="仿宋" w:eastAsia="仿宋" w:hAnsi="仿宋" w:cs="仿宋" w:hint="eastAsia"/>
          <w:sz w:val="32"/>
          <w:szCs w:val="32"/>
        </w:rPr>
        <w:t>广场发展有限公司</w:t>
      </w:r>
    </w:p>
    <w:p w14:paraId="23876DDB"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地址及联系人：</w:t>
      </w:r>
    </w:p>
    <w:p w14:paraId="3916BA74"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lastRenderedPageBreak/>
        <w:t>江苏省南通市崇川区深南路89号。</w:t>
      </w:r>
    </w:p>
    <w:p w14:paraId="53F08540"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周先生，18005161777</w:t>
      </w:r>
    </w:p>
    <w:p w14:paraId="4C830DBE" w14:textId="77777777" w:rsidR="00635ABF" w:rsidRDefault="00000000">
      <w:pPr>
        <w:pStyle w:val="a5"/>
        <w:widowControl/>
        <w:spacing w:beforeAutospacing="0" w:afterAutospacing="0" w:line="580" w:lineRule="exact"/>
        <w:ind w:firstLineChars="200" w:firstLine="640"/>
        <w:jc w:val="both"/>
        <w:rPr>
          <w:rFonts w:ascii="仿宋" w:eastAsia="仿宋" w:hAnsi="仿宋" w:cs="仿宋" w:hint="eastAsia"/>
          <w:sz w:val="32"/>
          <w:szCs w:val="32"/>
        </w:rPr>
      </w:pPr>
      <w:r>
        <w:rPr>
          <w:rFonts w:ascii="仿宋" w:eastAsia="仿宋" w:hAnsi="仿宋" w:cs="仿宋" w:hint="eastAsia"/>
          <w:sz w:val="32"/>
          <w:szCs w:val="32"/>
        </w:rPr>
        <w:t>本询价公告仅为意向征集，请各位报价人按要求填报附件表格，并提交相关资料进行报价。</w:t>
      </w:r>
    </w:p>
    <w:p w14:paraId="582442FF" w14:textId="77777777" w:rsidR="00635ABF" w:rsidRDefault="00635ABF">
      <w:pPr>
        <w:spacing w:line="580" w:lineRule="exact"/>
        <w:ind w:firstLineChars="200" w:firstLine="640"/>
        <w:rPr>
          <w:rFonts w:ascii="黑体" w:eastAsia="黑体" w:hAnsi="黑体" w:cs="黑体" w:hint="eastAsia"/>
          <w:sz w:val="32"/>
          <w:szCs w:val="32"/>
        </w:rPr>
      </w:pPr>
    </w:p>
    <w:sectPr w:rsidR="00635ABF">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C33EB"/>
    <w:multiLevelType w:val="singleLevel"/>
    <w:tmpl w:val="349C33EB"/>
    <w:lvl w:ilvl="0">
      <w:start w:val="3"/>
      <w:numFmt w:val="chineseCounting"/>
      <w:suff w:val="nothing"/>
      <w:lvlText w:val="%1、"/>
      <w:lvlJc w:val="left"/>
      <w:rPr>
        <w:rFonts w:hint="eastAsia"/>
      </w:rPr>
    </w:lvl>
  </w:abstractNum>
  <w:num w:numId="1" w16cid:durableId="33037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9A8734E"/>
    <w:rsid w:val="00567B58"/>
    <w:rsid w:val="00635ABF"/>
    <w:rsid w:val="00DB6193"/>
    <w:rsid w:val="08454360"/>
    <w:rsid w:val="09A8734E"/>
    <w:rsid w:val="11477335"/>
    <w:rsid w:val="13DA3479"/>
    <w:rsid w:val="1BEF2AA3"/>
    <w:rsid w:val="27B74537"/>
    <w:rsid w:val="2EF60822"/>
    <w:rsid w:val="31C93002"/>
    <w:rsid w:val="4E4F5E90"/>
    <w:rsid w:val="553B5B3A"/>
    <w:rsid w:val="5EE94B54"/>
    <w:rsid w:val="5FA47F1B"/>
    <w:rsid w:val="72C711FA"/>
    <w:rsid w:val="72C87C7A"/>
    <w:rsid w:val="741B0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83639B7-AFF4-478A-80FC-251B5A60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paragraph" w:styleId="a7">
    <w:name w:val="Revision"/>
    <w:hidden/>
    <w:uiPriority w:val="99"/>
    <w:unhideWhenUsed/>
    <w:rsid w:val="00567B5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晒太阳的小金鱼</dc:creator>
  <cp:lastModifiedBy>智军 史</cp:lastModifiedBy>
  <cp:revision>2</cp:revision>
  <dcterms:created xsi:type="dcterms:W3CDTF">2026-07-21T06:42:00Z</dcterms:created>
  <dcterms:modified xsi:type="dcterms:W3CDTF">2026-07-23T08:52:00Z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F30A841039364986A2DD6851D6C04A30_13</vt:lpwstr>
  </property>
  <property fmtid="{D5CDD505-2E9C-101B-9397-08002B2CF9AE}" pid="4" name="KSOTemplateDocerSaveRecord">
    <vt:lpwstr>eyJoZGlkIjoiOTViYWM3MzU3ZjZlZTEwYTEzODViZGJjODZhMGI3MTIiLCJ1c2VySWQiOiI0MzUyODAyMTIifQ==</vt:lpwstr>
  </property>
</Properties>
</file>