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FA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新桥东先进制造产业园科创一中心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房地产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评估服务</w:t>
      </w:r>
      <w:r>
        <w:rPr>
          <w:rFonts w:hint="eastAsia" w:ascii="宋体" w:hAnsi="宋体" w:cs="宋体"/>
          <w:b/>
          <w:bCs w:val="0"/>
          <w:color w:val="auto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需求书</w:t>
      </w:r>
    </w:p>
    <w:p w14:paraId="6A742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outlineLvl w:val="9"/>
        <w:rPr>
          <w:rFonts w:hint="eastAsia" w:ascii="宋体" w:hAnsi="宋体"/>
          <w:b/>
          <w:color w:val="auto"/>
          <w:sz w:val="30"/>
          <w:szCs w:val="30"/>
        </w:rPr>
      </w:pPr>
    </w:p>
    <w:p w14:paraId="495444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概况</w:t>
      </w:r>
    </w:p>
    <w:p w14:paraId="68C267E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 w:val="0"/>
          <w:lang w:val="en-US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（一）项目名称</w:t>
      </w:r>
    </w:p>
    <w:p w14:paraId="1A814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新桥东先进制造产业园科创一中心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房地产评估服务</w:t>
      </w:r>
    </w:p>
    <w:p w14:paraId="45E4A3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 w:val="0"/>
          <w:lang w:val="en-US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（二）项目概况</w:t>
      </w:r>
    </w:p>
    <w:p w14:paraId="6082F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新桥东片区重点城市更新项目（以下简称“项目”）规划面积2.3平方公里，是全市首个平方公里级的“工改工”城市更新项目。位于深圳市宝安区新桥街道中部偏南，规划范围由广深高速以东，庄村路以南，规划甘霖路以西，屋山水库以北围合区域。本次服务范围针对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一期B研发用房科创一中心，包括11-02地块占地面积12163.5㎡，总建筑面积建筑面积79064㎡，其中研发用房（含创新型产业用房20545㎡）74414㎡；11-02地块占地面积16132.5㎡，总建筑面积96795㎡，研发用房面积96795㎡。</w:t>
      </w:r>
    </w:p>
    <w:p w14:paraId="720B8FDA">
      <w:pPr>
        <w:pStyle w:val="9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793875" cy="252222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D99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lang w:val="en-US" w:eastAsia="zh-CN"/>
        </w:rPr>
        <w:t>服务内容及成果要求</w:t>
      </w:r>
    </w:p>
    <w:p w14:paraId="22E55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1.根据甲方要求，对科创一中心开展房地产评估服务相关工作，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提供专业意见、建议和书面报告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；</w:t>
      </w:r>
    </w:p>
    <w:p w14:paraId="2FD75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2.根据项目实际情况完成科创一中心在毛坯状态下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的租售市场价格评估（均价）；</w:t>
      </w:r>
    </w:p>
    <w:p w14:paraId="2AB2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3.根据甲方要求，提供宝安区同类型房地产市场、租售项目基本情况、成交情况等信息；</w:t>
      </w:r>
    </w:p>
    <w:p w14:paraId="74393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完成招标人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其他涉及项目评估的工作。</w:t>
      </w:r>
    </w:p>
    <w:p w14:paraId="0149D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成果提交时间节点</w:t>
      </w:r>
    </w:p>
    <w:p w14:paraId="3E582798">
      <w:pPr>
        <w:pStyle w:val="2"/>
        <w:ind w:firstLine="640"/>
      </w:pPr>
      <w:r>
        <w:rPr>
          <w:rFonts w:hint="eastAsia"/>
        </w:rPr>
        <w:t>乙方应于收到甲方指令之日起</w:t>
      </w:r>
      <w:r>
        <w:rPr>
          <w:rFonts w:hint="eastAsia"/>
          <w:lang w:val="en-US" w:eastAsia="zh-CN"/>
        </w:rPr>
        <w:t>1</w:t>
      </w:r>
      <w:r>
        <w:t>0</w:t>
      </w:r>
      <w:r>
        <w:rPr>
          <w:rFonts w:hint="eastAsia"/>
        </w:rPr>
        <w:t>日内完成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新桥东先进制造产业园科创一中心租售市场价格评估报告</w:t>
      </w:r>
      <w:r>
        <w:rPr>
          <w:rFonts w:hint="eastAsia"/>
          <w:lang w:eastAsia="zh-CN"/>
        </w:rPr>
        <w:t>》</w:t>
      </w:r>
      <w:r>
        <w:rPr>
          <w:rFonts w:hint="eastAsia"/>
        </w:rPr>
        <w:t>初稿并提交甲方审核。初稿经甲方审核后，乙方应根据甲方提出的要求和意见进行修改完善，并应在甲方指定的合理时间内完成修改并再次提交甲方审核。最终经甲方验收合格后，乙方提交加盖公章的最终成果。</w:t>
      </w:r>
    </w:p>
    <w:p w14:paraId="38989284">
      <w:pPr>
        <w:pStyle w:val="3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、付款方式</w:t>
      </w:r>
    </w:p>
    <w:p w14:paraId="33D17B1F">
      <w:pPr>
        <w:pStyle w:val="2"/>
        <w:ind w:firstLine="640"/>
      </w:pPr>
      <w:r>
        <w:rPr>
          <w:rFonts w:hint="eastAsia"/>
        </w:rPr>
        <w:t>（一）合同签订后，支付合同总价的</w:t>
      </w:r>
      <w:r>
        <w:t>15</w:t>
      </w:r>
      <w:r>
        <w:rPr>
          <w:rFonts w:hint="eastAsia"/>
        </w:rPr>
        <w:t>%；</w:t>
      </w:r>
    </w:p>
    <w:p w14:paraId="029BC692">
      <w:pPr>
        <w:pStyle w:val="2"/>
        <w:ind w:firstLine="640"/>
      </w:pPr>
      <w:r>
        <w:rPr>
          <w:rFonts w:hint="eastAsia"/>
        </w:rPr>
        <w:t>（二）乙方按时提交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新桥东先进制造产业园科创一中心租售市场价格评估报告</w:t>
      </w:r>
      <w:r>
        <w:rPr>
          <w:rFonts w:hint="eastAsia"/>
          <w:lang w:eastAsia="zh-CN"/>
        </w:rPr>
        <w:t>》</w:t>
      </w:r>
      <w:r>
        <w:rPr>
          <w:rFonts w:hint="eastAsia"/>
        </w:rPr>
        <w:t>初稿，经甲方验收，支付合同总价的</w:t>
      </w:r>
      <w:r>
        <w:t>30</w:t>
      </w:r>
      <w:r>
        <w:rPr>
          <w:rFonts w:hint="eastAsia"/>
        </w:rPr>
        <w:t>%；</w:t>
      </w:r>
    </w:p>
    <w:p w14:paraId="51378B7F">
      <w:pPr>
        <w:pStyle w:val="2"/>
        <w:ind w:firstLine="640"/>
      </w:pPr>
      <w:r>
        <w:rPr>
          <w:rFonts w:hint="eastAsia"/>
        </w:rPr>
        <w:t>（三）乙方按时提交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新桥东先进制造产业园科创一中心租售市场价格评估报告</w:t>
      </w:r>
      <w:r>
        <w:rPr>
          <w:rFonts w:hint="eastAsia"/>
          <w:lang w:eastAsia="zh-CN"/>
        </w:rPr>
        <w:t>》</w:t>
      </w:r>
      <w:r>
        <w:rPr>
          <w:rFonts w:hint="eastAsia"/>
        </w:rPr>
        <w:t>定稿，经过甲方验收，支付合同总价的</w:t>
      </w:r>
      <w:r>
        <w:t>40</w:t>
      </w:r>
      <w:r>
        <w:rPr>
          <w:rFonts w:hint="eastAsia"/>
        </w:rPr>
        <w:t>%；</w:t>
      </w:r>
    </w:p>
    <w:p w14:paraId="4EFCE389">
      <w:pPr>
        <w:pStyle w:val="2"/>
        <w:ind w:firstLine="640"/>
      </w:pPr>
      <w:r>
        <w:rPr>
          <w:rFonts w:hint="eastAsia"/>
        </w:rPr>
        <w:t>（四）</w:t>
      </w:r>
      <w:r>
        <w:rPr>
          <w:rFonts w:hint="eastAsia"/>
          <w:lang w:val="en-US" w:eastAsia="zh-CN"/>
        </w:rPr>
        <w:t>剩余</w:t>
      </w:r>
      <w:r>
        <w:rPr>
          <w:rFonts w:hint="eastAsia"/>
        </w:rPr>
        <w:t>合同总价的1</w:t>
      </w:r>
      <w:r>
        <w:t>5</w:t>
      </w:r>
      <w:r>
        <w:rPr>
          <w:rFonts w:hint="eastAsia"/>
        </w:rPr>
        <w:t>%</w:t>
      </w:r>
      <w:r>
        <w:rPr>
          <w:rFonts w:hint="eastAsia"/>
          <w:lang w:val="en-US" w:eastAsia="zh-CN"/>
        </w:rPr>
        <w:t>作为履约评价金待项目全部完成后支付</w:t>
      </w:r>
      <w:r>
        <w:rPr>
          <w:rFonts w:hint="eastAsia"/>
        </w:rPr>
        <w:t>。</w:t>
      </w:r>
    </w:p>
    <w:p w14:paraId="7CFA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服务期限</w:t>
      </w:r>
    </w:p>
    <w:p w14:paraId="43A4F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服务期限为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自合同签订之日起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至项目完成之日止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具体以合同约定为准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168B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六、供应商资格要求</w:t>
      </w:r>
    </w:p>
    <w:p w14:paraId="44C4183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具备合法的经营范围和独立法人资格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具备一级房地产估价机构资质许可的机构；</w:t>
      </w:r>
    </w:p>
    <w:p w14:paraId="0DAC5D6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供应商必须派出一名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具有相关从业经验的注册房地产估价师作为项目负责人完成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本项目工作。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CC65A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3</w:t>
    </w:r>
    <w:r>
      <w:fldChar w:fldCharType="end"/>
    </w:r>
  </w:p>
  <w:p w14:paraId="1BD3344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25D60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451534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E1FDF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C3431"/>
    <w:multiLevelType w:val="singleLevel"/>
    <w:tmpl w:val="7CBC34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66D21AD9"/>
    <w:rsid w:val="02021905"/>
    <w:rsid w:val="0CDDA6A5"/>
    <w:rsid w:val="16E63CD7"/>
    <w:rsid w:val="1CFBF60C"/>
    <w:rsid w:val="1F607885"/>
    <w:rsid w:val="1F7F1D6D"/>
    <w:rsid w:val="2B6B8A17"/>
    <w:rsid w:val="2EB800A1"/>
    <w:rsid w:val="34DD74E5"/>
    <w:rsid w:val="373E44F1"/>
    <w:rsid w:val="38CB07A9"/>
    <w:rsid w:val="3DFD9060"/>
    <w:rsid w:val="46EF259B"/>
    <w:rsid w:val="479C270A"/>
    <w:rsid w:val="49343ED9"/>
    <w:rsid w:val="4B953615"/>
    <w:rsid w:val="4BDB6060"/>
    <w:rsid w:val="51E63A25"/>
    <w:rsid w:val="562468CA"/>
    <w:rsid w:val="58B74DE4"/>
    <w:rsid w:val="58EF80AA"/>
    <w:rsid w:val="59EC0C60"/>
    <w:rsid w:val="5BD9DBA3"/>
    <w:rsid w:val="5FB3FD1D"/>
    <w:rsid w:val="5FC6F393"/>
    <w:rsid w:val="66D21AD9"/>
    <w:rsid w:val="67A2505F"/>
    <w:rsid w:val="6EFF6E2C"/>
    <w:rsid w:val="6F73433F"/>
    <w:rsid w:val="6FFF84B9"/>
    <w:rsid w:val="72FD2525"/>
    <w:rsid w:val="7A394FBD"/>
    <w:rsid w:val="7BDD53D0"/>
    <w:rsid w:val="7BF5E6A1"/>
    <w:rsid w:val="7D3E861A"/>
    <w:rsid w:val="7DFC34D7"/>
    <w:rsid w:val="7E437985"/>
    <w:rsid w:val="7EB2B4A1"/>
    <w:rsid w:val="7EBF09A0"/>
    <w:rsid w:val="7ED92628"/>
    <w:rsid w:val="7F1BC0FB"/>
    <w:rsid w:val="7F7AA4AA"/>
    <w:rsid w:val="7FAF92FD"/>
    <w:rsid w:val="7FBF6DAE"/>
    <w:rsid w:val="7FD77498"/>
    <w:rsid w:val="9FB9C159"/>
    <w:rsid w:val="9FF6DD3A"/>
    <w:rsid w:val="B7FF1CC2"/>
    <w:rsid w:val="BE6DCA2B"/>
    <w:rsid w:val="BFAF8A11"/>
    <w:rsid w:val="BFEA1105"/>
    <w:rsid w:val="CCFD958D"/>
    <w:rsid w:val="DC7B2AEF"/>
    <w:rsid w:val="DCFE8D72"/>
    <w:rsid w:val="DEBF4961"/>
    <w:rsid w:val="DF75FDFD"/>
    <w:rsid w:val="DFFD24CE"/>
    <w:rsid w:val="E6FFA9EB"/>
    <w:rsid w:val="E9BDF7F0"/>
    <w:rsid w:val="ECDF883B"/>
    <w:rsid w:val="EDF39585"/>
    <w:rsid w:val="EF76E5A6"/>
    <w:rsid w:val="F5DD36DA"/>
    <w:rsid w:val="F65FCE5B"/>
    <w:rsid w:val="F77F227A"/>
    <w:rsid w:val="F7DB0E28"/>
    <w:rsid w:val="F7EFDE34"/>
    <w:rsid w:val="F7FF474D"/>
    <w:rsid w:val="FB5D51F3"/>
    <w:rsid w:val="FB7BFE11"/>
    <w:rsid w:val="FE72C81A"/>
    <w:rsid w:val="FED70E5D"/>
    <w:rsid w:val="FFBD1A2F"/>
    <w:rsid w:val="FFF901D5"/>
    <w:rsid w:val="FF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ind w:firstLine="64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line="560" w:lineRule="exact"/>
      <w:jc w:val="left"/>
    </w:pPr>
    <w:rPr>
      <w:rFonts w:eastAsia="仿宋_GB2312"/>
      <w:sz w:val="32"/>
    </w:rPr>
  </w:style>
  <w:style w:type="paragraph" w:styleId="4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</w:pPr>
    <w:rPr>
      <w:rFonts w:ascii="宋体"/>
      <w:kern w:val="0"/>
      <w:sz w:val="24"/>
    </w:rPr>
  </w:style>
  <w:style w:type="paragraph" w:styleId="5">
    <w:name w:val="Body Text Indent 2"/>
    <w:basedOn w:val="1"/>
    <w:semiHidden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1963</Words>
  <Characters>2002</Characters>
  <Lines>0</Lines>
  <Paragraphs>0</Paragraphs>
  <TotalTime>3</TotalTime>
  <ScaleCrop>false</ScaleCrop>
  <LinksUpToDate>false</LinksUpToDate>
  <CharactersWithSpaces>2026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2022-09-21T08:25:00Z</dcterms:created>
  <dc:creator>金格科技</dc:creator>
  <cp:lastModifiedBy>芷湖</cp:lastModifiedBy>
  <dcterms:modified xsi:type="dcterms:W3CDTF">2025-04-18T02:59:10Z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1999C821FAC743DDB93389AC3BE8D4A4_13</vt:lpwstr>
  </property>
  <property fmtid="{D5CDD505-2E9C-101B-9397-08002B2CF9AE}" pid="4" name="KSOTemplateDocerSaveRecord">
    <vt:lpwstr>eyJoZGlkIjoiMzEwNTM5NzYwMDRjMzkwZTVkZjY2ODkwMGIxNGU0OTUiLCJ1c2VySWQiOiIxMTI4ODI4OTM2In0=</vt:lpwstr>
  </property>
</Properties>
</file>