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11"/>
        <w:spacing w:line="360" w:lineRule="auto"/>
        <w:jc w:val="center"/>
        <w:rPr>
          <w:rFonts w:hAnsi="宋体"/>
          <w:b/>
          <w:sz w:val="44"/>
          <w:szCs w:val="44"/>
        </w:rPr>
      </w:pPr>
    </w:p>
    <w:p w14:paraId="5528CF3D">
      <w:pPr>
        <w:pStyle w:val="11"/>
        <w:spacing w:line="600" w:lineRule="auto"/>
        <w:jc w:val="center"/>
        <w:rPr>
          <w:rFonts w:hAnsi="宋体"/>
          <w:b/>
          <w:bCs/>
          <w:sz w:val="44"/>
        </w:rPr>
      </w:pPr>
    </w:p>
    <w:p w14:paraId="7C5C5789">
      <w:pPr>
        <w:pStyle w:val="11"/>
        <w:spacing w:line="600" w:lineRule="auto"/>
        <w:jc w:val="center"/>
        <w:rPr>
          <w:rFonts w:hAnsi="宋体"/>
          <w:b/>
          <w:bCs/>
          <w:sz w:val="44"/>
        </w:rPr>
      </w:pPr>
    </w:p>
    <w:p w14:paraId="125BE3AD">
      <w:pPr>
        <w:pStyle w:val="11"/>
        <w:spacing w:line="600" w:lineRule="auto"/>
        <w:jc w:val="center"/>
        <w:rPr>
          <w:rFonts w:hint="eastAsia" w:hAnsi="宋体" w:cs="宋体"/>
          <w:b/>
          <w:bCs/>
          <w:sz w:val="48"/>
          <w:szCs w:val="48"/>
          <w:lang w:val="en-US" w:eastAsia="zh-CN"/>
        </w:rPr>
      </w:pPr>
      <w:r>
        <w:rPr>
          <w:rFonts w:hint="eastAsia" w:hAnsi="宋体" w:cs="宋体"/>
          <w:b/>
          <w:bCs/>
          <w:sz w:val="48"/>
          <w:szCs w:val="48"/>
          <w:lang w:val="en-US" w:eastAsia="zh-CN"/>
        </w:rPr>
        <w:t>机器人剧场过渡期前期咨询服务与</w:t>
      </w:r>
    </w:p>
    <w:p w14:paraId="565599AD">
      <w:pPr>
        <w:pStyle w:val="11"/>
        <w:spacing w:line="600" w:lineRule="auto"/>
        <w:jc w:val="center"/>
        <w:rPr>
          <w:rFonts w:hint="eastAsia" w:hAnsi="宋体" w:cs="宋体"/>
          <w:b/>
          <w:bCs/>
          <w:color w:val="000000"/>
          <w:spacing w:val="113"/>
          <w:sz w:val="52"/>
          <w:szCs w:val="52"/>
          <w:lang w:val="en-US" w:eastAsia="zh-CN"/>
        </w:rPr>
      </w:pPr>
      <w:r>
        <w:rPr>
          <w:rFonts w:hint="eastAsia" w:hAnsi="宋体" w:cs="宋体"/>
          <w:b/>
          <w:bCs/>
          <w:sz w:val="48"/>
          <w:szCs w:val="48"/>
          <w:lang w:val="en-US" w:eastAsia="zh-CN"/>
        </w:rPr>
        <w:t>临时性物业基础管理服务项目</w:t>
      </w:r>
    </w:p>
    <w:p w14:paraId="015F64BE">
      <w:pPr>
        <w:pStyle w:val="11"/>
        <w:spacing w:line="600" w:lineRule="auto"/>
        <w:jc w:val="center"/>
        <w:rPr>
          <w:b/>
          <w:bCs/>
          <w:color w:val="000000"/>
          <w:spacing w:val="113"/>
          <w:sz w:val="84"/>
          <w:szCs w:val="84"/>
        </w:rPr>
      </w:pPr>
      <w:r>
        <w:rPr>
          <w:rFonts w:hint="eastAsia" w:hAnsi="宋体" w:cs="宋体"/>
          <w:b/>
          <w:bCs/>
          <w:color w:val="000000"/>
          <w:spacing w:val="113"/>
          <w:sz w:val="52"/>
          <w:szCs w:val="52"/>
          <w:lang w:val="en-US" w:eastAsia="zh-CN"/>
        </w:rPr>
        <w:t>邀请</w:t>
      </w:r>
      <w:r>
        <w:rPr>
          <w:rFonts w:hint="eastAsia" w:hAnsi="宋体" w:cs="宋体"/>
          <w:b/>
          <w:bCs/>
          <w:color w:val="000000"/>
          <w:spacing w:val="113"/>
          <w:sz w:val="52"/>
          <w:szCs w:val="52"/>
        </w:rPr>
        <w:t>询价采购文件</w:t>
      </w:r>
    </w:p>
    <w:p w14:paraId="6914113F">
      <w:pPr>
        <w:pStyle w:val="11"/>
        <w:spacing w:line="600" w:lineRule="auto"/>
        <w:ind w:firstLine="402"/>
        <w:rPr>
          <w:b/>
          <w:bCs/>
          <w:color w:val="000000"/>
        </w:rPr>
      </w:pPr>
    </w:p>
    <w:p w14:paraId="70EA0F65">
      <w:pPr>
        <w:pStyle w:val="11"/>
        <w:spacing w:line="600" w:lineRule="auto"/>
        <w:ind w:firstLine="1920" w:firstLineChars="600"/>
        <w:jc w:val="left"/>
        <w:rPr>
          <w:b/>
          <w:bCs/>
          <w:color w:val="000000"/>
          <w:sz w:val="32"/>
          <w:szCs w:val="32"/>
        </w:rPr>
      </w:pPr>
    </w:p>
    <w:p w14:paraId="4A90CE62">
      <w:pPr>
        <w:spacing w:line="80" w:lineRule="atLeast"/>
        <w:ind w:firstLine="600"/>
        <w:rPr>
          <w:rFonts w:ascii="宋体" w:hAnsi="宋体"/>
          <w:sz w:val="30"/>
        </w:rPr>
      </w:pPr>
    </w:p>
    <w:p w14:paraId="5AC969EB">
      <w:pPr>
        <w:spacing w:line="80" w:lineRule="atLeast"/>
        <w:ind w:firstLine="600"/>
        <w:rPr>
          <w:rFonts w:ascii="宋体" w:hAnsi="宋体"/>
          <w:sz w:val="30"/>
        </w:rPr>
      </w:pPr>
    </w:p>
    <w:p w14:paraId="5744813F">
      <w:pPr>
        <w:spacing w:line="80" w:lineRule="atLeast"/>
        <w:ind w:firstLine="600"/>
        <w:rPr>
          <w:rFonts w:ascii="宋体" w:hAnsi="宋体"/>
          <w:sz w:val="30"/>
        </w:rPr>
      </w:pPr>
    </w:p>
    <w:p w14:paraId="5061F08E">
      <w:pPr>
        <w:spacing w:line="80" w:lineRule="atLeast"/>
        <w:ind w:firstLine="600"/>
        <w:rPr>
          <w:rFonts w:ascii="宋体" w:hAnsi="宋体"/>
          <w:sz w:val="30"/>
        </w:rPr>
      </w:pPr>
    </w:p>
    <w:p w14:paraId="45F4BC6E">
      <w:pPr>
        <w:spacing w:line="80" w:lineRule="atLeast"/>
        <w:ind w:firstLine="600"/>
        <w:rPr>
          <w:rFonts w:ascii="宋体" w:hAnsi="宋体"/>
          <w:sz w:val="30"/>
        </w:rPr>
      </w:pPr>
    </w:p>
    <w:p w14:paraId="5F0A0441">
      <w:pPr>
        <w:spacing w:line="80" w:lineRule="atLeast"/>
        <w:ind w:firstLine="723"/>
        <w:jc w:val="center"/>
        <w:rPr>
          <w:rFonts w:ascii="宋体" w:hAnsi="宋体"/>
          <w:b/>
          <w:sz w:val="36"/>
          <w:szCs w:val="36"/>
        </w:rPr>
      </w:pPr>
      <w:r>
        <w:rPr>
          <w:rFonts w:hint="eastAsia" w:ascii="宋体" w:hAnsi="宋体"/>
          <w:b/>
          <w:sz w:val="36"/>
          <w:szCs w:val="36"/>
        </w:rPr>
        <w:t>采购人：深圳市龙岗区数据有限公司</w:t>
      </w:r>
    </w:p>
    <w:p w14:paraId="3B120F0E">
      <w:pPr>
        <w:spacing w:line="80" w:lineRule="atLeast"/>
        <w:ind w:firstLine="723"/>
        <w:jc w:val="center"/>
        <w:rPr>
          <w:rFonts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二0二</w:t>
      </w:r>
      <w:r>
        <w:rPr>
          <w:rFonts w:hint="eastAsia" w:ascii="宋体" w:hAnsi="宋体" w:cs="Tahoma"/>
          <w:b/>
          <w:sz w:val="36"/>
          <w:szCs w:val="36"/>
          <w:lang w:val="en-US" w:eastAsia="zh-CN"/>
        </w:rPr>
        <w:t>六</w:t>
      </w:r>
      <w:r>
        <w:rPr>
          <w:rFonts w:hint="eastAsia" w:ascii="宋体" w:hAnsi="宋体" w:cs="Tahoma"/>
          <w:b/>
          <w:sz w:val="36"/>
          <w:szCs w:val="36"/>
        </w:rPr>
        <w:t>年</w:t>
      </w:r>
      <w:r>
        <w:rPr>
          <w:rFonts w:hint="eastAsia" w:ascii="宋体" w:hAnsi="宋体" w:cs="Tahoma"/>
          <w:b/>
          <w:sz w:val="36"/>
          <w:szCs w:val="36"/>
          <w:lang w:val="en-US" w:eastAsia="zh-CN"/>
        </w:rPr>
        <w:t>七</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2"/>
      </w:pPr>
    </w:p>
    <w:p w14:paraId="1E84E473">
      <w:pPr>
        <w:jc w:val="center"/>
        <w:outlineLvl w:val="0"/>
        <w:rPr>
          <w:rFonts w:hint="eastAsia" w:ascii="宋体" w:hAnsi="宋体" w:cs="宋体"/>
          <w:b/>
          <w:bCs/>
          <w:sz w:val="48"/>
          <w:szCs w:val="48"/>
          <w:lang w:val="en-US" w:eastAsia="zh-CN"/>
        </w:rPr>
      </w:pPr>
      <w:bookmarkStart w:id="0" w:name="_Toc100130474"/>
      <w:bookmarkStart w:id="1" w:name="_Toc22731"/>
      <w:bookmarkStart w:id="2" w:name="_Toc16874"/>
      <w:bookmarkStart w:id="3" w:name="_Toc17458"/>
      <w:r>
        <w:rPr>
          <w:rFonts w:hint="eastAsia" w:ascii="宋体" w:hAnsi="宋体" w:cs="宋体"/>
          <w:b/>
          <w:bCs/>
          <w:sz w:val="48"/>
          <w:szCs w:val="48"/>
          <w:lang w:val="en-US" w:eastAsia="zh-CN"/>
        </w:rPr>
        <w:t>机器人剧场过渡期前期咨询专项服务与</w:t>
      </w:r>
    </w:p>
    <w:p w14:paraId="20CF5A4B">
      <w:pPr>
        <w:jc w:val="center"/>
        <w:outlineLvl w:val="0"/>
        <w:rPr>
          <w:rFonts w:hint="eastAsia" w:ascii="宋体" w:hAnsi="宋体" w:cs="宋体"/>
          <w:b/>
          <w:bCs/>
          <w:sz w:val="48"/>
          <w:szCs w:val="48"/>
          <w:lang w:val="en-US" w:eastAsia="zh-CN"/>
        </w:rPr>
      </w:pPr>
      <w:r>
        <w:rPr>
          <w:rFonts w:hint="eastAsia" w:ascii="宋体" w:hAnsi="宋体" w:cs="宋体"/>
          <w:b/>
          <w:bCs/>
          <w:sz w:val="48"/>
          <w:szCs w:val="48"/>
          <w:lang w:val="en-US" w:eastAsia="zh-CN"/>
        </w:rPr>
        <w:t>临时性物业基础管理服务项目</w:t>
      </w:r>
    </w:p>
    <w:p w14:paraId="5FDD56F5">
      <w:pPr>
        <w:jc w:val="center"/>
        <w:outlineLvl w:val="0"/>
        <w:rPr>
          <w:rFonts w:hAnsi="宋体"/>
          <w:b/>
          <w:sz w:val="44"/>
          <w:szCs w:val="44"/>
        </w:rPr>
      </w:pPr>
      <w:r>
        <w:rPr>
          <w:rFonts w:hint="eastAsia" w:ascii="宋体" w:hAnsi="宋体" w:cs="宋体"/>
          <w:b/>
          <w:bCs/>
          <w:sz w:val="48"/>
          <w:szCs w:val="48"/>
          <w:lang w:val="en-US" w:eastAsia="zh-CN"/>
        </w:rPr>
        <w:t>邀请</w:t>
      </w:r>
      <w:r>
        <w:rPr>
          <w:rFonts w:hint="eastAsia" w:ascii="宋体" w:hAnsi="宋体" w:cs="宋体"/>
          <w:b/>
          <w:bCs/>
          <w:sz w:val="48"/>
          <w:szCs w:val="48"/>
        </w:rPr>
        <w:t>询价采购公告</w:t>
      </w:r>
      <w:bookmarkEnd w:id="0"/>
      <w:bookmarkEnd w:id="1"/>
      <w:bookmarkEnd w:id="2"/>
      <w:bookmarkEnd w:id="3"/>
    </w:p>
    <w:p w14:paraId="27915AB3">
      <w:pPr>
        <w:pStyle w:val="11"/>
        <w:spacing w:line="360" w:lineRule="auto"/>
        <w:jc w:val="center"/>
        <w:rPr>
          <w:rFonts w:hAnsi="宋体"/>
          <w:b/>
          <w:sz w:val="44"/>
          <w:szCs w:val="44"/>
        </w:rPr>
      </w:pPr>
    </w:p>
    <w:p w14:paraId="69BC776E">
      <w:pPr>
        <w:snapToGrid w:val="0"/>
        <w:spacing w:line="360" w:lineRule="auto"/>
        <w:ind w:firstLine="420"/>
        <w:jc w:val="left"/>
        <w:rPr>
          <w:rFonts w:ascii="宋体"/>
          <w:sz w:val="22"/>
          <w:szCs w:val="22"/>
        </w:rPr>
      </w:pPr>
      <w:r>
        <w:rPr>
          <w:rFonts w:hint="eastAsia" w:ascii="宋体" w:hAnsi="宋体" w:cs="宋体"/>
          <w:sz w:val="22"/>
          <w:szCs w:val="22"/>
        </w:rPr>
        <w:t>深圳市龙岗区数据有限公司对</w:t>
      </w:r>
      <w:r>
        <w:rPr>
          <w:rFonts w:hint="eastAsia" w:ascii="宋体" w:hAnsi="宋体" w:cs="宋体"/>
          <w:b/>
          <w:bCs/>
          <w:sz w:val="22"/>
          <w:szCs w:val="22"/>
          <w:u w:val="single"/>
          <w:lang w:val="en-US" w:eastAsia="zh-CN"/>
        </w:rPr>
        <w:t>机器人剧场过渡期前期咨询专项服务与临时性物业基础管理服务</w:t>
      </w:r>
      <w:r>
        <w:rPr>
          <w:rFonts w:hint="eastAsia" w:ascii="宋体" w:hAnsi="宋体" w:cs="宋体"/>
          <w:b/>
          <w:bCs/>
          <w:sz w:val="22"/>
          <w:szCs w:val="22"/>
          <w:u w:val="single"/>
        </w:rPr>
        <w:t>项目</w:t>
      </w:r>
      <w:r>
        <w:rPr>
          <w:rFonts w:hint="eastAsia" w:ascii="宋体" w:hAnsi="宋体" w:cs="宋体"/>
          <w:sz w:val="22"/>
          <w:szCs w:val="22"/>
        </w:rPr>
        <w:t>（以下简称“本项目”）进行</w:t>
      </w:r>
      <w:r>
        <w:rPr>
          <w:rFonts w:hint="eastAsia" w:ascii="宋体" w:hAnsi="宋体" w:cs="宋体"/>
          <w:sz w:val="22"/>
          <w:szCs w:val="22"/>
          <w:lang w:val="en-US" w:eastAsia="zh-CN"/>
        </w:rPr>
        <w:t>询价</w:t>
      </w:r>
      <w:r>
        <w:rPr>
          <w:rFonts w:hint="eastAsia" w:ascii="宋体" w:hAnsi="宋体" w:cs="宋体"/>
          <w:sz w:val="22"/>
          <w:szCs w:val="22"/>
        </w:rPr>
        <w:t>采购，欢迎符合资质要求的供应商参与报价。有关事项如下：</w:t>
      </w:r>
    </w:p>
    <w:p w14:paraId="7A051CB9">
      <w:pPr>
        <w:spacing w:line="360" w:lineRule="auto"/>
        <w:ind w:firstLine="440" w:firstLineChars="200"/>
        <w:outlineLvl w:val="1"/>
        <w:rPr>
          <w:rFonts w:cs="宋体"/>
          <w:b/>
          <w:bCs/>
          <w:sz w:val="22"/>
          <w:szCs w:val="22"/>
        </w:rPr>
      </w:pPr>
      <w:bookmarkStart w:id="4" w:name="_Toc25094"/>
      <w:bookmarkStart w:id="5" w:name="_Toc4261"/>
      <w:bookmarkStart w:id="6" w:name="_Toc208"/>
      <w:bookmarkStart w:id="7" w:name="_Toc14234"/>
      <w:bookmarkStart w:id="8" w:name="_Toc7700"/>
      <w:bookmarkStart w:id="9" w:name="_Toc22657"/>
      <w:bookmarkStart w:id="10" w:name="_Toc444266718"/>
      <w:bookmarkStart w:id="11" w:name="_Toc24966"/>
      <w:bookmarkStart w:id="12" w:name="_Toc23874"/>
      <w:bookmarkStart w:id="13" w:name="_Toc100130475"/>
      <w:r>
        <w:rPr>
          <w:rFonts w:hint="eastAsia" w:cs="宋体"/>
          <w:b/>
          <w:bCs/>
          <w:sz w:val="22"/>
          <w:szCs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hint="eastAsia" w:cs="宋体"/>
          <w:b w:val="0"/>
          <w:bCs w:val="0"/>
          <w:sz w:val="22"/>
          <w:szCs w:val="22"/>
        </w:rPr>
      </w:pPr>
      <w:bookmarkStart w:id="15" w:name="_Toc100130476"/>
      <w:bookmarkStart w:id="16" w:name="_Toc19934"/>
      <w:bookmarkStart w:id="17" w:name="_Toc4473"/>
      <w:bookmarkStart w:id="18" w:name="_Toc27150"/>
      <w:bookmarkStart w:id="19" w:name="_Toc10859"/>
      <w:bookmarkStart w:id="20" w:name="_Toc7482"/>
      <w:bookmarkStart w:id="21" w:name="_Toc10714"/>
      <w:r>
        <w:rPr>
          <w:rFonts w:hint="eastAsia" w:cs="宋体"/>
          <w:b w:val="0"/>
          <w:bCs w:val="0"/>
          <w:sz w:val="22"/>
          <w:szCs w:val="22"/>
          <w:lang w:val="en-US" w:eastAsia="zh-CN"/>
        </w:rPr>
        <w:t>聘请第三方物业服务公</w:t>
      </w:r>
      <w:r>
        <w:rPr>
          <w:rFonts w:hint="eastAsia" w:ascii="宋体" w:hAnsi="宋体" w:cs="宋体"/>
          <w:sz w:val="22"/>
          <w:szCs w:val="22"/>
          <w:lang w:val="en-US" w:eastAsia="zh-CN"/>
        </w:rPr>
        <w:t>司开展机器人剧场过渡期前期咨询专项服务与临时性物业基础管理服务</w:t>
      </w:r>
      <w:r>
        <w:rPr>
          <w:rFonts w:hint="eastAsia" w:cs="宋体"/>
          <w:b w:val="0"/>
          <w:bCs w:val="0"/>
          <w:sz w:val="22"/>
          <w:szCs w:val="22"/>
        </w:rPr>
        <w:t>。</w:t>
      </w:r>
    </w:p>
    <w:p w14:paraId="56225A2F">
      <w:pPr>
        <w:numPr>
          <w:ilvl w:val="0"/>
          <w:numId w:val="3"/>
        </w:numPr>
        <w:spacing w:line="360" w:lineRule="auto"/>
        <w:ind w:firstLine="440" w:firstLineChars="200"/>
        <w:outlineLvl w:val="1"/>
        <w:rPr>
          <w:rFonts w:hint="eastAsia" w:cs="宋体"/>
          <w:b/>
          <w:bCs/>
          <w:sz w:val="22"/>
          <w:szCs w:val="22"/>
        </w:rPr>
      </w:pPr>
      <w:r>
        <w:rPr>
          <w:rFonts w:hint="eastAsia" w:cs="宋体"/>
          <w:b/>
          <w:bCs/>
          <w:sz w:val="22"/>
          <w:szCs w:val="22"/>
        </w:rPr>
        <w:t>采购内容</w:t>
      </w:r>
      <w:bookmarkEnd w:id="15"/>
      <w:bookmarkEnd w:id="16"/>
      <w:bookmarkEnd w:id="17"/>
      <w:bookmarkEnd w:id="18"/>
      <w:bookmarkEnd w:id="19"/>
      <w:bookmarkEnd w:id="20"/>
      <w:bookmarkEnd w:id="21"/>
      <w:bookmarkStart w:id="22" w:name="_Toc2122"/>
      <w:bookmarkStart w:id="23" w:name="_Toc16415"/>
      <w:bookmarkStart w:id="24" w:name="_Toc20068"/>
      <w:bookmarkStart w:id="25" w:name="_Toc5535"/>
      <w:bookmarkStart w:id="26" w:name="_Toc3388"/>
      <w:bookmarkStart w:id="27" w:name="_Toc444266720"/>
      <w:bookmarkStart w:id="28" w:name="_Toc12795"/>
      <w:bookmarkStart w:id="29" w:name="_Toc7539"/>
    </w:p>
    <w:bookmarkEnd w:id="22"/>
    <w:bookmarkEnd w:id="23"/>
    <w:bookmarkEnd w:id="24"/>
    <w:bookmarkEnd w:id="25"/>
    <w:bookmarkEnd w:id="26"/>
    <w:bookmarkEnd w:id="27"/>
    <w:bookmarkEnd w:id="28"/>
    <w:bookmarkEnd w:id="29"/>
    <w:p w14:paraId="5C2761EC">
      <w:pPr>
        <w:spacing w:line="360" w:lineRule="auto"/>
        <w:ind w:firstLine="440" w:firstLineChars="200"/>
        <w:outlineLvl w:val="1"/>
        <w:rPr>
          <w:rFonts w:hint="eastAsia" w:ascii="宋体" w:hAnsi="宋体" w:eastAsia="宋体" w:cs="宋体"/>
          <w:sz w:val="22"/>
          <w:szCs w:val="22"/>
          <w:lang w:val="en-US" w:eastAsia="zh-CN"/>
        </w:rPr>
      </w:pPr>
      <w:bookmarkStart w:id="30" w:name="_Toc12520"/>
      <w:bookmarkStart w:id="31" w:name="_Toc100130478"/>
      <w:bookmarkStart w:id="32" w:name="_Toc25113"/>
      <w:bookmarkStart w:id="33" w:name="_Toc15570"/>
      <w:bookmarkStart w:id="34" w:name="_Toc15017"/>
      <w:bookmarkStart w:id="35" w:name="_Toc4442"/>
      <w:r>
        <w:rPr>
          <w:rFonts w:hint="eastAsia" w:ascii="宋体" w:hAnsi="宋体" w:eastAsia="宋体" w:cs="宋体"/>
          <w:sz w:val="22"/>
          <w:szCs w:val="22"/>
          <w:lang w:val="en-US" w:eastAsia="zh-CN"/>
        </w:rPr>
        <w:t>提供机器人</w:t>
      </w:r>
      <w:r>
        <w:rPr>
          <w:rFonts w:hint="eastAsia" w:ascii="宋体" w:hAnsi="宋体" w:cs="宋体"/>
          <w:sz w:val="22"/>
          <w:szCs w:val="22"/>
          <w:lang w:val="en-US" w:eastAsia="zh-CN"/>
        </w:rPr>
        <w:t>剧场过渡期前期咨询专项服务与临时性</w:t>
      </w:r>
      <w:r>
        <w:rPr>
          <w:rFonts w:hint="eastAsia" w:ascii="宋体" w:hAnsi="宋体" w:eastAsia="宋体" w:cs="宋体"/>
          <w:sz w:val="22"/>
          <w:szCs w:val="22"/>
          <w:lang w:val="en-US" w:eastAsia="zh-CN"/>
        </w:rPr>
        <w:t>物业基础</w:t>
      </w:r>
      <w:r>
        <w:rPr>
          <w:rFonts w:hint="eastAsia" w:ascii="宋体" w:hAnsi="宋体" w:cs="宋体"/>
          <w:sz w:val="22"/>
          <w:szCs w:val="22"/>
          <w:lang w:val="en-US" w:eastAsia="zh-CN"/>
        </w:rPr>
        <w:t>管理</w:t>
      </w:r>
      <w:r>
        <w:rPr>
          <w:rFonts w:hint="eastAsia" w:ascii="宋体" w:hAnsi="宋体" w:eastAsia="宋体" w:cs="宋体"/>
          <w:sz w:val="22"/>
          <w:szCs w:val="22"/>
          <w:lang w:val="en-US" w:eastAsia="zh-CN"/>
        </w:rPr>
        <w:t>服务，涵盖</w:t>
      </w:r>
      <w:r>
        <w:rPr>
          <w:rFonts w:hint="eastAsia" w:ascii="宋体" w:hAnsi="宋体" w:cs="宋体"/>
          <w:sz w:val="22"/>
          <w:szCs w:val="22"/>
          <w:lang w:val="en-US" w:eastAsia="zh-CN"/>
        </w:rPr>
        <w:t>机器人剧场</w:t>
      </w:r>
      <w:r>
        <w:rPr>
          <w:rFonts w:hint="eastAsia" w:ascii="宋体" w:hAnsi="宋体" w:eastAsia="宋体" w:cs="宋体"/>
          <w:sz w:val="22"/>
          <w:szCs w:val="22"/>
          <w:lang w:val="en-US" w:eastAsia="zh-CN"/>
        </w:rPr>
        <w:t>未完成的土建整改、二装整改及消防整改的推进管理及后续验收工作</w:t>
      </w:r>
      <w:r>
        <w:rPr>
          <w:rFonts w:hint="eastAsia" w:ascii="宋体" w:hAnsi="宋体" w:cs="宋体"/>
          <w:sz w:val="22"/>
          <w:szCs w:val="22"/>
          <w:lang w:val="en-US" w:eastAsia="zh-CN"/>
        </w:rPr>
        <w:t>，全程支持接收机器人剧场的运营权、资产清单核对、实物验收过程，出具《机器人剧场资产承接查验思路与整改建议方案》《机器人剧场信息化项目接收建议方案》及《机器人剧场活动支持情况报告》、已入驻单位管理，未竣工验收的信息化项目涉及的现场调试单位与设备设施承接查验与管理，机器人剧场施工改造的工人施工界面管理、中央空调、消防设备、配电房等设施设备的每日操作支持与基础巡检管理及剧场保洁工作</w:t>
      </w:r>
      <w:r>
        <w:rPr>
          <w:rFonts w:hint="eastAsia" w:ascii="宋体" w:hAnsi="宋体" w:eastAsia="宋体" w:cs="宋体"/>
          <w:sz w:val="22"/>
          <w:szCs w:val="22"/>
          <w:lang w:val="en-US" w:eastAsia="zh-CN"/>
        </w:rPr>
        <w:t>，基础覆盖区域</w:t>
      </w:r>
      <w:r>
        <w:rPr>
          <w:rFonts w:hint="eastAsia" w:ascii="宋体" w:hAnsi="宋体" w:cs="宋体"/>
          <w:sz w:val="22"/>
          <w:szCs w:val="22"/>
          <w:lang w:val="en-US" w:eastAsia="zh-CN"/>
        </w:rPr>
        <w:t>实际情况需求的</w:t>
      </w:r>
      <w:r>
        <w:rPr>
          <w:rFonts w:hint="eastAsia" w:ascii="宋体" w:hAnsi="宋体" w:eastAsia="宋体" w:cs="宋体"/>
          <w:sz w:val="22"/>
          <w:szCs w:val="22"/>
          <w:lang w:val="en-US" w:eastAsia="zh-CN"/>
        </w:rPr>
        <w:t>物业基础管理，其中包含：项目物业主管1名、消防监控员1名、秩序管理安保员</w:t>
      </w:r>
      <w:r>
        <w:rPr>
          <w:rFonts w:hint="eastAsia" w:ascii="宋体" w:hAnsi="宋体" w:cs="宋体"/>
          <w:sz w:val="22"/>
          <w:szCs w:val="22"/>
          <w:lang w:val="en-US" w:eastAsia="zh-CN"/>
        </w:rPr>
        <w:t>1</w:t>
      </w:r>
      <w:r>
        <w:rPr>
          <w:rFonts w:hint="eastAsia" w:ascii="宋体" w:hAnsi="宋体" w:eastAsia="宋体" w:cs="宋体"/>
          <w:sz w:val="22"/>
          <w:szCs w:val="22"/>
          <w:lang w:val="en-US" w:eastAsia="zh-CN"/>
        </w:rPr>
        <w:t>名、施工管理协调与设备管理员1名、保洁员1名，合计</w:t>
      </w:r>
      <w:r>
        <w:rPr>
          <w:rFonts w:hint="eastAsia" w:ascii="宋体" w:hAnsi="宋体" w:cs="宋体"/>
          <w:sz w:val="22"/>
          <w:szCs w:val="22"/>
          <w:lang w:val="en-US" w:eastAsia="zh-CN"/>
        </w:rPr>
        <w:t>5</w:t>
      </w:r>
      <w:r>
        <w:rPr>
          <w:rFonts w:hint="eastAsia" w:ascii="宋体" w:hAnsi="宋体" w:eastAsia="宋体" w:cs="宋体"/>
          <w:sz w:val="22"/>
          <w:szCs w:val="22"/>
          <w:lang w:val="en-US" w:eastAsia="zh-CN"/>
        </w:rPr>
        <w:t>人。</w:t>
      </w:r>
    </w:p>
    <w:p w14:paraId="58BD5D10">
      <w:pPr>
        <w:spacing w:line="360" w:lineRule="auto"/>
        <w:ind w:firstLine="440" w:firstLineChars="200"/>
        <w:outlineLvl w:val="1"/>
        <w:rPr>
          <w:rFonts w:cs="宋体"/>
          <w:b/>
          <w:bCs/>
          <w:sz w:val="22"/>
          <w:szCs w:val="22"/>
        </w:rPr>
      </w:pPr>
      <w:r>
        <w:rPr>
          <w:rFonts w:hint="eastAsia" w:cs="宋体"/>
          <w:b/>
          <w:bCs/>
          <w:sz w:val="22"/>
          <w:szCs w:val="22"/>
        </w:rPr>
        <w:t>三、</w:t>
      </w:r>
      <w:bookmarkEnd w:id="30"/>
      <w:r>
        <w:rPr>
          <w:rFonts w:hint="eastAsia" w:cs="宋体"/>
          <w:b/>
          <w:bCs/>
          <w:sz w:val="22"/>
          <w:szCs w:val="22"/>
        </w:rPr>
        <w:t>服务期限</w:t>
      </w:r>
    </w:p>
    <w:p w14:paraId="46611439">
      <w:pPr>
        <w:spacing w:line="360" w:lineRule="auto"/>
        <w:ind w:firstLine="440" w:firstLineChars="200"/>
        <w:outlineLvl w:val="1"/>
        <w:rPr>
          <w:rFonts w:hint="default" w:ascii="宋体" w:hAnsi="宋体" w:cs="宋体"/>
          <w:sz w:val="22"/>
          <w:szCs w:val="22"/>
          <w:lang w:val="en-US" w:eastAsia="zh-CN"/>
        </w:rPr>
      </w:pPr>
      <w:r>
        <w:rPr>
          <w:rFonts w:hint="eastAsia" w:ascii="宋体" w:hAnsi="宋体" w:cs="宋体"/>
          <w:sz w:val="22"/>
          <w:szCs w:val="22"/>
          <w:lang w:val="en-US" w:eastAsia="zh-CN"/>
        </w:rPr>
        <w:t>4个月（起止日期以合同签订之日起）</w:t>
      </w:r>
    </w:p>
    <w:p w14:paraId="52B01363">
      <w:pPr>
        <w:spacing w:line="360" w:lineRule="auto"/>
        <w:ind w:firstLine="440" w:firstLineChars="200"/>
        <w:outlineLvl w:val="1"/>
        <w:rPr>
          <w:rFonts w:cs="宋体"/>
          <w:b/>
          <w:bCs/>
          <w:sz w:val="22"/>
          <w:szCs w:val="22"/>
        </w:rPr>
      </w:pPr>
      <w:r>
        <w:rPr>
          <w:rFonts w:hint="eastAsia" w:cs="宋体"/>
          <w:b/>
          <w:bCs/>
          <w:sz w:val="22"/>
          <w:szCs w:val="22"/>
        </w:rPr>
        <w:t>四、</w:t>
      </w:r>
      <w:bookmarkEnd w:id="31"/>
      <w:bookmarkEnd w:id="32"/>
      <w:bookmarkStart w:id="36" w:name="_Toc30912"/>
      <w:bookmarkStart w:id="37" w:name="_Toc29855"/>
      <w:bookmarkStart w:id="38" w:name="_Toc24793"/>
      <w:bookmarkStart w:id="39" w:name="_Toc12422"/>
      <w:r>
        <w:rPr>
          <w:rFonts w:hint="eastAsia" w:cs="宋体"/>
          <w:b/>
          <w:bCs/>
          <w:sz w:val="22"/>
          <w:szCs w:val="22"/>
        </w:rPr>
        <w:t>公告发布平台</w:t>
      </w:r>
    </w:p>
    <w:p w14:paraId="6ABF87A5">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lang w:val="en-US" w:eastAsia="zh-CN"/>
        </w:rPr>
        <w:t>阳光采购平台</w:t>
      </w:r>
      <w:r>
        <w:rPr>
          <w:rFonts w:hint="eastAsia" w:ascii="宋体" w:hAnsi="宋体" w:cs="宋体"/>
          <w:sz w:val="22"/>
          <w:szCs w:val="22"/>
          <w:highlight w:val="none"/>
        </w:rPr>
        <w:t>。</w:t>
      </w:r>
    </w:p>
    <w:p w14:paraId="10B0647A">
      <w:pPr>
        <w:spacing w:line="360" w:lineRule="auto"/>
        <w:ind w:firstLine="440" w:firstLineChars="200"/>
        <w:outlineLvl w:val="1"/>
        <w:rPr>
          <w:rFonts w:hint="eastAsia" w:eastAsia="宋体" w:cs="宋体"/>
          <w:b/>
          <w:bCs/>
          <w:sz w:val="22"/>
          <w:szCs w:val="22"/>
          <w:lang w:val="en-US" w:eastAsia="zh-CN"/>
        </w:rPr>
      </w:pPr>
      <w:bookmarkStart w:id="40" w:name="_Toc100130479"/>
      <w:bookmarkStart w:id="41" w:name="_Toc1682"/>
      <w:r>
        <w:rPr>
          <w:rFonts w:hint="eastAsia" w:cs="宋体"/>
          <w:b/>
          <w:bCs/>
          <w:sz w:val="22"/>
          <w:szCs w:val="22"/>
        </w:rPr>
        <w:t>五、</w:t>
      </w:r>
      <w:bookmarkEnd w:id="33"/>
      <w:bookmarkEnd w:id="34"/>
      <w:bookmarkEnd w:id="35"/>
      <w:bookmarkEnd w:id="36"/>
      <w:bookmarkEnd w:id="37"/>
      <w:bookmarkEnd w:id="38"/>
      <w:bookmarkEnd w:id="39"/>
      <w:bookmarkEnd w:id="40"/>
      <w:bookmarkEnd w:id="41"/>
      <w:bookmarkStart w:id="42" w:name="_Toc31396"/>
      <w:bookmarkStart w:id="43" w:name="_Toc444266722"/>
      <w:bookmarkStart w:id="44" w:name="_Toc15105"/>
      <w:bookmarkStart w:id="45" w:name="_Toc26728"/>
      <w:r>
        <w:rPr>
          <w:rFonts w:hint="eastAsia" w:cs="宋体"/>
          <w:b/>
          <w:bCs/>
          <w:sz w:val="22"/>
          <w:szCs w:val="22"/>
        </w:rPr>
        <w:t>询价文件的获取</w:t>
      </w:r>
      <w:r>
        <w:rPr>
          <w:rFonts w:hint="eastAsia" w:cs="宋体"/>
          <w:b/>
          <w:bCs/>
          <w:sz w:val="22"/>
          <w:szCs w:val="22"/>
          <w:lang w:val="en-US" w:eastAsia="zh-CN"/>
        </w:rPr>
        <w:t>地点</w:t>
      </w:r>
    </w:p>
    <w:p w14:paraId="1D03C11E">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请符合资格</w:t>
      </w:r>
      <w:r>
        <w:rPr>
          <w:rFonts w:hint="eastAsia" w:ascii="宋体" w:hAnsi="宋体" w:cs="宋体"/>
          <w:sz w:val="22"/>
          <w:szCs w:val="22"/>
          <w:highlight w:val="none"/>
          <w:lang w:val="en-US" w:eastAsia="zh-CN"/>
        </w:rPr>
        <w:t>并被邀请</w:t>
      </w:r>
      <w:r>
        <w:rPr>
          <w:rFonts w:hint="eastAsia" w:ascii="宋体" w:hAnsi="宋体" w:cs="宋体"/>
          <w:sz w:val="22"/>
          <w:szCs w:val="22"/>
          <w:highlight w:val="none"/>
        </w:rPr>
        <w:t>的供应商于202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7</w:t>
      </w:r>
      <w:r>
        <w:rPr>
          <w:rFonts w:hint="eastAsia" w:ascii="宋体" w:hAnsi="宋体" w:cs="宋体"/>
          <w:sz w:val="22"/>
          <w:szCs w:val="22"/>
          <w:highlight w:val="none"/>
        </w:rPr>
        <w:t>月</w:t>
      </w:r>
      <w:r>
        <w:rPr>
          <w:rFonts w:hint="eastAsia" w:ascii="宋体" w:hAnsi="宋体" w:cs="宋体"/>
          <w:sz w:val="22"/>
          <w:szCs w:val="22"/>
          <w:highlight w:val="none"/>
          <w:lang w:val="en-US" w:eastAsia="zh-CN"/>
        </w:rPr>
        <w:t>29</w:t>
      </w:r>
      <w:r>
        <w:rPr>
          <w:rFonts w:hint="eastAsia" w:ascii="宋体" w:hAnsi="宋体" w:cs="宋体"/>
          <w:sz w:val="22"/>
          <w:szCs w:val="22"/>
          <w:highlight w:val="none"/>
        </w:rPr>
        <w:t>日下午</w:t>
      </w:r>
      <w:r>
        <w:rPr>
          <w:rFonts w:hint="eastAsia" w:ascii="宋体" w:hAnsi="宋体" w:cs="宋体"/>
          <w:sz w:val="22"/>
          <w:szCs w:val="22"/>
          <w:highlight w:val="none"/>
          <w:lang w:val="en-US" w:eastAsia="zh-CN"/>
        </w:rPr>
        <w:t>14:30前于阳光采购平台下载</w:t>
      </w:r>
      <w:r>
        <w:rPr>
          <w:rFonts w:hint="eastAsia" w:ascii="宋体" w:hAnsi="宋体" w:cs="宋体"/>
          <w:sz w:val="22"/>
          <w:szCs w:val="22"/>
          <w:highlight w:val="none"/>
        </w:rPr>
        <w:t>。</w:t>
      </w:r>
    </w:p>
    <w:p w14:paraId="0DED0D28">
      <w:pPr>
        <w:spacing w:line="360" w:lineRule="auto"/>
        <w:ind w:firstLine="440" w:firstLineChars="200"/>
        <w:outlineLvl w:val="1"/>
        <w:rPr>
          <w:rFonts w:ascii="宋体" w:hAnsi="宋体" w:cs="宋体"/>
          <w:sz w:val="22"/>
          <w:szCs w:val="22"/>
          <w:highlight w:val="none"/>
        </w:rPr>
      </w:pPr>
      <w:r>
        <w:rPr>
          <w:rFonts w:hint="eastAsia" w:ascii="宋体" w:hAnsi="宋体" w:cs="宋体"/>
          <w:sz w:val="22"/>
          <w:szCs w:val="22"/>
          <w:highlight w:val="none"/>
        </w:rPr>
        <w:t>联系人：</w:t>
      </w:r>
      <w:bookmarkStart w:id="46" w:name="_Toc100130480"/>
      <w:bookmarkStart w:id="47" w:name="_Toc17675"/>
      <w:bookmarkStart w:id="48" w:name="_Toc21373"/>
      <w:bookmarkStart w:id="49" w:name="_Toc5259"/>
      <w:bookmarkStart w:id="50" w:name="_Toc5279"/>
      <w:bookmarkStart w:id="51" w:name="_Toc21799"/>
      <w:r>
        <w:rPr>
          <w:rFonts w:hint="eastAsia" w:ascii="宋体" w:hAnsi="宋体" w:cs="宋体"/>
          <w:sz w:val="22"/>
          <w:szCs w:val="22"/>
          <w:highlight w:val="none"/>
          <w:lang w:val="en-US" w:eastAsia="zh-CN"/>
        </w:rPr>
        <w:t>杜工</w:t>
      </w:r>
      <w:r>
        <w:rPr>
          <w:rFonts w:hint="eastAsia" w:ascii="宋体" w:hAnsi="宋体" w:cs="宋体"/>
          <w:sz w:val="22"/>
          <w:szCs w:val="22"/>
          <w:highlight w:val="none"/>
        </w:rPr>
        <w:t>，联系方式：0755-</w:t>
      </w:r>
      <w:r>
        <w:rPr>
          <w:rFonts w:hint="eastAsia" w:ascii="宋体" w:hAnsi="宋体" w:cs="宋体"/>
          <w:sz w:val="22"/>
          <w:szCs w:val="22"/>
          <w:highlight w:val="none"/>
          <w:lang w:eastAsia="zh-CN"/>
        </w:rPr>
        <w:t>28501</w:t>
      </w:r>
      <w:r>
        <w:rPr>
          <w:rFonts w:hint="eastAsia" w:ascii="宋体" w:hAnsi="宋体" w:cs="宋体"/>
          <w:sz w:val="22"/>
          <w:szCs w:val="22"/>
          <w:highlight w:val="none"/>
          <w:lang w:val="en-US" w:eastAsia="zh-CN"/>
        </w:rPr>
        <w:t>987</w:t>
      </w:r>
      <w:r>
        <w:rPr>
          <w:rFonts w:hint="eastAsia" w:ascii="宋体" w:hAnsi="宋体" w:cs="宋体"/>
          <w:sz w:val="22"/>
          <w:szCs w:val="22"/>
          <w:highlight w:val="none"/>
        </w:rPr>
        <w:t>。</w:t>
      </w:r>
    </w:p>
    <w:p w14:paraId="3A5BD5DB">
      <w:pPr>
        <w:spacing w:line="360" w:lineRule="auto"/>
        <w:ind w:firstLine="440" w:firstLineChars="200"/>
        <w:outlineLvl w:val="1"/>
        <w:rPr>
          <w:rFonts w:cs="宋体"/>
          <w:b/>
          <w:bCs/>
          <w:sz w:val="22"/>
          <w:szCs w:val="22"/>
          <w:highlight w:val="none"/>
        </w:rPr>
      </w:pPr>
      <w:r>
        <w:rPr>
          <w:rFonts w:hint="eastAsia" w:cs="宋体"/>
          <w:b/>
          <w:bCs/>
          <w:sz w:val="22"/>
          <w:szCs w:val="22"/>
          <w:highlight w:val="none"/>
        </w:rPr>
        <w:t>六、</w:t>
      </w:r>
      <w:bookmarkEnd w:id="42"/>
      <w:bookmarkEnd w:id="43"/>
      <w:bookmarkEnd w:id="44"/>
      <w:bookmarkEnd w:id="45"/>
      <w:bookmarkEnd w:id="46"/>
      <w:bookmarkEnd w:id="47"/>
      <w:bookmarkEnd w:id="48"/>
      <w:bookmarkEnd w:id="49"/>
      <w:bookmarkEnd w:id="50"/>
      <w:bookmarkEnd w:id="51"/>
      <w:bookmarkStart w:id="52" w:name="_Toc100130481"/>
      <w:bookmarkStart w:id="53" w:name="_Toc22065"/>
      <w:bookmarkStart w:id="54" w:name="_Toc29910"/>
      <w:bookmarkStart w:id="55" w:name="_Toc7643"/>
      <w:bookmarkStart w:id="56" w:name="_Toc4132"/>
      <w:bookmarkStart w:id="57" w:name="_Toc14655"/>
      <w:bookmarkStart w:id="58" w:name="_Toc16194"/>
      <w:r>
        <w:rPr>
          <w:rFonts w:hint="eastAsia" w:cs="宋体"/>
          <w:b/>
          <w:bCs/>
          <w:sz w:val="22"/>
          <w:szCs w:val="22"/>
          <w:highlight w:val="none"/>
        </w:rPr>
        <w:t>报价截止时间和文件递交地址</w:t>
      </w:r>
    </w:p>
    <w:p w14:paraId="2A1E9B86">
      <w:pPr>
        <w:spacing w:line="360" w:lineRule="auto"/>
        <w:ind w:firstLine="440" w:firstLineChars="200"/>
        <w:outlineLvl w:val="1"/>
        <w:rPr>
          <w:rFonts w:ascii="宋体" w:hAnsi="宋体" w:cs="宋体"/>
          <w:sz w:val="22"/>
          <w:szCs w:val="22"/>
        </w:rPr>
      </w:pPr>
      <w:r>
        <w:rPr>
          <w:rFonts w:hint="eastAsia" w:ascii="宋体" w:hAnsi="宋体" w:cs="宋体"/>
          <w:sz w:val="22"/>
          <w:szCs w:val="22"/>
          <w:highlight w:val="none"/>
        </w:rPr>
        <w:t>请于202</w:t>
      </w:r>
      <w:r>
        <w:rPr>
          <w:rFonts w:hint="eastAsia" w:ascii="宋体" w:hAnsi="宋体" w:cs="宋体"/>
          <w:sz w:val="22"/>
          <w:szCs w:val="22"/>
          <w:highlight w:val="none"/>
          <w:lang w:val="en-US" w:eastAsia="zh-CN"/>
        </w:rPr>
        <w:t>6</w:t>
      </w:r>
      <w:r>
        <w:rPr>
          <w:rFonts w:hint="eastAsia" w:ascii="宋体" w:hAnsi="宋体" w:cs="宋体"/>
          <w:sz w:val="22"/>
          <w:szCs w:val="22"/>
          <w:highlight w:val="none"/>
        </w:rPr>
        <w:t>年</w:t>
      </w:r>
      <w:r>
        <w:rPr>
          <w:rFonts w:hint="eastAsia" w:ascii="宋体" w:hAnsi="宋体" w:cs="宋体"/>
          <w:sz w:val="22"/>
          <w:szCs w:val="22"/>
          <w:highlight w:val="none"/>
          <w:lang w:val="en-US" w:eastAsia="zh-CN"/>
        </w:rPr>
        <w:t>7</w:t>
      </w:r>
      <w:r>
        <w:rPr>
          <w:rFonts w:hint="eastAsia" w:ascii="宋体" w:hAnsi="宋体" w:cs="宋体"/>
          <w:sz w:val="22"/>
          <w:szCs w:val="22"/>
          <w:highlight w:val="none"/>
        </w:rPr>
        <w:t>月</w:t>
      </w:r>
      <w:r>
        <w:rPr>
          <w:rFonts w:hint="eastAsia" w:ascii="宋体" w:hAnsi="宋体" w:cs="宋体"/>
          <w:sz w:val="22"/>
          <w:szCs w:val="22"/>
          <w:highlight w:val="none"/>
          <w:lang w:val="en-US" w:eastAsia="zh-CN"/>
        </w:rPr>
        <w:t>29</w:t>
      </w:r>
      <w:r>
        <w:rPr>
          <w:rFonts w:hint="eastAsia" w:ascii="宋体" w:hAnsi="宋体" w:cs="宋体"/>
          <w:sz w:val="22"/>
          <w:szCs w:val="22"/>
          <w:highlight w:val="none"/>
        </w:rPr>
        <w:t>日下午</w:t>
      </w:r>
      <w:r>
        <w:rPr>
          <w:rFonts w:hint="eastAsia" w:ascii="宋体" w:hAnsi="宋体" w:cs="宋体"/>
          <w:sz w:val="22"/>
          <w:szCs w:val="22"/>
          <w:highlight w:val="none"/>
          <w:lang w:val="en-US" w:eastAsia="zh-CN"/>
        </w:rPr>
        <w:t>14:30</w:t>
      </w:r>
      <w:r>
        <w:rPr>
          <w:rFonts w:hint="eastAsia" w:ascii="宋体" w:hAnsi="宋体" w:cs="宋体"/>
          <w:sz w:val="22"/>
          <w:szCs w:val="22"/>
          <w:highlight w:val="none"/>
        </w:rPr>
        <w:t>前将</w:t>
      </w:r>
      <w:r>
        <w:rPr>
          <w:rFonts w:hint="eastAsia" w:ascii="宋体" w:hAnsi="宋体" w:cs="宋体"/>
          <w:b/>
          <w:bCs/>
          <w:sz w:val="22"/>
          <w:szCs w:val="22"/>
          <w:highlight w:val="none"/>
          <w:u w:val="single"/>
        </w:rPr>
        <w:t>纸质版响应文件</w:t>
      </w:r>
      <w:r>
        <w:rPr>
          <w:rFonts w:hint="eastAsia" w:ascii="宋体" w:hAnsi="宋体" w:cs="宋体"/>
          <w:sz w:val="22"/>
          <w:szCs w:val="22"/>
          <w:highlight w:val="none"/>
        </w:rPr>
        <w:t>递交至</w:t>
      </w:r>
      <w:r>
        <w:rPr>
          <w:rFonts w:hint="eastAsia" w:ascii="宋体" w:hAnsi="宋体" w:cs="宋体"/>
          <w:sz w:val="22"/>
          <w:szCs w:val="22"/>
          <w:lang w:val="en-US" w:eastAsia="zh-CN"/>
        </w:rPr>
        <w:t>龙岗创投大厦4004</w:t>
      </w:r>
      <w:r>
        <w:rPr>
          <w:rFonts w:hint="eastAsia" w:ascii="宋体" w:hAnsi="宋体" w:cs="宋体"/>
          <w:sz w:val="22"/>
          <w:szCs w:val="22"/>
          <w:highlight w:val="none"/>
        </w:rPr>
        <w:t>，签收人：</w:t>
      </w:r>
      <w:r>
        <w:rPr>
          <w:rFonts w:hint="eastAsia" w:ascii="宋体" w:hAnsi="宋体" w:cs="宋体"/>
          <w:sz w:val="22"/>
          <w:szCs w:val="22"/>
          <w:lang w:eastAsia="zh-CN"/>
        </w:rPr>
        <w:t>杜</w:t>
      </w:r>
      <w:r>
        <w:rPr>
          <w:rFonts w:hint="eastAsia" w:ascii="宋体" w:hAnsi="宋体" w:cs="宋体"/>
          <w:sz w:val="22"/>
          <w:szCs w:val="22"/>
          <w:lang w:val="en-US" w:eastAsia="zh-CN"/>
        </w:rPr>
        <w:t>工</w:t>
      </w:r>
      <w:r>
        <w:rPr>
          <w:rFonts w:hint="eastAsia" w:ascii="宋体" w:hAnsi="宋体" w:cs="宋体"/>
          <w:sz w:val="22"/>
          <w:szCs w:val="22"/>
        </w:rPr>
        <w:t>，联系方式：</w:t>
      </w:r>
      <w:r>
        <w:rPr>
          <w:rFonts w:hint="eastAsia" w:ascii="宋体" w:hAnsi="宋体" w:cs="宋体"/>
          <w:sz w:val="22"/>
          <w:szCs w:val="22"/>
          <w:highlight w:val="none"/>
        </w:rPr>
        <w:t>0755-</w:t>
      </w:r>
      <w:r>
        <w:rPr>
          <w:rFonts w:hint="eastAsia" w:ascii="宋体" w:hAnsi="宋体" w:cs="宋体"/>
          <w:sz w:val="22"/>
          <w:szCs w:val="22"/>
          <w:highlight w:val="none"/>
          <w:lang w:val="en-US" w:eastAsia="zh-CN"/>
        </w:rPr>
        <w:t>28501987</w:t>
      </w:r>
      <w:r>
        <w:rPr>
          <w:rFonts w:hint="eastAsia" w:ascii="宋体" w:hAnsi="宋体" w:cs="宋体"/>
          <w:sz w:val="22"/>
          <w:szCs w:val="22"/>
          <w:highlight w:val="none"/>
        </w:rPr>
        <w:t>。</w:t>
      </w:r>
    </w:p>
    <w:p w14:paraId="0F96A303">
      <w:pPr>
        <w:adjustRightInd w:val="0"/>
        <w:snapToGrid w:val="0"/>
        <w:spacing w:line="360" w:lineRule="auto"/>
        <w:ind w:firstLine="420" w:firstLineChars="0"/>
        <w:jc w:val="left"/>
        <w:outlineLvl w:val="1"/>
        <w:rPr>
          <w:rFonts w:cs="宋体"/>
          <w:sz w:val="22"/>
          <w:szCs w:val="22"/>
        </w:rPr>
      </w:pPr>
      <w:r>
        <w:rPr>
          <w:rFonts w:hint="eastAsia" w:cs="宋体"/>
          <w:sz w:val="22"/>
          <w:szCs w:val="22"/>
        </w:rPr>
        <w:t>供应商在提交报价文件时，应注意:</w:t>
      </w:r>
    </w:p>
    <w:p w14:paraId="3638CA9C">
      <w:pPr>
        <w:adjustRightInd w:val="0"/>
        <w:snapToGrid w:val="0"/>
        <w:spacing w:line="360" w:lineRule="auto"/>
        <w:ind w:firstLine="440" w:firstLineChars="200"/>
        <w:jc w:val="left"/>
        <w:outlineLvl w:val="1"/>
        <w:rPr>
          <w:rFonts w:cs="宋体"/>
          <w:sz w:val="22"/>
          <w:szCs w:val="22"/>
        </w:rPr>
      </w:pPr>
      <w:r>
        <w:rPr>
          <w:rFonts w:hint="eastAsia" w:cs="宋体"/>
          <w:sz w:val="22"/>
          <w:szCs w:val="22"/>
        </w:rPr>
        <w:t>（一）</w:t>
      </w:r>
      <w:r>
        <w:rPr>
          <w:rFonts w:hint="eastAsia" w:ascii="宋体" w:hAnsi="宋体" w:cs="宋体"/>
          <w:sz w:val="22"/>
          <w:szCs w:val="22"/>
        </w:rPr>
        <w:t>供应商</w:t>
      </w:r>
      <w:r>
        <w:rPr>
          <w:rFonts w:hint="eastAsia" w:cs="宋体"/>
          <w:sz w:val="22"/>
          <w:szCs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szCs w:val="22"/>
        </w:rPr>
      </w:pPr>
      <w:r>
        <w:rPr>
          <w:rFonts w:hint="eastAsia" w:cs="宋体"/>
          <w:sz w:val="22"/>
          <w:szCs w:val="22"/>
        </w:rPr>
        <w:t>（二）</w:t>
      </w:r>
      <w:r>
        <w:rPr>
          <w:rFonts w:hint="eastAsia" w:ascii="宋体" w:hAnsi="宋体" w:cs="宋体"/>
          <w:sz w:val="22"/>
          <w:szCs w:val="22"/>
        </w:rPr>
        <w:t>供应商</w:t>
      </w:r>
      <w:r>
        <w:rPr>
          <w:rFonts w:hint="eastAsia" w:cs="宋体"/>
          <w:sz w:val="22"/>
          <w:szCs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szCs w:val="22"/>
        </w:rPr>
        <w:t>拟参与</w:t>
      </w:r>
      <w:r>
        <w:rPr>
          <w:rFonts w:hint="eastAsia" w:cs="宋体"/>
          <w:sz w:val="22"/>
          <w:szCs w:val="22"/>
          <w:lang w:eastAsia="zh-CN"/>
        </w:rPr>
        <w:t>本项目</w:t>
      </w:r>
      <w:r>
        <w:rPr>
          <w:rFonts w:hint="eastAsia" w:cs="宋体"/>
          <w:sz w:val="22"/>
          <w:szCs w:val="22"/>
        </w:rPr>
        <w:t>报价的供应商，如报价前有疑问可来电咨询。</w:t>
      </w:r>
    </w:p>
    <w:p w14:paraId="7B3C292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七、响应文件递交内容</w:t>
      </w:r>
    </w:p>
    <w:p w14:paraId="27A17A66">
      <w:pPr>
        <w:spacing w:line="360" w:lineRule="auto"/>
        <w:ind w:firstLine="440" w:firstLineChars="200"/>
        <w:outlineLvl w:val="1"/>
        <w:rPr>
          <w:rFonts w:hint="eastAsia" w:cs="宋体"/>
          <w:sz w:val="22"/>
          <w:szCs w:val="22"/>
        </w:rPr>
      </w:pPr>
      <w:r>
        <w:rPr>
          <w:rFonts w:hint="eastAsia" w:cs="宋体"/>
          <w:sz w:val="22"/>
          <w:szCs w:val="22"/>
        </w:rPr>
        <w:t>（一）</w:t>
      </w:r>
      <w:r>
        <w:rPr>
          <w:rFonts w:hint="eastAsia" w:ascii="宋体" w:hAnsi="宋体"/>
          <w:bCs/>
          <w:sz w:val="22"/>
          <w:szCs w:val="22"/>
          <w:lang w:val="en-US" w:eastAsia="zh-CN"/>
        </w:rPr>
        <w:t>投标函</w:t>
      </w:r>
      <w:r>
        <w:rPr>
          <w:rFonts w:hint="eastAsia" w:ascii="宋体" w:hAnsi="宋体"/>
          <w:bCs/>
          <w:sz w:val="22"/>
          <w:szCs w:val="22"/>
        </w:rPr>
        <w:t>并加盖</w:t>
      </w:r>
      <w:r>
        <w:rPr>
          <w:rFonts w:hint="eastAsia" w:ascii="宋体" w:hAnsi="宋体" w:cs="宋体"/>
          <w:sz w:val="22"/>
          <w:szCs w:val="22"/>
        </w:rPr>
        <w:t>供应商</w:t>
      </w:r>
      <w:r>
        <w:rPr>
          <w:rFonts w:hint="eastAsia" w:ascii="宋体" w:hAnsi="宋体"/>
          <w:bCs/>
          <w:sz w:val="22"/>
          <w:szCs w:val="22"/>
        </w:rPr>
        <w:t>公章。</w:t>
      </w:r>
    </w:p>
    <w:p w14:paraId="157BFABC">
      <w:pPr>
        <w:spacing w:line="360" w:lineRule="auto"/>
        <w:ind w:firstLine="440" w:firstLineChars="200"/>
        <w:outlineLvl w:val="1"/>
        <w:rPr>
          <w:rFonts w:ascii="宋体" w:hAnsi="宋体"/>
          <w:bCs/>
          <w:sz w:val="22"/>
          <w:szCs w:val="22"/>
        </w:rPr>
      </w:pPr>
      <w:r>
        <w:rPr>
          <w:rFonts w:hint="eastAsia" w:cs="宋体"/>
          <w:sz w:val="22"/>
          <w:szCs w:val="22"/>
        </w:rPr>
        <w:t>（</w:t>
      </w:r>
      <w:r>
        <w:rPr>
          <w:rFonts w:hint="eastAsia" w:cs="宋体"/>
          <w:sz w:val="22"/>
          <w:szCs w:val="22"/>
          <w:lang w:val="en-US" w:eastAsia="zh-CN"/>
        </w:rPr>
        <w:t>二</w:t>
      </w:r>
      <w:r>
        <w:rPr>
          <w:rFonts w:hint="eastAsia" w:cs="宋体"/>
          <w:sz w:val="22"/>
          <w:szCs w:val="22"/>
        </w:rPr>
        <w:t>）</w:t>
      </w:r>
      <w:r>
        <w:rPr>
          <w:rFonts w:hint="eastAsia" w:ascii="宋体" w:hAnsi="宋体"/>
          <w:bCs/>
          <w:sz w:val="22"/>
          <w:szCs w:val="22"/>
        </w:rPr>
        <w:t>营业执照副本复印件并加盖</w:t>
      </w:r>
      <w:r>
        <w:rPr>
          <w:rFonts w:hint="eastAsia" w:ascii="宋体" w:hAnsi="宋体" w:cs="宋体"/>
          <w:sz w:val="22"/>
          <w:szCs w:val="22"/>
        </w:rPr>
        <w:t>供应商</w:t>
      </w:r>
      <w:r>
        <w:rPr>
          <w:rFonts w:hint="eastAsia" w:ascii="宋体" w:hAnsi="宋体"/>
          <w:bCs/>
          <w:sz w:val="22"/>
          <w:szCs w:val="22"/>
        </w:rPr>
        <w:t>公章。</w:t>
      </w:r>
    </w:p>
    <w:p w14:paraId="56324DE8">
      <w:pPr>
        <w:spacing w:line="360" w:lineRule="auto"/>
        <w:ind w:firstLine="440" w:firstLineChars="200"/>
        <w:outlineLvl w:val="1"/>
      </w:pPr>
      <w:r>
        <w:rPr>
          <w:rFonts w:hint="eastAsia" w:cs="宋体"/>
          <w:sz w:val="22"/>
          <w:szCs w:val="22"/>
        </w:rPr>
        <w:t>（</w:t>
      </w:r>
      <w:r>
        <w:rPr>
          <w:rFonts w:hint="eastAsia" w:cs="宋体"/>
          <w:sz w:val="22"/>
          <w:szCs w:val="22"/>
          <w:lang w:val="en-US" w:eastAsia="zh-CN"/>
        </w:rPr>
        <w:t>三</w:t>
      </w:r>
      <w:r>
        <w:rPr>
          <w:rFonts w:hint="eastAsia" w:cs="宋体"/>
          <w:sz w:val="22"/>
          <w:szCs w:val="22"/>
        </w:rPr>
        <w:t>）</w:t>
      </w:r>
      <w:r>
        <w:rPr>
          <w:rFonts w:hint="eastAsia" w:ascii="宋体" w:hAnsi="宋体" w:cs="宋体"/>
          <w:kern w:val="0"/>
          <w:sz w:val="22"/>
          <w:szCs w:val="22"/>
        </w:rPr>
        <w:t>法人证明书或授权委托书原件加盖</w:t>
      </w:r>
      <w:r>
        <w:rPr>
          <w:rFonts w:hint="eastAsia" w:ascii="宋体" w:hAnsi="宋体" w:cs="宋体"/>
          <w:sz w:val="22"/>
          <w:szCs w:val="22"/>
        </w:rPr>
        <w:t>供应商</w:t>
      </w:r>
      <w:r>
        <w:rPr>
          <w:rFonts w:hint="eastAsia" w:ascii="宋体" w:hAnsi="宋体" w:cs="宋体"/>
          <w:kern w:val="0"/>
          <w:sz w:val="22"/>
          <w:szCs w:val="22"/>
        </w:rPr>
        <w:t>公章。</w:t>
      </w:r>
    </w:p>
    <w:p w14:paraId="41C5F808">
      <w:pPr>
        <w:spacing w:line="360" w:lineRule="auto"/>
        <w:ind w:firstLine="440" w:firstLineChars="200"/>
        <w:outlineLvl w:val="1"/>
        <w:rPr>
          <w:rFonts w:hint="eastAsia"/>
        </w:rPr>
      </w:pPr>
      <w:r>
        <w:rPr>
          <w:rFonts w:hint="eastAsia" w:cs="宋体"/>
          <w:sz w:val="22"/>
          <w:szCs w:val="22"/>
        </w:rPr>
        <w:t>（</w:t>
      </w:r>
      <w:r>
        <w:rPr>
          <w:rFonts w:hint="eastAsia" w:cs="宋体"/>
          <w:sz w:val="22"/>
          <w:szCs w:val="22"/>
          <w:lang w:val="en-US" w:eastAsia="zh-CN"/>
        </w:rPr>
        <w:t>四</w:t>
      </w:r>
      <w:r>
        <w:rPr>
          <w:rFonts w:hint="eastAsia" w:cs="宋体"/>
          <w:sz w:val="22"/>
          <w:szCs w:val="22"/>
        </w:rPr>
        <w:t>）</w:t>
      </w:r>
      <w:r>
        <w:rPr>
          <w:rFonts w:hint="eastAsia" w:ascii="宋体" w:hAnsi="宋体"/>
          <w:bCs/>
          <w:sz w:val="22"/>
          <w:szCs w:val="22"/>
        </w:rPr>
        <w:t>本项目报价函及报价单加盖</w:t>
      </w:r>
      <w:r>
        <w:rPr>
          <w:rFonts w:hint="eastAsia" w:ascii="宋体" w:hAnsi="宋体" w:cs="宋体"/>
          <w:sz w:val="22"/>
          <w:szCs w:val="22"/>
        </w:rPr>
        <w:t>供应商</w:t>
      </w:r>
      <w:r>
        <w:rPr>
          <w:rFonts w:hint="eastAsia" w:ascii="宋体" w:hAnsi="宋体"/>
          <w:bCs/>
          <w:sz w:val="22"/>
          <w:szCs w:val="22"/>
        </w:rPr>
        <w:t>公章。</w:t>
      </w:r>
    </w:p>
    <w:p w14:paraId="53A57963">
      <w:pPr>
        <w:spacing w:line="360" w:lineRule="auto"/>
        <w:ind w:firstLine="440" w:firstLineChars="200"/>
        <w:outlineLvl w:val="1"/>
        <w:rPr>
          <w:rFonts w:hint="eastAsia" w:ascii="宋体" w:hAnsi="宋体"/>
          <w:bCs/>
          <w:sz w:val="22"/>
          <w:szCs w:val="22"/>
        </w:rPr>
      </w:pPr>
      <w:r>
        <w:rPr>
          <w:rFonts w:hint="eastAsia" w:ascii="宋体" w:hAnsi="宋体"/>
          <w:bCs/>
          <w:sz w:val="22"/>
          <w:szCs w:val="22"/>
          <w:lang w:eastAsia="zh-CN"/>
        </w:rPr>
        <w:t>（</w:t>
      </w:r>
      <w:r>
        <w:rPr>
          <w:rFonts w:hint="eastAsia" w:ascii="宋体" w:hAnsi="宋体"/>
          <w:bCs/>
          <w:sz w:val="22"/>
          <w:szCs w:val="22"/>
          <w:lang w:val="en-US" w:eastAsia="zh-CN"/>
        </w:rPr>
        <w:t>五</w:t>
      </w:r>
      <w:r>
        <w:rPr>
          <w:rFonts w:hint="eastAsia" w:ascii="宋体" w:hAnsi="宋体"/>
          <w:bCs/>
          <w:sz w:val="22"/>
          <w:szCs w:val="22"/>
          <w:lang w:eastAsia="zh-CN"/>
        </w:rPr>
        <w:t>）</w:t>
      </w:r>
      <w:r>
        <w:rPr>
          <w:rFonts w:hint="eastAsia" w:ascii="宋体" w:hAnsi="宋体"/>
          <w:bCs/>
          <w:sz w:val="22"/>
          <w:szCs w:val="22"/>
        </w:rPr>
        <w:t>业绩</w:t>
      </w:r>
      <w:r>
        <w:rPr>
          <w:rFonts w:hint="eastAsia" w:ascii="宋体" w:hAnsi="宋体"/>
          <w:bCs/>
          <w:sz w:val="22"/>
          <w:szCs w:val="22"/>
          <w:lang w:val="en-US" w:eastAsia="zh-CN"/>
        </w:rPr>
        <w:t>证明文件</w:t>
      </w:r>
      <w:r>
        <w:rPr>
          <w:rFonts w:hint="eastAsia" w:ascii="宋体" w:hAnsi="宋体"/>
          <w:bCs/>
          <w:sz w:val="22"/>
          <w:szCs w:val="22"/>
        </w:rPr>
        <w:t>加盖供应商公章。</w:t>
      </w:r>
    </w:p>
    <w:p w14:paraId="69B766A8">
      <w:pPr>
        <w:spacing w:line="360" w:lineRule="auto"/>
        <w:ind w:firstLine="440" w:firstLineChars="200"/>
        <w:outlineLvl w:val="1"/>
        <w:rPr>
          <w:rFonts w:cs="宋体"/>
          <w:b/>
          <w:bCs/>
          <w:sz w:val="22"/>
          <w:szCs w:val="22"/>
        </w:rPr>
      </w:pPr>
      <w:r>
        <w:rPr>
          <w:rFonts w:hint="eastAsia" w:cs="宋体"/>
          <w:b/>
          <w:bCs/>
          <w:sz w:val="22"/>
          <w:szCs w:val="22"/>
        </w:rPr>
        <w:t>八、</w:t>
      </w:r>
      <w:bookmarkEnd w:id="52"/>
      <w:bookmarkEnd w:id="53"/>
      <w:bookmarkEnd w:id="54"/>
      <w:bookmarkEnd w:id="55"/>
      <w:bookmarkEnd w:id="56"/>
      <w:bookmarkEnd w:id="57"/>
      <w:bookmarkStart w:id="59" w:name="_Toc22015"/>
      <w:bookmarkStart w:id="60" w:name="_Toc32730"/>
      <w:bookmarkStart w:id="61" w:name="_Toc922"/>
      <w:bookmarkStart w:id="62" w:name="_Toc31767"/>
      <w:bookmarkStart w:id="63" w:name="_Toc100130482"/>
      <w:bookmarkStart w:id="64" w:name="_Toc11546"/>
      <w:r>
        <w:rPr>
          <w:rFonts w:hint="eastAsia" w:ascii="宋体" w:hAnsi="宋体" w:cs="宋体"/>
          <w:b/>
          <w:bCs/>
          <w:sz w:val="22"/>
          <w:szCs w:val="22"/>
        </w:rPr>
        <w:t>供应商</w:t>
      </w:r>
      <w:r>
        <w:rPr>
          <w:rFonts w:hint="eastAsia" w:cs="宋体"/>
          <w:b/>
          <w:bCs/>
          <w:sz w:val="22"/>
          <w:szCs w:val="22"/>
        </w:rPr>
        <w:t>资格要求</w:t>
      </w:r>
    </w:p>
    <w:bookmarkEnd w:id="58"/>
    <w:bookmarkEnd w:id="59"/>
    <w:bookmarkEnd w:id="60"/>
    <w:bookmarkEnd w:id="61"/>
    <w:bookmarkEnd w:id="62"/>
    <w:bookmarkEnd w:id="63"/>
    <w:bookmarkEnd w:id="64"/>
    <w:p w14:paraId="399A352A">
      <w:pPr>
        <w:adjustRightInd w:val="0"/>
        <w:snapToGrid w:val="0"/>
        <w:spacing w:line="360" w:lineRule="auto"/>
        <w:ind w:firstLine="440" w:firstLineChars="200"/>
        <w:jc w:val="left"/>
        <w:outlineLvl w:val="1"/>
        <w:rPr>
          <w:rFonts w:hint="eastAsia" w:ascii="宋体" w:hAnsi="宋体" w:eastAsia="宋体"/>
          <w:bCs/>
          <w:sz w:val="22"/>
          <w:szCs w:val="22"/>
          <w:lang w:eastAsia="zh-CN"/>
        </w:rPr>
      </w:pPr>
      <w:bookmarkStart w:id="65" w:name="_Toc2009"/>
      <w:bookmarkStart w:id="66" w:name="_Toc444266724"/>
      <w:bookmarkStart w:id="67" w:name="_Toc18785"/>
      <w:bookmarkStart w:id="68" w:name="_Toc7005"/>
      <w:bookmarkStart w:id="69" w:name="_Toc11601"/>
      <w:bookmarkStart w:id="70" w:name="_Toc100130484"/>
      <w:bookmarkStart w:id="71" w:name="_Toc5470"/>
      <w:bookmarkStart w:id="72" w:name="_Toc22760"/>
      <w:r>
        <w:rPr>
          <w:rFonts w:hint="eastAsia" w:ascii="宋体" w:hAnsi="宋体"/>
          <w:bCs/>
          <w:sz w:val="22"/>
          <w:szCs w:val="22"/>
        </w:rPr>
        <w:t>（</w:t>
      </w:r>
      <w:r>
        <w:rPr>
          <w:rFonts w:hint="eastAsia" w:ascii="宋体" w:hAnsi="宋体"/>
          <w:bCs/>
          <w:sz w:val="22"/>
          <w:szCs w:val="22"/>
          <w:lang w:val="en-US" w:eastAsia="zh-CN"/>
        </w:rPr>
        <w:t>一）投标人必须是在中华人民共和国境内（不含港、澳、台地区）注册的独立法人机构或分支机构且具备物业管理或物业服务或类似物业相关的经营能力。（提供营业执照副本复印件及相关证明文件并加盖投标人公章）</w:t>
      </w:r>
      <w:r>
        <w:rPr>
          <w:rFonts w:hint="eastAsia" w:ascii="宋体" w:hAnsi="宋体"/>
          <w:bCs/>
          <w:sz w:val="22"/>
          <w:szCs w:val="22"/>
          <w:lang w:eastAsia="zh-CN"/>
        </w:rPr>
        <w:t>；</w:t>
      </w:r>
    </w:p>
    <w:p w14:paraId="13056D70">
      <w:pPr>
        <w:adjustRightInd w:val="0"/>
        <w:snapToGrid w:val="0"/>
        <w:spacing w:line="360" w:lineRule="auto"/>
        <w:ind w:firstLine="440" w:firstLineChars="200"/>
        <w:jc w:val="left"/>
        <w:outlineLvl w:val="1"/>
        <w:rPr>
          <w:rFonts w:hint="eastAsia" w:ascii="宋体" w:hAnsi="宋体"/>
          <w:bCs/>
          <w:sz w:val="22"/>
          <w:szCs w:val="22"/>
          <w:highlight w:val="yellow"/>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二</w:t>
      </w:r>
      <w:r>
        <w:rPr>
          <w:rFonts w:hint="eastAsia" w:ascii="宋体" w:hAnsi="宋体"/>
          <w:bCs/>
          <w:sz w:val="22"/>
          <w:szCs w:val="22"/>
          <w:highlight w:val="none"/>
          <w:lang w:eastAsia="zh-CN"/>
        </w:rPr>
        <w:t>）</w:t>
      </w:r>
      <w:r>
        <w:rPr>
          <w:rFonts w:hint="eastAsia" w:ascii="宋体" w:hAnsi="宋体"/>
          <w:bCs/>
          <w:sz w:val="22"/>
          <w:szCs w:val="22"/>
          <w:highlight w:val="none"/>
        </w:rPr>
        <w:t>投标人近一年（自202</w:t>
      </w:r>
      <w:r>
        <w:rPr>
          <w:rFonts w:hint="eastAsia" w:ascii="宋体" w:hAnsi="宋体"/>
          <w:bCs/>
          <w:sz w:val="22"/>
          <w:szCs w:val="22"/>
          <w:highlight w:val="none"/>
          <w:lang w:val="en-US" w:eastAsia="zh-CN"/>
        </w:rPr>
        <w:t>5</w:t>
      </w:r>
      <w:r>
        <w:rPr>
          <w:rFonts w:hint="eastAsia" w:ascii="宋体" w:hAnsi="宋体"/>
          <w:bCs/>
          <w:sz w:val="22"/>
          <w:szCs w:val="22"/>
          <w:highlight w:val="none"/>
        </w:rPr>
        <w:t>年</w:t>
      </w:r>
      <w:r>
        <w:rPr>
          <w:rFonts w:hint="eastAsia" w:ascii="宋体" w:hAnsi="宋体"/>
          <w:bCs/>
          <w:sz w:val="22"/>
          <w:szCs w:val="22"/>
          <w:highlight w:val="none"/>
          <w:lang w:val="en-US" w:eastAsia="zh-CN"/>
        </w:rPr>
        <w:t>1</w:t>
      </w:r>
      <w:r>
        <w:rPr>
          <w:rFonts w:hint="eastAsia" w:ascii="宋体" w:hAnsi="宋体"/>
          <w:bCs/>
          <w:sz w:val="22"/>
          <w:szCs w:val="22"/>
          <w:highlight w:val="none"/>
        </w:rPr>
        <w:t>月1日至本公告发布之日起，以合同签订日期为准）至少具有1项不少于</w:t>
      </w:r>
      <w:r>
        <w:rPr>
          <w:rFonts w:hint="eastAsia" w:ascii="宋体" w:hAnsi="宋体"/>
          <w:bCs/>
          <w:sz w:val="22"/>
          <w:szCs w:val="22"/>
          <w:highlight w:val="none"/>
          <w:lang w:val="en-US" w:eastAsia="zh-CN"/>
        </w:rPr>
        <w:t>3</w:t>
      </w:r>
      <w:r>
        <w:rPr>
          <w:rFonts w:hint="eastAsia" w:ascii="宋体" w:hAnsi="宋体"/>
          <w:bCs/>
          <w:sz w:val="22"/>
          <w:szCs w:val="22"/>
          <w:highlight w:val="none"/>
        </w:rPr>
        <w:t>0万元物业服务类型业绩（提供合同关键页复印件并加盖投标人公章，合同关键页需体现项目类型、合同内容、合同金额、合同签订时间以及双方签字盖章页等）；</w:t>
      </w:r>
    </w:p>
    <w:p w14:paraId="2CDC76C7">
      <w:pPr>
        <w:adjustRightInd w:val="0"/>
        <w:snapToGrid w:val="0"/>
        <w:spacing w:line="360" w:lineRule="auto"/>
        <w:ind w:firstLine="440" w:firstLineChars="200"/>
        <w:jc w:val="left"/>
        <w:outlineLvl w:val="1"/>
        <w:rPr>
          <w:rFonts w:hint="eastAsia" w:ascii="宋体" w:hAnsi="宋体" w:cs="宋体"/>
          <w:sz w:val="22"/>
          <w:szCs w:val="22"/>
        </w:rPr>
      </w:pPr>
      <w:r>
        <w:rPr>
          <w:rFonts w:hint="eastAsia" w:ascii="宋体" w:hAnsi="宋体"/>
          <w:bCs/>
          <w:sz w:val="22"/>
          <w:szCs w:val="22"/>
          <w:lang w:eastAsia="zh-CN"/>
        </w:rPr>
        <w:t>（</w:t>
      </w:r>
      <w:r>
        <w:rPr>
          <w:rFonts w:hint="eastAsia" w:ascii="宋体" w:hAnsi="宋体"/>
          <w:bCs/>
          <w:sz w:val="22"/>
          <w:szCs w:val="22"/>
          <w:lang w:val="en-US" w:eastAsia="zh-CN"/>
        </w:rPr>
        <w:t>三</w:t>
      </w:r>
      <w:r>
        <w:rPr>
          <w:rFonts w:hint="eastAsia" w:ascii="宋体" w:hAnsi="宋体"/>
          <w:bCs/>
          <w:sz w:val="22"/>
          <w:szCs w:val="22"/>
          <w:lang w:eastAsia="zh-CN"/>
        </w:rPr>
        <w:t>）本项目</w:t>
      </w:r>
      <w:r>
        <w:rPr>
          <w:rFonts w:hint="eastAsia" w:ascii="宋体" w:hAnsi="宋体"/>
          <w:bCs/>
          <w:sz w:val="22"/>
          <w:szCs w:val="22"/>
        </w:rPr>
        <w:t>不接受联合体投标。</w:t>
      </w:r>
    </w:p>
    <w:p w14:paraId="2AA64021">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九、最高报价上限</w:t>
      </w:r>
    </w:p>
    <w:p w14:paraId="46B1C35D">
      <w:pPr>
        <w:adjustRightInd w:val="0"/>
        <w:snapToGrid w:val="0"/>
        <w:spacing w:line="360" w:lineRule="auto"/>
        <w:ind w:firstLine="440" w:firstLineChars="200"/>
        <w:jc w:val="left"/>
        <w:outlineLvl w:val="1"/>
        <w:rPr>
          <w:rFonts w:ascii="宋体" w:hAnsi="宋体"/>
          <w:bCs/>
          <w:sz w:val="22"/>
          <w:szCs w:val="22"/>
        </w:rPr>
      </w:pPr>
      <w:r>
        <w:rPr>
          <w:rFonts w:hint="eastAsia" w:ascii="宋体" w:hAnsi="宋体"/>
          <w:bCs/>
          <w:sz w:val="22"/>
          <w:szCs w:val="22"/>
          <w:lang w:eastAsia="zh-CN"/>
        </w:rPr>
        <w:t>本项目</w:t>
      </w:r>
      <w:r>
        <w:rPr>
          <w:rFonts w:hint="eastAsia" w:ascii="宋体" w:hAnsi="宋体"/>
          <w:bCs/>
          <w:sz w:val="22"/>
          <w:szCs w:val="22"/>
        </w:rPr>
        <w:t>最高报价上限</w:t>
      </w:r>
      <w:r>
        <w:rPr>
          <w:rFonts w:hint="eastAsia" w:ascii="宋体" w:hAnsi="宋体"/>
          <w:bCs/>
          <w:sz w:val="22"/>
          <w:szCs w:val="22"/>
          <w:highlight w:val="none"/>
        </w:rPr>
        <w:t>为人民币</w:t>
      </w:r>
      <w:r>
        <w:rPr>
          <w:rFonts w:hint="eastAsia" w:ascii="宋体" w:hAnsi="宋体"/>
          <w:bCs/>
          <w:sz w:val="22"/>
          <w:szCs w:val="22"/>
          <w:highlight w:val="none"/>
          <w:u w:val="single"/>
          <w:lang w:val="en-US" w:eastAsia="zh-CN"/>
        </w:rPr>
        <w:t>340,000.00</w:t>
      </w:r>
      <w:r>
        <w:rPr>
          <w:rFonts w:hint="eastAsia" w:ascii="宋体" w:hAnsi="宋体"/>
          <w:bCs/>
          <w:sz w:val="22"/>
          <w:szCs w:val="22"/>
          <w:highlight w:val="none"/>
          <w:u w:val="single"/>
        </w:rPr>
        <w:t>元</w:t>
      </w:r>
      <w:r>
        <w:rPr>
          <w:rFonts w:hint="eastAsia" w:ascii="宋体" w:hAnsi="宋体"/>
          <w:bCs/>
          <w:sz w:val="22"/>
          <w:szCs w:val="22"/>
          <w:highlight w:val="none"/>
        </w:rPr>
        <w:t>。供应商</w:t>
      </w:r>
      <w:r>
        <w:rPr>
          <w:rFonts w:hint="eastAsia" w:ascii="宋体" w:hAnsi="宋体"/>
          <w:bCs/>
          <w:sz w:val="22"/>
          <w:szCs w:val="22"/>
        </w:rPr>
        <w:t>报价不得超出最高报价上限，否则将导致废标。</w:t>
      </w:r>
    </w:p>
    <w:p w14:paraId="42FFCCE4">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十、报价方式</w:t>
      </w:r>
    </w:p>
    <w:p w14:paraId="1FB8709F">
      <w:pPr>
        <w:adjustRightInd w:val="0"/>
        <w:snapToGrid w:val="0"/>
        <w:spacing w:line="360" w:lineRule="auto"/>
        <w:ind w:firstLine="440" w:firstLineChars="200"/>
        <w:jc w:val="left"/>
        <w:outlineLvl w:val="1"/>
        <w:rPr>
          <w:rFonts w:hint="eastAsia" w:ascii="宋体" w:hAnsi="宋体" w:eastAsia="宋体"/>
          <w:bCs/>
          <w:sz w:val="22"/>
          <w:szCs w:val="22"/>
          <w:lang w:eastAsia="zh-CN"/>
        </w:rPr>
      </w:pPr>
      <w:r>
        <w:rPr>
          <w:rFonts w:hint="eastAsia" w:ascii="宋体" w:hAnsi="宋体"/>
          <w:bCs/>
          <w:sz w:val="22"/>
          <w:szCs w:val="22"/>
          <w:lang w:val="en-US" w:eastAsia="zh-CN"/>
        </w:rPr>
        <w:t>按清单单价报价</w:t>
      </w:r>
    </w:p>
    <w:p w14:paraId="0D3FCCF4">
      <w:pPr>
        <w:adjustRightInd w:val="0"/>
        <w:snapToGrid w:val="0"/>
        <w:spacing w:line="360" w:lineRule="auto"/>
        <w:ind w:left="436" w:leftChars="208" w:firstLine="0" w:firstLineChars="0"/>
        <w:jc w:val="left"/>
        <w:outlineLvl w:val="1"/>
        <w:rPr>
          <w:rFonts w:ascii="宋体" w:hAnsi="宋体"/>
          <w:b/>
          <w:sz w:val="22"/>
          <w:szCs w:val="22"/>
        </w:rPr>
      </w:pPr>
      <w:r>
        <w:rPr>
          <w:rFonts w:hint="eastAsia" w:ascii="宋体" w:hAnsi="宋体"/>
          <w:b/>
          <w:sz w:val="22"/>
          <w:szCs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hint="eastAsia" w:ascii="宋体" w:hAnsi="宋体"/>
          <w:bCs/>
          <w:sz w:val="22"/>
          <w:szCs w:val="22"/>
        </w:rPr>
      </w:pPr>
      <w:bookmarkStart w:id="73" w:name="_Toc4626"/>
      <w:bookmarkStart w:id="74" w:name="_Toc100130485"/>
      <w:bookmarkStart w:id="75" w:name="_Toc26826"/>
      <w:bookmarkStart w:id="76" w:name="_Toc30780"/>
      <w:bookmarkStart w:id="77" w:name="_Toc444266730"/>
      <w:bookmarkStart w:id="78" w:name="_Toc3590"/>
      <w:bookmarkStart w:id="79" w:name="_Toc21306"/>
      <w:bookmarkStart w:id="80" w:name="_Toc17203"/>
      <w:bookmarkStart w:id="81" w:name="_Toc7464"/>
      <w:bookmarkStart w:id="82" w:name="_Toc12925"/>
      <w:r>
        <w:rPr>
          <w:rFonts w:hint="eastAsia" w:ascii="宋体" w:hAnsi="宋体"/>
          <w:bCs/>
          <w:sz w:val="22"/>
          <w:szCs w:val="22"/>
        </w:rPr>
        <w:t>经评审的最低投标价法。</w:t>
      </w:r>
    </w:p>
    <w:p w14:paraId="3123570D">
      <w:pPr>
        <w:adjustRightInd w:val="0"/>
        <w:snapToGrid w:val="0"/>
        <w:spacing w:line="360" w:lineRule="auto"/>
        <w:ind w:firstLine="440" w:firstLineChars="200"/>
        <w:jc w:val="left"/>
        <w:outlineLvl w:val="1"/>
        <w:rPr>
          <w:rFonts w:ascii="宋体" w:hAnsi="宋体"/>
          <w:b/>
          <w:sz w:val="22"/>
          <w:szCs w:val="22"/>
        </w:rPr>
      </w:pPr>
      <w:r>
        <w:rPr>
          <w:rFonts w:hint="eastAsia" w:ascii="宋体" w:hAnsi="宋体"/>
          <w:b/>
          <w:sz w:val="22"/>
          <w:szCs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szCs w:val="22"/>
        </w:rPr>
        <w:t xml:space="preserve"> </w:t>
      </w:r>
      <w:bookmarkEnd w:id="82"/>
    </w:p>
    <w:p w14:paraId="594B76D1">
      <w:pPr>
        <w:snapToGrid w:val="0"/>
        <w:spacing w:line="360" w:lineRule="auto"/>
        <w:ind w:firstLine="440" w:firstLineChars="200"/>
        <w:rPr>
          <w:rFonts w:hint="eastAsia" w:hAnsi="宋体" w:eastAsia="宋体" w:cs="宋体"/>
          <w:sz w:val="22"/>
          <w:szCs w:val="22"/>
          <w:lang w:val="en-US" w:eastAsia="zh-CN"/>
        </w:rPr>
      </w:pPr>
      <w:r>
        <w:rPr>
          <w:rFonts w:hint="eastAsia" w:hAnsi="宋体" w:cs="宋体"/>
          <w:sz w:val="22"/>
          <w:szCs w:val="22"/>
        </w:rPr>
        <w:t>采购人：</w:t>
      </w:r>
      <w:r>
        <w:rPr>
          <w:rFonts w:hint="eastAsia" w:hAnsi="宋体" w:cs="宋体"/>
          <w:sz w:val="22"/>
          <w:szCs w:val="22"/>
          <w:lang w:val="en-US" w:eastAsia="zh-CN"/>
        </w:rPr>
        <w:t>深圳市龙岗区数据有限公司</w:t>
      </w:r>
    </w:p>
    <w:p w14:paraId="49AE70EF">
      <w:pPr>
        <w:snapToGrid w:val="0"/>
        <w:spacing w:line="360" w:lineRule="auto"/>
        <w:ind w:firstLine="440" w:firstLineChars="200"/>
        <w:rPr>
          <w:rFonts w:hAnsi="宋体" w:cs="宋体"/>
          <w:sz w:val="22"/>
          <w:szCs w:val="22"/>
          <w:highlight w:val="none"/>
        </w:rPr>
      </w:pPr>
      <w:r>
        <w:rPr>
          <w:rFonts w:hint="eastAsia" w:hAnsi="宋体" w:cs="宋体"/>
          <w:sz w:val="22"/>
          <w:szCs w:val="22"/>
        </w:rPr>
        <w:t>地址：深圳</w:t>
      </w:r>
      <w:r>
        <w:rPr>
          <w:rFonts w:hint="eastAsia" w:hAnsi="宋体" w:cs="宋体"/>
          <w:sz w:val="22"/>
          <w:szCs w:val="22"/>
          <w:highlight w:val="none"/>
        </w:rPr>
        <w:t>市龙岗区龙城街道黄阁坑社区腾飞路9号龙岗创投大厦1号楼A502</w:t>
      </w:r>
    </w:p>
    <w:p w14:paraId="3B2CE28B">
      <w:pPr>
        <w:snapToGrid w:val="0"/>
        <w:spacing w:line="360" w:lineRule="auto"/>
        <w:ind w:firstLine="440" w:firstLineChars="200"/>
        <w:rPr>
          <w:rFonts w:hint="default" w:hAnsi="宋体" w:eastAsia="宋体" w:cs="宋体"/>
          <w:sz w:val="22"/>
          <w:szCs w:val="22"/>
          <w:highlight w:val="none"/>
          <w:lang w:val="en-US" w:eastAsia="zh-CN"/>
        </w:rPr>
      </w:pPr>
      <w:bookmarkStart w:id="83" w:name="_Toc92788465"/>
      <w:bookmarkStart w:id="84" w:name="_Toc6071"/>
      <w:r>
        <w:rPr>
          <w:rFonts w:hint="eastAsia" w:hAnsi="宋体" w:cs="宋体"/>
          <w:sz w:val="22"/>
          <w:szCs w:val="22"/>
          <w:highlight w:val="none"/>
        </w:rPr>
        <w:t>联系人：</w:t>
      </w:r>
      <w:r>
        <w:rPr>
          <w:rFonts w:hint="eastAsia" w:hAnsi="宋体" w:cs="宋体"/>
          <w:sz w:val="22"/>
          <w:szCs w:val="22"/>
          <w:highlight w:val="none"/>
          <w:lang w:val="en-US" w:eastAsia="zh-CN"/>
        </w:rPr>
        <w:t>杜</w:t>
      </w:r>
      <w:r>
        <w:rPr>
          <w:rFonts w:hint="eastAsia" w:hAnsi="宋体" w:cs="宋体"/>
          <w:sz w:val="22"/>
          <w:szCs w:val="22"/>
          <w:lang w:val="en-US" w:eastAsia="zh-CN"/>
        </w:rPr>
        <w:t xml:space="preserve">工 </w:t>
      </w:r>
      <w:r>
        <w:rPr>
          <w:rFonts w:hint="eastAsia" w:hAnsi="宋体" w:cs="宋体"/>
          <w:sz w:val="22"/>
          <w:szCs w:val="22"/>
        </w:rPr>
        <w:t>电</w:t>
      </w:r>
      <w:r>
        <w:rPr>
          <w:rFonts w:hint="eastAsia" w:hAnsi="宋体" w:cs="宋体"/>
          <w:sz w:val="22"/>
          <w:szCs w:val="22"/>
          <w:highlight w:val="none"/>
        </w:rPr>
        <w:t>话：</w:t>
      </w:r>
      <w:r>
        <w:rPr>
          <w:rFonts w:hint="eastAsia" w:hAnsi="宋体" w:cs="宋体"/>
          <w:sz w:val="22"/>
          <w:szCs w:val="22"/>
          <w:lang w:val="en-US" w:eastAsia="zh-CN"/>
        </w:rPr>
        <w:t>0755-28501987</w:t>
      </w:r>
    </w:p>
    <w:p w14:paraId="637482DA">
      <w:pPr>
        <w:rPr>
          <w:rFonts w:hint="eastAsia" w:ascii="宋体" w:hAnsi="宋体" w:cs="宋体"/>
          <w:sz w:val="48"/>
          <w:szCs w:val="48"/>
        </w:rPr>
      </w:pPr>
      <w:r>
        <w:rPr>
          <w:rFonts w:hint="eastAsia" w:ascii="宋体" w:hAnsi="宋体" w:cs="宋体"/>
          <w:sz w:val="48"/>
          <w:szCs w:val="48"/>
        </w:rPr>
        <w:br w:type="page"/>
      </w:r>
    </w:p>
    <w:p w14:paraId="15F23DD3">
      <w:pPr>
        <w:pStyle w:val="18"/>
        <w:spacing w:line="540" w:lineRule="exact"/>
        <w:jc w:val="center"/>
        <w:rPr>
          <w:rFonts w:hint="eastAsia" w:ascii="宋体" w:hAnsi="宋体" w:cs="宋体"/>
          <w:sz w:val="48"/>
          <w:szCs w:val="48"/>
          <w:highlight w:val="none"/>
        </w:rPr>
      </w:pPr>
      <w:r>
        <w:rPr>
          <w:rFonts w:hint="eastAsia" w:ascii="宋体" w:hAnsi="宋体" w:cs="宋体"/>
          <w:sz w:val="48"/>
          <w:szCs w:val="48"/>
          <w:highlight w:val="none"/>
        </w:rPr>
        <w:t>合同范本</w:t>
      </w:r>
      <w:bookmarkEnd w:id="83"/>
      <w:bookmarkEnd w:id="84"/>
    </w:p>
    <w:p w14:paraId="60C93CA0">
      <w:pPr>
        <w:spacing w:line="540" w:lineRule="exact"/>
        <w:jc w:val="center"/>
        <w:rPr>
          <w:rFonts w:ascii="宋体" w:hAnsi="宋体"/>
          <w:b/>
          <w:highlight w:val="none"/>
        </w:rPr>
      </w:pPr>
      <w:r>
        <w:rPr>
          <w:rFonts w:hint="eastAsia" w:ascii="宋体" w:hAnsi="宋体" w:cs="宋体"/>
          <w:sz w:val="30"/>
          <w:szCs w:val="30"/>
          <w:highlight w:val="none"/>
        </w:rPr>
        <w:tab/>
      </w:r>
      <w:r>
        <w:rPr>
          <w:rFonts w:hint="eastAsia" w:ascii="宋体" w:hAnsi="宋体"/>
          <w:b/>
          <w:highlight w:val="none"/>
        </w:rPr>
        <w:t>（仅供参考，以招标人签约版本为准）</w:t>
      </w:r>
    </w:p>
    <w:p w14:paraId="1C547D29">
      <w:pPr>
        <w:spacing w:line="560" w:lineRule="exact"/>
        <w:ind w:firstLine="0" w:firstLineChars="0"/>
        <w:jc w:val="center"/>
        <w:rPr>
          <w:rFonts w:hint="eastAsia" w:ascii="宋体" w:hAnsi="宋体"/>
          <w:b/>
          <w:bCs/>
          <w:spacing w:val="36"/>
          <w:sz w:val="52"/>
          <w:szCs w:val="52"/>
          <w:lang w:val="en-US" w:eastAsia="zh-CN"/>
        </w:rPr>
      </w:pPr>
      <w:r>
        <w:rPr>
          <w:rFonts w:hint="eastAsia" w:ascii="宋体" w:hAnsi="宋体"/>
          <w:b/>
          <w:bCs/>
          <w:spacing w:val="36"/>
          <w:sz w:val="52"/>
          <w:szCs w:val="52"/>
          <w:lang w:val="en-US" w:eastAsia="zh-CN"/>
        </w:rPr>
        <w:t>机器人剧场过渡期前期咨询专项</w:t>
      </w:r>
    </w:p>
    <w:p w14:paraId="5EED0150">
      <w:pPr>
        <w:spacing w:line="560" w:lineRule="exact"/>
        <w:ind w:firstLine="0" w:firstLineChars="0"/>
        <w:jc w:val="center"/>
        <w:rPr>
          <w:rFonts w:hint="eastAsia" w:ascii="宋体" w:hAnsi="宋体"/>
          <w:b/>
          <w:bCs/>
          <w:spacing w:val="36"/>
          <w:sz w:val="52"/>
          <w:szCs w:val="52"/>
          <w:lang w:val="en-US" w:eastAsia="zh-CN"/>
        </w:rPr>
      </w:pPr>
      <w:r>
        <w:rPr>
          <w:rFonts w:hint="eastAsia" w:ascii="宋体" w:hAnsi="宋体"/>
          <w:b/>
          <w:bCs/>
          <w:spacing w:val="36"/>
          <w:sz w:val="52"/>
          <w:szCs w:val="52"/>
          <w:lang w:val="en-US" w:eastAsia="zh-CN"/>
        </w:rPr>
        <w:t>服务与临时性</w:t>
      </w:r>
      <w:r>
        <w:rPr>
          <w:rFonts w:hint="eastAsia" w:ascii="宋体" w:hAnsi="宋体"/>
          <w:b/>
          <w:bCs/>
          <w:spacing w:val="36"/>
          <w:sz w:val="52"/>
          <w:szCs w:val="52"/>
        </w:rPr>
        <w:t>物业</w:t>
      </w:r>
      <w:r>
        <w:rPr>
          <w:rFonts w:hint="eastAsia" w:ascii="宋体" w:hAnsi="宋体"/>
          <w:b/>
          <w:bCs/>
          <w:spacing w:val="36"/>
          <w:sz w:val="52"/>
          <w:szCs w:val="52"/>
          <w:lang w:val="en-US" w:eastAsia="zh-CN"/>
        </w:rPr>
        <w:t>基础管理</w:t>
      </w:r>
    </w:p>
    <w:p w14:paraId="2D519685">
      <w:pPr>
        <w:spacing w:line="560" w:lineRule="exact"/>
        <w:ind w:firstLine="0" w:firstLineChars="0"/>
        <w:jc w:val="center"/>
        <w:rPr>
          <w:szCs w:val="20"/>
        </w:rPr>
      </w:pPr>
      <w:r>
        <w:rPr>
          <w:rFonts w:hint="eastAsia" w:ascii="宋体" w:hAnsi="宋体"/>
          <w:b/>
          <w:bCs/>
          <w:spacing w:val="36"/>
          <w:sz w:val="52"/>
          <w:szCs w:val="52"/>
        </w:rPr>
        <w:t>服务合同</w:t>
      </w:r>
    </w:p>
    <w:p w14:paraId="08D5AAD0">
      <w:pPr>
        <w:spacing w:beforeLines="50" w:line="560" w:lineRule="exact"/>
        <w:ind w:firstLine="0" w:firstLineChars="0"/>
        <w:rPr>
          <w:rFonts w:ascii="宋体" w:hAnsi="宋体"/>
          <w:b/>
          <w:sz w:val="32"/>
          <w:szCs w:val="32"/>
        </w:rPr>
      </w:pPr>
      <w:r>
        <w:rPr>
          <w:rFonts w:hint="eastAsia" w:ascii="宋体" w:hAnsi="宋体"/>
          <w:b/>
          <w:sz w:val="32"/>
          <w:szCs w:val="32"/>
        </w:rPr>
        <w:t xml:space="preserve"> </w:t>
      </w:r>
    </w:p>
    <w:p w14:paraId="60CD9B93">
      <w:pPr>
        <w:spacing w:beforeLines="50" w:line="560" w:lineRule="exact"/>
        <w:ind w:firstLine="562"/>
        <w:rPr>
          <w:rFonts w:ascii="仿宋_GB2312" w:hAnsi="宋体" w:eastAsia="仿宋_GB2312"/>
          <w:b/>
          <w:sz w:val="28"/>
          <w:szCs w:val="28"/>
          <w:u w:val="single"/>
        </w:rPr>
      </w:pPr>
      <w:r>
        <w:rPr>
          <w:rFonts w:hint="eastAsia" w:ascii="仿宋_GB2312" w:hAnsi="宋体" w:eastAsia="仿宋_GB2312"/>
          <w:b/>
          <w:sz w:val="28"/>
          <w:szCs w:val="28"/>
        </w:rPr>
        <w:t>甲方：</w:t>
      </w:r>
      <w:r>
        <w:rPr>
          <w:rFonts w:hint="eastAsia" w:ascii="仿宋_GB2312" w:hAnsi="宋体" w:eastAsia="仿宋_GB2312"/>
          <w:b/>
          <w:sz w:val="28"/>
          <w:szCs w:val="28"/>
          <w:u w:val="single"/>
          <w:lang w:val="en-US" w:eastAsia="zh-CN"/>
        </w:rPr>
        <w:t xml:space="preserve">                             </w:t>
      </w:r>
      <w:r>
        <w:rPr>
          <w:rFonts w:hint="eastAsia" w:ascii="仿宋_GB2312" w:hAnsi="宋体" w:eastAsia="仿宋_GB2312"/>
          <w:b/>
          <w:sz w:val="28"/>
          <w:szCs w:val="28"/>
          <w:u w:val="single"/>
        </w:rPr>
        <w:t xml:space="preserve">  </w:t>
      </w:r>
    </w:p>
    <w:p w14:paraId="6ED4473E">
      <w:pPr>
        <w:spacing w:beforeLines="50" w:line="560" w:lineRule="exact"/>
        <w:ind w:firstLine="562"/>
        <w:rPr>
          <w:rFonts w:hint="eastAsia" w:ascii="仿宋_GB2312" w:hAnsi="宋体" w:eastAsia="仿宋_GB2312"/>
          <w:b/>
          <w:sz w:val="28"/>
          <w:szCs w:val="28"/>
          <w:u w:val="single"/>
        </w:rPr>
      </w:pPr>
      <w:r>
        <w:rPr>
          <w:rFonts w:hint="eastAsia" w:ascii="仿宋_GB2312" w:hAnsi="宋体" w:eastAsia="仿宋_GB2312"/>
          <w:b/>
          <w:sz w:val="28"/>
          <w:szCs w:val="28"/>
        </w:rPr>
        <w:t>乙方：</w:t>
      </w:r>
      <w:r>
        <w:rPr>
          <w:rFonts w:hint="eastAsia" w:ascii="仿宋_GB2312" w:hAnsi="宋体" w:eastAsia="仿宋_GB2312"/>
          <w:b/>
          <w:sz w:val="28"/>
          <w:szCs w:val="28"/>
          <w:u w:val="single"/>
          <w:lang w:val="en-US" w:eastAsia="zh-CN"/>
        </w:rPr>
        <w:t xml:space="preserve">                           </w:t>
      </w:r>
      <w:r>
        <w:rPr>
          <w:rFonts w:hint="eastAsia" w:ascii="仿宋_GB2312" w:hAnsi="宋体" w:eastAsia="仿宋_GB2312"/>
          <w:b/>
          <w:sz w:val="28"/>
          <w:szCs w:val="28"/>
          <w:u w:val="single"/>
        </w:rPr>
        <w:t xml:space="preserve">    </w:t>
      </w:r>
    </w:p>
    <w:p w14:paraId="7BAE2319">
      <w:pPr>
        <w:pStyle w:val="11"/>
        <w:rPr>
          <w:rFonts w:hint="eastAsia" w:ascii="仿宋_GB2312" w:hAnsi="宋体" w:eastAsia="仿宋_GB2312"/>
          <w:b/>
          <w:sz w:val="28"/>
          <w:szCs w:val="28"/>
          <w:u w:val="single"/>
        </w:rPr>
      </w:pPr>
    </w:p>
    <w:p w14:paraId="7645C014">
      <w:pPr>
        <w:pStyle w:val="5"/>
      </w:pPr>
    </w:p>
    <w:p w14:paraId="08252D85">
      <w:pPr>
        <w:spacing w:line="360" w:lineRule="auto"/>
        <w:ind w:firstLine="560"/>
        <w:rPr>
          <w:sz w:val="22"/>
          <w:szCs w:val="22"/>
        </w:rPr>
      </w:pPr>
      <w:r>
        <w:rPr>
          <w:rFonts w:hint="eastAsia" w:ascii="仿宋_GB2312" w:hAnsi="宋体" w:eastAsia="仿宋_GB2312"/>
          <w:color w:val="000000"/>
          <w:sz w:val="22"/>
          <w:szCs w:val="22"/>
        </w:rPr>
        <w:t>通过</w:t>
      </w:r>
      <w:r>
        <w:rPr>
          <w:rFonts w:hint="eastAsia" w:ascii="仿宋_GB2312" w:hAnsi="宋体" w:eastAsia="仿宋_GB2312"/>
          <w:color w:val="000000"/>
          <w:sz w:val="22"/>
          <w:szCs w:val="22"/>
          <w:u w:val="single"/>
        </w:rPr>
        <w:t xml:space="preserve"> </w:t>
      </w:r>
      <w:commentRangeStart w:id="0"/>
      <w:r>
        <w:rPr>
          <w:rFonts w:hint="eastAsia" w:ascii="仿宋_GB2312" w:hAnsi="宋体" w:eastAsia="仿宋_GB2312"/>
          <w:color w:val="000000"/>
          <w:sz w:val="22"/>
          <w:szCs w:val="22"/>
          <w:u w:val="single"/>
          <w:lang w:val="en-US" w:eastAsia="zh-CN"/>
        </w:rPr>
        <w:t>邀请询价</w:t>
      </w:r>
      <w:r>
        <w:rPr>
          <w:rFonts w:hint="eastAsia" w:ascii="仿宋_GB2312" w:hAnsi="宋体" w:eastAsia="仿宋_GB2312"/>
          <w:color w:val="000000"/>
          <w:sz w:val="22"/>
          <w:szCs w:val="22"/>
          <w:u w:val="single"/>
        </w:rPr>
        <w:t xml:space="preserve"> </w:t>
      </w:r>
      <w:commentRangeEnd w:id="0"/>
      <w:r>
        <w:commentReference w:id="0"/>
      </w:r>
      <w:r>
        <w:rPr>
          <w:rFonts w:hint="eastAsia" w:ascii="仿宋_GB2312" w:hAnsi="宋体" w:eastAsia="仿宋_GB2312"/>
          <w:color w:val="000000"/>
          <w:sz w:val="22"/>
          <w:szCs w:val="22"/>
        </w:rPr>
        <w:t>方式，甲方确定乙方为</w:t>
      </w:r>
      <w:r>
        <w:rPr>
          <w:rFonts w:hint="eastAsia" w:ascii="仿宋_GB2312" w:hAnsi="宋体" w:eastAsia="仿宋_GB2312"/>
          <w:color w:val="000000"/>
          <w:sz w:val="22"/>
          <w:szCs w:val="22"/>
          <w:u w:val="single"/>
          <w:lang w:val="en-US" w:eastAsia="zh-CN"/>
        </w:rPr>
        <w:t xml:space="preserve"> 机器人剧场过渡期前期咨询专项服务与临时性</w:t>
      </w:r>
      <w:r>
        <w:rPr>
          <w:rFonts w:hint="eastAsia" w:ascii="仿宋_GB2312" w:hAnsi="宋体" w:eastAsia="仿宋_GB2312"/>
          <w:color w:val="000000"/>
          <w:sz w:val="22"/>
          <w:szCs w:val="22"/>
          <w:u w:val="single"/>
        </w:rPr>
        <w:t>物业</w:t>
      </w:r>
      <w:r>
        <w:rPr>
          <w:rFonts w:hint="eastAsia" w:ascii="仿宋_GB2312" w:hAnsi="宋体" w:eastAsia="仿宋_GB2312"/>
          <w:color w:val="000000"/>
          <w:sz w:val="22"/>
          <w:szCs w:val="22"/>
          <w:u w:val="single"/>
          <w:lang w:val="en-US" w:eastAsia="zh-CN"/>
        </w:rPr>
        <w:t>基础管理</w:t>
      </w:r>
      <w:r>
        <w:rPr>
          <w:rFonts w:hint="eastAsia" w:ascii="仿宋_GB2312" w:hAnsi="宋体" w:eastAsia="仿宋_GB2312"/>
          <w:color w:val="000000"/>
          <w:sz w:val="22"/>
          <w:szCs w:val="22"/>
          <w:u w:val="single"/>
        </w:rPr>
        <w:t>服务</w:t>
      </w:r>
      <w:r>
        <w:rPr>
          <w:rFonts w:hint="eastAsia" w:ascii="仿宋_GB2312" w:hAnsi="宋体" w:eastAsia="仿宋_GB2312"/>
          <w:color w:val="000000"/>
          <w:sz w:val="22"/>
          <w:szCs w:val="22"/>
          <w:u w:val="single"/>
          <w:lang w:val="en-US" w:eastAsia="zh-CN"/>
        </w:rPr>
        <w:t>项目</w:t>
      </w:r>
      <w:r>
        <w:rPr>
          <w:rFonts w:hint="eastAsia" w:ascii="仿宋_GB2312" w:hAnsi="宋体" w:eastAsia="仿宋_GB2312"/>
          <w:color w:val="000000"/>
          <w:sz w:val="22"/>
          <w:szCs w:val="22"/>
        </w:rPr>
        <w:t>中标单位。依据《中华人民共和国民法典》等相关法律、法规之规定，甲乙双方在平等、自愿、协商一致的基础上就甲方委托乙方为甲方指定的</w:t>
      </w:r>
      <w:r>
        <w:rPr>
          <w:rFonts w:hint="eastAsia" w:ascii="仿宋_GB2312" w:hAnsi="宋体" w:eastAsia="仿宋_GB2312"/>
          <w:color w:val="000000"/>
          <w:sz w:val="22"/>
          <w:szCs w:val="22"/>
          <w:lang w:val="en-US" w:eastAsia="zh-CN"/>
        </w:rPr>
        <w:t>区域</w:t>
      </w:r>
      <w:r>
        <w:rPr>
          <w:rFonts w:hint="eastAsia" w:ascii="仿宋_GB2312" w:hAnsi="宋体" w:eastAsia="仿宋_GB2312"/>
          <w:color w:val="000000"/>
          <w:sz w:val="22"/>
          <w:szCs w:val="22"/>
        </w:rPr>
        <w:t>提供</w:t>
      </w:r>
      <w:r>
        <w:rPr>
          <w:rFonts w:hint="eastAsia" w:ascii="仿宋_GB2312" w:hAnsi="宋体" w:eastAsia="仿宋_GB2312"/>
          <w:color w:val="000000"/>
          <w:sz w:val="22"/>
          <w:szCs w:val="22"/>
          <w:u w:val="single"/>
          <w:lang w:val="en-US" w:eastAsia="zh-CN"/>
        </w:rPr>
        <w:t>过渡期前期咨询专项服务与临时性</w:t>
      </w:r>
      <w:r>
        <w:rPr>
          <w:rFonts w:hint="eastAsia" w:ascii="仿宋_GB2312" w:hAnsi="宋体" w:eastAsia="仿宋_GB2312"/>
          <w:color w:val="000000"/>
          <w:sz w:val="22"/>
          <w:szCs w:val="22"/>
        </w:rPr>
        <w:t>物业</w:t>
      </w:r>
      <w:r>
        <w:rPr>
          <w:rFonts w:hint="eastAsia" w:ascii="仿宋_GB2312" w:hAnsi="宋体" w:eastAsia="仿宋_GB2312"/>
          <w:color w:val="000000"/>
          <w:sz w:val="22"/>
          <w:szCs w:val="22"/>
          <w:lang w:val="en-US" w:eastAsia="zh-CN"/>
        </w:rPr>
        <w:t>基础</w:t>
      </w:r>
      <w:r>
        <w:rPr>
          <w:rFonts w:hint="eastAsia" w:ascii="仿宋_GB2312" w:hAnsi="宋体" w:eastAsia="仿宋_GB2312"/>
          <w:color w:val="000000"/>
          <w:sz w:val="22"/>
          <w:szCs w:val="22"/>
        </w:rPr>
        <w:t>管理服务事宜，签订本合同。</w:t>
      </w:r>
    </w:p>
    <w:p w14:paraId="12C4A23D">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第一条  委托范围及内容</w:t>
      </w:r>
    </w:p>
    <w:p w14:paraId="71CD5E61">
      <w:pPr>
        <w:spacing w:line="360" w:lineRule="auto"/>
        <w:ind w:firstLine="560"/>
        <w:rPr>
          <w:sz w:val="22"/>
          <w:szCs w:val="22"/>
        </w:rPr>
      </w:pPr>
      <w:r>
        <w:rPr>
          <w:rFonts w:hint="eastAsia" w:ascii="仿宋_GB2312" w:hAnsi="宋体" w:eastAsia="仿宋_GB2312"/>
          <w:color w:val="000000"/>
          <w:sz w:val="22"/>
          <w:szCs w:val="22"/>
        </w:rPr>
        <w:t>甲方委托乙方负责为甲方指定的</w:t>
      </w:r>
      <w:r>
        <w:rPr>
          <w:rFonts w:hint="eastAsia" w:ascii="仿宋_GB2312" w:hAnsi="宋体" w:eastAsia="仿宋_GB2312"/>
          <w:color w:val="000000"/>
          <w:sz w:val="22"/>
          <w:szCs w:val="22"/>
          <w:lang w:val="en-US" w:eastAsia="zh-CN"/>
        </w:rPr>
        <w:t>区域</w:t>
      </w:r>
      <w:r>
        <w:rPr>
          <w:rFonts w:hint="eastAsia" w:ascii="仿宋_GB2312" w:hAnsi="宋体" w:eastAsia="仿宋_GB2312"/>
          <w:color w:val="000000"/>
          <w:sz w:val="22"/>
          <w:szCs w:val="22"/>
        </w:rPr>
        <w:t>提供</w:t>
      </w:r>
      <w:r>
        <w:rPr>
          <w:rFonts w:hint="eastAsia" w:ascii="仿宋_GB2312" w:hAnsi="宋体" w:eastAsia="仿宋_GB2312"/>
          <w:color w:val="000000"/>
          <w:sz w:val="22"/>
          <w:szCs w:val="22"/>
          <w:u w:val="single"/>
          <w:lang w:val="en-US" w:eastAsia="zh-CN"/>
        </w:rPr>
        <w:t>过渡期前期咨询专项服务与</w:t>
      </w:r>
      <w:r>
        <w:rPr>
          <w:rFonts w:hint="eastAsia" w:ascii="仿宋_GB2312" w:hAnsi="宋体" w:eastAsia="仿宋_GB2312"/>
          <w:color w:val="000000"/>
          <w:sz w:val="22"/>
          <w:szCs w:val="22"/>
          <w:u w:val="single"/>
        </w:rPr>
        <w:t>物业</w:t>
      </w:r>
      <w:r>
        <w:rPr>
          <w:rFonts w:hint="eastAsia" w:ascii="仿宋_GB2312" w:hAnsi="宋体" w:eastAsia="仿宋_GB2312"/>
          <w:color w:val="000000"/>
          <w:sz w:val="22"/>
          <w:szCs w:val="22"/>
          <w:u w:val="single"/>
          <w:lang w:val="en-US" w:eastAsia="zh-CN"/>
        </w:rPr>
        <w:t>基础管理</w:t>
      </w:r>
      <w:r>
        <w:rPr>
          <w:rFonts w:hint="eastAsia" w:ascii="仿宋_GB2312" w:hAnsi="宋体" w:eastAsia="仿宋_GB2312"/>
          <w:color w:val="000000"/>
          <w:sz w:val="22"/>
          <w:szCs w:val="22"/>
          <w:u w:val="single"/>
        </w:rPr>
        <w:t>服务</w:t>
      </w:r>
      <w:r>
        <w:rPr>
          <w:rFonts w:hint="eastAsia" w:ascii="仿宋_GB2312" w:hAnsi="宋体" w:eastAsia="仿宋_GB2312"/>
          <w:color w:val="000000"/>
          <w:sz w:val="22"/>
          <w:szCs w:val="22"/>
        </w:rPr>
        <w:t>。服务内容包括但不限于：</w:t>
      </w:r>
      <w:r>
        <w:rPr>
          <w:rFonts w:hint="eastAsia" w:ascii="仿宋_GB2312" w:hAnsi="宋体" w:eastAsia="仿宋_GB2312"/>
          <w:color w:val="000000"/>
          <w:sz w:val="22"/>
          <w:szCs w:val="22"/>
          <w:lang w:val="en-US" w:eastAsia="zh-CN"/>
        </w:rPr>
        <w:t>提供机器人剧场过渡期前期咨询专项服务与临时性物业基础管理服务，涵盖机器人剧场未完成的土建整改、二装整改及消防整改的推进管理及后续验收工作，全程支持接收机器人剧场的运营权、资产清单核对、实物验收过程，出具《机器人剧场资产承接查验思路与整改建议方案》《机器人剧场信息化项目接收建议方案》及《机器人剧场活动支持情况报告》、已入驻单位管理，未竣工验收的信息化项目涉及的现场调试单位与设备设施承接查验与管理，机器人剧场施工改造的工人施工界面管理、中央空调、消防设备、配电房等设施设备的每日操作支持与基础巡检管理及剧场保洁工作，基础覆盖区域实际情况需求的物业基础管理，</w:t>
      </w:r>
    </w:p>
    <w:p w14:paraId="175C6964">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第二条  合同期限</w:t>
      </w:r>
    </w:p>
    <w:p w14:paraId="64D7DE49">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本合同期限为</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肆】个月</w:t>
      </w:r>
      <w:r>
        <w:rPr>
          <w:rFonts w:hint="eastAsia" w:ascii="仿宋_GB2312" w:hAnsi="宋体" w:eastAsia="仿宋_GB2312"/>
          <w:color w:val="000000"/>
          <w:sz w:val="22"/>
          <w:szCs w:val="22"/>
        </w:rPr>
        <w:t xml:space="preserve">，暂定自  </w:t>
      </w:r>
      <w:r>
        <w:rPr>
          <w:rFonts w:hint="eastAsia" w:ascii="仿宋_GB2312" w:hAnsi="宋体" w:eastAsia="仿宋_GB2312"/>
          <w:color w:val="000000"/>
          <w:sz w:val="22"/>
          <w:szCs w:val="22"/>
          <w:lang w:val="en-US" w:eastAsia="zh-CN"/>
        </w:rPr>
        <w:t xml:space="preserve">2026 </w:t>
      </w:r>
      <w:r>
        <w:rPr>
          <w:rFonts w:hint="eastAsia" w:ascii="仿宋_GB2312" w:hAnsi="宋体" w:eastAsia="仿宋_GB2312"/>
          <w:color w:val="000000"/>
          <w:sz w:val="22"/>
          <w:szCs w:val="22"/>
        </w:rPr>
        <w:t xml:space="preserve"> 年</w:t>
      </w:r>
      <w:r>
        <w:rPr>
          <w:rFonts w:hint="eastAsia" w:ascii="仿宋_GB2312" w:hAnsi="宋体" w:eastAsia="仿宋_GB2312"/>
          <w:color w:val="000000"/>
          <w:sz w:val="22"/>
          <w:szCs w:val="22"/>
          <w:lang w:val="en-US" w:eastAsia="zh-CN"/>
        </w:rPr>
        <w:t>【 】</w:t>
      </w:r>
      <w:r>
        <w:rPr>
          <w:rFonts w:hint="eastAsia" w:ascii="仿宋_GB2312" w:hAnsi="宋体" w:eastAsia="仿宋_GB2312"/>
          <w:color w:val="000000"/>
          <w:sz w:val="22"/>
          <w:szCs w:val="22"/>
        </w:rPr>
        <w:t>月</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日至 </w:t>
      </w:r>
      <w:r>
        <w:rPr>
          <w:rFonts w:hint="eastAsia" w:ascii="仿宋_GB2312" w:hAnsi="宋体" w:eastAsia="仿宋_GB2312"/>
          <w:color w:val="000000"/>
          <w:sz w:val="22"/>
          <w:szCs w:val="22"/>
          <w:lang w:val="en-US" w:eastAsia="zh-CN"/>
        </w:rPr>
        <w:t>2026</w:t>
      </w:r>
      <w:r>
        <w:rPr>
          <w:rFonts w:hint="eastAsia" w:ascii="仿宋_GB2312" w:hAnsi="宋体" w:eastAsia="仿宋_GB2312"/>
          <w:color w:val="000000"/>
          <w:sz w:val="22"/>
          <w:szCs w:val="22"/>
        </w:rPr>
        <w:t xml:space="preserve"> 年</w:t>
      </w:r>
      <w:r>
        <w:rPr>
          <w:rFonts w:hint="eastAsia" w:ascii="仿宋_GB2312" w:hAnsi="宋体" w:eastAsia="仿宋_GB2312"/>
          <w:color w:val="000000"/>
          <w:sz w:val="22"/>
          <w:szCs w:val="22"/>
          <w:lang w:val="en-US" w:eastAsia="zh-CN"/>
        </w:rPr>
        <w:t>【 】</w:t>
      </w:r>
      <w:r>
        <w:rPr>
          <w:rFonts w:hint="eastAsia" w:ascii="仿宋_GB2312" w:hAnsi="宋体" w:eastAsia="仿宋_GB2312"/>
          <w:color w:val="000000"/>
          <w:sz w:val="22"/>
          <w:szCs w:val="22"/>
        </w:rPr>
        <w:t>月</w:t>
      </w:r>
      <w:r>
        <w:rPr>
          <w:rFonts w:hint="eastAsia" w:ascii="仿宋_GB2312" w:hAnsi="宋体" w:eastAsia="仿宋_GB2312"/>
          <w:color w:val="000000"/>
          <w:sz w:val="22"/>
          <w:szCs w:val="22"/>
          <w:lang w:val="en-US" w:eastAsia="zh-CN"/>
        </w:rPr>
        <w:t>【 】</w:t>
      </w:r>
      <w:r>
        <w:rPr>
          <w:rFonts w:hint="eastAsia" w:ascii="仿宋_GB2312" w:hAnsi="宋体" w:eastAsia="仿宋_GB2312"/>
          <w:color w:val="000000"/>
          <w:sz w:val="22"/>
          <w:szCs w:val="22"/>
        </w:rPr>
        <w:t>日止（具体起始时间以</w:t>
      </w:r>
      <w:r>
        <w:rPr>
          <w:rFonts w:hint="eastAsia" w:ascii="仿宋_GB2312" w:hAnsi="宋体" w:eastAsia="仿宋_GB2312"/>
          <w:color w:val="000000"/>
          <w:sz w:val="22"/>
          <w:szCs w:val="22"/>
          <w:lang w:val="en-US" w:eastAsia="zh-CN"/>
        </w:rPr>
        <w:t>合同签订之日起</w:t>
      </w:r>
      <w:r>
        <w:rPr>
          <w:rFonts w:hint="eastAsia" w:ascii="仿宋_GB2312" w:hAnsi="宋体" w:eastAsia="仿宋_GB2312"/>
          <w:color w:val="000000"/>
          <w:sz w:val="22"/>
          <w:szCs w:val="22"/>
        </w:rPr>
        <w:t>为准）。</w:t>
      </w:r>
    </w:p>
    <w:p w14:paraId="4FE1BD7C">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 xml:space="preserve">第三条  </w:t>
      </w:r>
      <w:r>
        <w:rPr>
          <w:rFonts w:hint="eastAsia" w:ascii="仿宋_GB2312" w:hAnsi="宋体" w:eastAsia="仿宋_GB2312"/>
          <w:b/>
          <w:sz w:val="22"/>
          <w:szCs w:val="22"/>
          <w:lang w:val="en-US" w:eastAsia="zh-CN"/>
        </w:rPr>
        <w:t>前期咨询专项服务与</w:t>
      </w:r>
      <w:r>
        <w:rPr>
          <w:rFonts w:hint="eastAsia" w:ascii="仿宋_GB2312" w:hAnsi="宋体" w:eastAsia="仿宋_GB2312"/>
          <w:b/>
          <w:sz w:val="22"/>
          <w:szCs w:val="22"/>
        </w:rPr>
        <w:t>物业服务人员结构及要求</w:t>
      </w:r>
    </w:p>
    <w:p w14:paraId="543B62A1">
      <w:pPr>
        <w:spacing w:line="560" w:lineRule="exact"/>
        <w:ind w:firstLine="560"/>
        <w:rPr>
          <w:rFonts w:hint="eastAsia" w:ascii="仿宋_GB2312" w:hAnsi="宋体" w:eastAsia="仿宋_GB2312"/>
          <w:sz w:val="22"/>
          <w:szCs w:val="22"/>
        </w:rPr>
      </w:pPr>
      <w:r>
        <w:rPr>
          <w:rFonts w:hint="eastAsia" w:ascii="仿宋_GB2312" w:hAnsi="宋体" w:eastAsia="仿宋_GB2312"/>
          <w:sz w:val="22"/>
          <w:szCs w:val="22"/>
        </w:rPr>
        <w:t>根据甲方的定位，结合</w:t>
      </w:r>
      <w:r>
        <w:rPr>
          <w:rFonts w:hint="eastAsia" w:ascii="仿宋_GB2312" w:hAnsi="宋体" w:eastAsia="仿宋_GB2312"/>
          <w:sz w:val="22"/>
          <w:szCs w:val="22"/>
          <w:lang w:val="en-US" w:eastAsia="zh-CN"/>
        </w:rPr>
        <w:t>机器人剧场前期咨询专项服务与物业管理的</w:t>
      </w:r>
      <w:r>
        <w:rPr>
          <w:rFonts w:hint="eastAsia" w:ascii="仿宋_GB2312" w:hAnsi="宋体" w:eastAsia="仿宋_GB2312"/>
          <w:sz w:val="22"/>
          <w:szCs w:val="22"/>
        </w:rPr>
        <w:t>实际需求，对本合同</w:t>
      </w:r>
      <w:r>
        <w:rPr>
          <w:rFonts w:hint="eastAsia" w:ascii="仿宋_GB2312" w:hAnsi="宋体" w:eastAsia="仿宋_GB2312"/>
          <w:sz w:val="22"/>
          <w:szCs w:val="22"/>
          <w:lang w:val="en-US" w:eastAsia="zh-CN"/>
        </w:rPr>
        <w:t>前期咨询专项服务与</w:t>
      </w:r>
      <w:r>
        <w:rPr>
          <w:rFonts w:hint="eastAsia" w:ascii="仿宋_GB2312" w:hAnsi="宋体" w:eastAsia="仿宋_GB2312"/>
          <w:sz w:val="22"/>
          <w:szCs w:val="22"/>
        </w:rPr>
        <w:t>物业服务人员结构及要求如下：</w:t>
      </w:r>
    </w:p>
    <w:p w14:paraId="022BA3D6">
      <w:pPr>
        <w:pStyle w:val="11"/>
        <w:rPr>
          <w:rFonts w:hint="eastAsia"/>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5178"/>
        <w:gridCol w:w="3123"/>
      </w:tblGrid>
      <w:tr w14:paraId="7A79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tcPr>
          <w:p w14:paraId="1035E1EA">
            <w:pPr>
              <w:pStyle w:val="11"/>
              <w:jc w:val="center"/>
              <w:rPr>
                <w:rFonts w:hint="default" w:eastAsia="宋体"/>
                <w:sz w:val="22"/>
                <w:szCs w:val="22"/>
                <w:vertAlign w:val="baseline"/>
                <w:lang w:val="en-US" w:eastAsia="zh-CN"/>
              </w:rPr>
            </w:pPr>
            <w:r>
              <w:rPr>
                <w:rFonts w:hint="eastAsia" w:ascii="仿宋" w:hAnsi="仿宋" w:eastAsia="仿宋" w:cs="仿宋"/>
                <w:sz w:val="22"/>
                <w:szCs w:val="22"/>
                <w:vertAlign w:val="baseline"/>
                <w:lang w:val="en-US" w:eastAsia="zh-CN"/>
              </w:rPr>
              <w:t>一、前期咨询专项服务工作内容及要求</w:t>
            </w:r>
          </w:p>
        </w:tc>
      </w:tr>
      <w:tr w14:paraId="62C1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tcPr>
          <w:p w14:paraId="58032D8A">
            <w:pPr>
              <w:pStyle w:val="11"/>
              <w:jc w:val="center"/>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序号</w:t>
            </w:r>
          </w:p>
        </w:tc>
        <w:tc>
          <w:tcPr>
            <w:tcW w:w="5317" w:type="dxa"/>
          </w:tcPr>
          <w:p w14:paraId="67848EC1">
            <w:pPr>
              <w:pStyle w:val="11"/>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专项服务内容</w:t>
            </w:r>
          </w:p>
        </w:tc>
        <w:tc>
          <w:tcPr>
            <w:tcW w:w="3191" w:type="dxa"/>
          </w:tcPr>
          <w:p w14:paraId="4DDCCF08">
            <w:pPr>
              <w:pStyle w:val="11"/>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服务要求</w:t>
            </w:r>
          </w:p>
        </w:tc>
      </w:tr>
      <w:tr w14:paraId="557D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top"/>
          </w:tcPr>
          <w:p w14:paraId="30C2A91F">
            <w:pPr>
              <w:pStyle w:val="11"/>
              <w:spacing w:line="480" w:lineRule="exact"/>
              <w:jc w:val="center"/>
              <w:rPr>
                <w:rFonts w:hint="eastAsia"/>
                <w:lang w:val="en-US" w:eastAsia="zh-CN"/>
              </w:rPr>
            </w:pPr>
            <w:r>
              <w:rPr>
                <w:rFonts w:hint="eastAsia" w:ascii="仿宋" w:hAnsi="仿宋" w:eastAsia="仿宋" w:cs="仿宋"/>
                <w:sz w:val="22"/>
                <w:szCs w:val="22"/>
                <w:vertAlign w:val="baseline"/>
                <w:lang w:val="en-US" w:eastAsia="zh-CN"/>
              </w:rPr>
              <w:t>1</w:t>
            </w:r>
          </w:p>
        </w:tc>
        <w:tc>
          <w:tcPr>
            <w:tcW w:w="5317" w:type="dxa"/>
            <w:vAlign w:val="top"/>
          </w:tcPr>
          <w:p w14:paraId="2FC74EAE">
            <w:pPr>
              <w:pStyle w:val="11"/>
              <w:spacing w:line="480" w:lineRule="exact"/>
              <w:jc w:val="left"/>
              <w:rPr>
                <w:rFonts w:hint="eastAsia" w:ascii="仿宋" w:hAnsi="仿宋" w:eastAsia="仿宋" w:cs="仿宋"/>
                <w:sz w:val="22"/>
                <w:szCs w:val="22"/>
                <w:vertAlign w:val="baseline"/>
              </w:rPr>
            </w:pPr>
            <w:r>
              <w:rPr>
                <w:rFonts w:hint="eastAsia" w:ascii="仿宋" w:hAnsi="仿宋" w:eastAsia="仿宋" w:cs="仿宋"/>
                <w:sz w:val="22"/>
                <w:szCs w:val="22"/>
                <w:vertAlign w:val="baseline"/>
                <w:lang w:val="en-US" w:eastAsia="zh-CN"/>
              </w:rPr>
              <w:t>配合甲方向前运营权单位接收机器人剧场运营权、问题整改、资产清单核对与实物验收过程。按运营权承接需求，排查与梳理机器人剧场建筑、结构、外立面幕墙、机电、暖通、消防及智能化等专业的问题，跟进原施工单位整改，保障承接的机器人剧场物业设施设备状态正常可用。</w:t>
            </w:r>
          </w:p>
        </w:tc>
        <w:tc>
          <w:tcPr>
            <w:tcW w:w="3191" w:type="dxa"/>
            <w:vAlign w:val="top"/>
          </w:tcPr>
          <w:p w14:paraId="4A607401">
            <w:pPr>
              <w:pStyle w:val="11"/>
              <w:spacing w:line="480" w:lineRule="exact"/>
              <w:jc w:val="left"/>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出具《机器人剧场资产承接查验思路与整改建议方案》，协调推动相关单位完成整改，以支持甲方接收机器人剧场运营权相关事宜。</w:t>
            </w:r>
          </w:p>
        </w:tc>
      </w:tr>
      <w:tr w14:paraId="31E8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top"/>
          </w:tcPr>
          <w:p w14:paraId="71BD4CE3">
            <w:pPr>
              <w:pStyle w:val="11"/>
              <w:spacing w:line="480" w:lineRule="exact"/>
              <w:jc w:val="center"/>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w:t>
            </w:r>
          </w:p>
        </w:tc>
        <w:tc>
          <w:tcPr>
            <w:tcW w:w="5317" w:type="dxa"/>
            <w:vAlign w:val="top"/>
          </w:tcPr>
          <w:p w14:paraId="0B01D27A">
            <w:pPr>
              <w:pStyle w:val="11"/>
              <w:spacing w:line="480" w:lineRule="exact"/>
              <w:jc w:val="left"/>
              <w:rPr>
                <w:rFonts w:hint="eastAsia" w:ascii="仿宋" w:hAnsi="仿宋" w:eastAsia="仿宋" w:cs="仿宋"/>
                <w:sz w:val="22"/>
                <w:szCs w:val="22"/>
                <w:vertAlign w:val="baseline"/>
              </w:rPr>
            </w:pPr>
            <w:r>
              <w:rPr>
                <w:rFonts w:hint="eastAsia" w:ascii="仿宋" w:hAnsi="仿宋" w:eastAsia="仿宋" w:cs="仿宋"/>
                <w:sz w:val="22"/>
                <w:szCs w:val="22"/>
                <w:vertAlign w:val="baseline"/>
                <w:lang w:val="en-US" w:eastAsia="zh-CN"/>
              </w:rPr>
              <w:t>支持甲方向前运营权单位查验与接收未竣工验收的信息化项目设备设施。按运营权承接需求，承接查验机器人剧场信息化项目设施设备，障承接的机器人剧场信息化项目设施设备状态正常可用。</w:t>
            </w:r>
          </w:p>
        </w:tc>
        <w:tc>
          <w:tcPr>
            <w:tcW w:w="3191" w:type="dxa"/>
            <w:vAlign w:val="top"/>
          </w:tcPr>
          <w:p w14:paraId="439CF624">
            <w:pPr>
              <w:pStyle w:val="11"/>
              <w:spacing w:line="480" w:lineRule="exact"/>
              <w:jc w:val="left"/>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出具《机器人剧场信息化项目接收建议方案》，以支持甲方接收机器人剧场信息化项目资产与系统相关事宜。</w:t>
            </w:r>
          </w:p>
        </w:tc>
      </w:tr>
      <w:tr w14:paraId="7F5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top"/>
          </w:tcPr>
          <w:p w14:paraId="4185954A">
            <w:pPr>
              <w:pStyle w:val="11"/>
              <w:spacing w:line="480" w:lineRule="exact"/>
              <w:jc w:val="center"/>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w:t>
            </w:r>
          </w:p>
        </w:tc>
        <w:tc>
          <w:tcPr>
            <w:tcW w:w="5317" w:type="dxa"/>
            <w:vAlign w:val="top"/>
          </w:tcPr>
          <w:p w14:paraId="7C11B496">
            <w:pPr>
              <w:pStyle w:val="11"/>
              <w:spacing w:line="480" w:lineRule="exact"/>
              <w:jc w:val="left"/>
              <w:rPr>
                <w:rFonts w:hint="eastAsia" w:ascii="仿宋" w:hAnsi="仿宋" w:eastAsia="仿宋" w:cs="仿宋"/>
                <w:sz w:val="22"/>
                <w:szCs w:val="22"/>
                <w:vertAlign w:val="baseline"/>
              </w:rPr>
            </w:pPr>
            <w:r>
              <w:rPr>
                <w:rFonts w:hint="eastAsia" w:ascii="仿宋" w:hAnsi="仿宋" w:eastAsia="仿宋" w:cs="仿宋"/>
                <w:sz w:val="22"/>
                <w:szCs w:val="22"/>
                <w:vertAlign w:val="baseline"/>
                <w:lang w:val="en-US" w:eastAsia="zh-CN"/>
              </w:rPr>
              <w:t>支持该周期内涉及的活动开展需求支持，保障活动顺利开展。</w:t>
            </w:r>
          </w:p>
        </w:tc>
        <w:tc>
          <w:tcPr>
            <w:tcW w:w="3191" w:type="dxa"/>
            <w:vAlign w:val="top"/>
          </w:tcPr>
          <w:p w14:paraId="470498D4">
            <w:pPr>
              <w:pStyle w:val="11"/>
              <w:spacing w:line="480" w:lineRule="exact"/>
              <w:jc w:val="left"/>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活动开展现场支持工作（不超过</w:t>
            </w:r>
            <w:r>
              <w:rPr>
                <w:rFonts w:hint="eastAsia" w:ascii="仿宋" w:hAnsi="仿宋" w:eastAsia="仿宋" w:cs="仿宋"/>
                <w:sz w:val="22"/>
                <w:szCs w:val="22"/>
                <w:vertAlign w:val="baseline"/>
                <w:lang w:val="en-US" w:eastAsia="zh-CN"/>
              </w:rPr>
              <w:t>5</w:t>
            </w:r>
            <w:r>
              <w:rPr>
                <w:rFonts w:hint="default" w:ascii="仿宋" w:hAnsi="仿宋" w:eastAsia="仿宋" w:cs="仿宋"/>
                <w:sz w:val="22"/>
                <w:szCs w:val="22"/>
                <w:vertAlign w:val="baseline"/>
                <w:lang w:val="en-US" w:eastAsia="zh-CN"/>
              </w:rPr>
              <w:t>场，每场</w:t>
            </w:r>
            <w:r>
              <w:rPr>
                <w:rFonts w:hint="eastAsia" w:ascii="仿宋" w:hAnsi="仿宋" w:eastAsia="仿宋" w:cs="仿宋"/>
                <w:sz w:val="22"/>
                <w:szCs w:val="22"/>
                <w:vertAlign w:val="baseline"/>
                <w:lang w:val="en-US" w:eastAsia="zh-CN"/>
              </w:rPr>
              <w:t>5</w:t>
            </w:r>
            <w:r>
              <w:rPr>
                <w:rFonts w:hint="default" w:ascii="仿宋" w:hAnsi="仿宋" w:eastAsia="仿宋" w:cs="仿宋"/>
                <w:sz w:val="22"/>
                <w:szCs w:val="22"/>
                <w:vertAlign w:val="baseline"/>
                <w:lang w:val="en-US" w:eastAsia="zh-CN"/>
              </w:rPr>
              <w:t>000元，费用按照实际验收次数为准。每场活动提供场地对接支持、不限次踩点考察配合、现状声光电设备使用与外接、基础安全人员、电力工程师与基础保洁支持，不包含聚集性活动的报备、灯光、音响新增搭建、座椅配置、外接播控台、播控师及其他场地搭建服务）。务）。</w:t>
            </w:r>
            <w:r>
              <w:rPr>
                <w:rFonts w:hint="eastAsia" w:ascii="仿宋" w:hAnsi="仿宋" w:eastAsia="仿宋" w:cs="仿宋"/>
                <w:sz w:val="22"/>
                <w:szCs w:val="22"/>
                <w:vertAlign w:val="baseline"/>
                <w:lang w:val="en-US" w:eastAsia="zh-CN"/>
              </w:rPr>
              <w:t>按活动场次结束</w:t>
            </w:r>
            <w:r>
              <w:rPr>
                <w:rFonts w:hint="default" w:ascii="仿宋" w:hAnsi="仿宋" w:eastAsia="仿宋" w:cs="仿宋"/>
                <w:sz w:val="22"/>
                <w:szCs w:val="22"/>
                <w:vertAlign w:val="baseline"/>
                <w:lang w:val="en-US" w:eastAsia="zh-CN"/>
              </w:rPr>
              <w:t>提供《机器人剧场</w:t>
            </w:r>
            <w:r>
              <w:rPr>
                <w:rFonts w:hint="eastAsia" w:ascii="仿宋" w:hAnsi="仿宋" w:eastAsia="仿宋" w:cs="仿宋"/>
                <w:sz w:val="22"/>
                <w:szCs w:val="22"/>
                <w:vertAlign w:val="baseline"/>
                <w:lang w:val="en-US" w:eastAsia="zh-CN"/>
              </w:rPr>
              <w:t>活动支持</w:t>
            </w:r>
            <w:r>
              <w:rPr>
                <w:rFonts w:hint="default" w:ascii="仿宋" w:hAnsi="仿宋" w:eastAsia="仿宋" w:cs="仿宋"/>
                <w:sz w:val="22"/>
                <w:szCs w:val="22"/>
                <w:vertAlign w:val="baseline"/>
                <w:lang w:val="en-US" w:eastAsia="zh-CN"/>
              </w:rPr>
              <w:t>情况报告》供甲方审阅。</w:t>
            </w:r>
          </w:p>
        </w:tc>
      </w:tr>
    </w:tbl>
    <w:p w14:paraId="3BBDED34">
      <w:pPr>
        <w:pStyle w:val="11"/>
        <w:rPr>
          <w:rFonts w:hint="eastAsia"/>
          <w:sz w:val="22"/>
          <w:szCs w:val="22"/>
        </w:rPr>
      </w:pPr>
    </w:p>
    <w:tbl>
      <w:tblPr>
        <w:tblStyle w:val="20"/>
        <w:tblW w:w="97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25"/>
        <w:gridCol w:w="993"/>
        <w:gridCol w:w="709"/>
        <w:gridCol w:w="3260"/>
        <w:gridCol w:w="4253"/>
      </w:tblGrid>
      <w:tr w14:paraId="6A1EAE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716" w:hRule="atLeast"/>
          <w:jc w:val="center"/>
        </w:trPr>
        <w:tc>
          <w:tcPr>
            <w:tcW w:w="9740" w:type="dxa"/>
            <w:gridSpan w:val="5"/>
            <w:tcBorders>
              <w:top w:val="single" w:color="auto" w:sz="4" w:space="0"/>
              <w:left w:val="single" w:color="auto" w:sz="4" w:space="0"/>
              <w:right w:val="single" w:color="auto" w:sz="4" w:space="0"/>
            </w:tcBorders>
            <w:vAlign w:val="center"/>
          </w:tcPr>
          <w:p w14:paraId="6CF16942">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hint="default" w:ascii="仿宋_GB2312" w:eastAsia="仿宋_GB2312" w:cs="宋体"/>
                <w:b w:val="0"/>
                <w:bCs/>
                <w:kern w:val="0"/>
                <w:sz w:val="21"/>
                <w:szCs w:val="21"/>
                <w:lang w:val="en-US"/>
              </w:rPr>
            </w:pPr>
            <w:r>
              <w:rPr>
                <w:rFonts w:hint="eastAsia" w:ascii="仿宋" w:hAnsi="仿宋" w:eastAsia="仿宋" w:cs="仿宋"/>
                <w:b w:val="0"/>
                <w:bCs/>
                <w:sz w:val="22"/>
                <w:szCs w:val="22"/>
                <w:vertAlign w:val="baseline"/>
                <w:lang w:val="en-US" w:eastAsia="zh-CN"/>
              </w:rPr>
              <w:t>二、物业服务人员结构及要求</w:t>
            </w:r>
          </w:p>
        </w:tc>
      </w:tr>
      <w:tr w14:paraId="431850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093" w:hRule="atLeast"/>
          <w:jc w:val="center"/>
        </w:trPr>
        <w:tc>
          <w:tcPr>
            <w:tcW w:w="525" w:type="dxa"/>
            <w:tcBorders>
              <w:top w:val="single" w:color="auto" w:sz="4" w:space="0"/>
              <w:left w:val="single" w:color="auto" w:sz="4" w:space="0"/>
              <w:right w:val="single" w:color="auto" w:sz="4" w:space="0"/>
            </w:tcBorders>
            <w:vAlign w:val="center"/>
          </w:tcPr>
          <w:p w14:paraId="20827867">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ascii="仿宋_GB2312" w:eastAsia="仿宋_GB2312" w:cs="宋体"/>
                <w:b w:val="0"/>
                <w:bCs/>
                <w:kern w:val="0"/>
                <w:sz w:val="21"/>
                <w:szCs w:val="21"/>
                <w:lang w:val="zh-CN"/>
              </w:rPr>
            </w:pPr>
            <w:r>
              <w:rPr>
                <w:rFonts w:hint="eastAsia" w:ascii="仿宋_GB2312" w:eastAsia="仿宋_GB2312" w:cs="宋体"/>
                <w:b w:val="0"/>
                <w:bCs/>
                <w:kern w:val="0"/>
                <w:sz w:val="21"/>
                <w:szCs w:val="21"/>
                <w:lang w:val="zh-CN"/>
              </w:rPr>
              <w:t>序号</w:t>
            </w:r>
          </w:p>
        </w:tc>
        <w:tc>
          <w:tcPr>
            <w:tcW w:w="993" w:type="dxa"/>
            <w:tcBorders>
              <w:top w:val="single" w:color="auto" w:sz="4" w:space="0"/>
              <w:left w:val="single" w:color="auto" w:sz="4" w:space="0"/>
              <w:right w:val="single" w:color="auto" w:sz="4" w:space="0"/>
            </w:tcBorders>
            <w:vAlign w:val="center"/>
          </w:tcPr>
          <w:p w14:paraId="53FA662A">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ascii="仿宋_GB2312" w:eastAsia="仿宋_GB2312" w:cs="宋体"/>
                <w:b w:val="0"/>
                <w:bCs/>
                <w:kern w:val="0"/>
                <w:sz w:val="21"/>
                <w:szCs w:val="21"/>
                <w:lang w:val="zh-CN"/>
              </w:rPr>
            </w:pPr>
            <w:r>
              <w:rPr>
                <w:rFonts w:hint="eastAsia" w:ascii="仿宋_GB2312" w:eastAsia="仿宋_GB2312" w:cs="宋体"/>
                <w:b w:val="0"/>
                <w:bCs/>
                <w:kern w:val="0"/>
                <w:sz w:val="21"/>
                <w:szCs w:val="21"/>
                <w:lang w:val="zh-CN"/>
              </w:rPr>
              <w:t>岗位</w:t>
            </w:r>
          </w:p>
        </w:tc>
        <w:tc>
          <w:tcPr>
            <w:tcW w:w="709" w:type="dxa"/>
            <w:tcBorders>
              <w:top w:val="single" w:color="auto" w:sz="4" w:space="0"/>
              <w:left w:val="single" w:color="auto" w:sz="4" w:space="0"/>
              <w:right w:val="single" w:color="auto" w:sz="4" w:space="0"/>
            </w:tcBorders>
            <w:vAlign w:val="center"/>
          </w:tcPr>
          <w:p w14:paraId="0AB5679B">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ascii="仿宋_GB2312" w:eastAsia="仿宋_GB2312" w:cs="宋体"/>
                <w:b w:val="0"/>
                <w:bCs/>
                <w:kern w:val="0"/>
                <w:sz w:val="21"/>
                <w:szCs w:val="21"/>
                <w:lang w:val="zh-CN"/>
              </w:rPr>
            </w:pPr>
            <w:r>
              <w:rPr>
                <w:rFonts w:hint="eastAsia" w:ascii="仿宋_GB2312" w:eastAsia="仿宋_GB2312" w:cs="宋体"/>
                <w:b w:val="0"/>
                <w:bCs/>
                <w:kern w:val="0"/>
                <w:sz w:val="21"/>
                <w:szCs w:val="21"/>
                <w:lang w:val="zh-CN"/>
              </w:rPr>
              <w:t>人数</w:t>
            </w:r>
          </w:p>
        </w:tc>
        <w:tc>
          <w:tcPr>
            <w:tcW w:w="3260" w:type="dxa"/>
            <w:tcBorders>
              <w:top w:val="single" w:color="auto" w:sz="4" w:space="0"/>
              <w:left w:val="single" w:color="auto" w:sz="4" w:space="0"/>
              <w:right w:val="single" w:color="auto" w:sz="4" w:space="0"/>
            </w:tcBorders>
            <w:vAlign w:val="center"/>
          </w:tcPr>
          <w:p w14:paraId="464346E7">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ascii="仿宋_GB2312" w:eastAsia="仿宋_GB2312" w:cs="宋体"/>
                <w:b w:val="0"/>
                <w:bCs/>
                <w:kern w:val="0"/>
                <w:sz w:val="21"/>
                <w:szCs w:val="21"/>
                <w:lang w:val="zh-CN"/>
              </w:rPr>
            </w:pPr>
            <w:r>
              <w:rPr>
                <w:rFonts w:hint="eastAsia" w:ascii="仿宋_GB2312" w:eastAsia="仿宋_GB2312" w:cs="宋体"/>
                <w:b w:val="0"/>
                <w:bCs/>
                <w:kern w:val="0"/>
                <w:sz w:val="21"/>
                <w:szCs w:val="21"/>
                <w:lang w:val="zh-CN"/>
              </w:rPr>
              <w:t>岗位要求</w:t>
            </w:r>
          </w:p>
        </w:tc>
        <w:tc>
          <w:tcPr>
            <w:tcW w:w="4253" w:type="dxa"/>
            <w:tcBorders>
              <w:top w:val="single" w:color="auto" w:sz="4" w:space="0"/>
              <w:left w:val="single" w:color="auto" w:sz="4" w:space="0"/>
              <w:right w:val="single" w:color="auto" w:sz="4" w:space="0"/>
            </w:tcBorders>
            <w:vAlign w:val="center"/>
          </w:tcPr>
          <w:p w14:paraId="5FD15470">
            <w:pPr>
              <w:pStyle w:val="40"/>
              <w:keepNext w:val="0"/>
              <w:keepLines w:val="0"/>
              <w:pageBreakBefore w:val="0"/>
              <w:widowControl w:val="0"/>
              <w:kinsoku/>
              <w:wordWrap/>
              <w:overflowPunct/>
              <w:topLinePunct w:val="0"/>
              <w:bidi w:val="0"/>
              <w:adjustRightInd/>
              <w:snapToGrid/>
              <w:spacing w:line="360" w:lineRule="exact"/>
              <w:ind w:firstLine="0" w:firstLineChars="0"/>
              <w:jc w:val="center"/>
              <w:rPr>
                <w:rFonts w:ascii="仿宋_GB2312" w:eastAsia="仿宋_GB2312" w:cs="宋体"/>
                <w:b w:val="0"/>
                <w:bCs/>
                <w:kern w:val="0"/>
                <w:sz w:val="21"/>
                <w:szCs w:val="21"/>
                <w:lang w:val="zh-CN"/>
              </w:rPr>
            </w:pPr>
            <w:r>
              <w:rPr>
                <w:rFonts w:hint="eastAsia" w:ascii="仿宋_GB2312" w:eastAsia="仿宋_GB2312" w:cs="宋体"/>
                <w:b w:val="0"/>
                <w:bCs/>
                <w:kern w:val="0"/>
                <w:sz w:val="21"/>
                <w:szCs w:val="21"/>
                <w:lang w:val="zh-CN"/>
              </w:rPr>
              <w:t>岗位职责</w:t>
            </w:r>
          </w:p>
        </w:tc>
      </w:tr>
      <w:tr w14:paraId="32D4F2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399"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19FBE71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1</w:t>
            </w:r>
          </w:p>
        </w:tc>
        <w:tc>
          <w:tcPr>
            <w:tcW w:w="993" w:type="dxa"/>
            <w:tcBorders>
              <w:top w:val="single" w:color="auto" w:sz="4" w:space="0"/>
              <w:left w:val="single" w:color="auto" w:sz="4" w:space="0"/>
              <w:bottom w:val="single" w:color="auto" w:sz="4" w:space="0"/>
              <w:right w:val="single" w:color="auto" w:sz="4" w:space="0"/>
            </w:tcBorders>
            <w:vAlign w:val="center"/>
          </w:tcPr>
          <w:p w14:paraId="2806F857">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rPr>
            </w:pPr>
            <w:r>
              <w:rPr>
                <w:rFonts w:hint="eastAsia" w:ascii="仿宋_GB2312" w:hAnsi="宋体" w:eastAsia="仿宋_GB2312"/>
                <w:sz w:val="21"/>
                <w:szCs w:val="21"/>
                <w:lang w:val="en-US" w:eastAsia="zh-CN"/>
              </w:rPr>
              <w:t>物业主管</w:t>
            </w:r>
          </w:p>
        </w:tc>
        <w:tc>
          <w:tcPr>
            <w:tcW w:w="709" w:type="dxa"/>
            <w:tcBorders>
              <w:top w:val="single" w:color="auto" w:sz="4" w:space="0"/>
              <w:left w:val="single" w:color="auto" w:sz="4" w:space="0"/>
              <w:bottom w:val="single" w:color="auto" w:sz="4" w:space="0"/>
              <w:right w:val="single" w:color="auto" w:sz="4" w:space="0"/>
            </w:tcBorders>
            <w:vAlign w:val="center"/>
          </w:tcPr>
          <w:p w14:paraId="23DC005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1</w:t>
            </w:r>
          </w:p>
        </w:tc>
        <w:tc>
          <w:tcPr>
            <w:tcW w:w="3260" w:type="dxa"/>
            <w:tcBorders>
              <w:top w:val="single" w:color="auto" w:sz="4" w:space="0"/>
              <w:left w:val="single" w:color="auto" w:sz="4" w:space="0"/>
              <w:bottom w:val="single" w:color="auto" w:sz="4" w:space="0"/>
              <w:right w:val="single" w:color="auto" w:sz="4" w:space="0"/>
            </w:tcBorders>
            <w:vAlign w:val="center"/>
          </w:tcPr>
          <w:p w14:paraId="382CA196">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1.大专及以上学历，物业管理、行政管理等相关专业。</w:t>
            </w:r>
          </w:p>
          <w:p w14:paraId="799E454F">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2.十年以上物业管理工作经验，业项目管理经验者优先。</w:t>
            </w:r>
          </w:p>
          <w:p w14:paraId="66799B4A">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3.熟悉物业管理法规及行业规范，具备良好的服务意识。</w:t>
            </w:r>
          </w:p>
          <w:p w14:paraId="2B81965A">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4.具备较强的沟通协调能力和文档管理能力。</w:t>
            </w:r>
          </w:p>
          <w:p w14:paraId="2924F88C">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5.熟练使用办公软件，能独立完成各类报告和台账.</w:t>
            </w:r>
          </w:p>
        </w:tc>
        <w:tc>
          <w:tcPr>
            <w:tcW w:w="4253" w:type="dxa"/>
            <w:tcBorders>
              <w:top w:val="single" w:color="auto" w:sz="4" w:space="0"/>
              <w:left w:val="single" w:color="auto" w:sz="4" w:space="0"/>
              <w:bottom w:val="single" w:color="auto" w:sz="4" w:space="0"/>
              <w:right w:val="single" w:color="auto" w:sz="4" w:space="0"/>
            </w:tcBorders>
            <w:vAlign w:val="center"/>
          </w:tcPr>
          <w:p w14:paraId="13B75E8D">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1.全面统筹管理：作为机器人剧场物业管理项目的总负责人，统筹服务期内所有物业服务工作的规划、组织与实施。</w:t>
            </w:r>
          </w:p>
          <w:p w14:paraId="2568B92B">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2.甲方对接协调：作为与甲方的主要对接人，定期汇报工作进展，响应甲方需求，协调资源支持甲方接收运营权。</w:t>
            </w:r>
          </w:p>
        </w:tc>
      </w:tr>
      <w:tr w14:paraId="539241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0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2E7B03D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2</w:t>
            </w:r>
          </w:p>
        </w:tc>
        <w:tc>
          <w:tcPr>
            <w:tcW w:w="993" w:type="dxa"/>
            <w:tcBorders>
              <w:top w:val="single" w:color="auto" w:sz="4" w:space="0"/>
              <w:left w:val="single" w:color="auto" w:sz="4" w:space="0"/>
              <w:bottom w:val="single" w:color="auto" w:sz="4" w:space="0"/>
              <w:right w:val="single" w:color="auto" w:sz="4" w:space="0"/>
            </w:tcBorders>
            <w:vAlign w:val="center"/>
          </w:tcPr>
          <w:p w14:paraId="423B649E">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消防监控员</w:t>
            </w:r>
          </w:p>
        </w:tc>
        <w:tc>
          <w:tcPr>
            <w:tcW w:w="709" w:type="dxa"/>
            <w:tcBorders>
              <w:top w:val="single" w:color="auto" w:sz="4" w:space="0"/>
              <w:left w:val="single" w:color="auto" w:sz="4" w:space="0"/>
              <w:bottom w:val="single" w:color="auto" w:sz="4" w:space="0"/>
              <w:right w:val="single" w:color="auto" w:sz="4" w:space="0"/>
            </w:tcBorders>
            <w:vAlign w:val="center"/>
          </w:tcPr>
          <w:p w14:paraId="718D2899">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1</w:t>
            </w:r>
          </w:p>
        </w:tc>
        <w:tc>
          <w:tcPr>
            <w:tcW w:w="3260" w:type="dxa"/>
            <w:tcBorders>
              <w:top w:val="single" w:color="auto" w:sz="4" w:space="0"/>
              <w:left w:val="single" w:color="auto" w:sz="4" w:space="0"/>
              <w:bottom w:val="single" w:color="auto" w:sz="4" w:space="0"/>
              <w:right w:val="single" w:color="auto" w:sz="4" w:space="0"/>
            </w:tcBorders>
            <w:vAlign w:val="center"/>
          </w:tcPr>
          <w:p w14:paraId="38C5A270">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1.高中及以上学历，持有消防设施操作员（中级/四级）证书。</w:t>
            </w:r>
          </w:p>
          <w:p w14:paraId="1B4D3934">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2.两年以上消防监控工作经验，熟悉消防设施设备操作。</w:t>
            </w:r>
          </w:p>
          <w:p w14:paraId="46064E9F">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3.熟悉消防法律法规及消防安全管理制度。</w:t>
            </w:r>
          </w:p>
          <w:p w14:paraId="4AF26986">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eastAsia="zh-CN"/>
              </w:rPr>
            </w:pPr>
            <w:r>
              <w:rPr>
                <w:rFonts w:hint="eastAsia" w:ascii="仿宋_GB2312" w:hAnsi="宋体" w:eastAsia="仿宋_GB2312"/>
                <w:sz w:val="21"/>
                <w:szCs w:val="21"/>
                <w:lang w:val="en-US" w:eastAsia="zh-CN"/>
              </w:rPr>
              <w:t>4.具备较强的责任心和应急处置能力。</w:t>
            </w:r>
          </w:p>
        </w:tc>
        <w:tc>
          <w:tcPr>
            <w:tcW w:w="4253" w:type="dxa"/>
            <w:tcBorders>
              <w:top w:val="single" w:color="auto" w:sz="4" w:space="0"/>
              <w:left w:val="single" w:color="auto" w:sz="4" w:space="0"/>
              <w:bottom w:val="single" w:color="auto" w:sz="4" w:space="0"/>
              <w:right w:val="single" w:color="auto" w:sz="4" w:space="0"/>
            </w:tcBorders>
            <w:vAlign w:val="center"/>
          </w:tcPr>
          <w:p w14:paraId="38982F31">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1.消防监控值守：负责消防控制室24小时值班监控，实时监测消防报警系统、自动灭火系统等设备运行状态。</w:t>
            </w:r>
          </w:p>
          <w:p w14:paraId="6D8FF72A">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2.报警处置：接收并处置消防报警信息，按规定程序进行确认、报告和初期处置。</w:t>
            </w:r>
          </w:p>
          <w:p w14:paraId="37A2843B">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3.消防设备巡检：每日对消防设施设备进行巡检，包括消火栓、灭火器、应急照明、疏散指示标志等，确保设备完好有效。</w:t>
            </w:r>
          </w:p>
          <w:p w14:paraId="42CC83D9">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4.消防整改配合：配合消防整改工作的推进，协助消防验收相关工作。</w:t>
            </w:r>
          </w:p>
          <w:p w14:paraId="680594AB">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5.消防档案管理：建立并维护消防设施设备台账、巡检记录、维保记录等消防档案.</w:t>
            </w:r>
          </w:p>
          <w:p w14:paraId="7324F939">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6.消防培训：协助开展消防安全宣传教育和应急演练.</w:t>
            </w:r>
          </w:p>
        </w:tc>
      </w:tr>
      <w:tr w14:paraId="2D7EA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0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44F9E28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3</w:t>
            </w:r>
          </w:p>
        </w:tc>
        <w:tc>
          <w:tcPr>
            <w:tcW w:w="993" w:type="dxa"/>
            <w:tcBorders>
              <w:top w:val="single" w:color="auto" w:sz="4" w:space="0"/>
              <w:left w:val="single" w:color="auto" w:sz="4" w:space="0"/>
              <w:bottom w:val="single" w:color="auto" w:sz="4" w:space="0"/>
              <w:right w:val="single" w:color="auto" w:sz="4" w:space="0"/>
            </w:tcBorders>
            <w:vAlign w:val="center"/>
          </w:tcPr>
          <w:p w14:paraId="6968B67C">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秩序管理安保员</w:t>
            </w:r>
          </w:p>
        </w:tc>
        <w:tc>
          <w:tcPr>
            <w:tcW w:w="709" w:type="dxa"/>
            <w:tcBorders>
              <w:top w:val="single" w:color="auto" w:sz="4" w:space="0"/>
              <w:left w:val="single" w:color="auto" w:sz="4" w:space="0"/>
              <w:bottom w:val="single" w:color="auto" w:sz="4" w:space="0"/>
              <w:right w:val="single" w:color="auto" w:sz="4" w:space="0"/>
            </w:tcBorders>
            <w:vAlign w:val="center"/>
          </w:tcPr>
          <w:p w14:paraId="19560B67">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1</w:t>
            </w:r>
          </w:p>
        </w:tc>
        <w:tc>
          <w:tcPr>
            <w:tcW w:w="3260" w:type="dxa"/>
            <w:tcBorders>
              <w:top w:val="single" w:color="auto" w:sz="4" w:space="0"/>
              <w:left w:val="single" w:color="auto" w:sz="4" w:space="0"/>
              <w:bottom w:val="single" w:color="auto" w:sz="4" w:space="0"/>
              <w:right w:val="single" w:color="auto" w:sz="4" w:space="0"/>
            </w:tcBorders>
            <w:vAlign w:val="center"/>
          </w:tcPr>
          <w:p w14:paraId="6072F2F1">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1.高中及以上学历，持有保安员证</w:t>
            </w:r>
          </w:p>
          <w:p w14:paraId="73850AC0">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2年以上安保工作经验，有商业项目或施工现场安保经验者优先。</w:t>
            </w:r>
          </w:p>
          <w:p w14:paraId="024998B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2.身体健康，形象良好，具备基本的礼仪服务意识。</w:t>
            </w:r>
          </w:p>
          <w:p w14:paraId="0BFF6B5A">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3.熟悉安保工作流程及突发事件处置程序。</w:t>
            </w:r>
          </w:p>
          <w:p w14:paraId="0EF0DD96">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4.具备较强的责任心和沟通协调能力。</w:t>
            </w:r>
          </w:p>
        </w:tc>
        <w:tc>
          <w:tcPr>
            <w:tcW w:w="4253" w:type="dxa"/>
            <w:tcBorders>
              <w:top w:val="single" w:color="auto" w:sz="4" w:space="0"/>
              <w:left w:val="single" w:color="auto" w:sz="4" w:space="0"/>
              <w:bottom w:val="single" w:color="auto" w:sz="4" w:space="0"/>
              <w:right w:val="single" w:color="auto" w:sz="4" w:space="0"/>
            </w:tcBorders>
            <w:vAlign w:val="center"/>
          </w:tcPr>
          <w:p w14:paraId="445F54A1">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1.门岗值守：负责机器人剧场出入口值守，对进出人员、车辆进行登记核查，维护出入口秩序。</w:t>
            </w:r>
          </w:p>
          <w:p w14:paraId="3964FF45">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2.巡逻检查：按规定路线和时间进行安全巡逻，检查各区域安全状况，发现异常及时报告并处置。</w:t>
            </w:r>
          </w:p>
          <w:p w14:paraId="2C08E889">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3.施工现场管理：负责施工改造区域的工人施工界面管理，核查施工人员证件，监督施工人员按规定区域作业。</w:t>
            </w:r>
          </w:p>
          <w:p w14:paraId="1DAF3DF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4.安全监督：监督施工现场的安全施工情况，制止违规作业行为，发现安全隐患及时上报。</w:t>
            </w:r>
          </w:p>
          <w:p w14:paraId="42CA7EE5">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5.治安防范：防范盗窃、破坏等治安事件，保护剧场内人员及财产安全。</w:t>
            </w:r>
          </w:p>
          <w:p w14:paraId="1EEE832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6.应急处置：协助处置突发事件，维护现场秩序，配合相关部门开展应急救援。</w:t>
            </w:r>
          </w:p>
        </w:tc>
      </w:tr>
      <w:tr w14:paraId="5EEEB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0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58A0DDE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4</w:t>
            </w:r>
          </w:p>
        </w:tc>
        <w:tc>
          <w:tcPr>
            <w:tcW w:w="993" w:type="dxa"/>
            <w:tcBorders>
              <w:top w:val="single" w:color="auto" w:sz="4" w:space="0"/>
              <w:left w:val="single" w:color="auto" w:sz="4" w:space="0"/>
              <w:bottom w:val="single" w:color="auto" w:sz="4" w:space="0"/>
              <w:right w:val="single" w:color="auto" w:sz="4" w:space="0"/>
            </w:tcBorders>
            <w:vAlign w:val="center"/>
          </w:tcPr>
          <w:p w14:paraId="164EA5FE">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施工管理协调与设备管理员</w:t>
            </w:r>
          </w:p>
        </w:tc>
        <w:tc>
          <w:tcPr>
            <w:tcW w:w="709" w:type="dxa"/>
            <w:tcBorders>
              <w:top w:val="single" w:color="auto" w:sz="4" w:space="0"/>
              <w:left w:val="single" w:color="auto" w:sz="4" w:space="0"/>
              <w:bottom w:val="single" w:color="auto" w:sz="4" w:space="0"/>
              <w:right w:val="single" w:color="auto" w:sz="4" w:space="0"/>
            </w:tcBorders>
            <w:vAlign w:val="center"/>
          </w:tcPr>
          <w:p w14:paraId="4070D468">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1</w:t>
            </w:r>
          </w:p>
        </w:tc>
        <w:tc>
          <w:tcPr>
            <w:tcW w:w="3260" w:type="dxa"/>
            <w:tcBorders>
              <w:top w:val="single" w:color="auto" w:sz="4" w:space="0"/>
              <w:left w:val="single" w:color="auto" w:sz="4" w:space="0"/>
              <w:bottom w:val="single" w:color="auto" w:sz="4" w:space="0"/>
              <w:right w:val="single" w:color="auto" w:sz="4" w:space="0"/>
            </w:tcBorders>
            <w:vAlign w:val="center"/>
          </w:tcPr>
          <w:p w14:paraId="0182C6BF">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1.大专及以上学历，建筑工程、机电工程或相关专业。</w:t>
            </w:r>
          </w:p>
          <w:p w14:paraId="5C97EF8B">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2.三年以上施工管理或设施设备管理经验，有剧场、展馆类项目经验者优先。</w:t>
            </w:r>
          </w:p>
          <w:p w14:paraId="67B15CE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3.熟悉土建、装修、机电安装等施工工艺及验收标准。</w:t>
            </w:r>
          </w:p>
          <w:p w14:paraId="47EEB8E1">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4.熟悉中央空调、消防设备、配电房等设施设备的运行原理及操作规范。</w:t>
            </w:r>
          </w:p>
          <w:p w14:paraId="382B57E6">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5.持有相关职业资格证书（如电工证、建造师证等）者优先。</w:t>
            </w:r>
          </w:p>
        </w:tc>
        <w:tc>
          <w:tcPr>
            <w:tcW w:w="4253" w:type="dxa"/>
            <w:tcBorders>
              <w:top w:val="single" w:color="auto" w:sz="4" w:space="0"/>
              <w:left w:val="single" w:color="auto" w:sz="4" w:space="0"/>
              <w:bottom w:val="single" w:color="auto" w:sz="4" w:space="0"/>
              <w:right w:val="single" w:color="auto" w:sz="4" w:space="0"/>
            </w:tcBorders>
            <w:vAlign w:val="center"/>
          </w:tcPr>
          <w:p w14:paraId="7763141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1.施工管理协调：负责土建整改、二装整改及消防整改等施工项目的现场协调管理，跟进施工进度，协调各施工单位之间交叉作业。</w:t>
            </w:r>
          </w:p>
          <w:p w14:paraId="6696045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2.信息化项目管理：负责未竣工验收的信息化项目涉及的现场调试单位与设备设施承接查验与管理，协调调试单位进场作业。</w:t>
            </w:r>
          </w:p>
          <w:p w14:paraId="3F702587">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3.设备设施管理：负责中央空调、消防设备、配电房等设施设备的每日操作支持与基础巡检管理，确保设备正常运行。</w:t>
            </w:r>
          </w:p>
          <w:p w14:paraId="2CFFC2C5">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4.设备操作支持：按照操作规程进行设备启停、运行参数调整等日常操作，记录设备运行数据。</w:t>
            </w:r>
          </w:p>
          <w:p w14:paraId="2ADDF729">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5.承接查验：参与设备设施的承接查验工作，核对设备清单，检查设备安装质量及运行状况。</w:t>
            </w:r>
          </w:p>
          <w:p w14:paraId="215729A0">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6.维保协调：协调设备维保单位开展维保工作，监督维保质量，建立设备维保档案。</w:t>
            </w:r>
          </w:p>
        </w:tc>
      </w:tr>
      <w:tr w14:paraId="1EEAE2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140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23667132">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5</w:t>
            </w:r>
          </w:p>
        </w:tc>
        <w:tc>
          <w:tcPr>
            <w:tcW w:w="993" w:type="dxa"/>
            <w:tcBorders>
              <w:top w:val="single" w:color="auto" w:sz="4" w:space="0"/>
              <w:left w:val="single" w:color="auto" w:sz="4" w:space="0"/>
              <w:bottom w:val="single" w:color="auto" w:sz="4" w:space="0"/>
              <w:right w:val="single" w:color="auto" w:sz="4" w:space="0"/>
            </w:tcBorders>
            <w:vAlign w:val="center"/>
          </w:tcPr>
          <w:p w14:paraId="27F8CA05">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保洁员</w:t>
            </w:r>
          </w:p>
        </w:tc>
        <w:tc>
          <w:tcPr>
            <w:tcW w:w="709" w:type="dxa"/>
            <w:tcBorders>
              <w:top w:val="single" w:color="auto" w:sz="4" w:space="0"/>
              <w:left w:val="single" w:color="auto" w:sz="4" w:space="0"/>
              <w:bottom w:val="single" w:color="auto" w:sz="4" w:space="0"/>
              <w:right w:val="single" w:color="auto" w:sz="4" w:space="0"/>
            </w:tcBorders>
            <w:vAlign w:val="center"/>
          </w:tcPr>
          <w:p w14:paraId="0A6D5BC3">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center"/>
              <w:textAlignment w:val="bottom"/>
              <w:rPr>
                <w:rFonts w:hint="default" w:ascii="仿宋_GB2312" w:hAnsi="宋体" w:eastAsia="仿宋_GB2312"/>
                <w:sz w:val="21"/>
                <w:szCs w:val="21"/>
                <w:lang w:val="en-US" w:eastAsia="zh-CN"/>
              </w:rPr>
            </w:pPr>
            <w:r>
              <w:rPr>
                <w:rFonts w:hint="eastAsia" w:ascii="仿宋_GB2312" w:hAnsi="宋体" w:eastAsia="仿宋_GB2312"/>
                <w:sz w:val="21"/>
                <w:szCs w:val="21"/>
                <w:lang w:val="en-US" w:eastAsia="zh-CN"/>
              </w:rPr>
              <w:t>1</w:t>
            </w:r>
          </w:p>
        </w:tc>
        <w:tc>
          <w:tcPr>
            <w:tcW w:w="3260" w:type="dxa"/>
            <w:tcBorders>
              <w:top w:val="single" w:color="auto" w:sz="4" w:space="0"/>
              <w:left w:val="single" w:color="auto" w:sz="4" w:space="0"/>
              <w:bottom w:val="single" w:color="auto" w:sz="4" w:space="0"/>
              <w:right w:val="single" w:color="auto" w:sz="4" w:space="0"/>
            </w:tcBorders>
            <w:vAlign w:val="center"/>
          </w:tcPr>
          <w:p w14:paraId="376BD2D0">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1.初中及以上学历，身体健康，能胜任保洁工作。</w:t>
            </w:r>
          </w:p>
          <w:p w14:paraId="6C14A1EF">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2.三年以上保洁工作经验，有商业场所保洁经验者优先。</w:t>
            </w:r>
          </w:p>
          <w:p w14:paraId="6AD9E9CA">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3.熟悉保洁工作流程及清洁剂、清洁设备的使用方法。</w:t>
            </w:r>
          </w:p>
          <w:p w14:paraId="0B3ED0BF">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4.工作认真负责，具备良好的服务意识。</w:t>
            </w:r>
          </w:p>
        </w:tc>
        <w:tc>
          <w:tcPr>
            <w:tcW w:w="4253" w:type="dxa"/>
            <w:tcBorders>
              <w:top w:val="single" w:color="auto" w:sz="4" w:space="0"/>
              <w:left w:val="single" w:color="auto" w:sz="4" w:space="0"/>
              <w:bottom w:val="single" w:color="auto" w:sz="4" w:space="0"/>
              <w:right w:val="single" w:color="auto" w:sz="4" w:space="0"/>
            </w:tcBorders>
            <w:vAlign w:val="center"/>
          </w:tcPr>
          <w:p w14:paraId="5629C4B5">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1.日常保洁：负责机器人剧场公共区域（办公区、后台区、公区）的日常清洁工作，保持环境整洁。</w:t>
            </w:r>
          </w:p>
          <w:p w14:paraId="4BAA6FA8">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2.地面养护：负责地面、墙面、玻璃等表面的清洁养护，定期进行深度清洁。</w:t>
            </w:r>
          </w:p>
          <w:p w14:paraId="50F919F6">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3.垃圾清运：负责垃圾收集、分类及清运工作，保持垃圾桶清洁，及时更换垃圾袋。</w:t>
            </w:r>
          </w:p>
          <w:p w14:paraId="7C87887D">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4.清洁设备管理：正确使用和保管清洁工具及设备，定期检查清洁用品库存，及时申领补充。</w:t>
            </w:r>
          </w:p>
          <w:p w14:paraId="6B2D3ED0">
            <w:pPr>
              <w:keepNext w:val="0"/>
              <w:keepLines w:val="0"/>
              <w:pageBreakBefore w:val="0"/>
              <w:widowControl w:val="0"/>
              <w:kinsoku/>
              <w:wordWrap/>
              <w:overflowPunct/>
              <w:topLinePunct w:val="0"/>
              <w:autoSpaceDE w:val="0"/>
              <w:autoSpaceDN w:val="0"/>
              <w:bidi w:val="0"/>
              <w:adjustRightInd/>
              <w:snapToGrid/>
              <w:spacing w:line="360" w:lineRule="exact"/>
              <w:ind w:firstLine="0" w:firstLineChars="0"/>
              <w:jc w:val="left"/>
              <w:textAlignment w:val="bottom"/>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5.特殊区域清洁：配合做好施工现场周边、设备机房等特殊区域的清洁工作。</w:t>
            </w:r>
          </w:p>
        </w:tc>
      </w:tr>
      <w:tr w14:paraId="41E345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05" w:hRule="atLeast"/>
          <w:jc w:val="center"/>
        </w:trPr>
        <w:tc>
          <w:tcPr>
            <w:tcW w:w="1518" w:type="dxa"/>
            <w:gridSpan w:val="2"/>
            <w:tcBorders>
              <w:top w:val="single" w:color="auto" w:sz="4" w:space="0"/>
              <w:left w:val="single" w:color="auto" w:sz="4" w:space="0"/>
              <w:bottom w:val="single" w:color="auto" w:sz="4" w:space="0"/>
              <w:right w:val="single" w:color="auto" w:sz="4" w:space="0"/>
            </w:tcBorders>
            <w:vAlign w:val="center"/>
          </w:tcPr>
          <w:p w14:paraId="73A2D9CB">
            <w:pPr>
              <w:autoSpaceDE w:val="0"/>
              <w:autoSpaceDN w:val="0"/>
              <w:spacing w:line="240" w:lineRule="auto"/>
              <w:ind w:firstLine="0" w:firstLineChars="0"/>
              <w:jc w:val="center"/>
              <w:textAlignment w:val="bottom"/>
              <w:rPr>
                <w:rFonts w:ascii="仿宋_GB2312" w:hAnsi="宋体" w:eastAsia="仿宋_GB2312"/>
                <w:b/>
                <w:sz w:val="22"/>
                <w:szCs w:val="22"/>
              </w:rPr>
            </w:pPr>
            <w:r>
              <w:rPr>
                <w:rFonts w:hint="eastAsia" w:ascii="仿宋_GB2312" w:hAnsi="宋体" w:eastAsia="仿宋_GB2312"/>
                <w:b/>
                <w:sz w:val="22"/>
                <w:szCs w:val="22"/>
              </w:rPr>
              <w:t>合计人数</w:t>
            </w:r>
          </w:p>
        </w:tc>
        <w:tc>
          <w:tcPr>
            <w:tcW w:w="709" w:type="dxa"/>
            <w:tcBorders>
              <w:top w:val="single" w:color="auto" w:sz="4" w:space="0"/>
              <w:left w:val="single" w:color="auto" w:sz="4" w:space="0"/>
              <w:bottom w:val="single" w:color="auto" w:sz="4" w:space="0"/>
              <w:right w:val="single" w:color="auto" w:sz="4" w:space="0"/>
            </w:tcBorders>
            <w:vAlign w:val="center"/>
          </w:tcPr>
          <w:p w14:paraId="5FFF1062">
            <w:pPr>
              <w:autoSpaceDE w:val="0"/>
              <w:autoSpaceDN w:val="0"/>
              <w:spacing w:line="240" w:lineRule="auto"/>
              <w:ind w:firstLine="0" w:firstLineChars="0"/>
              <w:jc w:val="center"/>
              <w:textAlignment w:val="bottom"/>
              <w:rPr>
                <w:rFonts w:hint="eastAsia" w:ascii="仿宋_GB2312" w:hAnsi="宋体" w:eastAsia="仿宋_GB2312"/>
                <w:b/>
                <w:sz w:val="22"/>
                <w:szCs w:val="22"/>
                <w:lang w:eastAsia="zh-CN"/>
              </w:rPr>
            </w:pPr>
            <w:r>
              <w:rPr>
                <w:rFonts w:hint="eastAsia" w:ascii="仿宋_GB2312" w:hAnsi="宋体" w:eastAsia="仿宋_GB2312"/>
                <w:b/>
                <w:sz w:val="22"/>
                <w:szCs w:val="22"/>
                <w:lang w:val="en-US" w:eastAsia="zh-CN"/>
              </w:rPr>
              <w:t>5</w:t>
            </w:r>
          </w:p>
        </w:tc>
        <w:tc>
          <w:tcPr>
            <w:tcW w:w="7513" w:type="dxa"/>
            <w:gridSpan w:val="2"/>
            <w:tcBorders>
              <w:top w:val="single" w:color="auto" w:sz="4" w:space="0"/>
              <w:left w:val="single" w:color="auto" w:sz="4" w:space="0"/>
              <w:bottom w:val="single" w:color="auto" w:sz="4" w:space="0"/>
              <w:right w:val="single" w:color="auto" w:sz="4" w:space="0"/>
            </w:tcBorders>
            <w:vAlign w:val="center"/>
          </w:tcPr>
          <w:p w14:paraId="20814094">
            <w:pPr>
              <w:autoSpaceDE w:val="0"/>
              <w:autoSpaceDN w:val="0"/>
              <w:spacing w:line="240" w:lineRule="auto"/>
              <w:ind w:firstLine="0" w:firstLineChars="0"/>
              <w:jc w:val="left"/>
              <w:textAlignment w:val="bottom"/>
              <w:rPr>
                <w:rFonts w:ascii="仿宋_GB2312" w:hAnsi="宋体" w:eastAsia="仿宋_GB2312"/>
                <w:sz w:val="22"/>
                <w:szCs w:val="22"/>
              </w:rPr>
            </w:pPr>
            <w:r>
              <w:rPr>
                <w:rFonts w:hint="eastAsia" w:ascii="仿宋_GB2312" w:hAnsi="宋体" w:eastAsia="仿宋_GB2312"/>
                <w:sz w:val="22"/>
                <w:szCs w:val="22"/>
                <w:lang w:val="en-US" w:eastAsia="zh-CN"/>
              </w:rPr>
              <w:t xml:space="preserve"> </w:t>
            </w:r>
          </w:p>
        </w:tc>
      </w:tr>
    </w:tbl>
    <w:p w14:paraId="5CA5D0D1">
      <w:pPr>
        <w:spacing w:line="560" w:lineRule="exact"/>
        <w:ind w:firstLine="560"/>
        <w:rPr>
          <w:rFonts w:hint="eastAsia" w:ascii="仿宋_GB2312" w:hAnsi="宋体" w:eastAsia="仿宋_GB2312"/>
          <w:sz w:val="22"/>
          <w:szCs w:val="22"/>
        </w:rPr>
      </w:pPr>
      <w:r>
        <w:rPr>
          <w:rFonts w:hint="eastAsia" w:ascii="仿宋_GB2312" w:hAnsi="宋体" w:eastAsia="仿宋_GB2312"/>
          <w:sz w:val="22"/>
          <w:szCs w:val="22"/>
        </w:rPr>
        <w:t>后期如因实际情况需要对人员数量进行增减，甲乙双方协商后以工作联系函方式确定。</w:t>
      </w:r>
    </w:p>
    <w:p w14:paraId="79E59E8B">
      <w:pPr>
        <w:pStyle w:val="11"/>
        <w:rPr>
          <w:sz w:val="22"/>
          <w:szCs w:val="22"/>
        </w:rPr>
      </w:pPr>
    </w:p>
    <w:p w14:paraId="3D92F1C9">
      <w:pPr>
        <w:spacing w:line="560" w:lineRule="exact"/>
        <w:ind w:firstLine="440" w:firstLineChars="200"/>
        <w:rPr>
          <w:rFonts w:ascii="仿宋_GB2312" w:hAnsi="宋体" w:eastAsia="仿宋_GB2312"/>
          <w:b/>
          <w:sz w:val="22"/>
          <w:szCs w:val="22"/>
        </w:rPr>
      </w:pPr>
      <w:r>
        <w:rPr>
          <w:rFonts w:hint="eastAsia" w:ascii="仿宋_GB2312" w:hAnsi="宋体" w:eastAsia="仿宋_GB2312"/>
          <w:b/>
          <w:sz w:val="22"/>
          <w:szCs w:val="22"/>
        </w:rPr>
        <w:t>第</w:t>
      </w:r>
      <w:r>
        <w:rPr>
          <w:rFonts w:hint="eastAsia" w:ascii="仿宋_GB2312" w:hAnsi="宋体" w:eastAsia="仿宋_GB2312"/>
          <w:b/>
          <w:sz w:val="22"/>
          <w:szCs w:val="22"/>
          <w:lang w:val="en-US" w:eastAsia="zh-CN"/>
        </w:rPr>
        <w:t>四</w:t>
      </w:r>
      <w:r>
        <w:rPr>
          <w:rFonts w:hint="eastAsia" w:ascii="仿宋_GB2312" w:hAnsi="宋体" w:eastAsia="仿宋_GB2312"/>
          <w:b/>
          <w:sz w:val="22"/>
          <w:szCs w:val="22"/>
        </w:rPr>
        <w:t>条  物业管理服务费及付款方式</w:t>
      </w:r>
    </w:p>
    <w:p w14:paraId="07429789">
      <w:pPr>
        <w:spacing w:line="560" w:lineRule="exact"/>
        <w:ind w:firstLine="560"/>
        <w:rPr>
          <w:rFonts w:hint="eastAsia" w:ascii="仿宋_GB2312" w:hAnsi="宋体" w:eastAsia="仿宋_GB2312"/>
          <w:sz w:val="22"/>
          <w:szCs w:val="22"/>
          <w:lang w:val="en-US" w:eastAsia="zh-CN"/>
        </w:rPr>
      </w:pPr>
      <w:r>
        <w:rPr>
          <w:rFonts w:hint="eastAsia" w:ascii="仿宋_GB2312" w:hAnsi="宋体" w:eastAsia="仿宋_GB2312"/>
          <w:color w:val="000000"/>
          <w:sz w:val="22"/>
          <w:szCs w:val="22"/>
        </w:rPr>
        <w:t>本合同暂定总价为</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rPr>
        <w:t>元（大写：人民币</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其中：过渡期前期咨询专项服务费为</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rPr>
        <w:t>元（大写：人民币</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物业管理服务费为</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rPr>
        <w:t>元（大写：人民币</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p>
    <w:p w14:paraId="501F139B">
      <w:pPr>
        <w:spacing w:line="560" w:lineRule="exact"/>
        <w:ind w:firstLine="560"/>
        <w:rPr>
          <w:rFonts w:hint="eastAsia" w:ascii="仿宋_GB2312" w:hAnsi="宋体" w:eastAsia="仿宋_GB2312"/>
          <w:sz w:val="22"/>
          <w:szCs w:val="22"/>
          <w:lang w:val="en-US" w:eastAsia="zh-CN"/>
        </w:rPr>
      </w:pPr>
      <w:r>
        <w:rPr>
          <w:rFonts w:hint="eastAsia" w:ascii="仿宋_GB2312" w:hAnsi="宋体" w:eastAsia="仿宋_GB2312"/>
          <w:sz w:val="22"/>
          <w:szCs w:val="22"/>
          <w:lang w:val="en-US" w:eastAsia="zh-CN"/>
        </w:rPr>
        <w:t>（一）过渡期前期咨询专项服务费</w:t>
      </w:r>
    </w:p>
    <w:p w14:paraId="653548BC">
      <w:pPr>
        <w:spacing w:line="360" w:lineRule="auto"/>
        <w:ind w:firstLine="560"/>
        <w:rPr>
          <w:rFonts w:hint="eastAsia" w:ascii="仿宋_GB2312" w:hAnsi="宋体" w:eastAsia="仿宋_GB2312"/>
          <w:color w:val="000000"/>
          <w:sz w:val="22"/>
          <w:szCs w:val="22"/>
          <w:lang w:val="en-US" w:eastAsia="zh-CN"/>
        </w:rPr>
      </w:pPr>
      <w:r>
        <w:rPr>
          <w:rFonts w:hint="eastAsia" w:ascii="仿宋_GB2312" w:hAnsi="宋体" w:eastAsia="仿宋_GB2312" w:cs="Times New Roman"/>
          <w:color w:val="000000"/>
          <w:sz w:val="22"/>
          <w:szCs w:val="22"/>
          <w:lang w:val="en-US" w:eastAsia="zh-CN"/>
        </w:rPr>
        <w:t>根据</w:t>
      </w:r>
      <w:r>
        <w:rPr>
          <w:rFonts w:hint="eastAsia" w:ascii="仿宋_GB2312" w:hAnsi="宋体" w:eastAsia="仿宋_GB2312"/>
          <w:color w:val="000000"/>
          <w:sz w:val="22"/>
          <w:szCs w:val="22"/>
        </w:rPr>
        <w:t>本合同第</w:t>
      </w:r>
      <w:r>
        <w:rPr>
          <w:rFonts w:hint="eastAsia" w:ascii="仿宋_GB2312" w:hAnsi="宋体" w:eastAsia="仿宋_GB2312"/>
          <w:color w:val="000000"/>
          <w:sz w:val="22"/>
          <w:szCs w:val="22"/>
          <w:lang w:val="en-US" w:eastAsia="zh-CN"/>
        </w:rPr>
        <w:t>三</w:t>
      </w:r>
      <w:r>
        <w:rPr>
          <w:rFonts w:hint="eastAsia" w:ascii="仿宋_GB2312" w:hAnsi="宋体" w:eastAsia="仿宋_GB2312"/>
          <w:color w:val="000000"/>
          <w:sz w:val="22"/>
          <w:szCs w:val="22"/>
        </w:rPr>
        <w:t>条中</w:t>
      </w:r>
      <w:r>
        <w:rPr>
          <w:rFonts w:hint="eastAsia" w:ascii="仿宋_GB2312" w:hAnsi="宋体" w:eastAsia="仿宋_GB2312" w:cs="Times New Roman"/>
          <w:color w:val="000000"/>
          <w:sz w:val="22"/>
          <w:szCs w:val="22"/>
          <w:vertAlign w:val="baseline"/>
          <w:lang w:val="en-US" w:eastAsia="zh-CN"/>
        </w:rPr>
        <w:t>前期咨询专项服务工作内容及要求，专项服务费用按固定总价方式计价，专项咨询服务费按固定总价方式计价，以上费用已包含乙方为完成本工作所需的全部费用，包括但不限于人工费、协调费及税金等，折合至每月随物业管理服务费一并支付。</w:t>
      </w:r>
      <w:r>
        <w:rPr>
          <w:rFonts w:hint="eastAsia" w:ascii="仿宋_GB2312" w:hAnsi="宋体" w:eastAsia="仿宋_GB2312"/>
          <w:color w:val="000000"/>
          <w:sz w:val="22"/>
          <w:szCs w:val="22"/>
        </w:rPr>
        <w:t>每月费用为</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 xml:space="preserve"> 元（大写：人民币</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合计费用为</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 xml:space="preserve"> 元（大写：人民币</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该部分按固定4个月进行支付，不随物业管理服务的是否提前终止而调整，费用发票合并至临时性物业基础管理服务中。</w:t>
      </w:r>
    </w:p>
    <w:p w14:paraId="2A7047EF">
      <w:pPr>
        <w:pStyle w:val="2"/>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default"/>
          <w:lang w:val="en-US" w:eastAsia="zh-CN"/>
        </w:rPr>
      </w:pPr>
      <w:r>
        <w:rPr>
          <w:rFonts w:hint="eastAsia" w:ascii="仿宋_GB2312" w:hAnsi="宋体" w:eastAsia="仿宋_GB2312"/>
          <w:color w:val="000000"/>
          <w:sz w:val="22"/>
          <w:szCs w:val="22"/>
          <w:lang w:val="en-US" w:eastAsia="zh-CN"/>
        </w:rPr>
        <w:t xml:space="preserve">    </w:t>
      </w:r>
      <w:r>
        <w:rPr>
          <w:rFonts w:hint="eastAsia" w:ascii="仿宋_GB2312" w:hAnsi="宋体" w:eastAsia="仿宋_GB2312" w:cs="Times New Roman"/>
          <w:color w:val="000000"/>
          <w:kern w:val="2"/>
          <w:sz w:val="22"/>
          <w:szCs w:val="22"/>
          <w:vertAlign w:val="baseline"/>
          <w:lang w:val="en-US" w:eastAsia="zh-CN" w:bidi="ar-SA"/>
        </w:rPr>
        <w:t xml:space="preserve"> 活动开展支持为单次服务内容，费用按单次方式计价，活动开展支持服务费用按实际次数验收合同期满进行结算。单次</w:t>
      </w:r>
      <w:r>
        <w:rPr>
          <w:rFonts w:hint="eastAsia" w:ascii="仿宋_GB2312" w:hAnsi="宋体" w:eastAsia="仿宋_GB2312"/>
          <w:color w:val="000000"/>
          <w:sz w:val="22"/>
          <w:szCs w:val="22"/>
        </w:rPr>
        <w:t>费用为</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 xml:space="preserve"> 元（大写：人民币</w:t>
      </w:r>
      <w:r>
        <w:rPr>
          <w:rFonts w:hint="eastAsia" w:ascii="仿宋_GB2312" w:hAnsi="宋体" w:eastAsia="仿宋_GB2312"/>
          <w:color w:val="000000"/>
          <w:sz w:val="22"/>
          <w:szCs w:val="22"/>
          <w:u w:val="none"/>
          <w:lang w:val="en-US" w:eastAsia="zh-CN"/>
        </w:rPr>
        <w:t xml:space="preserve">          </w:t>
      </w:r>
      <w:r>
        <w:rPr>
          <w:rFonts w:hint="eastAsia" w:ascii="仿宋_GB2312" w:hAnsi="宋体" w:eastAsia="仿宋_GB2312"/>
          <w:color w:val="000000"/>
          <w:sz w:val="22"/>
          <w:szCs w:val="22"/>
          <w:u w:val="none"/>
        </w:rPr>
        <w:t xml:space="preserve"> </w:t>
      </w:r>
      <w:r>
        <w:rPr>
          <w:rFonts w:hint="eastAsia" w:ascii="仿宋_GB2312" w:hAnsi="宋体" w:eastAsia="仿宋_GB2312"/>
          <w:color w:val="000000"/>
          <w:sz w:val="22"/>
          <w:szCs w:val="22"/>
        </w:rPr>
        <w:t>）</w:t>
      </w:r>
      <w:r>
        <w:rPr>
          <w:rFonts w:hint="eastAsia" w:ascii="仿宋_GB2312" w:hAnsi="宋体" w:eastAsia="仿宋_GB2312"/>
          <w:color w:val="000000"/>
          <w:sz w:val="22"/>
          <w:szCs w:val="22"/>
          <w:lang w:eastAsia="zh-CN"/>
        </w:rPr>
        <w:t>。</w:t>
      </w:r>
    </w:p>
    <w:p w14:paraId="67AF5953">
      <w:pPr>
        <w:spacing w:line="560" w:lineRule="exact"/>
        <w:ind w:firstLine="560"/>
        <w:rPr>
          <w:rFonts w:ascii="仿宋_GB2312" w:hAnsi="宋体" w:eastAsia="仿宋_GB2312"/>
          <w:sz w:val="22"/>
          <w:szCs w:val="22"/>
        </w:rPr>
      </w:pPr>
      <w:r>
        <w:rPr>
          <w:rFonts w:hint="eastAsia" w:ascii="仿宋_GB2312" w:hAnsi="宋体" w:eastAsia="仿宋_GB2312"/>
          <w:sz w:val="22"/>
          <w:szCs w:val="22"/>
        </w:rPr>
        <w:t>（</w:t>
      </w:r>
      <w:r>
        <w:rPr>
          <w:rFonts w:hint="eastAsia" w:ascii="仿宋_GB2312" w:hAnsi="宋体" w:eastAsia="仿宋_GB2312"/>
          <w:sz w:val="22"/>
          <w:szCs w:val="22"/>
          <w:lang w:val="en-US" w:eastAsia="zh-CN"/>
        </w:rPr>
        <w:t>二</w:t>
      </w:r>
      <w:r>
        <w:rPr>
          <w:rFonts w:hint="eastAsia" w:ascii="仿宋_GB2312" w:hAnsi="宋体" w:eastAsia="仿宋_GB2312"/>
          <w:sz w:val="22"/>
          <w:szCs w:val="22"/>
        </w:rPr>
        <w:t>）物业管理服务费</w:t>
      </w:r>
    </w:p>
    <w:p w14:paraId="3F09E064">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根据本合同第</w:t>
      </w:r>
      <w:r>
        <w:rPr>
          <w:rFonts w:hint="eastAsia" w:ascii="仿宋_GB2312" w:hAnsi="宋体" w:eastAsia="仿宋_GB2312"/>
          <w:color w:val="000000"/>
          <w:sz w:val="22"/>
          <w:szCs w:val="22"/>
          <w:lang w:val="en-US" w:eastAsia="zh-CN"/>
        </w:rPr>
        <w:t>三</w:t>
      </w:r>
      <w:r>
        <w:rPr>
          <w:rFonts w:hint="eastAsia" w:ascii="仿宋_GB2312" w:hAnsi="宋体" w:eastAsia="仿宋_GB2312"/>
          <w:color w:val="000000"/>
          <w:sz w:val="22"/>
          <w:szCs w:val="22"/>
        </w:rPr>
        <w:t>条中物业服务人员配置要求，物业服务费按固定单价方式计价，每月费用为</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rPr>
        <w:t xml:space="preserve"> 元（大写：人民币</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rPr>
        <w:t>）以上费用已包含乙方为完成本合同工作所需的全部费用，包括但不限于人工费（标准工时）、</w:t>
      </w:r>
      <w:r>
        <w:rPr>
          <w:rFonts w:hint="eastAsia" w:ascii="仿宋_GB2312" w:hAnsi="宋体" w:eastAsia="仿宋_GB2312"/>
          <w:color w:val="000000"/>
          <w:sz w:val="22"/>
          <w:szCs w:val="22"/>
          <w:lang w:val="en-US" w:eastAsia="zh-CN"/>
        </w:rPr>
        <w:t>物业人员综合保障费用、耗材及后勤管理费、服务费及</w:t>
      </w:r>
      <w:r>
        <w:rPr>
          <w:rFonts w:hint="eastAsia" w:ascii="仿宋_GB2312" w:hAnsi="宋体" w:eastAsia="仿宋_GB2312"/>
          <w:color w:val="000000"/>
          <w:sz w:val="22"/>
          <w:szCs w:val="22"/>
        </w:rPr>
        <w:t>税金等。若有人员调整，以实际进场物业服务人员数量和我司实际指令为准，以甲方发出的书面启动通知且物业服务人员配齐并实际进场之日起开始计算</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rPr>
        <w:t>甲方按月向乙方支付。最终结算以实际服务月数计算，不足一个月的，按“实际服务天数除以30”折算月数计算。</w:t>
      </w:r>
    </w:p>
    <w:p w14:paraId="254D9B36">
      <w:pPr>
        <w:spacing w:line="560" w:lineRule="exact"/>
        <w:ind w:firstLine="560"/>
        <w:rPr>
          <w:rFonts w:ascii="仿宋_GB2312" w:hAnsi="宋体" w:eastAsia="仿宋_GB2312"/>
          <w:sz w:val="22"/>
          <w:szCs w:val="22"/>
        </w:rPr>
      </w:pPr>
      <w:r>
        <w:rPr>
          <w:rFonts w:hint="eastAsia" w:ascii="仿宋_GB2312" w:hAnsi="宋体" w:eastAsia="仿宋_GB2312"/>
          <w:sz w:val="22"/>
          <w:szCs w:val="22"/>
        </w:rPr>
        <w:t>（二）付款方式</w:t>
      </w:r>
    </w:p>
    <w:p w14:paraId="7F3A7837">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1.乙方应于每月</w:t>
      </w:r>
      <w:r>
        <w:rPr>
          <w:rFonts w:hint="eastAsia" w:ascii="仿宋_GB2312" w:hAnsi="宋体" w:eastAsia="仿宋_GB2312"/>
          <w:color w:val="000000"/>
          <w:sz w:val="22"/>
          <w:szCs w:val="22"/>
          <w:lang w:val="en-US" w:eastAsia="zh-CN"/>
        </w:rPr>
        <w:t>5</w:t>
      </w:r>
      <w:r>
        <w:rPr>
          <w:rFonts w:hint="eastAsia" w:ascii="仿宋_GB2312" w:hAnsi="宋体" w:eastAsia="仿宋_GB2312"/>
          <w:color w:val="000000"/>
          <w:sz w:val="22"/>
          <w:szCs w:val="22"/>
        </w:rPr>
        <w:t>日前向甲方提交开具上个月</w:t>
      </w:r>
      <w:r>
        <w:rPr>
          <w:rFonts w:hint="eastAsia" w:ascii="仿宋_GB2312" w:hAnsi="宋体" w:eastAsia="仿宋_GB2312"/>
          <w:color w:val="000000"/>
          <w:sz w:val="22"/>
          <w:szCs w:val="22"/>
          <w:lang w:val="en-US" w:eastAsia="zh-CN"/>
        </w:rPr>
        <w:t>前期咨询专项服务与</w:t>
      </w:r>
      <w:r>
        <w:rPr>
          <w:rFonts w:hint="eastAsia" w:ascii="仿宋_GB2312" w:hAnsi="宋体" w:eastAsia="仿宋_GB2312"/>
          <w:color w:val="000000"/>
          <w:sz w:val="22"/>
          <w:szCs w:val="22"/>
        </w:rPr>
        <w:t>物业服务费的书面请款函（需加盖公章）及足额合规增值税专用发票原件后，甲方需在</w:t>
      </w:r>
      <w:r>
        <w:rPr>
          <w:rFonts w:hint="eastAsia" w:ascii="仿宋_GB2312" w:hAnsi="宋体" w:eastAsia="仿宋_GB2312"/>
          <w:color w:val="000000"/>
          <w:sz w:val="22"/>
          <w:szCs w:val="22"/>
          <w:lang w:val="en-US" w:eastAsia="zh-CN"/>
        </w:rPr>
        <w:t>10</w:t>
      </w:r>
      <w:r>
        <w:rPr>
          <w:rFonts w:hint="eastAsia" w:ascii="仿宋_GB2312" w:hAnsi="宋体" w:eastAsia="仿宋_GB2312"/>
          <w:color w:val="000000"/>
          <w:sz w:val="22"/>
          <w:szCs w:val="22"/>
        </w:rPr>
        <w:t>个自然日内审核确认并付款，若乙方未提供有效增值税专用发票或书面付款申请，甲方有权拒绝付款且无需承担延迟付款的违约责任。</w:t>
      </w:r>
    </w:p>
    <w:p w14:paraId="1532019F">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2.乙方须向甲方提供正式增值税专用发票原件</w:t>
      </w:r>
      <w:r>
        <w:rPr>
          <w:rFonts w:hint="eastAsia" w:ascii="仿宋_GB2312" w:hAnsi="宋体" w:eastAsia="仿宋_GB2312"/>
          <w:color w:val="000000"/>
          <w:sz w:val="22"/>
          <w:szCs w:val="22"/>
          <w:lang w:eastAsia="zh-CN"/>
        </w:rPr>
        <w:t>（</w:t>
      </w:r>
      <w:r>
        <w:rPr>
          <w:rFonts w:hint="eastAsia" w:ascii="仿宋_GB2312" w:hAnsi="宋体" w:eastAsia="仿宋_GB2312"/>
          <w:color w:val="000000"/>
          <w:sz w:val="22"/>
          <w:szCs w:val="22"/>
          <w:lang w:val="en-US" w:eastAsia="zh-CN"/>
        </w:rPr>
        <w:t>数电票则提供打印件）</w:t>
      </w:r>
      <w:r>
        <w:rPr>
          <w:rFonts w:hint="eastAsia" w:ascii="仿宋_GB2312" w:hAnsi="宋体" w:eastAsia="仿宋_GB2312"/>
          <w:color w:val="000000"/>
          <w:sz w:val="22"/>
          <w:szCs w:val="22"/>
        </w:rPr>
        <w:t>，并保证合同签约单位名称、发票出具单位名称、收款银行账号所属单位名称三者必须一致，若不一致则甲方有权拒绝付款。若因乙方资料不齐或错误造成甲方不能及时付款到账或周转反复，由此产生的滞纳金、手续费等费用及法律后果由乙方承担。</w:t>
      </w:r>
    </w:p>
    <w:p w14:paraId="545C6B97">
      <w:pPr>
        <w:pStyle w:val="2"/>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eastAsia="仿宋_GB2312"/>
          <w:lang w:val="en-US" w:eastAsia="zh-CN"/>
        </w:rPr>
      </w:pPr>
      <w:r>
        <w:rPr>
          <w:rFonts w:hint="eastAsia" w:ascii="仿宋_GB2312" w:hAnsi="宋体" w:eastAsia="仿宋_GB2312"/>
          <w:color w:val="000000"/>
          <w:sz w:val="22"/>
          <w:szCs w:val="22"/>
          <w:lang w:val="en-US" w:eastAsia="zh-CN"/>
        </w:rPr>
        <w:t xml:space="preserve">    </w:t>
      </w:r>
      <w:r>
        <w:rPr>
          <w:rFonts w:hint="eastAsia" w:ascii="仿宋_GB2312" w:hAnsi="宋体" w:eastAsia="仿宋_GB2312" w:cs="Times New Roman"/>
          <w:color w:val="000000"/>
          <w:kern w:val="2"/>
          <w:sz w:val="22"/>
          <w:szCs w:val="22"/>
          <w:lang w:val="en-US" w:eastAsia="zh-CN" w:bidi="ar-SA"/>
        </w:rPr>
        <w:t xml:space="preserve"> 3.乙方应于每场活动举办结束后10个工作日内，提供</w:t>
      </w:r>
      <w:r>
        <w:rPr>
          <w:rFonts w:hint="default" w:ascii="仿宋_GB2312" w:hAnsi="宋体" w:eastAsia="仿宋_GB2312" w:cs="Times New Roman"/>
          <w:color w:val="000000"/>
          <w:kern w:val="2"/>
          <w:sz w:val="22"/>
          <w:szCs w:val="22"/>
          <w:lang w:val="en-US" w:eastAsia="zh-CN" w:bidi="ar-SA"/>
        </w:rPr>
        <w:t>《机器人剧场</w:t>
      </w:r>
      <w:r>
        <w:rPr>
          <w:rFonts w:hint="eastAsia" w:ascii="仿宋_GB2312" w:hAnsi="宋体" w:eastAsia="仿宋_GB2312" w:cs="Times New Roman"/>
          <w:color w:val="000000"/>
          <w:kern w:val="2"/>
          <w:sz w:val="22"/>
          <w:szCs w:val="22"/>
          <w:lang w:val="en-US" w:eastAsia="zh-CN" w:bidi="ar-SA"/>
        </w:rPr>
        <w:t>活动支持</w:t>
      </w:r>
      <w:r>
        <w:rPr>
          <w:rFonts w:hint="default" w:ascii="仿宋_GB2312" w:hAnsi="宋体" w:eastAsia="仿宋_GB2312" w:cs="Times New Roman"/>
          <w:color w:val="000000"/>
          <w:kern w:val="2"/>
          <w:sz w:val="22"/>
          <w:szCs w:val="22"/>
          <w:lang w:val="en-US" w:eastAsia="zh-CN" w:bidi="ar-SA"/>
        </w:rPr>
        <w:t>情况报告》</w:t>
      </w:r>
      <w:r>
        <w:rPr>
          <w:rFonts w:hint="eastAsia" w:ascii="仿宋_GB2312" w:hAnsi="宋体" w:eastAsia="仿宋_GB2312" w:cs="Times New Roman"/>
          <w:color w:val="000000"/>
          <w:kern w:val="2"/>
          <w:sz w:val="22"/>
          <w:szCs w:val="22"/>
          <w:lang w:val="en-US" w:eastAsia="zh-CN" w:bidi="ar-SA"/>
        </w:rPr>
        <w:t>并配合甲方进行验收，验收合格后，甲方需在合同期满10个自然日内审核确认并付款，若乙方未提供有效增值税专用发票或书面付款申请，甲方有权拒绝付款且无需承担延迟付款的违约责任。</w:t>
      </w:r>
    </w:p>
    <w:p w14:paraId="2FC68705">
      <w:pPr>
        <w:spacing w:line="560" w:lineRule="exact"/>
        <w:ind w:firstLine="11" w:firstLineChars="5"/>
        <w:rPr>
          <w:rFonts w:ascii="仿宋_GB2312" w:hAnsi="宋体" w:eastAsia="仿宋_GB2312"/>
          <w:sz w:val="22"/>
          <w:szCs w:val="22"/>
        </w:rPr>
      </w:pPr>
      <w:r>
        <w:rPr>
          <w:rFonts w:hint="eastAsia" w:ascii="仿宋_GB2312" w:hAnsi="宋体" w:eastAsia="仿宋_GB2312"/>
          <w:sz w:val="22"/>
          <w:szCs w:val="22"/>
        </w:rPr>
        <w:t>乙方收款账户信息如下：</w:t>
      </w:r>
    </w:p>
    <w:p w14:paraId="4F1A7B12">
      <w:pPr>
        <w:spacing w:line="560" w:lineRule="exact"/>
        <w:ind w:firstLine="11" w:firstLineChars="5"/>
        <w:rPr>
          <w:rFonts w:ascii="仿宋_GB2312" w:hAnsi="宋体" w:eastAsia="仿宋_GB2312"/>
          <w:sz w:val="22"/>
          <w:szCs w:val="22"/>
          <w:u w:val="single"/>
        </w:rPr>
      </w:pPr>
      <w:r>
        <w:rPr>
          <w:rFonts w:hint="eastAsia" w:ascii="仿宋_GB2312" w:hAnsi="宋体" w:eastAsia="仿宋_GB2312"/>
          <w:sz w:val="22"/>
          <w:szCs w:val="22"/>
        </w:rPr>
        <w:t>户  名：</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p>
    <w:p w14:paraId="1D072996">
      <w:pPr>
        <w:spacing w:line="560" w:lineRule="exact"/>
        <w:ind w:firstLine="11" w:firstLineChars="5"/>
        <w:rPr>
          <w:rFonts w:ascii="仿宋_GB2312" w:hAnsi="宋体" w:eastAsia="仿宋_GB2312"/>
          <w:sz w:val="22"/>
          <w:szCs w:val="22"/>
          <w:u w:val="single"/>
        </w:rPr>
      </w:pPr>
      <w:r>
        <w:rPr>
          <w:rFonts w:hint="eastAsia" w:ascii="仿宋_GB2312" w:hAnsi="宋体" w:eastAsia="仿宋_GB2312"/>
          <w:sz w:val="22"/>
          <w:szCs w:val="22"/>
        </w:rPr>
        <w:t>开户行：</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p>
    <w:p w14:paraId="0B8A02ED">
      <w:pPr>
        <w:spacing w:line="560" w:lineRule="exact"/>
        <w:ind w:firstLine="11" w:firstLineChars="5"/>
        <w:rPr>
          <w:rFonts w:hint="eastAsia" w:ascii="仿宋_GB2312" w:hAnsi="宋体" w:eastAsia="仿宋_GB2312"/>
          <w:sz w:val="22"/>
          <w:szCs w:val="22"/>
          <w:u w:val="single"/>
        </w:rPr>
      </w:pPr>
      <w:r>
        <w:rPr>
          <w:rFonts w:hint="eastAsia" w:ascii="仿宋_GB2312" w:hAnsi="宋体" w:eastAsia="仿宋_GB2312"/>
          <w:sz w:val="22"/>
          <w:szCs w:val="22"/>
        </w:rPr>
        <w:t>账  号：</w:t>
      </w:r>
      <w:r>
        <w:rPr>
          <w:rFonts w:hint="eastAsia" w:ascii="仿宋_GB2312" w:hAnsi="宋体" w:eastAsia="仿宋_GB2312"/>
          <w:sz w:val="22"/>
          <w:szCs w:val="22"/>
          <w:u w:val="single"/>
        </w:rPr>
        <w:t xml:space="preserve"> </w:t>
      </w:r>
      <w:r>
        <w:rPr>
          <w:rFonts w:hint="eastAsia" w:ascii="仿宋_GB2312" w:hAnsi="宋体" w:eastAsia="仿宋_GB2312"/>
          <w:sz w:val="22"/>
          <w:szCs w:val="22"/>
          <w:u w:val="single"/>
          <w:lang w:val="en-US" w:eastAsia="zh-CN"/>
        </w:rPr>
        <w:t xml:space="preserve">                 </w:t>
      </w:r>
      <w:r>
        <w:rPr>
          <w:rFonts w:hint="eastAsia" w:ascii="仿宋_GB2312" w:hAnsi="宋体" w:eastAsia="仿宋_GB2312"/>
          <w:sz w:val="22"/>
          <w:szCs w:val="22"/>
          <w:u w:val="single"/>
        </w:rPr>
        <w:t xml:space="preserve">  </w:t>
      </w:r>
    </w:p>
    <w:p w14:paraId="558C3C15">
      <w:pPr>
        <w:pStyle w:val="11"/>
        <w:rPr>
          <w:sz w:val="22"/>
          <w:szCs w:val="22"/>
        </w:rPr>
      </w:pPr>
    </w:p>
    <w:p w14:paraId="29FE6BEB">
      <w:pPr>
        <w:numPr>
          <w:ilvl w:val="-1"/>
          <w:numId w:val="0"/>
        </w:numPr>
        <w:spacing w:line="560" w:lineRule="exact"/>
        <w:ind w:firstLine="0" w:firstLineChars="0"/>
        <w:jc w:val="center"/>
        <w:rPr>
          <w:rFonts w:hint="eastAsia" w:ascii="仿宋_GB2312" w:hAnsi="宋体" w:eastAsia="仿宋_GB2312"/>
          <w:b/>
          <w:sz w:val="22"/>
          <w:szCs w:val="22"/>
        </w:rPr>
      </w:pPr>
      <w:r>
        <w:rPr>
          <w:rFonts w:hint="eastAsia" w:ascii="仿宋_GB2312" w:hAnsi="宋体" w:eastAsia="仿宋_GB2312"/>
          <w:b/>
          <w:sz w:val="22"/>
          <w:szCs w:val="22"/>
          <w:lang w:val="en-US" w:eastAsia="zh-CN"/>
        </w:rPr>
        <w:t>第五条</w:t>
      </w:r>
      <w:r>
        <w:rPr>
          <w:rFonts w:hint="eastAsia" w:ascii="仿宋_GB2312" w:hAnsi="宋体" w:eastAsia="仿宋_GB2312"/>
          <w:b/>
          <w:sz w:val="22"/>
          <w:szCs w:val="22"/>
        </w:rPr>
        <w:t xml:space="preserve"> 双方的权利和义务</w:t>
      </w:r>
    </w:p>
    <w:p w14:paraId="4F70BABF">
      <w:pPr>
        <w:pStyle w:val="11"/>
        <w:numPr>
          <w:ilvl w:val="-1"/>
          <w:numId w:val="0"/>
        </w:numPr>
        <w:ind w:firstLine="0" w:firstLineChars="0"/>
        <w:rPr>
          <w:sz w:val="22"/>
          <w:szCs w:val="22"/>
        </w:rPr>
      </w:pPr>
    </w:p>
    <w:p w14:paraId="4CB44E2D">
      <w:pPr>
        <w:numPr>
          <w:ilvl w:val="-1"/>
          <w:numId w:val="0"/>
        </w:numPr>
        <w:spacing w:line="560" w:lineRule="exact"/>
        <w:ind w:left="0" w:leftChars="0" w:firstLine="440" w:firstLineChars="200"/>
        <w:rPr>
          <w:rFonts w:ascii="仿宋_GB2312" w:hAnsi="宋体" w:eastAsia="仿宋_GB2312"/>
          <w:sz w:val="22"/>
          <w:szCs w:val="22"/>
        </w:rPr>
      </w:pPr>
      <w:r>
        <w:rPr>
          <w:rFonts w:hint="eastAsia" w:ascii="仿宋_GB2312" w:hAnsi="宋体" w:eastAsia="仿宋_GB2312"/>
          <w:sz w:val="22"/>
          <w:szCs w:val="22"/>
          <w:lang w:eastAsia="zh-CN"/>
        </w:rPr>
        <w:t>（</w:t>
      </w:r>
      <w:r>
        <w:rPr>
          <w:rFonts w:hint="eastAsia" w:ascii="仿宋_GB2312" w:hAnsi="宋体" w:eastAsia="仿宋_GB2312"/>
          <w:sz w:val="22"/>
          <w:szCs w:val="22"/>
          <w:lang w:val="en-US" w:eastAsia="zh-CN"/>
        </w:rPr>
        <w:t>一）</w:t>
      </w:r>
      <w:r>
        <w:rPr>
          <w:rFonts w:hint="eastAsia" w:ascii="仿宋_GB2312" w:hAnsi="宋体" w:eastAsia="仿宋_GB2312"/>
          <w:sz w:val="22"/>
          <w:szCs w:val="22"/>
        </w:rPr>
        <w:t>甲方的权利义务</w:t>
      </w:r>
    </w:p>
    <w:p w14:paraId="3B0646C6">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1.甲方有权对乙方所提供的服务进行监督检查，对甲方发现或提出的问题乙方应在十个工作日内整改；</w:t>
      </w:r>
    </w:p>
    <w:p w14:paraId="187A4EC8">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2.甲方有权检查乙方服务人员的资历、</w:t>
      </w:r>
      <w:r>
        <w:rPr>
          <w:rFonts w:hint="eastAsia" w:ascii="仿宋_GB2312" w:hAnsi="宋体" w:eastAsia="仿宋_GB2312"/>
          <w:color w:val="000000"/>
          <w:sz w:val="22"/>
          <w:szCs w:val="22"/>
          <w:lang w:val="en-US" w:eastAsia="zh-CN"/>
        </w:rPr>
        <w:t>服务</w:t>
      </w:r>
      <w:r>
        <w:rPr>
          <w:rFonts w:hint="eastAsia" w:ascii="仿宋_GB2312" w:hAnsi="宋体" w:eastAsia="仿宋_GB2312"/>
          <w:color w:val="000000"/>
          <w:sz w:val="22"/>
          <w:szCs w:val="22"/>
        </w:rPr>
        <w:t>情况和团队稳定情况，如因资历、人力、能力不足等致使物业管理服务达不到甲方要求的，甲方有权要求乙方增加或替换相应的服务人员，乙方应在十个工作日内予以响应和落实，不得无故拖延或拒绝；</w:t>
      </w:r>
    </w:p>
    <w:p w14:paraId="300F6C69">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3.甲方根据服务区域的实际情况增减相关物业服务人员。增加相关人员的，提前一周向乙方发函；减少相关人员的，提前一个月向乙方发函；</w:t>
      </w:r>
    </w:p>
    <w:p w14:paraId="3AECD49A">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lang w:val="en-US" w:eastAsia="zh-CN"/>
        </w:rPr>
        <w:t>4</w:t>
      </w:r>
      <w:r>
        <w:rPr>
          <w:rFonts w:hint="eastAsia" w:ascii="仿宋_GB2312" w:hAnsi="宋体" w:eastAsia="仿宋_GB2312"/>
          <w:color w:val="000000"/>
          <w:sz w:val="22"/>
          <w:szCs w:val="22"/>
        </w:rPr>
        <w:t>.依据本合同约定，甲方应及时足额向乙方支付物业管理服务费；</w:t>
      </w:r>
    </w:p>
    <w:p w14:paraId="29D19800">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lang w:val="en-US" w:eastAsia="zh-CN"/>
        </w:rPr>
        <w:t>5</w:t>
      </w:r>
      <w:r>
        <w:rPr>
          <w:rFonts w:hint="eastAsia" w:ascii="仿宋_GB2312" w:hAnsi="宋体" w:eastAsia="仿宋_GB2312"/>
          <w:color w:val="000000"/>
          <w:sz w:val="22"/>
          <w:szCs w:val="22"/>
        </w:rPr>
        <w:t>.甲方有权根据实际情况，就本合同项下物业管理服务的各项总目标及标准进行合理调整，相关调整应书面告知乙方。</w:t>
      </w:r>
    </w:p>
    <w:p w14:paraId="6F022604">
      <w:pPr>
        <w:spacing w:line="560" w:lineRule="exact"/>
        <w:ind w:left="14" w:firstLine="560"/>
        <w:rPr>
          <w:rFonts w:ascii="仿宋_GB2312" w:hAnsi="宋体" w:eastAsia="仿宋_GB2312"/>
          <w:sz w:val="22"/>
          <w:szCs w:val="22"/>
        </w:rPr>
      </w:pPr>
      <w:r>
        <w:rPr>
          <w:rFonts w:hint="eastAsia" w:ascii="仿宋_GB2312" w:hAnsi="宋体" w:eastAsia="仿宋_GB2312"/>
          <w:sz w:val="22"/>
          <w:szCs w:val="22"/>
        </w:rPr>
        <w:t>（二）乙方的权利和义务</w:t>
      </w:r>
    </w:p>
    <w:p w14:paraId="3B5BA869">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1.根据有关法律、法规和政策，结合实际情况，制定各岗位制度；</w:t>
      </w:r>
    </w:p>
    <w:p w14:paraId="3798E433">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2.依据本合同，向甲方收取</w:t>
      </w:r>
      <w:r>
        <w:rPr>
          <w:rFonts w:hint="eastAsia" w:ascii="仿宋_GB2312" w:hAnsi="宋体" w:eastAsia="仿宋_GB2312"/>
          <w:color w:val="000000"/>
          <w:sz w:val="22"/>
          <w:szCs w:val="22"/>
          <w:lang w:val="en-US" w:eastAsia="zh-CN"/>
        </w:rPr>
        <w:t>前期咨询专项服务费及</w:t>
      </w:r>
      <w:r>
        <w:rPr>
          <w:rFonts w:hint="eastAsia" w:ascii="仿宋_GB2312" w:hAnsi="宋体" w:eastAsia="仿宋_GB2312"/>
          <w:color w:val="000000"/>
          <w:sz w:val="22"/>
          <w:szCs w:val="22"/>
        </w:rPr>
        <w:t>物业服务费，并开具有效的增值税专用发票；</w:t>
      </w:r>
    </w:p>
    <w:p w14:paraId="473CEFC1">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3.负责各岗位员工业务培训、岗位职责梳理、作业规程指导等工作；</w:t>
      </w:r>
    </w:p>
    <w:p w14:paraId="7A139232">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4.接受甲方的监督、管理，遵守甲方的相关工作制度，并按照甲方的各项合理性要求执行；</w:t>
      </w:r>
    </w:p>
    <w:p w14:paraId="1AAB855E">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5.就物业管理服务中出现的有关问题向甲方提出意见和建议；</w:t>
      </w:r>
    </w:p>
    <w:p w14:paraId="02C8109A">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6.由于乙方管理过失等原因造成甲方人员、财产等经济损失或被任何第三方主张权利的，相关赔偿责任应由乙方承担；</w:t>
      </w:r>
    </w:p>
    <w:p w14:paraId="0A419D96">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7.乙方应遵守国家法律和行政法规以及本合同的约定，不得损害甲方利益和任何第三方的利益，不得泄露涉及本项目的任何商业机密；</w:t>
      </w:r>
    </w:p>
    <w:p w14:paraId="4C740C73">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8.甲方因项目需要涉及服务内容增加，且在乙方能力范围内的工作，乙方应予以响应及接受。超出本合同约定服务范围的部分，由甲乙双方另行商议并签订补充协议；</w:t>
      </w:r>
    </w:p>
    <w:p w14:paraId="553C0410">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9.乙方应按甲方要求安排合格的服务人员参加本项目服务。乙方应保证项目服务团队人员结构合理、稳定，各服务人员工作能力足以胜任本项目服务工作，无充分理由不得中途更换服务人员，若必须更换须提前10个工作日告知甲方并征得甲方同意；</w:t>
      </w:r>
    </w:p>
    <w:p w14:paraId="612FFE06">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10.乙方应本着诚实信用、勤勉尽责、热情服务和专业高效的原则，按照合同的要求，运用合理的专业技能，科学严谨地开展合同要求的各项物业服务工作，帮助甲方实现合同预定的目标，符合甲方心理预期；</w:t>
      </w:r>
    </w:p>
    <w:p w14:paraId="71BE79A4">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11.乙方须与现场服务人员建立劳动关系，按照《劳动法》等相关法律、法规之规定为现场人员提供薪酬、福利以及购买社会保险，现场服务人员在本合同规定的时间和范围内为甲方服务出现劳动争议（包括但不限于工伤，劳动报酬纠纷等）或造成本人或第三人损害的，与甲方无关，由乙方依照劳动法或其他相关法律、法规进行妥当处理。同时，甲方有权视情节单方面解除合约；</w:t>
      </w:r>
    </w:p>
    <w:p w14:paraId="0F2B9748">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12.乙方不得将甲方曾经使用解雇过的人员安排到现场提供服务工作。</w:t>
      </w:r>
    </w:p>
    <w:p w14:paraId="1DB5F8D0">
      <w:pPr>
        <w:spacing w:line="360" w:lineRule="auto"/>
        <w:ind w:firstLine="560"/>
        <w:rPr>
          <w:rFonts w:hint="default" w:ascii="仿宋_GB2312" w:hAnsi="宋体" w:eastAsia="仿宋_GB2312"/>
          <w:color w:val="000000"/>
          <w:sz w:val="22"/>
          <w:szCs w:val="22"/>
          <w:lang w:val="en-US" w:eastAsia="zh-CN"/>
        </w:rPr>
      </w:pPr>
      <w:r>
        <w:rPr>
          <w:rFonts w:hint="eastAsia" w:ascii="仿宋_GB2312" w:hAnsi="宋体" w:eastAsia="仿宋_GB2312"/>
          <w:color w:val="000000"/>
          <w:sz w:val="22"/>
          <w:szCs w:val="22"/>
          <w:lang w:val="en-US" w:eastAsia="zh-CN"/>
        </w:rPr>
        <w:t>13.乙方的现场服务人员因编制情况导致的临时请假、休假或其他原因造成岗位空缺的，乙方应自行达成补齐，保障现场工作的良好开展。</w:t>
      </w:r>
    </w:p>
    <w:p w14:paraId="5EB7A8DA">
      <w:pPr>
        <w:pStyle w:val="11"/>
        <w:rPr>
          <w:sz w:val="22"/>
          <w:szCs w:val="22"/>
        </w:rPr>
      </w:pPr>
    </w:p>
    <w:p w14:paraId="10552261">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第七条  物业管理服务总目标</w:t>
      </w:r>
    </w:p>
    <w:p w14:paraId="60B313C4">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1.严格按照国家物业管理创优考评各项标准开展物业服务。</w:t>
      </w:r>
    </w:p>
    <w:p w14:paraId="26168BC5">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2.全面导入和推行质量管理体系。</w:t>
      </w:r>
    </w:p>
    <w:p w14:paraId="42987998">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3.本物业服务在服务期限内无任何重大事故发生，乙方须确保不发生因管理不善导致的财产损失和人员伤亡事故，否则视为乙方严重违约并按本合同第十条第1条款约定处理。</w:t>
      </w:r>
    </w:p>
    <w:p w14:paraId="12061E5F">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4.严格按物业服务内容及服务标准执行，并配合甲方要求的相关工作。</w:t>
      </w:r>
    </w:p>
    <w:p w14:paraId="077B3A94">
      <w:pPr>
        <w:pStyle w:val="11"/>
        <w:rPr>
          <w:sz w:val="22"/>
          <w:szCs w:val="22"/>
        </w:rPr>
      </w:pPr>
    </w:p>
    <w:p w14:paraId="42CCA43A">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第八条  物业管理服务标准</w:t>
      </w:r>
    </w:p>
    <w:p w14:paraId="2E707F07">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 xml:space="preserve">1.乙方提供的物业管理服务应满足甲乙双方的约定和甲方提供的标准或规范，具体内容以合同第三条的约定为准。 </w:t>
      </w:r>
    </w:p>
    <w:p w14:paraId="54E5C53F">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2.以上条款中未包含的标准，按照国家及行业标准执行，如国家标准与行业标准有冲突的，以较严格标准为准。</w:t>
      </w:r>
    </w:p>
    <w:p w14:paraId="3FB86695">
      <w:pPr>
        <w:pStyle w:val="11"/>
        <w:rPr>
          <w:sz w:val="22"/>
          <w:szCs w:val="22"/>
        </w:rPr>
      </w:pPr>
    </w:p>
    <w:p w14:paraId="4DF90F91">
      <w:pPr>
        <w:spacing w:line="560" w:lineRule="exact"/>
        <w:ind w:firstLine="562"/>
        <w:jc w:val="center"/>
        <w:rPr>
          <w:rFonts w:ascii="仿宋_GB2312" w:hAnsi="宋体" w:eastAsia="仿宋_GB2312"/>
          <w:b/>
          <w:bCs/>
          <w:color w:val="000000"/>
          <w:sz w:val="22"/>
          <w:szCs w:val="22"/>
        </w:rPr>
      </w:pPr>
      <w:r>
        <w:rPr>
          <w:rFonts w:hint="eastAsia" w:ascii="仿宋_GB2312" w:hAnsi="宋体" w:eastAsia="仿宋_GB2312"/>
          <w:b/>
          <w:bCs/>
          <w:color w:val="000000"/>
          <w:sz w:val="22"/>
          <w:szCs w:val="22"/>
        </w:rPr>
        <w:t>第九条</w:t>
      </w:r>
      <w:r>
        <w:rPr>
          <w:rFonts w:hint="eastAsia" w:ascii="仿宋_GB2312" w:hAnsi="宋体" w:eastAsia="仿宋_GB2312"/>
          <w:color w:val="000000"/>
          <w:sz w:val="22"/>
          <w:szCs w:val="22"/>
        </w:rPr>
        <w:t xml:space="preserve">  </w:t>
      </w:r>
      <w:r>
        <w:rPr>
          <w:rFonts w:hint="eastAsia" w:ascii="仿宋_GB2312" w:hAnsi="宋体" w:eastAsia="仿宋_GB2312"/>
          <w:b/>
          <w:bCs/>
          <w:color w:val="000000"/>
          <w:sz w:val="22"/>
          <w:szCs w:val="22"/>
        </w:rPr>
        <w:t>物业管理服务质量评价</w:t>
      </w:r>
    </w:p>
    <w:p w14:paraId="13C78F3A">
      <w:pPr>
        <w:spacing w:line="360" w:lineRule="auto"/>
        <w:ind w:firstLine="560"/>
        <w:rPr>
          <w:rFonts w:hint="eastAsia" w:ascii="仿宋_GB2312" w:hAnsi="宋体" w:eastAsia="仿宋_GB2312"/>
          <w:color w:val="000000"/>
          <w:sz w:val="22"/>
          <w:szCs w:val="22"/>
        </w:rPr>
      </w:pPr>
      <w:r>
        <w:rPr>
          <w:rFonts w:hint="eastAsia" w:ascii="仿宋_GB2312" w:hAnsi="宋体" w:eastAsia="仿宋_GB2312"/>
          <w:color w:val="000000"/>
          <w:sz w:val="22"/>
          <w:szCs w:val="22"/>
        </w:rPr>
        <w:t>依据本合同及物业服务内容进行实施并作为考核依据（考核内容详见附件），物业服务人员考核不合格者，须于规定时间内整改，拒不整改或整改不到位，甲方有权要求乙方更换人员。物业整体服务考核不合格，须于规定时间内整改，拒不整改或整改不到位，甲方有权单方面无条件解除合同。后期如须对履约考核办法内容进行调整，经双方达成书面一致意见后即可生效。</w:t>
      </w:r>
    </w:p>
    <w:p w14:paraId="56D1EE1D">
      <w:pPr>
        <w:pStyle w:val="11"/>
        <w:rPr>
          <w:sz w:val="22"/>
          <w:szCs w:val="22"/>
        </w:rPr>
      </w:pPr>
    </w:p>
    <w:p w14:paraId="7BD20F30">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第十条  违约责任</w:t>
      </w:r>
    </w:p>
    <w:p w14:paraId="736827FD">
      <w:pPr>
        <w:spacing w:line="360" w:lineRule="auto"/>
        <w:ind w:firstLine="560"/>
        <w:rPr>
          <w:rFonts w:ascii="仿宋_GB2312" w:hAnsi="宋体" w:eastAsia="仿宋_GB2312"/>
          <w:color w:val="000000"/>
          <w:sz w:val="22"/>
          <w:szCs w:val="22"/>
        </w:rPr>
      </w:pPr>
      <w:r>
        <w:rPr>
          <w:rFonts w:hint="eastAsia" w:ascii="仿宋_GB2312" w:hAnsi="宋体" w:eastAsia="仿宋_GB2312"/>
          <w:color w:val="000000"/>
          <w:sz w:val="22"/>
          <w:szCs w:val="22"/>
        </w:rPr>
        <w:t>1.如因乙方原因，造成本项目出现重大事故或严重影响本项目正常运作的，甲方有权要求乙方在规定时间内予以整改。情节严重的，甲方有权单方面解除合同并要求乙方按照月服务费的</w:t>
      </w:r>
      <w:r>
        <w:rPr>
          <w:rFonts w:hint="eastAsia" w:ascii="仿宋_GB2312" w:hAnsi="宋体" w:eastAsia="仿宋_GB2312"/>
          <w:color w:val="000000"/>
          <w:sz w:val="22"/>
          <w:szCs w:val="22"/>
          <w:lang w:val="en-US" w:eastAsia="zh-CN"/>
        </w:rPr>
        <w:t>1</w:t>
      </w:r>
      <w:r>
        <w:rPr>
          <w:rFonts w:hint="eastAsia" w:ascii="仿宋_GB2312" w:hAnsi="宋体" w:eastAsia="仿宋_GB2312"/>
          <w:color w:val="000000"/>
          <w:sz w:val="22"/>
          <w:szCs w:val="22"/>
        </w:rPr>
        <w:t>倍金额支付违约金，造成甲方经济损失的，相关赔偿责任应由乙方承担。</w:t>
      </w:r>
    </w:p>
    <w:p w14:paraId="2D7D0706">
      <w:pPr>
        <w:spacing w:line="360" w:lineRule="auto"/>
        <w:ind w:firstLine="560"/>
        <w:rPr>
          <w:rFonts w:ascii="仿宋_GB2312" w:hAnsi="宋体" w:eastAsia="仿宋_GB2312"/>
          <w:color w:val="000000"/>
          <w:sz w:val="22"/>
          <w:szCs w:val="22"/>
        </w:rPr>
      </w:pPr>
      <w:r>
        <w:rPr>
          <w:rFonts w:hint="eastAsia" w:ascii="仿宋_GB2312" w:hAnsi="宋体" w:eastAsia="仿宋_GB2312"/>
          <w:color w:val="000000"/>
          <w:sz w:val="22"/>
          <w:szCs w:val="22"/>
        </w:rPr>
        <w:t>2.乙方保证为甲方提供的物业管理服务应符合合同的约定及甲方的标准或规范。合同未约定的标准或要求，按照国家及行业标准执行，以标准较高者优先。针对相关标准及规范，乙方须严格遵守执行并承担相关责任，如乙方无正当理由未如实按相关约定、标准履约或所提供的物业管理服务造成甲方或第三方人身、财产较大损失的，甲方有权按本合同第十条第1条款约定追究乙方违约责任。</w:t>
      </w:r>
    </w:p>
    <w:p w14:paraId="4C11EF2A">
      <w:pPr>
        <w:spacing w:line="360" w:lineRule="auto"/>
        <w:ind w:firstLine="560"/>
        <w:rPr>
          <w:rFonts w:hint="eastAsia" w:ascii="仿宋_GB2312" w:hAnsi="仿宋_GB2312" w:eastAsia="仿宋_GB2312"/>
          <w:sz w:val="22"/>
          <w:szCs w:val="22"/>
        </w:rPr>
      </w:pPr>
      <w:r>
        <w:rPr>
          <w:rFonts w:hint="eastAsia" w:ascii="仿宋_GB2312" w:hAnsi="宋体" w:eastAsia="仿宋_GB2312"/>
          <w:color w:val="000000"/>
          <w:sz w:val="22"/>
          <w:szCs w:val="22"/>
        </w:rPr>
        <w:t>3.</w:t>
      </w:r>
      <w:r>
        <w:rPr>
          <w:rFonts w:hint="eastAsia" w:ascii="仿宋_GB2312" w:hAnsi="仿宋_GB2312" w:eastAsia="仿宋_GB2312"/>
          <w:sz w:val="22"/>
          <w:szCs w:val="22"/>
        </w:rPr>
        <w:t>在合同履行期间，甲方违反本合同约定要求解除合同，乙方不退还甲方支付的所有服务费用，甲方还需根据乙方实际完成的工作量按照比例支付相应的服务费用。</w:t>
      </w:r>
    </w:p>
    <w:p w14:paraId="79E441D3">
      <w:pPr>
        <w:pStyle w:val="11"/>
        <w:rPr>
          <w:sz w:val="22"/>
          <w:szCs w:val="22"/>
        </w:rPr>
      </w:pPr>
    </w:p>
    <w:p w14:paraId="580C4D90">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第十一条  合同的解除、终止</w:t>
      </w:r>
    </w:p>
    <w:p w14:paraId="77B5339B">
      <w:pPr>
        <w:spacing w:line="560" w:lineRule="exact"/>
        <w:ind w:firstLine="560"/>
        <w:rPr>
          <w:rFonts w:ascii="仿宋_GB2312" w:hAnsi="宋体" w:eastAsia="仿宋_GB2312"/>
          <w:sz w:val="22"/>
          <w:szCs w:val="22"/>
        </w:rPr>
      </w:pPr>
      <w:r>
        <w:rPr>
          <w:rFonts w:hint="eastAsia" w:ascii="仿宋_GB2312" w:hAnsi="宋体" w:eastAsia="仿宋_GB2312"/>
          <w:sz w:val="22"/>
          <w:szCs w:val="22"/>
        </w:rPr>
        <w:t>1.本合同自双方法定代表人（负责人）或其授权代理人签字并加盖有效印章后生效，生效后未经双方书面同意任何一方不得擅自变更、解除或终止合同，但甲乙双方经协商一致可以解除或终止本合同。任何一方未经另一方书面同意，擅自解除合同或拒不履行合同的均属违约行为，应当向对方支付2倍月服务费作为违约金。</w:t>
      </w:r>
    </w:p>
    <w:p w14:paraId="15BABC3F">
      <w:pPr>
        <w:spacing w:line="560" w:lineRule="exact"/>
        <w:ind w:firstLine="560"/>
        <w:rPr>
          <w:rFonts w:hint="eastAsia" w:ascii="仿宋_GB2312" w:hAnsi="宋体" w:eastAsia="仿宋_GB2312"/>
          <w:sz w:val="22"/>
          <w:szCs w:val="22"/>
        </w:rPr>
      </w:pPr>
      <w:r>
        <w:rPr>
          <w:rFonts w:hint="eastAsia" w:ascii="仿宋_GB2312" w:hAnsi="宋体" w:eastAsia="仿宋_GB2312"/>
          <w:sz w:val="22"/>
          <w:szCs w:val="22"/>
          <w:lang w:val="en-US" w:eastAsia="zh-CN"/>
        </w:rPr>
        <w:t>2</w:t>
      </w:r>
      <w:r>
        <w:rPr>
          <w:rFonts w:hint="eastAsia" w:ascii="仿宋_GB2312" w:hAnsi="宋体" w:eastAsia="仿宋_GB2312"/>
          <w:sz w:val="22"/>
          <w:szCs w:val="22"/>
        </w:rPr>
        <w:t>.本合同期满即终止，需要续签的，应在本合同期满前一个月提出，双方协商确定。</w:t>
      </w:r>
    </w:p>
    <w:p w14:paraId="3CE246EA">
      <w:pPr>
        <w:pStyle w:val="11"/>
        <w:rPr>
          <w:sz w:val="22"/>
          <w:szCs w:val="22"/>
        </w:rPr>
      </w:pPr>
    </w:p>
    <w:p w14:paraId="2E39F5E6">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rPr>
        <w:t>第十二条  争议解决</w:t>
      </w:r>
    </w:p>
    <w:p w14:paraId="7892EB89">
      <w:pPr>
        <w:spacing w:line="560" w:lineRule="exact"/>
        <w:ind w:firstLine="560"/>
        <w:rPr>
          <w:rFonts w:ascii="仿宋_GB2312" w:hAnsi="宋体" w:eastAsia="仿宋_GB2312"/>
          <w:sz w:val="22"/>
          <w:szCs w:val="22"/>
        </w:rPr>
      </w:pPr>
      <w:r>
        <w:rPr>
          <w:rFonts w:hint="eastAsia" w:ascii="仿宋_GB2312" w:hAnsi="宋体" w:eastAsia="仿宋_GB2312"/>
          <w:sz w:val="22"/>
          <w:szCs w:val="22"/>
        </w:rPr>
        <w:t>1.双方就合同执行发生争议时应协商解决、若无法达成一致意见，任何一方可向甲方所在地人民法院提出诉讼。</w:t>
      </w:r>
    </w:p>
    <w:p w14:paraId="7013377F">
      <w:pPr>
        <w:spacing w:line="560" w:lineRule="exact"/>
        <w:ind w:firstLine="560"/>
        <w:rPr>
          <w:rFonts w:ascii="仿宋_GB2312" w:hAnsi="宋体" w:eastAsia="仿宋_GB2312"/>
          <w:sz w:val="22"/>
          <w:szCs w:val="22"/>
        </w:rPr>
      </w:pPr>
      <w:r>
        <w:rPr>
          <w:rFonts w:hint="eastAsia" w:ascii="仿宋_GB2312" w:hAnsi="宋体" w:eastAsia="仿宋_GB2312"/>
          <w:sz w:val="22"/>
          <w:szCs w:val="22"/>
        </w:rPr>
        <w:t>2.本合同一式</w:t>
      </w:r>
      <w:r>
        <w:rPr>
          <w:rFonts w:hint="eastAsia" w:ascii="仿宋_GB2312" w:hAnsi="宋体" w:eastAsia="仿宋_GB2312"/>
          <w:sz w:val="22"/>
          <w:szCs w:val="22"/>
          <w:lang w:val="en-US" w:eastAsia="zh-CN"/>
        </w:rPr>
        <w:t>肆</w:t>
      </w:r>
      <w:r>
        <w:rPr>
          <w:rFonts w:hint="eastAsia" w:ascii="仿宋_GB2312" w:hAnsi="宋体" w:eastAsia="仿宋_GB2312"/>
          <w:sz w:val="22"/>
          <w:szCs w:val="22"/>
        </w:rPr>
        <w:t>份，甲方执</w:t>
      </w:r>
      <w:r>
        <w:rPr>
          <w:rFonts w:hint="eastAsia" w:ascii="仿宋_GB2312" w:hAnsi="宋体" w:eastAsia="仿宋_GB2312"/>
          <w:sz w:val="22"/>
          <w:szCs w:val="22"/>
          <w:lang w:val="en-US" w:eastAsia="zh-CN"/>
        </w:rPr>
        <w:t>贰</w:t>
      </w:r>
      <w:r>
        <w:rPr>
          <w:rFonts w:hint="eastAsia" w:ascii="仿宋_GB2312" w:hAnsi="宋体" w:eastAsia="仿宋_GB2312"/>
          <w:sz w:val="22"/>
          <w:szCs w:val="22"/>
        </w:rPr>
        <w:t>份，乙方执贰份。自甲乙双方法定代表人或授权代理人签字并加盖印章之日起生效，未尽事宜，双方可协商签订补充协议。</w:t>
      </w:r>
    </w:p>
    <w:p w14:paraId="674AB0C1">
      <w:pPr>
        <w:spacing w:line="560" w:lineRule="exact"/>
        <w:ind w:firstLine="560"/>
        <w:rPr>
          <w:rFonts w:hint="eastAsia" w:ascii="仿宋_GB2312" w:hAnsi="宋体" w:eastAsia="仿宋_GB2312"/>
          <w:color w:val="000000"/>
          <w:sz w:val="22"/>
          <w:szCs w:val="22"/>
        </w:rPr>
      </w:pPr>
      <w:r>
        <w:rPr>
          <w:rFonts w:hint="eastAsia" w:ascii="仿宋_GB2312" w:hAnsi="宋体" w:eastAsia="仿宋_GB2312"/>
          <w:sz w:val="22"/>
          <w:szCs w:val="22"/>
        </w:rPr>
        <w:t>3.</w:t>
      </w:r>
      <w:r>
        <w:rPr>
          <w:rFonts w:hint="eastAsia" w:ascii="仿宋_GB2312" w:hAnsi="宋体" w:eastAsia="仿宋_GB2312"/>
          <w:color w:val="000000"/>
          <w:sz w:val="22"/>
          <w:szCs w:val="22"/>
        </w:rPr>
        <w:t>本合同附件与本合同具有同等法律效力。</w:t>
      </w:r>
    </w:p>
    <w:p w14:paraId="0CB75E34">
      <w:pPr>
        <w:pStyle w:val="11"/>
        <w:rPr>
          <w:sz w:val="22"/>
          <w:szCs w:val="22"/>
        </w:rPr>
      </w:pPr>
    </w:p>
    <w:p w14:paraId="3936B72E">
      <w:pPr>
        <w:pStyle w:val="6"/>
        <w:spacing w:line="560" w:lineRule="exact"/>
        <w:ind w:firstLine="560"/>
        <w:rPr>
          <w:rFonts w:hint="eastAsia" w:ascii="仿宋_GB2312" w:hAnsi="宋体" w:eastAsia="仿宋_GB2312"/>
          <w:color w:val="000000"/>
          <w:sz w:val="22"/>
          <w:szCs w:val="22"/>
        </w:rPr>
      </w:pPr>
    </w:p>
    <w:p w14:paraId="28C4E508">
      <w:pPr>
        <w:spacing w:line="560" w:lineRule="exact"/>
        <w:ind w:firstLine="562"/>
        <w:jc w:val="center"/>
        <w:rPr>
          <w:rFonts w:ascii="仿宋_GB2312" w:hAnsi="宋体" w:eastAsia="仿宋_GB2312"/>
          <w:b/>
          <w:sz w:val="22"/>
          <w:szCs w:val="22"/>
        </w:rPr>
      </w:pPr>
      <w:r>
        <w:rPr>
          <w:rFonts w:hint="eastAsia" w:ascii="仿宋_GB2312" w:hAnsi="宋体" w:eastAsia="仿宋_GB2312"/>
          <w:b/>
          <w:sz w:val="22"/>
          <w:szCs w:val="22"/>
          <w:lang w:eastAsia="zh-CN"/>
        </w:rPr>
        <w:t>第</w:t>
      </w:r>
      <w:r>
        <w:rPr>
          <w:rFonts w:hint="eastAsia" w:ascii="仿宋_GB2312" w:hAnsi="宋体" w:eastAsia="仿宋_GB2312"/>
          <w:b/>
          <w:sz w:val="22"/>
          <w:szCs w:val="22"/>
        </w:rPr>
        <w:t>十</w:t>
      </w:r>
      <w:r>
        <w:rPr>
          <w:rFonts w:hint="eastAsia" w:ascii="仿宋_GB2312" w:hAnsi="宋体" w:eastAsia="仿宋_GB2312"/>
          <w:b/>
          <w:sz w:val="22"/>
          <w:szCs w:val="22"/>
          <w:lang w:val="en-US" w:eastAsia="zh-CN"/>
        </w:rPr>
        <w:t>三</w:t>
      </w:r>
      <w:r>
        <w:rPr>
          <w:rFonts w:hint="eastAsia" w:ascii="仿宋_GB2312" w:hAnsi="宋体" w:eastAsia="仿宋_GB2312"/>
          <w:b/>
          <w:sz w:val="22"/>
          <w:szCs w:val="22"/>
          <w:lang w:eastAsia="zh-CN"/>
        </w:rPr>
        <w:t>条</w:t>
      </w:r>
      <w:r>
        <w:rPr>
          <w:rFonts w:hint="eastAsia" w:ascii="仿宋_GB2312" w:hAnsi="宋体" w:eastAsia="仿宋_GB2312"/>
          <w:b/>
          <w:sz w:val="22"/>
          <w:szCs w:val="22"/>
          <w:lang w:val="en-US" w:eastAsia="zh-CN"/>
        </w:rPr>
        <w:t xml:space="preserve"> </w:t>
      </w:r>
      <w:r>
        <w:rPr>
          <w:rFonts w:hint="eastAsia" w:ascii="仿宋_GB2312" w:hAnsi="宋体" w:eastAsia="仿宋_GB2312"/>
          <w:b/>
          <w:sz w:val="22"/>
          <w:szCs w:val="22"/>
        </w:rPr>
        <w:t>合同附件</w:t>
      </w:r>
    </w:p>
    <w:p w14:paraId="29184CCF">
      <w:pPr>
        <w:spacing w:line="560" w:lineRule="exact"/>
        <w:ind w:left="401" w:leftChars="27" w:hanging="345" w:hangingChars="157"/>
        <w:rPr>
          <w:rFonts w:ascii="仿宋_GB2312" w:hAnsi="宋体" w:eastAsia="仿宋_GB2312"/>
          <w:sz w:val="22"/>
          <w:szCs w:val="22"/>
        </w:rPr>
      </w:pPr>
      <w:r>
        <w:rPr>
          <w:rFonts w:hint="eastAsia" w:ascii="仿宋_GB2312" w:hAnsi="宋体" w:eastAsia="仿宋_GB2312"/>
          <w:sz w:val="22"/>
          <w:szCs w:val="22"/>
        </w:rPr>
        <w:t>附件1：报价明细表</w:t>
      </w:r>
    </w:p>
    <w:p w14:paraId="41DE66BF">
      <w:pPr>
        <w:spacing w:line="560" w:lineRule="exact"/>
        <w:ind w:left="401" w:leftChars="27" w:hanging="345" w:hangingChars="157"/>
        <w:rPr>
          <w:rFonts w:ascii="仿宋_GB2312" w:hAnsi="宋体" w:eastAsia="仿宋_GB2312"/>
          <w:color w:val="000000"/>
          <w:sz w:val="22"/>
          <w:szCs w:val="22"/>
        </w:rPr>
      </w:pPr>
      <w:r>
        <w:rPr>
          <w:rFonts w:hint="eastAsia" w:ascii="仿宋_GB2312" w:hAnsi="宋体" w:eastAsia="仿宋_GB2312"/>
          <w:sz w:val="22"/>
          <w:szCs w:val="22"/>
        </w:rPr>
        <w:t>附件2：</w:t>
      </w:r>
      <w:r>
        <w:rPr>
          <w:rFonts w:hint="eastAsia" w:ascii="仿宋_GB2312" w:hAnsi="宋体" w:eastAsia="仿宋_GB2312"/>
          <w:color w:val="000000"/>
          <w:sz w:val="22"/>
          <w:szCs w:val="22"/>
        </w:rPr>
        <w:t>物业考核体系</w:t>
      </w:r>
    </w:p>
    <w:p w14:paraId="6C0E08F5">
      <w:pPr>
        <w:tabs>
          <w:tab w:val="left" w:pos="840"/>
          <w:tab w:val="left" w:pos="945"/>
        </w:tabs>
        <w:spacing w:line="560" w:lineRule="exact"/>
        <w:ind w:left="410" w:leftChars="26" w:hanging="356" w:hangingChars="162"/>
        <w:rPr>
          <w:rFonts w:ascii="仿宋_GB2312" w:hAnsi="宋体" w:eastAsia="仿宋_GB2312"/>
          <w:color w:val="000000"/>
          <w:sz w:val="22"/>
          <w:szCs w:val="22"/>
        </w:rPr>
      </w:pPr>
      <w:r>
        <w:rPr>
          <w:rFonts w:hint="eastAsia" w:ascii="仿宋_GB2312" w:hAnsi="宋体" w:eastAsia="仿宋_GB2312"/>
          <w:color w:val="000000"/>
          <w:sz w:val="22"/>
          <w:szCs w:val="22"/>
        </w:rPr>
        <w:t>附件3：保密协议</w:t>
      </w:r>
    </w:p>
    <w:p w14:paraId="7641EB3E">
      <w:pPr>
        <w:tabs>
          <w:tab w:val="left" w:pos="840"/>
          <w:tab w:val="left" w:pos="945"/>
        </w:tabs>
        <w:spacing w:line="560" w:lineRule="exact"/>
        <w:ind w:firstLine="37" w:firstLineChars="17"/>
        <w:rPr>
          <w:rFonts w:ascii="仿宋_GB2312" w:hAnsi="宋体" w:eastAsia="仿宋_GB2312"/>
          <w:color w:val="000000"/>
          <w:sz w:val="22"/>
          <w:szCs w:val="22"/>
        </w:rPr>
      </w:pPr>
      <w:r>
        <w:rPr>
          <w:rFonts w:hint="eastAsia" w:ascii="仿宋_GB2312" w:hAnsi="宋体" w:eastAsia="仿宋_GB2312"/>
          <w:color w:val="000000"/>
          <w:sz w:val="22"/>
          <w:szCs w:val="22"/>
        </w:rPr>
        <w:t>附件4：廉洁协议书</w:t>
      </w:r>
    </w:p>
    <w:p w14:paraId="35D9AE05">
      <w:pPr>
        <w:tabs>
          <w:tab w:val="left" w:pos="840"/>
          <w:tab w:val="left" w:pos="945"/>
        </w:tabs>
        <w:spacing w:line="560" w:lineRule="exact"/>
        <w:ind w:firstLine="396" w:firstLineChars="180"/>
        <w:rPr>
          <w:rFonts w:ascii="仿宋_GB2312" w:hAnsi="宋体" w:eastAsia="仿宋_GB2312"/>
          <w:color w:val="000000"/>
          <w:sz w:val="22"/>
          <w:szCs w:val="22"/>
        </w:rPr>
      </w:pPr>
    </w:p>
    <w:p w14:paraId="37C0CF12">
      <w:pPr>
        <w:tabs>
          <w:tab w:val="left" w:pos="840"/>
          <w:tab w:val="left" w:pos="945"/>
        </w:tabs>
        <w:spacing w:line="560" w:lineRule="exact"/>
        <w:ind w:firstLine="396" w:firstLineChars="180"/>
        <w:rPr>
          <w:rFonts w:ascii="仿宋_GB2312" w:hAnsi="宋体" w:eastAsia="仿宋_GB2312"/>
          <w:color w:val="000000"/>
          <w:sz w:val="22"/>
          <w:szCs w:val="22"/>
        </w:rPr>
      </w:pPr>
    </w:p>
    <w:p w14:paraId="4BC28839">
      <w:pPr>
        <w:tabs>
          <w:tab w:val="left" w:pos="840"/>
          <w:tab w:val="left" w:pos="945"/>
        </w:tabs>
        <w:spacing w:line="560" w:lineRule="exact"/>
        <w:ind w:firstLine="396" w:firstLineChars="180"/>
        <w:rPr>
          <w:rFonts w:ascii="仿宋_GB2312" w:hAnsi="宋体" w:eastAsia="仿宋_GB2312"/>
          <w:color w:val="000000"/>
          <w:sz w:val="22"/>
          <w:szCs w:val="22"/>
        </w:rPr>
      </w:pPr>
    </w:p>
    <w:p w14:paraId="17294C1B">
      <w:pPr>
        <w:tabs>
          <w:tab w:val="left" w:pos="840"/>
          <w:tab w:val="left" w:pos="945"/>
        </w:tabs>
        <w:spacing w:line="560" w:lineRule="exact"/>
        <w:ind w:firstLine="396" w:firstLineChars="180"/>
        <w:rPr>
          <w:rFonts w:ascii="仿宋_GB2312" w:hAnsi="宋体" w:eastAsia="仿宋_GB2312"/>
          <w:color w:val="000000"/>
          <w:sz w:val="22"/>
          <w:szCs w:val="22"/>
        </w:rPr>
      </w:pPr>
    </w:p>
    <w:p w14:paraId="330CB16A">
      <w:pPr>
        <w:spacing w:beforeLines="50" w:afterLines="50" w:line="560" w:lineRule="exact"/>
        <w:ind w:firstLine="77" w:firstLineChars="35"/>
        <w:rPr>
          <w:rFonts w:ascii="仿宋_GB2312" w:hAnsi="宋体" w:eastAsia="仿宋_GB2312"/>
          <w:color w:val="000000"/>
          <w:sz w:val="22"/>
          <w:szCs w:val="22"/>
        </w:rPr>
      </w:pPr>
      <w:r>
        <w:rPr>
          <w:rFonts w:hint="eastAsia" w:ascii="仿宋_GB2312" w:hAnsi="宋体" w:eastAsia="仿宋_GB2312"/>
          <w:color w:val="000000"/>
          <w:sz w:val="22"/>
          <w:szCs w:val="22"/>
        </w:rPr>
        <w:t xml:space="preserve">甲方（盖章）：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乙方（盖章）：</w:t>
      </w:r>
    </w:p>
    <w:p w14:paraId="624A69B0">
      <w:pPr>
        <w:tabs>
          <w:tab w:val="left" w:pos="4620"/>
        </w:tabs>
        <w:spacing w:beforeLines="50" w:line="560" w:lineRule="exact"/>
        <w:ind w:firstLine="88" w:firstLineChars="40"/>
        <w:jc w:val="left"/>
        <w:rPr>
          <w:rFonts w:ascii="仿宋_GB2312" w:hAnsi="宋体" w:eastAsia="仿宋_GB2312"/>
          <w:color w:val="000000"/>
          <w:sz w:val="22"/>
          <w:szCs w:val="22"/>
        </w:rPr>
      </w:pPr>
      <w:r>
        <w:rPr>
          <w:rFonts w:hint="eastAsia" w:ascii="仿宋_GB2312" w:hAnsi="宋体" w:eastAsia="仿宋_GB2312"/>
          <w:color w:val="000000"/>
          <w:sz w:val="22"/>
          <w:szCs w:val="22"/>
        </w:rPr>
        <w:t>法定代表人签字：</w:t>
      </w:r>
      <w:r>
        <w:rPr>
          <w:rFonts w:hint="eastAsia" w:ascii="仿宋_GB2312" w:hAnsi="宋体" w:eastAsia="仿宋_GB2312"/>
          <w:color w:val="000000"/>
          <w:sz w:val="22"/>
          <w:szCs w:val="22"/>
        </w:rPr>
        <w:tab/>
      </w:r>
      <w:r>
        <w:rPr>
          <w:rFonts w:hint="eastAsia" w:ascii="仿宋_GB2312" w:hAnsi="宋体" w:eastAsia="仿宋_GB2312"/>
          <w:color w:val="000000"/>
          <w:sz w:val="22"/>
          <w:szCs w:val="22"/>
        </w:rPr>
        <w:t xml:space="preserve">法定代表人签字： </w:t>
      </w:r>
    </w:p>
    <w:p w14:paraId="202B4FE5">
      <w:pPr>
        <w:tabs>
          <w:tab w:val="left" w:pos="4500"/>
        </w:tabs>
        <w:spacing w:beforeLines="50" w:line="560" w:lineRule="exact"/>
        <w:ind w:firstLine="101" w:firstLineChars="46"/>
        <w:jc w:val="left"/>
        <w:rPr>
          <w:rFonts w:ascii="仿宋_GB2312" w:hAnsi="宋体" w:eastAsia="仿宋_GB2312"/>
          <w:color w:val="000000"/>
          <w:sz w:val="22"/>
          <w:szCs w:val="22"/>
        </w:rPr>
      </w:pPr>
      <w:r>
        <w:rPr>
          <w:rFonts w:hint="eastAsia" w:ascii="仿宋_GB2312" w:hAnsi="宋体" w:eastAsia="仿宋_GB2312"/>
          <w:color w:val="000000"/>
          <w:sz w:val="22"/>
          <w:szCs w:val="22"/>
        </w:rPr>
        <w:t>（或）授权代表签字：</w:t>
      </w:r>
      <w:r>
        <w:rPr>
          <w:rFonts w:hint="eastAsia" w:ascii="仿宋_GB2312" w:hAnsi="宋体" w:eastAsia="仿宋_GB2312"/>
          <w:color w:val="000000"/>
          <w:sz w:val="22"/>
          <w:szCs w:val="22"/>
        </w:rPr>
        <w:tab/>
      </w:r>
      <w:r>
        <w:rPr>
          <w:rFonts w:hint="eastAsia" w:ascii="仿宋_GB2312" w:hAnsi="宋体" w:eastAsia="仿宋_GB2312"/>
          <w:color w:val="000000"/>
          <w:sz w:val="22"/>
          <w:szCs w:val="22"/>
        </w:rPr>
        <w:t xml:space="preserve">（或）授权代表签字： </w:t>
      </w:r>
    </w:p>
    <w:p w14:paraId="1A63417E">
      <w:pPr>
        <w:spacing w:line="560" w:lineRule="exact"/>
        <w:ind w:firstLine="0" w:firstLineChars="0"/>
        <w:rPr>
          <w:rFonts w:ascii="仿宋_GB2312" w:hAnsi="宋体" w:eastAsia="仿宋_GB2312"/>
          <w:color w:val="000000"/>
          <w:sz w:val="22"/>
          <w:szCs w:val="22"/>
        </w:rPr>
      </w:pPr>
      <w:r>
        <w:rPr>
          <w:rFonts w:hint="eastAsia" w:ascii="仿宋_GB2312" w:hAnsi="宋体" w:eastAsia="仿宋_GB2312"/>
          <w:color w:val="000000"/>
          <w:sz w:val="22"/>
          <w:szCs w:val="22"/>
        </w:rPr>
        <w:t xml:space="preserve">签订日期：   年   月   日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签订日期：   年   月   日</w:t>
      </w:r>
    </w:p>
    <w:p w14:paraId="7B5696FA">
      <w:pPr>
        <w:spacing w:line="560" w:lineRule="exact"/>
        <w:ind w:firstLine="0" w:firstLineChars="0"/>
        <w:rPr>
          <w:rFonts w:ascii="宋体" w:hAnsi="宋体" w:cs="宋体"/>
          <w:color w:val="000000"/>
          <w:sz w:val="22"/>
          <w:szCs w:val="22"/>
        </w:rPr>
      </w:pPr>
      <w:r>
        <w:rPr>
          <w:rFonts w:hint="eastAsia" w:ascii="宋体" w:hAnsi="宋体"/>
          <w:b/>
          <w:bCs/>
          <w:sz w:val="22"/>
          <w:szCs w:val="22"/>
        </w:rPr>
        <w:t xml:space="preserve"> </w:t>
      </w:r>
    </w:p>
    <w:p w14:paraId="2776CC83">
      <w:pPr>
        <w:pStyle w:val="11"/>
        <w:spacing w:line="560" w:lineRule="exact"/>
        <w:ind w:firstLine="0" w:firstLineChars="0"/>
        <w:rPr>
          <w:rFonts w:ascii="仿宋_GB2312" w:eastAsia="仿宋_GB2312"/>
          <w:sz w:val="22"/>
          <w:szCs w:val="22"/>
        </w:rPr>
      </w:pPr>
      <w:r>
        <w:rPr>
          <w:rFonts w:hint="eastAsia" w:ascii="仿宋_GB2312" w:eastAsia="仿宋_GB2312"/>
          <w:sz w:val="22"/>
          <w:szCs w:val="22"/>
        </w:rPr>
        <w:t>附件1</w:t>
      </w:r>
    </w:p>
    <w:p w14:paraId="3FC23F86">
      <w:pPr>
        <w:tabs>
          <w:tab w:val="left" w:pos="3800"/>
        </w:tabs>
        <w:spacing w:line="560" w:lineRule="exact"/>
        <w:ind w:firstLine="723"/>
        <w:jc w:val="center"/>
        <w:rPr>
          <w:rFonts w:ascii="仿宋_GB2312" w:hAnsi="宋体" w:eastAsia="仿宋_GB2312"/>
          <w:b/>
          <w:color w:val="000000"/>
          <w:sz w:val="22"/>
          <w:szCs w:val="22"/>
        </w:rPr>
      </w:pPr>
      <w:r>
        <w:rPr>
          <w:rFonts w:hint="eastAsia" w:ascii="仿宋_GB2312" w:hAnsi="宋体" w:eastAsia="仿宋_GB2312"/>
          <w:b/>
          <w:color w:val="000000"/>
          <w:sz w:val="22"/>
          <w:szCs w:val="22"/>
        </w:rPr>
        <w:t>报价明细表</w:t>
      </w:r>
    </w:p>
    <w:tbl>
      <w:tblPr>
        <w:tblStyle w:val="20"/>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2619"/>
        <w:gridCol w:w="914"/>
        <w:gridCol w:w="1296"/>
        <w:gridCol w:w="1296"/>
        <w:gridCol w:w="1300"/>
        <w:gridCol w:w="1343"/>
      </w:tblGrid>
      <w:tr w14:paraId="4CB7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3"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1C7A914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sz w:val="24"/>
                <w:szCs w:val="20"/>
                <w:highlight w:val="none"/>
                <w:lang w:val="en-US" w:eastAsia="zh-CN" w:bidi="ar"/>
              </w:rPr>
            </w:pPr>
            <w:r>
              <w:rPr>
                <w:rFonts w:hint="default" w:ascii="Times New Roman" w:hAnsi="Times New Roman" w:eastAsia="宋体" w:cs="Times New Roman"/>
                <w:b/>
                <w:bCs/>
                <w:spacing w:val="8"/>
                <w:sz w:val="24"/>
                <w:szCs w:val="24"/>
                <w:vertAlign w:val="baseline"/>
                <w:lang w:val="en-US" w:eastAsia="zh-Hans"/>
              </w:rPr>
              <w:t>序号</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6DA768C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color w:val="000000"/>
                <w:kern w:val="0"/>
                <w:sz w:val="24"/>
                <w:szCs w:val="24"/>
                <w:highlight w:val="none"/>
                <w:lang w:val="en-US" w:eastAsia="zh-CN" w:bidi="ar"/>
              </w:rPr>
            </w:pPr>
            <w:r>
              <w:rPr>
                <w:rFonts w:hint="default" w:ascii="Times New Roman" w:hAnsi="Times New Roman" w:eastAsia="宋体" w:cs="Times New Roman"/>
                <w:b/>
                <w:bCs/>
                <w:spacing w:val="8"/>
                <w:sz w:val="24"/>
                <w:szCs w:val="24"/>
                <w:vertAlign w:val="baseline"/>
                <w:lang w:val="en-US" w:eastAsia="zh-CN"/>
              </w:rPr>
              <w:t>服务项目</w:t>
            </w:r>
          </w:p>
        </w:tc>
        <w:tc>
          <w:tcPr>
            <w:tcW w:w="490" w:type="pct"/>
            <w:tcBorders>
              <w:top w:val="single" w:color="auto" w:sz="4" w:space="0"/>
              <w:left w:val="single" w:color="auto" w:sz="4" w:space="0"/>
              <w:bottom w:val="single" w:color="auto" w:sz="4" w:space="0"/>
              <w:right w:val="single" w:color="auto" w:sz="4" w:space="0"/>
            </w:tcBorders>
            <w:noWrap w:val="0"/>
            <w:vAlign w:val="center"/>
          </w:tcPr>
          <w:p w14:paraId="5B73947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b/>
                <w:bCs/>
                <w:spacing w:val="8"/>
                <w:sz w:val="24"/>
                <w:szCs w:val="24"/>
                <w:vertAlign w:val="baseline"/>
                <w:lang w:val="en-US" w:eastAsia="zh-CN"/>
              </w:rPr>
            </w:pPr>
            <w:r>
              <w:rPr>
                <w:rFonts w:hint="eastAsia" w:ascii="Times New Roman" w:hAnsi="Times New Roman" w:eastAsia="宋体" w:cs="Times New Roman"/>
                <w:b/>
                <w:bCs/>
                <w:spacing w:val="8"/>
                <w:sz w:val="24"/>
                <w:szCs w:val="24"/>
                <w:vertAlign w:val="baseline"/>
                <w:lang w:val="en-US" w:eastAsia="zh-CN"/>
              </w:rPr>
              <w:t>数量</w:t>
            </w:r>
          </w:p>
        </w:tc>
        <w:tc>
          <w:tcPr>
            <w:tcW w:w="695" w:type="pct"/>
            <w:tcBorders>
              <w:top w:val="single" w:color="auto" w:sz="4" w:space="0"/>
              <w:left w:val="single" w:color="auto" w:sz="4" w:space="0"/>
              <w:bottom w:val="single" w:color="auto" w:sz="4" w:space="0"/>
              <w:right w:val="single" w:color="auto" w:sz="4" w:space="0"/>
            </w:tcBorders>
            <w:noWrap w:val="0"/>
            <w:vAlign w:val="center"/>
          </w:tcPr>
          <w:p w14:paraId="65A9518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spacing w:val="8"/>
                <w:sz w:val="24"/>
                <w:szCs w:val="24"/>
                <w:vertAlign w:val="baseline"/>
                <w:lang w:val="en-US" w:eastAsia="zh-CN"/>
              </w:rPr>
            </w:pPr>
            <w:r>
              <w:rPr>
                <w:rFonts w:hint="eastAsia" w:ascii="Times New Roman" w:hAnsi="Times New Roman" w:eastAsia="宋体" w:cs="Times New Roman"/>
                <w:b/>
                <w:bCs/>
                <w:spacing w:val="8"/>
                <w:sz w:val="24"/>
                <w:szCs w:val="24"/>
                <w:vertAlign w:val="baseline"/>
                <w:lang w:val="en-US" w:eastAsia="zh-CN"/>
              </w:rPr>
              <w:t>报价单价（元）</w:t>
            </w:r>
          </w:p>
        </w:tc>
        <w:tc>
          <w:tcPr>
            <w:tcW w:w="695" w:type="pct"/>
            <w:tcBorders>
              <w:top w:val="single" w:color="auto" w:sz="4" w:space="0"/>
              <w:left w:val="single" w:color="auto" w:sz="4" w:space="0"/>
              <w:bottom w:val="single" w:color="auto" w:sz="4" w:space="0"/>
              <w:right w:val="single" w:color="auto" w:sz="4" w:space="0"/>
            </w:tcBorders>
            <w:noWrap w:val="0"/>
            <w:vAlign w:val="center"/>
          </w:tcPr>
          <w:p w14:paraId="5CC2A8D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cs="Times New Roman"/>
                <w:b/>
                <w:bCs/>
                <w:spacing w:val="8"/>
                <w:sz w:val="24"/>
                <w:szCs w:val="24"/>
                <w:vertAlign w:val="baseline"/>
                <w:lang w:val="en-US" w:eastAsia="zh-CN"/>
              </w:rPr>
            </w:pPr>
            <w:r>
              <w:rPr>
                <w:rFonts w:hint="eastAsia" w:cs="Times New Roman"/>
                <w:b/>
                <w:bCs/>
                <w:spacing w:val="8"/>
                <w:sz w:val="24"/>
                <w:szCs w:val="24"/>
                <w:vertAlign w:val="baseline"/>
                <w:lang w:val="en-US" w:eastAsia="zh-CN"/>
              </w:rPr>
              <w:t>报价总价（元/周期）</w:t>
            </w:r>
          </w:p>
        </w:tc>
        <w:tc>
          <w:tcPr>
            <w:tcW w:w="697" w:type="pct"/>
            <w:tcBorders>
              <w:top w:val="single" w:color="auto" w:sz="4" w:space="0"/>
              <w:left w:val="single" w:color="auto" w:sz="4" w:space="0"/>
              <w:bottom w:val="single" w:color="auto" w:sz="4" w:space="0"/>
              <w:right w:val="single" w:color="auto" w:sz="4" w:space="0"/>
            </w:tcBorders>
            <w:noWrap w:val="0"/>
            <w:vAlign w:val="center"/>
          </w:tcPr>
          <w:p w14:paraId="4FC6E6B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cs="Times New Roman"/>
                <w:b/>
                <w:bCs/>
                <w:spacing w:val="8"/>
                <w:sz w:val="24"/>
                <w:szCs w:val="24"/>
                <w:vertAlign w:val="baseline"/>
                <w:lang w:val="en-US" w:eastAsia="zh-CN"/>
              </w:rPr>
            </w:pPr>
            <w:r>
              <w:rPr>
                <w:rFonts w:hint="eastAsia" w:cs="Times New Roman"/>
                <w:b/>
                <w:bCs/>
                <w:spacing w:val="8"/>
                <w:sz w:val="24"/>
                <w:szCs w:val="24"/>
                <w:vertAlign w:val="baseline"/>
                <w:lang w:val="en-US" w:eastAsia="zh-CN"/>
              </w:rPr>
              <w:t>响应</w:t>
            </w:r>
            <w:r>
              <w:rPr>
                <w:rFonts w:hint="eastAsia" w:ascii="Times New Roman" w:hAnsi="Times New Roman" w:eastAsia="宋体" w:cs="Times New Roman"/>
                <w:b/>
                <w:bCs/>
                <w:spacing w:val="8"/>
                <w:sz w:val="24"/>
                <w:szCs w:val="24"/>
                <w:vertAlign w:val="baseline"/>
                <w:lang w:val="en-US" w:eastAsia="zh-CN"/>
              </w:rPr>
              <w:t>报价（元）</w:t>
            </w:r>
          </w:p>
        </w:tc>
        <w:tc>
          <w:tcPr>
            <w:tcW w:w="716" w:type="pct"/>
            <w:tcBorders>
              <w:top w:val="single" w:color="auto" w:sz="4" w:space="0"/>
              <w:left w:val="single" w:color="auto" w:sz="4" w:space="0"/>
              <w:bottom w:val="single" w:color="auto" w:sz="4" w:space="0"/>
              <w:right w:val="single" w:color="auto" w:sz="4" w:space="0"/>
            </w:tcBorders>
            <w:noWrap w:val="0"/>
            <w:vAlign w:val="center"/>
          </w:tcPr>
          <w:p w14:paraId="4203129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sz w:val="24"/>
                <w:szCs w:val="20"/>
                <w:highlight w:val="none"/>
                <w:lang w:val="en-US" w:eastAsia="zh-CN" w:bidi="ar"/>
              </w:rPr>
            </w:pPr>
            <w:r>
              <w:rPr>
                <w:rFonts w:hint="eastAsia" w:cs="Times New Roman"/>
                <w:b/>
                <w:bCs/>
                <w:spacing w:val="8"/>
                <w:sz w:val="24"/>
                <w:szCs w:val="24"/>
                <w:vertAlign w:val="baseline"/>
                <w:lang w:val="en-US" w:eastAsia="zh-CN"/>
              </w:rPr>
              <w:t>响应</w:t>
            </w:r>
            <w:r>
              <w:rPr>
                <w:rFonts w:hint="eastAsia" w:ascii="Times New Roman" w:hAnsi="Times New Roman" w:eastAsia="宋体" w:cs="Times New Roman"/>
                <w:b/>
                <w:bCs/>
                <w:spacing w:val="8"/>
                <w:sz w:val="24"/>
                <w:szCs w:val="24"/>
                <w:vertAlign w:val="baseline"/>
                <w:lang w:val="en-US" w:eastAsia="zh-CN"/>
              </w:rPr>
              <w:t>报价（元）</w:t>
            </w:r>
          </w:p>
        </w:tc>
      </w:tr>
      <w:tr w14:paraId="3A64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65CAB8EB">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1</w:t>
            </w:r>
          </w:p>
        </w:tc>
        <w:tc>
          <w:tcPr>
            <w:tcW w:w="1405"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E1F348F">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default"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设备使用接收服务（项/</w:t>
            </w:r>
            <w:r>
              <w:rPr>
                <w:rFonts w:hint="eastAsia" w:cs="Times New Roman"/>
                <w:sz w:val="21"/>
                <w:szCs w:val="21"/>
                <w:u w:val="none"/>
                <w:lang w:val="en-US" w:eastAsia="zh-CN"/>
              </w:rPr>
              <w:t>4个月</w:t>
            </w:r>
            <w:r>
              <w:rPr>
                <w:rFonts w:hint="eastAsia" w:ascii="Times New Roman" w:hAnsi="Times New Roman" w:eastAsia="宋体" w:cs="Times New Roman"/>
                <w:sz w:val="21"/>
                <w:szCs w:val="21"/>
                <w:u w:val="none"/>
                <w:lang w:val="en-US" w:eastAsia="zh-CN"/>
              </w:rPr>
              <w:t>）</w:t>
            </w:r>
          </w:p>
        </w:tc>
        <w:tc>
          <w:tcPr>
            <w:tcW w:w="490" w:type="pct"/>
            <w:tcBorders>
              <w:top w:val="single" w:color="auto" w:sz="4" w:space="0"/>
              <w:left w:val="single" w:color="auto" w:sz="4" w:space="0"/>
              <w:right w:val="single" w:color="auto" w:sz="4" w:space="0"/>
            </w:tcBorders>
            <w:noWrap w:val="0"/>
            <w:vAlign w:val="center"/>
          </w:tcPr>
          <w:p w14:paraId="470EE80F">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0EC6ABE1">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2267EC97">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3EF8BB5C">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5EC501E1">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4A7CF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77CDEAAD">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2</w:t>
            </w:r>
          </w:p>
        </w:tc>
        <w:tc>
          <w:tcPr>
            <w:tcW w:w="1405"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3A3BB47B">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信息化项目接收服务（项/</w:t>
            </w:r>
            <w:r>
              <w:rPr>
                <w:rFonts w:hint="eastAsia" w:cs="Times New Roman"/>
                <w:sz w:val="21"/>
                <w:szCs w:val="21"/>
                <w:u w:val="none"/>
                <w:lang w:val="en-US" w:eastAsia="zh-CN"/>
              </w:rPr>
              <w:t>4个月</w:t>
            </w:r>
            <w:r>
              <w:rPr>
                <w:rFonts w:hint="eastAsia" w:ascii="Times New Roman" w:hAnsi="Times New Roman" w:eastAsia="宋体" w:cs="Times New Roman"/>
                <w:sz w:val="21"/>
                <w:szCs w:val="21"/>
                <w:u w:val="none"/>
                <w:lang w:val="en-US" w:eastAsia="zh-CN"/>
              </w:rPr>
              <w:t>）</w:t>
            </w:r>
          </w:p>
        </w:tc>
        <w:tc>
          <w:tcPr>
            <w:tcW w:w="490" w:type="pct"/>
            <w:tcBorders>
              <w:top w:val="single" w:color="auto" w:sz="4" w:space="0"/>
              <w:left w:val="single" w:color="auto" w:sz="4" w:space="0"/>
              <w:right w:val="single" w:color="auto" w:sz="4" w:space="0"/>
            </w:tcBorders>
            <w:noWrap w:val="0"/>
            <w:vAlign w:val="center"/>
          </w:tcPr>
          <w:p w14:paraId="7E3CDB3C">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2908433D">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3563F9B8">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1283D846">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4EBB43AF">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3B08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52F29997">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3</w:t>
            </w:r>
          </w:p>
        </w:tc>
        <w:tc>
          <w:tcPr>
            <w:tcW w:w="1405"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17B8CD7F">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活动支持服务（项/</w:t>
            </w:r>
            <w:r>
              <w:rPr>
                <w:rFonts w:hint="eastAsia" w:cs="Times New Roman"/>
                <w:sz w:val="21"/>
                <w:szCs w:val="21"/>
                <w:u w:val="none"/>
                <w:lang w:val="en-US" w:eastAsia="zh-CN"/>
              </w:rPr>
              <w:t>单次</w:t>
            </w:r>
            <w:r>
              <w:rPr>
                <w:rFonts w:hint="eastAsia" w:ascii="Times New Roman" w:hAnsi="Times New Roman" w:eastAsia="宋体" w:cs="Times New Roman"/>
                <w:sz w:val="21"/>
                <w:szCs w:val="21"/>
                <w:u w:val="none"/>
                <w:lang w:val="en-US" w:eastAsia="zh-CN"/>
              </w:rPr>
              <w:t>）</w:t>
            </w:r>
          </w:p>
        </w:tc>
        <w:tc>
          <w:tcPr>
            <w:tcW w:w="490" w:type="pct"/>
            <w:tcBorders>
              <w:top w:val="single" w:color="auto" w:sz="4" w:space="0"/>
              <w:left w:val="single" w:color="auto" w:sz="4" w:space="0"/>
              <w:right w:val="single" w:color="auto" w:sz="4" w:space="0"/>
            </w:tcBorders>
            <w:noWrap w:val="0"/>
            <w:vAlign w:val="center"/>
          </w:tcPr>
          <w:p w14:paraId="3618FFD6">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5</w:t>
            </w:r>
          </w:p>
        </w:tc>
        <w:tc>
          <w:tcPr>
            <w:tcW w:w="695" w:type="pct"/>
            <w:tcBorders>
              <w:top w:val="single" w:color="auto" w:sz="4" w:space="0"/>
              <w:left w:val="single" w:color="auto" w:sz="4" w:space="0"/>
              <w:right w:val="single" w:color="auto" w:sz="4" w:space="0"/>
            </w:tcBorders>
            <w:noWrap w:val="0"/>
            <w:vAlign w:val="center"/>
          </w:tcPr>
          <w:p w14:paraId="4A59E716">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288EA615">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35562063">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64EB5BA4">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0419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59148C65">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4</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61D38101">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临时性物业基础服务采购：</w:t>
            </w:r>
          </w:p>
          <w:p w14:paraId="206037CC">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物业主管（人/4个月）</w:t>
            </w:r>
          </w:p>
        </w:tc>
        <w:tc>
          <w:tcPr>
            <w:tcW w:w="490" w:type="pct"/>
            <w:tcBorders>
              <w:top w:val="single" w:color="auto" w:sz="4" w:space="0"/>
              <w:left w:val="single" w:color="auto" w:sz="4" w:space="0"/>
              <w:right w:val="single" w:color="auto" w:sz="4" w:space="0"/>
            </w:tcBorders>
            <w:noWrap w:val="0"/>
            <w:vAlign w:val="center"/>
          </w:tcPr>
          <w:p w14:paraId="6EBF7D52">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7C451077">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712E6189">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0F7BB2AB">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47DBCD19">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0937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2BD3EFF5">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5</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5A8FA4A3">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临时性物业基础服务采购：</w:t>
            </w:r>
          </w:p>
          <w:p w14:paraId="744BCB32">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消防监控员（人/4个月）</w:t>
            </w:r>
          </w:p>
        </w:tc>
        <w:tc>
          <w:tcPr>
            <w:tcW w:w="490" w:type="pct"/>
            <w:tcBorders>
              <w:top w:val="single" w:color="auto" w:sz="4" w:space="0"/>
              <w:left w:val="single" w:color="auto" w:sz="4" w:space="0"/>
              <w:right w:val="single" w:color="auto" w:sz="4" w:space="0"/>
            </w:tcBorders>
            <w:noWrap w:val="0"/>
            <w:vAlign w:val="center"/>
          </w:tcPr>
          <w:p w14:paraId="2665EA1B">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1AA43C63">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544ACD3B">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203E45DA">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70C0A719">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313D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6E06ADA0">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6</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7E6F8F3A">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临时性物业基础服务采购：</w:t>
            </w:r>
          </w:p>
          <w:p w14:paraId="544C40AF">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秩序管理员（人/4个月）</w:t>
            </w:r>
          </w:p>
        </w:tc>
        <w:tc>
          <w:tcPr>
            <w:tcW w:w="490" w:type="pct"/>
            <w:tcBorders>
              <w:top w:val="single" w:color="auto" w:sz="4" w:space="0"/>
              <w:left w:val="single" w:color="auto" w:sz="4" w:space="0"/>
              <w:right w:val="single" w:color="auto" w:sz="4" w:space="0"/>
            </w:tcBorders>
            <w:noWrap w:val="0"/>
            <w:vAlign w:val="center"/>
          </w:tcPr>
          <w:p w14:paraId="074BB2D8">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411D1BEF">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2841549B">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700F7BE5">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1C266DA6">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7A99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73A4D09C">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7</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370B49B3">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临时性物业基础服务采购：</w:t>
            </w:r>
          </w:p>
          <w:p w14:paraId="0C0FA2D3">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default" w:cs="Times New Roman"/>
                <w:sz w:val="21"/>
                <w:szCs w:val="21"/>
                <w:u w:val="none"/>
                <w:lang w:val="en-US" w:eastAsia="zh-CN"/>
              </w:rPr>
            </w:pPr>
            <w:r>
              <w:rPr>
                <w:rFonts w:hint="eastAsia" w:cs="Times New Roman"/>
                <w:sz w:val="21"/>
                <w:szCs w:val="21"/>
                <w:u w:val="none"/>
                <w:lang w:val="en-US" w:eastAsia="zh-CN"/>
              </w:rPr>
              <w:t>施工管理与设备工程师（人/4个月）</w:t>
            </w:r>
          </w:p>
        </w:tc>
        <w:tc>
          <w:tcPr>
            <w:tcW w:w="490" w:type="pct"/>
            <w:tcBorders>
              <w:top w:val="single" w:color="auto" w:sz="4" w:space="0"/>
              <w:left w:val="single" w:color="auto" w:sz="4" w:space="0"/>
              <w:right w:val="single" w:color="auto" w:sz="4" w:space="0"/>
            </w:tcBorders>
            <w:noWrap w:val="0"/>
            <w:vAlign w:val="center"/>
          </w:tcPr>
          <w:p w14:paraId="4F621CBE">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32796419">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1CD020CD">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lang w:val="en-US" w:eastAsia="zh-CN"/>
              </w:rPr>
            </w:pPr>
          </w:p>
        </w:tc>
        <w:tc>
          <w:tcPr>
            <w:tcW w:w="697" w:type="pct"/>
            <w:tcBorders>
              <w:top w:val="single" w:color="auto" w:sz="4" w:space="0"/>
              <w:left w:val="single" w:color="auto" w:sz="4" w:space="0"/>
              <w:right w:val="single" w:color="auto" w:sz="4" w:space="0"/>
            </w:tcBorders>
            <w:noWrap w:val="0"/>
            <w:vAlign w:val="center"/>
          </w:tcPr>
          <w:p w14:paraId="521E237D">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713FE578">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4C9F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298" w:type="pct"/>
            <w:tcBorders>
              <w:top w:val="single" w:color="auto" w:sz="4" w:space="0"/>
              <w:left w:val="single" w:color="auto" w:sz="4" w:space="0"/>
              <w:bottom w:val="single" w:color="auto" w:sz="4" w:space="0"/>
              <w:right w:val="single" w:color="auto" w:sz="4" w:space="0"/>
            </w:tcBorders>
            <w:noWrap w:val="0"/>
            <w:vAlign w:val="center"/>
          </w:tcPr>
          <w:p w14:paraId="4F343E67">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r>
              <w:rPr>
                <w:rFonts w:hint="eastAsia" w:cs="Times New Roman"/>
                <w:sz w:val="21"/>
                <w:szCs w:val="21"/>
                <w:u w:val="none"/>
                <w:lang w:val="en-US" w:eastAsia="zh-CN"/>
              </w:rPr>
              <w:t>8</w:t>
            </w:r>
          </w:p>
        </w:tc>
        <w:tc>
          <w:tcPr>
            <w:tcW w:w="1405" w:type="pct"/>
            <w:tcBorders>
              <w:top w:val="single" w:color="auto" w:sz="4" w:space="0"/>
              <w:left w:val="single" w:color="auto" w:sz="4" w:space="0"/>
              <w:bottom w:val="single" w:color="auto" w:sz="4" w:space="0"/>
              <w:right w:val="single" w:color="auto" w:sz="4" w:space="0"/>
            </w:tcBorders>
            <w:noWrap w:val="0"/>
            <w:vAlign w:val="center"/>
          </w:tcPr>
          <w:p w14:paraId="6E862013">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临时性物业基础服务采购：</w:t>
            </w:r>
          </w:p>
          <w:p w14:paraId="4F7F2ADE">
            <w:pPr>
              <w:keepNext w:val="0"/>
              <w:keepLines w:val="0"/>
              <w:pageBreakBefore w:val="0"/>
              <w:widowControl w:val="0"/>
              <w:tabs>
                <w:tab w:val="left" w:pos="440"/>
                <w:tab w:val="center" w:pos="1505"/>
              </w:tabs>
              <w:kinsoku/>
              <w:wordWrap/>
              <w:overflowPunct/>
              <w:topLinePunct w:val="0"/>
              <w:bidi w:val="0"/>
              <w:spacing w:beforeLines="0" w:afterLines="0" w:line="360" w:lineRule="auto"/>
              <w:ind w:left="0" w:leftChars="0" w:firstLine="0" w:firstLineChars="0"/>
              <w:jc w:val="left"/>
              <w:textAlignment w:val="auto"/>
              <w:rPr>
                <w:rFonts w:hint="eastAsia" w:cs="Times New Roman"/>
                <w:sz w:val="21"/>
                <w:szCs w:val="21"/>
                <w:u w:val="none"/>
                <w:lang w:val="en-US" w:eastAsia="zh-CN"/>
              </w:rPr>
            </w:pPr>
            <w:r>
              <w:rPr>
                <w:rFonts w:hint="eastAsia" w:cs="Times New Roman"/>
                <w:sz w:val="21"/>
                <w:szCs w:val="21"/>
                <w:u w:val="none"/>
                <w:lang w:val="en-US" w:eastAsia="zh-CN"/>
              </w:rPr>
              <w:t>保洁员（人/4个月）</w:t>
            </w:r>
          </w:p>
        </w:tc>
        <w:tc>
          <w:tcPr>
            <w:tcW w:w="490" w:type="pct"/>
            <w:tcBorders>
              <w:top w:val="single" w:color="auto" w:sz="4" w:space="0"/>
              <w:left w:val="single" w:color="auto" w:sz="4" w:space="0"/>
              <w:right w:val="single" w:color="auto" w:sz="4" w:space="0"/>
            </w:tcBorders>
            <w:noWrap w:val="0"/>
            <w:vAlign w:val="center"/>
          </w:tcPr>
          <w:p w14:paraId="66C27A95">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cs="Times New Roman"/>
                <w:sz w:val="21"/>
                <w:szCs w:val="21"/>
                <w:u w:val="none"/>
                <w:lang w:val="en-US" w:eastAsia="zh-CN"/>
              </w:rPr>
            </w:pPr>
            <w:r>
              <w:rPr>
                <w:rFonts w:hint="eastAsia" w:cs="Times New Roman"/>
                <w:sz w:val="21"/>
                <w:szCs w:val="21"/>
                <w:u w:val="none"/>
                <w:lang w:val="en-US" w:eastAsia="zh-CN"/>
              </w:rPr>
              <w:t>1</w:t>
            </w:r>
          </w:p>
        </w:tc>
        <w:tc>
          <w:tcPr>
            <w:tcW w:w="695" w:type="pct"/>
            <w:tcBorders>
              <w:top w:val="single" w:color="auto" w:sz="4" w:space="0"/>
              <w:left w:val="single" w:color="auto" w:sz="4" w:space="0"/>
              <w:right w:val="single" w:color="auto" w:sz="4" w:space="0"/>
            </w:tcBorders>
            <w:noWrap w:val="0"/>
            <w:vAlign w:val="center"/>
          </w:tcPr>
          <w:p w14:paraId="0F5589E2">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sz w:val="21"/>
                <w:szCs w:val="21"/>
                <w:u w:val="none"/>
                <w:lang w:val="en-US" w:eastAsia="zh-CN"/>
              </w:rPr>
            </w:pPr>
          </w:p>
        </w:tc>
        <w:tc>
          <w:tcPr>
            <w:tcW w:w="695" w:type="pct"/>
            <w:tcBorders>
              <w:top w:val="single" w:color="auto" w:sz="4" w:space="0"/>
              <w:left w:val="single" w:color="auto" w:sz="4" w:space="0"/>
              <w:right w:val="single" w:color="auto" w:sz="4" w:space="0"/>
            </w:tcBorders>
            <w:shd w:val="clear" w:color="auto" w:fill="auto"/>
            <w:noWrap w:val="0"/>
            <w:vAlign w:val="center"/>
          </w:tcPr>
          <w:p w14:paraId="6F0D58D0">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ascii="Times New Roman" w:hAnsi="Times New Roman" w:eastAsia="宋体" w:cs="Times New Roman"/>
                <w:kern w:val="2"/>
                <w:sz w:val="21"/>
                <w:szCs w:val="21"/>
                <w:u w:val="none"/>
                <w:lang w:val="en-US" w:eastAsia="zh-CN" w:bidi="ar-SA"/>
              </w:rPr>
            </w:pPr>
          </w:p>
        </w:tc>
        <w:tc>
          <w:tcPr>
            <w:tcW w:w="697" w:type="pct"/>
            <w:tcBorders>
              <w:top w:val="single" w:color="auto" w:sz="4" w:space="0"/>
              <w:left w:val="single" w:color="auto" w:sz="4" w:space="0"/>
              <w:right w:val="single" w:color="auto" w:sz="4" w:space="0"/>
            </w:tcBorders>
            <w:noWrap w:val="0"/>
            <w:vAlign w:val="center"/>
          </w:tcPr>
          <w:p w14:paraId="71FA99F9">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c>
          <w:tcPr>
            <w:tcW w:w="716" w:type="pct"/>
            <w:tcBorders>
              <w:top w:val="single" w:color="auto" w:sz="4" w:space="0"/>
              <w:left w:val="single" w:color="auto" w:sz="4" w:space="0"/>
              <w:right w:val="single" w:color="auto" w:sz="4" w:space="0"/>
            </w:tcBorders>
            <w:noWrap w:val="0"/>
            <w:vAlign w:val="center"/>
          </w:tcPr>
          <w:p w14:paraId="7D8D053C">
            <w:pPr>
              <w:keepNext w:val="0"/>
              <w:keepLines w:val="0"/>
              <w:pageBreakBefore w:val="0"/>
              <w:widowControl w:val="0"/>
              <w:tabs>
                <w:tab w:val="left" w:pos="440"/>
                <w:tab w:val="center" w:pos="1505"/>
              </w:tabs>
              <w:kinsoku/>
              <w:wordWrap/>
              <w:overflowPunct/>
              <w:topLinePunct w:val="0"/>
              <w:bidi w:val="0"/>
              <w:spacing w:beforeLines="0" w:afterLines="0" w:line="360" w:lineRule="auto"/>
              <w:jc w:val="center"/>
              <w:textAlignment w:val="auto"/>
              <w:rPr>
                <w:rFonts w:hint="default" w:eastAsia="宋体" w:cs="Times New Roman"/>
                <w:sz w:val="21"/>
                <w:szCs w:val="21"/>
                <w:u w:val="none"/>
                <w:lang w:val="en-US" w:eastAsia="zh-CN"/>
              </w:rPr>
            </w:pPr>
          </w:p>
        </w:tc>
      </w:tr>
      <w:tr w14:paraId="6ED7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703" w:type="pct"/>
            <w:gridSpan w:val="2"/>
            <w:tcBorders>
              <w:top w:val="single" w:color="auto" w:sz="4" w:space="0"/>
              <w:left w:val="single" w:color="auto" w:sz="4" w:space="0"/>
              <w:bottom w:val="single" w:color="auto" w:sz="4" w:space="0"/>
              <w:right w:val="single" w:color="auto" w:sz="4" w:space="0"/>
            </w:tcBorders>
            <w:noWrap w:val="0"/>
            <w:vAlign w:val="center"/>
          </w:tcPr>
          <w:p w14:paraId="374B4D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s="Times New Roman"/>
                <w:b/>
                <w:bCs/>
                <w:sz w:val="21"/>
                <w:szCs w:val="21"/>
                <w:u w:val="none"/>
                <w:lang w:val="en-US" w:eastAsia="zh-CN"/>
              </w:rPr>
            </w:pPr>
            <w:r>
              <w:rPr>
                <w:rFonts w:hint="eastAsia" w:cs="Times New Roman"/>
                <w:b/>
                <w:bCs/>
                <w:sz w:val="21"/>
                <w:szCs w:val="21"/>
                <w:u w:val="none"/>
                <w:lang w:val="en-US" w:eastAsia="zh-CN"/>
              </w:rPr>
              <w:t>其他物业管理费用（项/4个月）</w:t>
            </w:r>
          </w:p>
        </w:tc>
        <w:tc>
          <w:tcPr>
            <w:tcW w:w="490" w:type="pct"/>
            <w:tcBorders>
              <w:top w:val="single" w:color="auto" w:sz="4" w:space="0"/>
              <w:left w:val="single" w:color="auto" w:sz="4" w:space="0"/>
              <w:bottom w:val="single" w:color="auto" w:sz="4" w:space="0"/>
              <w:right w:val="single" w:color="auto" w:sz="4" w:space="0"/>
            </w:tcBorders>
            <w:noWrap w:val="0"/>
            <w:vAlign w:val="center"/>
          </w:tcPr>
          <w:p w14:paraId="750BA8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cs="Times New Roman"/>
                <w:b/>
                <w:bCs/>
                <w:spacing w:val="8"/>
                <w:sz w:val="21"/>
                <w:szCs w:val="21"/>
                <w:lang w:val="en-US" w:eastAsia="zh-CN"/>
              </w:rPr>
            </w:pPr>
            <w:r>
              <w:rPr>
                <w:rFonts w:hint="eastAsia" w:cs="Times New Roman"/>
                <w:b/>
                <w:bCs/>
                <w:spacing w:val="8"/>
                <w:sz w:val="21"/>
                <w:szCs w:val="21"/>
                <w:lang w:val="en-US" w:eastAsia="zh-CN"/>
              </w:rPr>
              <w:t>1</w:t>
            </w:r>
          </w:p>
        </w:tc>
        <w:tc>
          <w:tcPr>
            <w:tcW w:w="695" w:type="pct"/>
            <w:tcBorders>
              <w:top w:val="single" w:color="auto" w:sz="4" w:space="0"/>
              <w:left w:val="single" w:color="auto" w:sz="4" w:space="0"/>
              <w:bottom w:val="single" w:color="auto" w:sz="4" w:space="0"/>
              <w:right w:val="single" w:color="auto" w:sz="4" w:space="0"/>
            </w:tcBorders>
            <w:noWrap w:val="0"/>
            <w:vAlign w:val="center"/>
          </w:tcPr>
          <w:p w14:paraId="070242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8"/>
                <w:sz w:val="21"/>
                <w:szCs w:val="21"/>
                <w:lang w:val="en-US" w:eastAsia="zh-CN"/>
              </w:rPr>
            </w:pPr>
          </w:p>
        </w:tc>
        <w:tc>
          <w:tcPr>
            <w:tcW w:w="695" w:type="pct"/>
            <w:tcBorders>
              <w:top w:val="single" w:color="auto" w:sz="4" w:space="0"/>
              <w:left w:val="single" w:color="auto" w:sz="4" w:space="0"/>
              <w:bottom w:val="single" w:color="auto" w:sz="4" w:space="0"/>
              <w:right w:val="single" w:color="auto" w:sz="4" w:space="0"/>
            </w:tcBorders>
            <w:noWrap w:val="0"/>
            <w:vAlign w:val="center"/>
          </w:tcPr>
          <w:p w14:paraId="100FAB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pacing w:val="8"/>
                <w:sz w:val="21"/>
                <w:szCs w:val="21"/>
                <w:lang w:val="en-US" w:eastAsia="zh-CN"/>
              </w:rPr>
            </w:pPr>
          </w:p>
        </w:tc>
        <w:tc>
          <w:tcPr>
            <w:tcW w:w="697" w:type="pct"/>
            <w:tcBorders>
              <w:top w:val="single" w:color="auto" w:sz="4" w:space="0"/>
              <w:left w:val="single" w:color="auto" w:sz="4" w:space="0"/>
              <w:bottom w:val="single" w:color="auto" w:sz="4" w:space="0"/>
              <w:right w:val="single" w:color="auto" w:sz="4" w:space="0"/>
            </w:tcBorders>
            <w:noWrap w:val="0"/>
            <w:vAlign w:val="center"/>
          </w:tcPr>
          <w:p w14:paraId="789B2D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b/>
                <w:bCs/>
                <w:spacing w:val="8"/>
                <w:sz w:val="21"/>
                <w:szCs w:val="21"/>
                <w:lang w:val="en-US" w:eastAsia="zh-CN"/>
              </w:rPr>
            </w:pPr>
          </w:p>
        </w:tc>
        <w:tc>
          <w:tcPr>
            <w:tcW w:w="716" w:type="pct"/>
            <w:tcBorders>
              <w:top w:val="single" w:color="auto" w:sz="4" w:space="0"/>
              <w:left w:val="single" w:color="auto" w:sz="4" w:space="0"/>
              <w:bottom w:val="single" w:color="auto" w:sz="4" w:space="0"/>
              <w:right w:val="single" w:color="auto" w:sz="4" w:space="0"/>
            </w:tcBorders>
            <w:noWrap w:val="0"/>
            <w:vAlign w:val="center"/>
          </w:tcPr>
          <w:p w14:paraId="67BC1C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b/>
                <w:bCs/>
                <w:spacing w:val="8"/>
                <w:sz w:val="21"/>
                <w:szCs w:val="21"/>
                <w:lang w:val="en-US" w:eastAsia="zh-CN"/>
              </w:rPr>
            </w:pPr>
          </w:p>
        </w:tc>
      </w:tr>
      <w:tr w14:paraId="7EDA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703" w:type="pct"/>
            <w:gridSpan w:val="2"/>
            <w:tcBorders>
              <w:top w:val="single" w:color="auto" w:sz="4" w:space="0"/>
              <w:left w:val="single" w:color="auto" w:sz="4" w:space="0"/>
              <w:bottom w:val="single" w:color="auto" w:sz="4" w:space="0"/>
              <w:right w:val="single" w:color="auto" w:sz="4" w:space="0"/>
            </w:tcBorders>
            <w:noWrap w:val="0"/>
            <w:vAlign w:val="center"/>
          </w:tcPr>
          <w:p w14:paraId="31275D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21"/>
                <w:szCs w:val="21"/>
                <w:u w:val="none"/>
                <w:lang w:val="en-US" w:eastAsia="zh-CN"/>
              </w:rPr>
            </w:pPr>
            <w:r>
              <w:rPr>
                <w:rFonts w:hint="eastAsia" w:cs="Times New Roman"/>
                <w:b/>
                <w:bCs/>
                <w:sz w:val="21"/>
                <w:szCs w:val="21"/>
                <w:u w:val="none"/>
                <w:lang w:val="en-US" w:eastAsia="zh-CN"/>
              </w:rPr>
              <w:t>周期内（4个月）总金额</w:t>
            </w:r>
          </w:p>
        </w:tc>
        <w:tc>
          <w:tcPr>
            <w:tcW w:w="3296" w:type="pct"/>
            <w:gridSpan w:val="5"/>
            <w:tcBorders>
              <w:top w:val="single" w:color="auto" w:sz="4" w:space="0"/>
              <w:left w:val="single" w:color="auto" w:sz="4" w:space="0"/>
              <w:bottom w:val="single" w:color="auto" w:sz="4" w:space="0"/>
              <w:right w:val="single" w:color="auto" w:sz="4" w:space="0"/>
            </w:tcBorders>
            <w:noWrap w:val="0"/>
            <w:vAlign w:val="center"/>
          </w:tcPr>
          <w:p w14:paraId="24DC65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宋体" w:cs="Times New Roman"/>
                <w:b/>
                <w:bCs/>
                <w:spacing w:val="8"/>
                <w:sz w:val="21"/>
                <w:szCs w:val="21"/>
                <w:lang w:val="en-US" w:eastAsia="zh-CN"/>
              </w:rPr>
            </w:pPr>
          </w:p>
        </w:tc>
      </w:tr>
      <w:tr w14:paraId="288D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414ED7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服务期：</w:t>
            </w:r>
            <w:r>
              <w:rPr>
                <w:rFonts w:hint="eastAsia" w:cs="Times New Roman"/>
                <w:sz w:val="21"/>
                <w:szCs w:val="21"/>
                <w:lang w:val="en-US" w:eastAsia="zh-CN"/>
              </w:rPr>
              <w:t>4个月（以合同签订之日起）</w:t>
            </w:r>
          </w:p>
          <w:p w14:paraId="245115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备注：</w:t>
            </w:r>
            <w:r>
              <w:rPr>
                <w:rFonts w:hint="eastAsia" w:cs="Times New Roman"/>
                <w:sz w:val="21"/>
                <w:szCs w:val="21"/>
                <w:lang w:val="en-US" w:eastAsia="zh-CN"/>
              </w:rPr>
              <w:t>其他物业管理费用应包含物业人员综合保障费用、耗材及后勤管理费用、服务费及税费等，详见项目采购测算清单。</w:t>
            </w:r>
          </w:p>
          <w:p w14:paraId="5F5F11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sz w:val="21"/>
                <w:szCs w:val="21"/>
                <w:lang w:val="en-US" w:eastAsia="zh-CN"/>
              </w:rPr>
            </w:pPr>
          </w:p>
        </w:tc>
      </w:tr>
    </w:tbl>
    <w:p w14:paraId="249186DB">
      <w:pPr>
        <w:pStyle w:val="11"/>
        <w:spacing w:line="560" w:lineRule="exact"/>
        <w:ind w:firstLine="0" w:firstLineChars="0"/>
        <w:rPr>
          <w:rFonts w:ascii="仿宋_GB2312" w:eastAsia="仿宋_GB2312"/>
          <w:sz w:val="22"/>
          <w:szCs w:val="22"/>
        </w:rPr>
      </w:pPr>
    </w:p>
    <w:p w14:paraId="7305DB93">
      <w:pPr>
        <w:pStyle w:val="11"/>
        <w:spacing w:line="560" w:lineRule="exact"/>
        <w:ind w:firstLine="0" w:firstLineChars="0"/>
        <w:rPr>
          <w:rFonts w:ascii="仿宋_GB2312" w:eastAsia="仿宋_GB2312"/>
          <w:sz w:val="22"/>
          <w:szCs w:val="22"/>
        </w:rPr>
      </w:pPr>
    </w:p>
    <w:p w14:paraId="3281EDB5">
      <w:pPr>
        <w:ind w:left="0" w:leftChars="0" w:firstLine="0" w:firstLineChars="0"/>
        <w:rPr>
          <w:rFonts w:hint="eastAsia" w:ascii="仿宋_GB2312" w:eastAsia="仿宋_GB2312"/>
          <w:sz w:val="22"/>
          <w:szCs w:val="22"/>
        </w:rPr>
      </w:pPr>
      <w:r>
        <w:rPr>
          <w:rFonts w:hint="eastAsia" w:ascii="仿宋_GB2312" w:eastAsia="仿宋_GB2312"/>
          <w:sz w:val="22"/>
          <w:szCs w:val="22"/>
        </w:rPr>
        <w:br w:type="page"/>
      </w:r>
    </w:p>
    <w:p w14:paraId="3F7970C7">
      <w:pPr>
        <w:pStyle w:val="11"/>
        <w:spacing w:line="560" w:lineRule="exact"/>
        <w:ind w:firstLine="0" w:firstLineChars="0"/>
        <w:rPr>
          <w:rFonts w:ascii="仿宋_GB2312" w:eastAsia="仿宋_GB2312"/>
          <w:sz w:val="22"/>
          <w:szCs w:val="22"/>
        </w:rPr>
      </w:pPr>
      <w:r>
        <w:rPr>
          <w:rFonts w:hint="eastAsia" w:ascii="仿宋_GB2312" w:eastAsia="仿宋_GB2312"/>
          <w:sz w:val="22"/>
          <w:szCs w:val="22"/>
        </w:rPr>
        <w:t>附件2-1</w:t>
      </w:r>
    </w:p>
    <w:p w14:paraId="2721B77B">
      <w:pPr>
        <w:tabs>
          <w:tab w:val="left" w:pos="3800"/>
        </w:tabs>
        <w:spacing w:line="560" w:lineRule="exact"/>
        <w:ind w:firstLine="723"/>
        <w:jc w:val="center"/>
        <w:rPr>
          <w:rFonts w:ascii="仿宋_GB2312" w:hAnsi="宋体" w:eastAsia="仿宋_GB2312"/>
          <w:b/>
          <w:color w:val="000000"/>
          <w:sz w:val="22"/>
          <w:szCs w:val="22"/>
        </w:rPr>
      </w:pPr>
      <w:r>
        <w:rPr>
          <w:rFonts w:hint="eastAsia" w:ascii="仿宋_GB2312" w:hAnsi="宋体" w:eastAsia="仿宋_GB2312"/>
          <w:b/>
          <w:color w:val="000000"/>
          <w:sz w:val="22"/>
          <w:szCs w:val="22"/>
        </w:rPr>
        <w:t>物业考核体系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464"/>
        <w:gridCol w:w="7169"/>
      </w:tblGrid>
      <w:tr w14:paraId="2921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655" w:type="dxa"/>
            <w:vAlign w:val="center"/>
          </w:tcPr>
          <w:p w14:paraId="071A3C66">
            <w:pPr>
              <w:spacing w:line="560" w:lineRule="exact"/>
              <w:ind w:firstLine="0" w:firstLineChars="0"/>
              <w:rPr>
                <w:b/>
                <w:sz w:val="22"/>
                <w:szCs w:val="22"/>
              </w:rPr>
            </w:pPr>
            <w:r>
              <w:rPr>
                <w:rFonts w:hint="eastAsia"/>
                <w:b/>
                <w:sz w:val="22"/>
                <w:szCs w:val="22"/>
              </w:rPr>
              <w:t>序号</w:t>
            </w:r>
          </w:p>
        </w:tc>
        <w:tc>
          <w:tcPr>
            <w:tcW w:w="1464" w:type="dxa"/>
            <w:vAlign w:val="center"/>
          </w:tcPr>
          <w:p w14:paraId="28A65B70">
            <w:pPr>
              <w:spacing w:line="560" w:lineRule="exact"/>
              <w:ind w:firstLine="0" w:firstLineChars="0"/>
              <w:rPr>
                <w:b/>
                <w:sz w:val="22"/>
                <w:szCs w:val="22"/>
              </w:rPr>
            </w:pPr>
            <w:r>
              <w:rPr>
                <w:rFonts w:hint="eastAsia"/>
                <w:b/>
                <w:sz w:val="22"/>
                <w:szCs w:val="22"/>
              </w:rPr>
              <w:t>考核体系内容</w:t>
            </w:r>
          </w:p>
        </w:tc>
        <w:tc>
          <w:tcPr>
            <w:tcW w:w="7169" w:type="dxa"/>
            <w:vAlign w:val="center"/>
          </w:tcPr>
          <w:p w14:paraId="5C2C9B35">
            <w:pPr>
              <w:spacing w:line="560" w:lineRule="exact"/>
              <w:ind w:firstLine="422"/>
              <w:jc w:val="center"/>
              <w:rPr>
                <w:b/>
                <w:sz w:val="22"/>
                <w:szCs w:val="22"/>
              </w:rPr>
            </w:pPr>
            <w:r>
              <w:rPr>
                <w:rFonts w:hint="eastAsia"/>
                <w:b/>
                <w:sz w:val="22"/>
                <w:szCs w:val="22"/>
              </w:rPr>
              <w:t>具体说明</w:t>
            </w:r>
          </w:p>
        </w:tc>
      </w:tr>
      <w:tr w14:paraId="0C769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55" w:type="dxa"/>
            <w:vAlign w:val="center"/>
          </w:tcPr>
          <w:p w14:paraId="616A0997">
            <w:pPr>
              <w:spacing w:line="560" w:lineRule="exact"/>
              <w:ind w:firstLine="0" w:firstLineChars="0"/>
              <w:rPr>
                <w:sz w:val="22"/>
                <w:szCs w:val="22"/>
              </w:rPr>
            </w:pPr>
            <w:r>
              <w:rPr>
                <w:rFonts w:hint="eastAsia"/>
                <w:sz w:val="22"/>
                <w:szCs w:val="22"/>
              </w:rPr>
              <w:t>1</w:t>
            </w:r>
          </w:p>
        </w:tc>
        <w:tc>
          <w:tcPr>
            <w:tcW w:w="1464" w:type="dxa"/>
            <w:vAlign w:val="center"/>
          </w:tcPr>
          <w:p w14:paraId="6888C85D">
            <w:pPr>
              <w:spacing w:line="560" w:lineRule="exact"/>
              <w:ind w:firstLine="0" w:firstLineChars="0"/>
              <w:rPr>
                <w:sz w:val="22"/>
                <w:szCs w:val="22"/>
              </w:rPr>
            </w:pPr>
            <w:r>
              <w:rPr>
                <w:rFonts w:hint="eastAsia"/>
                <w:sz w:val="22"/>
                <w:szCs w:val="22"/>
              </w:rPr>
              <w:t>被考核对象</w:t>
            </w:r>
          </w:p>
        </w:tc>
        <w:tc>
          <w:tcPr>
            <w:tcW w:w="7169" w:type="dxa"/>
            <w:vAlign w:val="center"/>
          </w:tcPr>
          <w:p w14:paraId="7C4BFBA3">
            <w:pPr>
              <w:spacing w:line="560" w:lineRule="exact"/>
              <w:ind w:firstLine="0" w:firstLineChars="0"/>
              <w:jc w:val="left"/>
              <w:rPr>
                <w:sz w:val="22"/>
                <w:szCs w:val="22"/>
              </w:rPr>
            </w:pPr>
            <w:r>
              <w:rPr>
                <w:rFonts w:hint="eastAsia"/>
                <w:sz w:val="22"/>
                <w:szCs w:val="22"/>
              </w:rPr>
              <w:t>1.物业服务人员    2.物业整体服务</w:t>
            </w:r>
          </w:p>
        </w:tc>
      </w:tr>
      <w:tr w14:paraId="4BD9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55" w:type="dxa"/>
            <w:vAlign w:val="center"/>
          </w:tcPr>
          <w:p w14:paraId="537286BB">
            <w:pPr>
              <w:spacing w:line="560" w:lineRule="exact"/>
              <w:ind w:firstLine="0" w:firstLineChars="0"/>
              <w:rPr>
                <w:sz w:val="22"/>
                <w:szCs w:val="22"/>
              </w:rPr>
            </w:pPr>
            <w:r>
              <w:rPr>
                <w:rFonts w:hint="eastAsia"/>
                <w:sz w:val="22"/>
                <w:szCs w:val="22"/>
              </w:rPr>
              <w:t>2</w:t>
            </w:r>
          </w:p>
        </w:tc>
        <w:tc>
          <w:tcPr>
            <w:tcW w:w="1464" w:type="dxa"/>
            <w:vAlign w:val="center"/>
          </w:tcPr>
          <w:p w14:paraId="57B4FB11">
            <w:pPr>
              <w:spacing w:line="560" w:lineRule="exact"/>
              <w:ind w:firstLine="0" w:firstLineChars="0"/>
              <w:rPr>
                <w:sz w:val="22"/>
                <w:szCs w:val="22"/>
              </w:rPr>
            </w:pPr>
            <w:r>
              <w:rPr>
                <w:rFonts w:hint="eastAsia"/>
                <w:sz w:val="22"/>
                <w:szCs w:val="22"/>
              </w:rPr>
              <w:t>考核周期</w:t>
            </w:r>
          </w:p>
        </w:tc>
        <w:tc>
          <w:tcPr>
            <w:tcW w:w="7169" w:type="dxa"/>
            <w:vAlign w:val="center"/>
          </w:tcPr>
          <w:p w14:paraId="56A43880">
            <w:pPr>
              <w:spacing w:line="560" w:lineRule="exact"/>
              <w:ind w:firstLine="0" w:firstLineChars="0"/>
              <w:jc w:val="left"/>
              <w:rPr>
                <w:sz w:val="22"/>
                <w:szCs w:val="22"/>
              </w:rPr>
            </w:pPr>
            <w:r>
              <w:rPr>
                <w:rFonts w:hint="eastAsia"/>
                <w:sz w:val="22"/>
                <w:szCs w:val="22"/>
              </w:rPr>
              <w:t>每月考核一次，于每月1日左右启动上月考核工作。</w:t>
            </w:r>
          </w:p>
        </w:tc>
      </w:tr>
      <w:tr w14:paraId="34D2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655" w:type="dxa"/>
            <w:vAlign w:val="center"/>
          </w:tcPr>
          <w:p w14:paraId="6D9B322C">
            <w:pPr>
              <w:spacing w:line="560" w:lineRule="exact"/>
              <w:ind w:firstLine="0" w:firstLineChars="0"/>
              <w:rPr>
                <w:sz w:val="22"/>
                <w:szCs w:val="22"/>
              </w:rPr>
            </w:pPr>
            <w:r>
              <w:rPr>
                <w:rFonts w:hint="eastAsia"/>
                <w:sz w:val="22"/>
                <w:szCs w:val="22"/>
              </w:rPr>
              <w:t>3</w:t>
            </w:r>
          </w:p>
        </w:tc>
        <w:tc>
          <w:tcPr>
            <w:tcW w:w="1464" w:type="dxa"/>
            <w:vAlign w:val="center"/>
          </w:tcPr>
          <w:p w14:paraId="018DA9E5">
            <w:pPr>
              <w:spacing w:line="560" w:lineRule="exact"/>
              <w:ind w:firstLine="0" w:firstLineChars="0"/>
              <w:rPr>
                <w:sz w:val="22"/>
                <w:szCs w:val="22"/>
              </w:rPr>
            </w:pPr>
            <w:r>
              <w:rPr>
                <w:rFonts w:hint="eastAsia"/>
                <w:sz w:val="22"/>
                <w:szCs w:val="22"/>
              </w:rPr>
              <w:t>考核小组成员</w:t>
            </w:r>
          </w:p>
        </w:tc>
        <w:tc>
          <w:tcPr>
            <w:tcW w:w="7169" w:type="dxa"/>
            <w:vAlign w:val="center"/>
          </w:tcPr>
          <w:p w14:paraId="1A7732A8">
            <w:pPr>
              <w:spacing w:line="560" w:lineRule="exact"/>
              <w:ind w:firstLine="0" w:firstLineChars="0"/>
              <w:jc w:val="left"/>
              <w:rPr>
                <w:sz w:val="22"/>
                <w:szCs w:val="22"/>
              </w:rPr>
            </w:pPr>
            <w:r>
              <w:rPr>
                <w:rFonts w:hint="eastAsia"/>
                <w:sz w:val="22"/>
                <w:szCs w:val="22"/>
              </w:rPr>
              <w:t>考核人员由</w:t>
            </w:r>
            <w:r>
              <w:rPr>
                <w:rFonts w:hint="eastAsia"/>
                <w:sz w:val="22"/>
                <w:szCs w:val="22"/>
                <w:lang w:eastAsia="zh-CN"/>
              </w:rPr>
              <w:t>【</w:t>
            </w:r>
            <w:r>
              <w:rPr>
                <w:rFonts w:hint="eastAsia"/>
                <w:sz w:val="22"/>
                <w:szCs w:val="22"/>
                <w:lang w:val="en-US" w:eastAsia="zh-CN"/>
              </w:rPr>
              <w:t>2】</w:t>
            </w:r>
            <w:r>
              <w:rPr>
                <w:rFonts w:hint="eastAsia"/>
                <w:sz w:val="22"/>
                <w:szCs w:val="22"/>
              </w:rPr>
              <w:t>成员组成，包括部门负责人、</w:t>
            </w:r>
            <w:r>
              <w:rPr>
                <w:rFonts w:hint="eastAsia"/>
                <w:sz w:val="22"/>
                <w:szCs w:val="22"/>
                <w:lang w:val="en-US" w:eastAsia="zh-CN"/>
              </w:rPr>
              <w:t>项目负责</w:t>
            </w:r>
            <w:r>
              <w:rPr>
                <w:rFonts w:hint="eastAsia"/>
                <w:sz w:val="22"/>
                <w:szCs w:val="22"/>
              </w:rPr>
              <w:t>人。</w:t>
            </w:r>
          </w:p>
        </w:tc>
      </w:tr>
      <w:tr w14:paraId="318C1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655" w:type="dxa"/>
            <w:vAlign w:val="center"/>
          </w:tcPr>
          <w:p w14:paraId="00E0DC05">
            <w:pPr>
              <w:spacing w:line="560" w:lineRule="exact"/>
              <w:ind w:firstLine="0" w:firstLineChars="0"/>
              <w:rPr>
                <w:sz w:val="22"/>
                <w:szCs w:val="22"/>
              </w:rPr>
            </w:pPr>
            <w:r>
              <w:rPr>
                <w:rFonts w:hint="eastAsia"/>
                <w:sz w:val="22"/>
                <w:szCs w:val="22"/>
              </w:rPr>
              <w:t>4</w:t>
            </w:r>
          </w:p>
        </w:tc>
        <w:tc>
          <w:tcPr>
            <w:tcW w:w="1464" w:type="dxa"/>
            <w:vAlign w:val="center"/>
          </w:tcPr>
          <w:p w14:paraId="09070BA9">
            <w:pPr>
              <w:spacing w:line="560" w:lineRule="exact"/>
              <w:ind w:firstLine="0" w:firstLineChars="0"/>
              <w:rPr>
                <w:sz w:val="22"/>
                <w:szCs w:val="22"/>
              </w:rPr>
            </w:pPr>
            <w:r>
              <w:rPr>
                <w:rFonts w:hint="eastAsia"/>
                <w:sz w:val="22"/>
                <w:szCs w:val="22"/>
              </w:rPr>
              <w:t>具体考核要素及分数构成</w:t>
            </w:r>
          </w:p>
        </w:tc>
        <w:tc>
          <w:tcPr>
            <w:tcW w:w="7169" w:type="dxa"/>
            <w:vAlign w:val="center"/>
          </w:tcPr>
          <w:p w14:paraId="7E124E86">
            <w:pPr>
              <w:spacing w:line="560" w:lineRule="exact"/>
              <w:ind w:firstLine="0" w:firstLineChars="0"/>
              <w:jc w:val="left"/>
              <w:rPr>
                <w:sz w:val="22"/>
                <w:szCs w:val="22"/>
              </w:rPr>
            </w:pPr>
            <w:r>
              <w:rPr>
                <w:rFonts w:hint="eastAsia"/>
                <w:sz w:val="22"/>
                <w:szCs w:val="22"/>
              </w:rPr>
              <w:t>(1)物业服务人员考核包括：被投诉情况（20分）、仪容仪表(10分)、岗位纪律情况(10分)、职责落实情况(30分)、个人整体服务表现(30分)；最高得分100分。</w:t>
            </w:r>
          </w:p>
          <w:p w14:paraId="6CA3FCDC">
            <w:pPr>
              <w:spacing w:line="560" w:lineRule="exact"/>
              <w:ind w:firstLine="0" w:firstLineChars="0"/>
              <w:jc w:val="left"/>
              <w:rPr>
                <w:sz w:val="22"/>
                <w:szCs w:val="22"/>
              </w:rPr>
            </w:pPr>
            <w:r>
              <w:rPr>
                <w:rFonts w:hint="eastAsia"/>
                <w:sz w:val="22"/>
                <w:szCs w:val="22"/>
              </w:rPr>
              <w:t>(2)物业整体服务考核包括：物业服务人员考核情况（20分）、项目团队管理评价(30分)、物业服务整体评价(50分)；最高得分100分。</w:t>
            </w:r>
          </w:p>
        </w:tc>
      </w:tr>
      <w:tr w14:paraId="3E39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655" w:type="dxa"/>
            <w:vAlign w:val="center"/>
          </w:tcPr>
          <w:p w14:paraId="4BE5568E">
            <w:pPr>
              <w:spacing w:line="560" w:lineRule="exact"/>
              <w:ind w:firstLine="0" w:firstLineChars="0"/>
              <w:rPr>
                <w:sz w:val="22"/>
                <w:szCs w:val="22"/>
              </w:rPr>
            </w:pPr>
            <w:r>
              <w:rPr>
                <w:rFonts w:hint="eastAsia"/>
                <w:sz w:val="22"/>
                <w:szCs w:val="22"/>
              </w:rPr>
              <w:t>5</w:t>
            </w:r>
          </w:p>
        </w:tc>
        <w:tc>
          <w:tcPr>
            <w:tcW w:w="1464" w:type="dxa"/>
            <w:vAlign w:val="center"/>
          </w:tcPr>
          <w:p w14:paraId="1563D359">
            <w:pPr>
              <w:spacing w:line="560" w:lineRule="exact"/>
              <w:ind w:firstLine="0" w:firstLineChars="0"/>
              <w:rPr>
                <w:sz w:val="22"/>
                <w:szCs w:val="22"/>
              </w:rPr>
            </w:pPr>
            <w:r>
              <w:rPr>
                <w:rFonts w:hint="eastAsia"/>
                <w:sz w:val="22"/>
                <w:szCs w:val="22"/>
              </w:rPr>
              <w:t>物业服务考核</w:t>
            </w:r>
          </w:p>
          <w:p w14:paraId="74326644">
            <w:pPr>
              <w:spacing w:line="560" w:lineRule="exact"/>
              <w:ind w:firstLine="0" w:firstLineChars="0"/>
              <w:rPr>
                <w:sz w:val="22"/>
                <w:szCs w:val="22"/>
              </w:rPr>
            </w:pPr>
            <w:r>
              <w:rPr>
                <w:rFonts w:hint="eastAsia"/>
                <w:sz w:val="22"/>
                <w:szCs w:val="22"/>
              </w:rPr>
              <w:t>综合评分确定</w:t>
            </w:r>
          </w:p>
        </w:tc>
        <w:tc>
          <w:tcPr>
            <w:tcW w:w="7169" w:type="dxa"/>
            <w:vAlign w:val="center"/>
          </w:tcPr>
          <w:p w14:paraId="6E01841E">
            <w:pPr>
              <w:spacing w:line="560" w:lineRule="exact"/>
              <w:ind w:firstLine="0" w:firstLineChars="0"/>
              <w:jc w:val="left"/>
              <w:rPr>
                <w:sz w:val="22"/>
                <w:szCs w:val="22"/>
              </w:rPr>
            </w:pPr>
            <w:r>
              <w:rPr>
                <w:rFonts w:hint="eastAsia"/>
                <w:sz w:val="22"/>
                <w:szCs w:val="22"/>
              </w:rPr>
              <w:t>(1)物业服务人员考核评分=</w:t>
            </w:r>
            <w:r>
              <w:rPr>
                <w:rFonts w:hint="eastAsia"/>
                <w:sz w:val="22"/>
                <w:szCs w:val="22"/>
                <w:lang w:val="en-US" w:eastAsia="zh-CN"/>
              </w:rPr>
              <w:t>项目负责人</w:t>
            </w:r>
            <w:r>
              <w:rPr>
                <w:rFonts w:hint="eastAsia"/>
                <w:sz w:val="22"/>
                <w:szCs w:val="22"/>
              </w:rPr>
              <w:t>评分；</w:t>
            </w:r>
          </w:p>
          <w:p w14:paraId="4988473A">
            <w:pPr>
              <w:spacing w:line="560" w:lineRule="exact"/>
              <w:ind w:firstLine="0" w:firstLineChars="0"/>
              <w:jc w:val="left"/>
              <w:rPr>
                <w:rFonts w:hint="default" w:eastAsia="宋体"/>
                <w:sz w:val="22"/>
                <w:szCs w:val="22"/>
                <w:lang w:val="en-US" w:eastAsia="zh-CN"/>
              </w:rPr>
            </w:pPr>
            <w:r>
              <w:rPr>
                <w:rFonts w:hint="eastAsia"/>
                <w:sz w:val="22"/>
                <w:szCs w:val="22"/>
              </w:rPr>
              <w:t>(2)物业整体服务考核评分=</w:t>
            </w:r>
            <w:r>
              <w:rPr>
                <w:rFonts w:hint="eastAsia"/>
                <w:sz w:val="22"/>
                <w:szCs w:val="22"/>
                <w:lang w:val="en-US" w:eastAsia="zh-CN"/>
              </w:rPr>
              <w:t>部门负责人评分</w:t>
            </w:r>
          </w:p>
        </w:tc>
      </w:tr>
      <w:tr w14:paraId="2463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Align w:val="center"/>
          </w:tcPr>
          <w:p w14:paraId="138D612C">
            <w:pPr>
              <w:spacing w:line="560" w:lineRule="exact"/>
              <w:ind w:firstLine="0" w:firstLineChars="0"/>
              <w:rPr>
                <w:sz w:val="22"/>
                <w:szCs w:val="22"/>
              </w:rPr>
            </w:pPr>
            <w:r>
              <w:rPr>
                <w:rFonts w:hint="eastAsia"/>
                <w:sz w:val="22"/>
                <w:szCs w:val="22"/>
              </w:rPr>
              <w:t>6</w:t>
            </w:r>
          </w:p>
        </w:tc>
        <w:tc>
          <w:tcPr>
            <w:tcW w:w="1464" w:type="dxa"/>
            <w:vAlign w:val="center"/>
          </w:tcPr>
          <w:p w14:paraId="2EB4A2DE">
            <w:pPr>
              <w:spacing w:line="560" w:lineRule="exact"/>
              <w:ind w:firstLine="0" w:firstLineChars="0"/>
              <w:rPr>
                <w:sz w:val="22"/>
                <w:szCs w:val="22"/>
              </w:rPr>
            </w:pPr>
            <w:r>
              <w:rPr>
                <w:rFonts w:hint="eastAsia"/>
                <w:sz w:val="22"/>
                <w:szCs w:val="22"/>
              </w:rPr>
              <w:t>评分原则及分数量化</w:t>
            </w:r>
          </w:p>
        </w:tc>
        <w:tc>
          <w:tcPr>
            <w:tcW w:w="7169" w:type="dxa"/>
            <w:vAlign w:val="center"/>
          </w:tcPr>
          <w:p w14:paraId="55E9AF8F">
            <w:pPr>
              <w:spacing w:line="560" w:lineRule="exact"/>
              <w:ind w:firstLine="0" w:firstLineChars="0"/>
              <w:jc w:val="left"/>
              <w:rPr>
                <w:b/>
                <w:sz w:val="22"/>
                <w:szCs w:val="22"/>
              </w:rPr>
            </w:pPr>
            <w:r>
              <w:rPr>
                <w:rFonts w:hint="eastAsia"/>
                <w:b/>
                <w:sz w:val="22"/>
                <w:szCs w:val="22"/>
              </w:rPr>
              <w:t>(1)物业服务人员考核部分</w:t>
            </w:r>
          </w:p>
          <w:p w14:paraId="2CB01086">
            <w:pPr>
              <w:spacing w:line="560" w:lineRule="exact"/>
              <w:ind w:firstLine="0" w:firstLineChars="0"/>
              <w:jc w:val="left"/>
              <w:rPr>
                <w:sz w:val="22"/>
                <w:szCs w:val="22"/>
              </w:rPr>
            </w:pPr>
            <w:r>
              <w:rPr>
                <w:rFonts w:hint="eastAsia"/>
                <w:sz w:val="22"/>
                <w:szCs w:val="22"/>
              </w:rPr>
              <w:t>1.1 该考核部分由</w:t>
            </w:r>
            <w:r>
              <w:rPr>
                <w:rFonts w:hint="eastAsia"/>
                <w:sz w:val="22"/>
                <w:szCs w:val="22"/>
                <w:lang w:val="en-US" w:eastAsia="zh-CN"/>
              </w:rPr>
              <w:t>项目负责人</w:t>
            </w:r>
            <w:r>
              <w:rPr>
                <w:rFonts w:hint="eastAsia"/>
                <w:sz w:val="22"/>
                <w:szCs w:val="22"/>
              </w:rPr>
              <w:t>负责评分；</w:t>
            </w:r>
          </w:p>
          <w:p w14:paraId="33EB8311">
            <w:pPr>
              <w:spacing w:line="560" w:lineRule="exact"/>
              <w:ind w:firstLine="0" w:firstLineChars="0"/>
              <w:jc w:val="left"/>
              <w:rPr>
                <w:sz w:val="22"/>
                <w:szCs w:val="22"/>
              </w:rPr>
            </w:pPr>
            <w:r>
              <w:rPr>
                <w:rFonts w:hint="eastAsia"/>
                <w:sz w:val="22"/>
                <w:szCs w:val="22"/>
              </w:rPr>
              <w:t>1.2 “被投诉情况”由</w:t>
            </w:r>
            <w:r>
              <w:rPr>
                <w:rFonts w:hint="eastAsia"/>
                <w:sz w:val="22"/>
                <w:szCs w:val="22"/>
                <w:lang w:val="en-US" w:eastAsia="zh-CN"/>
              </w:rPr>
              <w:t>物业人员配合项目负责人</w:t>
            </w:r>
            <w:r>
              <w:rPr>
                <w:rFonts w:hint="eastAsia"/>
                <w:sz w:val="22"/>
                <w:szCs w:val="22"/>
              </w:rPr>
              <w:t>建立台账记录被投诉情况并进行初步打分，</w:t>
            </w:r>
            <w:r>
              <w:rPr>
                <w:rFonts w:hint="eastAsia"/>
                <w:sz w:val="22"/>
                <w:szCs w:val="22"/>
                <w:lang w:val="en-US" w:eastAsia="zh-CN"/>
              </w:rPr>
              <w:t>项目负责人</w:t>
            </w:r>
            <w:r>
              <w:rPr>
                <w:rFonts w:hint="eastAsia"/>
                <w:sz w:val="22"/>
                <w:szCs w:val="22"/>
              </w:rPr>
              <w:t>负责审核并以此作为依据进行评分；</w:t>
            </w:r>
          </w:p>
          <w:p w14:paraId="616BA307">
            <w:pPr>
              <w:spacing w:line="560" w:lineRule="exact"/>
              <w:ind w:firstLine="0" w:firstLineChars="0"/>
              <w:jc w:val="left"/>
              <w:rPr>
                <w:sz w:val="22"/>
                <w:szCs w:val="22"/>
              </w:rPr>
            </w:pPr>
            <w:r>
              <w:rPr>
                <w:rFonts w:hint="eastAsia"/>
                <w:sz w:val="22"/>
                <w:szCs w:val="22"/>
              </w:rPr>
              <w:t>1.3 “仪容仪表”及“岗位纪律情况”。由物业服务项目组长建立日常管理台账，对物业服务工作人员进行初步打分，</w:t>
            </w:r>
            <w:r>
              <w:rPr>
                <w:rFonts w:hint="eastAsia"/>
                <w:sz w:val="22"/>
                <w:szCs w:val="22"/>
                <w:lang w:val="en-US" w:eastAsia="zh-CN"/>
              </w:rPr>
              <w:t>项目负责人</w:t>
            </w:r>
            <w:r>
              <w:rPr>
                <w:rFonts w:hint="eastAsia"/>
                <w:sz w:val="22"/>
                <w:szCs w:val="22"/>
              </w:rPr>
              <w:t>负责审核并以此作为依据进行评分；</w:t>
            </w:r>
          </w:p>
          <w:p w14:paraId="0AAFCD4F">
            <w:pPr>
              <w:spacing w:line="560" w:lineRule="exact"/>
              <w:ind w:firstLine="0" w:firstLineChars="0"/>
              <w:jc w:val="left"/>
              <w:rPr>
                <w:sz w:val="22"/>
                <w:szCs w:val="22"/>
              </w:rPr>
            </w:pPr>
            <w:r>
              <w:rPr>
                <w:rFonts w:hint="eastAsia"/>
                <w:sz w:val="22"/>
                <w:szCs w:val="22"/>
              </w:rPr>
              <w:t>1.4 若工作人员仪容仪表不合规，每次扣</w:t>
            </w:r>
            <w:r>
              <w:rPr>
                <w:rFonts w:hint="eastAsia"/>
                <w:sz w:val="22"/>
                <w:szCs w:val="22"/>
                <w:lang w:val="en-US" w:eastAsia="zh-CN"/>
              </w:rPr>
              <w:t>5</w:t>
            </w:r>
            <w:r>
              <w:rPr>
                <w:rFonts w:hint="eastAsia"/>
                <w:sz w:val="22"/>
                <w:szCs w:val="22"/>
              </w:rPr>
              <w:t>分；凡无故迟到、随意离岗、缺岗、吵闹、不服从管理的均视为岗位纪律不达标，每次扣</w:t>
            </w:r>
            <w:r>
              <w:rPr>
                <w:rFonts w:hint="eastAsia"/>
                <w:sz w:val="22"/>
                <w:szCs w:val="22"/>
                <w:lang w:val="en-US" w:eastAsia="zh-CN"/>
              </w:rPr>
              <w:t>5</w:t>
            </w:r>
            <w:r>
              <w:rPr>
                <w:rFonts w:hint="eastAsia"/>
                <w:sz w:val="22"/>
                <w:szCs w:val="22"/>
              </w:rPr>
              <w:t>分；分数扣完为止；</w:t>
            </w:r>
          </w:p>
          <w:p w14:paraId="4567F1F7">
            <w:pPr>
              <w:spacing w:line="560" w:lineRule="exact"/>
              <w:ind w:firstLine="0" w:firstLineChars="0"/>
              <w:jc w:val="left"/>
              <w:rPr>
                <w:sz w:val="22"/>
                <w:szCs w:val="22"/>
              </w:rPr>
            </w:pPr>
            <w:r>
              <w:rPr>
                <w:rFonts w:hint="eastAsia"/>
                <w:sz w:val="22"/>
                <w:szCs w:val="22"/>
              </w:rPr>
              <w:t>1.5 “职责落实情况”及“个人整体服务表现”。根据工作人员实际落实情况及服务表现进行评分，每项个人评分可保留一位小数。</w:t>
            </w:r>
          </w:p>
          <w:p w14:paraId="26534DA5">
            <w:pPr>
              <w:spacing w:line="560" w:lineRule="exact"/>
              <w:ind w:firstLine="0" w:firstLineChars="0"/>
              <w:jc w:val="left"/>
              <w:rPr>
                <w:b/>
                <w:sz w:val="22"/>
                <w:szCs w:val="22"/>
              </w:rPr>
            </w:pPr>
            <w:r>
              <w:rPr>
                <w:rFonts w:hint="eastAsia"/>
                <w:b/>
                <w:sz w:val="22"/>
                <w:szCs w:val="22"/>
              </w:rPr>
              <w:t xml:space="preserve"> (2)物业整体服务考核部分</w:t>
            </w:r>
          </w:p>
          <w:p w14:paraId="6855D884">
            <w:pPr>
              <w:spacing w:line="560" w:lineRule="exact"/>
              <w:ind w:firstLine="0" w:firstLineChars="0"/>
              <w:jc w:val="left"/>
              <w:rPr>
                <w:sz w:val="22"/>
                <w:szCs w:val="22"/>
              </w:rPr>
            </w:pPr>
            <w:r>
              <w:rPr>
                <w:rFonts w:hint="eastAsia"/>
                <w:sz w:val="22"/>
                <w:szCs w:val="22"/>
              </w:rPr>
              <w:t>2.1 该考核部分由</w:t>
            </w:r>
            <w:r>
              <w:rPr>
                <w:rFonts w:hint="eastAsia"/>
                <w:sz w:val="22"/>
                <w:szCs w:val="22"/>
                <w:lang w:val="en-US" w:eastAsia="zh-CN"/>
              </w:rPr>
              <w:t>部门</w:t>
            </w:r>
            <w:r>
              <w:rPr>
                <w:rFonts w:hint="eastAsia"/>
                <w:sz w:val="22"/>
                <w:szCs w:val="22"/>
              </w:rPr>
              <w:t>负责人进行评分；</w:t>
            </w:r>
          </w:p>
          <w:p w14:paraId="23E6F95E">
            <w:pPr>
              <w:spacing w:line="560" w:lineRule="exact"/>
              <w:ind w:firstLine="0" w:firstLineChars="0"/>
              <w:jc w:val="left"/>
              <w:rPr>
                <w:sz w:val="22"/>
                <w:szCs w:val="22"/>
              </w:rPr>
            </w:pPr>
            <w:r>
              <w:rPr>
                <w:rFonts w:hint="eastAsia"/>
                <w:sz w:val="22"/>
                <w:szCs w:val="22"/>
              </w:rPr>
              <w:t>2.2“物业服务人员考核情况”：物业服务人员被评分当月考核分低于60，每多一位加扣5分，扣完为止。</w:t>
            </w:r>
          </w:p>
          <w:p w14:paraId="367772BE">
            <w:pPr>
              <w:spacing w:line="560" w:lineRule="exact"/>
              <w:ind w:firstLine="0" w:firstLineChars="0"/>
              <w:jc w:val="left"/>
              <w:rPr>
                <w:sz w:val="22"/>
                <w:szCs w:val="22"/>
              </w:rPr>
            </w:pPr>
            <w:r>
              <w:rPr>
                <w:rFonts w:hint="eastAsia"/>
                <w:sz w:val="22"/>
                <w:szCs w:val="22"/>
              </w:rPr>
              <w:t>2.3 “项目团队管理评价”及“物业服务整体评价”。根据物业当月情况对每项进行评分，每项个人评分可保留一位小数。</w:t>
            </w:r>
          </w:p>
        </w:tc>
      </w:tr>
      <w:tr w14:paraId="48C2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655" w:type="dxa"/>
            <w:vAlign w:val="center"/>
          </w:tcPr>
          <w:p w14:paraId="33CA338A">
            <w:pPr>
              <w:spacing w:line="560" w:lineRule="exact"/>
              <w:ind w:firstLine="0" w:firstLineChars="0"/>
              <w:rPr>
                <w:sz w:val="22"/>
                <w:szCs w:val="22"/>
              </w:rPr>
            </w:pPr>
            <w:r>
              <w:rPr>
                <w:rFonts w:hint="eastAsia"/>
                <w:sz w:val="22"/>
                <w:szCs w:val="22"/>
              </w:rPr>
              <w:t>7</w:t>
            </w:r>
          </w:p>
        </w:tc>
        <w:tc>
          <w:tcPr>
            <w:tcW w:w="1464" w:type="dxa"/>
            <w:vAlign w:val="center"/>
          </w:tcPr>
          <w:p w14:paraId="5A64CBEA">
            <w:pPr>
              <w:spacing w:line="560" w:lineRule="exact"/>
              <w:ind w:firstLine="0" w:firstLineChars="0"/>
              <w:rPr>
                <w:sz w:val="22"/>
                <w:szCs w:val="22"/>
              </w:rPr>
            </w:pPr>
            <w:r>
              <w:rPr>
                <w:rFonts w:hint="eastAsia"/>
                <w:sz w:val="22"/>
                <w:szCs w:val="22"/>
              </w:rPr>
              <w:t>考核结果</w:t>
            </w:r>
          </w:p>
        </w:tc>
        <w:tc>
          <w:tcPr>
            <w:tcW w:w="7169" w:type="dxa"/>
            <w:vAlign w:val="center"/>
          </w:tcPr>
          <w:p w14:paraId="2F9D64F6">
            <w:pPr>
              <w:spacing w:line="560" w:lineRule="exact"/>
              <w:ind w:firstLine="0" w:firstLineChars="0"/>
              <w:jc w:val="left"/>
              <w:rPr>
                <w:sz w:val="22"/>
                <w:szCs w:val="22"/>
              </w:rPr>
            </w:pPr>
            <w:r>
              <w:rPr>
                <w:rFonts w:hint="eastAsia"/>
                <w:sz w:val="22"/>
                <w:szCs w:val="22"/>
              </w:rPr>
              <w:t>1.物业服务人员部分</w:t>
            </w:r>
          </w:p>
          <w:p w14:paraId="41392DDB">
            <w:pPr>
              <w:spacing w:line="560" w:lineRule="exact"/>
              <w:ind w:firstLine="0" w:firstLineChars="0"/>
              <w:jc w:val="left"/>
              <w:rPr>
                <w:sz w:val="22"/>
                <w:szCs w:val="22"/>
              </w:rPr>
            </w:pPr>
            <w:r>
              <w:rPr>
                <w:rFonts w:hint="eastAsia"/>
                <w:sz w:val="22"/>
                <w:szCs w:val="22"/>
              </w:rPr>
              <w:t>考核得分低于60分为不合格，物业服务人员须在10个日历天内完成整改，整改不到位或拒不整改者甲方有权要求乙方立即更换该名工作人员。</w:t>
            </w:r>
          </w:p>
          <w:p w14:paraId="00C4995B">
            <w:pPr>
              <w:spacing w:line="560" w:lineRule="exact"/>
              <w:ind w:firstLine="0" w:firstLineChars="0"/>
              <w:jc w:val="left"/>
              <w:rPr>
                <w:sz w:val="22"/>
                <w:szCs w:val="22"/>
              </w:rPr>
            </w:pPr>
            <w:r>
              <w:rPr>
                <w:rFonts w:hint="eastAsia"/>
                <w:sz w:val="22"/>
                <w:szCs w:val="22"/>
              </w:rPr>
              <w:t>2.物业整体服务部分</w:t>
            </w:r>
          </w:p>
          <w:p w14:paraId="6DFB8386">
            <w:pPr>
              <w:spacing w:line="560" w:lineRule="exact"/>
              <w:ind w:firstLine="0" w:firstLineChars="0"/>
              <w:jc w:val="left"/>
              <w:rPr>
                <w:sz w:val="22"/>
                <w:szCs w:val="22"/>
              </w:rPr>
            </w:pPr>
            <w:r>
              <w:rPr>
                <w:rFonts w:hint="eastAsia"/>
                <w:sz w:val="22"/>
                <w:szCs w:val="22"/>
              </w:rPr>
              <w:t>考核得分低于60分为不合格，乙方须在10个日历天内完成整改，整改不到位或拒不整改，甲方有权单方面无条件解除合同。</w:t>
            </w:r>
          </w:p>
        </w:tc>
      </w:tr>
    </w:tbl>
    <w:p w14:paraId="3B7D01C4">
      <w:pPr>
        <w:rPr>
          <w:rFonts w:hint="eastAsia" w:ascii="仿宋_GB2312" w:eastAsia="仿宋_GB2312"/>
          <w:sz w:val="22"/>
          <w:szCs w:val="22"/>
        </w:rPr>
      </w:pPr>
      <w:r>
        <w:rPr>
          <w:rFonts w:hint="eastAsia" w:ascii="仿宋_GB2312" w:eastAsia="仿宋_GB2312"/>
          <w:sz w:val="22"/>
          <w:szCs w:val="22"/>
        </w:rPr>
        <w:br w:type="page"/>
      </w:r>
    </w:p>
    <w:p w14:paraId="64D6ACD4">
      <w:pPr>
        <w:pStyle w:val="11"/>
        <w:spacing w:line="560" w:lineRule="exact"/>
        <w:ind w:right="-932" w:rightChars="-444" w:firstLine="0" w:firstLineChars="0"/>
        <w:rPr>
          <w:rFonts w:hint="eastAsia" w:ascii="仿宋_GB2312" w:eastAsia="仿宋_GB2312"/>
          <w:sz w:val="22"/>
          <w:szCs w:val="22"/>
        </w:rPr>
      </w:pPr>
      <w:r>
        <w:rPr>
          <w:rFonts w:hint="eastAsia" w:ascii="仿宋_GB2312" w:eastAsia="仿宋_GB2312"/>
          <w:sz w:val="22"/>
          <w:szCs w:val="22"/>
        </w:rPr>
        <w:t>附件2-2</w:t>
      </w:r>
    </w:p>
    <w:p w14:paraId="6E104937">
      <w:pPr>
        <w:pStyle w:val="5"/>
        <w:rPr>
          <w:rFonts w:hint="eastAsia" w:ascii="仿宋" w:hAnsi="仿宋" w:eastAsia="仿宋" w:cs="仿宋"/>
          <w:b/>
          <w:bCs/>
          <w:sz w:val="22"/>
          <w:szCs w:val="24"/>
        </w:rPr>
      </w:pPr>
      <w:r>
        <w:rPr>
          <w:rFonts w:hint="eastAsia" w:ascii="仿宋" w:hAnsi="仿宋" w:eastAsia="仿宋" w:cs="仿宋"/>
          <w:b/>
          <w:bCs/>
          <w:sz w:val="22"/>
          <w:szCs w:val="24"/>
        </w:rPr>
        <w:t>物业服务人员评分表（表一）</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270"/>
        <w:gridCol w:w="1038"/>
        <w:gridCol w:w="5513"/>
        <w:gridCol w:w="934"/>
      </w:tblGrid>
      <w:tr w14:paraId="28A27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90" w:hRule="atLeast"/>
          <w:tblHeader/>
        </w:trPr>
        <w:tc>
          <w:tcPr>
            <w:tcW w:w="9755" w:type="dxa"/>
            <w:gridSpan w:val="4"/>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519AC6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top"/>
              <w:rPr>
                <w:rFonts w:hint="default" w:eastAsia="宋体"/>
                <w:sz w:val="22"/>
                <w:szCs w:val="22"/>
                <w:lang w:val="en-US" w:eastAsia="zh-CN"/>
              </w:rPr>
            </w:pPr>
            <w:r>
              <w:rPr>
                <w:rFonts w:hint="eastAsia" w:ascii="仿宋" w:hAnsi="仿宋" w:eastAsia="仿宋" w:cs="仿宋"/>
                <w:sz w:val="22"/>
                <w:szCs w:val="22"/>
                <w:lang w:val="en-US" w:eastAsia="zh-CN"/>
              </w:rPr>
              <w:t>被考核人：               岗位：                                考核月份：    年    月</w:t>
            </w:r>
          </w:p>
        </w:tc>
      </w:tr>
      <w:tr w14:paraId="4DC2B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blHeader/>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0FBA12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top"/>
              <w:rPr>
                <w:rFonts w:hint="eastAsia" w:ascii="仿宋" w:hAnsi="仿宋" w:eastAsia="仿宋" w:cs="仿宋"/>
                <w:b/>
                <w:bCs/>
                <w:i w:val="0"/>
                <w:iCs w:val="0"/>
                <w:caps w:val="0"/>
                <w:spacing w:val="10"/>
                <w:sz w:val="22"/>
                <w:szCs w:val="22"/>
              </w:rPr>
            </w:pPr>
            <w:r>
              <w:rPr>
                <w:rFonts w:hint="eastAsia" w:ascii="仿宋" w:hAnsi="仿宋" w:eastAsia="仿宋" w:cs="仿宋"/>
                <w:b/>
                <w:bCs/>
                <w:i w:val="0"/>
                <w:iCs w:val="0"/>
                <w:caps w:val="0"/>
                <w:spacing w:val="10"/>
                <w:kern w:val="0"/>
                <w:sz w:val="22"/>
                <w:szCs w:val="22"/>
                <w:lang w:val="en-US" w:eastAsia="zh-CN" w:bidi="ar"/>
              </w:rPr>
              <w:t>考核项目</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75027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top"/>
              <w:rPr>
                <w:rFonts w:hint="eastAsia" w:ascii="仿宋" w:hAnsi="仿宋" w:eastAsia="仿宋" w:cs="仿宋"/>
                <w:b/>
                <w:bCs/>
                <w:i w:val="0"/>
                <w:iCs w:val="0"/>
                <w:caps w:val="0"/>
                <w:spacing w:val="10"/>
                <w:sz w:val="22"/>
                <w:szCs w:val="22"/>
              </w:rPr>
            </w:pPr>
            <w:r>
              <w:rPr>
                <w:rFonts w:hint="eastAsia" w:ascii="仿宋" w:hAnsi="仿宋" w:eastAsia="仿宋" w:cs="仿宋"/>
                <w:b/>
                <w:bCs/>
                <w:i w:val="0"/>
                <w:iCs w:val="0"/>
                <w:caps w:val="0"/>
                <w:spacing w:val="10"/>
                <w:kern w:val="0"/>
                <w:sz w:val="22"/>
                <w:szCs w:val="22"/>
                <w:lang w:val="en-US" w:eastAsia="zh-CN" w:bidi="ar"/>
              </w:rPr>
              <w:t>分值</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3CA7C0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top"/>
              <w:rPr>
                <w:rFonts w:hint="eastAsia" w:ascii="仿宋" w:hAnsi="仿宋" w:eastAsia="仿宋" w:cs="仿宋"/>
                <w:b/>
                <w:bCs/>
                <w:i w:val="0"/>
                <w:iCs w:val="0"/>
                <w:caps w:val="0"/>
                <w:spacing w:val="10"/>
                <w:sz w:val="22"/>
                <w:szCs w:val="22"/>
              </w:rPr>
            </w:pPr>
            <w:r>
              <w:rPr>
                <w:rFonts w:hint="eastAsia" w:ascii="仿宋" w:hAnsi="仿宋" w:eastAsia="仿宋" w:cs="仿宋"/>
                <w:b/>
                <w:bCs/>
                <w:i w:val="0"/>
                <w:iCs w:val="0"/>
                <w:caps w:val="0"/>
                <w:spacing w:val="10"/>
                <w:kern w:val="0"/>
                <w:sz w:val="22"/>
                <w:szCs w:val="22"/>
                <w:lang w:val="en-US" w:eastAsia="zh-CN" w:bidi="ar"/>
              </w:rPr>
              <w:t>评分标准</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40D7EE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top"/>
              <w:rPr>
                <w:rFonts w:hint="eastAsia" w:ascii="仿宋" w:hAnsi="仿宋" w:eastAsia="仿宋" w:cs="仿宋"/>
                <w:b/>
                <w:bCs/>
                <w:i w:val="0"/>
                <w:iCs w:val="0"/>
                <w:caps w:val="0"/>
                <w:spacing w:val="10"/>
                <w:sz w:val="22"/>
                <w:szCs w:val="22"/>
              </w:rPr>
            </w:pPr>
            <w:r>
              <w:rPr>
                <w:rFonts w:hint="eastAsia" w:ascii="仿宋" w:hAnsi="仿宋" w:eastAsia="仿宋" w:cs="仿宋"/>
                <w:b/>
                <w:bCs/>
                <w:i w:val="0"/>
                <w:iCs w:val="0"/>
                <w:caps w:val="0"/>
                <w:spacing w:val="10"/>
                <w:kern w:val="0"/>
                <w:sz w:val="22"/>
                <w:szCs w:val="22"/>
                <w:lang w:val="en-US" w:eastAsia="zh-CN" w:bidi="ar"/>
              </w:rPr>
              <w:t>得分</w:t>
            </w:r>
          </w:p>
        </w:tc>
      </w:tr>
      <w:tr w14:paraId="46B4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654F77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一、被投诉情况</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378C2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20分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5E019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Fonts w:hint="eastAsia" w:ascii="仿宋" w:hAnsi="仿宋" w:eastAsia="仿宋" w:cs="仿宋"/>
                <w:i w:val="0"/>
                <w:iCs w:val="0"/>
                <w:caps w:val="0"/>
                <w:spacing w:val="10"/>
                <w:kern w:val="0"/>
                <w:sz w:val="22"/>
                <w:szCs w:val="22"/>
                <w:lang w:val="en-US" w:eastAsia="zh-CN" w:bidi="ar"/>
              </w:rPr>
              <w:t>每起有效投诉扣10分，扣完为止。</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42645FFB">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r w14:paraId="271AD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42FB2D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二、仪容仪表</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42F6D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10分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709A7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Fonts w:hint="eastAsia" w:ascii="仿宋" w:hAnsi="仿宋" w:eastAsia="仿宋" w:cs="仿宋"/>
                <w:i w:val="0"/>
                <w:iCs w:val="0"/>
                <w:caps w:val="0"/>
                <w:spacing w:val="10"/>
                <w:kern w:val="0"/>
                <w:sz w:val="22"/>
                <w:szCs w:val="22"/>
                <w:lang w:val="en-US" w:eastAsia="zh-CN" w:bidi="ar"/>
              </w:rPr>
              <w:t>全员着装规范、佩戴工牌、符合岗位形象要求，发现1次不合规扣5分。</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6FEEEE88">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r w14:paraId="36B3A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19595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三、岗位纪律情况</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5A365B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10分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081F6F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Fonts w:hint="eastAsia" w:ascii="仿宋" w:hAnsi="仿宋" w:eastAsia="仿宋" w:cs="仿宋"/>
                <w:i w:val="0"/>
                <w:iCs w:val="0"/>
                <w:caps w:val="0"/>
                <w:spacing w:val="10"/>
                <w:kern w:val="0"/>
                <w:sz w:val="22"/>
                <w:szCs w:val="22"/>
                <w:lang w:val="en-US" w:eastAsia="zh-CN" w:bidi="ar"/>
              </w:rPr>
              <w:t>无迟到、早退、脱岗、睡岗现象，无违规工作时间使用手机等行为，发现1次扣5分。</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6BB64B1C">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r w14:paraId="4857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5F57D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四、职责落实情况</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54FFBC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30分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0CB02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Fonts w:hint="eastAsia" w:ascii="仿宋" w:hAnsi="仿宋" w:eastAsia="仿宋" w:cs="仿宋"/>
                <w:i w:val="0"/>
                <w:iCs w:val="0"/>
                <w:caps w:val="0"/>
                <w:spacing w:val="10"/>
                <w:kern w:val="0"/>
                <w:sz w:val="22"/>
                <w:szCs w:val="22"/>
                <w:lang w:val="en-US" w:eastAsia="zh-CN" w:bidi="ar"/>
              </w:rPr>
              <w:t>消防监控与秩序管理安全：门岗值守、巡逻检查、车辆管理、突发事件响应到位；</w:t>
            </w:r>
            <w:r>
              <w:rPr>
                <w:rFonts w:hint="eastAsia" w:ascii="仿宋" w:hAnsi="仿宋" w:eastAsia="仿宋" w:cs="仿宋"/>
                <w:i w:val="0"/>
                <w:iCs w:val="0"/>
                <w:caps w:val="0"/>
                <w:spacing w:val="10"/>
                <w:kern w:val="0"/>
                <w:sz w:val="22"/>
                <w:szCs w:val="22"/>
                <w:lang w:val="en-US" w:eastAsia="zh-CN" w:bidi="ar"/>
              </w:rPr>
              <w:br w:type="textWrapping"/>
            </w:r>
            <w:r>
              <w:rPr>
                <w:rFonts w:hint="eastAsia" w:ascii="仿宋" w:hAnsi="仿宋" w:eastAsia="仿宋" w:cs="仿宋"/>
                <w:i w:val="0"/>
                <w:iCs w:val="0"/>
                <w:caps w:val="0"/>
                <w:spacing w:val="10"/>
                <w:kern w:val="0"/>
                <w:sz w:val="22"/>
                <w:szCs w:val="22"/>
                <w:lang w:val="en-US" w:eastAsia="zh-CN" w:bidi="ar"/>
              </w:rPr>
              <w:t>保洁服务：清洁频次达标、无卫生死角、垃圾日产日清、消杀及时；</w:t>
            </w:r>
            <w:r>
              <w:rPr>
                <w:rFonts w:hint="eastAsia" w:ascii="仿宋" w:hAnsi="仿宋" w:eastAsia="仿宋" w:cs="仿宋"/>
                <w:i w:val="0"/>
                <w:iCs w:val="0"/>
                <w:caps w:val="0"/>
                <w:spacing w:val="10"/>
                <w:kern w:val="0"/>
                <w:sz w:val="22"/>
                <w:szCs w:val="22"/>
                <w:lang w:val="en-US" w:eastAsia="zh-CN" w:bidi="ar"/>
              </w:rPr>
              <w:br w:type="textWrapping"/>
            </w:r>
            <w:r>
              <w:rPr>
                <w:rFonts w:hint="eastAsia" w:ascii="仿宋" w:hAnsi="仿宋" w:eastAsia="仿宋" w:cs="仿宋"/>
                <w:i w:val="0"/>
                <w:iCs w:val="0"/>
                <w:caps w:val="0"/>
                <w:spacing w:val="10"/>
                <w:kern w:val="0"/>
                <w:sz w:val="22"/>
                <w:szCs w:val="22"/>
                <w:lang w:val="en-US" w:eastAsia="zh-CN" w:bidi="ar"/>
              </w:rPr>
              <w:t>工程管理：设备巡检到位、故障响应及时、维保计划执行、台账完整。</w:t>
            </w:r>
            <w:r>
              <w:rPr>
                <w:rFonts w:hint="eastAsia" w:ascii="仿宋" w:hAnsi="仿宋" w:eastAsia="仿宋" w:cs="仿宋"/>
                <w:i w:val="0"/>
                <w:iCs w:val="0"/>
                <w:caps w:val="0"/>
                <w:spacing w:val="10"/>
                <w:kern w:val="0"/>
                <w:sz w:val="22"/>
                <w:szCs w:val="22"/>
                <w:lang w:val="en-US" w:eastAsia="zh-CN" w:bidi="ar"/>
              </w:rPr>
              <w:br w:type="textWrapping"/>
            </w:r>
            <w:r>
              <w:rPr>
                <w:rFonts w:hint="eastAsia" w:ascii="仿宋" w:hAnsi="仿宋" w:eastAsia="仿宋" w:cs="仿宋"/>
                <w:i w:val="0"/>
                <w:iCs w:val="0"/>
                <w:caps w:val="0"/>
                <w:spacing w:val="10"/>
                <w:kern w:val="0"/>
                <w:sz w:val="22"/>
                <w:szCs w:val="22"/>
                <w:lang w:val="en-US" w:eastAsia="zh-CN" w:bidi="ar"/>
              </w:rPr>
              <w:t>（按岗位标准抽查，1处不到位扣5分）</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72AEA1AA">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r w14:paraId="3D88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3D67A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五、个人整体服务表现</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3B753D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30分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18593A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Fonts w:hint="eastAsia" w:ascii="仿宋" w:hAnsi="仿宋" w:eastAsia="仿宋" w:cs="仿宋"/>
                <w:i w:val="0"/>
                <w:iCs w:val="0"/>
                <w:caps w:val="0"/>
                <w:spacing w:val="10"/>
                <w:kern w:val="0"/>
                <w:sz w:val="22"/>
                <w:szCs w:val="22"/>
                <w:lang w:val="en-US" w:eastAsia="zh-CN" w:bidi="ar"/>
              </w:rPr>
              <w:t>服务态度主动热情、礼貌用语规范、业主反馈良好、内部协作顺畅。</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51F43D11">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r w14:paraId="4D9A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270"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4B3FB6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合计</w:t>
            </w:r>
          </w:p>
        </w:tc>
        <w:tc>
          <w:tcPr>
            <w:tcW w:w="1038"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201BB3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top"/>
              <w:rPr>
                <w:rFonts w:hint="eastAsia" w:ascii="仿宋" w:hAnsi="仿宋" w:eastAsia="仿宋" w:cs="仿宋"/>
                <w:i w:val="0"/>
                <w:iCs w:val="0"/>
                <w:caps w:val="0"/>
                <w:spacing w:val="10"/>
                <w:sz w:val="22"/>
                <w:szCs w:val="22"/>
              </w:rPr>
            </w:pPr>
            <w:r>
              <w:rPr>
                <w:rStyle w:val="23"/>
                <w:rFonts w:hint="eastAsia" w:ascii="仿宋" w:hAnsi="仿宋" w:eastAsia="仿宋" w:cs="仿宋"/>
                <w:b/>
                <w:bCs/>
                <w:i w:val="0"/>
                <w:iCs w:val="0"/>
                <w:caps w:val="0"/>
                <w:spacing w:val="10"/>
                <w:kern w:val="0"/>
                <w:sz w:val="22"/>
                <w:szCs w:val="22"/>
                <w:vertAlign w:val="baseline"/>
                <w:lang w:val="en-US" w:eastAsia="zh-CN" w:bidi="ar"/>
              </w:rPr>
              <w:t>100分</w:t>
            </w:r>
          </w:p>
        </w:tc>
        <w:tc>
          <w:tcPr>
            <w:tcW w:w="5513" w:type="dxa"/>
            <w:tcBorders>
              <w:top w:val="single" w:color="auto" w:sz="4" w:space="0"/>
              <w:left w:val="single" w:color="auto" w:sz="4" w:space="0"/>
              <w:bottom w:val="single" w:color="auto" w:sz="4" w:space="0"/>
              <w:right w:val="nil"/>
            </w:tcBorders>
            <w:shd w:val="clear" w:color="auto" w:fill="FFFFFF"/>
            <w:tcMar>
              <w:top w:w="200" w:type="dxa"/>
              <w:left w:w="200" w:type="dxa"/>
              <w:bottom w:w="200" w:type="dxa"/>
              <w:right w:w="200" w:type="dxa"/>
            </w:tcMar>
            <w:vAlign w:val="center"/>
          </w:tcPr>
          <w:p w14:paraId="515B8A88">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lang w:val="en-US" w:eastAsia="zh-CN"/>
              </w:rPr>
            </w:pPr>
            <w:r>
              <w:rPr>
                <w:rFonts w:hint="eastAsia" w:ascii="仿宋" w:hAnsi="仿宋" w:eastAsia="仿宋" w:cs="仿宋"/>
                <w:i w:val="0"/>
                <w:iCs w:val="0"/>
                <w:caps w:val="0"/>
                <w:spacing w:val="10"/>
                <w:sz w:val="22"/>
                <w:szCs w:val="22"/>
                <w:lang w:val="en-US" w:eastAsia="zh-CN"/>
              </w:rPr>
              <w:t>其他备注说明：</w:t>
            </w:r>
          </w:p>
        </w:tc>
        <w:tc>
          <w:tcPr>
            <w:tcW w:w="934" w:type="dxa"/>
            <w:tcBorders>
              <w:top w:val="single" w:color="auto" w:sz="4" w:space="0"/>
              <w:left w:val="single" w:color="auto" w:sz="4" w:space="0"/>
              <w:bottom w:val="single" w:color="auto" w:sz="4" w:space="0"/>
              <w:right w:val="single" w:color="auto" w:sz="4" w:space="0"/>
            </w:tcBorders>
            <w:shd w:val="clear" w:color="auto" w:fill="FFFFFF"/>
            <w:tcMar>
              <w:top w:w="200" w:type="dxa"/>
              <w:left w:w="200" w:type="dxa"/>
              <w:bottom w:w="200" w:type="dxa"/>
              <w:right w:w="200" w:type="dxa"/>
            </w:tcMar>
            <w:vAlign w:val="center"/>
          </w:tcPr>
          <w:p w14:paraId="65673113">
            <w:pPr>
              <w:keepNext w:val="0"/>
              <w:keepLines w:val="0"/>
              <w:pageBreakBefore w:val="0"/>
              <w:widowControl/>
              <w:kinsoku/>
              <w:wordWrap/>
              <w:overflowPunct/>
              <w:topLinePunct w:val="0"/>
              <w:autoSpaceDE/>
              <w:autoSpaceDN/>
              <w:bidi w:val="0"/>
              <w:adjustRightInd/>
              <w:snapToGrid/>
              <w:spacing w:line="440" w:lineRule="exact"/>
              <w:jc w:val="left"/>
              <w:rPr>
                <w:rFonts w:hint="eastAsia" w:ascii="仿宋" w:hAnsi="仿宋" w:eastAsia="仿宋" w:cs="仿宋"/>
                <w:i w:val="0"/>
                <w:iCs w:val="0"/>
                <w:caps w:val="0"/>
                <w:spacing w:val="10"/>
                <w:sz w:val="22"/>
                <w:szCs w:val="22"/>
              </w:rPr>
            </w:pPr>
          </w:p>
        </w:tc>
      </w:tr>
    </w:tbl>
    <w:p w14:paraId="5BF3AEEE">
      <w:pPr>
        <w:keepNext w:val="0"/>
        <w:keepLines w:val="0"/>
        <w:widowControl/>
        <w:suppressLineNumbers w:val="0"/>
        <w:jc w:val="left"/>
      </w:pPr>
    </w:p>
    <w:p w14:paraId="5C8CA455">
      <w:pPr>
        <w:pStyle w:val="5"/>
        <w:ind w:left="0" w:leftChars="0" w:firstLine="0" w:firstLineChars="0"/>
        <w:rPr>
          <w:rFonts w:hint="eastAsia" w:eastAsia="宋体"/>
          <w:lang w:eastAsia="zh-CN"/>
        </w:rPr>
      </w:pPr>
    </w:p>
    <w:p w14:paraId="24F9CFF2">
      <w:pPr>
        <w:rPr>
          <w:rFonts w:hint="eastAsia" w:ascii="仿宋_GB2312" w:eastAsia="仿宋_GB2312"/>
          <w:sz w:val="22"/>
          <w:szCs w:val="22"/>
        </w:rPr>
      </w:pPr>
      <w:r>
        <w:rPr>
          <w:rFonts w:hint="eastAsia" w:ascii="仿宋_GB2312" w:eastAsia="仿宋_GB2312"/>
          <w:sz w:val="22"/>
          <w:szCs w:val="22"/>
        </w:rPr>
        <w:br w:type="page"/>
      </w:r>
    </w:p>
    <w:p w14:paraId="5E171A9D">
      <w:pPr>
        <w:pStyle w:val="11"/>
        <w:spacing w:line="560" w:lineRule="exact"/>
        <w:ind w:firstLine="0" w:firstLineChars="0"/>
        <w:rPr>
          <w:rFonts w:ascii="仿宋_GB2312" w:eastAsia="仿宋_GB2312"/>
          <w:sz w:val="22"/>
          <w:szCs w:val="22"/>
        </w:rPr>
      </w:pPr>
      <w:r>
        <w:rPr>
          <w:rFonts w:hint="eastAsia" w:ascii="仿宋_GB2312" w:eastAsia="仿宋_GB2312"/>
          <w:sz w:val="22"/>
          <w:szCs w:val="22"/>
        </w:rPr>
        <w:t>附件2-3</w:t>
      </w:r>
    </w:p>
    <w:p w14:paraId="2FD066A1">
      <w:pPr>
        <w:spacing w:line="560" w:lineRule="exact"/>
        <w:ind w:firstLine="562"/>
        <w:jc w:val="center"/>
        <w:rPr>
          <w:rFonts w:ascii="仿宋_GB2312" w:hAnsi="宋体" w:eastAsia="仿宋_GB2312"/>
          <w:b/>
          <w:color w:val="000000"/>
          <w:sz w:val="22"/>
          <w:szCs w:val="22"/>
        </w:rPr>
      </w:pPr>
      <w:r>
        <w:rPr>
          <w:rFonts w:hint="eastAsia" w:ascii="仿宋_GB2312" w:hAnsi="宋体" w:eastAsia="仿宋_GB2312"/>
          <w:b/>
          <w:color w:val="000000"/>
          <w:sz w:val="22"/>
          <w:szCs w:val="22"/>
        </w:rPr>
        <w:t>物业整体服务考核评分表（表二）</w:t>
      </w:r>
    </w:p>
    <w:tbl>
      <w:tblPr>
        <w:tblStyle w:val="20"/>
        <w:tblW w:w="0" w:type="auto"/>
        <w:jc w:val="center"/>
        <w:tblLayout w:type="fixed"/>
        <w:tblCellMar>
          <w:top w:w="0" w:type="dxa"/>
          <w:left w:w="108" w:type="dxa"/>
          <w:bottom w:w="0" w:type="dxa"/>
          <w:right w:w="108" w:type="dxa"/>
        </w:tblCellMar>
      </w:tblPr>
      <w:tblGrid>
        <w:gridCol w:w="2747"/>
        <w:gridCol w:w="1780"/>
        <w:gridCol w:w="2260"/>
        <w:gridCol w:w="2660"/>
      </w:tblGrid>
      <w:tr w14:paraId="581E6175">
        <w:tblPrEx>
          <w:tblCellMar>
            <w:top w:w="0" w:type="dxa"/>
            <w:left w:w="108" w:type="dxa"/>
            <w:bottom w:w="0" w:type="dxa"/>
            <w:right w:w="108" w:type="dxa"/>
          </w:tblCellMar>
        </w:tblPrEx>
        <w:trPr>
          <w:trHeight w:val="780" w:hRule="atLeast"/>
          <w:jc w:val="center"/>
        </w:trPr>
        <w:tc>
          <w:tcPr>
            <w:tcW w:w="2747" w:type="dxa"/>
            <w:vMerge w:val="restart"/>
            <w:tcBorders>
              <w:top w:val="single" w:color="auto" w:sz="4" w:space="0"/>
              <w:left w:val="single" w:color="auto" w:sz="4" w:space="0"/>
              <w:bottom w:val="single" w:color="auto" w:sz="4" w:space="0"/>
              <w:right w:val="single" w:color="auto" w:sz="4" w:space="0"/>
            </w:tcBorders>
            <w:vAlign w:val="center"/>
          </w:tcPr>
          <w:p w14:paraId="2243663A">
            <w:pPr>
              <w:spacing w:line="560" w:lineRule="exact"/>
              <w:ind w:firstLine="0" w:firstLineChars="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考核要素及评分</w:t>
            </w:r>
          </w:p>
        </w:tc>
        <w:tc>
          <w:tcPr>
            <w:tcW w:w="1780" w:type="dxa"/>
            <w:tcBorders>
              <w:top w:val="single" w:color="auto" w:sz="4" w:space="0"/>
              <w:left w:val="nil"/>
              <w:bottom w:val="single" w:color="auto" w:sz="4" w:space="0"/>
              <w:right w:val="single" w:color="auto" w:sz="4" w:space="0"/>
            </w:tcBorders>
            <w:vAlign w:val="center"/>
          </w:tcPr>
          <w:p w14:paraId="7796CB0C">
            <w:pPr>
              <w:spacing w:line="560" w:lineRule="exact"/>
              <w:ind w:firstLine="0" w:firstLineChars="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物业服务人员考核情况（20分）</w:t>
            </w:r>
          </w:p>
        </w:tc>
        <w:tc>
          <w:tcPr>
            <w:tcW w:w="2260" w:type="dxa"/>
            <w:tcBorders>
              <w:top w:val="single" w:color="auto" w:sz="4" w:space="0"/>
              <w:left w:val="nil"/>
              <w:bottom w:val="single" w:color="auto" w:sz="4" w:space="0"/>
              <w:right w:val="single" w:color="auto" w:sz="4" w:space="0"/>
            </w:tcBorders>
            <w:vAlign w:val="center"/>
          </w:tcPr>
          <w:p w14:paraId="65EAC02D">
            <w:pPr>
              <w:spacing w:line="560" w:lineRule="exact"/>
              <w:ind w:firstLine="0" w:firstLineChars="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项目团队管理评价（30分）</w:t>
            </w:r>
          </w:p>
        </w:tc>
        <w:tc>
          <w:tcPr>
            <w:tcW w:w="2660" w:type="dxa"/>
            <w:tcBorders>
              <w:top w:val="single" w:color="auto" w:sz="4" w:space="0"/>
              <w:left w:val="nil"/>
              <w:bottom w:val="single" w:color="auto" w:sz="4" w:space="0"/>
              <w:right w:val="single" w:color="auto" w:sz="4" w:space="0"/>
            </w:tcBorders>
            <w:vAlign w:val="center"/>
          </w:tcPr>
          <w:p w14:paraId="1D5EB77A">
            <w:pPr>
              <w:spacing w:line="560" w:lineRule="exact"/>
              <w:ind w:firstLine="0" w:firstLineChars="0"/>
              <w:jc w:val="center"/>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物业服务整体评价</w:t>
            </w:r>
            <w:r>
              <w:rPr>
                <w:rFonts w:hint="eastAsia" w:ascii="仿宋" w:hAnsi="仿宋" w:eastAsia="仿宋" w:cs="仿宋"/>
                <w:color w:val="000000"/>
                <w:kern w:val="0"/>
                <w:sz w:val="22"/>
                <w:szCs w:val="22"/>
              </w:rPr>
              <w:br w:type="textWrapping"/>
            </w:r>
            <w:r>
              <w:rPr>
                <w:rFonts w:hint="eastAsia" w:ascii="仿宋" w:hAnsi="仿宋" w:eastAsia="仿宋" w:cs="仿宋"/>
                <w:color w:val="000000"/>
                <w:kern w:val="0"/>
                <w:sz w:val="22"/>
                <w:szCs w:val="22"/>
              </w:rPr>
              <w:t>（50分）</w:t>
            </w:r>
          </w:p>
        </w:tc>
      </w:tr>
      <w:tr w14:paraId="031D63CB">
        <w:tblPrEx>
          <w:tblCellMar>
            <w:top w:w="0" w:type="dxa"/>
            <w:left w:w="108" w:type="dxa"/>
            <w:bottom w:w="0" w:type="dxa"/>
            <w:right w:w="108" w:type="dxa"/>
          </w:tblCellMar>
        </w:tblPrEx>
        <w:trPr>
          <w:trHeight w:val="3525" w:hRule="atLeast"/>
          <w:jc w:val="center"/>
        </w:trPr>
        <w:tc>
          <w:tcPr>
            <w:tcW w:w="2747" w:type="dxa"/>
            <w:vMerge w:val="continue"/>
            <w:tcBorders>
              <w:top w:val="single" w:color="auto" w:sz="4" w:space="0"/>
              <w:left w:val="single" w:color="auto" w:sz="4" w:space="0"/>
              <w:bottom w:val="single" w:color="auto" w:sz="4" w:space="0"/>
              <w:right w:val="single" w:color="auto" w:sz="4" w:space="0"/>
            </w:tcBorders>
            <w:vAlign w:val="center"/>
          </w:tcPr>
          <w:p w14:paraId="5F5EFE61">
            <w:pPr>
              <w:spacing w:line="560" w:lineRule="exact"/>
              <w:ind w:firstLine="440"/>
              <w:jc w:val="center"/>
              <w:rPr>
                <w:rFonts w:hint="eastAsia" w:ascii="仿宋" w:hAnsi="仿宋" w:eastAsia="仿宋" w:cs="仿宋"/>
                <w:color w:val="000000"/>
                <w:kern w:val="0"/>
                <w:sz w:val="22"/>
                <w:szCs w:val="22"/>
              </w:rPr>
            </w:pPr>
          </w:p>
        </w:tc>
        <w:tc>
          <w:tcPr>
            <w:tcW w:w="1780" w:type="dxa"/>
            <w:tcBorders>
              <w:top w:val="nil"/>
              <w:left w:val="nil"/>
              <w:bottom w:val="single" w:color="auto" w:sz="4" w:space="0"/>
              <w:right w:val="single" w:color="auto" w:sz="4" w:space="0"/>
            </w:tcBorders>
            <w:vAlign w:val="center"/>
          </w:tcPr>
          <w:p w14:paraId="7F8ECF77">
            <w:pPr>
              <w:spacing w:line="560" w:lineRule="exact"/>
              <w:ind w:firstLine="0" w:firstLineChars="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物业服务人员当月考核分低于60，每多一位加扣5分，扣完为止。</w:t>
            </w:r>
          </w:p>
        </w:tc>
        <w:tc>
          <w:tcPr>
            <w:tcW w:w="2260" w:type="dxa"/>
            <w:tcBorders>
              <w:top w:val="nil"/>
              <w:left w:val="nil"/>
              <w:bottom w:val="single" w:color="auto" w:sz="4" w:space="0"/>
              <w:right w:val="single" w:color="auto" w:sz="4" w:space="0"/>
            </w:tcBorders>
            <w:vAlign w:val="center"/>
          </w:tcPr>
          <w:p w14:paraId="57827347">
            <w:pPr>
              <w:spacing w:line="560" w:lineRule="exact"/>
              <w:ind w:firstLine="0" w:firstLineChars="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掌握团队员工信息，关注员工动态，及时主动向公司汇报员工情况。团队建设有思考，团队管理高效，人员稳定，凝聚力及合作意识强，能定期组织培训。</w:t>
            </w:r>
          </w:p>
        </w:tc>
        <w:tc>
          <w:tcPr>
            <w:tcW w:w="2660" w:type="dxa"/>
            <w:tcBorders>
              <w:top w:val="nil"/>
              <w:left w:val="nil"/>
              <w:bottom w:val="single" w:color="auto" w:sz="4" w:space="0"/>
              <w:right w:val="single" w:color="auto" w:sz="4" w:space="0"/>
            </w:tcBorders>
            <w:vAlign w:val="center"/>
          </w:tcPr>
          <w:p w14:paraId="4E0E70BC">
            <w:pPr>
              <w:spacing w:line="560" w:lineRule="exact"/>
              <w:ind w:firstLine="0" w:firstLineChars="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机器人剧场</w:t>
            </w:r>
            <w:r>
              <w:rPr>
                <w:rFonts w:hint="eastAsia" w:ascii="仿宋" w:hAnsi="仿宋" w:eastAsia="仿宋" w:cs="仿宋"/>
                <w:color w:val="000000"/>
                <w:kern w:val="0"/>
                <w:sz w:val="22"/>
                <w:szCs w:val="22"/>
              </w:rPr>
              <w:t>物业服务工作整体表现突出，</w:t>
            </w:r>
            <w:r>
              <w:rPr>
                <w:rFonts w:hint="eastAsia" w:ascii="仿宋" w:hAnsi="仿宋" w:eastAsia="仿宋" w:cs="仿宋"/>
                <w:color w:val="000000"/>
                <w:kern w:val="0"/>
                <w:sz w:val="22"/>
                <w:szCs w:val="22"/>
                <w:lang w:val="en-US" w:eastAsia="zh-CN"/>
              </w:rPr>
              <w:t>消防监控与秩序管理</w:t>
            </w:r>
            <w:r>
              <w:rPr>
                <w:rFonts w:hint="eastAsia" w:ascii="仿宋" w:hAnsi="仿宋" w:eastAsia="仿宋" w:cs="仿宋"/>
                <w:color w:val="000000"/>
                <w:kern w:val="0"/>
                <w:sz w:val="22"/>
                <w:szCs w:val="22"/>
              </w:rPr>
              <w:t>服务工作细致高效，安全保障严管有力，</w:t>
            </w:r>
            <w:r>
              <w:rPr>
                <w:rFonts w:hint="eastAsia" w:ascii="仿宋" w:hAnsi="仿宋" w:eastAsia="仿宋" w:cs="仿宋"/>
                <w:color w:val="000000"/>
                <w:kern w:val="0"/>
                <w:sz w:val="22"/>
                <w:szCs w:val="22"/>
                <w:lang w:val="en-US" w:eastAsia="zh-CN"/>
              </w:rPr>
              <w:t>剧场</w:t>
            </w:r>
            <w:r>
              <w:rPr>
                <w:rFonts w:hint="eastAsia" w:ascii="仿宋" w:hAnsi="仿宋" w:eastAsia="仿宋" w:cs="仿宋"/>
                <w:color w:val="000000"/>
                <w:kern w:val="0"/>
                <w:sz w:val="22"/>
                <w:szCs w:val="22"/>
              </w:rPr>
              <w:t>环境整洁舒适，问题整改及时到位，整体服务效率高，能高效配合</w:t>
            </w:r>
            <w:r>
              <w:rPr>
                <w:rFonts w:hint="eastAsia" w:ascii="仿宋" w:hAnsi="仿宋" w:eastAsia="仿宋" w:cs="仿宋"/>
                <w:color w:val="000000"/>
                <w:kern w:val="0"/>
                <w:sz w:val="22"/>
                <w:szCs w:val="22"/>
                <w:lang w:val="en-US" w:eastAsia="zh-CN"/>
              </w:rPr>
              <w:t>机器人剧场现场需求</w:t>
            </w:r>
            <w:r>
              <w:rPr>
                <w:rFonts w:hint="eastAsia" w:ascii="仿宋" w:hAnsi="仿宋" w:eastAsia="仿宋" w:cs="仿宋"/>
                <w:color w:val="000000"/>
                <w:kern w:val="0"/>
                <w:sz w:val="22"/>
                <w:szCs w:val="22"/>
              </w:rPr>
              <w:t>完成工作，</w:t>
            </w:r>
            <w:r>
              <w:rPr>
                <w:rFonts w:hint="eastAsia" w:ascii="仿宋" w:hAnsi="仿宋" w:eastAsia="仿宋" w:cs="仿宋"/>
                <w:color w:val="000000"/>
                <w:kern w:val="0"/>
                <w:sz w:val="22"/>
                <w:szCs w:val="22"/>
                <w:lang w:val="en-US" w:eastAsia="zh-CN"/>
              </w:rPr>
              <w:t>甲方</w:t>
            </w:r>
            <w:r>
              <w:rPr>
                <w:rFonts w:hint="eastAsia" w:ascii="仿宋" w:hAnsi="仿宋" w:eastAsia="仿宋" w:cs="仿宋"/>
                <w:color w:val="000000"/>
                <w:kern w:val="0"/>
                <w:sz w:val="22"/>
                <w:szCs w:val="22"/>
              </w:rPr>
              <w:t>对</w:t>
            </w:r>
            <w:r>
              <w:rPr>
                <w:rFonts w:hint="eastAsia" w:ascii="仿宋" w:hAnsi="仿宋" w:eastAsia="仿宋" w:cs="仿宋"/>
                <w:color w:val="000000"/>
                <w:kern w:val="0"/>
                <w:sz w:val="22"/>
                <w:szCs w:val="22"/>
                <w:lang w:val="en-US" w:eastAsia="zh-CN"/>
              </w:rPr>
              <w:t>机器人大道</w:t>
            </w:r>
            <w:r>
              <w:rPr>
                <w:rFonts w:hint="eastAsia" w:ascii="仿宋" w:hAnsi="仿宋" w:eastAsia="仿宋" w:cs="仿宋"/>
                <w:color w:val="000000"/>
                <w:kern w:val="0"/>
                <w:sz w:val="22"/>
                <w:szCs w:val="22"/>
              </w:rPr>
              <w:t>物业服务给予肯定。</w:t>
            </w:r>
          </w:p>
        </w:tc>
      </w:tr>
      <w:tr w14:paraId="0234BF31">
        <w:tblPrEx>
          <w:tblCellMar>
            <w:top w:w="0" w:type="dxa"/>
            <w:left w:w="108" w:type="dxa"/>
            <w:bottom w:w="0" w:type="dxa"/>
            <w:right w:w="108" w:type="dxa"/>
          </w:tblCellMar>
        </w:tblPrEx>
        <w:trPr>
          <w:trHeight w:val="480" w:hRule="atLeast"/>
          <w:jc w:val="center"/>
        </w:trPr>
        <w:tc>
          <w:tcPr>
            <w:tcW w:w="2747" w:type="dxa"/>
            <w:tcBorders>
              <w:top w:val="nil"/>
              <w:left w:val="single" w:color="auto" w:sz="4" w:space="0"/>
              <w:bottom w:val="single" w:color="auto" w:sz="4" w:space="0"/>
              <w:right w:val="single" w:color="auto" w:sz="4" w:space="0"/>
            </w:tcBorders>
            <w:noWrap/>
            <w:vAlign w:val="center"/>
          </w:tcPr>
          <w:p w14:paraId="1AF6B42C">
            <w:pPr>
              <w:spacing w:line="560" w:lineRule="exact"/>
              <w:ind w:firstLine="0" w:firstLineChars="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分项得分</w:t>
            </w:r>
          </w:p>
        </w:tc>
        <w:tc>
          <w:tcPr>
            <w:tcW w:w="1780" w:type="dxa"/>
            <w:tcBorders>
              <w:top w:val="nil"/>
              <w:left w:val="nil"/>
              <w:bottom w:val="single" w:color="auto" w:sz="4" w:space="0"/>
              <w:right w:val="single" w:color="auto" w:sz="4" w:space="0"/>
            </w:tcBorders>
            <w:noWrap/>
            <w:vAlign w:val="center"/>
          </w:tcPr>
          <w:p w14:paraId="432AF82F">
            <w:pPr>
              <w:spacing w:line="560" w:lineRule="exact"/>
              <w:ind w:firstLine="44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260" w:type="dxa"/>
            <w:tcBorders>
              <w:top w:val="nil"/>
              <w:left w:val="nil"/>
              <w:bottom w:val="single" w:color="auto" w:sz="4" w:space="0"/>
              <w:right w:val="single" w:color="auto" w:sz="4" w:space="0"/>
            </w:tcBorders>
            <w:noWrap/>
            <w:vAlign w:val="center"/>
          </w:tcPr>
          <w:p w14:paraId="032C2DCB">
            <w:pPr>
              <w:spacing w:line="560" w:lineRule="exact"/>
              <w:ind w:firstLine="44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c>
          <w:tcPr>
            <w:tcW w:w="2660" w:type="dxa"/>
            <w:tcBorders>
              <w:top w:val="nil"/>
              <w:left w:val="nil"/>
              <w:bottom w:val="single" w:color="auto" w:sz="4" w:space="0"/>
              <w:right w:val="single" w:color="auto" w:sz="4" w:space="0"/>
            </w:tcBorders>
            <w:noWrap/>
            <w:vAlign w:val="center"/>
          </w:tcPr>
          <w:p w14:paraId="37236B7B">
            <w:pPr>
              <w:spacing w:line="560" w:lineRule="exact"/>
              <w:ind w:firstLine="44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r w14:paraId="3014A681">
        <w:tblPrEx>
          <w:tblCellMar>
            <w:top w:w="0" w:type="dxa"/>
            <w:left w:w="108" w:type="dxa"/>
            <w:bottom w:w="0" w:type="dxa"/>
            <w:right w:w="108" w:type="dxa"/>
          </w:tblCellMar>
        </w:tblPrEx>
        <w:trPr>
          <w:trHeight w:val="540" w:hRule="atLeast"/>
          <w:jc w:val="center"/>
        </w:trPr>
        <w:tc>
          <w:tcPr>
            <w:tcW w:w="2747" w:type="dxa"/>
            <w:tcBorders>
              <w:top w:val="nil"/>
              <w:left w:val="single" w:color="auto" w:sz="4" w:space="0"/>
              <w:bottom w:val="single" w:color="auto" w:sz="4" w:space="0"/>
              <w:right w:val="single" w:color="auto" w:sz="4" w:space="0"/>
            </w:tcBorders>
            <w:noWrap/>
            <w:vAlign w:val="center"/>
          </w:tcPr>
          <w:p w14:paraId="7A86ED3B">
            <w:pPr>
              <w:spacing w:line="560" w:lineRule="exact"/>
              <w:ind w:firstLine="0" w:firstLineChars="0"/>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总分</w:t>
            </w:r>
          </w:p>
        </w:tc>
        <w:tc>
          <w:tcPr>
            <w:tcW w:w="6700" w:type="dxa"/>
            <w:gridSpan w:val="3"/>
            <w:tcBorders>
              <w:top w:val="single" w:color="auto" w:sz="4" w:space="0"/>
              <w:left w:val="nil"/>
              <w:bottom w:val="single" w:color="auto" w:sz="4" w:space="0"/>
              <w:right w:val="single" w:color="auto" w:sz="4" w:space="0"/>
            </w:tcBorders>
            <w:noWrap/>
            <w:vAlign w:val="center"/>
          </w:tcPr>
          <w:p w14:paraId="281C9D93">
            <w:pPr>
              <w:spacing w:line="560" w:lineRule="exact"/>
              <w:ind w:firstLine="44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bl>
    <w:p w14:paraId="445B0BE9">
      <w:pPr>
        <w:pStyle w:val="5"/>
        <w:rPr>
          <w:rFonts w:hint="eastAsia"/>
          <w:lang w:val="en-US" w:eastAsia="zh-CN"/>
        </w:rPr>
        <w:sectPr>
          <w:footerReference r:id="rId5" w:type="default"/>
          <w:pgSz w:w="11906" w:h="16838"/>
          <w:pgMar w:top="1418" w:right="1133" w:bottom="1418" w:left="1418" w:header="851" w:footer="992" w:gutter="0"/>
          <w:cols w:space="720" w:num="1"/>
          <w:rtlGutter w:val="1"/>
          <w:docGrid w:type="linesAndChars" w:linePitch="312" w:charSpace="0"/>
        </w:sectPr>
      </w:pPr>
    </w:p>
    <w:p w14:paraId="6E40C589">
      <w:pPr>
        <w:pStyle w:val="11"/>
        <w:spacing w:line="560" w:lineRule="exact"/>
        <w:ind w:firstLine="0" w:firstLineChars="0"/>
        <w:rPr>
          <w:rFonts w:ascii="仿宋_GB2312" w:eastAsia="仿宋_GB2312"/>
          <w:sz w:val="22"/>
          <w:szCs w:val="22"/>
        </w:rPr>
      </w:pPr>
      <w:r>
        <w:rPr>
          <w:rFonts w:hint="eastAsia" w:ascii="仿宋_GB2312" w:eastAsia="仿宋_GB2312"/>
          <w:sz w:val="22"/>
          <w:szCs w:val="22"/>
        </w:rPr>
        <w:t>附件3</w:t>
      </w:r>
    </w:p>
    <w:p w14:paraId="7A59A265">
      <w:pPr>
        <w:keepNext w:val="0"/>
        <w:keepLines w:val="0"/>
        <w:pageBreakBefore w:val="0"/>
        <w:widowControl w:val="0"/>
        <w:tabs>
          <w:tab w:val="left" w:pos="3800"/>
        </w:tabs>
        <w:kinsoku/>
        <w:wordWrap/>
        <w:overflowPunct/>
        <w:topLinePunct w:val="0"/>
        <w:autoSpaceDE/>
        <w:autoSpaceDN/>
        <w:bidi w:val="0"/>
        <w:spacing w:line="520" w:lineRule="exact"/>
        <w:ind w:firstLine="723"/>
        <w:jc w:val="center"/>
        <w:textAlignment w:val="auto"/>
        <w:rPr>
          <w:rFonts w:ascii="仿宋_GB2312" w:hAnsi="宋体" w:eastAsia="仿宋_GB2312"/>
          <w:b/>
          <w:color w:val="000000"/>
          <w:sz w:val="22"/>
          <w:szCs w:val="22"/>
        </w:rPr>
      </w:pPr>
      <w:r>
        <w:rPr>
          <w:rFonts w:hint="eastAsia" w:ascii="仿宋_GB2312" w:hAnsi="宋体" w:eastAsia="仿宋_GB2312"/>
          <w:b/>
          <w:color w:val="000000"/>
          <w:sz w:val="22"/>
          <w:szCs w:val="22"/>
        </w:rPr>
        <w:t>保 密 协 议</w:t>
      </w:r>
    </w:p>
    <w:p w14:paraId="1DE348CC">
      <w:pPr>
        <w:keepNext w:val="0"/>
        <w:keepLines w:val="0"/>
        <w:pageBreakBefore w:val="0"/>
        <w:widowControl w:val="0"/>
        <w:tabs>
          <w:tab w:val="left" w:pos="3800"/>
        </w:tabs>
        <w:kinsoku/>
        <w:wordWrap/>
        <w:overflowPunct/>
        <w:topLinePunct w:val="0"/>
        <w:autoSpaceDE/>
        <w:autoSpaceDN/>
        <w:bidi w:val="0"/>
        <w:spacing w:line="520" w:lineRule="exact"/>
        <w:ind w:firstLine="723"/>
        <w:jc w:val="center"/>
        <w:textAlignment w:val="auto"/>
        <w:rPr>
          <w:rFonts w:ascii="宋体" w:hAnsi="宋体"/>
          <w:b/>
          <w:color w:val="000000"/>
          <w:sz w:val="22"/>
          <w:szCs w:val="22"/>
        </w:rPr>
      </w:pPr>
    </w:p>
    <w:p w14:paraId="2DEC5D93">
      <w:pPr>
        <w:keepNext w:val="0"/>
        <w:keepLines w:val="0"/>
        <w:pageBreakBefore w:val="0"/>
        <w:widowControl w:val="0"/>
        <w:kinsoku/>
        <w:wordWrap/>
        <w:overflowPunct/>
        <w:topLinePunct w:val="0"/>
        <w:autoSpaceDE/>
        <w:autoSpaceDN/>
        <w:bidi w:val="0"/>
        <w:adjustRightInd w:val="0"/>
        <w:snapToGrid w:val="0"/>
        <w:spacing w:line="520" w:lineRule="exact"/>
        <w:ind w:firstLine="562"/>
        <w:jc w:val="left"/>
        <w:textAlignment w:val="auto"/>
        <w:rPr>
          <w:rFonts w:ascii="仿宋_GB2312" w:hAnsi="宋体" w:eastAsia="仿宋_GB2312"/>
          <w:color w:val="000000"/>
          <w:sz w:val="22"/>
          <w:szCs w:val="22"/>
        </w:rPr>
      </w:pPr>
      <w:r>
        <w:rPr>
          <w:rFonts w:hint="eastAsia" w:ascii="仿宋_GB2312" w:hAnsi="宋体" w:eastAsia="仿宋_GB2312"/>
          <w:b/>
          <w:color w:val="000000"/>
          <w:sz w:val="22"/>
          <w:szCs w:val="22"/>
        </w:rPr>
        <w:t>甲方：</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w:t>
      </w:r>
    </w:p>
    <w:p w14:paraId="1536FDF4">
      <w:pPr>
        <w:keepNext w:val="0"/>
        <w:keepLines w:val="0"/>
        <w:pageBreakBefore w:val="0"/>
        <w:widowControl w:val="0"/>
        <w:kinsoku/>
        <w:wordWrap/>
        <w:overflowPunct/>
        <w:topLinePunct w:val="0"/>
        <w:autoSpaceDE/>
        <w:autoSpaceDN/>
        <w:bidi w:val="0"/>
        <w:adjustRightInd w:val="0"/>
        <w:snapToGrid w:val="0"/>
        <w:spacing w:line="520" w:lineRule="exact"/>
        <w:ind w:firstLine="562"/>
        <w:jc w:val="left"/>
        <w:textAlignment w:val="auto"/>
        <w:rPr>
          <w:rFonts w:hint="eastAsia" w:ascii="仿宋_GB2312" w:hAnsi="宋体" w:eastAsia="仿宋_GB2312"/>
          <w:b/>
          <w:color w:val="000000"/>
          <w:sz w:val="22"/>
          <w:szCs w:val="22"/>
          <w:lang w:eastAsia="zh-CN"/>
        </w:rPr>
      </w:pPr>
      <w:r>
        <w:rPr>
          <w:rFonts w:hint="eastAsia" w:ascii="仿宋_GB2312" w:hAnsi="宋体" w:eastAsia="仿宋_GB2312"/>
          <w:b/>
          <w:color w:val="000000"/>
          <w:sz w:val="22"/>
          <w:szCs w:val="22"/>
        </w:rPr>
        <w:t>乙方：</w:t>
      </w:r>
      <w:r>
        <w:rPr>
          <w:rFonts w:hint="eastAsia" w:ascii="仿宋_GB2312" w:hAnsi="宋体" w:eastAsia="仿宋_GB2312"/>
          <w:bCs/>
          <w:color w:val="000000"/>
          <w:sz w:val="22"/>
          <w:szCs w:val="22"/>
          <w:lang w:val="en-US" w:eastAsia="zh-CN"/>
        </w:rPr>
        <w:t xml:space="preserve"> </w:t>
      </w:r>
    </w:p>
    <w:p w14:paraId="7A966861">
      <w:pPr>
        <w:keepNext w:val="0"/>
        <w:keepLines w:val="0"/>
        <w:pageBreakBefore w:val="0"/>
        <w:widowControl w:val="0"/>
        <w:kinsoku/>
        <w:wordWrap/>
        <w:overflowPunct/>
        <w:topLinePunct w:val="0"/>
        <w:autoSpaceDE/>
        <w:autoSpaceDN/>
        <w:bidi w:val="0"/>
        <w:spacing w:line="520" w:lineRule="exact"/>
        <w:ind w:firstLine="560"/>
        <w:textAlignment w:val="auto"/>
        <w:rPr>
          <w:rFonts w:ascii="仿宋_GB2312" w:hAnsi="宋体" w:eastAsia="仿宋_GB2312"/>
          <w:color w:val="000000"/>
          <w:sz w:val="22"/>
          <w:szCs w:val="22"/>
        </w:rPr>
      </w:pPr>
      <w:r>
        <w:rPr>
          <w:rFonts w:hint="eastAsia" w:ascii="仿宋_GB2312" w:hAnsi="宋体" w:eastAsia="仿宋_GB2312"/>
          <w:color w:val="000000"/>
          <w:sz w:val="22"/>
          <w:szCs w:val="22"/>
        </w:rPr>
        <w:t>鉴于乙方在</w:t>
      </w:r>
      <w:r>
        <w:rPr>
          <w:rFonts w:hint="eastAsia" w:ascii="仿宋_GB2312" w:hAnsi="宋体" w:eastAsia="仿宋_GB2312"/>
          <w:color w:val="000000"/>
          <w:sz w:val="22"/>
          <w:szCs w:val="22"/>
          <w:u w:val="single"/>
        </w:rPr>
        <w:t xml:space="preserve"> </w:t>
      </w:r>
      <w:r>
        <w:rPr>
          <w:rFonts w:hint="eastAsia" w:ascii="仿宋_GB2312" w:hAnsi="宋体" w:eastAsia="仿宋_GB2312"/>
          <w:color w:val="000000"/>
          <w:sz w:val="22"/>
          <w:szCs w:val="22"/>
          <w:u w:val="single"/>
          <w:lang w:val="en-US" w:eastAsia="zh-CN"/>
        </w:rPr>
        <w:t>机器人剧场过渡期前期咨询专项服务与临时性物业基础管理</w:t>
      </w:r>
      <w:r>
        <w:rPr>
          <w:rFonts w:hint="eastAsia" w:ascii="仿宋_GB2312" w:hAnsi="宋体" w:eastAsia="仿宋_GB2312"/>
          <w:color w:val="000000"/>
          <w:sz w:val="22"/>
          <w:szCs w:val="22"/>
          <w:u w:val="single"/>
        </w:rPr>
        <w:t xml:space="preserve">服务 </w:t>
      </w:r>
      <w:r>
        <w:rPr>
          <w:rFonts w:hint="eastAsia" w:ascii="仿宋_GB2312" w:hAnsi="宋体" w:eastAsia="仿宋_GB2312"/>
          <w:color w:val="000000"/>
          <w:sz w:val="22"/>
          <w:szCs w:val="22"/>
        </w:rPr>
        <w:t>（以下简称“本项目”）过程中，已经或将要接触或获得涉及甲方的保密资料及将在该项目实施过程中形成的资料，经甲乙双方友好协商，甲方愿意向乙方披露相关保密资料，乙方承诺按照本协议的约定对甲方的保密资料予以保密。</w:t>
      </w:r>
    </w:p>
    <w:p w14:paraId="4F3106A7">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一、“保密资料”包括：</w:t>
      </w:r>
    </w:p>
    <w:p w14:paraId="0CEA853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乙方应对本次合作项目在接触、签约及履行等任一过程中自甲方（或下属企业、关联单位、合作伙伴、政府部门单位及工作人员）获得的涉密商业信息、资料、数据、规章制度等（“保密信息”），承担保密责任。乙方应本着谨慎、诚信的态度，采取任何必要、合理的措施，对甲方信息予以保密，不得对信息进行未经授权的披露、复制或使用。</w:t>
      </w:r>
    </w:p>
    <w:p w14:paraId="479D3439">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 xml:space="preserve">1.保密信息包括但不限于下述内容： </w:t>
      </w:r>
    </w:p>
    <w:p w14:paraId="4463447F">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(1)乙方通过甲方工作人员获得的任何不被公众所知的信息；</w:t>
      </w:r>
    </w:p>
    <w:p w14:paraId="5E9AAC83">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(2)涉及甲方及甲方下属企业的相关资料和信息（价值评估、产品技术、市场营销、发展计划和内部经营管理情况等信息）；</w:t>
      </w:r>
    </w:p>
    <w:p w14:paraId="227EFFBE">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包括但不限于如下内容：</w:t>
      </w:r>
    </w:p>
    <w:p w14:paraId="31A8D5E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a.技术信息：技术方案、计算机软件、数据库、技术数据、技术指标、专有技术、软件、技术文档、涉及商业秘密的业务函电等；</w:t>
      </w:r>
    </w:p>
    <w:p w14:paraId="6CC6EF0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b.经营信息：人员组织架构信息、薪酬制度、绩效制度、股权方案、财务制度、管理制度、不公开的财务资料、公司战略策略、公司客户及项目信息等；</w:t>
      </w:r>
    </w:p>
    <w:p w14:paraId="3C8A7153">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c.运营数据、研究报告、预测和估计、商业计划、商业秘密、商业模式等任何或所有的商业信息、技术资料；</w:t>
      </w:r>
    </w:p>
    <w:p w14:paraId="7DB14F3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(3)乙方通过甲方渠道获得的甲方承诺有保密义务的第三方（含关联单位、政府部门单位及其工作人员）的商业信息、资料和数据。</w:t>
      </w:r>
    </w:p>
    <w:p w14:paraId="0E1D8EF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(4)由甲方制作的、与下属企业情况相关的任何原始资料、记录、文件、报告、分析、编辑研究、法律意见以及其他材料或文件；</w:t>
      </w:r>
    </w:p>
    <w:p w14:paraId="5F8F680E">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(5)甲方及甲方下属企业的各项规章制度；</w:t>
      </w:r>
    </w:p>
    <w:p w14:paraId="1FEC5C9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(6)甲方本身及甲方与乙方为本次合作项目而达成的任何合同、协议、约定或在本次合作过程中产生的任何会议纪要、会谈记录等；</w:t>
      </w:r>
    </w:p>
    <w:p w14:paraId="229FE4BC">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(7)甲方向乙方及其雇员提供的不被公众所知的任何资料或信息。</w:t>
      </w:r>
    </w:p>
    <w:p w14:paraId="0274A859">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除上述文件外，保密信息还包括本保密协议签署日之前或之后来自双方及双方的任何管理人员、职员及代理人的书面或口头的往来资料，及依据该等往来资料由双方或其代理人、顾问所作的分析及撰写的文件。</w:t>
      </w:r>
    </w:p>
    <w:p w14:paraId="79BC9C03">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3．如因合作需要，乙方需要进入甲方的生产现场参观考察的，乙方须严格遵守甲方的相关现场管理规定及保密责任，且只能让与合作有密切相关的人员进入，不得夹杂其他人员。在生产现场所获取的一切信息只供双方的该次合作使用，不可用作其他用途。</w:t>
      </w:r>
    </w:p>
    <w:p w14:paraId="3DB0EB2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上述保密信息无论以何种形式存在（包括但不限于数据、图表、胶片、光盘、文件、计算机媒介和网络），也无论是否以口头、文件、演示或其他形式提供，也无论是否记载或标注为保密信息，均不影响其在本协议项下的保密性质。</w:t>
      </w:r>
    </w:p>
    <w:p w14:paraId="60104922">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二、项目定义：</w:t>
      </w:r>
    </w:p>
    <w:p w14:paraId="67DFA8C7">
      <w:pPr>
        <w:keepNext w:val="0"/>
        <w:keepLines w:val="0"/>
        <w:pageBreakBefore w:val="0"/>
        <w:widowControl w:val="0"/>
        <w:kinsoku/>
        <w:wordWrap/>
        <w:overflowPunct/>
        <w:topLinePunct w:val="0"/>
        <w:autoSpaceDE/>
        <w:autoSpaceDN/>
        <w:bidi w:val="0"/>
        <w:adjustRightInd w:val="0"/>
        <w:snapToGrid w:val="0"/>
        <w:spacing w:line="520" w:lineRule="exact"/>
        <w:ind w:firstLine="550" w:firstLineChars="250"/>
        <w:jc w:val="left"/>
        <w:textAlignment w:val="auto"/>
        <w:rPr>
          <w:rFonts w:ascii="仿宋_GB2312" w:hAnsi="宋体" w:eastAsia="仿宋_GB2312"/>
          <w:color w:val="000000"/>
          <w:sz w:val="22"/>
          <w:szCs w:val="22"/>
        </w:rPr>
      </w:pPr>
      <w:r>
        <w:rPr>
          <w:rFonts w:hint="eastAsia" w:ascii="仿宋_GB2312" w:hAnsi="宋体" w:eastAsia="仿宋_GB2312"/>
          <w:color w:val="000000"/>
          <w:sz w:val="22"/>
          <w:szCs w:val="22"/>
        </w:rPr>
        <w:t>专指经甲方招投标，乙方中标的</w:t>
      </w:r>
      <w:r>
        <w:rPr>
          <w:rFonts w:hint="eastAsia" w:ascii="仿宋_GB2312" w:hAnsi="宋体" w:eastAsia="仿宋_GB2312"/>
          <w:b/>
          <w:color w:val="000000"/>
          <w:sz w:val="22"/>
          <w:szCs w:val="22"/>
          <w:u w:val="single"/>
        </w:rPr>
        <w:t xml:space="preserve"> </w:t>
      </w:r>
      <w:r>
        <w:rPr>
          <w:rFonts w:hint="eastAsia" w:ascii="仿宋_GB2312" w:hAnsi="宋体" w:eastAsia="仿宋_GB2312"/>
          <w:b/>
          <w:color w:val="000000"/>
          <w:sz w:val="22"/>
          <w:szCs w:val="22"/>
          <w:u w:val="single"/>
          <w:lang w:val="en-US" w:eastAsia="zh-CN"/>
        </w:rPr>
        <w:t xml:space="preserve"> </w:t>
      </w:r>
      <w:r>
        <w:rPr>
          <w:rFonts w:hint="eastAsia" w:ascii="仿宋_GB2312" w:hAnsi="宋体" w:eastAsia="仿宋_GB2312" w:cs="Times New Roman"/>
          <w:color w:val="000000"/>
          <w:sz w:val="22"/>
          <w:szCs w:val="22"/>
          <w:u w:val="single"/>
          <w:lang w:val="en-US" w:eastAsia="zh-CN"/>
        </w:rPr>
        <w:t>机器人剧场过渡期前期咨询专项服务与临时性物业基础管理服务</w:t>
      </w:r>
      <w:r>
        <w:rPr>
          <w:rFonts w:hint="eastAsia" w:ascii="仿宋_GB2312" w:hAnsi="宋体" w:eastAsia="仿宋_GB2312"/>
          <w:b/>
          <w:color w:val="000000"/>
          <w:sz w:val="22"/>
          <w:szCs w:val="22"/>
          <w:u w:val="single"/>
        </w:rPr>
        <w:t xml:space="preserve"> </w:t>
      </w:r>
      <w:r>
        <w:rPr>
          <w:rFonts w:hint="eastAsia" w:ascii="仿宋_GB2312" w:hAnsi="宋体" w:eastAsia="仿宋_GB2312"/>
          <w:color w:val="000000"/>
          <w:sz w:val="22"/>
          <w:szCs w:val="22"/>
        </w:rPr>
        <w:t>项目。</w:t>
      </w:r>
    </w:p>
    <w:p w14:paraId="3DE8F546">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三、保密义务：</w:t>
      </w:r>
    </w:p>
    <w:p w14:paraId="7F8FD4D4">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1.乙方保证遵守国家法律和国家有关部门制定的保密法规，严格控制甲方所披露的保密资料，保护的程度不能低于乙方保护自己的保密资料。无论如何，乙方对该保密资料的保护程度不能低于一个管理良好的技术企业保护自己的保密资料的保护程度；</w:t>
      </w:r>
    </w:p>
    <w:p w14:paraId="12F88694">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2.乙方保证采取所有必要的方法对甲方提供的保密资料进行保密，包括但不限于执行和坚持适当的作业程序来避免非授权透露、使用或复制保密资料；</w:t>
      </w:r>
    </w:p>
    <w:p w14:paraId="2F16F82C">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3.乙方保证在任何情况下，除经甲方同意下或依照法律强制性的要求外，不向任何第三方透露或披露甲方的保密资料以及本协议的存在或本协议的任何内容；</w:t>
      </w:r>
    </w:p>
    <w:p w14:paraId="4A39723C">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4.如果乙方基于法律、法规、判决、裁定（包括按照传票、法院或政府处理程序）的要求而必需披露相关的保密资料，乙方应当事先尽快通知甲方，同时，乙方应当尽最大的努力帮助甲方有效地防止或限制该保密资料的传播；</w:t>
      </w:r>
    </w:p>
    <w:p w14:paraId="458E5AE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5.乙方不得有损害甲方利益的其他泄密和使用行为。</w:t>
      </w:r>
    </w:p>
    <w:p w14:paraId="3CF4A663">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四、保密资料的使用方式和不使用义务：</w:t>
      </w:r>
    </w:p>
    <w:p w14:paraId="27A0AC4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1.乙方只能为完成本项目而使用保密资料；</w:t>
      </w:r>
    </w:p>
    <w:p w14:paraId="5965A10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2.除乙方为完成本项目需要时而将保密资料披露给必须直接参与本项工作、必须知晓保密资料的职员之外，乙方不能将保密资料透露给其它任何人；</w:t>
      </w:r>
    </w:p>
    <w:p w14:paraId="510EAF5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3.乙方不能将此保密资料的全部或部分进行复制或仿造；</w:t>
      </w:r>
    </w:p>
    <w:p w14:paraId="21E159D5">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4.乙方应当告知并以适当方式要求其参与本项工作之雇员遵守本协议规定，若参与本项工作之雇员（包括已离职员工）违反本协议规定，乙方应承担连带责任；</w:t>
      </w:r>
    </w:p>
    <w:p w14:paraId="119F0BB4">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5.乙方不得在甲方规定的时间前，将任何资料提前公布，乙方运送甲方资料时，必须做好相关保密工作。</w:t>
      </w:r>
    </w:p>
    <w:p w14:paraId="116E904E">
      <w:pPr>
        <w:keepNext w:val="0"/>
        <w:keepLines w:val="0"/>
        <w:pageBreakBefore w:val="0"/>
        <w:widowControl w:val="0"/>
        <w:kinsoku/>
        <w:wordWrap/>
        <w:overflowPunct/>
        <w:topLinePunct w:val="0"/>
        <w:autoSpaceDE/>
        <w:autoSpaceDN/>
        <w:bidi w:val="0"/>
        <w:spacing w:after="240" w:line="520" w:lineRule="exact"/>
        <w:ind w:firstLine="562"/>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五、保密资料的交回：</w:t>
      </w:r>
    </w:p>
    <w:p w14:paraId="39222280">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1.当甲方以书面形式要求乙方交回保密资料时，乙方应当立即交回所有书面的或其他有形的保密资料以及所有描述和概括该保密资料的文件；</w:t>
      </w:r>
    </w:p>
    <w:p w14:paraId="474A059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2.没有甲方的书面许可，乙方不得丢弃和处理任何书面的或其他有形的保密资料。</w:t>
      </w:r>
    </w:p>
    <w:p w14:paraId="28F17133">
      <w:pPr>
        <w:keepNext w:val="0"/>
        <w:keepLines w:val="0"/>
        <w:pageBreakBefore w:val="0"/>
        <w:widowControl w:val="0"/>
        <w:kinsoku/>
        <w:wordWrap/>
        <w:overflowPunct/>
        <w:topLinePunct w:val="0"/>
        <w:autoSpaceDE/>
        <w:autoSpaceDN/>
        <w:bidi w:val="0"/>
        <w:spacing w:after="240" w:line="520" w:lineRule="exact"/>
        <w:ind w:firstLine="562"/>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六、知识产权：</w:t>
      </w:r>
    </w:p>
    <w:p w14:paraId="1F6CD54A">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除非甲方明确地授权，乙方不能认为甲方授予其包含该保密资料的任何专利权、专利申请权、商标权、著作权、商业秘密或其它的知识产权。</w:t>
      </w:r>
    </w:p>
    <w:p w14:paraId="28EE7838">
      <w:pPr>
        <w:keepNext w:val="0"/>
        <w:keepLines w:val="0"/>
        <w:pageBreakBefore w:val="0"/>
        <w:widowControl w:val="0"/>
        <w:kinsoku/>
        <w:wordWrap/>
        <w:overflowPunct/>
        <w:topLinePunct w:val="0"/>
        <w:autoSpaceDE/>
        <w:autoSpaceDN/>
        <w:bidi w:val="0"/>
        <w:spacing w:after="240" w:line="520" w:lineRule="exact"/>
        <w:ind w:firstLine="562"/>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七、违约救济：如果发生乙方违约，双方同意依如下条款处理：</w:t>
      </w:r>
    </w:p>
    <w:p w14:paraId="26AC1E7D">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1.乙方应当尽最大的努力帮助甲方有效地防止或限制该保密资料的传播或按照甲方的指示采取有效的方法对该保密资料进行保密，所需费用由乙方承担；</w:t>
      </w:r>
    </w:p>
    <w:p w14:paraId="683D9A7F">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2.乙方应当赔偿甲方的所有损失，包括但不限于法院诉讼的费用、合理的律师酬金和费用、所有损失或损害等等。</w:t>
      </w:r>
    </w:p>
    <w:p w14:paraId="22793916">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同时，乙方按项目合同费用总金额的15% 向甲方支付保密违约金。</w:t>
      </w:r>
    </w:p>
    <w:p w14:paraId="45F84805">
      <w:pPr>
        <w:keepNext w:val="0"/>
        <w:keepLines w:val="0"/>
        <w:pageBreakBefore w:val="0"/>
        <w:widowControl w:val="0"/>
        <w:kinsoku/>
        <w:wordWrap/>
        <w:overflowPunct/>
        <w:topLinePunct w:val="0"/>
        <w:autoSpaceDE/>
        <w:autoSpaceDN/>
        <w:bidi w:val="0"/>
        <w:spacing w:line="520" w:lineRule="exact"/>
        <w:ind w:firstLine="562"/>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八、适用法律：</w:t>
      </w:r>
    </w:p>
    <w:p w14:paraId="5FEAFE8D">
      <w:pPr>
        <w:keepNext w:val="0"/>
        <w:keepLines w:val="0"/>
        <w:pageBreakBefore w:val="0"/>
        <w:widowControl w:val="0"/>
        <w:kinsoku/>
        <w:wordWrap/>
        <w:overflowPunct/>
        <w:topLinePunct w:val="0"/>
        <w:autoSpaceDE/>
        <w:autoSpaceDN/>
        <w:bidi w:val="0"/>
        <w:adjustRightInd w:val="0"/>
        <w:snapToGrid w:val="0"/>
        <w:spacing w:line="520" w:lineRule="exact"/>
        <w:ind w:firstLine="560"/>
        <w:jc w:val="left"/>
        <w:textAlignment w:val="auto"/>
        <w:rPr>
          <w:rFonts w:ascii="仿宋_GB2312" w:hAnsi="宋体" w:eastAsia="仿宋_GB2312" w:cs="Tahoma"/>
          <w:color w:val="000000"/>
          <w:sz w:val="22"/>
          <w:szCs w:val="22"/>
        </w:rPr>
      </w:pPr>
      <w:r>
        <w:rPr>
          <w:rFonts w:hint="eastAsia" w:ascii="仿宋_GB2312" w:hAnsi="宋体" w:eastAsia="仿宋_GB2312" w:cs="Tahoma"/>
          <w:color w:val="000000"/>
          <w:sz w:val="22"/>
          <w:szCs w:val="22"/>
        </w:rPr>
        <w:t>本协议适用中华人民共和国法律，并在所有方面依其进行解释。</w:t>
      </w:r>
    </w:p>
    <w:p w14:paraId="76411417">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九、争议的解决：</w:t>
      </w:r>
    </w:p>
    <w:p w14:paraId="4661BEEF">
      <w:pPr>
        <w:pStyle w:val="9"/>
        <w:keepNext w:val="0"/>
        <w:keepLines w:val="0"/>
        <w:pageBreakBefore w:val="0"/>
        <w:widowControl w:val="0"/>
        <w:kinsoku/>
        <w:wordWrap/>
        <w:overflowPunct/>
        <w:topLinePunct w:val="0"/>
        <w:autoSpaceDE/>
        <w:autoSpaceDN/>
        <w:bidi w:val="0"/>
        <w:adjustRightInd w:val="0"/>
        <w:snapToGrid w:val="0"/>
        <w:spacing w:line="520" w:lineRule="exact"/>
        <w:ind w:firstLine="560"/>
        <w:textAlignment w:val="auto"/>
        <w:rPr>
          <w:rFonts w:ascii="仿宋_GB2312" w:hAnsi="宋体" w:eastAsia="仿宋_GB2312" w:cs="Tahoma"/>
          <w:color w:val="000000"/>
          <w:sz w:val="22"/>
          <w:szCs w:val="22"/>
        </w:rPr>
      </w:pPr>
      <w:r>
        <w:rPr>
          <w:rFonts w:hint="eastAsia" w:ascii="仿宋_GB2312" w:hAnsi="宋体" w:eastAsia="仿宋_GB2312" w:cs="Tahoma"/>
          <w:color w:val="000000"/>
          <w:sz w:val="22"/>
          <w:szCs w:val="22"/>
        </w:rPr>
        <w:t>由本协议产生的一切争议由双方友好协商解决。协商不成，双方约定本协议纠纷的管辖法院为甲方所在地法院。</w:t>
      </w:r>
    </w:p>
    <w:p w14:paraId="6D9340C5">
      <w:pPr>
        <w:keepNext w:val="0"/>
        <w:keepLines w:val="0"/>
        <w:pageBreakBefore w:val="0"/>
        <w:widowControl w:val="0"/>
        <w:kinsoku/>
        <w:wordWrap/>
        <w:overflowPunct/>
        <w:topLinePunct w:val="0"/>
        <w:autoSpaceDE/>
        <w:autoSpaceDN/>
        <w:bidi w:val="0"/>
        <w:spacing w:after="240" w:line="520" w:lineRule="exact"/>
        <w:ind w:firstLine="562"/>
        <w:jc w:val="left"/>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十、协议的生效：</w:t>
      </w:r>
    </w:p>
    <w:p w14:paraId="7930FAC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本协议在甲乙双方法定代表人或其授权代表签字（或盖章）并加盖印章后生效。本协议一式伍份，其中甲方执叁份、乙方执贰份，具有同等法律效力。</w:t>
      </w:r>
    </w:p>
    <w:p w14:paraId="14C6E6CA">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p>
    <w:p w14:paraId="1D0A422A">
      <w:pPr>
        <w:keepNext w:val="0"/>
        <w:keepLines w:val="0"/>
        <w:pageBreakBefore w:val="0"/>
        <w:widowControl w:val="0"/>
        <w:kinsoku/>
        <w:wordWrap/>
        <w:overflowPunct/>
        <w:topLinePunct w:val="0"/>
        <w:autoSpaceDE/>
        <w:autoSpaceDN/>
        <w:bidi w:val="0"/>
        <w:spacing w:beforeLines="50" w:afterLines="50" w:line="520" w:lineRule="exact"/>
        <w:ind w:firstLine="560"/>
        <w:textAlignment w:val="auto"/>
        <w:rPr>
          <w:rFonts w:ascii="仿宋_GB2312" w:hAnsi="宋体" w:eastAsia="仿宋_GB2312"/>
          <w:color w:val="000000"/>
          <w:sz w:val="22"/>
          <w:szCs w:val="22"/>
        </w:rPr>
      </w:pPr>
      <w:r>
        <w:rPr>
          <w:rFonts w:hint="eastAsia" w:ascii="仿宋_GB2312" w:hAnsi="宋体" w:eastAsia="仿宋_GB2312"/>
          <w:color w:val="000000"/>
          <w:sz w:val="22"/>
          <w:szCs w:val="22"/>
        </w:rPr>
        <w:t>甲方（盖章）：                        乙方（盖章）：</w:t>
      </w:r>
    </w:p>
    <w:p w14:paraId="4CBF55F2">
      <w:pPr>
        <w:keepNext w:val="0"/>
        <w:keepLines w:val="0"/>
        <w:pageBreakBefore w:val="0"/>
        <w:widowControl w:val="0"/>
        <w:kinsoku/>
        <w:wordWrap/>
        <w:overflowPunct/>
        <w:topLinePunct w:val="0"/>
        <w:autoSpaceDE/>
        <w:autoSpaceDN/>
        <w:bidi w:val="0"/>
        <w:spacing w:beforeLines="50" w:afterLines="50" w:line="520" w:lineRule="exact"/>
        <w:ind w:firstLine="560"/>
        <w:textAlignment w:val="auto"/>
        <w:rPr>
          <w:rFonts w:ascii="仿宋_GB2312" w:hAnsi="宋体" w:eastAsia="仿宋_GB2312"/>
          <w:color w:val="000000"/>
          <w:sz w:val="22"/>
          <w:szCs w:val="22"/>
        </w:rPr>
      </w:pPr>
      <w:r>
        <w:rPr>
          <w:rFonts w:hint="eastAsia" w:ascii="仿宋_GB2312" w:hAnsi="宋体" w:eastAsia="仿宋_GB2312"/>
          <w:color w:val="000000"/>
          <w:sz w:val="22"/>
          <w:szCs w:val="22"/>
        </w:rPr>
        <w:t>法定代表人签字：                     法定代表人签字：</w:t>
      </w:r>
    </w:p>
    <w:p w14:paraId="04BA2C0E">
      <w:pPr>
        <w:keepNext w:val="0"/>
        <w:keepLines w:val="0"/>
        <w:pageBreakBefore w:val="0"/>
        <w:widowControl w:val="0"/>
        <w:kinsoku/>
        <w:wordWrap/>
        <w:overflowPunct/>
        <w:topLinePunct w:val="0"/>
        <w:autoSpaceDE/>
        <w:autoSpaceDN/>
        <w:bidi w:val="0"/>
        <w:spacing w:beforeLines="50" w:afterLines="50" w:line="520" w:lineRule="exact"/>
        <w:ind w:firstLine="560"/>
        <w:textAlignment w:val="auto"/>
        <w:rPr>
          <w:rFonts w:ascii="仿宋_GB2312" w:hAnsi="宋体" w:eastAsia="仿宋_GB2312"/>
          <w:color w:val="000000"/>
          <w:sz w:val="22"/>
          <w:szCs w:val="22"/>
        </w:rPr>
      </w:pPr>
      <w:r>
        <w:rPr>
          <w:rFonts w:hint="eastAsia" w:ascii="仿宋_GB2312" w:hAnsi="宋体" w:eastAsia="仿宋_GB2312"/>
          <w:color w:val="000000"/>
          <w:sz w:val="22"/>
          <w:szCs w:val="22"/>
        </w:rPr>
        <w:t>（或）授权代表签字：                （或）授权代表签字：</w:t>
      </w:r>
    </w:p>
    <w:p w14:paraId="50F6430D">
      <w:pPr>
        <w:keepNext w:val="0"/>
        <w:keepLines w:val="0"/>
        <w:pageBreakBefore w:val="0"/>
        <w:widowControl w:val="0"/>
        <w:kinsoku/>
        <w:wordWrap/>
        <w:overflowPunct/>
        <w:topLinePunct w:val="0"/>
        <w:autoSpaceDE/>
        <w:autoSpaceDN/>
        <w:bidi w:val="0"/>
        <w:adjustRightInd w:val="0"/>
        <w:snapToGrid w:val="0"/>
        <w:spacing w:line="520" w:lineRule="exact"/>
        <w:ind w:firstLine="562"/>
        <w:jc w:val="left"/>
        <w:textAlignment w:val="auto"/>
        <w:rPr>
          <w:rFonts w:ascii="仿宋_GB2312" w:hAnsi="宋体" w:eastAsia="仿宋_GB2312"/>
          <w:b/>
          <w:color w:val="000000"/>
          <w:sz w:val="22"/>
          <w:szCs w:val="22"/>
        </w:rPr>
      </w:pPr>
      <w:r>
        <w:rPr>
          <w:rFonts w:hint="eastAsia" w:ascii="仿宋_GB2312" w:hAnsi="宋体" w:eastAsia="仿宋_GB2312"/>
          <w:color w:val="000000"/>
          <w:sz w:val="22"/>
          <w:szCs w:val="22"/>
        </w:rPr>
        <w:t>签字日期：   年  月   日            签字日期：   年  月   日</w:t>
      </w:r>
    </w:p>
    <w:p w14:paraId="017D2E6C">
      <w:pPr>
        <w:adjustRightInd w:val="0"/>
        <w:snapToGrid w:val="0"/>
        <w:spacing w:line="560" w:lineRule="exact"/>
        <w:ind w:left="0" w:leftChars="0" w:firstLine="0" w:firstLineChars="0"/>
        <w:jc w:val="left"/>
        <w:rPr>
          <w:rFonts w:ascii="仿宋_GB2312" w:hAnsi="宋体" w:eastAsia="仿宋_GB2312"/>
          <w:b/>
          <w:color w:val="000000"/>
          <w:sz w:val="22"/>
          <w:szCs w:val="22"/>
        </w:rPr>
      </w:pPr>
    </w:p>
    <w:p w14:paraId="7AB78758">
      <w:pPr>
        <w:spacing w:beforeLines="50" w:afterLines="50" w:line="560" w:lineRule="exact"/>
        <w:ind w:firstLine="0" w:firstLineChars="0"/>
        <w:rPr>
          <w:rFonts w:ascii="宋体" w:hAnsi="宋体"/>
          <w:sz w:val="22"/>
          <w:szCs w:val="22"/>
        </w:rPr>
      </w:pPr>
      <w:r>
        <w:rPr>
          <w:rFonts w:hint="eastAsia" w:ascii="仿宋_GB2312" w:hAnsi="宋体" w:eastAsia="仿宋_GB2312"/>
          <w:b/>
          <w:color w:val="000000"/>
          <w:sz w:val="22"/>
          <w:szCs w:val="22"/>
        </w:rPr>
        <w:br w:type="page"/>
      </w:r>
      <w:r>
        <w:rPr>
          <w:rFonts w:hint="eastAsia" w:ascii="仿宋_GB2312" w:hAnsi="宋体" w:eastAsia="仿宋_GB2312"/>
          <w:sz w:val="22"/>
          <w:szCs w:val="22"/>
        </w:rPr>
        <w:t>附件4</w:t>
      </w:r>
    </w:p>
    <w:p w14:paraId="4CCA35C6">
      <w:pPr>
        <w:keepNext w:val="0"/>
        <w:keepLines w:val="0"/>
        <w:pageBreakBefore w:val="0"/>
        <w:widowControl w:val="0"/>
        <w:kinsoku/>
        <w:wordWrap/>
        <w:overflowPunct/>
        <w:topLinePunct w:val="0"/>
        <w:autoSpaceDE/>
        <w:autoSpaceDN/>
        <w:bidi w:val="0"/>
        <w:adjustRightInd w:val="0"/>
        <w:snapToGrid w:val="0"/>
        <w:spacing w:line="520" w:lineRule="exact"/>
        <w:ind w:firstLine="723"/>
        <w:jc w:val="center"/>
        <w:textAlignment w:val="auto"/>
        <w:rPr>
          <w:rFonts w:ascii="仿宋_GB2312" w:hAnsi="宋体" w:eastAsia="仿宋_GB2312"/>
          <w:b/>
          <w:color w:val="000000"/>
          <w:sz w:val="22"/>
          <w:szCs w:val="22"/>
        </w:rPr>
      </w:pPr>
      <w:r>
        <w:rPr>
          <w:rFonts w:hint="eastAsia" w:ascii="仿宋_GB2312" w:hAnsi="宋体" w:eastAsia="仿宋_GB2312"/>
          <w:b/>
          <w:color w:val="000000"/>
          <w:sz w:val="22"/>
          <w:szCs w:val="22"/>
        </w:rPr>
        <w:t>廉洁协议书</w:t>
      </w:r>
    </w:p>
    <w:p w14:paraId="69E73A44">
      <w:pPr>
        <w:keepNext w:val="0"/>
        <w:keepLines w:val="0"/>
        <w:pageBreakBefore w:val="0"/>
        <w:widowControl w:val="0"/>
        <w:kinsoku/>
        <w:wordWrap/>
        <w:overflowPunct/>
        <w:topLinePunct w:val="0"/>
        <w:autoSpaceDE/>
        <w:autoSpaceDN/>
        <w:bidi w:val="0"/>
        <w:adjustRightInd w:val="0"/>
        <w:snapToGrid w:val="0"/>
        <w:spacing w:line="520" w:lineRule="exact"/>
        <w:ind w:firstLine="482"/>
        <w:jc w:val="center"/>
        <w:textAlignment w:val="auto"/>
        <w:rPr>
          <w:rFonts w:ascii="宋体" w:hAnsi="宋体"/>
          <w:b/>
          <w:color w:val="000000"/>
          <w:sz w:val="22"/>
          <w:szCs w:val="22"/>
        </w:rPr>
      </w:pPr>
    </w:p>
    <w:p w14:paraId="0AB48871">
      <w:pPr>
        <w:keepNext w:val="0"/>
        <w:keepLines w:val="0"/>
        <w:pageBreakBefore w:val="0"/>
        <w:widowControl w:val="0"/>
        <w:kinsoku/>
        <w:wordWrap/>
        <w:overflowPunct/>
        <w:topLinePunct w:val="0"/>
        <w:autoSpaceDE/>
        <w:autoSpaceDN/>
        <w:bidi w:val="0"/>
        <w:adjustRightInd w:val="0"/>
        <w:snapToGrid w:val="0"/>
        <w:spacing w:line="520" w:lineRule="exact"/>
        <w:ind w:firstLine="560"/>
        <w:jc w:val="left"/>
        <w:textAlignment w:val="auto"/>
        <w:rPr>
          <w:rFonts w:ascii="仿宋_GB2312" w:hAnsi="宋体" w:eastAsia="仿宋_GB2312"/>
          <w:color w:val="000000"/>
          <w:spacing w:val="-20"/>
          <w:sz w:val="22"/>
          <w:szCs w:val="22"/>
          <w:u w:val="single"/>
        </w:rPr>
      </w:pPr>
      <w:r>
        <w:rPr>
          <w:rFonts w:hint="eastAsia" w:ascii="仿宋_GB2312" w:hAnsi="宋体" w:eastAsia="仿宋_GB2312" w:cs="宋体"/>
          <w:color w:val="000000"/>
          <w:sz w:val="22"/>
          <w:szCs w:val="22"/>
        </w:rPr>
        <w:t>甲方：</w:t>
      </w:r>
      <w:r>
        <w:rPr>
          <w:rFonts w:hint="eastAsia" w:ascii="仿宋_GB2312" w:hAnsi="宋体" w:eastAsia="仿宋_GB2312"/>
          <w:color w:val="000000"/>
          <w:spacing w:val="-20"/>
          <w:sz w:val="22"/>
          <w:szCs w:val="22"/>
          <w:u w:val="single"/>
        </w:rPr>
        <w:t xml:space="preserve"> </w:t>
      </w:r>
      <w:r>
        <w:rPr>
          <w:rFonts w:hint="eastAsia" w:ascii="仿宋_GB2312" w:hAnsi="宋体" w:eastAsia="仿宋_GB2312"/>
          <w:color w:val="000000"/>
          <w:sz w:val="22"/>
          <w:szCs w:val="22"/>
          <w:u w:val="single"/>
          <w:lang w:val="en-US" w:eastAsia="zh-CN"/>
        </w:rPr>
        <w:t xml:space="preserve">                           </w:t>
      </w:r>
      <w:r>
        <w:rPr>
          <w:rFonts w:hint="eastAsia" w:ascii="仿宋_GB2312" w:hAnsi="宋体" w:eastAsia="仿宋_GB2312"/>
          <w:color w:val="000000"/>
          <w:sz w:val="22"/>
          <w:szCs w:val="22"/>
          <w:u w:val="single"/>
        </w:rPr>
        <w:t xml:space="preserve"> </w:t>
      </w:r>
      <w:r>
        <w:rPr>
          <w:rFonts w:hint="eastAsia" w:ascii="仿宋_GB2312" w:hAnsi="宋体" w:eastAsia="仿宋_GB2312" w:cs="宋体"/>
          <w:b/>
          <w:color w:val="000000"/>
          <w:sz w:val="22"/>
          <w:szCs w:val="22"/>
          <w:u w:val="single"/>
        </w:rPr>
        <w:t xml:space="preserve"> </w:t>
      </w:r>
      <w:r>
        <w:rPr>
          <w:rFonts w:hint="eastAsia" w:ascii="仿宋_GB2312" w:hAnsi="宋体" w:eastAsia="仿宋_GB2312"/>
          <w:color w:val="000000"/>
          <w:spacing w:val="-20"/>
          <w:sz w:val="22"/>
          <w:szCs w:val="22"/>
          <w:u w:val="single"/>
        </w:rPr>
        <w:t xml:space="preserve">  </w:t>
      </w:r>
    </w:p>
    <w:p w14:paraId="42EAB254">
      <w:pPr>
        <w:keepNext w:val="0"/>
        <w:keepLines w:val="0"/>
        <w:pageBreakBefore w:val="0"/>
        <w:widowControl w:val="0"/>
        <w:kinsoku/>
        <w:wordWrap/>
        <w:overflowPunct/>
        <w:topLinePunct w:val="0"/>
        <w:autoSpaceDE/>
        <w:autoSpaceDN/>
        <w:bidi w:val="0"/>
        <w:adjustRightInd w:val="0"/>
        <w:snapToGrid w:val="0"/>
        <w:spacing w:line="520" w:lineRule="exact"/>
        <w:ind w:firstLine="560"/>
        <w:jc w:val="left"/>
        <w:textAlignment w:val="auto"/>
        <w:rPr>
          <w:rFonts w:ascii="仿宋_GB2312" w:hAnsi="宋体" w:eastAsia="仿宋_GB2312"/>
          <w:color w:val="000000"/>
          <w:sz w:val="22"/>
          <w:szCs w:val="22"/>
          <w:u w:val="single"/>
        </w:rPr>
      </w:pPr>
      <w:r>
        <w:rPr>
          <w:rFonts w:hint="eastAsia" w:ascii="仿宋_GB2312" w:hAnsi="宋体" w:eastAsia="仿宋_GB2312" w:cs="宋体"/>
          <w:color w:val="000000"/>
          <w:sz w:val="22"/>
          <w:szCs w:val="22"/>
        </w:rPr>
        <w:t>乙方：</w:t>
      </w:r>
      <w:r>
        <w:rPr>
          <w:rFonts w:hint="eastAsia" w:ascii="仿宋_GB2312" w:hAnsi="宋体" w:eastAsia="仿宋_GB2312" w:cs="宋体"/>
          <w:color w:val="000000"/>
          <w:sz w:val="22"/>
          <w:szCs w:val="22"/>
          <w:u w:val="single"/>
        </w:rPr>
        <w:t xml:space="preserve"> </w:t>
      </w:r>
      <w:r>
        <w:rPr>
          <w:rFonts w:hint="eastAsia" w:ascii="仿宋_GB2312" w:hAnsi="宋体" w:eastAsia="仿宋_GB2312" w:cs="宋体"/>
          <w:color w:val="000000"/>
          <w:sz w:val="22"/>
          <w:szCs w:val="22"/>
          <w:u w:val="single"/>
          <w:lang w:val="en-US" w:eastAsia="zh-CN"/>
        </w:rPr>
        <w:t xml:space="preserve">                         </w:t>
      </w:r>
      <w:r>
        <w:rPr>
          <w:rFonts w:hint="eastAsia" w:ascii="仿宋_GB2312" w:hAnsi="宋体" w:eastAsia="仿宋_GB2312" w:cs="宋体"/>
          <w:color w:val="000000"/>
          <w:sz w:val="22"/>
          <w:szCs w:val="22"/>
          <w:u w:val="single"/>
        </w:rPr>
        <w:t xml:space="preserve">     </w:t>
      </w:r>
    </w:p>
    <w:p w14:paraId="4631421E">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63135D2A">
      <w:pPr>
        <w:keepNext w:val="0"/>
        <w:keepLines w:val="0"/>
        <w:pageBreakBefore w:val="0"/>
        <w:widowControl w:val="0"/>
        <w:kinsoku/>
        <w:wordWrap/>
        <w:overflowPunct/>
        <w:topLinePunct w:val="0"/>
        <w:autoSpaceDE/>
        <w:autoSpaceDN/>
        <w:bidi w:val="0"/>
        <w:adjustRightInd w:val="0"/>
        <w:snapToGrid w:val="0"/>
        <w:spacing w:line="520" w:lineRule="exact"/>
        <w:ind w:firstLine="562"/>
        <w:textAlignment w:val="auto"/>
        <w:rPr>
          <w:rFonts w:ascii="仿宋_GB2312" w:hAnsi="宋体" w:eastAsia="仿宋_GB2312"/>
          <w:color w:val="000000"/>
          <w:sz w:val="22"/>
          <w:szCs w:val="22"/>
        </w:rPr>
      </w:pPr>
      <w:r>
        <w:rPr>
          <w:rFonts w:hint="eastAsia" w:ascii="仿宋_GB2312" w:hAnsi="宋体" w:eastAsia="仿宋_GB2312"/>
          <w:b/>
          <w:bCs/>
          <w:color w:val="000000"/>
          <w:sz w:val="22"/>
          <w:szCs w:val="22"/>
        </w:rPr>
        <w:t>第一条  双方的权利和责任</w:t>
      </w:r>
    </w:p>
    <w:p w14:paraId="4F45260F">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（一）严格遵守国家法律法规、廉洁从业规定以及相关行业规定。</w:t>
      </w:r>
    </w:p>
    <w:p w14:paraId="77F93A99">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（二）严格执行一切合同文件及本协议条款，自觉履行权利和责任。</w:t>
      </w:r>
    </w:p>
    <w:p w14:paraId="3F3861B1">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（三）双方的业务活动坚持公平、公开、公正和诚信的原则（法律法规另有规定除外），不得损害国家、集体和对方利益，不得违反项目开发建设管理的有关规章制度。</w:t>
      </w:r>
    </w:p>
    <w:p w14:paraId="03CE9049">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（四）建立健全廉洁制度，开展廉洁教育，公布监督部门和电话，监督并认真查处违纪违法行为。</w:t>
      </w:r>
    </w:p>
    <w:p w14:paraId="52517BD0">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（五）发现对方在业务活动中有违反本协议的行为倾向，有权利和义务及时给予提醒和纠正。</w:t>
      </w:r>
    </w:p>
    <w:p w14:paraId="29598E90">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（六）发现对方有违反本协议的行为，应及时向指定的监督部门举报控告，也有权向纪检监察或司法机关举报控告。</w:t>
      </w:r>
    </w:p>
    <w:p w14:paraId="3D81067D">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（七）双方应互相配合，积极开展廉洁教育、学习和宣传活动，有配合对方履行本协议的责任。</w:t>
      </w:r>
    </w:p>
    <w:p w14:paraId="1963D7BD">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（八）一方有不履行或不完全履行廉洁宣传教育责任的，另一方有权利和责任要求对方履行和督促改进。</w:t>
      </w:r>
    </w:p>
    <w:p w14:paraId="07BBC74C">
      <w:pPr>
        <w:keepNext w:val="0"/>
        <w:keepLines w:val="0"/>
        <w:pageBreakBefore w:val="0"/>
        <w:widowControl w:val="0"/>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color w:val="000000"/>
          <w:sz w:val="22"/>
          <w:szCs w:val="22"/>
        </w:rPr>
      </w:pPr>
      <w:r>
        <w:rPr>
          <w:rFonts w:hint="eastAsia" w:ascii="仿宋_GB2312" w:hAnsi="宋体" w:eastAsia="仿宋_GB2312"/>
          <w:b/>
          <w:bCs/>
          <w:color w:val="000000"/>
          <w:sz w:val="22"/>
          <w:szCs w:val="22"/>
        </w:rPr>
        <w:t>第二条  甲方的责任</w:t>
      </w:r>
    </w:p>
    <w:p w14:paraId="4778169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（一）甲方全面负责项目的进度、质量和资金管理，认真履行合同规定的甲方责任。</w:t>
      </w:r>
    </w:p>
    <w:p w14:paraId="022BD76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二）甲方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7F5D8A11">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（三）甲方人员不得要求项目承担单位购买合同约定以外的商品、物品、设备和服务等。</w:t>
      </w:r>
    </w:p>
    <w:p w14:paraId="0554FF9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（四）甲方人员不得索要、接受项目承担单位违反法规赠送的现金、有价证券、支付凭证或股份等各种财物；不得索要、接受项目承担单位违反法规提供的通讯工具、交通工具、高档办公用品。</w:t>
      </w:r>
    </w:p>
    <w:p w14:paraId="68B701A4">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（五）甲方人员不得索要、接受施工单位对个人或配偶子女等亲属亲友的馈赠、赞助、费用报销、装修、旅游、疗养、健身以及各种高消费娱乐等活动。</w:t>
      </w:r>
    </w:p>
    <w:p w14:paraId="69CFD353">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（六）甲方人员不得索要、接受项目承担单位为本人配偶子女等亲属亲友提供工作的安排、照顾和便利等；本人及配偶子女等亲属亲友不得从事与项目承担单位有关的工程材料设备供应、工程分包与</w:t>
      </w:r>
      <w:r>
        <w:rPr>
          <w:rFonts w:hint="eastAsia" w:ascii="仿宋_GB2312" w:hAnsi="宋体" w:eastAsia="仿宋_GB2312"/>
          <w:color w:val="000000"/>
          <w:sz w:val="22"/>
          <w:szCs w:val="22"/>
        </w:rPr>
        <w:tab/>
      </w:r>
      <w:r>
        <w:rPr>
          <w:rFonts w:hint="eastAsia" w:ascii="仿宋_GB2312" w:hAnsi="宋体" w:eastAsia="仿宋_GB2312"/>
          <w:color w:val="000000"/>
          <w:sz w:val="22"/>
          <w:szCs w:val="22"/>
        </w:rPr>
        <w:t>施工、劳务等经济活动。</w:t>
      </w:r>
    </w:p>
    <w:p w14:paraId="76A1A19F">
      <w:pPr>
        <w:keepNext w:val="0"/>
        <w:keepLines w:val="0"/>
        <w:pageBreakBefore w:val="0"/>
        <w:widowControl w:val="0"/>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color w:val="000000"/>
          <w:sz w:val="22"/>
          <w:szCs w:val="22"/>
        </w:rPr>
      </w:pPr>
      <w:r>
        <w:rPr>
          <w:rFonts w:hint="eastAsia" w:ascii="仿宋_GB2312" w:hAnsi="宋体" w:eastAsia="仿宋_GB2312"/>
          <w:b/>
          <w:bCs/>
          <w:color w:val="000000"/>
          <w:sz w:val="22"/>
          <w:szCs w:val="22"/>
        </w:rPr>
        <w:t>第三条 乙方的责任</w:t>
      </w:r>
    </w:p>
    <w:p w14:paraId="43A4F8C5">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（一）乙方作为项目的单项咨询服务责任主体，严格执行法律、法规和强制性标准与规范，依照合同负责承担项目的进度、质量、资金控制。</w:t>
      </w:r>
    </w:p>
    <w:p w14:paraId="44A5A8D1">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二）乙方不得违反规定变更规划设计、材料设备供应或改变项目开发建设的投资规模、变更工程量等；不得违反规定与建设单位商谈项目施工、资金拨付、工程验收、工程质量处理、工程决算等事项，也不得违反规定干预、决定。</w:t>
      </w:r>
    </w:p>
    <w:p w14:paraId="2C761F3D">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（三）乙方不得接受建设单位要求购买合同约定以外的商品、物品、设备和服务等要求。</w:t>
      </w:r>
    </w:p>
    <w:p w14:paraId="192E8F94">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（四）乙方不得以任何理由违反法规向甲方人员赠送现金、有价证券、支付凭证或股份等各种财物；不得违反法规向甲方人员提供通讯工具、交通工具、高档办公用品等。</w:t>
      </w:r>
    </w:p>
    <w:p w14:paraId="02F63115">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（五）乙方不得对甲方人员个人或其配偶子女等亲属亲友提供馈赠、赞助、费用报销、装修、旅游、疗养、健身以及各种高消费娱乐等活动。</w:t>
      </w:r>
    </w:p>
    <w:p w14:paraId="266E7D25">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六）乙方不得为甲方人员个人的配偶子女等亲属亲友提供工作的安排、照顾和便利等；不得接受甲方人员个人及配偶子女等亲属亲友从事与项目承担单位有关的工程材料设备供应、工程分包与施工、劳务等经济活动的要求。</w:t>
      </w:r>
    </w:p>
    <w:p w14:paraId="0ADCFEF1">
      <w:pPr>
        <w:keepNext w:val="0"/>
        <w:keepLines w:val="0"/>
        <w:pageBreakBefore w:val="0"/>
        <w:widowControl w:val="0"/>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color w:val="000000"/>
          <w:sz w:val="22"/>
          <w:szCs w:val="22"/>
        </w:rPr>
      </w:pPr>
      <w:r>
        <w:rPr>
          <w:rFonts w:hint="eastAsia" w:ascii="仿宋_GB2312" w:hAnsi="宋体" w:eastAsia="仿宋_GB2312"/>
          <w:b/>
          <w:bCs/>
          <w:color w:val="000000"/>
          <w:sz w:val="22"/>
          <w:szCs w:val="22"/>
        </w:rPr>
        <w:t>第四条  违约责任</w:t>
      </w:r>
    </w:p>
    <w:p w14:paraId="2EC0F80D">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（一）甲方人员违反本协议第一条和第二条规定的，由甲方按照管理权限，依据有关法律和规定给予党纪、政纪处分或组织处理，涉嫌犯罪的，移交司法机关追究刑事责任；给乙方造成经济损失的，应予赔偿。</w:t>
      </w:r>
    </w:p>
    <w:p w14:paraId="5AFAB683">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（二）乙方人员违反本协议第一条和第三条规定的，由乙方按照管理权限，依据有关法律和规定给予党纪、政纪处分或组织处理，涉嫌犯罪的，移交司法机关追究刑事责任；给甲方造成经济损失的，应予赔偿。</w:t>
      </w:r>
    </w:p>
    <w:p w14:paraId="55211DB8">
      <w:pPr>
        <w:keepNext w:val="0"/>
        <w:keepLines w:val="0"/>
        <w:pageBreakBefore w:val="0"/>
        <w:widowControl w:val="0"/>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color w:val="000000"/>
          <w:sz w:val="22"/>
          <w:szCs w:val="22"/>
        </w:rPr>
      </w:pPr>
      <w:r>
        <w:rPr>
          <w:rFonts w:hint="eastAsia" w:ascii="仿宋_GB2312" w:hAnsi="宋体" w:eastAsia="仿宋_GB2312"/>
          <w:b/>
          <w:bCs/>
          <w:color w:val="000000"/>
          <w:sz w:val="22"/>
          <w:szCs w:val="22"/>
        </w:rPr>
        <w:t>第五条 监督与联络</w:t>
      </w:r>
    </w:p>
    <w:p w14:paraId="6C23A79B">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 xml:space="preserve">甲方指定由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作为甲方执行本协议的监督部门，监督电话：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（办公时间），指定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为廉政联络员，通讯地址：</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w:t>
      </w:r>
    </w:p>
    <w:p w14:paraId="4477B297">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 xml:space="preserve">乙方指定由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作为乙方执行本协议的监督部门，监督电话：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（办公时间），指定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为廉政联络员，通讯地址：  </w:t>
      </w:r>
      <w:r>
        <w:rPr>
          <w:rFonts w:hint="eastAsia" w:ascii="仿宋_GB2312" w:hAnsi="宋体" w:eastAsia="仿宋_GB2312"/>
          <w:color w:val="000000"/>
          <w:sz w:val="22"/>
          <w:szCs w:val="22"/>
          <w:lang w:val="en-US" w:eastAsia="zh-CN"/>
        </w:rPr>
        <w:t xml:space="preserve">         </w:t>
      </w:r>
      <w:r>
        <w:rPr>
          <w:rFonts w:hint="eastAsia" w:ascii="仿宋_GB2312" w:hAnsi="宋体" w:eastAsia="仿宋_GB2312"/>
          <w:color w:val="000000"/>
          <w:sz w:val="22"/>
          <w:szCs w:val="22"/>
        </w:rPr>
        <w:t xml:space="preserve">  。  </w:t>
      </w:r>
    </w:p>
    <w:p w14:paraId="7709777A">
      <w:pPr>
        <w:keepNext w:val="0"/>
        <w:keepLines w:val="0"/>
        <w:pageBreakBefore w:val="0"/>
        <w:widowControl w:val="0"/>
        <w:kinsoku/>
        <w:wordWrap/>
        <w:overflowPunct/>
        <w:topLinePunct w:val="0"/>
        <w:autoSpaceDE/>
        <w:autoSpaceDN/>
        <w:bidi w:val="0"/>
        <w:adjustRightInd w:val="0"/>
        <w:snapToGrid w:val="0"/>
        <w:spacing w:line="520" w:lineRule="exact"/>
        <w:ind w:firstLine="437" w:firstLineChars="199"/>
        <w:jc w:val="left"/>
        <w:textAlignment w:val="auto"/>
        <w:rPr>
          <w:rFonts w:ascii="仿宋_GB2312" w:hAnsi="宋体" w:eastAsia="仿宋_GB2312"/>
          <w:bCs/>
          <w:color w:val="000000"/>
          <w:sz w:val="22"/>
          <w:szCs w:val="22"/>
        </w:rPr>
      </w:pPr>
      <w:r>
        <w:rPr>
          <w:rFonts w:hint="eastAsia" w:ascii="仿宋_GB2312" w:hAnsi="宋体" w:eastAsia="仿宋_GB2312"/>
          <w:b/>
          <w:bCs/>
          <w:color w:val="000000"/>
          <w:sz w:val="22"/>
          <w:szCs w:val="22"/>
        </w:rPr>
        <w:t xml:space="preserve">第六条 </w:t>
      </w:r>
      <w:r>
        <w:rPr>
          <w:rFonts w:hint="eastAsia" w:ascii="仿宋_GB2312" w:hAnsi="宋体" w:eastAsia="仿宋_GB2312"/>
          <w:color w:val="000000"/>
          <w:sz w:val="22"/>
          <w:szCs w:val="22"/>
        </w:rPr>
        <w:t>本协议书经双方签署后生效。</w:t>
      </w:r>
    </w:p>
    <w:p w14:paraId="2E5D2F3D">
      <w:pPr>
        <w:keepNext w:val="0"/>
        <w:keepLines w:val="0"/>
        <w:pageBreakBefore w:val="0"/>
        <w:widowControl w:val="0"/>
        <w:kinsoku/>
        <w:wordWrap/>
        <w:overflowPunct/>
        <w:topLinePunct w:val="0"/>
        <w:autoSpaceDE/>
        <w:autoSpaceDN/>
        <w:bidi w:val="0"/>
        <w:adjustRightInd w:val="0"/>
        <w:snapToGrid w:val="0"/>
        <w:spacing w:line="520" w:lineRule="exact"/>
        <w:ind w:firstLine="437" w:firstLineChars="199"/>
        <w:textAlignment w:val="auto"/>
        <w:rPr>
          <w:rFonts w:ascii="仿宋_GB2312" w:hAnsi="宋体" w:eastAsia="仿宋_GB2312"/>
          <w:bCs/>
          <w:color w:val="000000"/>
          <w:sz w:val="22"/>
          <w:szCs w:val="22"/>
        </w:rPr>
      </w:pPr>
      <w:r>
        <w:rPr>
          <w:rFonts w:hint="eastAsia" w:ascii="仿宋_GB2312" w:hAnsi="宋体" w:eastAsia="仿宋_GB2312"/>
          <w:b/>
          <w:bCs/>
          <w:color w:val="000000"/>
          <w:sz w:val="22"/>
          <w:szCs w:val="22"/>
        </w:rPr>
        <w:t>第七条 协议份数</w:t>
      </w:r>
    </w:p>
    <w:p w14:paraId="62709C22">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r>
        <w:rPr>
          <w:rFonts w:hint="eastAsia" w:ascii="仿宋_GB2312" w:hAnsi="宋体" w:eastAsia="仿宋_GB2312"/>
          <w:color w:val="000000"/>
          <w:sz w:val="22"/>
          <w:szCs w:val="22"/>
        </w:rPr>
        <w:t>本协议书一式 伍 份，其中甲方执 叁 份、乙方执 贰 份，具有同等法律效力。</w:t>
      </w:r>
    </w:p>
    <w:p w14:paraId="269C14D1">
      <w:pPr>
        <w:keepNext w:val="0"/>
        <w:keepLines w:val="0"/>
        <w:pageBreakBefore w:val="0"/>
        <w:widowControl w:val="0"/>
        <w:kinsoku/>
        <w:wordWrap/>
        <w:overflowPunct/>
        <w:topLinePunct w:val="0"/>
        <w:autoSpaceDE/>
        <w:autoSpaceDN/>
        <w:bidi w:val="0"/>
        <w:spacing w:line="520" w:lineRule="exact"/>
        <w:ind w:firstLine="560"/>
        <w:textAlignment w:val="auto"/>
        <w:rPr>
          <w:rFonts w:hint="eastAsia" w:ascii="仿宋_GB2312" w:hAnsi="宋体" w:eastAsia="仿宋_GB2312"/>
          <w:color w:val="000000"/>
          <w:sz w:val="22"/>
          <w:szCs w:val="22"/>
        </w:rPr>
      </w:pPr>
    </w:p>
    <w:p w14:paraId="413207A5">
      <w:pPr>
        <w:pStyle w:val="11"/>
        <w:rPr>
          <w:rFonts w:hint="eastAsia"/>
        </w:rPr>
      </w:pPr>
    </w:p>
    <w:p w14:paraId="1938BBB4">
      <w:pPr>
        <w:keepNext w:val="0"/>
        <w:keepLines w:val="0"/>
        <w:pageBreakBefore w:val="0"/>
        <w:widowControl w:val="0"/>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 xml:space="preserve">甲方:                                       乙方: </w:t>
      </w:r>
    </w:p>
    <w:p w14:paraId="53B16331">
      <w:pPr>
        <w:keepNext w:val="0"/>
        <w:keepLines w:val="0"/>
        <w:pageBreakBefore w:val="0"/>
        <w:widowControl w:val="0"/>
        <w:tabs>
          <w:tab w:val="left" w:pos="525"/>
          <w:tab w:val="left" w:pos="1155"/>
        </w:tabs>
        <w:kinsoku/>
        <w:wordWrap/>
        <w:overflowPunct/>
        <w:topLinePunct w:val="0"/>
        <w:autoSpaceDE/>
        <w:autoSpaceDN/>
        <w:bidi w:val="0"/>
        <w:adjustRightInd w:val="0"/>
        <w:snapToGrid w:val="0"/>
        <w:spacing w:line="520" w:lineRule="exact"/>
        <w:ind w:firstLine="330" w:firstLineChars="150"/>
        <w:textAlignment w:val="auto"/>
        <w:rPr>
          <w:rFonts w:ascii="仿宋_GB2312" w:hAnsi="宋体" w:eastAsia="仿宋_GB2312"/>
          <w:b/>
          <w:bCs/>
          <w:color w:val="000000"/>
          <w:sz w:val="22"/>
          <w:szCs w:val="22"/>
        </w:rPr>
      </w:pPr>
      <w:r>
        <w:rPr>
          <w:rFonts w:hint="eastAsia" w:ascii="仿宋_GB2312" w:hAnsi="宋体" w:eastAsia="仿宋_GB2312"/>
          <w:b/>
          <w:bCs/>
          <w:color w:val="000000"/>
          <w:sz w:val="22"/>
          <w:szCs w:val="22"/>
        </w:rPr>
        <w:t>甲方代表：                                  乙方代表：</w:t>
      </w:r>
    </w:p>
    <w:p w14:paraId="4B5BCD68">
      <w:pPr>
        <w:keepNext w:val="0"/>
        <w:keepLines w:val="0"/>
        <w:pageBreakBefore w:val="0"/>
        <w:widowControl w:val="0"/>
        <w:kinsoku/>
        <w:wordWrap/>
        <w:overflowPunct/>
        <w:topLinePunct w:val="0"/>
        <w:autoSpaceDE/>
        <w:autoSpaceDN/>
        <w:bidi w:val="0"/>
        <w:spacing w:line="520" w:lineRule="exact"/>
        <w:ind w:firstLine="562"/>
        <w:textAlignment w:val="auto"/>
      </w:pPr>
      <w:r>
        <w:rPr>
          <w:rFonts w:hint="eastAsia" w:ascii="仿宋_GB2312" w:hAnsi="宋体" w:eastAsia="仿宋_GB2312"/>
          <w:b/>
          <w:bCs/>
          <w:color w:val="000000"/>
          <w:sz w:val="22"/>
          <w:szCs w:val="22"/>
        </w:rPr>
        <w:t>年    月   日                              年   月   日</w:t>
      </w:r>
    </w:p>
    <w:p w14:paraId="50D21C23">
      <w:pPr>
        <w:adjustRightInd w:val="0"/>
        <w:snapToGrid w:val="0"/>
        <w:spacing w:line="360" w:lineRule="auto"/>
        <w:rPr>
          <w:rFonts w:hint="eastAsia" w:ascii="宋体" w:hAnsi="宋体" w:eastAsia="宋体" w:cs="宋体"/>
          <w:sz w:val="24"/>
        </w:rPr>
      </w:pPr>
    </w:p>
    <w:p w14:paraId="2CB71542">
      <w:pPr>
        <w:rPr>
          <w:rFonts w:hint="eastAsia" w:ascii="宋体" w:hAnsi="宋体" w:eastAsia="宋体" w:cs="宋体"/>
          <w:sz w:val="24"/>
        </w:rPr>
      </w:pPr>
      <w:r>
        <w:rPr>
          <w:rFonts w:hint="eastAsia" w:ascii="宋体" w:hAnsi="宋体" w:eastAsia="宋体" w:cs="宋体"/>
          <w:sz w:val="24"/>
        </w:rPr>
        <w:br w:type="page"/>
      </w:r>
    </w:p>
    <w:p w14:paraId="600A0B97">
      <w:pPr>
        <w:pStyle w:val="18"/>
        <w:rPr>
          <w:rFonts w:ascii="宋体" w:hAnsi="宋体" w:cs="宋体"/>
          <w:b/>
          <w:bCs/>
          <w:sz w:val="28"/>
          <w:szCs w:val="28"/>
        </w:rPr>
      </w:pPr>
      <w:r>
        <w:rPr>
          <w:rFonts w:hint="eastAsia" w:ascii="宋体" w:hAnsi="宋体" w:cs="宋体"/>
          <w:sz w:val="48"/>
          <w:szCs w:val="48"/>
        </w:rPr>
        <w:t>报价文件格式</w:t>
      </w:r>
    </w:p>
    <w:p w14:paraId="5334AFFD">
      <w:pPr>
        <w:topLinePunct/>
        <w:adjustRightInd w:val="0"/>
        <w:snapToGrid w:val="0"/>
        <w:spacing w:line="360" w:lineRule="auto"/>
        <w:ind w:firstLine="1100" w:firstLineChars="500"/>
        <w:jc w:val="left"/>
        <w:rPr>
          <w:rFonts w:ascii="宋体" w:hAnsi="宋体" w:cs="宋体"/>
          <w:sz w:val="22"/>
        </w:rPr>
      </w:pPr>
    </w:p>
    <w:p w14:paraId="20B9F658">
      <w:pPr>
        <w:pStyle w:val="39"/>
        <w:numPr>
          <w:ilvl w:val="0"/>
          <w:numId w:val="0"/>
        </w:numPr>
        <w:jc w:val="center"/>
        <w:rPr>
          <w:b/>
          <w:bCs/>
          <w:sz w:val="22"/>
          <w:szCs w:val="22"/>
        </w:rPr>
      </w:pPr>
      <w:bookmarkStart w:id="85" w:name="_Toc30357"/>
      <w:bookmarkStart w:id="86" w:name="_Toc336539454"/>
      <w:bookmarkStart w:id="87" w:name="_Toc485905366"/>
      <w:r>
        <w:rPr>
          <w:rFonts w:hint="eastAsia"/>
          <w:b/>
          <w:bCs/>
          <w:sz w:val="22"/>
          <w:szCs w:val="22"/>
        </w:rPr>
        <w:t>为方便查找相关资料，请各供应商自行编制目录。</w:t>
      </w:r>
      <w:bookmarkEnd w:id="85"/>
    </w:p>
    <w:p w14:paraId="748D1338">
      <w:pPr>
        <w:pStyle w:val="4"/>
        <w:ind w:firstLine="0" w:firstLineChars="0"/>
        <w:rPr>
          <w:rFonts w:ascii="宋体" w:hAnsi="宋体" w:cs="宋体"/>
          <w:sz w:val="22"/>
        </w:rPr>
      </w:pPr>
      <w:bookmarkStart w:id="88" w:name="_Toc20139"/>
      <w:r>
        <w:rPr>
          <w:rFonts w:hint="eastAsia" w:ascii="宋体" w:hAnsi="宋体" w:cs="宋体"/>
          <w:sz w:val="22"/>
        </w:rPr>
        <w:t>1.</w:t>
      </w:r>
      <w:bookmarkEnd w:id="86"/>
      <w:bookmarkEnd w:id="87"/>
      <w:bookmarkEnd w:id="88"/>
      <w:bookmarkStart w:id="89" w:name="_Toc29210"/>
      <w:bookmarkStart w:id="90" w:name="_Toc27975"/>
      <w:r>
        <w:rPr>
          <w:rFonts w:hint="eastAsia" w:ascii="宋体" w:hAnsi="宋体" w:cs="宋体"/>
          <w:sz w:val="22"/>
        </w:rPr>
        <w:t>投 标 函</w:t>
      </w:r>
      <w:bookmarkEnd w:id="89"/>
      <w:bookmarkEnd w:id="90"/>
    </w:p>
    <w:p w14:paraId="63B29E46">
      <w:pPr>
        <w:topLinePunct/>
        <w:adjustRightInd w:val="0"/>
        <w:snapToGrid w:val="0"/>
        <w:spacing w:line="360" w:lineRule="auto"/>
        <w:jc w:val="left"/>
        <w:rPr>
          <w:rFonts w:ascii="宋体" w:hAnsi="宋体"/>
          <w:kern w:val="0"/>
        </w:rPr>
      </w:pPr>
    </w:p>
    <w:p w14:paraId="41C09E09">
      <w:pPr>
        <w:topLinePunct/>
        <w:adjustRightInd w:val="0"/>
        <w:snapToGrid w:val="0"/>
        <w:spacing w:line="360" w:lineRule="auto"/>
        <w:jc w:val="left"/>
        <w:rPr>
          <w:rFonts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根据贵方提供的</w:t>
      </w:r>
      <w:r>
        <w:rPr>
          <w:rFonts w:hint="eastAsia" w:ascii="宋体" w:hAnsi="宋体"/>
          <w:kern w:val="0"/>
          <w:u w:val="single"/>
          <w:lang w:val="en-US" w:eastAsia="zh-CN"/>
        </w:rPr>
        <w:t>机器人剧场过渡期前期咨询专项服务与临时性物业基础管理</w:t>
      </w:r>
      <w:r>
        <w:rPr>
          <w:rFonts w:hint="eastAsia" w:ascii="宋体" w:hAnsi="宋体"/>
          <w:kern w:val="0"/>
          <w:u w:val="single"/>
        </w:rPr>
        <w:t>服务项目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ascii="宋体" w:hAnsi="宋体"/>
          <w:kern w:val="0"/>
        </w:rPr>
      </w:pPr>
    </w:p>
    <w:p w14:paraId="573BADA7">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ascii="宋体" w:hAnsi="宋体"/>
          <w:kern w:val="0"/>
          <w:szCs w:val="21"/>
        </w:rPr>
      </w:pPr>
      <w:r>
        <w:rPr>
          <w:rFonts w:hint="eastAsia" w:ascii="宋体" w:hAnsi="宋体"/>
          <w:kern w:val="0"/>
          <w:szCs w:val="21"/>
        </w:rPr>
        <w:t>联系电话：________________________________________________</w:t>
      </w:r>
    </w:p>
    <w:p w14:paraId="73B84196">
      <w:pPr>
        <w:tabs>
          <w:tab w:val="left" w:pos="5580"/>
        </w:tabs>
        <w:topLinePunct/>
        <w:adjustRightInd w:val="0"/>
        <w:snapToGrid w:val="0"/>
        <w:spacing w:line="360" w:lineRule="auto"/>
        <w:ind w:firstLine="420" w:firstLineChars="200"/>
        <w:rPr>
          <w:rFonts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ascii="宋体" w:hAnsi="宋体" w:cs="宋体"/>
          <w:b/>
          <w:bCs/>
          <w:sz w:val="22"/>
        </w:rPr>
      </w:pPr>
    </w:p>
    <w:p w14:paraId="5F95E8E7">
      <w:pPr>
        <w:pStyle w:val="39"/>
        <w:numPr>
          <w:ilvl w:val="0"/>
          <w:numId w:val="0"/>
        </w:numPr>
        <w:outlineLvl w:val="2"/>
        <w:rPr>
          <w:b/>
          <w:bCs/>
          <w:sz w:val="22"/>
          <w:szCs w:val="22"/>
        </w:rPr>
      </w:pPr>
      <w:r>
        <w:rPr>
          <w:rFonts w:hint="eastAsia"/>
          <w:sz w:val="28"/>
          <w:szCs w:val="28"/>
          <w:u w:val="single"/>
        </w:rPr>
        <w:br w:type="page"/>
      </w:r>
      <w:bookmarkStart w:id="91" w:name="_Toc291178277"/>
      <w:bookmarkStart w:id="92" w:name="_Toc280341016"/>
      <w:bookmarkStart w:id="93" w:name="_Toc278892899"/>
      <w:bookmarkStart w:id="94" w:name="_Toc336539455"/>
      <w:bookmarkStart w:id="95" w:name="_Toc485905367"/>
      <w:bookmarkStart w:id="96" w:name="_Toc18600"/>
      <w:r>
        <w:rPr>
          <w:rFonts w:hint="eastAsia"/>
          <w:b/>
          <w:bCs/>
          <w:sz w:val="22"/>
          <w:szCs w:val="22"/>
        </w:rPr>
        <w:t>2.法定代表人资格证明书与法人授权委托书</w:t>
      </w:r>
      <w:bookmarkEnd w:id="91"/>
      <w:bookmarkEnd w:id="92"/>
      <w:bookmarkEnd w:id="93"/>
      <w:bookmarkEnd w:id="94"/>
      <w:bookmarkEnd w:id="95"/>
      <w:bookmarkEnd w:id="96"/>
    </w:p>
    <w:p w14:paraId="7F5995DB">
      <w:pPr>
        <w:rPr>
          <w:rFonts w:ascii="宋体" w:hAnsi="宋体" w:cs="宋体"/>
          <w:sz w:val="22"/>
        </w:rPr>
      </w:pPr>
    </w:p>
    <w:p w14:paraId="561C780F">
      <w:pPr>
        <w:pStyle w:val="11"/>
        <w:spacing w:line="440" w:lineRule="exact"/>
        <w:ind w:left="210" w:leftChars="100" w:right="210" w:rightChars="100"/>
        <w:jc w:val="center"/>
        <w:rPr>
          <w:rFonts w:hAnsi="宋体"/>
          <w:b/>
          <w:bCs/>
          <w:sz w:val="32"/>
          <w:szCs w:val="32"/>
        </w:rPr>
      </w:pPr>
      <w:r>
        <w:rPr>
          <w:rFonts w:hint="eastAsia" w:hAnsi="宋体"/>
          <w:b/>
          <w:bCs/>
          <w:sz w:val="32"/>
          <w:szCs w:val="32"/>
        </w:rPr>
        <w:t>法定代表人证明书</w:t>
      </w:r>
    </w:p>
    <w:p w14:paraId="0DCB6683">
      <w:pPr>
        <w:pStyle w:val="11"/>
        <w:spacing w:line="440" w:lineRule="exact"/>
        <w:ind w:left="210" w:leftChars="100" w:right="210" w:rightChars="100" w:firstLine="554" w:firstLineChars="252"/>
        <w:jc w:val="right"/>
        <w:rPr>
          <w:rFonts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11"/>
        <w:spacing w:line="200" w:lineRule="exact"/>
        <w:ind w:left="210" w:leftChars="100" w:right="210" w:rightChars="100" w:firstLine="554" w:firstLineChars="252"/>
        <w:jc w:val="right"/>
        <w:rPr>
          <w:rFonts w:hAnsi="宋体"/>
          <w:sz w:val="22"/>
          <w:szCs w:val="22"/>
        </w:rPr>
      </w:pPr>
    </w:p>
    <w:p w14:paraId="5E2BF532">
      <w:pPr>
        <w:pStyle w:val="11"/>
        <w:spacing w:line="360" w:lineRule="auto"/>
        <w:ind w:left="210" w:leftChars="100" w:right="-247" w:rightChars="-118" w:firstLine="554" w:firstLineChars="252"/>
        <w:rPr>
          <w:rFonts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11"/>
        <w:spacing w:line="360" w:lineRule="auto"/>
        <w:ind w:left="210" w:leftChars="100" w:right="210" w:rightChars="100" w:firstLine="110" w:firstLineChars="50"/>
        <w:rPr>
          <w:rFonts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11"/>
        <w:spacing w:line="360" w:lineRule="auto"/>
        <w:ind w:left="100" w:right="210" w:rightChars="100" w:firstLine="220" w:firstLineChars="100"/>
        <w:rPr>
          <w:rFonts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11"/>
        <w:spacing w:line="360" w:lineRule="auto"/>
        <w:ind w:left="100" w:right="210" w:rightChars="100" w:firstLine="660" w:firstLineChars="300"/>
        <w:rPr>
          <w:rFonts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11"/>
        <w:spacing w:line="360" w:lineRule="auto"/>
        <w:ind w:left="100" w:right="210" w:rightChars="100" w:firstLine="660" w:firstLineChars="300"/>
        <w:rPr>
          <w:rFonts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11"/>
        <w:spacing w:line="360" w:lineRule="auto"/>
        <w:ind w:left="100" w:right="210" w:rightChars="100" w:firstLine="660" w:firstLineChars="300"/>
        <w:rPr>
          <w:rFonts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ascii="宋体" w:hAnsi="宋体" w:cs="宋体"/>
          <w:b/>
          <w:bCs/>
          <w:sz w:val="32"/>
          <w:szCs w:val="32"/>
        </w:rPr>
      </w:pPr>
    </w:p>
    <w:p w14:paraId="1160D2E1">
      <w:pPr>
        <w:pStyle w:val="6"/>
        <w:rPr>
          <w:rFonts w:ascii="宋体" w:hAnsi="宋体" w:cs="宋体"/>
          <w:b/>
          <w:bCs/>
        </w:rPr>
      </w:pPr>
    </w:p>
    <w:p w14:paraId="6E10891F">
      <w:pPr>
        <w:pStyle w:val="6"/>
        <w:rPr>
          <w:rFonts w:ascii="宋体" w:hAnsi="宋体" w:cs="宋体"/>
          <w:b/>
          <w:bCs/>
        </w:rPr>
      </w:pPr>
    </w:p>
    <w:p w14:paraId="22000D67">
      <w:pPr>
        <w:spacing w:line="360" w:lineRule="auto"/>
        <w:rPr>
          <w:rFonts w:ascii="宋体" w:hAnsi="宋体" w:cs="宋体"/>
          <w:b/>
          <w:bCs/>
          <w:sz w:val="32"/>
          <w:szCs w:val="32"/>
        </w:rPr>
      </w:pPr>
    </w:p>
    <w:p w14:paraId="281481FC">
      <w:pPr>
        <w:spacing w:line="360" w:lineRule="auto"/>
        <w:rPr>
          <w:rFonts w:ascii="宋体" w:hAnsi="宋体" w:cs="宋体"/>
          <w:b/>
          <w:bCs/>
          <w:sz w:val="32"/>
          <w:szCs w:val="32"/>
        </w:rPr>
      </w:pPr>
    </w:p>
    <w:p w14:paraId="3D2F3A81">
      <w:pPr>
        <w:spacing w:line="360" w:lineRule="auto"/>
        <w:rPr>
          <w:rFonts w:ascii="宋体" w:hAnsi="宋体" w:cs="宋体"/>
          <w:b/>
          <w:bCs/>
          <w:sz w:val="32"/>
          <w:szCs w:val="32"/>
        </w:rPr>
      </w:pPr>
    </w:p>
    <w:p w14:paraId="08F22CF1">
      <w:pPr>
        <w:spacing w:line="360" w:lineRule="auto"/>
        <w:jc w:val="center"/>
        <w:rPr>
          <w:rFonts w:ascii="宋体" w:hAnsi="宋体" w:cs="宋体"/>
          <w:b/>
          <w:bCs/>
          <w:sz w:val="32"/>
          <w:szCs w:val="32"/>
        </w:rPr>
      </w:pPr>
      <w:r>
        <w:rPr>
          <w:rFonts w:hint="eastAsia" w:ascii="宋体" w:hAnsi="宋体" w:cs="宋体"/>
          <w:b/>
          <w:bCs/>
          <w:sz w:val="32"/>
          <w:szCs w:val="32"/>
        </w:rPr>
        <w:t>法人授权委托书</w:t>
      </w:r>
    </w:p>
    <w:p w14:paraId="180D6952">
      <w:pPr>
        <w:ind w:firstLine="480"/>
        <w:rPr>
          <w:rFonts w:ascii="宋体" w:hAnsi="宋体" w:cs="宋体"/>
          <w:sz w:val="28"/>
          <w:szCs w:val="28"/>
        </w:rPr>
      </w:pPr>
    </w:p>
    <w:p w14:paraId="37F85DB2">
      <w:pPr>
        <w:spacing w:line="360" w:lineRule="auto"/>
        <w:rPr>
          <w:rFonts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ascii="宋体" w:hAnsi="宋体" w:cs="宋体"/>
          <w:sz w:val="22"/>
        </w:rPr>
      </w:pPr>
    </w:p>
    <w:p w14:paraId="7181FC57">
      <w:pPr>
        <w:spacing w:line="360" w:lineRule="auto"/>
        <w:ind w:firstLine="525"/>
        <w:jc w:val="left"/>
        <w:rPr>
          <w:rFonts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ascii="宋体" w:hAnsi="宋体" w:cs="宋体"/>
          <w:sz w:val="22"/>
        </w:rPr>
      </w:pPr>
      <w:r>
        <w:rPr>
          <w:rFonts w:hint="eastAsia" w:ascii="宋体" w:hAnsi="宋体" w:cs="宋体"/>
          <w:sz w:val="22"/>
        </w:rPr>
        <w:t>代理人无转委托权。</w:t>
      </w:r>
    </w:p>
    <w:p w14:paraId="2FFBEDAE">
      <w:pPr>
        <w:spacing w:line="360" w:lineRule="auto"/>
        <w:jc w:val="left"/>
        <w:rPr>
          <w:rFonts w:ascii="宋体" w:hAnsi="宋体" w:cs="宋体"/>
          <w:sz w:val="22"/>
        </w:rPr>
      </w:pPr>
    </w:p>
    <w:tbl>
      <w:tblPr>
        <w:tblStyle w:val="2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ascii="宋体" w:hAnsi="宋体" w:cs="宋体"/>
                <w:sz w:val="28"/>
                <w:szCs w:val="28"/>
              </w:rPr>
            </w:pPr>
          </w:p>
          <w:p w14:paraId="1B03B29B">
            <w:pPr>
              <w:spacing w:before="312" w:beforeLines="100" w:after="312" w:afterLines="100"/>
              <w:ind w:firstLine="980" w:firstLineChars="350"/>
              <w:rPr>
                <w:rFonts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ascii="宋体" w:hAnsi="宋体" w:cs="宋体"/>
          <w:sz w:val="22"/>
        </w:rPr>
      </w:pPr>
    </w:p>
    <w:p w14:paraId="28D101F6">
      <w:pPr>
        <w:spacing w:line="360" w:lineRule="auto"/>
        <w:jc w:val="left"/>
        <w:rPr>
          <w:rFonts w:ascii="宋体" w:hAnsi="宋体" w:cs="宋体"/>
          <w:sz w:val="22"/>
        </w:rPr>
      </w:pPr>
    </w:p>
    <w:p w14:paraId="71BE0B62">
      <w:pPr>
        <w:spacing w:line="360" w:lineRule="auto"/>
        <w:ind w:firstLine="3878"/>
        <w:jc w:val="left"/>
        <w:rPr>
          <w:rFonts w:ascii="宋体" w:hAnsi="宋体" w:cs="宋体"/>
          <w:sz w:val="22"/>
        </w:rPr>
      </w:pPr>
    </w:p>
    <w:p w14:paraId="7437CD3E">
      <w:pPr>
        <w:spacing w:line="360" w:lineRule="auto"/>
        <w:ind w:firstLine="3878"/>
        <w:jc w:val="left"/>
        <w:rPr>
          <w:rFonts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ascii="宋体" w:hAnsi="宋体" w:cs="宋体"/>
          <w:sz w:val="22"/>
        </w:rPr>
      </w:pPr>
    </w:p>
    <w:p w14:paraId="15468F2E">
      <w:pPr>
        <w:spacing w:line="360" w:lineRule="auto"/>
        <w:ind w:firstLine="3878"/>
        <w:jc w:val="left"/>
        <w:rPr>
          <w:rFonts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ascii="宋体" w:hAnsi="宋体" w:cs="宋体"/>
          <w:sz w:val="22"/>
        </w:rPr>
      </w:pPr>
    </w:p>
    <w:p w14:paraId="3AA1682A">
      <w:pPr>
        <w:spacing w:line="360" w:lineRule="auto"/>
        <w:ind w:firstLine="3878"/>
        <w:jc w:val="left"/>
        <w:rPr>
          <w:rFonts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ascii="宋体" w:hAnsi="宋体" w:cs="宋体"/>
          <w:sz w:val="22"/>
        </w:rPr>
      </w:pPr>
    </w:p>
    <w:p w14:paraId="2299C94E">
      <w:pPr>
        <w:spacing w:line="360" w:lineRule="auto"/>
        <w:ind w:firstLine="3878"/>
        <w:jc w:val="left"/>
        <w:rPr>
          <w:b/>
          <w:bCs/>
          <w:sz w:val="22"/>
          <w:szCs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97" w:name="_Toc2728"/>
      <w:bookmarkStart w:id="98" w:name="_Toc485905368"/>
    </w:p>
    <w:p w14:paraId="7798E1EA">
      <w:pPr>
        <w:rPr>
          <w:rFonts w:hint="eastAsia"/>
          <w:b/>
          <w:bCs/>
          <w:sz w:val="22"/>
        </w:rPr>
      </w:pPr>
      <w:r>
        <w:rPr>
          <w:rFonts w:hint="eastAsia"/>
          <w:b/>
          <w:bCs/>
          <w:sz w:val="22"/>
        </w:rPr>
        <w:br w:type="page"/>
      </w:r>
    </w:p>
    <w:p w14:paraId="7F3A7DB7">
      <w:pPr>
        <w:spacing w:line="360" w:lineRule="auto"/>
        <w:outlineLvl w:val="2"/>
        <w:rPr>
          <w:rFonts w:hint="default" w:eastAsia="宋体"/>
          <w:b/>
          <w:bCs/>
          <w:sz w:val="22"/>
          <w:lang w:val="en-US" w:eastAsia="zh-CN"/>
        </w:rPr>
      </w:pPr>
      <w:r>
        <w:rPr>
          <w:rFonts w:hint="eastAsia"/>
          <w:b/>
          <w:bCs/>
          <w:sz w:val="22"/>
        </w:rPr>
        <w:t>3.</w:t>
      </w:r>
      <w:bookmarkEnd w:id="97"/>
      <w:bookmarkEnd w:id="98"/>
      <w:r>
        <w:rPr>
          <w:rFonts w:hint="eastAsia"/>
          <w:b/>
          <w:bCs/>
          <w:sz w:val="22"/>
        </w:rPr>
        <w:t>投标人资格要求</w:t>
      </w:r>
      <w:r>
        <w:rPr>
          <w:rFonts w:hint="eastAsia"/>
          <w:b/>
          <w:bCs/>
          <w:sz w:val="22"/>
          <w:lang w:val="en-US" w:eastAsia="zh-CN"/>
        </w:rPr>
        <w:t>相关材料</w:t>
      </w:r>
    </w:p>
    <w:p w14:paraId="113F083C">
      <w:pPr>
        <w:adjustRightInd w:val="0"/>
        <w:snapToGrid w:val="0"/>
        <w:spacing w:line="360" w:lineRule="auto"/>
        <w:ind w:firstLine="440" w:firstLineChars="200"/>
        <w:jc w:val="left"/>
        <w:outlineLvl w:val="1"/>
        <w:rPr>
          <w:rFonts w:hint="eastAsia" w:ascii="宋体" w:hAnsi="宋体"/>
          <w:bCs/>
          <w:sz w:val="22"/>
          <w:szCs w:val="22"/>
        </w:rPr>
      </w:pPr>
      <w:bookmarkStart w:id="99" w:name="_Toc307410676"/>
      <w:bookmarkStart w:id="100" w:name="_Toc282529445"/>
      <w:bookmarkStart w:id="101" w:name="_Toc282529568"/>
      <w:bookmarkStart w:id="102" w:name="_Toc282529409"/>
      <w:bookmarkStart w:id="103" w:name="_Toc25199"/>
      <w:bookmarkStart w:id="104" w:name="_Toc282529962"/>
      <w:bookmarkStart w:id="105" w:name="_Toc19509"/>
      <w:r>
        <w:rPr>
          <w:rFonts w:hint="eastAsia" w:ascii="宋体" w:hAnsi="宋体"/>
          <w:bCs/>
          <w:sz w:val="22"/>
          <w:szCs w:val="22"/>
          <w:lang w:eastAsia="zh-CN"/>
        </w:rPr>
        <w:t>（</w:t>
      </w:r>
      <w:r>
        <w:rPr>
          <w:rFonts w:hint="eastAsia" w:ascii="宋体" w:hAnsi="宋体"/>
          <w:bCs/>
          <w:sz w:val="22"/>
          <w:szCs w:val="22"/>
          <w:lang w:val="en-US" w:eastAsia="zh-CN"/>
        </w:rPr>
        <w:t>一</w:t>
      </w:r>
      <w:r>
        <w:rPr>
          <w:rFonts w:hint="eastAsia" w:ascii="宋体" w:hAnsi="宋体"/>
          <w:bCs/>
          <w:sz w:val="22"/>
          <w:szCs w:val="22"/>
          <w:lang w:eastAsia="zh-CN"/>
        </w:rPr>
        <w:t>）</w:t>
      </w:r>
      <w:r>
        <w:rPr>
          <w:rFonts w:hint="eastAsia" w:ascii="宋体" w:hAnsi="宋体"/>
          <w:bCs/>
          <w:sz w:val="22"/>
          <w:szCs w:val="22"/>
          <w:lang w:val="en-US" w:eastAsia="zh-CN"/>
        </w:rPr>
        <w:t>投标人必须是在中华人民共和国境内（不含港、澳、台地区）注册的独立法人机构或分支机构且具备物业管理或物业服务或类似物业相关的经营能力。（提供营业执照副本复印件及相关证明文件并加盖投标人公章）；</w:t>
      </w:r>
    </w:p>
    <w:p w14:paraId="6C427F5F">
      <w:pPr>
        <w:adjustRightInd w:val="0"/>
        <w:snapToGrid w:val="0"/>
        <w:spacing w:line="360" w:lineRule="auto"/>
        <w:ind w:firstLine="440" w:firstLineChars="200"/>
        <w:jc w:val="left"/>
        <w:outlineLvl w:val="1"/>
        <w:rPr>
          <w:rFonts w:hint="eastAsia" w:ascii="宋体" w:hAnsi="宋体"/>
          <w:bCs/>
          <w:sz w:val="22"/>
          <w:szCs w:val="22"/>
          <w:highlight w:val="none"/>
        </w:rPr>
      </w:pPr>
      <w:r>
        <w:rPr>
          <w:rFonts w:hint="eastAsia" w:ascii="宋体" w:hAnsi="宋体"/>
          <w:bCs/>
          <w:sz w:val="22"/>
          <w:szCs w:val="22"/>
          <w:highlight w:val="none"/>
          <w:lang w:eastAsia="zh-CN"/>
        </w:rPr>
        <w:t>（</w:t>
      </w:r>
      <w:r>
        <w:rPr>
          <w:rFonts w:hint="eastAsia" w:ascii="宋体" w:hAnsi="宋体"/>
          <w:bCs/>
          <w:sz w:val="22"/>
          <w:szCs w:val="22"/>
          <w:highlight w:val="none"/>
          <w:lang w:val="en-US" w:eastAsia="zh-CN"/>
        </w:rPr>
        <w:t>二</w:t>
      </w:r>
      <w:r>
        <w:rPr>
          <w:rFonts w:hint="eastAsia" w:ascii="宋体" w:hAnsi="宋体"/>
          <w:bCs/>
          <w:sz w:val="22"/>
          <w:szCs w:val="22"/>
          <w:highlight w:val="none"/>
          <w:lang w:eastAsia="zh-CN"/>
        </w:rPr>
        <w:t>）</w:t>
      </w:r>
      <w:r>
        <w:rPr>
          <w:rFonts w:hint="eastAsia" w:ascii="宋体" w:hAnsi="宋体"/>
          <w:bCs/>
          <w:sz w:val="22"/>
          <w:szCs w:val="22"/>
          <w:highlight w:val="none"/>
        </w:rPr>
        <w:t>投标人近一年（自202</w:t>
      </w:r>
      <w:r>
        <w:rPr>
          <w:rFonts w:hint="eastAsia" w:ascii="宋体" w:hAnsi="宋体"/>
          <w:bCs/>
          <w:sz w:val="22"/>
          <w:szCs w:val="22"/>
          <w:highlight w:val="none"/>
          <w:lang w:val="en-US" w:eastAsia="zh-CN"/>
        </w:rPr>
        <w:t>5</w:t>
      </w:r>
      <w:r>
        <w:rPr>
          <w:rFonts w:hint="eastAsia" w:ascii="宋体" w:hAnsi="宋体"/>
          <w:bCs/>
          <w:sz w:val="22"/>
          <w:szCs w:val="22"/>
          <w:highlight w:val="none"/>
        </w:rPr>
        <w:t>年</w:t>
      </w:r>
      <w:r>
        <w:rPr>
          <w:rFonts w:hint="eastAsia" w:ascii="宋体" w:hAnsi="宋体"/>
          <w:bCs/>
          <w:sz w:val="22"/>
          <w:szCs w:val="22"/>
          <w:highlight w:val="none"/>
          <w:lang w:val="en-US" w:eastAsia="zh-CN"/>
        </w:rPr>
        <w:t>1</w:t>
      </w:r>
      <w:r>
        <w:rPr>
          <w:rFonts w:hint="eastAsia" w:ascii="宋体" w:hAnsi="宋体"/>
          <w:bCs/>
          <w:sz w:val="22"/>
          <w:szCs w:val="22"/>
          <w:highlight w:val="none"/>
        </w:rPr>
        <w:t>月1日至本公告发布之日起，以合同签订日期为准）至少具有1项不少于</w:t>
      </w:r>
      <w:r>
        <w:rPr>
          <w:rFonts w:hint="eastAsia" w:ascii="宋体" w:hAnsi="宋体"/>
          <w:bCs/>
          <w:sz w:val="22"/>
          <w:szCs w:val="22"/>
          <w:highlight w:val="none"/>
          <w:lang w:val="en-US" w:eastAsia="zh-CN"/>
        </w:rPr>
        <w:t>3</w:t>
      </w:r>
      <w:r>
        <w:rPr>
          <w:rFonts w:hint="eastAsia" w:ascii="宋体" w:hAnsi="宋体"/>
          <w:bCs/>
          <w:sz w:val="22"/>
          <w:szCs w:val="22"/>
          <w:highlight w:val="none"/>
        </w:rPr>
        <w:t>0万元物业服务类型业绩（提供合同关键页复印件并加盖投标人公章，合同关键页需体现项目类型、合同内容、合同金额、合同签订时间以及双方签字盖章页等）；</w:t>
      </w:r>
    </w:p>
    <w:p w14:paraId="08384079">
      <w:pPr>
        <w:adjustRightInd w:val="0"/>
        <w:snapToGrid w:val="0"/>
        <w:spacing w:line="360" w:lineRule="auto"/>
        <w:ind w:firstLine="440" w:firstLineChars="200"/>
        <w:jc w:val="left"/>
        <w:outlineLvl w:val="1"/>
        <w:rPr>
          <w:rFonts w:hint="eastAsia" w:ascii="宋体" w:hAnsi="宋体"/>
          <w:b/>
          <w:bCs/>
          <w:color w:val="000000"/>
          <w:sz w:val="28"/>
          <w:szCs w:val="28"/>
        </w:rPr>
      </w:pPr>
      <w:r>
        <w:rPr>
          <w:rFonts w:hint="eastAsia" w:ascii="宋体" w:hAnsi="宋体"/>
          <w:bCs/>
          <w:sz w:val="22"/>
          <w:szCs w:val="22"/>
          <w:lang w:eastAsia="zh-CN"/>
        </w:rPr>
        <w:t>（</w:t>
      </w:r>
      <w:r>
        <w:rPr>
          <w:rFonts w:hint="default" w:ascii="宋体" w:hAnsi="宋体"/>
          <w:bCs/>
          <w:sz w:val="22"/>
          <w:szCs w:val="22"/>
          <w:lang w:val="en-US" w:eastAsia="zh-CN"/>
        </w:rPr>
        <w:t>三</w:t>
      </w:r>
      <w:r>
        <w:rPr>
          <w:rFonts w:hint="eastAsia" w:ascii="宋体" w:hAnsi="宋体"/>
          <w:bCs/>
          <w:sz w:val="22"/>
          <w:szCs w:val="22"/>
          <w:lang w:eastAsia="zh-CN"/>
        </w:rPr>
        <w:t>）</w:t>
      </w:r>
      <w:r>
        <w:rPr>
          <w:rFonts w:hint="eastAsia" w:ascii="宋体" w:hAnsi="宋体"/>
          <w:bCs/>
          <w:sz w:val="22"/>
          <w:szCs w:val="22"/>
        </w:rPr>
        <w:t>本项目不接受联合体投标。</w:t>
      </w:r>
    </w:p>
    <w:p w14:paraId="15C35CE5">
      <w:pPr>
        <w:rPr>
          <w:rFonts w:hint="eastAsia" w:ascii="Times New Roman" w:hAnsi="Times New Roman" w:eastAsia="宋体" w:cs="Times New Roman"/>
          <w:b/>
          <w:bCs/>
          <w:sz w:val="22"/>
          <w:lang w:val="en-US" w:eastAsia="zh-CN"/>
        </w:rPr>
      </w:pPr>
      <w:r>
        <w:rPr>
          <w:rFonts w:hint="eastAsia" w:ascii="Times New Roman" w:hAnsi="Times New Roman" w:eastAsia="宋体" w:cs="Times New Roman"/>
          <w:b/>
          <w:bCs/>
          <w:sz w:val="22"/>
          <w:lang w:val="en-US" w:eastAsia="zh-CN"/>
        </w:rPr>
        <w:br w:type="page"/>
      </w:r>
    </w:p>
    <w:p w14:paraId="31E9C5C7">
      <w:pPr>
        <w:spacing w:line="360" w:lineRule="auto"/>
        <w:outlineLvl w:val="2"/>
        <w:rPr>
          <w:rFonts w:hint="eastAsia" w:ascii="Times New Roman" w:hAnsi="Times New Roman" w:eastAsia="宋体" w:cs="Times New Roman"/>
          <w:b/>
          <w:bCs/>
          <w:sz w:val="22"/>
        </w:rPr>
      </w:pPr>
      <w:r>
        <w:rPr>
          <w:rFonts w:hint="eastAsia" w:ascii="Times New Roman" w:hAnsi="Times New Roman" w:eastAsia="宋体" w:cs="Times New Roman"/>
          <w:b/>
          <w:bCs/>
          <w:sz w:val="22"/>
          <w:lang w:val="en-US" w:eastAsia="zh-CN"/>
        </w:rPr>
        <w:t>4.</w:t>
      </w:r>
      <w:r>
        <w:rPr>
          <w:rFonts w:hint="eastAsia" w:ascii="Times New Roman" w:hAnsi="Times New Roman" w:eastAsia="宋体" w:cs="Times New Roman"/>
          <w:b/>
          <w:bCs/>
          <w:sz w:val="22"/>
        </w:rPr>
        <w:t>业绩材料</w:t>
      </w:r>
      <w:bookmarkEnd w:id="99"/>
      <w:bookmarkEnd w:id="100"/>
      <w:bookmarkEnd w:id="101"/>
      <w:bookmarkEnd w:id="102"/>
      <w:bookmarkEnd w:id="103"/>
      <w:bookmarkEnd w:id="104"/>
      <w:bookmarkEnd w:id="105"/>
    </w:p>
    <w:p w14:paraId="04722023">
      <w:pPr>
        <w:rPr>
          <w:rFonts w:hint="eastAsia"/>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rFonts w:hint="eastAsia"/>
          <w:color w:val="000000"/>
          <w:sz w:val="24"/>
        </w:rPr>
      </w:pP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8"/>
        <w:gridCol w:w="1441"/>
        <w:gridCol w:w="1566"/>
        <w:gridCol w:w="1699"/>
        <w:gridCol w:w="1895"/>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466" w:type="pct"/>
            <w:noWrap w:val="0"/>
            <w:vAlign w:val="center"/>
          </w:tcPr>
          <w:p w14:paraId="2DDF3FB1">
            <w:pPr>
              <w:rPr>
                <w:rFonts w:hint="eastAsia"/>
                <w:color w:val="000000"/>
                <w:szCs w:val="21"/>
              </w:rPr>
            </w:pPr>
            <w:r>
              <w:rPr>
                <w:rFonts w:hint="eastAsia"/>
                <w:color w:val="000000"/>
                <w:szCs w:val="21"/>
              </w:rPr>
              <w:t>合同名称</w:t>
            </w:r>
          </w:p>
        </w:tc>
        <w:tc>
          <w:tcPr>
            <w:tcW w:w="771" w:type="pct"/>
            <w:noWrap w:val="0"/>
            <w:vAlign w:val="center"/>
          </w:tcPr>
          <w:p w14:paraId="659A5F74">
            <w:pPr>
              <w:rPr>
                <w:rFonts w:hint="eastAsia"/>
                <w:color w:val="000000"/>
                <w:szCs w:val="21"/>
              </w:rPr>
            </w:pPr>
            <w:r>
              <w:rPr>
                <w:rFonts w:hint="eastAsia"/>
                <w:color w:val="000000"/>
                <w:szCs w:val="21"/>
                <w:lang w:val="en-US" w:eastAsia="zh-CN"/>
              </w:rPr>
              <w:t>实施</w:t>
            </w:r>
            <w:r>
              <w:rPr>
                <w:rFonts w:hint="eastAsia"/>
                <w:color w:val="000000"/>
                <w:szCs w:val="21"/>
              </w:rPr>
              <w:t>地点</w:t>
            </w:r>
          </w:p>
        </w:tc>
        <w:tc>
          <w:tcPr>
            <w:tcW w:w="838" w:type="pct"/>
            <w:noWrap w:val="0"/>
            <w:vAlign w:val="center"/>
          </w:tcPr>
          <w:p w14:paraId="5AE78AB5">
            <w:pPr>
              <w:rPr>
                <w:rFonts w:hint="eastAsia"/>
                <w:color w:val="000000"/>
                <w:szCs w:val="21"/>
              </w:rPr>
            </w:pPr>
            <w:r>
              <w:rPr>
                <w:rFonts w:hint="eastAsia"/>
                <w:color w:val="000000"/>
                <w:szCs w:val="21"/>
                <w:lang w:val="en-US" w:eastAsia="zh-CN"/>
              </w:rPr>
              <w:t>签订</w:t>
            </w:r>
            <w:r>
              <w:rPr>
                <w:rFonts w:hint="eastAsia"/>
                <w:color w:val="000000"/>
                <w:szCs w:val="21"/>
              </w:rPr>
              <w:t>日期</w:t>
            </w:r>
          </w:p>
        </w:tc>
        <w:tc>
          <w:tcPr>
            <w:tcW w:w="909" w:type="pct"/>
            <w:noWrap w:val="0"/>
            <w:vAlign w:val="center"/>
          </w:tcPr>
          <w:p w14:paraId="67C0BA09">
            <w:pPr>
              <w:rPr>
                <w:rFonts w:hint="eastAsia"/>
                <w:color w:val="000000"/>
                <w:szCs w:val="21"/>
              </w:rPr>
            </w:pPr>
            <w:r>
              <w:rPr>
                <w:rFonts w:hint="eastAsia"/>
                <w:color w:val="000000"/>
                <w:szCs w:val="21"/>
              </w:rPr>
              <w:t>合同金额（万元）</w:t>
            </w:r>
          </w:p>
        </w:tc>
        <w:tc>
          <w:tcPr>
            <w:tcW w:w="1014" w:type="pct"/>
            <w:noWrap w:val="0"/>
            <w:vAlign w:val="center"/>
          </w:tcPr>
          <w:p w14:paraId="08498069">
            <w:pPr>
              <w:jc w:val="center"/>
              <w:rPr>
                <w:rFonts w:hint="eastAsia"/>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1EE467CE">
            <w:pPr>
              <w:rPr>
                <w:rFonts w:hint="eastAsia"/>
                <w:color w:val="000000"/>
              </w:rPr>
            </w:pPr>
          </w:p>
        </w:tc>
        <w:tc>
          <w:tcPr>
            <w:tcW w:w="771" w:type="pct"/>
            <w:noWrap w:val="0"/>
            <w:vAlign w:val="center"/>
          </w:tcPr>
          <w:p w14:paraId="6D00E2DF">
            <w:pPr>
              <w:rPr>
                <w:rFonts w:hint="eastAsia"/>
                <w:color w:val="000000"/>
              </w:rPr>
            </w:pPr>
          </w:p>
        </w:tc>
        <w:tc>
          <w:tcPr>
            <w:tcW w:w="838" w:type="pct"/>
            <w:noWrap w:val="0"/>
            <w:vAlign w:val="center"/>
          </w:tcPr>
          <w:p w14:paraId="36360E93">
            <w:pPr>
              <w:rPr>
                <w:rFonts w:hint="eastAsia"/>
                <w:color w:val="000000"/>
              </w:rPr>
            </w:pPr>
          </w:p>
        </w:tc>
        <w:tc>
          <w:tcPr>
            <w:tcW w:w="909" w:type="pct"/>
            <w:noWrap w:val="0"/>
            <w:vAlign w:val="center"/>
          </w:tcPr>
          <w:p w14:paraId="2F41CB84">
            <w:pPr>
              <w:rPr>
                <w:rFonts w:hint="eastAsia"/>
                <w:color w:val="000000"/>
              </w:rPr>
            </w:pPr>
          </w:p>
        </w:tc>
        <w:tc>
          <w:tcPr>
            <w:tcW w:w="1014" w:type="pct"/>
            <w:noWrap w:val="0"/>
            <w:vAlign w:val="center"/>
          </w:tcPr>
          <w:p w14:paraId="5F0C1075">
            <w:pPr>
              <w:rPr>
                <w:rFonts w:hint="eastAsia"/>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466" w:type="pct"/>
            <w:noWrap w:val="0"/>
            <w:vAlign w:val="center"/>
          </w:tcPr>
          <w:p w14:paraId="3A77B2BA">
            <w:pPr>
              <w:rPr>
                <w:rFonts w:hint="eastAsia"/>
                <w:color w:val="000000"/>
              </w:rPr>
            </w:pPr>
          </w:p>
        </w:tc>
        <w:tc>
          <w:tcPr>
            <w:tcW w:w="771" w:type="pct"/>
            <w:noWrap w:val="0"/>
            <w:vAlign w:val="center"/>
          </w:tcPr>
          <w:p w14:paraId="09F88085">
            <w:pPr>
              <w:rPr>
                <w:rFonts w:hint="eastAsia"/>
                <w:color w:val="000000"/>
              </w:rPr>
            </w:pPr>
          </w:p>
        </w:tc>
        <w:tc>
          <w:tcPr>
            <w:tcW w:w="838" w:type="pct"/>
            <w:noWrap w:val="0"/>
            <w:vAlign w:val="center"/>
          </w:tcPr>
          <w:p w14:paraId="31E9E628">
            <w:pPr>
              <w:rPr>
                <w:rFonts w:hint="eastAsia"/>
                <w:color w:val="000000"/>
              </w:rPr>
            </w:pPr>
          </w:p>
        </w:tc>
        <w:tc>
          <w:tcPr>
            <w:tcW w:w="909" w:type="pct"/>
            <w:noWrap w:val="0"/>
            <w:vAlign w:val="center"/>
          </w:tcPr>
          <w:p w14:paraId="1A1AB099">
            <w:pPr>
              <w:rPr>
                <w:rFonts w:hint="eastAsia"/>
                <w:color w:val="000000"/>
              </w:rPr>
            </w:pPr>
          </w:p>
        </w:tc>
        <w:tc>
          <w:tcPr>
            <w:tcW w:w="1014" w:type="pct"/>
            <w:noWrap w:val="0"/>
            <w:vAlign w:val="center"/>
          </w:tcPr>
          <w:p w14:paraId="03560441">
            <w:pPr>
              <w:rPr>
                <w:rFonts w:hint="eastAsia"/>
                <w:color w:val="000000"/>
              </w:rPr>
            </w:pPr>
          </w:p>
        </w:tc>
      </w:tr>
    </w:tbl>
    <w:p w14:paraId="314C62A7">
      <w:pPr>
        <w:rPr>
          <w:rFonts w:hint="eastAsia"/>
          <w:color w:val="000000"/>
        </w:rPr>
      </w:pPr>
    </w:p>
    <w:p w14:paraId="3C385FB5">
      <w:pPr>
        <w:ind w:firstLine="720" w:firstLineChars="400"/>
        <w:jc w:val="left"/>
        <w:rPr>
          <w:rFonts w:hint="eastAsia"/>
          <w:szCs w:val="21"/>
          <w:highlight w:val="none"/>
        </w:rPr>
        <w:sectPr>
          <w:pgSz w:w="11906" w:h="16838"/>
          <w:pgMar w:top="1418" w:right="1133" w:bottom="1418" w:left="1418" w:header="851" w:footer="992" w:gutter="0"/>
          <w:cols w:space="720" w:num="1"/>
          <w:rtlGutter w:val="1"/>
          <w:docGrid w:type="linesAndChars" w:linePitch="312" w:charSpace="0"/>
        </w:sectPr>
      </w:pPr>
      <w:r>
        <w:rPr>
          <w:rFonts w:hint="eastAsia"/>
          <w:color w:val="000000"/>
          <w:sz w:val="18"/>
          <w:szCs w:val="18"/>
        </w:rPr>
        <w:t>提供相应合同首页及盖章页复印件</w:t>
      </w:r>
    </w:p>
    <w:p w14:paraId="12D4D997">
      <w:pPr>
        <w:pStyle w:val="4"/>
        <w:numPr>
          <w:ilvl w:val="0"/>
          <w:numId w:val="4"/>
        </w:numPr>
        <w:ind w:left="0" w:leftChars="0" w:firstLine="0" w:firstLineChars="0"/>
        <w:jc w:val="both"/>
        <w:rPr>
          <w:rFonts w:hint="eastAsia"/>
          <w:bCs/>
          <w:sz w:val="24"/>
          <w:highlight w:val="none"/>
          <w:lang w:val="en-US" w:eastAsia="zh-CN"/>
        </w:rPr>
      </w:pPr>
      <w:r>
        <w:rPr>
          <w:rFonts w:hint="eastAsia"/>
          <w:bCs/>
          <w:sz w:val="24"/>
          <w:highlight w:val="none"/>
          <w:lang w:val="en-US" w:eastAsia="zh-CN"/>
        </w:rPr>
        <w:t>其他材料</w:t>
      </w:r>
    </w:p>
    <w:p w14:paraId="5524F80A">
      <w:pPr>
        <w:numPr>
          <w:ilvl w:val="0"/>
          <w:numId w:val="0"/>
        </w:numPr>
        <w:rPr>
          <w:rFonts w:hint="default" w:eastAsia="宋体"/>
          <w:highlight w:val="none"/>
          <w:lang w:val="en-US" w:eastAsia="zh-CN"/>
        </w:rPr>
      </w:pPr>
      <w:r>
        <w:rPr>
          <w:rFonts w:hint="eastAsia"/>
          <w:highlight w:val="none"/>
          <w:lang w:val="en-US" w:eastAsia="zh-CN"/>
        </w:rPr>
        <w:t>项目采购</w:t>
      </w:r>
      <w:bookmarkStart w:id="106" w:name="_GoBack"/>
      <w:bookmarkEnd w:id="106"/>
      <w:r>
        <w:rPr>
          <w:rFonts w:hint="eastAsia"/>
          <w:highlight w:val="none"/>
          <w:lang w:val="en-US" w:eastAsia="zh-CN"/>
        </w:rPr>
        <w:t>结果公示后，中标单位需在7个自然日内提供临时性物业基础服务配置人员名单。</w:t>
      </w:r>
    </w:p>
    <w:p w14:paraId="062B3C6C">
      <w:pPr>
        <w:rPr>
          <w:rFonts w:hint="eastAsia"/>
          <w:bCs/>
          <w:sz w:val="24"/>
          <w:highlight w:val="none"/>
          <w:lang w:val="en-US" w:eastAsia="zh-CN"/>
        </w:rPr>
      </w:pPr>
      <w:r>
        <w:rPr>
          <w:rFonts w:hint="eastAsia"/>
          <w:bCs/>
          <w:sz w:val="24"/>
          <w:highlight w:val="none"/>
          <w:lang w:val="en-US" w:eastAsia="zh-CN"/>
        </w:rPr>
        <w:br w:type="page"/>
      </w:r>
    </w:p>
    <w:p w14:paraId="03F81130">
      <w:pPr>
        <w:pStyle w:val="4"/>
        <w:numPr>
          <w:ilvl w:val="0"/>
          <w:numId w:val="0"/>
        </w:numPr>
        <w:ind w:leftChars="0"/>
        <w:jc w:val="both"/>
        <w:rPr>
          <w:rFonts w:hint="eastAsia"/>
          <w:bCs/>
          <w:sz w:val="24"/>
          <w:highlight w:val="none"/>
          <w:lang w:val="en-US" w:eastAsia="zh-CN"/>
        </w:rPr>
      </w:pPr>
      <w:r>
        <w:rPr>
          <w:rFonts w:hint="eastAsia"/>
          <w:bCs/>
          <w:sz w:val="24"/>
          <w:highlight w:val="none"/>
          <w:lang w:val="en-US" w:eastAsia="zh-CN"/>
        </w:rPr>
        <w:t>6.投标报价清单。</w:t>
      </w:r>
    </w:p>
    <w:p w14:paraId="6141A712">
      <w:r>
        <w:rPr>
          <w:rFonts w:hint="eastAsia"/>
          <w:color w:val="FF0000"/>
          <w:sz w:val="22"/>
          <w:szCs w:val="22"/>
          <w:lang w:val="en-US" w:eastAsia="zh-CN"/>
        </w:rPr>
        <w:t>按附件：投标报价清单EXCEL要求填写（表格公示及备注不允许调整）。</w:t>
      </w:r>
    </w:p>
    <w:sectPr>
      <w:pgSz w:w="11906" w:h="16838"/>
      <w:pgMar w:top="1418" w:right="1133" w:bottom="1418" w:left="1418" w:header="851" w:footer="992" w:gutter="0"/>
      <w:cols w:space="720" w:num="1"/>
      <w:rtlGutter w:val="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xy" w:date="2026-07-06T09:41:11Z" w:initials="wangxy">
    <w:p w14:paraId="73987432">
      <w:pPr>
        <w:pStyle w:val="8"/>
        <w:rPr>
          <w:rFonts w:hint="default" w:eastAsia="宋体"/>
          <w:lang w:val="en-US" w:eastAsia="zh-CN"/>
        </w:rPr>
      </w:pPr>
      <w:r>
        <w:rPr>
          <w:rFonts w:hint="eastAsia"/>
          <w:lang w:val="en-US" w:eastAsia="zh-CN"/>
        </w:rPr>
        <w:t>邀请询价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98743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15"/>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9"/>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2">
    <w:nsid w:val="48E3FD3A"/>
    <w:multiLevelType w:val="singleLevel"/>
    <w:tmpl w:val="48E3FD3A"/>
    <w:lvl w:ilvl="0" w:tentative="0">
      <w:start w:val="5"/>
      <w:numFmt w:val="decimal"/>
      <w:lvlText w:val="%1."/>
      <w:lvlJc w:val="left"/>
      <w:pPr>
        <w:tabs>
          <w:tab w:val="left" w:pos="312"/>
        </w:tabs>
      </w:pPr>
    </w:lvl>
  </w:abstractNum>
  <w:abstractNum w:abstractNumId="3">
    <w:nsid w:val="6C34DF4A"/>
    <w:multiLevelType w:val="singleLevel"/>
    <w:tmpl w:val="6C34DF4A"/>
    <w:lvl w:ilvl="0" w:tentative="0">
      <w:start w:val="1"/>
      <w:numFmt w:val="decimal"/>
      <w:pStyle w:val="3"/>
      <w:suff w:val="nothing"/>
      <w:lvlText w:val="%1、"/>
      <w:lvlJc w:val="left"/>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xy">
    <w15:presenceInfo w15:providerId="None" w15:userId="wangx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NotDisplayPageBoundaries w:val="1"/>
  <w:bordersDoNotSurroundHeader w:val="0"/>
  <w:bordersDoNotSurroundFooter w:val="0"/>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644C1"/>
    <w:rsid w:val="002664E7"/>
    <w:rsid w:val="00273F2D"/>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6796"/>
    <w:rsid w:val="0033560F"/>
    <w:rsid w:val="00336A40"/>
    <w:rsid w:val="003627B4"/>
    <w:rsid w:val="00365069"/>
    <w:rsid w:val="0036645E"/>
    <w:rsid w:val="00370D1E"/>
    <w:rsid w:val="00374445"/>
    <w:rsid w:val="00376061"/>
    <w:rsid w:val="003770C6"/>
    <w:rsid w:val="00380E2B"/>
    <w:rsid w:val="00381D0E"/>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9198E"/>
    <w:rsid w:val="0059354B"/>
    <w:rsid w:val="005959BE"/>
    <w:rsid w:val="005A5333"/>
    <w:rsid w:val="005A5ECE"/>
    <w:rsid w:val="005C2DB0"/>
    <w:rsid w:val="005C33DD"/>
    <w:rsid w:val="005D33B9"/>
    <w:rsid w:val="005E1DB8"/>
    <w:rsid w:val="005E4BD4"/>
    <w:rsid w:val="005E6ED2"/>
    <w:rsid w:val="005F1093"/>
    <w:rsid w:val="005F6FEB"/>
    <w:rsid w:val="00612C00"/>
    <w:rsid w:val="00614C89"/>
    <w:rsid w:val="0062120B"/>
    <w:rsid w:val="0063228D"/>
    <w:rsid w:val="00633381"/>
    <w:rsid w:val="006476DC"/>
    <w:rsid w:val="0065311E"/>
    <w:rsid w:val="0065376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345BA"/>
    <w:rsid w:val="007351F0"/>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37D3"/>
    <w:rsid w:val="007B74EF"/>
    <w:rsid w:val="007C268F"/>
    <w:rsid w:val="007C53AF"/>
    <w:rsid w:val="007D1813"/>
    <w:rsid w:val="007D7DBC"/>
    <w:rsid w:val="007E1375"/>
    <w:rsid w:val="007F7FD1"/>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72B49"/>
    <w:rsid w:val="009773AE"/>
    <w:rsid w:val="00977C7C"/>
    <w:rsid w:val="00983742"/>
    <w:rsid w:val="0098511D"/>
    <w:rsid w:val="00994414"/>
    <w:rsid w:val="00995B58"/>
    <w:rsid w:val="009A3893"/>
    <w:rsid w:val="009A39AC"/>
    <w:rsid w:val="009A6D84"/>
    <w:rsid w:val="009A76A8"/>
    <w:rsid w:val="009C0BB3"/>
    <w:rsid w:val="009C182C"/>
    <w:rsid w:val="009C286E"/>
    <w:rsid w:val="009C32F4"/>
    <w:rsid w:val="009C69E9"/>
    <w:rsid w:val="009D6D19"/>
    <w:rsid w:val="009E2CA4"/>
    <w:rsid w:val="009E5415"/>
    <w:rsid w:val="00A0111E"/>
    <w:rsid w:val="00A02CFC"/>
    <w:rsid w:val="00A05B2E"/>
    <w:rsid w:val="00A150AB"/>
    <w:rsid w:val="00A27B49"/>
    <w:rsid w:val="00A37B23"/>
    <w:rsid w:val="00A40C99"/>
    <w:rsid w:val="00A452A2"/>
    <w:rsid w:val="00A45626"/>
    <w:rsid w:val="00A46A07"/>
    <w:rsid w:val="00A5727B"/>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33183"/>
    <w:rsid w:val="00B35A98"/>
    <w:rsid w:val="00B453DC"/>
    <w:rsid w:val="00B64A2D"/>
    <w:rsid w:val="00B74C6B"/>
    <w:rsid w:val="00B81DB1"/>
    <w:rsid w:val="00B94060"/>
    <w:rsid w:val="00B965FB"/>
    <w:rsid w:val="00B97BFF"/>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95E"/>
    <w:rsid w:val="00E60146"/>
    <w:rsid w:val="00E65C90"/>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5BE1"/>
    <w:rsid w:val="00F6434D"/>
    <w:rsid w:val="00F65425"/>
    <w:rsid w:val="00F70827"/>
    <w:rsid w:val="00F80CC7"/>
    <w:rsid w:val="00F824CC"/>
    <w:rsid w:val="00F854E8"/>
    <w:rsid w:val="00F87F9E"/>
    <w:rsid w:val="00F95649"/>
    <w:rsid w:val="00FA0B0D"/>
    <w:rsid w:val="00FA6EDB"/>
    <w:rsid w:val="00FB5B61"/>
    <w:rsid w:val="00FB6A39"/>
    <w:rsid w:val="00FD0AF1"/>
    <w:rsid w:val="00FD2FA6"/>
    <w:rsid w:val="00FD3A48"/>
    <w:rsid w:val="00FD6BE9"/>
    <w:rsid w:val="00FE068C"/>
    <w:rsid w:val="00FE5E08"/>
    <w:rsid w:val="00FE66E4"/>
    <w:rsid w:val="00FF0291"/>
    <w:rsid w:val="00FF4309"/>
    <w:rsid w:val="01062EEC"/>
    <w:rsid w:val="012F4A98"/>
    <w:rsid w:val="012F51EC"/>
    <w:rsid w:val="019404F8"/>
    <w:rsid w:val="022875C5"/>
    <w:rsid w:val="05663C28"/>
    <w:rsid w:val="05DB5C4A"/>
    <w:rsid w:val="06240703"/>
    <w:rsid w:val="066B5890"/>
    <w:rsid w:val="07061550"/>
    <w:rsid w:val="079E01FB"/>
    <w:rsid w:val="07F01E7F"/>
    <w:rsid w:val="07FF778A"/>
    <w:rsid w:val="082D0133"/>
    <w:rsid w:val="08D84396"/>
    <w:rsid w:val="0BB304D4"/>
    <w:rsid w:val="0CE57E5A"/>
    <w:rsid w:val="0DD423A8"/>
    <w:rsid w:val="0DFF57E7"/>
    <w:rsid w:val="0E267A0C"/>
    <w:rsid w:val="0E9C7669"/>
    <w:rsid w:val="0EB16245"/>
    <w:rsid w:val="0F22324C"/>
    <w:rsid w:val="0F730AEC"/>
    <w:rsid w:val="0F79317D"/>
    <w:rsid w:val="0F871690"/>
    <w:rsid w:val="0FDD7BED"/>
    <w:rsid w:val="10944070"/>
    <w:rsid w:val="10C36880"/>
    <w:rsid w:val="11D0705D"/>
    <w:rsid w:val="11F272A1"/>
    <w:rsid w:val="131C5F02"/>
    <w:rsid w:val="13785584"/>
    <w:rsid w:val="13CE4CEB"/>
    <w:rsid w:val="13DAF8A1"/>
    <w:rsid w:val="13EDD581"/>
    <w:rsid w:val="16300397"/>
    <w:rsid w:val="16452E6A"/>
    <w:rsid w:val="16EE46E9"/>
    <w:rsid w:val="17516817"/>
    <w:rsid w:val="179B561F"/>
    <w:rsid w:val="179E543A"/>
    <w:rsid w:val="179F7E61"/>
    <w:rsid w:val="17DCD581"/>
    <w:rsid w:val="17FEA7A0"/>
    <w:rsid w:val="18367E60"/>
    <w:rsid w:val="18552443"/>
    <w:rsid w:val="188B3505"/>
    <w:rsid w:val="18A15832"/>
    <w:rsid w:val="18C80D5B"/>
    <w:rsid w:val="19F94F44"/>
    <w:rsid w:val="1B09565B"/>
    <w:rsid w:val="1B7D37FE"/>
    <w:rsid w:val="1BAE2D22"/>
    <w:rsid w:val="1C69015F"/>
    <w:rsid w:val="1D352737"/>
    <w:rsid w:val="1D6FFE7E"/>
    <w:rsid w:val="1DA6457A"/>
    <w:rsid w:val="1DBFF7DE"/>
    <w:rsid w:val="1DFEFD23"/>
    <w:rsid w:val="1E1315D2"/>
    <w:rsid w:val="1EDDBDE1"/>
    <w:rsid w:val="1EEB60E3"/>
    <w:rsid w:val="1EF654E3"/>
    <w:rsid w:val="1F353567"/>
    <w:rsid w:val="1F3FBEAC"/>
    <w:rsid w:val="1FA86985"/>
    <w:rsid w:val="1FDFAA20"/>
    <w:rsid w:val="1FF59FF7"/>
    <w:rsid w:val="1FFC8C68"/>
    <w:rsid w:val="1FFFA1A0"/>
    <w:rsid w:val="215C64E4"/>
    <w:rsid w:val="21F20922"/>
    <w:rsid w:val="23563407"/>
    <w:rsid w:val="23CA0048"/>
    <w:rsid w:val="23CA35C4"/>
    <w:rsid w:val="23FFD015"/>
    <w:rsid w:val="243726FE"/>
    <w:rsid w:val="24FFEE55"/>
    <w:rsid w:val="250836DD"/>
    <w:rsid w:val="25DD49AD"/>
    <w:rsid w:val="25FF8360"/>
    <w:rsid w:val="26681488"/>
    <w:rsid w:val="26AE8DB4"/>
    <w:rsid w:val="26BCA762"/>
    <w:rsid w:val="2785621B"/>
    <w:rsid w:val="27BB0887"/>
    <w:rsid w:val="27F23110"/>
    <w:rsid w:val="28E84ED5"/>
    <w:rsid w:val="294F3C65"/>
    <w:rsid w:val="29E01D64"/>
    <w:rsid w:val="2A190F95"/>
    <w:rsid w:val="2AE27102"/>
    <w:rsid w:val="2B1F9594"/>
    <w:rsid w:val="2B42775D"/>
    <w:rsid w:val="2BB6D45D"/>
    <w:rsid w:val="2BFF9890"/>
    <w:rsid w:val="2C803B57"/>
    <w:rsid w:val="2D3E5462"/>
    <w:rsid w:val="2D7A5694"/>
    <w:rsid w:val="2DA57465"/>
    <w:rsid w:val="2DB502AE"/>
    <w:rsid w:val="2DBEF0D4"/>
    <w:rsid w:val="2E7BB129"/>
    <w:rsid w:val="2E7F2C33"/>
    <w:rsid w:val="2EB9F29D"/>
    <w:rsid w:val="2EFD2A1A"/>
    <w:rsid w:val="2EFF64DA"/>
    <w:rsid w:val="2F7A0652"/>
    <w:rsid w:val="2F7F9957"/>
    <w:rsid w:val="2F9E0A60"/>
    <w:rsid w:val="2FC3B749"/>
    <w:rsid w:val="2FE72E08"/>
    <w:rsid w:val="2FEFBA39"/>
    <w:rsid w:val="30124581"/>
    <w:rsid w:val="301D1535"/>
    <w:rsid w:val="30C260A8"/>
    <w:rsid w:val="30FF3996"/>
    <w:rsid w:val="31344D88"/>
    <w:rsid w:val="313A1850"/>
    <w:rsid w:val="31A90554"/>
    <w:rsid w:val="31D7172B"/>
    <w:rsid w:val="322E1E8E"/>
    <w:rsid w:val="32761132"/>
    <w:rsid w:val="32851613"/>
    <w:rsid w:val="32860CB3"/>
    <w:rsid w:val="32C76D19"/>
    <w:rsid w:val="337E89AA"/>
    <w:rsid w:val="337F838B"/>
    <w:rsid w:val="337FEE13"/>
    <w:rsid w:val="33D77036"/>
    <w:rsid w:val="33DD7C24"/>
    <w:rsid w:val="33DFACE2"/>
    <w:rsid w:val="33DFD2C7"/>
    <w:rsid w:val="34F36D08"/>
    <w:rsid w:val="34F6504A"/>
    <w:rsid w:val="356FEB2E"/>
    <w:rsid w:val="35BFBC15"/>
    <w:rsid w:val="35DF05ED"/>
    <w:rsid w:val="36D57FE3"/>
    <w:rsid w:val="36F6CCC7"/>
    <w:rsid w:val="36F7D9E4"/>
    <w:rsid w:val="370451FC"/>
    <w:rsid w:val="37AD37A0"/>
    <w:rsid w:val="37D152F0"/>
    <w:rsid w:val="37FD401D"/>
    <w:rsid w:val="37FE9362"/>
    <w:rsid w:val="38DC6794"/>
    <w:rsid w:val="395413D0"/>
    <w:rsid w:val="39DB1AF8"/>
    <w:rsid w:val="3B023801"/>
    <w:rsid w:val="3B5B40CC"/>
    <w:rsid w:val="3B7A989C"/>
    <w:rsid w:val="3BB6428D"/>
    <w:rsid w:val="3BEFE1AD"/>
    <w:rsid w:val="3BFF30D9"/>
    <w:rsid w:val="3BFFB9D8"/>
    <w:rsid w:val="3C7EE6A8"/>
    <w:rsid w:val="3CBDD3B1"/>
    <w:rsid w:val="3CD56B5F"/>
    <w:rsid w:val="3CDF518D"/>
    <w:rsid w:val="3CE358B4"/>
    <w:rsid w:val="3CE98EF3"/>
    <w:rsid w:val="3CF07EA7"/>
    <w:rsid w:val="3CFBDD0F"/>
    <w:rsid w:val="3D023F8C"/>
    <w:rsid w:val="3D7DD69E"/>
    <w:rsid w:val="3D937DE0"/>
    <w:rsid w:val="3DB501D0"/>
    <w:rsid w:val="3DBEFC9F"/>
    <w:rsid w:val="3DD91FDF"/>
    <w:rsid w:val="3DE3A6AF"/>
    <w:rsid w:val="3DF86E6B"/>
    <w:rsid w:val="3DFFD74D"/>
    <w:rsid w:val="3E37FF83"/>
    <w:rsid w:val="3E7FD963"/>
    <w:rsid w:val="3EBF4106"/>
    <w:rsid w:val="3ECF72D2"/>
    <w:rsid w:val="3EDF283E"/>
    <w:rsid w:val="3EED1FF9"/>
    <w:rsid w:val="3EFFBA49"/>
    <w:rsid w:val="3F0F51F7"/>
    <w:rsid w:val="3F2B2CB3"/>
    <w:rsid w:val="3F3F699A"/>
    <w:rsid w:val="3F4B63DC"/>
    <w:rsid w:val="3F58299F"/>
    <w:rsid w:val="3F77B030"/>
    <w:rsid w:val="3F7ED136"/>
    <w:rsid w:val="3F94215C"/>
    <w:rsid w:val="3F965127"/>
    <w:rsid w:val="3FAF4726"/>
    <w:rsid w:val="3FB90450"/>
    <w:rsid w:val="3FBC390F"/>
    <w:rsid w:val="3FBDDDAB"/>
    <w:rsid w:val="3FCF9158"/>
    <w:rsid w:val="3FD738BD"/>
    <w:rsid w:val="3FDA9FF7"/>
    <w:rsid w:val="3FDF5665"/>
    <w:rsid w:val="3FEF88A9"/>
    <w:rsid w:val="3FF398A7"/>
    <w:rsid w:val="3FFDB095"/>
    <w:rsid w:val="3FFE56E6"/>
    <w:rsid w:val="3FFFCA86"/>
    <w:rsid w:val="405F7146"/>
    <w:rsid w:val="4112526A"/>
    <w:rsid w:val="41A575DC"/>
    <w:rsid w:val="41D81D49"/>
    <w:rsid w:val="420809F9"/>
    <w:rsid w:val="423F533B"/>
    <w:rsid w:val="42470693"/>
    <w:rsid w:val="433F945B"/>
    <w:rsid w:val="449000D0"/>
    <w:rsid w:val="44EBF615"/>
    <w:rsid w:val="45384C4A"/>
    <w:rsid w:val="453B44DF"/>
    <w:rsid w:val="45BF67BA"/>
    <w:rsid w:val="45EE1C60"/>
    <w:rsid w:val="45FF4C53"/>
    <w:rsid w:val="463C48EF"/>
    <w:rsid w:val="466FCA38"/>
    <w:rsid w:val="46733805"/>
    <w:rsid w:val="470A731F"/>
    <w:rsid w:val="47772D54"/>
    <w:rsid w:val="477EC467"/>
    <w:rsid w:val="479003E6"/>
    <w:rsid w:val="47A3951F"/>
    <w:rsid w:val="47BC4CE0"/>
    <w:rsid w:val="47C6636F"/>
    <w:rsid w:val="47E9FA2B"/>
    <w:rsid w:val="47EC4E9D"/>
    <w:rsid w:val="47F5763F"/>
    <w:rsid w:val="47FA4FAA"/>
    <w:rsid w:val="485E4D1B"/>
    <w:rsid w:val="4893DE0D"/>
    <w:rsid w:val="49B76B83"/>
    <w:rsid w:val="4A7D1EBA"/>
    <w:rsid w:val="4AB03279"/>
    <w:rsid w:val="4B7FF2C8"/>
    <w:rsid w:val="4B9F15A2"/>
    <w:rsid w:val="4BA40904"/>
    <w:rsid w:val="4BAE0DE3"/>
    <w:rsid w:val="4BC664AF"/>
    <w:rsid w:val="4BF6C249"/>
    <w:rsid w:val="4C1FBD61"/>
    <w:rsid w:val="4CFA3DC1"/>
    <w:rsid w:val="4D6DA331"/>
    <w:rsid w:val="4DED4122"/>
    <w:rsid w:val="4E3F1540"/>
    <w:rsid w:val="4E3F5BF1"/>
    <w:rsid w:val="4E7FEFAD"/>
    <w:rsid w:val="4E8E0E66"/>
    <w:rsid w:val="4EB3158A"/>
    <w:rsid w:val="4F4D5A86"/>
    <w:rsid w:val="4F671424"/>
    <w:rsid w:val="4F680A44"/>
    <w:rsid w:val="4FBE569F"/>
    <w:rsid w:val="4FD733A3"/>
    <w:rsid w:val="4FDEEAAE"/>
    <w:rsid w:val="4FDF9CAD"/>
    <w:rsid w:val="4FEF3FF1"/>
    <w:rsid w:val="4FF996C7"/>
    <w:rsid w:val="507E7B84"/>
    <w:rsid w:val="50970A38"/>
    <w:rsid w:val="50C34104"/>
    <w:rsid w:val="514167A8"/>
    <w:rsid w:val="51BF0246"/>
    <w:rsid w:val="53385DB4"/>
    <w:rsid w:val="53C7E2BD"/>
    <w:rsid w:val="53DA2EC4"/>
    <w:rsid w:val="53DC0E2F"/>
    <w:rsid w:val="55599319"/>
    <w:rsid w:val="55D3EECD"/>
    <w:rsid w:val="56EFEE0F"/>
    <w:rsid w:val="56FA4920"/>
    <w:rsid w:val="5739744F"/>
    <w:rsid w:val="574E11B8"/>
    <w:rsid w:val="577E06C0"/>
    <w:rsid w:val="577E7643"/>
    <w:rsid w:val="579F9940"/>
    <w:rsid w:val="57B3C9A4"/>
    <w:rsid w:val="57B82889"/>
    <w:rsid w:val="57BC87EE"/>
    <w:rsid w:val="57F19A49"/>
    <w:rsid w:val="57F3740A"/>
    <w:rsid w:val="57F67AD4"/>
    <w:rsid w:val="57FE0D21"/>
    <w:rsid w:val="583B7EFB"/>
    <w:rsid w:val="58422566"/>
    <w:rsid w:val="58975B15"/>
    <w:rsid w:val="592F3F03"/>
    <w:rsid w:val="596B74AA"/>
    <w:rsid w:val="59734CD5"/>
    <w:rsid w:val="59D70DB9"/>
    <w:rsid w:val="59D74025"/>
    <w:rsid w:val="59FB1EF3"/>
    <w:rsid w:val="5A9D8514"/>
    <w:rsid w:val="5B7728A3"/>
    <w:rsid w:val="5B774703"/>
    <w:rsid w:val="5BB9E2C9"/>
    <w:rsid w:val="5BDE23F3"/>
    <w:rsid w:val="5BEF4CB6"/>
    <w:rsid w:val="5BF5FC7B"/>
    <w:rsid w:val="5BFE9222"/>
    <w:rsid w:val="5C4C367A"/>
    <w:rsid w:val="5C701330"/>
    <w:rsid w:val="5C7BF3F7"/>
    <w:rsid w:val="5CAB38A1"/>
    <w:rsid w:val="5CBF3ABD"/>
    <w:rsid w:val="5CC60636"/>
    <w:rsid w:val="5CDB8AF9"/>
    <w:rsid w:val="5CE31780"/>
    <w:rsid w:val="5CF54B1C"/>
    <w:rsid w:val="5CFF7D93"/>
    <w:rsid w:val="5D211DB5"/>
    <w:rsid w:val="5D623DF6"/>
    <w:rsid w:val="5D77E18D"/>
    <w:rsid w:val="5D9C76FA"/>
    <w:rsid w:val="5DA7FC74"/>
    <w:rsid w:val="5DB78A88"/>
    <w:rsid w:val="5DCB8118"/>
    <w:rsid w:val="5DCDAB8B"/>
    <w:rsid w:val="5E1D07CE"/>
    <w:rsid w:val="5E7FBCB8"/>
    <w:rsid w:val="5ECF20CF"/>
    <w:rsid w:val="5EDBDE2F"/>
    <w:rsid w:val="5EE95172"/>
    <w:rsid w:val="5EF97435"/>
    <w:rsid w:val="5EFB2504"/>
    <w:rsid w:val="5EFE833A"/>
    <w:rsid w:val="5F576DA8"/>
    <w:rsid w:val="5F77361B"/>
    <w:rsid w:val="5F7A6745"/>
    <w:rsid w:val="5F7F13C5"/>
    <w:rsid w:val="5FA90EC6"/>
    <w:rsid w:val="5FB3B0C3"/>
    <w:rsid w:val="5FB75D19"/>
    <w:rsid w:val="5FB994CD"/>
    <w:rsid w:val="5FBB637B"/>
    <w:rsid w:val="5FCF2C96"/>
    <w:rsid w:val="5FDAED7F"/>
    <w:rsid w:val="5FDBC18A"/>
    <w:rsid w:val="5FDFBD1E"/>
    <w:rsid w:val="5FED31B4"/>
    <w:rsid w:val="5FF65421"/>
    <w:rsid w:val="5FFEEC88"/>
    <w:rsid w:val="5FFF4890"/>
    <w:rsid w:val="5FFF80A3"/>
    <w:rsid w:val="5FFF917B"/>
    <w:rsid w:val="5FFFBEC0"/>
    <w:rsid w:val="5FFFC2DD"/>
    <w:rsid w:val="5FFFE0E5"/>
    <w:rsid w:val="60DB1BB9"/>
    <w:rsid w:val="61CC398C"/>
    <w:rsid w:val="61DB4726"/>
    <w:rsid w:val="62751DEA"/>
    <w:rsid w:val="62A815CF"/>
    <w:rsid w:val="62F53AC8"/>
    <w:rsid w:val="62FFB1BD"/>
    <w:rsid w:val="63181F42"/>
    <w:rsid w:val="631B2AFC"/>
    <w:rsid w:val="63391572"/>
    <w:rsid w:val="633EB8BC"/>
    <w:rsid w:val="63F7E04F"/>
    <w:rsid w:val="63FD8CF9"/>
    <w:rsid w:val="64B452BD"/>
    <w:rsid w:val="64CE2652"/>
    <w:rsid w:val="650F3A46"/>
    <w:rsid w:val="65666B10"/>
    <w:rsid w:val="65ED6CD8"/>
    <w:rsid w:val="65F6C244"/>
    <w:rsid w:val="663BF696"/>
    <w:rsid w:val="66ED964A"/>
    <w:rsid w:val="66FF3D35"/>
    <w:rsid w:val="66FF593B"/>
    <w:rsid w:val="6777399F"/>
    <w:rsid w:val="6777887A"/>
    <w:rsid w:val="6799E18D"/>
    <w:rsid w:val="67AA3C86"/>
    <w:rsid w:val="67B3D49B"/>
    <w:rsid w:val="67DC5256"/>
    <w:rsid w:val="67F7CDB2"/>
    <w:rsid w:val="67FB6A2F"/>
    <w:rsid w:val="67FEA6EC"/>
    <w:rsid w:val="68065D8E"/>
    <w:rsid w:val="68152516"/>
    <w:rsid w:val="68FF17E3"/>
    <w:rsid w:val="69654222"/>
    <w:rsid w:val="697F0E62"/>
    <w:rsid w:val="69C89A9F"/>
    <w:rsid w:val="6A065686"/>
    <w:rsid w:val="6AD85760"/>
    <w:rsid w:val="6B042C51"/>
    <w:rsid w:val="6B332033"/>
    <w:rsid w:val="6BA92823"/>
    <w:rsid w:val="6BC37F6B"/>
    <w:rsid w:val="6BCD1DFD"/>
    <w:rsid w:val="6BDB6C70"/>
    <w:rsid w:val="6BE33AD4"/>
    <w:rsid w:val="6BEC17E0"/>
    <w:rsid w:val="6BEFE994"/>
    <w:rsid w:val="6BFBFB31"/>
    <w:rsid w:val="6BFF57C9"/>
    <w:rsid w:val="6C537AB1"/>
    <w:rsid w:val="6C7EE647"/>
    <w:rsid w:val="6CE22DDD"/>
    <w:rsid w:val="6D1599EA"/>
    <w:rsid w:val="6D4A0EB4"/>
    <w:rsid w:val="6D79A68F"/>
    <w:rsid w:val="6D7BCC20"/>
    <w:rsid w:val="6D7FCA8D"/>
    <w:rsid w:val="6D854D28"/>
    <w:rsid w:val="6DB77236"/>
    <w:rsid w:val="6DBB9459"/>
    <w:rsid w:val="6DBF4F80"/>
    <w:rsid w:val="6DBF5364"/>
    <w:rsid w:val="6DD96315"/>
    <w:rsid w:val="6DDF9056"/>
    <w:rsid w:val="6DDF94E1"/>
    <w:rsid w:val="6DEA0827"/>
    <w:rsid w:val="6DEFD16D"/>
    <w:rsid w:val="6DFBD5C7"/>
    <w:rsid w:val="6DFE1F07"/>
    <w:rsid w:val="6DFF0399"/>
    <w:rsid w:val="6E170C54"/>
    <w:rsid w:val="6E7997AB"/>
    <w:rsid w:val="6E7F5577"/>
    <w:rsid w:val="6E7FD91D"/>
    <w:rsid w:val="6E940B17"/>
    <w:rsid w:val="6EB6C8F5"/>
    <w:rsid w:val="6ED610C2"/>
    <w:rsid w:val="6F75E1C1"/>
    <w:rsid w:val="6F7F35E1"/>
    <w:rsid w:val="6FA72ACD"/>
    <w:rsid w:val="6FAB9E95"/>
    <w:rsid w:val="6FBDC3D6"/>
    <w:rsid w:val="6FBF2125"/>
    <w:rsid w:val="6FBFBCB1"/>
    <w:rsid w:val="6FD7E366"/>
    <w:rsid w:val="6FDA53F2"/>
    <w:rsid w:val="6FE5D7F0"/>
    <w:rsid w:val="6FEB4759"/>
    <w:rsid w:val="6FF349D1"/>
    <w:rsid w:val="6FF7A459"/>
    <w:rsid w:val="6FFC8E8A"/>
    <w:rsid w:val="6FFE44DD"/>
    <w:rsid w:val="707A0612"/>
    <w:rsid w:val="7157F095"/>
    <w:rsid w:val="71EE8CE0"/>
    <w:rsid w:val="71FB8D7C"/>
    <w:rsid w:val="721455EC"/>
    <w:rsid w:val="72435ED2"/>
    <w:rsid w:val="72914E8F"/>
    <w:rsid w:val="72F9109C"/>
    <w:rsid w:val="72FF747A"/>
    <w:rsid w:val="732857F3"/>
    <w:rsid w:val="734A61C7"/>
    <w:rsid w:val="736FDDA8"/>
    <w:rsid w:val="739E2096"/>
    <w:rsid w:val="739F7D03"/>
    <w:rsid w:val="73BF9C33"/>
    <w:rsid w:val="73EB8329"/>
    <w:rsid w:val="73EF96E8"/>
    <w:rsid w:val="73FBF4CF"/>
    <w:rsid w:val="74517642"/>
    <w:rsid w:val="745764EE"/>
    <w:rsid w:val="74C652C4"/>
    <w:rsid w:val="74FF44ED"/>
    <w:rsid w:val="74FFBA7C"/>
    <w:rsid w:val="75745932"/>
    <w:rsid w:val="75B919E2"/>
    <w:rsid w:val="75F7F204"/>
    <w:rsid w:val="762512F7"/>
    <w:rsid w:val="76494940"/>
    <w:rsid w:val="76679FD4"/>
    <w:rsid w:val="767F7236"/>
    <w:rsid w:val="769F540A"/>
    <w:rsid w:val="76D659C3"/>
    <w:rsid w:val="76EF8891"/>
    <w:rsid w:val="76F68D98"/>
    <w:rsid w:val="76FF92F2"/>
    <w:rsid w:val="772B1EBC"/>
    <w:rsid w:val="773E356C"/>
    <w:rsid w:val="776F6B6F"/>
    <w:rsid w:val="77B5B727"/>
    <w:rsid w:val="77DE3828"/>
    <w:rsid w:val="77DF98CB"/>
    <w:rsid w:val="77F7013D"/>
    <w:rsid w:val="77F75632"/>
    <w:rsid w:val="77F7EB7D"/>
    <w:rsid w:val="77FE3302"/>
    <w:rsid w:val="783C0103"/>
    <w:rsid w:val="787E291D"/>
    <w:rsid w:val="78F346EB"/>
    <w:rsid w:val="797C1A20"/>
    <w:rsid w:val="79BB222F"/>
    <w:rsid w:val="79D3FD5A"/>
    <w:rsid w:val="79EFACF2"/>
    <w:rsid w:val="79F79C77"/>
    <w:rsid w:val="79FB9D4E"/>
    <w:rsid w:val="79FBB12E"/>
    <w:rsid w:val="79FCE16F"/>
    <w:rsid w:val="79FDEC37"/>
    <w:rsid w:val="79FF0138"/>
    <w:rsid w:val="79FF7DA5"/>
    <w:rsid w:val="79FF8F8C"/>
    <w:rsid w:val="7A4BBCB2"/>
    <w:rsid w:val="7A664E53"/>
    <w:rsid w:val="7ABCC07C"/>
    <w:rsid w:val="7AFE565E"/>
    <w:rsid w:val="7B7F07D8"/>
    <w:rsid w:val="7BA945C3"/>
    <w:rsid w:val="7BACA964"/>
    <w:rsid w:val="7BB63E61"/>
    <w:rsid w:val="7BBF1488"/>
    <w:rsid w:val="7BDEEE70"/>
    <w:rsid w:val="7BE3C01B"/>
    <w:rsid w:val="7BEF6F3A"/>
    <w:rsid w:val="7BF493D3"/>
    <w:rsid w:val="7BF5E46B"/>
    <w:rsid w:val="7BF7C379"/>
    <w:rsid w:val="7BF80177"/>
    <w:rsid w:val="7BFE8481"/>
    <w:rsid w:val="7BFF1534"/>
    <w:rsid w:val="7BFF2457"/>
    <w:rsid w:val="7BFF6E4B"/>
    <w:rsid w:val="7C13614C"/>
    <w:rsid w:val="7C39FE1E"/>
    <w:rsid w:val="7C3C40BE"/>
    <w:rsid w:val="7C77FD46"/>
    <w:rsid w:val="7C954AD2"/>
    <w:rsid w:val="7CA9BD46"/>
    <w:rsid w:val="7CD76959"/>
    <w:rsid w:val="7CF75F75"/>
    <w:rsid w:val="7CFB8438"/>
    <w:rsid w:val="7D3F668A"/>
    <w:rsid w:val="7D55B024"/>
    <w:rsid w:val="7D76ED53"/>
    <w:rsid w:val="7D7DAE8C"/>
    <w:rsid w:val="7D99781E"/>
    <w:rsid w:val="7D99EBE9"/>
    <w:rsid w:val="7D9D274D"/>
    <w:rsid w:val="7DB6CC91"/>
    <w:rsid w:val="7DBFC720"/>
    <w:rsid w:val="7DD735E4"/>
    <w:rsid w:val="7DEA8521"/>
    <w:rsid w:val="7DEBA461"/>
    <w:rsid w:val="7DEFE89B"/>
    <w:rsid w:val="7DEFF863"/>
    <w:rsid w:val="7DF55E1B"/>
    <w:rsid w:val="7DF6C9B8"/>
    <w:rsid w:val="7DFD006B"/>
    <w:rsid w:val="7DFDD4FA"/>
    <w:rsid w:val="7DFF1BD5"/>
    <w:rsid w:val="7DFF7E9F"/>
    <w:rsid w:val="7DFF82B1"/>
    <w:rsid w:val="7DFF9C02"/>
    <w:rsid w:val="7DFFAB6C"/>
    <w:rsid w:val="7DFFCA7F"/>
    <w:rsid w:val="7E32E45B"/>
    <w:rsid w:val="7E3DD446"/>
    <w:rsid w:val="7E7DBED4"/>
    <w:rsid w:val="7E7F1E8B"/>
    <w:rsid w:val="7E7F5230"/>
    <w:rsid w:val="7E7FDBF7"/>
    <w:rsid w:val="7E9D7229"/>
    <w:rsid w:val="7EBB54AE"/>
    <w:rsid w:val="7EBD1FC7"/>
    <w:rsid w:val="7EBD5DE8"/>
    <w:rsid w:val="7EBDC8AF"/>
    <w:rsid w:val="7ECDE287"/>
    <w:rsid w:val="7ECF898A"/>
    <w:rsid w:val="7ED69D26"/>
    <w:rsid w:val="7EDBD538"/>
    <w:rsid w:val="7EDC5B33"/>
    <w:rsid w:val="7EDF0E9D"/>
    <w:rsid w:val="7EEB524D"/>
    <w:rsid w:val="7EECFE2D"/>
    <w:rsid w:val="7EFB92F2"/>
    <w:rsid w:val="7EFDDEEC"/>
    <w:rsid w:val="7EFF01D1"/>
    <w:rsid w:val="7EFFCC5E"/>
    <w:rsid w:val="7F365729"/>
    <w:rsid w:val="7F39BF6F"/>
    <w:rsid w:val="7F3C6737"/>
    <w:rsid w:val="7F410FE4"/>
    <w:rsid w:val="7F55D484"/>
    <w:rsid w:val="7F5E8002"/>
    <w:rsid w:val="7F66F3CA"/>
    <w:rsid w:val="7F6A5463"/>
    <w:rsid w:val="7F6D750A"/>
    <w:rsid w:val="7F6FE522"/>
    <w:rsid w:val="7F73C6CF"/>
    <w:rsid w:val="7F7722A4"/>
    <w:rsid w:val="7F7826BC"/>
    <w:rsid w:val="7F7BF5E3"/>
    <w:rsid w:val="7F7D9402"/>
    <w:rsid w:val="7F7F3930"/>
    <w:rsid w:val="7F7F8A09"/>
    <w:rsid w:val="7F892315"/>
    <w:rsid w:val="7F9941F5"/>
    <w:rsid w:val="7F995D35"/>
    <w:rsid w:val="7FAFB2EE"/>
    <w:rsid w:val="7FBBBC9B"/>
    <w:rsid w:val="7FBDEC10"/>
    <w:rsid w:val="7FBE05B0"/>
    <w:rsid w:val="7FD3AF37"/>
    <w:rsid w:val="7FD649F8"/>
    <w:rsid w:val="7FDB3962"/>
    <w:rsid w:val="7FDB62B4"/>
    <w:rsid w:val="7FDD2ABA"/>
    <w:rsid w:val="7FDF12BC"/>
    <w:rsid w:val="7FE57AB3"/>
    <w:rsid w:val="7FEA249F"/>
    <w:rsid w:val="7FEBB2F3"/>
    <w:rsid w:val="7FEE12F3"/>
    <w:rsid w:val="7FEF1545"/>
    <w:rsid w:val="7FEFBF60"/>
    <w:rsid w:val="7FF13140"/>
    <w:rsid w:val="7FF1B7C6"/>
    <w:rsid w:val="7FF29369"/>
    <w:rsid w:val="7FF3B0A4"/>
    <w:rsid w:val="7FF4E430"/>
    <w:rsid w:val="7FF6B2B7"/>
    <w:rsid w:val="7FF7ED49"/>
    <w:rsid w:val="7FF90C92"/>
    <w:rsid w:val="7FFB52BE"/>
    <w:rsid w:val="7FFBC02B"/>
    <w:rsid w:val="7FFBCE9C"/>
    <w:rsid w:val="7FFD75E1"/>
    <w:rsid w:val="7FFE3727"/>
    <w:rsid w:val="7FFE576F"/>
    <w:rsid w:val="7FFF1407"/>
    <w:rsid w:val="7FFF14A1"/>
    <w:rsid w:val="7FFF2D29"/>
    <w:rsid w:val="7FFF410F"/>
    <w:rsid w:val="7FFF8C69"/>
    <w:rsid w:val="7FFFA494"/>
    <w:rsid w:val="7FFFAFA8"/>
    <w:rsid w:val="7FFFC3A1"/>
    <w:rsid w:val="82ADCBA8"/>
    <w:rsid w:val="85BF65D5"/>
    <w:rsid w:val="85FBA121"/>
    <w:rsid w:val="89FFCD2E"/>
    <w:rsid w:val="8BDBF0DE"/>
    <w:rsid w:val="8DFB5DCE"/>
    <w:rsid w:val="8FBBED1B"/>
    <w:rsid w:val="8FEAF6CB"/>
    <w:rsid w:val="8FFF1FC4"/>
    <w:rsid w:val="8FFF3760"/>
    <w:rsid w:val="91FDA0B8"/>
    <w:rsid w:val="927F4FA0"/>
    <w:rsid w:val="944DD587"/>
    <w:rsid w:val="95EEDAF7"/>
    <w:rsid w:val="95F5DC2F"/>
    <w:rsid w:val="95FBBDDF"/>
    <w:rsid w:val="96CCF740"/>
    <w:rsid w:val="975EE3B1"/>
    <w:rsid w:val="97BD4607"/>
    <w:rsid w:val="991F8D83"/>
    <w:rsid w:val="9AFEE9AA"/>
    <w:rsid w:val="9BA40A00"/>
    <w:rsid w:val="9CF87696"/>
    <w:rsid w:val="9D7678EF"/>
    <w:rsid w:val="9DBD45A6"/>
    <w:rsid w:val="9DBF1CA9"/>
    <w:rsid w:val="9DFDB15E"/>
    <w:rsid w:val="9E3F2D6E"/>
    <w:rsid w:val="9E95181F"/>
    <w:rsid w:val="9EED398E"/>
    <w:rsid w:val="9EFD649D"/>
    <w:rsid w:val="9F7BAE2F"/>
    <w:rsid w:val="9F7BC4D9"/>
    <w:rsid w:val="9FB792D4"/>
    <w:rsid w:val="9FEEECAE"/>
    <w:rsid w:val="9FFF2D89"/>
    <w:rsid w:val="9FFF68BE"/>
    <w:rsid w:val="9FFF748C"/>
    <w:rsid w:val="A16DDDFF"/>
    <w:rsid w:val="A37B2B8A"/>
    <w:rsid w:val="A3D3A1DC"/>
    <w:rsid w:val="A6FBCDBE"/>
    <w:rsid w:val="A7F7B903"/>
    <w:rsid w:val="A7F9DF18"/>
    <w:rsid w:val="A8D45309"/>
    <w:rsid w:val="A9FFF101"/>
    <w:rsid w:val="AAE7BBD9"/>
    <w:rsid w:val="AC2F2949"/>
    <w:rsid w:val="AD1CFFFA"/>
    <w:rsid w:val="AD5F787E"/>
    <w:rsid w:val="ADFBC4B6"/>
    <w:rsid w:val="AE93EFE5"/>
    <w:rsid w:val="AF3FA09D"/>
    <w:rsid w:val="AF6DC170"/>
    <w:rsid w:val="AFEF3E3F"/>
    <w:rsid w:val="AFF92DA4"/>
    <w:rsid w:val="AFFDE8CF"/>
    <w:rsid w:val="B22BE72A"/>
    <w:rsid w:val="B2753862"/>
    <w:rsid w:val="B2CFAA29"/>
    <w:rsid w:val="B33E5E5B"/>
    <w:rsid w:val="B3F744FE"/>
    <w:rsid w:val="B3FE1347"/>
    <w:rsid w:val="B53FB613"/>
    <w:rsid w:val="B5BB1D58"/>
    <w:rsid w:val="B6F7CD59"/>
    <w:rsid w:val="B79E7664"/>
    <w:rsid w:val="B7DEC197"/>
    <w:rsid w:val="B7E8D055"/>
    <w:rsid w:val="B7EEDD6F"/>
    <w:rsid w:val="B7EFE4BF"/>
    <w:rsid w:val="B7FC11B1"/>
    <w:rsid w:val="B7FD1D50"/>
    <w:rsid w:val="B7FF1D55"/>
    <w:rsid w:val="B7FF7B2C"/>
    <w:rsid w:val="B86FDC85"/>
    <w:rsid w:val="B87FF8BA"/>
    <w:rsid w:val="B8DEAE62"/>
    <w:rsid w:val="B93E19C4"/>
    <w:rsid w:val="B9FFF457"/>
    <w:rsid w:val="BA7A0060"/>
    <w:rsid w:val="BAFB5F68"/>
    <w:rsid w:val="BAFF48F4"/>
    <w:rsid w:val="BBBF7EB5"/>
    <w:rsid w:val="BBC5EF8F"/>
    <w:rsid w:val="BBF1B3B6"/>
    <w:rsid w:val="BC2F50A9"/>
    <w:rsid w:val="BD7FF845"/>
    <w:rsid w:val="BDBFAAE5"/>
    <w:rsid w:val="BDCFDEA3"/>
    <w:rsid w:val="BDF70CF9"/>
    <w:rsid w:val="BDF7B4A0"/>
    <w:rsid w:val="BDF7D00F"/>
    <w:rsid w:val="BE5F7538"/>
    <w:rsid w:val="BEB54690"/>
    <w:rsid w:val="BEDDB27A"/>
    <w:rsid w:val="BEF0D6A8"/>
    <w:rsid w:val="BEFFAEB0"/>
    <w:rsid w:val="BEFFF7FF"/>
    <w:rsid w:val="BF35584E"/>
    <w:rsid w:val="BF3EC0FF"/>
    <w:rsid w:val="BF5E52A4"/>
    <w:rsid w:val="BF773A9B"/>
    <w:rsid w:val="BF7B0092"/>
    <w:rsid w:val="BF7F162F"/>
    <w:rsid w:val="BF7F99CE"/>
    <w:rsid w:val="BF7FCA1B"/>
    <w:rsid w:val="BFAD9D95"/>
    <w:rsid w:val="BFDD907B"/>
    <w:rsid w:val="BFEDBF65"/>
    <w:rsid w:val="BFEEE306"/>
    <w:rsid w:val="BFEF6C1F"/>
    <w:rsid w:val="BFF5B307"/>
    <w:rsid w:val="BFF70F4D"/>
    <w:rsid w:val="BFF7708B"/>
    <w:rsid w:val="BFF7C347"/>
    <w:rsid w:val="BFFDD143"/>
    <w:rsid w:val="BFFE4FC7"/>
    <w:rsid w:val="BFFF1D03"/>
    <w:rsid w:val="BFFF7641"/>
    <w:rsid w:val="BFFFA399"/>
    <w:rsid w:val="BFFFD73C"/>
    <w:rsid w:val="C27DDCFA"/>
    <w:rsid w:val="C357700A"/>
    <w:rsid w:val="C5EF2F23"/>
    <w:rsid w:val="C7FC54F4"/>
    <w:rsid w:val="CA3FAD3A"/>
    <w:rsid w:val="CBD7452A"/>
    <w:rsid w:val="CBF3A1C2"/>
    <w:rsid w:val="CBF597AC"/>
    <w:rsid w:val="CBFF2A5B"/>
    <w:rsid w:val="CCF7EEBD"/>
    <w:rsid w:val="CDF6E54A"/>
    <w:rsid w:val="CDFEB5E1"/>
    <w:rsid w:val="CE6F25BD"/>
    <w:rsid w:val="CEC56E04"/>
    <w:rsid w:val="CF371116"/>
    <w:rsid w:val="CF7FF17B"/>
    <w:rsid w:val="CFB74BBA"/>
    <w:rsid w:val="CFDFB1B4"/>
    <w:rsid w:val="CFE638D2"/>
    <w:rsid w:val="CFFD5760"/>
    <w:rsid w:val="CFFF74F6"/>
    <w:rsid w:val="CFFFC085"/>
    <w:rsid w:val="D1579E64"/>
    <w:rsid w:val="D3F702B5"/>
    <w:rsid w:val="D3F97F4C"/>
    <w:rsid w:val="D3FCA611"/>
    <w:rsid w:val="D4BD3343"/>
    <w:rsid w:val="D5D57142"/>
    <w:rsid w:val="D65D47EF"/>
    <w:rsid w:val="D6FF656B"/>
    <w:rsid w:val="D7711CB4"/>
    <w:rsid w:val="D77DB9EE"/>
    <w:rsid w:val="D795A298"/>
    <w:rsid w:val="D7DC0994"/>
    <w:rsid w:val="D7DD7548"/>
    <w:rsid w:val="D7DF4C4F"/>
    <w:rsid w:val="D7DFF424"/>
    <w:rsid w:val="D7E53F8F"/>
    <w:rsid w:val="D7EF5ADE"/>
    <w:rsid w:val="D7FB705C"/>
    <w:rsid w:val="D85B9F4A"/>
    <w:rsid w:val="D95F2A47"/>
    <w:rsid w:val="D9F6200F"/>
    <w:rsid w:val="DA49F40A"/>
    <w:rsid w:val="DA5FEAE6"/>
    <w:rsid w:val="DA6B115B"/>
    <w:rsid w:val="DB774A5E"/>
    <w:rsid w:val="DB7D7FC3"/>
    <w:rsid w:val="DB7F16C8"/>
    <w:rsid w:val="DB9D4E49"/>
    <w:rsid w:val="DBFFF86C"/>
    <w:rsid w:val="DCBD565C"/>
    <w:rsid w:val="DD7E24EF"/>
    <w:rsid w:val="DDADA950"/>
    <w:rsid w:val="DDBF06DE"/>
    <w:rsid w:val="DDDF6352"/>
    <w:rsid w:val="DDF5C8B1"/>
    <w:rsid w:val="DDFB1B55"/>
    <w:rsid w:val="DDFF2E4D"/>
    <w:rsid w:val="DDFF51EC"/>
    <w:rsid w:val="DDFFF57B"/>
    <w:rsid w:val="DEBE1707"/>
    <w:rsid w:val="DEBF2BF1"/>
    <w:rsid w:val="DEFD95AA"/>
    <w:rsid w:val="DF0F5955"/>
    <w:rsid w:val="DF3DAC0A"/>
    <w:rsid w:val="DF5B376D"/>
    <w:rsid w:val="DF5F07A7"/>
    <w:rsid w:val="DF6D17D9"/>
    <w:rsid w:val="DF7E15D7"/>
    <w:rsid w:val="DFBD2BC5"/>
    <w:rsid w:val="DFBD595B"/>
    <w:rsid w:val="DFBE7E8B"/>
    <w:rsid w:val="DFBF0678"/>
    <w:rsid w:val="DFDB78DB"/>
    <w:rsid w:val="DFDDFE71"/>
    <w:rsid w:val="DFDE4056"/>
    <w:rsid w:val="DFDFF699"/>
    <w:rsid w:val="DFEBD734"/>
    <w:rsid w:val="DFEF9C2E"/>
    <w:rsid w:val="DFF2BA9C"/>
    <w:rsid w:val="DFF59CA7"/>
    <w:rsid w:val="DFFA01DD"/>
    <w:rsid w:val="DFFBFE1F"/>
    <w:rsid w:val="DFFD5903"/>
    <w:rsid w:val="DFFD93A3"/>
    <w:rsid w:val="DFFF6A73"/>
    <w:rsid w:val="DFFF854E"/>
    <w:rsid w:val="E357B7CB"/>
    <w:rsid w:val="E3C394D6"/>
    <w:rsid w:val="E4FA76E5"/>
    <w:rsid w:val="E5CBCB96"/>
    <w:rsid w:val="E5DC0465"/>
    <w:rsid w:val="E673B48D"/>
    <w:rsid w:val="E6AE95EF"/>
    <w:rsid w:val="E6BF4C4B"/>
    <w:rsid w:val="E6DDC00C"/>
    <w:rsid w:val="E6EB9636"/>
    <w:rsid w:val="E6FE793A"/>
    <w:rsid w:val="E76FE1C5"/>
    <w:rsid w:val="E79FF90D"/>
    <w:rsid w:val="E7A2536A"/>
    <w:rsid w:val="E7BF68BE"/>
    <w:rsid w:val="E7D6669D"/>
    <w:rsid w:val="E7DBB47A"/>
    <w:rsid w:val="E7E53605"/>
    <w:rsid w:val="E7EF6A7A"/>
    <w:rsid w:val="E7F7C0A4"/>
    <w:rsid w:val="E7FB878B"/>
    <w:rsid w:val="E7FCC982"/>
    <w:rsid w:val="E7FD71D3"/>
    <w:rsid w:val="E8E05049"/>
    <w:rsid w:val="E9977520"/>
    <w:rsid w:val="EA554C47"/>
    <w:rsid w:val="EAF36888"/>
    <w:rsid w:val="EB364355"/>
    <w:rsid w:val="EBAF235C"/>
    <w:rsid w:val="EBBA3953"/>
    <w:rsid w:val="EBDEB240"/>
    <w:rsid w:val="EBEF819D"/>
    <w:rsid w:val="EBF9376F"/>
    <w:rsid w:val="EBFE25B1"/>
    <w:rsid w:val="EBFF307B"/>
    <w:rsid w:val="EC3F47BF"/>
    <w:rsid w:val="ECFDE23B"/>
    <w:rsid w:val="ED3E3641"/>
    <w:rsid w:val="EDBDEF87"/>
    <w:rsid w:val="EDBF1478"/>
    <w:rsid w:val="EDDFB2E7"/>
    <w:rsid w:val="EDF2092B"/>
    <w:rsid w:val="EDF7F9A4"/>
    <w:rsid w:val="EDFBB859"/>
    <w:rsid w:val="EDFFBF30"/>
    <w:rsid w:val="EE3F27A9"/>
    <w:rsid w:val="EE69DA34"/>
    <w:rsid w:val="EE977A22"/>
    <w:rsid w:val="EEAF3242"/>
    <w:rsid w:val="EECE705D"/>
    <w:rsid w:val="EEDB1648"/>
    <w:rsid w:val="EEFE2849"/>
    <w:rsid w:val="EF57BDA1"/>
    <w:rsid w:val="EF6C3503"/>
    <w:rsid w:val="EF77C9D9"/>
    <w:rsid w:val="EF9F57D7"/>
    <w:rsid w:val="EFB9F1E8"/>
    <w:rsid w:val="EFBC9090"/>
    <w:rsid w:val="EFBDF6EA"/>
    <w:rsid w:val="EFBFB2DD"/>
    <w:rsid w:val="EFDE2BE9"/>
    <w:rsid w:val="EFDFF6CC"/>
    <w:rsid w:val="EFE58036"/>
    <w:rsid w:val="EFED01DB"/>
    <w:rsid w:val="EFEFF6A5"/>
    <w:rsid w:val="EFF72923"/>
    <w:rsid w:val="EFFBB45B"/>
    <w:rsid w:val="EFFD2AEF"/>
    <w:rsid w:val="EFFDFA64"/>
    <w:rsid w:val="EFFF3F6C"/>
    <w:rsid w:val="F1EFF0B3"/>
    <w:rsid w:val="F1FAE1D5"/>
    <w:rsid w:val="F2FD81F8"/>
    <w:rsid w:val="F2FDB485"/>
    <w:rsid w:val="F2FF46B3"/>
    <w:rsid w:val="F31B44EB"/>
    <w:rsid w:val="F397F26C"/>
    <w:rsid w:val="F3A2A6D3"/>
    <w:rsid w:val="F3E56DB2"/>
    <w:rsid w:val="F3F85D91"/>
    <w:rsid w:val="F3FD6036"/>
    <w:rsid w:val="F3FD9F5D"/>
    <w:rsid w:val="F3FF2525"/>
    <w:rsid w:val="F4BD22E3"/>
    <w:rsid w:val="F4DACBFB"/>
    <w:rsid w:val="F4F3259B"/>
    <w:rsid w:val="F4F57668"/>
    <w:rsid w:val="F539B0AC"/>
    <w:rsid w:val="F563D3CF"/>
    <w:rsid w:val="F57BE059"/>
    <w:rsid w:val="F57F5C83"/>
    <w:rsid w:val="F5B99AFF"/>
    <w:rsid w:val="F5BFD9B8"/>
    <w:rsid w:val="F5D7340A"/>
    <w:rsid w:val="F5DD3312"/>
    <w:rsid w:val="F5FAEB86"/>
    <w:rsid w:val="F5FB2DE8"/>
    <w:rsid w:val="F5FDE737"/>
    <w:rsid w:val="F67E7C0B"/>
    <w:rsid w:val="F69FC533"/>
    <w:rsid w:val="F6A652BD"/>
    <w:rsid w:val="F6DF1ECF"/>
    <w:rsid w:val="F6EF0606"/>
    <w:rsid w:val="F6F5139C"/>
    <w:rsid w:val="F6FDA12A"/>
    <w:rsid w:val="F6FEEB6A"/>
    <w:rsid w:val="F6FEEC8E"/>
    <w:rsid w:val="F76EDB23"/>
    <w:rsid w:val="F77F2539"/>
    <w:rsid w:val="F77F6F5F"/>
    <w:rsid w:val="F77F7677"/>
    <w:rsid w:val="F79B0D11"/>
    <w:rsid w:val="F79FCB4A"/>
    <w:rsid w:val="F7AA6B5E"/>
    <w:rsid w:val="F7BB2A65"/>
    <w:rsid w:val="F7BF7D4E"/>
    <w:rsid w:val="F7DEBEF1"/>
    <w:rsid w:val="F7F50825"/>
    <w:rsid w:val="F7F974A8"/>
    <w:rsid w:val="F7FB0A7A"/>
    <w:rsid w:val="F7FB3E9C"/>
    <w:rsid w:val="F7FBAAB2"/>
    <w:rsid w:val="F7FBE13E"/>
    <w:rsid w:val="F7FD4C2B"/>
    <w:rsid w:val="F7FD4E0E"/>
    <w:rsid w:val="F7FF1B1C"/>
    <w:rsid w:val="F81F3E14"/>
    <w:rsid w:val="F86F1C96"/>
    <w:rsid w:val="F87A6D30"/>
    <w:rsid w:val="F9178000"/>
    <w:rsid w:val="F9737179"/>
    <w:rsid w:val="F97DC40E"/>
    <w:rsid w:val="F9BCFEF6"/>
    <w:rsid w:val="F9E78A97"/>
    <w:rsid w:val="F9FD038C"/>
    <w:rsid w:val="F9FDC2FB"/>
    <w:rsid w:val="F9FDDED6"/>
    <w:rsid w:val="FAED3233"/>
    <w:rsid w:val="FB5FC670"/>
    <w:rsid w:val="FB6B9964"/>
    <w:rsid w:val="FB7B9083"/>
    <w:rsid w:val="FB7FDA05"/>
    <w:rsid w:val="FB8BAFFE"/>
    <w:rsid w:val="FB8BC746"/>
    <w:rsid w:val="FB9F720E"/>
    <w:rsid w:val="FBB71AA7"/>
    <w:rsid w:val="FBBB0B70"/>
    <w:rsid w:val="FBC9F758"/>
    <w:rsid w:val="FBD73FE1"/>
    <w:rsid w:val="FBDD0AF9"/>
    <w:rsid w:val="FBE72E57"/>
    <w:rsid w:val="FBEBFC1C"/>
    <w:rsid w:val="FBEF2679"/>
    <w:rsid w:val="FBF5A05E"/>
    <w:rsid w:val="FBFA6841"/>
    <w:rsid w:val="FBFAC7D5"/>
    <w:rsid w:val="FBFF10EF"/>
    <w:rsid w:val="FC6537AE"/>
    <w:rsid w:val="FC7E1BAC"/>
    <w:rsid w:val="FCBF787F"/>
    <w:rsid w:val="FCBFD7C1"/>
    <w:rsid w:val="FCFB5A3A"/>
    <w:rsid w:val="FCFD61EE"/>
    <w:rsid w:val="FCFEB708"/>
    <w:rsid w:val="FCFFEE6A"/>
    <w:rsid w:val="FD1F45A1"/>
    <w:rsid w:val="FD2F59BD"/>
    <w:rsid w:val="FD3FD5B7"/>
    <w:rsid w:val="FD5DD47E"/>
    <w:rsid w:val="FD7C9713"/>
    <w:rsid w:val="FD7F2CB0"/>
    <w:rsid w:val="FD7FD67A"/>
    <w:rsid w:val="FD7FEAF6"/>
    <w:rsid w:val="FDAC7FA3"/>
    <w:rsid w:val="FDB93640"/>
    <w:rsid w:val="FDBF6748"/>
    <w:rsid w:val="FDCEF245"/>
    <w:rsid w:val="FDD75C7A"/>
    <w:rsid w:val="FDDAB896"/>
    <w:rsid w:val="FDDBE1CD"/>
    <w:rsid w:val="FDDBE407"/>
    <w:rsid w:val="FDDCB179"/>
    <w:rsid w:val="FDDD507E"/>
    <w:rsid w:val="FDDD6CF2"/>
    <w:rsid w:val="FDDF2671"/>
    <w:rsid w:val="FDEF2883"/>
    <w:rsid w:val="FDEFC857"/>
    <w:rsid w:val="FDF5D9CC"/>
    <w:rsid w:val="FDF6C557"/>
    <w:rsid w:val="FDF7D16A"/>
    <w:rsid w:val="FDF8FC0C"/>
    <w:rsid w:val="FDF9A1A1"/>
    <w:rsid w:val="FDFD1BCB"/>
    <w:rsid w:val="FDFE03BE"/>
    <w:rsid w:val="FDFF154B"/>
    <w:rsid w:val="FDFF26BF"/>
    <w:rsid w:val="FDFF6028"/>
    <w:rsid w:val="FE2E2012"/>
    <w:rsid w:val="FE2F8C5E"/>
    <w:rsid w:val="FE5E6AC4"/>
    <w:rsid w:val="FE67B58F"/>
    <w:rsid w:val="FE733827"/>
    <w:rsid w:val="FE7F7DB7"/>
    <w:rsid w:val="FE974CEA"/>
    <w:rsid w:val="FEA76EF5"/>
    <w:rsid w:val="FEBEC4B6"/>
    <w:rsid w:val="FEBFC196"/>
    <w:rsid w:val="FEBFE4B0"/>
    <w:rsid w:val="FEC1659C"/>
    <w:rsid w:val="FEEE4E1B"/>
    <w:rsid w:val="FEF42235"/>
    <w:rsid w:val="FEF57B4C"/>
    <w:rsid w:val="FEF72D2C"/>
    <w:rsid w:val="FEF7F091"/>
    <w:rsid w:val="FEF94ECA"/>
    <w:rsid w:val="FEFF14E3"/>
    <w:rsid w:val="FEFF94D3"/>
    <w:rsid w:val="FEFF95AE"/>
    <w:rsid w:val="FEFFD03F"/>
    <w:rsid w:val="FF0517BA"/>
    <w:rsid w:val="FF1D5209"/>
    <w:rsid w:val="FF27877F"/>
    <w:rsid w:val="FF2B00F0"/>
    <w:rsid w:val="FF2F012B"/>
    <w:rsid w:val="FF390A44"/>
    <w:rsid w:val="FF3F3E8E"/>
    <w:rsid w:val="FF4EF3DB"/>
    <w:rsid w:val="FF4F9C79"/>
    <w:rsid w:val="FF5F0EB1"/>
    <w:rsid w:val="FF5FD46A"/>
    <w:rsid w:val="FF667655"/>
    <w:rsid w:val="FF74BA4A"/>
    <w:rsid w:val="FF7B3DDE"/>
    <w:rsid w:val="FF7D4AC5"/>
    <w:rsid w:val="FF7E1C72"/>
    <w:rsid w:val="FF9947BC"/>
    <w:rsid w:val="FFA88269"/>
    <w:rsid w:val="FFA9ECB5"/>
    <w:rsid w:val="FFAF0055"/>
    <w:rsid w:val="FFB64826"/>
    <w:rsid w:val="FFB761BF"/>
    <w:rsid w:val="FFB9F4CD"/>
    <w:rsid w:val="FFBE9608"/>
    <w:rsid w:val="FFBF1562"/>
    <w:rsid w:val="FFBF16F2"/>
    <w:rsid w:val="FFBF95F0"/>
    <w:rsid w:val="FFC719DC"/>
    <w:rsid w:val="FFC88874"/>
    <w:rsid w:val="FFCD0642"/>
    <w:rsid w:val="FFCD4554"/>
    <w:rsid w:val="FFD78F3C"/>
    <w:rsid w:val="FFDB2241"/>
    <w:rsid w:val="FFDBBD09"/>
    <w:rsid w:val="FFDD7CEE"/>
    <w:rsid w:val="FFDE664E"/>
    <w:rsid w:val="FFDEF04E"/>
    <w:rsid w:val="FFDF545C"/>
    <w:rsid w:val="FFDFAEF7"/>
    <w:rsid w:val="FFDFBAFB"/>
    <w:rsid w:val="FFDFF0A1"/>
    <w:rsid w:val="FFDFF83F"/>
    <w:rsid w:val="FFE6E257"/>
    <w:rsid w:val="FFE70A18"/>
    <w:rsid w:val="FFEB1FE5"/>
    <w:rsid w:val="FFEB24E2"/>
    <w:rsid w:val="FFED3C72"/>
    <w:rsid w:val="FFEDBAEF"/>
    <w:rsid w:val="FFEE7F65"/>
    <w:rsid w:val="FFF3886C"/>
    <w:rsid w:val="FFF58047"/>
    <w:rsid w:val="FFF5A543"/>
    <w:rsid w:val="FFF5CA9C"/>
    <w:rsid w:val="FFFB558C"/>
    <w:rsid w:val="FFFB78E3"/>
    <w:rsid w:val="FFFBA6D1"/>
    <w:rsid w:val="FFFBB32A"/>
    <w:rsid w:val="FFFC83D8"/>
    <w:rsid w:val="FFFE7455"/>
    <w:rsid w:val="FFFED0C7"/>
    <w:rsid w:val="FFFEE56B"/>
    <w:rsid w:val="FFFF0F4A"/>
    <w:rsid w:val="FFFF35FE"/>
    <w:rsid w:val="FFFF5FBF"/>
    <w:rsid w:val="FFFF8625"/>
    <w:rsid w:val="FFFF8F10"/>
    <w:rsid w:val="FFFF904C"/>
    <w:rsid w:val="FFFFAE0D"/>
    <w:rsid w:val="FFFFB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iPriority="99" w:semiHidden="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4">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index 8"/>
    <w:basedOn w:val="1"/>
    <w:next w:val="1"/>
    <w:qFormat/>
    <w:uiPriority w:val="0"/>
    <w:pPr>
      <w:ind w:left="1400" w:leftChars="1400"/>
    </w:pPr>
  </w:style>
  <w:style w:type="paragraph" w:styleId="6">
    <w:name w:val="Normal Indent"/>
    <w:basedOn w:val="1"/>
    <w:qFormat/>
    <w:uiPriority w:val="99"/>
    <w:pPr>
      <w:adjustRightInd w:val="0"/>
      <w:spacing w:line="312" w:lineRule="atLeast"/>
      <w:ind w:firstLine="420"/>
      <w:textAlignment w:val="baseline"/>
    </w:pPr>
    <w:rPr>
      <w:kern w:val="0"/>
      <w:sz w:val="32"/>
      <w:szCs w:val="32"/>
    </w:rPr>
  </w:style>
  <w:style w:type="paragraph" w:styleId="7">
    <w:name w:val="toa heading"/>
    <w:basedOn w:val="1"/>
    <w:next w:val="1"/>
    <w:unhideWhenUsed/>
    <w:qFormat/>
    <w:uiPriority w:val="99"/>
    <w:pPr>
      <w:spacing w:before="120"/>
    </w:pPr>
    <w:rPr>
      <w:rFonts w:ascii="Arial" w:hAnsi="Arial" w:cs="Arial"/>
      <w:szCs w:val="21"/>
    </w:rPr>
  </w:style>
  <w:style w:type="paragraph" w:styleId="8">
    <w:name w:val="annotation text"/>
    <w:basedOn w:val="1"/>
    <w:link w:val="27"/>
    <w:qFormat/>
    <w:uiPriority w:val="0"/>
    <w:pPr>
      <w:jc w:val="left"/>
    </w:pPr>
  </w:style>
  <w:style w:type="paragraph" w:styleId="9">
    <w:name w:val="Body Text"/>
    <w:basedOn w:val="1"/>
    <w:qFormat/>
    <w:uiPriority w:val="0"/>
    <w:pPr>
      <w:spacing w:after="120"/>
    </w:pPr>
  </w:style>
  <w:style w:type="paragraph" w:styleId="10">
    <w:name w:val="Body Text Indent"/>
    <w:basedOn w:val="1"/>
    <w:qFormat/>
    <w:uiPriority w:val="0"/>
    <w:pPr>
      <w:spacing w:after="120" w:afterLines="0"/>
      <w:ind w:left="420" w:leftChars="200"/>
    </w:pPr>
  </w:style>
  <w:style w:type="paragraph" w:styleId="11">
    <w:name w:val="Plain Text"/>
    <w:basedOn w:val="1"/>
    <w:next w:val="5"/>
    <w:qFormat/>
    <w:uiPriority w:val="0"/>
    <w:rPr>
      <w:rFonts w:ascii="宋体" w:hAnsi="Courier New"/>
      <w:kern w:val="10"/>
      <w:szCs w:val="20"/>
    </w:rPr>
  </w:style>
  <w:style w:type="paragraph" w:styleId="12">
    <w:name w:val="Date"/>
    <w:basedOn w:val="1"/>
    <w:next w:val="1"/>
    <w:link w:val="28"/>
    <w:qFormat/>
    <w:uiPriority w:val="0"/>
    <w:pPr>
      <w:ind w:left="100" w:leftChars="2500"/>
    </w:pPr>
  </w:style>
  <w:style w:type="paragraph" w:styleId="13">
    <w:name w:val="Body Text Indent 2"/>
    <w:basedOn w:val="1"/>
    <w:qFormat/>
    <w:uiPriority w:val="0"/>
    <w:pPr>
      <w:spacing w:after="120" w:line="480" w:lineRule="auto"/>
      <w:ind w:left="420" w:leftChars="200"/>
    </w:pPr>
  </w:style>
  <w:style w:type="paragraph" w:styleId="14">
    <w:name w:val="Balloon Text"/>
    <w:basedOn w:val="1"/>
    <w:link w:val="29"/>
    <w:qFormat/>
    <w:uiPriority w:val="0"/>
    <w:rPr>
      <w:sz w:val="18"/>
      <w:szCs w:val="18"/>
    </w:rPr>
  </w:style>
  <w:style w:type="paragraph" w:styleId="15">
    <w:name w:val="footer"/>
    <w:basedOn w:val="1"/>
    <w:link w:val="30"/>
    <w:qFormat/>
    <w:uiPriority w:val="99"/>
    <w:pPr>
      <w:tabs>
        <w:tab w:val="center" w:pos="4153"/>
        <w:tab w:val="right" w:pos="8306"/>
      </w:tabs>
      <w:snapToGrid w:val="0"/>
      <w:jc w:val="left"/>
    </w:pPr>
    <w:rPr>
      <w:sz w:val="18"/>
      <w:szCs w:val="18"/>
    </w:rPr>
  </w:style>
  <w:style w:type="paragraph" w:styleId="16">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8">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9">
    <w:name w:val="annotation subject"/>
    <w:basedOn w:val="8"/>
    <w:next w:val="8"/>
    <w:link w:val="32"/>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bCs/>
    </w:rPr>
  </w:style>
  <w:style w:type="character" w:styleId="24">
    <w:name w:val="page number"/>
    <w:basedOn w:val="22"/>
    <w:qFormat/>
    <w:uiPriority w:val="0"/>
  </w:style>
  <w:style w:type="character" w:styleId="25">
    <w:name w:val="Hyperlink"/>
    <w:qFormat/>
    <w:uiPriority w:val="99"/>
    <w:rPr>
      <w:color w:val="0000FF"/>
      <w:u w:val="single"/>
    </w:rPr>
  </w:style>
  <w:style w:type="character" w:styleId="26">
    <w:name w:val="annotation reference"/>
    <w:qFormat/>
    <w:uiPriority w:val="0"/>
    <w:rPr>
      <w:sz w:val="21"/>
      <w:szCs w:val="21"/>
    </w:rPr>
  </w:style>
  <w:style w:type="character" w:customStyle="1" w:styleId="27">
    <w:name w:val="批注文字 字符"/>
    <w:link w:val="8"/>
    <w:qFormat/>
    <w:uiPriority w:val="0"/>
    <w:rPr>
      <w:kern w:val="2"/>
      <w:sz w:val="21"/>
      <w:szCs w:val="22"/>
    </w:rPr>
  </w:style>
  <w:style w:type="character" w:customStyle="1" w:styleId="28">
    <w:name w:val="日期 字符"/>
    <w:link w:val="12"/>
    <w:qFormat/>
    <w:uiPriority w:val="0"/>
    <w:rPr>
      <w:kern w:val="2"/>
      <w:sz w:val="21"/>
      <w:szCs w:val="22"/>
    </w:rPr>
  </w:style>
  <w:style w:type="character" w:customStyle="1" w:styleId="29">
    <w:name w:val="批注框文本 字符"/>
    <w:link w:val="14"/>
    <w:qFormat/>
    <w:uiPriority w:val="0"/>
    <w:rPr>
      <w:kern w:val="2"/>
      <w:sz w:val="18"/>
      <w:szCs w:val="18"/>
    </w:rPr>
  </w:style>
  <w:style w:type="character" w:customStyle="1" w:styleId="30">
    <w:name w:val="页脚 字符"/>
    <w:link w:val="15"/>
    <w:qFormat/>
    <w:uiPriority w:val="99"/>
    <w:rPr>
      <w:kern w:val="2"/>
      <w:sz w:val="18"/>
      <w:szCs w:val="18"/>
    </w:rPr>
  </w:style>
  <w:style w:type="character" w:customStyle="1" w:styleId="31">
    <w:name w:val="页眉 字符"/>
    <w:link w:val="16"/>
    <w:qFormat/>
    <w:uiPriority w:val="0"/>
    <w:rPr>
      <w:kern w:val="2"/>
      <w:sz w:val="18"/>
      <w:szCs w:val="18"/>
    </w:rPr>
  </w:style>
  <w:style w:type="character" w:customStyle="1" w:styleId="32">
    <w:name w:val="批注主题 字符"/>
    <w:link w:val="19"/>
    <w:qFormat/>
    <w:uiPriority w:val="0"/>
    <w:rPr>
      <w:b/>
      <w:bCs/>
      <w:kern w:val="2"/>
      <w:sz w:val="21"/>
      <w:szCs w:val="22"/>
    </w:rPr>
  </w:style>
  <w:style w:type="character" w:customStyle="1" w:styleId="33">
    <w:name w:val="未处理的提及1"/>
    <w:unhideWhenUsed/>
    <w:qFormat/>
    <w:uiPriority w:val="99"/>
    <w:rPr>
      <w:color w:val="605E5C"/>
      <w:shd w:val="clear" w:color="auto" w:fill="E1DFDD"/>
    </w:rPr>
  </w:style>
  <w:style w:type="paragraph" w:customStyle="1" w:styleId="34">
    <w:name w:val="列出段落11"/>
    <w:basedOn w:val="1"/>
    <w:qFormat/>
    <w:uiPriority w:val="99"/>
    <w:pPr>
      <w:ind w:firstLine="420" w:firstLineChars="200"/>
    </w:pPr>
    <w:rPr>
      <w:rFonts w:ascii="Calibri" w:hAnsi="Calibri"/>
    </w:rPr>
  </w:style>
  <w:style w:type="paragraph" w:customStyle="1" w:styleId="35">
    <w:name w:val="修订1"/>
    <w:unhideWhenUsed/>
    <w:qFormat/>
    <w:uiPriority w:val="99"/>
    <w:rPr>
      <w:rFonts w:ascii="Times New Roman" w:hAnsi="Times New Roman" w:eastAsia="宋体" w:cs="Times New Roman"/>
      <w:kern w:val="2"/>
      <w:sz w:val="21"/>
      <w:szCs w:val="22"/>
      <w:lang w:val="en-US" w:eastAsia="zh-CN" w:bidi="ar-SA"/>
    </w:rPr>
  </w:style>
  <w:style w:type="paragraph" w:styleId="36">
    <w:name w:val="List Paragraph"/>
    <w:basedOn w:val="1"/>
    <w:qFormat/>
    <w:uiPriority w:val="34"/>
    <w:pPr>
      <w:ind w:firstLine="420" w:firstLineChars="200"/>
    </w:pPr>
  </w:style>
  <w:style w:type="paragraph" w:customStyle="1" w:styleId="37">
    <w:name w:val="列出段落1"/>
    <w:basedOn w:val="1"/>
    <w:qFormat/>
    <w:uiPriority w:val="0"/>
    <w:pPr>
      <w:ind w:firstLine="420" w:firstLineChars="200"/>
    </w:pPr>
    <w:rPr>
      <w:szCs w:val="21"/>
    </w:rPr>
  </w:style>
  <w:style w:type="paragraph" w:customStyle="1" w:styleId="38">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9">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40">
    <w:name w:val="USE 1"/>
    <w:basedOn w:val="1"/>
    <w:qFormat/>
    <w:uiPriority w:val="0"/>
    <w:pPr>
      <w:spacing w:line="200" w:lineRule="atLeast"/>
      <w:jc w:val="left"/>
    </w:pPr>
    <w:rPr>
      <w:rFonts w:ascii="宋体" w:hAnsi="宋体"/>
      <w:b/>
      <w:sz w:val="24"/>
      <w:szCs w:val="28"/>
    </w:rPr>
  </w:style>
  <w:style w:type="paragraph" w:customStyle="1" w:styleId="41">
    <w:name w:val="列表段落2"/>
    <w:basedOn w:val="1"/>
    <w:qFormat/>
    <w:uiPriority w:val="99"/>
    <w:pPr>
      <w:ind w:firstLine="420" w:firstLineChars="200"/>
    </w:pPr>
    <w:rPr>
      <w:rFonts w:ascii="等线" w:hAnsi="等线" w:eastAsia="等线" w:cs="宋体"/>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B37B16-09FF-430F-8C0D-577A7B0FA8BC}">
  <ds:schemaRefs/>
</ds:datastoreItem>
</file>

<file path=docProps/app.xml><?xml version="1.0" encoding="utf-8"?>
<Properties xmlns="http://schemas.openxmlformats.org/officeDocument/2006/extended-properties" xmlns:vt="http://schemas.openxmlformats.org/officeDocument/2006/docPropsVTypes">
  <Template>Normal</Template>
  <Pages>32</Pages>
  <Words>1363</Words>
  <Characters>1437</Characters>
  <Lines>49</Lines>
  <Paragraphs>13</Paragraphs>
  <TotalTime>12</TotalTime>
  <ScaleCrop>false</ScaleCrop>
  <LinksUpToDate>false</LinksUpToDate>
  <CharactersWithSpaces>1440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2022-11-11T10:26:00Z</dcterms:created>
  <dc:creator>wl</dc:creator>
  <cp:lastModifiedBy>DGY</cp:lastModifiedBy>
  <cp:lastPrinted>2021-09-28T00:41:00Z</cp:lastPrinted>
  <dcterms:modified xsi:type="dcterms:W3CDTF">2026-07-21T02:00:40Z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E6F3EEDB98914BCFBFA0CFBA3A27D853_13</vt:lpwstr>
  </property>
  <property fmtid="{D5CDD505-2E9C-101B-9397-08002B2CF9AE}" pid="4" name="KSOTemplateDocerSaveRecord">
    <vt:lpwstr>eyJoZGlkIjoiNjdhMzFiMDY4MGQyOTNiZmE4OWZhMzlhZGE5M2MxYzkiLCJ1c2VySWQiOiIyNzg4MTAzMDUifQ==</vt:lpwstr>
  </property>
</Properties>
</file>