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DDFB3">
      <w:pPr>
        <w:keepNext w:val="0"/>
        <w:keepLines w:val="0"/>
        <w:pageBreakBefore w:val="0"/>
        <w:widowControl w:val="0"/>
        <w:kinsoku/>
        <w:wordWrap/>
        <w:overflowPunct/>
        <w:topLinePunct w:val="0"/>
        <w:autoSpaceDE w:val="0"/>
        <w:autoSpaceDN w:val="0"/>
        <w:bidi w:val="0"/>
        <w:adjustRightInd/>
        <w:snapToGrid/>
        <w:spacing w:line="579" w:lineRule="exact"/>
        <w:jc w:val="both"/>
        <w:textAlignment w:val="auto"/>
        <w:outlineLvl w:val="0"/>
        <w:rPr>
          <w:rFonts w:hint="eastAsia" w:ascii="方正小标宋_GBK" w:hAnsi="方正小标宋_GBK" w:eastAsia="方正小标宋_GBK" w:cs="方正小标宋_GBK"/>
          <w:sz w:val="44"/>
          <w:szCs w:val="44"/>
          <w:highlight w:val="none"/>
          <w:lang w:val="en-US" w:eastAsia="zh-CN"/>
        </w:rPr>
      </w:pPr>
    </w:p>
    <w:p w14:paraId="73992464">
      <w:pPr>
        <w:pStyle w:val="2"/>
        <w:keepNext w:val="0"/>
        <w:keepLines w:val="0"/>
        <w:pageBreakBefore w:val="0"/>
        <w:widowControl w:val="0"/>
        <w:kinsoku/>
        <w:wordWrap/>
        <w:overflowPunct/>
        <w:topLinePunct w:val="0"/>
        <w:bidi w:val="0"/>
        <w:adjustRightInd/>
        <w:snapToGrid/>
        <w:spacing w:line="579" w:lineRule="exact"/>
        <w:jc w:val="both"/>
        <w:textAlignment w:val="auto"/>
        <w:rPr>
          <w:rFonts w:hint="eastAsia" w:ascii="方正小标宋_GBK" w:hAnsi="方正小标宋_GBK" w:eastAsia="方正小标宋_GBK" w:cs="方正小标宋_GBK"/>
          <w:sz w:val="44"/>
          <w:szCs w:val="44"/>
          <w:highlight w:val="none"/>
          <w:lang w:eastAsia="zh-CN"/>
        </w:rPr>
      </w:pPr>
    </w:p>
    <w:p w14:paraId="28FEB2B3">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沙头街道下沙社区2026年1月至12月饭堂</w:t>
      </w:r>
    </w:p>
    <w:p w14:paraId="5DED846A">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食材采购项目需求</w:t>
      </w:r>
    </w:p>
    <w:p w14:paraId="0CA9688F">
      <w:pPr>
        <w:keepNext w:val="0"/>
        <w:keepLines w:val="0"/>
        <w:pageBreakBefore w:val="0"/>
        <w:widowControl w:val="0"/>
        <w:kinsoku/>
        <w:wordWrap/>
        <w:overflowPunct/>
        <w:topLinePunct w:val="0"/>
        <w:autoSpaceDE w:val="0"/>
        <w:autoSpaceDN w:val="0"/>
        <w:bidi w:val="0"/>
        <w:adjustRightInd/>
        <w:snapToGrid/>
        <w:spacing w:line="579" w:lineRule="exact"/>
        <w:jc w:val="center"/>
        <w:textAlignment w:val="auto"/>
        <w:outlineLvl w:val="0"/>
        <w:rPr>
          <w:rFonts w:hint="eastAsia" w:ascii="方正小标宋_GBK" w:hAnsi="方正小标宋_GBK" w:eastAsia="方正小标宋_GBK" w:cs="方正小标宋_GBK"/>
          <w:sz w:val="44"/>
          <w:szCs w:val="44"/>
          <w:highlight w:val="none"/>
          <w:lang w:eastAsia="zh-CN"/>
        </w:rPr>
      </w:pPr>
    </w:p>
    <w:p w14:paraId="3899B17E">
      <w:pPr>
        <w:pStyle w:val="14"/>
        <w:keepNext w:val="0"/>
        <w:keepLines w:val="0"/>
        <w:pageBreakBefore w:val="0"/>
        <w:widowControl w:val="0"/>
        <w:kinsoku/>
        <w:wordWrap/>
        <w:overflowPunct/>
        <w:topLinePunct w:val="0"/>
        <w:bidi w:val="0"/>
        <w:adjustRightInd/>
        <w:snapToGrid/>
        <w:spacing w:line="579" w:lineRule="exact"/>
        <w:ind w:firstLine="674"/>
        <w:textAlignment w:val="auto"/>
        <w:outlineLvl w:val="1"/>
        <w:rPr>
          <w:rFonts w:hint="eastAsia" w:ascii="黑体" w:hAnsi="黑体" w:eastAsia="黑体" w:cs="黑体"/>
          <w:szCs w:val="32"/>
          <w:highlight w:val="none"/>
        </w:rPr>
      </w:pPr>
      <w:r>
        <w:rPr>
          <w:rFonts w:hint="eastAsia" w:ascii="黑体" w:hAnsi="黑体" w:eastAsia="黑体" w:cs="黑体"/>
          <w:szCs w:val="32"/>
          <w:highlight w:val="none"/>
        </w:rPr>
        <w:t>一、货物清单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000"/>
        <w:gridCol w:w="3293"/>
        <w:gridCol w:w="2298"/>
      </w:tblGrid>
      <w:tr w14:paraId="4E11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4" w:type="dxa"/>
            <w:noWrap w:val="0"/>
            <w:vAlign w:val="center"/>
          </w:tcPr>
          <w:p w14:paraId="68DAE838">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4"/>
                <w:highlight w:val="none"/>
              </w:rPr>
            </w:pPr>
            <w:r>
              <w:rPr>
                <w:rFonts w:hint="eastAsia" w:ascii="仿宋" w:hAnsi="仿宋" w:eastAsia="仿宋" w:cs="仿宋"/>
                <w:bCs/>
                <w:sz w:val="24"/>
                <w:highlight w:val="none"/>
              </w:rPr>
              <w:t>序号</w:t>
            </w:r>
          </w:p>
        </w:tc>
        <w:tc>
          <w:tcPr>
            <w:tcW w:w="2000" w:type="dxa"/>
            <w:noWrap w:val="0"/>
            <w:vAlign w:val="center"/>
          </w:tcPr>
          <w:p w14:paraId="0AC9F70E">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4"/>
                <w:highlight w:val="none"/>
              </w:rPr>
            </w:pPr>
            <w:r>
              <w:rPr>
                <w:rFonts w:hint="eastAsia" w:ascii="仿宋" w:hAnsi="仿宋" w:eastAsia="仿宋" w:cs="仿宋"/>
                <w:bCs/>
                <w:sz w:val="24"/>
                <w:highlight w:val="none"/>
              </w:rPr>
              <w:t>货物名称</w:t>
            </w:r>
          </w:p>
        </w:tc>
        <w:tc>
          <w:tcPr>
            <w:tcW w:w="3293" w:type="dxa"/>
            <w:noWrap w:val="0"/>
            <w:vAlign w:val="center"/>
          </w:tcPr>
          <w:p w14:paraId="33DCEA22">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4"/>
                <w:highlight w:val="none"/>
              </w:rPr>
            </w:pPr>
            <w:r>
              <w:rPr>
                <w:rFonts w:hint="eastAsia" w:ascii="仿宋" w:hAnsi="仿宋" w:eastAsia="仿宋" w:cs="仿宋"/>
                <w:bCs/>
                <w:sz w:val="24"/>
                <w:highlight w:val="none"/>
              </w:rPr>
              <w:t>备注</w:t>
            </w:r>
          </w:p>
        </w:tc>
        <w:tc>
          <w:tcPr>
            <w:tcW w:w="2298" w:type="dxa"/>
            <w:noWrap w:val="0"/>
            <w:vAlign w:val="center"/>
          </w:tcPr>
          <w:p w14:paraId="5301A842">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4"/>
                <w:highlight w:val="none"/>
              </w:rPr>
            </w:pPr>
            <w:r>
              <w:rPr>
                <w:rFonts w:hint="eastAsia" w:ascii="仿宋" w:hAnsi="仿宋" w:eastAsia="仿宋" w:cs="仿宋"/>
                <w:bCs/>
                <w:sz w:val="24"/>
                <w:highlight w:val="none"/>
              </w:rPr>
              <w:t>预算金额（</w:t>
            </w:r>
            <w:r>
              <w:rPr>
                <w:rFonts w:hint="eastAsia" w:ascii="仿宋" w:hAnsi="仿宋" w:eastAsia="仿宋" w:cs="仿宋"/>
                <w:bCs/>
                <w:sz w:val="24"/>
                <w:highlight w:val="none"/>
                <w:lang w:eastAsia="zh-CN"/>
              </w:rPr>
              <w:t>万</w:t>
            </w:r>
            <w:r>
              <w:rPr>
                <w:rFonts w:hint="eastAsia" w:ascii="仿宋" w:hAnsi="仿宋" w:eastAsia="仿宋" w:cs="仿宋"/>
                <w:bCs/>
                <w:sz w:val="24"/>
                <w:highlight w:val="none"/>
              </w:rPr>
              <w:t>元</w:t>
            </w:r>
            <w:r>
              <w:rPr>
                <w:rFonts w:hint="eastAsia" w:ascii="仿宋" w:hAnsi="仿宋" w:eastAsia="仿宋" w:cs="仿宋"/>
                <w:bCs/>
                <w:sz w:val="24"/>
                <w:highlight w:val="none"/>
                <w:lang w:val="en-US" w:eastAsia="zh-CN"/>
              </w:rPr>
              <w:t>/年</w:t>
            </w:r>
            <w:r>
              <w:rPr>
                <w:rFonts w:hint="eastAsia" w:ascii="仿宋" w:hAnsi="仿宋" w:eastAsia="仿宋" w:cs="仿宋"/>
                <w:bCs/>
                <w:sz w:val="24"/>
                <w:highlight w:val="none"/>
              </w:rPr>
              <w:t>）</w:t>
            </w:r>
          </w:p>
        </w:tc>
      </w:tr>
      <w:tr w14:paraId="10CC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noWrap w:val="0"/>
            <w:vAlign w:val="center"/>
          </w:tcPr>
          <w:p w14:paraId="2A80DE86">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4"/>
                <w:highlight w:val="none"/>
              </w:rPr>
            </w:pPr>
            <w:r>
              <w:rPr>
                <w:rFonts w:hint="eastAsia" w:ascii="仿宋" w:hAnsi="仿宋" w:eastAsia="仿宋" w:cs="仿宋"/>
                <w:bCs/>
                <w:sz w:val="24"/>
                <w:highlight w:val="none"/>
              </w:rPr>
              <w:t>1</w:t>
            </w:r>
          </w:p>
        </w:tc>
        <w:tc>
          <w:tcPr>
            <w:tcW w:w="2000" w:type="dxa"/>
            <w:noWrap w:val="0"/>
            <w:vAlign w:val="center"/>
          </w:tcPr>
          <w:p w14:paraId="1D89B99B">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蔬菜</w:t>
            </w:r>
          </w:p>
        </w:tc>
        <w:tc>
          <w:tcPr>
            <w:tcW w:w="3293" w:type="dxa"/>
            <w:noWrap w:val="0"/>
            <w:vAlign w:val="center"/>
          </w:tcPr>
          <w:p w14:paraId="48AA96EF">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工作日配送以实际采购为准</w:t>
            </w:r>
          </w:p>
        </w:tc>
        <w:tc>
          <w:tcPr>
            <w:tcW w:w="2298" w:type="dxa"/>
            <w:vMerge w:val="restart"/>
            <w:noWrap w:val="0"/>
            <w:vAlign w:val="center"/>
          </w:tcPr>
          <w:p w14:paraId="16871ECC">
            <w:pPr>
              <w:keepNext w:val="0"/>
              <w:keepLines w:val="0"/>
              <w:pageBreakBefore w:val="0"/>
              <w:widowControl w:val="0"/>
              <w:kinsoku/>
              <w:wordWrap/>
              <w:overflowPunct/>
              <w:topLinePunct w:val="0"/>
              <w:bidi w:val="0"/>
              <w:adjustRightInd/>
              <w:snapToGrid/>
              <w:spacing w:line="579" w:lineRule="exact"/>
              <w:jc w:val="center"/>
              <w:textAlignment w:val="auto"/>
              <w:rPr>
                <w:rFonts w:hint="default" w:ascii="仿宋" w:hAnsi="仿宋" w:eastAsia="仿宋" w:cs="仿宋"/>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46.20</w:t>
            </w:r>
          </w:p>
        </w:tc>
      </w:tr>
      <w:tr w14:paraId="2CA8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noWrap w:val="0"/>
            <w:vAlign w:val="center"/>
          </w:tcPr>
          <w:p w14:paraId="4EDB0800">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4"/>
                <w:highlight w:val="none"/>
              </w:rPr>
            </w:pPr>
            <w:r>
              <w:rPr>
                <w:rFonts w:hint="eastAsia" w:ascii="仿宋" w:hAnsi="仿宋" w:eastAsia="仿宋" w:cs="仿宋"/>
                <w:bCs/>
                <w:sz w:val="24"/>
                <w:highlight w:val="none"/>
              </w:rPr>
              <w:t>2</w:t>
            </w:r>
          </w:p>
        </w:tc>
        <w:tc>
          <w:tcPr>
            <w:tcW w:w="2000" w:type="dxa"/>
            <w:noWrap w:val="0"/>
            <w:vAlign w:val="center"/>
          </w:tcPr>
          <w:p w14:paraId="2EC4001B">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鲜肉及肉制品</w:t>
            </w:r>
          </w:p>
        </w:tc>
        <w:tc>
          <w:tcPr>
            <w:tcW w:w="3293" w:type="dxa"/>
            <w:noWrap w:val="0"/>
            <w:vAlign w:val="center"/>
          </w:tcPr>
          <w:p w14:paraId="2923A630">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4"/>
                <w:highlight w:val="none"/>
              </w:rPr>
            </w:pPr>
            <w:r>
              <w:rPr>
                <w:rFonts w:hint="eastAsia" w:ascii="仿宋" w:hAnsi="仿宋" w:eastAsia="仿宋" w:cs="仿宋"/>
                <w:bCs/>
                <w:sz w:val="24"/>
                <w:highlight w:val="none"/>
                <w:lang w:eastAsia="zh-CN"/>
              </w:rPr>
              <w:t>工作日配送以实际采购为准</w:t>
            </w:r>
          </w:p>
        </w:tc>
        <w:tc>
          <w:tcPr>
            <w:tcW w:w="2298" w:type="dxa"/>
            <w:vMerge w:val="continue"/>
            <w:noWrap w:val="0"/>
            <w:vAlign w:val="top"/>
          </w:tcPr>
          <w:p w14:paraId="46FFE66F">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8"/>
                <w:szCs w:val="28"/>
                <w:highlight w:val="none"/>
              </w:rPr>
            </w:pPr>
          </w:p>
        </w:tc>
      </w:tr>
      <w:tr w14:paraId="69FA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noWrap w:val="0"/>
            <w:vAlign w:val="center"/>
          </w:tcPr>
          <w:p w14:paraId="74C0D113">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4"/>
                <w:highlight w:val="none"/>
              </w:rPr>
            </w:pPr>
            <w:r>
              <w:rPr>
                <w:rFonts w:hint="eastAsia" w:ascii="仿宋" w:hAnsi="仿宋" w:eastAsia="仿宋" w:cs="仿宋"/>
                <w:bCs/>
                <w:sz w:val="24"/>
                <w:highlight w:val="none"/>
              </w:rPr>
              <w:t>3</w:t>
            </w:r>
          </w:p>
        </w:tc>
        <w:tc>
          <w:tcPr>
            <w:tcW w:w="2000" w:type="dxa"/>
            <w:noWrap w:val="0"/>
            <w:vAlign w:val="center"/>
          </w:tcPr>
          <w:p w14:paraId="5CD3DED5">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大米及其他主食</w:t>
            </w:r>
          </w:p>
        </w:tc>
        <w:tc>
          <w:tcPr>
            <w:tcW w:w="3293" w:type="dxa"/>
            <w:noWrap w:val="0"/>
            <w:vAlign w:val="center"/>
          </w:tcPr>
          <w:p w14:paraId="2AC381C4">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sz w:val="24"/>
                <w:highlight w:val="none"/>
                <w:lang w:eastAsia="zh-CN"/>
              </w:rPr>
              <w:t>工作日配送以实际采购为准</w:t>
            </w:r>
          </w:p>
        </w:tc>
        <w:tc>
          <w:tcPr>
            <w:tcW w:w="2298" w:type="dxa"/>
            <w:vMerge w:val="continue"/>
            <w:noWrap w:val="0"/>
            <w:vAlign w:val="top"/>
          </w:tcPr>
          <w:p w14:paraId="5334BA4D">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8"/>
                <w:szCs w:val="28"/>
                <w:highlight w:val="none"/>
              </w:rPr>
            </w:pPr>
          </w:p>
        </w:tc>
      </w:tr>
      <w:tr w14:paraId="2C29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noWrap w:val="0"/>
            <w:vAlign w:val="center"/>
          </w:tcPr>
          <w:p w14:paraId="01ACB088">
            <w:pPr>
              <w:keepNext w:val="0"/>
              <w:keepLines w:val="0"/>
              <w:pageBreakBefore w:val="0"/>
              <w:widowControl w:val="0"/>
              <w:kinsoku/>
              <w:wordWrap/>
              <w:overflowPunct/>
              <w:topLinePunct w:val="0"/>
              <w:bidi w:val="0"/>
              <w:adjustRightInd/>
              <w:snapToGrid/>
              <w:spacing w:line="579" w:lineRule="exact"/>
              <w:jc w:val="center"/>
              <w:textAlignment w:val="auto"/>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4</w:t>
            </w:r>
          </w:p>
        </w:tc>
        <w:tc>
          <w:tcPr>
            <w:tcW w:w="2000" w:type="dxa"/>
            <w:noWrap w:val="0"/>
            <w:vAlign w:val="center"/>
          </w:tcPr>
          <w:p w14:paraId="7B3B7E86">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sz w:val="24"/>
                <w:highlight w:val="none"/>
                <w:lang w:eastAsia="zh-CN"/>
              </w:rPr>
              <w:t>其他食材</w:t>
            </w:r>
          </w:p>
        </w:tc>
        <w:tc>
          <w:tcPr>
            <w:tcW w:w="3293" w:type="dxa"/>
            <w:noWrap w:val="0"/>
            <w:vAlign w:val="center"/>
          </w:tcPr>
          <w:p w14:paraId="2B737FA7">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sz w:val="24"/>
                <w:highlight w:val="none"/>
                <w:lang w:eastAsia="zh-CN"/>
              </w:rPr>
              <w:t>工作日配送以实际采购为准</w:t>
            </w:r>
          </w:p>
        </w:tc>
        <w:tc>
          <w:tcPr>
            <w:tcW w:w="2298" w:type="dxa"/>
            <w:vMerge w:val="continue"/>
            <w:noWrap w:val="0"/>
            <w:vAlign w:val="top"/>
          </w:tcPr>
          <w:p w14:paraId="0B643FA0">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8"/>
                <w:szCs w:val="28"/>
                <w:highlight w:val="none"/>
              </w:rPr>
            </w:pPr>
          </w:p>
        </w:tc>
      </w:tr>
      <w:tr w14:paraId="704E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noWrap w:val="0"/>
            <w:vAlign w:val="center"/>
          </w:tcPr>
          <w:p w14:paraId="5376EC1A">
            <w:pPr>
              <w:keepNext w:val="0"/>
              <w:keepLines w:val="0"/>
              <w:pageBreakBefore w:val="0"/>
              <w:widowControl w:val="0"/>
              <w:kinsoku/>
              <w:wordWrap/>
              <w:overflowPunct/>
              <w:topLinePunct w:val="0"/>
              <w:bidi w:val="0"/>
              <w:adjustRightInd/>
              <w:snapToGrid/>
              <w:spacing w:line="579" w:lineRule="exact"/>
              <w:jc w:val="center"/>
              <w:textAlignment w:val="auto"/>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5</w:t>
            </w:r>
          </w:p>
        </w:tc>
        <w:tc>
          <w:tcPr>
            <w:tcW w:w="2000" w:type="dxa"/>
            <w:noWrap w:val="0"/>
            <w:vAlign w:val="center"/>
          </w:tcPr>
          <w:p w14:paraId="43F5ADDD">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调味料类</w:t>
            </w:r>
          </w:p>
        </w:tc>
        <w:tc>
          <w:tcPr>
            <w:tcW w:w="3293" w:type="dxa"/>
            <w:noWrap w:val="0"/>
            <w:vAlign w:val="center"/>
          </w:tcPr>
          <w:p w14:paraId="0A2FDFCB">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以实际采购为准</w:t>
            </w:r>
          </w:p>
        </w:tc>
        <w:tc>
          <w:tcPr>
            <w:tcW w:w="2298" w:type="dxa"/>
            <w:vMerge w:val="continue"/>
            <w:noWrap w:val="0"/>
            <w:vAlign w:val="top"/>
          </w:tcPr>
          <w:p w14:paraId="577F53A4">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8"/>
                <w:szCs w:val="28"/>
                <w:highlight w:val="none"/>
              </w:rPr>
            </w:pPr>
          </w:p>
        </w:tc>
      </w:tr>
      <w:tr w14:paraId="718E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noWrap w:val="0"/>
            <w:vAlign w:val="center"/>
          </w:tcPr>
          <w:p w14:paraId="0C080A8A">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6</w:t>
            </w:r>
          </w:p>
        </w:tc>
        <w:tc>
          <w:tcPr>
            <w:tcW w:w="2000" w:type="dxa"/>
            <w:noWrap w:val="0"/>
            <w:vAlign w:val="center"/>
          </w:tcPr>
          <w:p w14:paraId="569F04EA">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厨房百货用品</w:t>
            </w:r>
          </w:p>
        </w:tc>
        <w:tc>
          <w:tcPr>
            <w:tcW w:w="3293" w:type="dxa"/>
            <w:noWrap w:val="0"/>
            <w:vAlign w:val="center"/>
          </w:tcPr>
          <w:p w14:paraId="74A45382">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sz w:val="24"/>
                <w:highlight w:val="none"/>
                <w:lang w:eastAsia="zh-CN"/>
              </w:rPr>
              <w:t>以实际采购为准</w:t>
            </w:r>
          </w:p>
        </w:tc>
        <w:tc>
          <w:tcPr>
            <w:tcW w:w="2298" w:type="dxa"/>
            <w:vMerge w:val="continue"/>
            <w:noWrap w:val="0"/>
            <w:vAlign w:val="top"/>
          </w:tcPr>
          <w:p w14:paraId="7CB02141">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仿宋" w:hAnsi="仿宋" w:eastAsia="仿宋" w:cs="仿宋"/>
                <w:bCs/>
                <w:sz w:val="28"/>
                <w:szCs w:val="28"/>
                <w:highlight w:val="none"/>
              </w:rPr>
            </w:pPr>
          </w:p>
        </w:tc>
      </w:tr>
    </w:tbl>
    <w:p w14:paraId="3E93F4E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黑体" w:hAnsi="黑体" w:eastAsia="黑体" w:cs="黑体"/>
          <w:bCs/>
          <w:sz w:val="32"/>
          <w:szCs w:val="32"/>
          <w:highlight w:val="none"/>
        </w:rPr>
      </w:pPr>
      <w:r>
        <w:rPr>
          <w:rFonts w:hint="eastAsia" w:ascii="黑体" w:hAnsi="黑体" w:eastAsia="黑体" w:cs="黑体"/>
          <w:bCs/>
          <w:sz w:val="32"/>
          <w:szCs w:val="32"/>
          <w:highlight w:val="none"/>
          <w:lang w:eastAsia="zh-CN"/>
        </w:rPr>
        <w:t>二</w:t>
      </w:r>
      <w:r>
        <w:rPr>
          <w:rFonts w:hint="eastAsia" w:ascii="黑体" w:hAnsi="黑体" w:eastAsia="黑体" w:cs="黑体"/>
          <w:bCs/>
          <w:sz w:val="32"/>
          <w:szCs w:val="32"/>
          <w:highlight w:val="none"/>
        </w:rPr>
        <w:t>、商务需求</w:t>
      </w:r>
    </w:p>
    <w:p w14:paraId="635B1B8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仿宋_GB2312" w:cs="黑体"/>
          <w:bCs/>
          <w:sz w:val="32"/>
          <w:szCs w:val="32"/>
          <w:highlight w:val="none"/>
          <w:lang w:eastAsia="zh-CN"/>
        </w:rPr>
      </w:pPr>
      <w:r>
        <w:rPr>
          <w:rFonts w:hint="eastAsia" w:ascii="楷体_GB2312" w:hAnsi="楷体_GB2312" w:eastAsia="楷体_GB2312" w:cs="楷体_GB2312"/>
          <w:bCs/>
          <w:sz w:val="32"/>
          <w:szCs w:val="32"/>
          <w:highlight w:val="none"/>
        </w:rPr>
        <w:t>（一）服务期</w:t>
      </w:r>
      <w:r>
        <w:rPr>
          <w:rFonts w:hint="eastAsia" w:ascii="楷体_GB2312" w:hAnsi="楷体_GB2312" w:eastAsia="楷体_GB2312" w:cs="楷体_GB2312"/>
          <w:bCs/>
          <w:sz w:val="32"/>
          <w:szCs w:val="32"/>
          <w:highlight w:val="none"/>
          <w:lang w:eastAsia="zh-CN"/>
        </w:rPr>
        <w:t>：</w:t>
      </w:r>
      <w:r>
        <w:rPr>
          <w:rFonts w:hint="eastAsia" w:ascii="仿宋_GB2312" w:hAnsi="Times New Roman" w:eastAsia="仿宋_GB2312" w:cs="Times New Roman"/>
          <w:bCs/>
          <w:sz w:val="32"/>
          <w:szCs w:val="32"/>
          <w:highlight w:val="none"/>
          <w:lang w:val="en-US" w:eastAsia="zh-CN"/>
        </w:rPr>
        <w:t>202</w:t>
      </w:r>
      <w:r>
        <w:rPr>
          <w:rFonts w:hint="eastAsia" w:ascii="仿宋_GB2312" w:eastAsia="仿宋_GB2312" w:cs="Times New Roman"/>
          <w:bCs/>
          <w:sz w:val="32"/>
          <w:szCs w:val="32"/>
          <w:highlight w:val="none"/>
          <w:lang w:val="en-US" w:eastAsia="zh-CN"/>
        </w:rPr>
        <w:t>6</w:t>
      </w:r>
      <w:r>
        <w:rPr>
          <w:rFonts w:hint="eastAsia" w:ascii="仿宋_GB2312" w:hAnsi="Times New Roman" w:eastAsia="仿宋_GB2312" w:cs="Times New Roman"/>
          <w:bCs/>
          <w:sz w:val="32"/>
          <w:szCs w:val="32"/>
          <w:highlight w:val="none"/>
          <w:lang w:val="en-US" w:eastAsia="zh-CN"/>
        </w:rPr>
        <w:t>年1月1日至202</w:t>
      </w:r>
      <w:r>
        <w:rPr>
          <w:rFonts w:hint="eastAsia" w:ascii="仿宋_GB2312" w:eastAsia="仿宋_GB2312" w:cs="Times New Roman"/>
          <w:bCs/>
          <w:sz w:val="32"/>
          <w:szCs w:val="32"/>
          <w:highlight w:val="none"/>
          <w:lang w:val="en-US" w:eastAsia="zh-CN"/>
        </w:rPr>
        <w:t>6</w:t>
      </w:r>
      <w:r>
        <w:rPr>
          <w:rFonts w:hint="eastAsia" w:ascii="仿宋_GB2312" w:hAnsi="Times New Roman" w:eastAsia="仿宋_GB2312" w:cs="Times New Roman"/>
          <w:bCs/>
          <w:sz w:val="32"/>
          <w:szCs w:val="32"/>
          <w:highlight w:val="none"/>
          <w:lang w:val="en-US" w:eastAsia="zh-CN"/>
        </w:rPr>
        <w:t>年12月31日</w:t>
      </w:r>
      <w:r>
        <w:rPr>
          <w:rFonts w:hint="eastAsia" w:ascii="仿宋_GB2312" w:hAnsi="Times New Roman" w:eastAsia="仿宋_GB2312" w:cs="Times New Roman"/>
          <w:bCs/>
          <w:sz w:val="32"/>
          <w:szCs w:val="32"/>
          <w:highlight w:val="none"/>
          <w:lang w:eastAsia="zh-CN"/>
        </w:rPr>
        <w:t>。</w:t>
      </w:r>
    </w:p>
    <w:p w14:paraId="5E1DAF2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Times New Roman" w:eastAsia="仿宋_GB2312" w:cs="Times New Roman"/>
          <w:bCs/>
          <w:sz w:val="32"/>
          <w:szCs w:val="32"/>
          <w:highlight w:val="none"/>
        </w:rPr>
      </w:pPr>
      <w:r>
        <w:rPr>
          <w:rFonts w:hint="eastAsia" w:ascii="楷体_GB2312" w:hAnsi="楷体_GB2312" w:eastAsia="楷体_GB2312" w:cs="楷体_GB2312"/>
          <w:bCs/>
          <w:sz w:val="32"/>
          <w:szCs w:val="32"/>
          <w:highlight w:val="none"/>
        </w:rPr>
        <w:t>（二）服务地点：</w:t>
      </w:r>
      <w:r>
        <w:rPr>
          <w:rFonts w:hint="eastAsia" w:ascii="仿宋_GB2312" w:eastAsia="仿宋_GB2312" w:cs="Times New Roman"/>
          <w:bCs/>
          <w:sz w:val="32"/>
          <w:szCs w:val="32"/>
          <w:highlight w:val="none"/>
          <w:lang w:val="en-US" w:eastAsia="zh-CN"/>
        </w:rPr>
        <w:t>下沙</w:t>
      </w:r>
      <w:r>
        <w:rPr>
          <w:rFonts w:hint="eastAsia" w:ascii="仿宋_GB2312" w:hAnsi="Times New Roman" w:eastAsia="仿宋_GB2312" w:cs="Times New Roman"/>
          <w:bCs/>
          <w:sz w:val="32"/>
          <w:szCs w:val="32"/>
          <w:highlight w:val="none"/>
          <w:lang w:val="en-US" w:eastAsia="zh-CN"/>
        </w:rPr>
        <w:t>社区。</w:t>
      </w:r>
    </w:p>
    <w:p w14:paraId="2E22A1A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Times New Roman" w:eastAsia="仿宋_GB2312" w:cs="Times New Roman"/>
          <w:bCs/>
          <w:sz w:val="32"/>
          <w:szCs w:val="32"/>
          <w:highlight w:val="none"/>
          <w:lang w:val="en-US" w:eastAsia="zh-CN"/>
        </w:rPr>
      </w:pPr>
      <w:r>
        <w:rPr>
          <w:rFonts w:hint="eastAsia" w:ascii="楷体_GB2312" w:hAnsi="楷体_GB2312" w:eastAsia="楷体_GB2312" w:cs="楷体_GB2312"/>
          <w:bCs/>
          <w:sz w:val="32"/>
          <w:szCs w:val="32"/>
          <w:highlight w:val="none"/>
        </w:rPr>
        <w:t>（</w:t>
      </w:r>
      <w:r>
        <w:rPr>
          <w:rFonts w:hint="eastAsia" w:ascii="楷体_GB2312" w:hAnsi="楷体_GB2312" w:eastAsia="楷体_GB2312" w:cs="楷体_GB2312"/>
          <w:bCs/>
          <w:sz w:val="32"/>
          <w:szCs w:val="32"/>
          <w:highlight w:val="none"/>
          <w:lang w:val="en-US" w:eastAsia="zh-CN"/>
        </w:rPr>
        <w:t>三</w:t>
      </w:r>
      <w:r>
        <w:rPr>
          <w:rFonts w:hint="eastAsia" w:ascii="楷体_GB2312" w:hAnsi="楷体_GB2312" w:eastAsia="楷体_GB2312" w:cs="楷体_GB2312"/>
          <w:bCs/>
          <w:sz w:val="32"/>
          <w:szCs w:val="32"/>
          <w:highlight w:val="none"/>
        </w:rPr>
        <w:t>）付款方式：</w:t>
      </w:r>
      <w:r>
        <w:rPr>
          <w:rFonts w:hint="eastAsia" w:ascii="仿宋_GB2312" w:hAnsi="仿宋_GB2312" w:eastAsia="仿宋_GB2312" w:cs="仿宋_GB2312"/>
          <w:bCs/>
          <w:sz w:val="32"/>
          <w:szCs w:val="32"/>
          <w:highlight w:val="none"/>
          <w:lang w:eastAsia="zh-CN"/>
        </w:rPr>
        <w:t>按月据实结算</w:t>
      </w:r>
      <w:r>
        <w:rPr>
          <w:rFonts w:hint="eastAsia" w:ascii="仿宋_GB2312" w:hAnsi="Times New Roman" w:eastAsia="仿宋_GB2312" w:cs="Times New Roman"/>
          <w:bCs/>
          <w:sz w:val="32"/>
          <w:szCs w:val="32"/>
          <w:highlight w:val="none"/>
          <w:lang w:val="en-US" w:eastAsia="zh-CN"/>
        </w:rPr>
        <w:t>，每年支付上限金额不能超过预算金额。</w:t>
      </w:r>
    </w:p>
    <w:p w14:paraId="39839F6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bCs/>
          <w:sz w:val="32"/>
          <w:szCs w:val="32"/>
          <w:highlight w:val="none"/>
          <w:lang w:eastAsia="zh-CN"/>
        </w:rPr>
      </w:pPr>
      <w:r>
        <w:rPr>
          <w:rFonts w:hint="eastAsia" w:ascii="楷体_GB2312" w:hAnsi="楷体_GB2312" w:eastAsia="楷体_GB2312" w:cs="楷体_GB2312"/>
          <w:bCs/>
          <w:sz w:val="32"/>
          <w:szCs w:val="32"/>
          <w:highlight w:val="none"/>
        </w:rPr>
        <w:t>（</w:t>
      </w:r>
      <w:r>
        <w:rPr>
          <w:rFonts w:hint="eastAsia" w:ascii="楷体_GB2312" w:hAnsi="楷体_GB2312" w:eastAsia="楷体_GB2312" w:cs="楷体_GB2312"/>
          <w:bCs/>
          <w:sz w:val="32"/>
          <w:szCs w:val="32"/>
          <w:highlight w:val="none"/>
          <w:lang w:val="en-US" w:eastAsia="zh-CN"/>
        </w:rPr>
        <w:t>四</w:t>
      </w:r>
      <w:r>
        <w:rPr>
          <w:rFonts w:hint="eastAsia" w:ascii="楷体_GB2312" w:hAnsi="楷体_GB2312" w:eastAsia="楷体_GB2312" w:cs="楷体_GB2312"/>
          <w:bCs/>
          <w:sz w:val="32"/>
          <w:szCs w:val="32"/>
          <w:highlight w:val="none"/>
        </w:rPr>
        <w:t>）报价要求</w:t>
      </w:r>
    </w:p>
    <w:p w14:paraId="0F5521D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Times New Roman" w:eastAsia="仿宋_GB2312" w:cs="Times New Roman"/>
          <w:bCs/>
          <w:sz w:val="32"/>
          <w:szCs w:val="32"/>
          <w:highlight w:val="none"/>
          <w:lang w:val="en-US" w:eastAsia="zh-CN"/>
        </w:rPr>
        <w:sectPr>
          <w:pgSz w:w="11906" w:h="16838"/>
          <w:pgMar w:top="2098" w:right="1474" w:bottom="1984" w:left="1587" w:header="851" w:footer="992" w:gutter="0"/>
          <w:pgNumType w:fmt="decimal"/>
          <w:cols w:space="720" w:num="1"/>
          <w:docGrid w:type="lines" w:linePitch="312" w:charSpace="0"/>
        </w:sectPr>
      </w:pPr>
      <w:r>
        <w:rPr>
          <w:rFonts w:hint="eastAsia" w:ascii="仿宋_GB2312" w:hAnsi="Times New Roman" w:eastAsia="仿宋_GB2312" w:cs="Times New Roman"/>
          <w:bCs/>
          <w:sz w:val="32"/>
          <w:szCs w:val="32"/>
          <w:highlight w:val="none"/>
          <w:lang w:val="en-US" w:eastAsia="zh-CN"/>
        </w:rPr>
        <w:t>1.蔬菜、肉类及水产类产品投标报价以中农数据食堂采配平台（https://www.znttcp.com/）上月5、15、25号公布粗加工</w:t>
      </w:r>
    </w:p>
    <w:p w14:paraId="5D99A15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Times New Roman" w:eastAsia="仿宋_GB2312" w:cs="Times New Roman"/>
          <w:bCs/>
          <w:sz w:val="32"/>
          <w:szCs w:val="32"/>
          <w:highlight w:val="none"/>
          <w:lang w:val="en-US" w:eastAsia="zh-CN"/>
        </w:rPr>
      </w:pPr>
      <w:r>
        <w:rPr>
          <w:rFonts w:hint="eastAsia" w:ascii="仿宋_GB2312" w:hAnsi="Times New Roman" w:eastAsia="仿宋_GB2312" w:cs="Times New Roman"/>
          <w:bCs/>
          <w:sz w:val="32"/>
          <w:szCs w:val="32"/>
          <w:highlight w:val="none"/>
          <w:lang w:val="en-US" w:eastAsia="zh-CN"/>
        </w:rPr>
        <w:t>后的价格（即精品价）取平均值确定为该项物资的基准价（平均值精确到分，即小数点后两位），投标人结合企业自己的实力报出折扣率（0%＜折扣率≤100%），</w:t>
      </w:r>
      <w:r>
        <w:rPr>
          <w:rFonts w:hint="eastAsia" w:ascii="仿宋_GB2312" w:hAnsi="Times New Roman" w:eastAsia="仿宋_GB2312" w:cs="Times New Roman"/>
          <w:bCs/>
          <w:sz w:val="32"/>
          <w:szCs w:val="32"/>
          <w:highlight w:val="none"/>
          <w:lang w:val="zh-CN" w:eastAsia="zh-CN"/>
        </w:rPr>
        <w:t>如</w:t>
      </w:r>
      <w:r>
        <w:rPr>
          <w:rFonts w:hint="eastAsia" w:ascii="仿宋_GB2312" w:hAnsi="Times New Roman" w:eastAsia="仿宋_GB2312" w:cs="Times New Roman"/>
          <w:bCs/>
          <w:sz w:val="32"/>
          <w:szCs w:val="32"/>
          <w:highlight w:val="none"/>
          <w:lang w:val="en-US" w:eastAsia="zh-CN"/>
        </w:rPr>
        <w:t>：90%</w:t>
      </w:r>
      <w:r>
        <w:rPr>
          <w:rFonts w:hint="eastAsia" w:ascii="仿宋_GB2312" w:hAnsi="Times New Roman" w:eastAsia="仿宋_GB2312" w:cs="Times New Roman"/>
          <w:bCs/>
          <w:sz w:val="32"/>
          <w:szCs w:val="32"/>
          <w:highlight w:val="none"/>
          <w:lang w:val="zh-CN" w:eastAsia="zh-CN"/>
        </w:rPr>
        <w:t>、</w:t>
      </w:r>
      <w:r>
        <w:rPr>
          <w:rFonts w:hint="eastAsia" w:ascii="仿宋_GB2312" w:hAnsi="Times New Roman" w:eastAsia="仿宋_GB2312" w:cs="Times New Roman"/>
          <w:bCs/>
          <w:sz w:val="32"/>
          <w:szCs w:val="32"/>
          <w:highlight w:val="none"/>
          <w:lang w:val="en-US" w:eastAsia="zh-CN"/>
        </w:rPr>
        <w:t>87%</w:t>
      </w:r>
      <w:r>
        <w:rPr>
          <w:rFonts w:hint="eastAsia" w:ascii="仿宋_GB2312" w:hAnsi="Times New Roman" w:eastAsia="仿宋_GB2312" w:cs="Times New Roman"/>
          <w:bCs/>
          <w:sz w:val="32"/>
          <w:szCs w:val="32"/>
          <w:highlight w:val="none"/>
          <w:lang w:val="zh-CN" w:eastAsia="zh-CN"/>
        </w:rPr>
        <w:t>、</w:t>
      </w:r>
      <w:r>
        <w:rPr>
          <w:rFonts w:hint="eastAsia" w:ascii="仿宋_GB2312" w:hAnsi="Times New Roman" w:eastAsia="仿宋_GB2312" w:cs="Times New Roman"/>
          <w:bCs/>
          <w:sz w:val="32"/>
          <w:szCs w:val="32"/>
          <w:highlight w:val="none"/>
          <w:lang w:val="en-US" w:eastAsia="zh-CN"/>
        </w:rPr>
        <w:t>80%</w:t>
      </w:r>
      <w:r>
        <w:rPr>
          <w:rFonts w:hint="eastAsia" w:ascii="仿宋_GB2312" w:hAnsi="Times New Roman" w:eastAsia="仿宋_GB2312" w:cs="Times New Roman"/>
          <w:bCs/>
          <w:sz w:val="32"/>
          <w:szCs w:val="32"/>
          <w:highlight w:val="none"/>
          <w:lang w:val="zh-CN" w:eastAsia="zh-CN"/>
        </w:rPr>
        <w:t>等</w:t>
      </w:r>
      <w:r>
        <w:rPr>
          <w:rFonts w:hint="eastAsia" w:ascii="仿宋_GB2312" w:hAnsi="Times New Roman" w:eastAsia="仿宋_GB2312" w:cs="Times New Roman"/>
          <w:bCs/>
          <w:sz w:val="32"/>
          <w:szCs w:val="32"/>
          <w:highlight w:val="none"/>
          <w:lang w:val="en-US" w:eastAsia="zh-CN"/>
        </w:rPr>
        <w:t>，结算时价格=基准价*折扣率。</w:t>
      </w:r>
    </w:p>
    <w:p w14:paraId="65F9478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Times New Roman" w:eastAsia="仿宋_GB2312" w:cs="Times New Roman"/>
          <w:bCs/>
          <w:sz w:val="32"/>
          <w:szCs w:val="32"/>
          <w:highlight w:val="none"/>
          <w:lang w:val="en-US" w:eastAsia="zh-CN"/>
        </w:rPr>
      </w:pPr>
      <w:r>
        <w:rPr>
          <w:rFonts w:hint="eastAsia" w:ascii="仿宋_GB2312" w:hAnsi="Times New Roman" w:eastAsia="仿宋_GB2312" w:cs="Times New Roman"/>
          <w:bCs/>
          <w:sz w:val="32"/>
          <w:szCs w:val="32"/>
          <w:highlight w:val="none"/>
          <w:lang w:val="en-US" w:eastAsia="zh-CN"/>
        </w:rPr>
        <w:t>2.除蔬菜、肉类以及水产类产品外的其他食材直接按中农数据食堂采配平台价格结算。</w:t>
      </w:r>
    </w:p>
    <w:p w14:paraId="0D2E56E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Times New Roman" w:eastAsia="仿宋_GB2312" w:cs="Times New Roman"/>
          <w:bCs/>
          <w:sz w:val="32"/>
          <w:szCs w:val="32"/>
          <w:highlight w:val="none"/>
          <w:lang w:val="en-US" w:eastAsia="zh-CN"/>
        </w:rPr>
      </w:pPr>
      <w:r>
        <w:rPr>
          <w:rFonts w:hint="eastAsia" w:ascii="仿宋_GB2312" w:hAnsi="Times New Roman" w:eastAsia="仿宋_GB2312" w:cs="Times New Roman"/>
          <w:bCs/>
          <w:sz w:val="32"/>
          <w:szCs w:val="32"/>
          <w:highlight w:val="none"/>
          <w:lang w:val="en-US" w:eastAsia="zh-CN"/>
        </w:rPr>
        <w:t>3.中农数据食堂采配平台中无价格的产品，则结算时价格=折扣率*市场价。（市场价参考周边大型商超（如天虹、华润万家、沃尔玛等）价格作为该项物资的基准价）。</w:t>
      </w:r>
    </w:p>
    <w:p w14:paraId="31D24EC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Times New Roman" w:eastAsia="仿宋_GB2312" w:cs="Times New Roman"/>
          <w:bCs/>
          <w:sz w:val="32"/>
          <w:szCs w:val="32"/>
          <w:highlight w:val="none"/>
          <w:lang w:val="en-US" w:eastAsia="zh-CN"/>
        </w:rPr>
      </w:pPr>
      <w:r>
        <w:rPr>
          <w:rFonts w:hint="eastAsia" w:ascii="仿宋_GB2312" w:hAnsi="Times New Roman" w:eastAsia="仿宋_GB2312" w:cs="Times New Roman"/>
          <w:bCs/>
          <w:sz w:val="32"/>
          <w:szCs w:val="32"/>
          <w:highlight w:val="none"/>
          <w:lang w:val="en-US" w:eastAsia="zh-CN"/>
        </w:rPr>
        <w:t>4.价格表每月确认一次，如遇台风、暴雨等不可遇见的原因造成的个别品种及价格需临时做调整的,供应商应事先通知采购人,在采购人确认后方可调整。</w:t>
      </w:r>
    </w:p>
    <w:p w14:paraId="3ED609D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Times New Roman" w:eastAsia="仿宋_GB2312" w:cs="Times New Roman"/>
          <w:bCs/>
          <w:sz w:val="32"/>
          <w:szCs w:val="32"/>
          <w:highlight w:val="none"/>
          <w:lang w:val="en-US" w:eastAsia="zh-CN"/>
        </w:rPr>
      </w:pPr>
      <w:r>
        <w:rPr>
          <w:rFonts w:hint="eastAsia" w:ascii="仿宋_GB2312" w:hAnsi="Times New Roman" w:eastAsia="仿宋_GB2312" w:cs="Times New Roman"/>
          <w:bCs/>
          <w:sz w:val="32"/>
          <w:szCs w:val="32"/>
          <w:highlight w:val="none"/>
          <w:lang w:val="en-US" w:eastAsia="zh-CN"/>
        </w:rPr>
        <w:t>5.所有物资的报价包括供应产品和产品运输到使用单位的服务费、检测费、人工费、管理费、税金等一切将可发生的费用。以上报价以人民币为报价和结算单位，须开具国家正规发票。</w:t>
      </w:r>
    </w:p>
    <w:p w14:paraId="4D3112BE">
      <w:pPr>
        <w:pStyle w:val="14"/>
        <w:keepNext w:val="0"/>
        <w:keepLines w:val="0"/>
        <w:pageBreakBefore w:val="0"/>
        <w:widowControl w:val="0"/>
        <w:kinsoku/>
        <w:wordWrap/>
        <w:overflowPunct/>
        <w:topLinePunct w:val="0"/>
        <w:autoSpaceDE/>
        <w:autoSpaceDN/>
        <w:bidi w:val="0"/>
        <w:adjustRightInd/>
        <w:snapToGrid/>
        <w:spacing w:line="579" w:lineRule="exact"/>
        <w:ind w:firstLine="674"/>
        <w:textAlignment w:val="auto"/>
        <w:outlineLvl w:val="1"/>
        <w:rPr>
          <w:rFonts w:hint="eastAsia" w:ascii="黑体" w:hAnsi="黑体" w:eastAsia="黑体" w:cs="黑体"/>
          <w:bCs/>
          <w:kern w:val="2"/>
          <w:sz w:val="32"/>
          <w:szCs w:val="32"/>
          <w:highlight w:val="none"/>
          <w:lang w:val="en-US" w:eastAsia="zh-CN" w:bidi="ar-SA"/>
        </w:rPr>
      </w:pPr>
      <w:r>
        <w:rPr>
          <w:rFonts w:hint="eastAsia" w:ascii="黑体" w:hAnsi="黑体" w:eastAsia="黑体" w:cs="黑体"/>
          <w:bCs/>
          <w:kern w:val="2"/>
          <w:sz w:val="32"/>
          <w:szCs w:val="32"/>
          <w:highlight w:val="none"/>
          <w:lang w:val="en-US" w:eastAsia="zh-CN" w:bidi="ar-SA"/>
        </w:rPr>
        <w:t>三、质量需求</w:t>
      </w:r>
    </w:p>
    <w:p w14:paraId="6ACDCE31">
      <w:pPr>
        <w:pStyle w:val="14"/>
        <w:keepNext w:val="0"/>
        <w:keepLines w:val="0"/>
        <w:pageBreakBefore w:val="0"/>
        <w:widowControl w:val="0"/>
        <w:kinsoku/>
        <w:wordWrap/>
        <w:overflowPunct/>
        <w:topLinePunct w:val="0"/>
        <w:autoSpaceDE/>
        <w:autoSpaceDN/>
        <w:bidi w:val="0"/>
        <w:adjustRightInd/>
        <w:snapToGrid/>
        <w:spacing w:line="579" w:lineRule="exact"/>
        <w:ind w:firstLine="674"/>
        <w:textAlignment w:val="auto"/>
        <w:rPr>
          <w:rFonts w:hint="eastAsia" w:hAnsi="仿宋_GB2312" w:cs="仿宋_GB2312"/>
          <w:szCs w:val="32"/>
          <w:highlight w:val="none"/>
          <w:lang w:eastAsia="zh-CN"/>
        </w:rPr>
      </w:pPr>
      <w:r>
        <w:rPr>
          <w:rFonts w:hint="eastAsia" w:hAnsi="仿宋_GB2312" w:cs="仿宋_GB2312"/>
          <w:szCs w:val="32"/>
          <w:highlight w:val="none"/>
        </w:rPr>
        <w:t>乙方保证所供商品均符合《国家食品卫生标准》。蔬菜水果类应保持较好的色泽及新鲜度，无黄叶、泥沙；冷冻类及干货应在保质期范围内，并保持较好的外观和等级；鲜肉类保证来源于正规肉联厂，为当日新鲜商品</w:t>
      </w:r>
      <w:r>
        <w:rPr>
          <w:rFonts w:hint="eastAsia" w:hAnsi="仿宋_GB2312" w:cs="仿宋_GB2312"/>
          <w:szCs w:val="32"/>
          <w:highlight w:val="none"/>
          <w:lang w:eastAsia="zh-CN"/>
        </w:rPr>
        <w:t>；</w:t>
      </w:r>
      <w:r>
        <w:rPr>
          <w:rFonts w:hint="eastAsia" w:hAnsi="仿宋_GB2312" w:cs="仿宋_GB2312"/>
          <w:szCs w:val="32"/>
          <w:highlight w:val="none"/>
        </w:rPr>
        <w:t>不得弄虚作假或以次充好，对于不符合质量的品种甲方有权要求退货或换货</w:t>
      </w:r>
      <w:r>
        <w:rPr>
          <w:rFonts w:hint="eastAsia" w:hAnsi="仿宋_GB2312" w:cs="仿宋_GB2312"/>
          <w:szCs w:val="32"/>
          <w:highlight w:val="none"/>
          <w:lang w:eastAsia="zh-CN"/>
        </w:rPr>
        <w:t>；</w:t>
      </w:r>
      <w:r>
        <w:rPr>
          <w:rFonts w:hint="eastAsia" w:hAnsi="仿宋_GB2312" w:cs="仿宋_GB2312"/>
          <w:szCs w:val="32"/>
          <w:highlight w:val="none"/>
        </w:rPr>
        <w:t>因供应的货物质量达不到标准而造成的食物中毒或其它后果，经卫生部门鉴定为乙方责任的，均由乙方负责）</w:t>
      </w:r>
      <w:r>
        <w:rPr>
          <w:rFonts w:hint="eastAsia" w:hAnsi="仿宋_GB2312" w:cs="仿宋_GB2312"/>
          <w:szCs w:val="32"/>
          <w:highlight w:val="none"/>
          <w:lang w:eastAsia="zh-CN"/>
        </w:rPr>
        <w:t>。</w:t>
      </w:r>
    </w:p>
    <w:p w14:paraId="1204EB72">
      <w:pPr>
        <w:pStyle w:val="14"/>
        <w:keepNext w:val="0"/>
        <w:keepLines w:val="0"/>
        <w:pageBreakBefore w:val="0"/>
        <w:widowControl w:val="0"/>
        <w:kinsoku/>
        <w:wordWrap/>
        <w:overflowPunct/>
        <w:topLinePunct w:val="0"/>
        <w:autoSpaceDE/>
        <w:autoSpaceDN/>
        <w:bidi w:val="0"/>
        <w:adjustRightInd/>
        <w:snapToGrid/>
        <w:spacing w:line="579" w:lineRule="exact"/>
        <w:ind w:firstLine="674"/>
        <w:textAlignment w:val="auto"/>
        <w:outlineLvl w:val="1"/>
        <w:rPr>
          <w:rFonts w:hint="eastAsia" w:ascii="黑体" w:hAnsi="黑体" w:eastAsia="黑体" w:cs="黑体"/>
          <w:bCs/>
          <w:kern w:val="2"/>
          <w:sz w:val="32"/>
          <w:szCs w:val="32"/>
          <w:highlight w:val="none"/>
          <w:lang w:val="en-US" w:eastAsia="zh-CN" w:bidi="ar-SA"/>
        </w:rPr>
      </w:pPr>
      <w:r>
        <w:rPr>
          <w:rFonts w:hint="eastAsia" w:ascii="黑体" w:hAnsi="黑体" w:eastAsia="黑体" w:cs="黑体"/>
          <w:bCs/>
          <w:kern w:val="2"/>
          <w:sz w:val="32"/>
          <w:szCs w:val="32"/>
          <w:highlight w:val="none"/>
          <w:lang w:val="en-US" w:eastAsia="zh-CN" w:bidi="ar-SA"/>
        </w:rPr>
        <w:t>四、数量需求</w:t>
      </w:r>
    </w:p>
    <w:p w14:paraId="6C3628A6">
      <w:pPr>
        <w:pStyle w:val="14"/>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hAnsi="仿宋_GB2312" w:cs="仿宋_GB2312"/>
          <w:szCs w:val="32"/>
          <w:highlight w:val="none"/>
          <w:lang w:eastAsia="zh-CN"/>
        </w:rPr>
      </w:pPr>
      <w:r>
        <w:rPr>
          <w:rFonts w:hint="eastAsia" w:hAnsi="仿宋_GB2312" w:cs="仿宋_GB2312"/>
          <w:szCs w:val="32"/>
          <w:highlight w:val="none"/>
          <w:lang w:eastAsia="zh-CN"/>
        </w:rPr>
        <w:t>乙方应保证斤、两的准确性，以甲方的验收数量为准。乙方每次随货送上一式两份的送货清单。甲方验货后，由甲方指定人员签字确认，甲乙双方各持一份。</w:t>
      </w:r>
    </w:p>
    <w:p w14:paraId="0F5B0390">
      <w:pPr>
        <w:pStyle w:val="14"/>
        <w:keepNext w:val="0"/>
        <w:keepLines w:val="0"/>
        <w:pageBreakBefore w:val="0"/>
        <w:widowControl w:val="0"/>
        <w:kinsoku/>
        <w:wordWrap/>
        <w:overflowPunct/>
        <w:topLinePunct w:val="0"/>
        <w:autoSpaceDE/>
        <w:autoSpaceDN/>
        <w:bidi w:val="0"/>
        <w:adjustRightInd/>
        <w:snapToGrid/>
        <w:spacing w:line="579" w:lineRule="exact"/>
        <w:ind w:firstLine="674"/>
        <w:textAlignment w:val="auto"/>
        <w:outlineLvl w:val="1"/>
        <w:rPr>
          <w:rFonts w:hint="eastAsia" w:ascii="黑体" w:hAnsi="黑体" w:eastAsia="黑体" w:cs="黑体"/>
          <w:bCs/>
          <w:kern w:val="2"/>
          <w:sz w:val="32"/>
          <w:szCs w:val="32"/>
          <w:highlight w:val="none"/>
          <w:lang w:val="en-US" w:eastAsia="zh-CN" w:bidi="ar-SA"/>
        </w:rPr>
      </w:pPr>
      <w:r>
        <w:rPr>
          <w:rFonts w:hint="eastAsia" w:ascii="黑体" w:hAnsi="黑体" w:eastAsia="黑体" w:cs="黑体"/>
          <w:szCs w:val="32"/>
          <w:highlight w:val="none"/>
          <w:lang w:val="en-US" w:eastAsia="zh-CN"/>
        </w:rPr>
        <w:t>五、服务需求</w:t>
      </w:r>
    </w:p>
    <w:p w14:paraId="5EB2F7E0">
      <w:pPr>
        <w:pStyle w:val="14"/>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hAnsi="仿宋_GB2312" w:cs="仿宋_GB2312"/>
          <w:szCs w:val="32"/>
          <w:highlight w:val="none"/>
          <w:lang w:eastAsia="zh-CN"/>
        </w:rPr>
      </w:pPr>
      <w:r>
        <w:rPr>
          <w:rFonts w:hint="eastAsia" w:hAnsi="仿宋_GB2312" w:cs="仿宋_GB2312"/>
          <w:szCs w:val="32"/>
          <w:highlight w:val="none"/>
          <w:lang w:val="en-US" w:eastAsia="zh-CN"/>
        </w:rPr>
        <w:t>1</w:t>
      </w:r>
      <w:r>
        <w:rPr>
          <w:rFonts w:hint="eastAsia" w:ascii="仿宋_GB2312" w:hAnsi="Times New Roman" w:eastAsia="仿宋_GB2312" w:cs="Times New Roman"/>
          <w:bCs/>
          <w:sz w:val="32"/>
          <w:szCs w:val="32"/>
          <w:highlight w:val="none"/>
          <w:lang w:val="en-US" w:eastAsia="zh-CN"/>
        </w:rPr>
        <w:t>.</w:t>
      </w:r>
      <w:r>
        <w:rPr>
          <w:rFonts w:hint="eastAsia" w:hAnsi="仿宋_GB2312" w:cs="仿宋_GB2312"/>
          <w:szCs w:val="32"/>
          <w:highlight w:val="none"/>
          <w:lang w:eastAsia="zh-CN"/>
        </w:rPr>
        <w:t>乙方应保证每天早上8:30前将甲方所订的货物送至甲方指定位置，若特殊情下迟到需提前电话通知甲方食堂负责人需迟到时间。若送菜时间迟到30分钟以上，甲方可扣取乙方当天菜款的1%作为违约金。（在不可抗拒因素情况下的情况下除外）。</w:t>
      </w:r>
    </w:p>
    <w:p w14:paraId="0C1DC32D">
      <w:pPr>
        <w:pStyle w:val="14"/>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hAnsi="仿宋_GB2312" w:cs="仿宋_GB2312"/>
          <w:szCs w:val="32"/>
          <w:highlight w:val="none"/>
          <w:lang w:eastAsia="zh-CN"/>
        </w:rPr>
      </w:pPr>
      <w:r>
        <w:rPr>
          <w:rFonts w:hint="eastAsia" w:hAnsi="仿宋_GB2312" w:cs="仿宋_GB2312"/>
          <w:szCs w:val="32"/>
          <w:highlight w:val="none"/>
          <w:lang w:val="en-US" w:eastAsia="zh-CN"/>
        </w:rPr>
        <w:t>2</w:t>
      </w:r>
      <w:r>
        <w:rPr>
          <w:rFonts w:hint="eastAsia" w:ascii="仿宋_GB2312" w:hAnsi="Times New Roman" w:eastAsia="仿宋_GB2312" w:cs="Times New Roman"/>
          <w:bCs/>
          <w:sz w:val="32"/>
          <w:szCs w:val="32"/>
          <w:highlight w:val="none"/>
          <w:lang w:val="en-US" w:eastAsia="zh-CN"/>
        </w:rPr>
        <w:t>.</w:t>
      </w:r>
      <w:r>
        <w:rPr>
          <w:rFonts w:hint="eastAsia" w:hAnsi="仿宋_GB2312" w:cs="仿宋_GB2312"/>
          <w:szCs w:val="32"/>
          <w:highlight w:val="none"/>
          <w:lang w:eastAsia="zh-CN"/>
        </w:rPr>
        <w:t>乙方装货物用的设备（如：筐、豆腐板、桶）是要进行回收的，甲方有责任对其进行保管。如因甲方保管不善或人为故意导致设备丢失，乙方有权要求甲方进行相应赔偿。</w:t>
      </w:r>
    </w:p>
    <w:p w14:paraId="52E9EC3B">
      <w:pPr>
        <w:pStyle w:val="14"/>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hAnsi="仿宋_GB2312" w:cs="仿宋_GB2312"/>
          <w:szCs w:val="32"/>
          <w:highlight w:val="none"/>
          <w:lang w:eastAsia="zh-CN"/>
        </w:rPr>
      </w:pPr>
      <w:r>
        <w:rPr>
          <w:rFonts w:hint="eastAsia" w:hAnsi="仿宋_GB2312" w:cs="仿宋_GB2312"/>
          <w:szCs w:val="32"/>
          <w:highlight w:val="none"/>
          <w:lang w:val="en-US" w:eastAsia="zh-CN"/>
        </w:rPr>
        <w:t>3</w:t>
      </w:r>
      <w:r>
        <w:rPr>
          <w:rFonts w:hint="eastAsia" w:ascii="仿宋_GB2312" w:hAnsi="Times New Roman" w:eastAsia="仿宋_GB2312" w:cs="Times New Roman"/>
          <w:bCs/>
          <w:sz w:val="32"/>
          <w:szCs w:val="32"/>
          <w:highlight w:val="none"/>
          <w:lang w:val="en-US" w:eastAsia="zh-CN"/>
        </w:rPr>
        <w:t>.</w:t>
      </w:r>
      <w:r>
        <w:rPr>
          <w:rFonts w:hint="eastAsia" w:hAnsi="仿宋_GB2312" w:cs="仿宋_GB2312"/>
          <w:szCs w:val="32"/>
          <w:highlight w:val="none"/>
          <w:lang w:eastAsia="zh-CN"/>
        </w:rPr>
        <w:t>乙方向甲方提供各类品种的价格表，原则上每隔30天左右调整一次，菜价以甲乙双方认可后不得擅自变动价格。如果由于台风暴雨等原因，个别品种价格需临时调整，乙方应提前书面通知甲方，征得甲方同意后，方可调整。</w:t>
      </w:r>
    </w:p>
    <w:p w14:paraId="2B4056E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六、双方权利与义务</w:t>
      </w:r>
    </w:p>
    <w:p w14:paraId="534068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Times New Roman" w:eastAsia="仿宋_GB2312" w:cs="Times New Roman"/>
          <w:bCs/>
          <w:sz w:val="32"/>
          <w:szCs w:val="32"/>
          <w:highlight w:val="none"/>
          <w:lang w:val="en-US" w:eastAsia="zh-CN"/>
        </w:rPr>
        <w:t>.</w:t>
      </w:r>
      <w:r>
        <w:rPr>
          <w:rFonts w:hint="eastAsia" w:ascii="仿宋_GB2312" w:hAnsi="仿宋_GB2312" w:eastAsia="仿宋_GB2312" w:cs="仿宋_GB2312"/>
          <w:sz w:val="32"/>
          <w:szCs w:val="32"/>
        </w:rPr>
        <w:t>甲方对乙方送菜的任何意见，可随时向乙方反映，乙方应及时改进调整，否则，甲方有权中断与乙方的合作，乙方如要终止与甲方的合作需提前15天通知甲方</w:t>
      </w:r>
      <w:r>
        <w:rPr>
          <w:rFonts w:hint="eastAsia" w:ascii="仿宋_GB2312" w:hAnsi="仿宋_GB2312" w:eastAsia="仿宋_GB2312" w:cs="仿宋_GB2312"/>
          <w:sz w:val="32"/>
          <w:szCs w:val="32"/>
          <w:lang w:eastAsia="zh-CN"/>
        </w:rPr>
        <w:t>。</w:t>
      </w:r>
    </w:p>
    <w:p w14:paraId="2D3182D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Times New Roman" w:eastAsia="仿宋_GB2312" w:cs="Times New Roman"/>
          <w:bCs/>
          <w:sz w:val="32"/>
          <w:szCs w:val="32"/>
          <w:highlight w:val="none"/>
          <w:lang w:val="en-US" w:eastAsia="zh-CN"/>
        </w:rPr>
        <w:t>.</w:t>
      </w:r>
      <w:r>
        <w:rPr>
          <w:rFonts w:hint="eastAsia" w:ascii="仿宋_GB2312" w:hAnsi="仿宋_GB2312" w:eastAsia="仿宋_GB2312" w:cs="仿宋_GB2312"/>
          <w:sz w:val="32"/>
          <w:szCs w:val="32"/>
        </w:rPr>
        <w:t>对于食品质量达不到要求的品种，甲方有权要求退换货，乙方应保证在甲方指定的时间内退换及送达</w:t>
      </w:r>
      <w:r>
        <w:rPr>
          <w:rFonts w:hint="eastAsia" w:ascii="仿宋_GB2312" w:hAnsi="仿宋_GB2312" w:eastAsia="仿宋_GB2312" w:cs="仿宋_GB2312"/>
          <w:sz w:val="32"/>
          <w:szCs w:val="32"/>
          <w:lang w:eastAsia="zh-CN"/>
        </w:rPr>
        <w:t>。</w:t>
      </w:r>
    </w:p>
    <w:p w14:paraId="0DA248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Times New Roman" w:eastAsia="仿宋_GB2312" w:cs="Times New Roman"/>
          <w:bCs/>
          <w:sz w:val="32"/>
          <w:szCs w:val="32"/>
          <w:highlight w:val="none"/>
          <w:lang w:val="en-US" w:eastAsia="zh-CN"/>
        </w:rPr>
        <w:t>.</w:t>
      </w:r>
      <w:r>
        <w:rPr>
          <w:rFonts w:hint="eastAsia" w:ascii="仿宋_GB2312" w:hAnsi="仿宋_GB2312" w:eastAsia="仿宋_GB2312" w:cs="仿宋_GB2312"/>
          <w:sz w:val="32"/>
          <w:szCs w:val="32"/>
        </w:rPr>
        <w:t>根据政府合同的相关要求，甲方享有基于公共利益需要或维护法定权益需要可单方变更、终止合同的权利</w:t>
      </w:r>
      <w:r>
        <w:rPr>
          <w:rFonts w:hint="eastAsia" w:ascii="仿宋_GB2312" w:hAnsi="仿宋_GB2312" w:eastAsia="仿宋_GB2312" w:cs="仿宋_GB2312"/>
          <w:sz w:val="32"/>
          <w:szCs w:val="32"/>
          <w:lang w:eastAsia="zh-CN"/>
        </w:rPr>
        <w:t>。</w:t>
      </w:r>
    </w:p>
    <w:p w14:paraId="0B58FA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Times New Roman" w:eastAsia="仿宋_GB2312" w:cs="Times New Roman"/>
          <w:bCs/>
          <w:sz w:val="32"/>
          <w:szCs w:val="32"/>
          <w:highlight w:val="none"/>
          <w:lang w:val="en-US" w:eastAsia="zh-CN"/>
        </w:rPr>
        <w:t>.</w:t>
      </w:r>
      <w:r>
        <w:rPr>
          <w:rFonts w:hint="eastAsia" w:ascii="仿宋_GB2312" w:hAnsi="仿宋_GB2312" w:eastAsia="仿宋_GB2312" w:cs="仿宋_GB2312"/>
          <w:sz w:val="32"/>
          <w:szCs w:val="32"/>
        </w:rPr>
        <w:t>乙方不得配送假冒、变质、过期的货物，不得弄虚作假，以次充好。若发现乙方提供的食材不符合合同约定及采购文件规定的质量要求的，甲方有权要求对该一种或多种出问题的食材进行退货或换货</w:t>
      </w:r>
      <w:r>
        <w:rPr>
          <w:rFonts w:hint="eastAsia" w:ascii="仿宋_GB2312" w:hAnsi="仿宋_GB2312" w:eastAsia="仿宋_GB2312" w:cs="仿宋_GB2312"/>
          <w:sz w:val="32"/>
          <w:szCs w:val="32"/>
          <w:lang w:eastAsia="zh-CN"/>
        </w:rPr>
        <w:t>。</w:t>
      </w:r>
    </w:p>
    <w:p w14:paraId="1F7DEA9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Times New Roman" w:eastAsia="仿宋_GB2312" w:cs="Times New Roman"/>
          <w:bCs/>
          <w:sz w:val="32"/>
          <w:szCs w:val="32"/>
          <w:highlight w:val="none"/>
          <w:lang w:val="en-US" w:eastAsia="zh-CN"/>
        </w:rPr>
        <w:t>.</w:t>
      </w:r>
      <w:r>
        <w:rPr>
          <w:rFonts w:hint="eastAsia" w:ascii="仿宋_GB2312" w:hAnsi="仿宋_GB2312" w:eastAsia="仿宋_GB2312" w:cs="仿宋_GB2312"/>
          <w:sz w:val="32"/>
          <w:szCs w:val="32"/>
        </w:rPr>
        <w:t>乙方承诺管理好己方的员工，并自行负责送货人员合同履行期间因违法违规行为造成的一切法律后果</w:t>
      </w:r>
      <w:r>
        <w:rPr>
          <w:rFonts w:hint="eastAsia" w:ascii="仿宋_GB2312" w:hAnsi="仿宋_GB2312" w:eastAsia="仿宋_GB2312" w:cs="仿宋_GB2312"/>
          <w:sz w:val="32"/>
          <w:szCs w:val="32"/>
          <w:lang w:eastAsia="zh-CN"/>
        </w:rPr>
        <w:t>。</w:t>
      </w:r>
    </w:p>
    <w:p w14:paraId="4CBE89C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Times New Roman" w:eastAsia="仿宋_GB2312" w:cs="Times New Roman"/>
          <w:bCs/>
          <w:sz w:val="32"/>
          <w:szCs w:val="32"/>
          <w:highlight w:val="none"/>
          <w:lang w:val="en-US" w:eastAsia="zh-CN"/>
        </w:rPr>
        <w:t>.</w:t>
      </w:r>
      <w:r>
        <w:rPr>
          <w:rFonts w:hint="eastAsia" w:ascii="仿宋_GB2312" w:hAnsi="仿宋_GB2312" w:eastAsia="仿宋_GB2312" w:cs="仿宋_GB2312"/>
          <w:sz w:val="32"/>
          <w:szCs w:val="32"/>
        </w:rPr>
        <w:t>乙方对甲方提供的资料负有保密义务。若乙方将履行合同过程中获得的政府、公民个人等各种信息和资料对外传播、发布或提供给其他任何单位和个人的，甲方有权直接解除合同。保密期限为永久，不论本合同是否变更、解除或终止，该保密条款不受限制并持续有效。</w:t>
      </w:r>
    </w:p>
    <w:p w14:paraId="456588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七、违约责任</w:t>
      </w:r>
    </w:p>
    <w:p w14:paraId="466F3E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Times New Roman" w:eastAsia="仿宋_GB2312" w:cs="Times New Roman"/>
          <w:bCs/>
          <w:sz w:val="32"/>
          <w:szCs w:val="32"/>
          <w:highlight w:val="none"/>
          <w:lang w:val="en-US" w:eastAsia="zh-CN"/>
        </w:rPr>
        <w:t>.</w:t>
      </w:r>
      <w:r>
        <w:rPr>
          <w:rFonts w:hint="eastAsia" w:ascii="仿宋_GB2312" w:hAnsi="仿宋_GB2312" w:eastAsia="仿宋_GB2312" w:cs="仿宋_GB2312"/>
          <w:sz w:val="32"/>
          <w:szCs w:val="32"/>
        </w:rPr>
        <w:t>乙方必须按甲方的订单要求将货物及时送至甲方指定地点，如送货迟到超过</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分钟，由甲方收取当天款项</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%的违约金。如送货车辆发生交通事故或车辆故障等意外事故，应在一小时内提供同档次运货车辆代为运输，并将事故情况及时告知甲方。若乙方无正当理由延迟送货超过</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次的，甲方有权解除合同，并要求乙方承担已结算合同价款</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%的违约金</w:t>
      </w:r>
      <w:r>
        <w:rPr>
          <w:rFonts w:hint="eastAsia" w:ascii="仿宋_GB2312" w:hAnsi="仿宋_GB2312" w:eastAsia="仿宋_GB2312" w:cs="仿宋_GB2312"/>
          <w:sz w:val="32"/>
          <w:szCs w:val="32"/>
          <w:lang w:eastAsia="zh-CN"/>
        </w:rPr>
        <w:t>。</w:t>
      </w:r>
    </w:p>
    <w:p w14:paraId="7938BC3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Times New Roman" w:eastAsia="仿宋_GB2312" w:cs="Times New Roman"/>
          <w:bCs/>
          <w:sz w:val="32"/>
          <w:szCs w:val="32"/>
          <w:highlight w:val="none"/>
          <w:lang w:val="en-US" w:eastAsia="zh-CN"/>
        </w:rPr>
        <w:t>.</w:t>
      </w:r>
      <w:r>
        <w:rPr>
          <w:rFonts w:hint="eastAsia" w:ascii="仿宋_GB2312" w:hAnsi="仿宋_GB2312" w:eastAsia="仿宋_GB2312" w:cs="仿宋_GB2312"/>
          <w:sz w:val="32"/>
          <w:szCs w:val="32"/>
        </w:rPr>
        <w:t>甲方在验收乙方当日配送的货物时，若发现货物质量问题，或品种、数量与合同不符的，有权按当日送货总量价款的</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%作为违约金。当月内超过</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次的，甲方有权解除合同，并要求乙方承担已结算合同价款</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%的违约金</w:t>
      </w:r>
      <w:r>
        <w:rPr>
          <w:rFonts w:hint="eastAsia" w:ascii="仿宋_GB2312" w:hAnsi="仿宋_GB2312" w:eastAsia="仿宋_GB2312" w:cs="仿宋_GB2312"/>
          <w:sz w:val="32"/>
          <w:szCs w:val="32"/>
          <w:lang w:eastAsia="zh-CN"/>
        </w:rPr>
        <w:t>。</w:t>
      </w:r>
    </w:p>
    <w:p w14:paraId="2A05F69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Times New Roman" w:eastAsia="仿宋_GB2312" w:cs="Times New Roman"/>
          <w:bCs/>
          <w:sz w:val="32"/>
          <w:szCs w:val="32"/>
          <w:highlight w:val="none"/>
          <w:lang w:val="en-US" w:eastAsia="zh-CN"/>
        </w:rPr>
        <w:t>.</w:t>
      </w:r>
      <w:r>
        <w:rPr>
          <w:rFonts w:hint="eastAsia" w:ascii="仿宋_GB2312" w:hAnsi="仿宋_GB2312" w:eastAsia="仿宋_GB2312" w:cs="仿宋_GB2312"/>
          <w:sz w:val="32"/>
          <w:szCs w:val="32"/>
        </w:rPr>
        <w:t>若因乙方采购配送的食材卫生质量不达标，导致甲方就餐人员发生食品安全事故的，乙方应对安全事故承担所有赔偿责任，甲方有权解除合同，并要求乙方向甲方支付已结算合同总额</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%的违约金</w:t>
      </w:r>
      <w:r>
        <w:rPr>
          <w:rFonts w:hint="eastAsia" w:ascii="仿宋_GB2312" w:hAnsi="仿宋_GB2312" w:eastAsia="仿宋_GB2312" w:cs="仿宋_GB2312"/>
          <w:sz w:val="32"/>
          <w:szCs w:val="32"/>
          <w:lang w:eastAsia="zh-CN"/>
        </w:rPr>
        <w:t>。</w:t>
      </w:r>
    </w:p>
    <w:p w14:paraId="31E8CE5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Times New Roman" w:eastAsia="仿宋_GB2312" w:cs="Times New Roman"/>
          <w:bCs/>
          <w:sz w:val="32"/>
          <w:szCs w:val="32"/>
          <w:highlight w:val="none"/>
          <w:lang w:val="en-US" w:eastAsia="zh-CN"/>
        </w:rPr>
        <w:t>.</w:t>
      </w:r>
      <w:r>
        <w:rPr>
          <w:rFonts w:hint="eastAsia" w:ascii="仿宋_GB2312" w:hAnsi="仿宋_GB2312" w:eastAsia="仿宋_GB2312" w:cs="仿宋_GB2312"/>
          <w:sz w:val="32"/>
          <w:szCs w:val="32"/>
        </w:rPr>
        <w:t>未经甲方同意，乙方擅自将合同义务的全部或者部分转让给第三人，甲方有权要求乙方按已结算合同价款</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%支付违约金，并有权解除合同</w:t>
      </w:r>
      <w:r>
        <w:rPr>
          <w:rFonts w:hint="eastAsia" w:ascii="仿宋_GB2312" w:hAnsi="仿宋_GB2312" w:eastAsia="仿宋_GB2312" w:cs="仿宋_GB2312"/>
          <w:sz w:val="32"/>
          <w:szCs w:val="32"/>
          <w:lang w:eastAsia="zh-CN"/>
        </w:rPr>
        <w:t>。</w:t>
      </w:r>
    </w:p>
    <w:p w14:paraId="428E6D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Times New Roman" w:eastAsia="仿宋_GB2312" w:cs="Times New Roman"/>
          <w:bCs/>
          <w:sz w:val="32"/>
          <w:szCs w:val="32"/>
          <w:highlight w:val="none"/>
          <w:lang w:val="en-US" w:eastAsia="zh-CN"/>
        </w:rPr>
        <w:t>.</w:t>
      </w:r>
      <w:r>
        <w:rPr>
          <w:rFonts w:hint="eastAsia" w:ascii="仿宋_GB2312" w:hAnsi="仿宋_GB2312" w:eastAsia="仿宋_GB2312" w:cs="仿宋_GB2312"/>
          <w:sz w:val="32"/>
          <w:szCs w:val="32"/>
        </w:rPr>
        <w:t>乙方违反本合同约定的保密义务，甲方有权要求乙方承担已结算合同价款</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%的违约金；造成不良影响或对甲方造成损失的，甲方有权要求乙方消除影响，承担赔偿责任，并有权解除合同。</w:t>
      </w:r>
    </w:p>
    <w:p w14:paraId="1DF3AD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八、验收要求</w:t>
      </w:r>
    </w:p>
    <w:p w14:paraId="1F466398">
      <w:pPr>
        <w:pStyle w:val="13"/>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rPr>
      </w:pPr>
      <w:r>
        <w:rPr>
          <w:rFonts w:hint="eastAsia" w:ascii="仿宋_GB2312" w:hAnsi="Times New Roman" w:eastAsia="仿宋_GB2312" w:cs="Times New Roman"/>
          <w:bCs/>
          <w:sz w:val="32"/>
          <w:szCs w:val="32"/>
          <w:highlight w:val="none"/>
        </w:rPr>
        <w:t>项目服务期到期后，将按照合同约定的服务内容对供应商的服务进行逐项验收。项目验收后，双方共同签署验收报告，验收报告内容包括每一项服务标准的验收情况及项目总体评价，验收报告将作为</w:t>
      </w:r>
      <w:r>
        <w:rPr>
          <w:rFonts w:hint="eastAsia" w:ascii="仿宋_GB2312" w:hAnsi="Times New Roman" w:eastAsia="仿宋_GB2312" w:cs="Times New Roman"/>
          <w:bCs/>
          <w:sz w:val="32"/>
          <w:szCs w:val="32"/>
          <w:highlight w:val="none"/>
          <w:lang w:val="en-US" w:eastAsia="zh-CN"/>
        </w:rPr>
        <w:t>最后一个月费用</w:t>
      </w:r>
      <w:r>
        <w:rPr>
          <w:rFonts w:hint="eastAsia" w:ascii="仿宋_GB2312" w:hAnsi="Times New Roman" w:eastAsia="仿宋_GB2312" w:cs="Times New Roman"/>
          <w:bCs/>
          <w:sz w:val="32"/>
          <w:szCs w:val="32"/>
          <w:highlight w:val="none"/>
        </w:rPr>
        <w:t>支付的重要依据。</w:t>
      </w:r>
    </w:p>
    <w:p w14:paraId="7AAD0BE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九、不可抗力</w:t>
      </w:r>
    </w:p>
    <w:p w14:paraId="6545CC6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Times New Roman" w:eastAsia="仿宋_GB2312" w:cs="Times New Roman"/>
          <w:bCs/>
          <w:sz w:val="32"/>
          <w:szCs w:val="32"/>
          <w:highlight w:val="none"/>
          <w:lang w:val="en-US" w:eastAsia="zh-CN"/>
        </w:rPr>
        <w:t>.</w:t>
      </w:r>
      <w:r>
        <w:rPr>
          <w:rFonts w:hint="eastAsia" w:ascii="仿宋_GB2312" w:hAnsi="仿宋_GB2312" w:eastAsia="仿宋_GB2312" w:cs="仿宋_GB2312"/>
          <w:sz w:val="32"/>
          <w:szCs w:val="32"/>
          <w:lang w:eastAsia="zh-CN"/>
        </w:rPr>
        <w:t>双方签订</w:t>
      </w:r>
      <w:r>
        <w:rPr>
          <w:rFonts w:hint="eastAsia" w:ascii="仿宋_GB2312" w:hAnsi="仿宋_GB2312" w:eastAsia="仿宋_GB2312" w:cs="仿宋_GB2312"/>
          <w:sz w:val="32"/>
          <w:szCs w:val="32"/>
        </w:rPr>
        <w:t>合同中，不可抗力是指不能预见、不能避免且不能克服的客观情况，包括：战争、火灾、洪水、台风、地震、政策变化或其他人力不可抗拒之事件。如果任何一方遭遇法律规定的不可抗力，致使合同履行受阻时，履行合同的期限应予延长，延长的期限应相当于不可抗力所影响的时间</w:t>
      </w:r>
      <w:r>
        <w:rPr>
          <w:rFonts w:hint="eastAsia" w:ascii="仿宋_GB2312" w:hAnsi="仿宋_GB2312" w:eastAsia="仿宋_GB2312" w:cs="仿宋_GB2312"/>
          <w:sz w:val="32"/>
          <w:szCs w:val="32"/>
          <w:lang w:eastAsia="zh-CN"/>
        </w:rPr>
        <w:t>。</w:t>
      </w:r>
    </w:p>
    <w:p w14:paraId="36244CD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Times New Roman" w:eastAsia="仿宋_GB2312" w:cs="Times New Roman"/>
          <w:bCs/>
          <w:sz w:val="32"/>
          <w:szCs w:val="32"/>
          <w:highlight w:val="none"/>
          <w:lang w:val="en-US" w:eastAsia="zh-CN"/>
        </w:rPr>
        <w:t>.</w:t>
      </w:r>
      <w:r>
        <w:rPr>
          <w:rFonts w:hint="eastAsia" w:ascii="仿宋_GB2312" w:hAnsi="仿宋_GB2312" w:eastAsia="仿宋_GB2312" w:cs="仿宋_GB2312"/>
          <w:sz w:val="32"/>
          <w:szCs w:val="32"/>
        </w:rPr>
        <w:t>因不可抗力导致的任何一方违约，违约方无需承担责任，但应及时通知对方，如有关部门出具证明文件的，应当及时送达对方当事人</w:t>
      </w:r>
      <w:r>
        <w:rPr>
          <w:rFonts w:hint="eastAsia" w:ascii="仿宋_GB2312" w:hAnsi="仿宋_GB2312" w:eastAsia="仿宋_GB2312" w:cs="仿宋_GB2312"/>
          <w:sz w:val="32"/>
          <w:szCs w:val="32"/>
          <w:lang w:eastAsia="zh-CN"/>
        </w:rPr>
        <w:t>。</w:t>
      </w:r>
    </w:p>
    <w:p w14:paraId="27E9C52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Times New Roman" w:eastAsia="仿宋_GB2312" w:cs="Times New Roman"/>
          <w:bCs/>
          <w:sz w:val="32"/>
          <w:szCs w:val="32"/>
          <w:highlight w:val="none"/>
          <w:lang w:val="en-US" w:eastAsia="zh-CN"/>
        </w:rPr>
        <w:t>.</w:t>
      </w:r>
      <w:r>
        <w:rPr>
          <w:rFonts w:hint="eastAsia" w:ascii="仿宋_GB2312" w:hAnsi="仿宋_GB2312" w:eastAsia="仿宋_GB2312" w:cs="仿宋_GB2312"/>
          <w:sz w:val="32"/>
          <w:szCs w:val="32"/>
        </w:rPr>
        <w:t>因不可抗力致使不能实现合同目的的，当事人可以解除合同。</w:t>
      </w:r>
    </w:p>
    <w:p w14:paraId="39F1D82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十、争议处理</w:t>
      </w:r>
    </w:p>
    <w:p w14:paraId="250ECC9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在合同执行中如有争议，双方本着友好合作的精神协商解决，协商不成的，可提请深圳市福田区人民法院裁决。</w:t>
      </w:r>
    </w:p>
    <w:p w14:paraId="2CC5967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十一、供应商资格要求</w:t>
      </w:r>
    </w:p>
    <w:p w14:paraId="592B6785">
      <w:pPr>
        <w:pStyle w:val="1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1.响应供应商须为具有独立承担民事责任能力的法人或非法人组织（独立法人提供营业执照扫描件或复印件；非法人组织则提供主管部门颁发或批准成立的证书或其他证明文件扫描件或复印件）</w:t>
      </w:r>
      <w:r>
        <w:rPr>
          <w:rFonts w:hint="eastAsia" w:ascii="仿宋_GB2312" w:hAnsi="仿宋_GB2312" w:eastAsia="仿宋_GB2312" w:cs="仿宋_GB2312"/>
          <w:sz w:val="32"/>
          <w:szCs w:val="32"/>
          <w:lang w:eastAsia="zh-CN"/>
        </w:rPr>
        <w:t>。</w:t>
      </w:r>
    </w:p>
    <w:p w14:paraId="366B444F">
      <w:pPr>
        <w:pStyle w:val="13"/>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2.满足《中华人民共和国政府采购法》第二十二条规定</w:t>
      </w:r>
      <w:r>
        <w:rPr>
          <w:rFonts w:hint="eastAsia" w:ascii="仿宋_GB2312" w:hAnsi="仿宋_GB2312" w:eastAsia="仿宋_GB2312" w:cs="仿宋_GB2312"/>
          <w:sz w:val="32"/>
          <w:szCs w:val="32"/>
          <w:lang w:eastAsia="zh-CN"/>
        </w:rPr>
        <w:t>。</w:t>
      </w:r>
    </w:p>
    <w:p w14:paraId="1A7F9D5B">
      <w:pPr>
        <w:pStyle w:val="13"/>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3.单位负责人为同一人或者存在直接控股、管理关系的不同供应商，不得参加同一合同项下的政府采购活动</w:t>
      </w:r>
      <w:r>
        <w:rPr>
          <w:rFonts w:hint="eastAsia" w:ascii="仿宋_GB2312" w:hAnsi="仿宋_GB2312" w:eastAsia="仿宋_GB2312" w:cs="仿宋_GB2312"/>
          <w:sz w:val="32"/>
          <w:szCs w:val="32"/>
          <w:lang w:eastAsia="zh-CN"/>
        </w:rPr>
        <w:t>。</w:t>
      </w:r>
    </w:p>
    <w:p w14:paraId="27F9A7DD">
      <w:pPr>
        <w:pStyle w:val="13"/>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4.本项目不接受联合体投标，不允许分包转包，不接受供应商采用进口产品参与投标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spacing w:val="0"/>
          <w:sz w:val="32"/>
          <w:szCs w:val="32"/>
          <w:shd w:val="clear" w:color="auto" w:fill="auto"/>
        </w:rPr>
        <w:t>提供承诺函加盖公章，格式自拟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680837D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持有有效的《食品生产许可证》或《食品经营许可证》，并与其供应的食品相符合。（提供《食品生产许可证》或《食品经营许可证</w:t>
      </w:r>
      <w:r>
        <w:rPr>
          <w:rFonts w:hint="eastAsia" w:ascii="仿宋_GB2312" w:hAnsi="仿宋_GB2312" w:eastAsia="仿宋_GB2312" w:cs="仿宋_GB2312"/>
          <w:sz w:val="32"/>
          <w:szCs w:val="32"/>
          <w:lang w:eastAsia="zh-CN"/>
        </w:rPr>
        <w:t>》）。</w:t>
      </w:r>
    </w:p>
    <w:p w14:paraId="1F0FA5A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kern w:val="2"/>
          <w:sz w:val="32"/>
          <w:szCs w:val="32"/>
          <w:highlight w:val="none"/>
          <w:lang w:val="en-US" w:eastAsia="zh-CN" w:bidi="ar-SA"/>
        </w:rPr>
      </w:pPr>
      <w:bookmarkStart w:id="0" w:name="_Toc30484"/>
      <w:r>
        <w:rPr>
          <w:rFonts w:hint="eastAsia" w:ascii="黑体" w:hAnsi="黑体" w:eastAsia="黑体" w:cs="黑体"/>
          <w:kern w:val="2"/>
          <w:sz w:val="32"/>
          <w:szCs w:val="32"/>
          <w:highlight w:val="none"/>
          <w:lang w:val="en-US" w:eastAsia="zh-CN" w:bidi="ar-SA"/>
        </w:rPr>
        <w:t>十二、评标信息</w:t>
      </w:r>
      <w:bookmarkEnd w:id="0"/>
    </w:p>
    <w:p w14:paraId="30D51FC1">
      <w:pPr>
        <w:keepNext w:val="0"/>
        <w:keepLines w:val="0"/>
        <w:pageBreakBefore w:val="0"/>
        <w:kinsoku/>
        <w:overflowPunct/>
        <w:topLinePunct w:val="0"/>
        <w:bidi w:val="0"/>
        <w:spacing w:line="579"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本次评标采用综合评分法，按照招标文件中规定的各项因素进行量化打分，以评标总得分最高的供应商为中标候选供应商。</w:t>
      </w:r>
    </w:p>
    <w:p w14:paraId="6B265292">
      <w:pPr>
        <w:keepNext w:val="0"/>
        <w:keepLines w:val="0"/>
        <w:pageBreakBefore w:val="0"/>
        <w:kinsoku/>
        <w:overflowPunct/>
        <w:topLinePunct w:val="0"/>
        <w:bidi w:val="0"/>
        <w:spacing w:line="579"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确定中标供应商按评审后得分由高到低顺序排序。得分排名前3名的供应商作为中标候选人。得分相同的，按投标报价由低到高排列。得分且投标报价相同的，按技术指标优劣顺序排列。综合得分、投标报价及技术得分均相同的，评标委员会成员通过表决以少数服从多数原则，决定列前中标候选人。</w:t>
      </w:r>
    </w:p>
    <w:p w14:paraId="6E8F89E1">
      <w:pPr>
        <w:pStyle w:val="2"/>
        <w:keepNext w:val="0"/>
        <w:keepLines w:val="0"/>
        <w:pageBreakBefore w:val="0"/>
        <w:tabs>
          <w:tab w:val="left" w:pos="562"/>
          <w:tab w:val="left" w:pos="3372"/>
          <w:tab w:val="left" w:pos="3653"/>
        </w:tabs>
        <w:kinsoku/>
        <w:overflowPunct/>
        <w:topLinePunct w:val="0"/>
        <w:bidi w:val="0"/>
        <w:spacing w:line="579"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价格分应当采用低价优先法计算，即满足招标文件要求且投标价格最低的投标报价为评标基准价，其价格分为满分。其他投标人的价格分统一按照下列公式计算：</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投标报价得分=(评标基准价/投标报价)×100</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评标总得分=F1×A1+F2×A2+……+Fn×An</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F1、F2……Fn分别为各项评审因素的得分；</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A1、A2、……An 分别为各项评审因素所占的权重(A1+A2+……+An=1)。</w:t>
      </w:r>
    </w:p>
    <w:p w14:paraId="5282F2C4">
      <w:pPr>
        <w:keepNext w:val="0"/>
        <w:keepLines w:val="0"/>
        <w:pageBreakBefore w:val="0"/>
        <w:kinsoku/>
        <w:overflowPunct/>
        <w:topLinePunct w:val="0"/>
        <w:bidi w:val="0"/>
        <w:spacing w:line="579"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评标委员会对每个通过资格性检查和符合性检查且报价不超过预算控制金额的投标供应商进行评审、打分，然后汇总每个投标供应商每项评分因素的评分，得分精确到小数点后两位（四舍五入）。</w:t>
      </w:r>
    </w:p>
    <w:p w14:paraId="3481A9A2">
      <w:pPr>
        <w:keepNext w:val="0"/>
        <w:keepLines w:val="0"/>
        <w:pageBreakBefore w:val="0"/>
        <w:kinsoku/>
        <w:overflowPunct/>
        <w:topLinePunct w:val="0"/>
        <w:bidi w:val="0"/>
        <w:spacing w:line="579"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评委会在评标时，按照以下量化的评审因素，对进入该阶段评审的各投标文件进行分析和比较：</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993"/>
        <w:gridCol w:w="5997"/>
      </w:tblGrid>
      <w:tr w14:paraId="5A05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90" w:type="pct"/>
            <w:gridSpan w:val="2"/>
            <w:noWrap w:val="0"/>
            <w:vAlign w:val="center"/>
          </w:tcPr>
          <w:p w14:paraId="0791CDF6">
            <w:pPr>
              <w:keepNext w:val="0"/>
              <w:keepLines w:val="0"/>
              <w:pageBreakBefore w:val="0"/>
              <w:kinsoku/>
              <w:overflowPunct/>
              <w:topLinePunct w:val="0"/>
              <w:bidi w:val="0"/>
              <w:spacing w:beforeLines="0" w:afterLines="0" w:line="579" w:lineRule="exact"/>
              <w:jc w:val="center"/>
              <w:rPr>
                <w:rFonts w:ascii="黑体" w:hAnsi="黑体" w:eastAsia="黑体" w:cs="黑体"/>
                <w:color w:val="auto"/>
                <w:sz w:val="24"/>
                <w:szCs w:val="24"/>
              </w:rPr>
            </w:pPr>
            <w:r>
              <w:rPr>
                <w:rFonts w:hint="eastAsia" w:ascii="黑体" w:hAnsi="黑体" w:eastAsia="黑体" w:cs="黑体"/>
                <w:color w:val="auto"/>
                <w:sz w:val="24"/>
                <w:szCs w:val="24"/>
              </w:rPr>
              <w:t>项目名称</w:t>
            </w:r>
          </w:p>
        </w:tc>
        <w:tc>
          <w:tcPr>
            <w:tcW w:w="3309" w:type="pct"/>
            <w:noWrap w:val="0"/>
            <w:vAlign w:val="center"/>
          </w:tcPr>
          <w:p w14:paraId="136E8D5D">
            <w:pPr>
              <w:keepNext w:val="0"/>
              <w:keepLines w:val="0"/>
              <w:pageBreakBefore w:val="0"/>
              <w:kinsoku/>
              <w:overflowPunct/>
              <w:topLinePunct w:val="0"/>
              <w:bidi w:val="0"/>
              <w:spacing w:beforeLines="0" w:afterLines="0" w:line="579" w:lineRule="exact"/>
              <w:jc w:val="center"/>
              <w:rPr>
                <w:rFonts w:ascii="黑体" w:hAnsi="黑体" w:eastAsia="黑体" w:cs="黑体"/>
                <w:color w:val="auto"/>
                <w:sz w:val="24"/>
                <w:szCs w:val="24"/>
              </w:rPr>
            </w:pPr>
            <w:r>
              <w:rPr>
                <w:rFonts w:hint="eastAsia" w:ascii="黑体" w:hAnsi="黑体" w:eastAsia="黑体" w:cs="黑体"/>
                <w:color w:val="auto"/>
                <w:sz w:val="24"/>
                <w:szCs w:val="24"/>
                <w:lang w:val="en-US" w:eastAsia="zh-CN"/>
              </w:rPr>
              <w:t>2026年沙头街道下沙社区饭堂食材采购项目</w:t>
            </w:r>
          </w:p>
        </w:tc>
      </w:tr>
      <w:tr w14:paraId="5831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90" w:type="pct"/>
            <w:gridSpan w:val="2"/>
            <w:noWrap w:val="0"/>
            <w:vAlign w:val="center"/>
          </w:tcPr>
          <w:p w14:paraId="523DC27E">
            <w:pPr>
              <w:keepNext w:val="0"/>
              <w:keepLines w:val="0"/>
              <w:pageBreakBefore w:val="0"/>
              <w:kinsoku/>
              <w:overflowPunct/>
              <w:topLinePunct w:val="0"/>
              <w:bidi w:val="0"/>
              <w:spacing w:beforeLines="0" w:afterLines="0" w:line="579" w:lineRule="exact"/>
              <w:jc w:val="center"/>
              <w:rPr>
                <w:rFonts w:ascii="黑体" w:hAnsi="黑体" w:eastAsia="黑体" w:cs="黑体"/>
                <w:color w:val="auto"/>
                <w:sz w:val="24"/>
                <w:szCs w:val="24"/>
              </w:rPr>
            </w:pPr>
            <w:r>
              <w:rPr>
                <w:rFonts w:hint="eastAsia" w:ascii="黑体" w:hAnsi="黑体" w:eastAsia="黑体" w:cs="黑体"/>
                <w:color w:val="auto"/>
                <w:sz w:val="24"/>
                <w:szCs w:val="24"/>
              </w:rPr>
              <w:t>评判要素</w:t>
            </w:r>
          </w:p>
        </w:tc>
        <w:tc>
          <w:tcPr>
            <w:tcW w:w="3309" w:type="pct"/>
            <w:noWrap w:val="0"/>
            <w:vAlign w:val="center"/>
          </w:tcPr>
          <w:p w14:paraId="3A32A256">
            <w:pPr>
              <w:keepNext w:val="0"/>
              <w:keepLines w:val="0"/>
              <w:pageBreakBefore w:val="0"/>
              <w:kinsoku/>
              <w:overflowPunct/>
              <w:topLinePunct w:val="0"/>
              <w:bidi w:val="0"/>
              <w:spacing w:beforeLines="0" w:afterLines="0" w:line="579"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评分标准</w:t>
            </w:r>
          </w:p>
        </w:tc>
      </w:tr>
      <w:tr w14:paraId="1843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3064" w:type="dxa"/>
            <w:gridSpan w:val="2"/>
            <w:noWrap w:val="0"/>
            <w:vAlign w:val="center"/>
          </w:tcPr>
          <w:p w14:paraId="7A9A3376">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（一）价格</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分）</w:t>
            </w:r>
          </w:p>
        </w:tc>
        <w:tc>
          <w:tcPr>
            <w:tcW w:w="5997" w:type="dxa"/>
            <w:noWrap w:val="0"/>
            <w:vAlign w:val="center"/>
          </w:tcPr>
          <w:p w14:paraId="665552BF">
            <w:pPr>
              <w:pStyle w:val="7"/>
              <w:keepNext w:val="0"/>
              <w:keepLines w:val="0"/>
              <w:pageBreakBefore w:val="0"/>
              <w:kinsoku/>
              <w:overflowPunct/>
              <w:topLinePunct w:val="0"/>
              <w:autoSpaceDE/>
              <w:autoSpaceDN/>
              <w:bidi w:val="0"/>
              <w:adjustRightInd/>
              <w:snapToGrid/>
              <w:spacing w:beforeLines="0" w:afterLines="0" w:line="4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价格分计算方法</w:t>
            </w:r>
            <w:r>
              <w:rPr>
                <w:rFonts w:hint="eastAsia" w:ascii="仿宋_GB2312" w:hAnsi="仿宋_GB2312" w:eastAsia="仿宋_GB2312" w:cs="仿宋_GB2312"/>
                <w:color w:val="auto"/>
                <w:kern w:val="2"/>
                <w:sz w:val="24"/>
                <w:szCs w:val="24"/>
                <w:highlight w:val="none"/>
              </w:rPr>
              <w:t>：</w:t>
            </w:r>
          </w:p>
          <w:p w14:paraId="2D71CA86">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采用低价优先法计算，即满足招标文件要求且投标价格最低的投标报价为评标基准价，其价格分为满分。其他投标人的价格分统一按照下列公式计算： </w:t>
            </w:r>
          </w:p>
          <w:p w14:paraId="172E05B4">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2"/>
                <w:sz w:val="24"/>
                <w:szCs w:val="24"/>
                <w:lang w:val="en-US" w:eastAsia="zh-CN" w:bidi="ar-SA"/>
              </w:rPr>
              <w:t>投标报价得分=(评标基准价／投标报价)×30</w:t>
            </w:r>
          </w:p>
        </w:tc>
      </w:tr>
      <w:tr w14:paraId="5618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071" w:type="dxa"/>
            <w:vMerge w:val="restart"/>
            <w:noWrap w:val="0"/>
            <w:vAlign w:val="center"/>
          </w:tcPr>
          <w:p w14:paraId="446B4E16">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技术</w:t>
            </w:r>
            <w:r>
              <w:rPr>
                <w:rFonts w:hint="eastAsia" w:ascii="仿宋_GB2312" w:hAnsi="仿宋_GB2312" w:eastAsia="仿宋_GB2312" w:cs="仿宋_GB2312"/>
                <w:color w:val="auto"/>
                <w:sz w:val="24"/>
                <w:szCs w:val="24"/>
              </w:rPr>
              <w:t>部分（</w:t>
            </w:r>
            <w:r>
              <w:rPr>
                <w:rFonts w:hint="eastAsia" w:ascii="仿宋_GB2312" w:hAnsi="仿宋_GB2312" w:eastAsia="仿宋_GB2312" w:cs="仿宋_GB2312"/>
                <w:color w:val="auto"/>
                <w:sz w:val="24"/>
                <w:szCs w:val="24"/>
                <w:lang w:val="en-US" w:eastAsia="zh-CN"/>
              </w:rPr>
              <w:t>45</w:t>
            </w:r>
            <w:r>
              <w:rPr>
                <w:rFonts w:hint="eastAsia" w:ascii="仿宋_GB2312" w:hAnsi="仿宋_GB2312" w:eastAsia="仿宋_GB2312" w:cs="仿宋_GB2312"/>
                <w:color w:val="auto"/>
                <w:sz w:val="24"/>
                <w:szCs w:val="24"/>
              </w:rPr>
              <w:t>分）</w:t>
            </w:r>
          </w:p>
        </w:tc>
        <w:tc>
          <w:tcPr>
            <w:tcW w:w="1993" w:type="dxa"/>
            <w:noWrap w:val="0"/>
            <w:vAlign w:val="center"/>
          </w:tcPr>
          <w:p w14:paraId="0C9EE051">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1.项目服务方案（</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分）</w:t>
            </w:r>
          </w:p>
        </w:tc>
        <w:tc>
          <w:tcPr>
            <w:tcW w:w="5997" w:type="dxa"/>
            <w:noWrap w:val="0"/>
            <w:vAlign w:val="center"/>
          </w:tcPr>
          <w:p w14:paraId="104EC604">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2"/>
                <w:sz w:val="24"/>
                <w:szCs w:val="24"/>
                <w:lang w:val="en-US" w:eastAsia="zh-CN" w:bidi="ar-SA"/>
              </w:rPr>
              <w:t>一）评审内容</w:t>
            </w:r>
          </w:p>
          <w:p w14:paraId="2EEEBD3F">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根据投标人提供的服务方案进行评价，包括但不限于以下方面：</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1.货源、采购渠道（包括但不限于米、面、油、蛋类、调味品、生鲜肉、冻品、蔬菜采购等货源与渠道及供应链采购环节管理）；</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2.配送服务计划（包括但不限于配送流程与应急预案、退换货应急预案、自然灾害应急预案、客户沟通、项目重点难点分析、专业性意见及合理化建议等）；</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3.品质监控（包括但不限于食材品质的监控和质量控制、食材采购索证验收管理制度、操作规程等）；</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4.日常管理组织（包括但不限于管理组织架构图、体现人员培训管理制度的日常管理制度、送货车辆管理细则、食品检验管理制度、仓储管理制度、采购管理制度、客户投诉反馈管理制度等）；</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5.质量安全控制措施（包括但不限于食品、入库、出库的检测与监管措施、食品安全保障制度等）。</w:t>
            </w:r>
          </w:p>
          <w:p w14:paraId="31DDEC90">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（二）评审依据</w:t>
            </w:r>
          </w:p>
          <w:p w14:paraId="58653F99">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1.基础分（最高5分）：</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服务方案内容涵盖上述第1至5项，每涵盖一项得1分，最高得5分。</w:t>
            </w:r>
          </w:p>
          <w:p w14:paraId="6DCDB740">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2"/>
                <w:sz w:val="24"/>
                <w:szCs w:val="24"/>
                <w:lang w:val="en-US" w:eastAsia="zh-CN" w:bidi="ar-SA"/>
              </w:rPr>
              <w:t>2.方案质量分（最高10分）：</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在获得基础分的前提下，由评审委员会对方案具体内容进行评审，根据以下标准打分：</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（1）优（8-10分）：方案符合实际、完整、详细、规范、思路清晰，内容合理性强；</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（2）良（5-7分）：方案较符合实际、较完整规范、思路较清晰，内容合理性较强；</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（3）中（2-4分）：方案较普通、完整性规范性一般，思路不够清晰，内容合理性一般；</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（4）差（0-1分）：方案不完整、不规范，思路不清晰，内容合理性较差或未提供。</w:t>
            </w:r>
          </w:p>
        </w:tc>
      </w:tr>
      <w:tr w14:paraId="61DD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1" w:type="dxa"/>
            <w:vMerge w:val="continue"/>
            <w:noWrap w:val="0"/>
            <w:vAlign w:val="center"/>
          </w:tcPr>
          <w:p w14:paraId="219F3A4C">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rPr>
            </w:pPr>
          </w:p>
        </w:tc>
        <w:tc>
          <w:tcPr>
            <w:tcW w:w="1993" w:type="dxa"/>
            <w:noWrap w:val="0"/>
            <w:vAlign w:val="center"/>
          </w:tcPr>
          <w:p w14:paraId="198B7EC0">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2.规章制度、工作流程（</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分）</w:t>
            </w:r>
          </w:p>
        </w:tc>
        <w:tc>
          <w:tcPr>
            <w:tcW w:w="5997" w:type="dxa"/>
            <w:noWrap w:val="0"/>
            <w:vAlign w:val="center"/>
          </w:tcPr>
          <w:p w14:paraId="6AD9B3D1">
            <w:pPr>
              <w:pStyle w:val="7"/>
              <w:keepNext w:val="0"/>
              <w:keepLines w:val="0"/>
              <w:pageBreakBefore w:val="0"/>
              <w:kinsoku/>
              <w:overflowPunct/>
              <w:topLinePunct w:val="0"/>
              <w:autoSpaceDE/>
              <w:autoSpaceDN/>
              <w:bidi w:val="0"/>
              <w:adjustRightInd/>
              <w:snapToGrid/>
              <w:spacing w:beforeLines="0" w:afterLines="0" w:line="4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（一）评审内容</w:t>
            </w:r>
          </w:p>
          <w:p w14:paraId="6C8F7569">
            <w:pPr>
              <w:pStyle w:val="7"/>
              <w:keepNext w:val="0"/>
              <w:keepLines w:val="0"/>
              <w:pageBreakBefore w:val="0"/>
              <w:kinsoku/>
              <w:overflowPunct/>
              <w:topLinePunct w:val="0"/>
              <w:autoSpaceDE/>
              <w:autoSpaceDN/>
              <w:bidi w:val="0"/>
              <w:adjustRightInd/>
              <w:snapToGrid/>
              <w:spacing w:beforeLines="0" w:afterLines="0" w:line="4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根据投标人提供的规章管理制度、工作流程进行评价，内容包括但不限于：</w:t>
            </w:r>
          </w:p>
          <w:p w14:paraId="576C560C">
            <w:pPr>
              <w:pStyle w:val="7"/>
              <w:keepNext w:val="0"/>
              <w:keepLines w:val="0"/>
              <w:pageBreakBefore w:val="0"/>
              <w:kinsoku/>
              <w:overflowPunct/>
              <w:topLinePunct w:val="0"/>
              <w:autoSpaceDE/>
              <w:autoSpaceDN/>
              <w:bidi w:val="0"/>
              <w:adjustRightInd/>
              <w:snapToGrid/>
              <w:spacing w:beforeLines="0" w:afterLines="0" w:line="4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1.食品安全保障制度；</w:t>
            </w:r>
          </w:p>
          <w:p w14:paraId="54A29733">
            <w:pPr>
              <w:pStyle w:val="7"/>
              <w:keepNext w:val="0"/>
              <w:keepLines w:val="0"/>
              <w:pageBreakBefore w:val="0"/>
              <w:kinsoku/>
              <w:overflowPunct/>
              <w:topLinePunct w:val="0"/>
              <w:autoSpaceDE/>
              <w:autoSpaceDN/>
              <w:bidi w:val="0"/>
              <w:adjustRightInd/>
              <w:snapToGrid/>
              <w:spacing w:beforeLines="0" w:afterLines="0" w:line="4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2.人员岗位职责；</w:t>
            </w:r>
          </w:p>
          <w:p w14:paraId="345E3736">
            <w:pPr>
              <w:pStyle w:val="7"/>
              <w:keepNext w:val="0"/>
              <w:keepLines w:val="0"/>
              <w:pageBreakBefore w:val="0"/>
              <w:kinsoku/>
              <w:overflowPunct/>
              <w:topLinePunct w:val="0"/>
              <w:autoSpaceDE/>
              <w:autoSpaceDN/>
              <w:bidi w:val="0"/>
              <w:adjustRightInd/>
              <w:snapToGrid/>
              <w:spacing w:beforeLines="0" w:afterLines="0" w:line="4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3.操作规程；</w:t>
            </w:r>
          </w:p>
          <w:p w14:paraId="1A2CE94D">
            <w:pPr>
              <w:pStyle w:val="7"/>
              <w:keepNext w:val="0"/>
              <w:keepLines w:val="0"/>
              <w:pageBreakBefore w:val="0"/>
              <w:kinsoku/>
              <w:overflowPunct/>
              <w:topLinePunct w:val="0"/>
              <w:autoSpaceDE/>
              <w:autoSpaceDN/>
              <w:bidi w:val="0"/>
              <w:adjustRightInd/>
              <w:snapToGrid/>
              <w:spacing w:beforeLines="0" w:afterLines="0" w:line="4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4.劳动纪律和奖惩办法；</w:t>
            </w:r>
          </w:p>
          <w:p w14:paraId="42A9D7BA">
            <w:pPr>
              <w:pStyle w:val="7"/>
              <w:keepNext w:val="0"/>
              <w:keepLines w:val="0"/>
              <w:pageBreakBefore w:val="0"/>
              <w:kinsoku/>
              <w:overflowPunct/>
              <w:topLinePunct w:val="0"/>
              <w:autoSpaceDE/>
              <w:autoSpaceDN/>
              <w:bidi w:val="0"/>
              <w:adjustRightInd/>
              <w:snapToGrid/>
              <w:spacing w:beforeLines="0" w:afterLines="0" w:line="4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5.客户投诉反馈管理制度。</w:t>
            </w:r>
          </w:p>
          <w:p w14:paraId="55AB4DF9">
            <w:pPr>
              <w:pStyle w:val="7"/>
              <w:keepNext w:val="0"/>
              <w:keepLines w:val="0"/>
              <w:pageBreakBefore w:val="0"/>
              <w:kinsoku/>
              <w:overflowPunct/>
              <w:topLinePunct w:val="0"/>
              <w:autoSpaceDE/>
              <w:autoSpaceDN/>
              <w:bidi w:val="0"/>
              <w:adjustRightInd/>
              <w:snapToGrid/>
              <w:spacing w:beforeLines="0" w:afterLines="0" w:line="4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（二）评分依据</w:t>
            </w:r>
          </w:p>
          <w:p w14:paraId="59B295C5">
            <w:pPr>
              <w:pStyle w:val="7"/>
              <w:keepNext w:val="0"/>
              <w:keepLines w:val="0"/>
              <w:pageBreakBefore w:val="0"/>
              <w:kinsoku/>
              <w:overflowPunct/>
              <w:topLinePunct w:val="0"/>
              <w:autoSpaceDE/>
              <w:autoSpaceDN/>
              <w:bidi w:val="0"/>
              <w:adjustRightInd/>
              <w:snapToGrid/>
              <w:spacing w:beforeLines="0" w:afterLines="0" w:line="4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1.基础分（最高5分）：</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方案内容涵盖上述第1至5项，每涵盖一项得1分，最高得5分。</w:t>
            </w:r>
          </w:p>
          <w:p w14:paraId="4AA29429">
            <w:pPr>
              <w:pStyle w:val="7"/>
              <w:keepNext w:val="0"/>
              <w:keepLines w:val="0"/>
              <w:pageBreakBefore w:val="0"/>
              <w:kinsoku/>
              <w:overflowPunct/>
              <w:topLinePunct w:val="0"/>
              <w:autoSpaceDE/>
              <w:autoSpaceDN/>
              <w:bidi w:val="0"/>
              <w:adjustRightInd/>
              <w:snapToGrid/>
              <w:spacing w:beforeLines="0" w:afterLines="0"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lang w:val="en-US" w:eastAsia="zh-CN" w:bidi="ar-SA"/>
              </w:rPr>
              <w:t>2.方案质量分（最高5分）：</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在获得基础分的前提下，由评审委员会对方案具体内容进行评审，根据以下标准打分：</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（1）优（5分）：方案符合实际、完整、详细、规范、思路清晰，内容合理性强；</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（2）良（3分）：方案较符合实际、较完整规范、思路较清晰，内容合理性较强；</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（3）中（1分）：方案较普通、完整性规范性一般，思路不够清晰，内容合理性一般；</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（4）差（0分）：方案不完整、不规范，思路不清晰，内容合理性较差或未提供。</w:t>
            </w:r>
          </w:p>
        </w:tc>
      </w:tr>
      <w:tr w14:paraId="7C00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1" w:type="dxa"/>
            <w:vMerge w:val="continue"/>
            <w:noWrap w:val="0"/>
            <w:vAlign w:val="center"/>
          </w:tcPr>
          <w:p w14:paraId="0ACC24B4">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rPr>
            </w:pPr>
          </w:p>
        </w:tc>
        <w:tc>
          <w:tcPr>
            <w:tcW w:w="1993" w:type="dxa"/>
            <w:noWrap w:val="0"/>
            <w:vAlign w:val="center"/>
          </w:tcPr>
          <w:p w14:paraId="07CE2143">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rPr>
            </w:pPr>
          </w:p>
          <w:p w14:paraId="2AA63149">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rPr>
            </w:pPr>
          </w:p>
          <w:p w14:paraId="4D81FED8">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3.应急方案</w:t>
            </w:r>
            <w:r>
              <w:rPr>
                <w:rFonts w:hint="eastAsia" w:ascii="仿宋_GB2312" w:hAnsi="仿宋_GB2312" w:eastAsia="仿宋_GB2312" w:cs="仿宋_GB2312"/>
                <w:color w:val="auto"/>
                <w:sz w:val="24"/>
                <w:szCs w:val="24"/>
                <w:lang w:val="en-US" w:eastAsia="zh-CN"/>
              </w:rPr>
              <w:t>(10分）</w:t>
            </w:r>
          </w:p>
        </w:tc>
        <w:tc>
          <w:tcPr>
            <w:tcW w:w="5997" w:type="dxa"/>
            <w:noWrap w:val="0"/>
            <w:vAlign w:val="center"/>
          </w:tcPr>
          <w:p w14:paraId="27BC2A46">
            <w:pPr>
              <w:keepNext w:val="0"/>
              <w:keepLines w:val="0"/>
              <w:pageBreakBefore w:val="0"/>
              <w:widowControl w:val="0"/>
              <w:kinsoku/>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一、</w:t>
            </w:r>
            <w:r>
              <w:rPr>
                <w:rFonts w:hint="eastAsia" w:ascii="仿宋_GB2312" w:hAnsi="仿宋_GB2312" w:eastAsia="仿宋_GB2312" w:cs="仿宋_GB2312"/>
                <w:color w:val="auto"/>
                <w:sz w:val="24"/>
                <w:szCs w:val="24"/>
                <w:highlight w:val="none"/>
              </w:rPr>
              <w:t>评审内容</w:t>
            </w:r>
          </w:p>
          <w:p w14:paraId="1B8C1BD4">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根据招标文件要求提供应急预案，内容包含：</w:t>
            </w:r>
          </w:p>
          <w:p w14:paraId="7A0074B2">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（一）</w:t>
            </w:r>
            <w:r>
              <w:rPr>
                <w:rFonts w:hint="eastAsia" w:ascii="仿宋_GB2312" w:hAnsi="仿宋_GB2312" w:eastAsia="仿宋_GB2312" w:cs="仿宋_GB2312"/>
                <w:color w:val="auto"/>
                <w:sz w:val="24"/>
                <w:szCs w:val="24"/>
                <w:highlight w:val="none"/>
              </w:rPr>
              <w:t>就餐人数浮动、遇采购单位临时紧急接待需增加配送份额或者临时配送需求、响应时间及配送时效解决方案；</w:t>
            </w:r>
          </w:p>
          <w:p w14:paraId="30F2F862">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遇台风、暴雨等恶劣天气配送解决方案；</w:t>
            </w:r>
          </w:p>
          <w:p w14:paraId="78967ACC">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（三）</w:t>
            </w:r>
            <w:r>
              <w:rPr>
                <w:rFonts w:hint="eastAsia" w:ascii="仿宋_GB2312" w:hAnsi="仿宋_GB2312" w:eastAsia="仿宋_GB2312" w:cs="仿宋_GB2312"/>
                <w:color w:val="auto"/>
                <w:sz w:val="24"/>
                <w:szCs w:val="24"/>
                <w:highlight w:val="none"/>
              </w:rPr>
              <w:t>中标人所提供的肉菜质量不符合要求，需要更换问题菜品的解决方案；</w:t>
            </w:r>
          </w:p>
          <w:p w14:paraId="7039D63E">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（四）</w:t>
            </w:r>
            <w:r>
              <w:rPr>
                <w:rFonts w:hint="eastAsia" w:ascii="仿宋_GB2312" w:hAnsi="仿宋_GB2312" w:eastAsia="仿宋_GB2312" w:cs="仿宋_GB2312"/>
                <w:color w:val="auto"/>
                <w:sz w:val="24"/>
                <w:szCs w:val="24"/>
                <w:highlight w:val="none"/>
              </w:rPr>
              <w:t>采购单位食堂出现食品安全事故，供应商内部自检及善后处理等问题解决方案；</w:t>
            </w:r>
          </w:p>
          <w:p w14:paraId="41AC3D52">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（五）</w:t>
            </w:r>
            <w:r>
              <w:rPr>
                <w:rFonts w:hint="eastAsia" w:ascii="仿宋_GB2312" w:hAnsi="仿宋_GB2312" w:eastAsia="仿宋_GB2312" w:cs="仿宋_GB2312"/>
                <w:color w:val="auto"/>
                <w:sz w:val="24"/>
                <w:szCs w:val="24"/>
                <w:highlight w:val="none"/>
              </w:rPr>
              <w:t>采购单位在节假日采购需求解决方案。</w:t>
            </w:r>
          </w:p>
          <w:p w14:paraId="33619BAF">
            <w:pPr>
              <w:keepNext w:val="0"/>
              <w:keepLines w:val="0"/>
              <w:pageBreakBefore w:val="0"/>
              <w:widowControl w:val="0"/>
              <w:kinsoku/>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b w:val="0"/>
                <w:bCs w:val="0"/>
                <w:kern w:val="2"/>
                <w:sz w:val="24"/>
                <w:szCs w:val="24"/>
                <w:highlight w:val="none"/>
                <w:lang w:val="en-US"/>
              </w:rPr>
            </w:pPr>
            <w:r>
              <w:rPr>
                <w:rFonts w:hint="eastAsia" w:ascii="仿宋_GB2312" w:hAnsi="仿宋_GB2312" w:eastAsia="仿宋_GB2312" w:cs="仿宋_GB2312"/>
                <w:b w:val="0"/>
                <w:bCs w:val="0"/>
                <w:sz w:val="24"/>
                <w:szCs w:val="24"/>
                <w:highlight w:val="none"/>
                <w:lang w:val="en-US" w:eastAsia="zh-CN"/>
              </w:rPr>
              <w:t>二、</w:t>
            </w:r>
            <w:r>
              <w:rPr>
                <w:rFonts w:hint="eastAsia" w:ascii="仿宋_GB2312" w:hAnsi="仿宋_GB2312" w:eastAsia="仿宋_GB2312" w:cs="仿宋_GB2312"/>
                <w:b w:val="0"/>
                <w:bCs w:val="0"/>
                <w:sz w:val="24"/>
                <w:szCs w:val="24"/>
                <w:highlight w:val="none"/>
              </w:rPr>
              <w:t>评分标准</w:t>
            </w:r>
          </w:p>
          <w:p w14:paraId="31156EE9">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（一）</w:t>
            </w:r>
            <w:r>
              <w:rPr>
                <w:rFonts w:hint="eastAsia" w:ascii="仿宋_GB2312" w:hAnsi="仿宋_GB2312" w:eastAsia="仿宋_GB2312" w:cs="仿宋_GB2312"/>
                <w:color w:val="auto"/>
                <w:sz w:val="24"/>
                <w:szCs w:val="24"/>
                <w:highlight w:val="none"/>
              </w:rPr>
              <w:t>每提供以上一项内容得</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分，全部提供得5分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未提供不得分</w:t>
            </w:r>
            <w:r>
              <w:rPr>
                <w:rFonts w:hint="eastAsia" w:ascii="仿宋_GB2312" w:hAnsi="仿宋_GB2312" w:eastAsia="仿宋_GB2312" w:cs="仿宋_GB2312"/>
                <w:color w:val="auto"/>
                <w:sz w:val="24"/>
                <w:szCs w:val="24"/>
                <w:highlight w:val="none"/>
              </w:rPr>
              <w:t>。</w:t>
            </w:r>
          </w:p>
          <w:p w14:paraId="4A725C29">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在此基础上，专家根据各供应商的具体响应内容进一步评审：</w:t>
            </w:r>
          </w:p>
          <w:p w14:paraId="257B90E7">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（1）评审为优（项目应急预案整体科学合理，针对性强、可操作性强）的，加5分；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（2）评审为良（项目应急预案较合理，有一定针对性、一定可操作性）的，加3分；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（3）评审为中（项目应急预案不尽合理，针对性一般、可操作性一般）的，加1分；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（4）评审为差（项目应急预案不合理，无针对性、无可操作性）的，得0分。</w:t>
            </w:r>
          </w:p>
        </w:tc>
      </w:tr>
      <w:tr w14:paraId="3BBF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1" w:type="dxa"/>
            <w:noWrap w:val="0"/>
            <w:vAlign w:val="center"/>
          </w:tcPr>
          <w:p w14:paraId="1ECBBE6C">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p>
        </w:tc>
        <w:tc>
          <w:tcPr>
            <w:tcW w:w="1993" w:type="dxa"/>
            <w:noWrap w:val="0"/>
            <w:vAlign w:val="center"/>
          </w:tcPr>
          <w:p w14:paraId="054F8D89">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p>
          <w:p w14:paraId="551866AC">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p>
          <w:p w14:paraId="0FB6A144">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p>
          <w:p w14:paraId="3316729E">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配送场所</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4分</w:t>
            </w:r>
            <w:r>
              <w:rPr>
                <w:rFonts w:hint="eastAsia" w:ascii="仿宋_GB2312" w:hAnsi="仿宋_GB2312" w:eastAsia="仿宋_GB2312" w:cs="仿宋_GB2312"/>
                <w:color w:val="auto"/>
                <w:sz w:val="24"/>
                <w:szCs w:val="24"/>
                <w:highlight w:val="none"/>
                <w:lang w:eastAsia="zh-CN"/>
              </w:rPr>
              <w:t>）</w:t>
            </w:r>
          </w:p>
        </w:tc>
        <w:tc>
          <w:tcPr>
            <w:tcW w:w="5997" w:type="dxa"/>
            <w:noWrap w:val="0"/>
            <w:vAlign w:val="center"/>
          </w:tcPr>
          <w:p w14:paraId="6808DB95">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（一）评审内容</w:t>
            </w:r>
          </w:p>
          <w:p w14:paraId="1BA62C79">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投标人有配送场所（自有或租赁）情况，本项最高得4分。</w:t>
            </w:r>
          </w:p>
          <w:p w14:paraId="13815502">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1、根据配送场所面积计分，标准如下：</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（1）面积≥4000平方米，得4分；</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（2）3000平方米≤面积＜4000平方米，得3分；</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（3）2000平方米≤面积＜3000平方米，得2分；</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（4）1000平方米≤面积＜2000平方米，得1分；</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（5）面积＜1000平方米的，不得分。</w:t>
            </w:r>
          </w:p>
          <w:p w14:paraId="21A4114F">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2、说明：</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（1）提供多个配送场所的，其面积不累计（同一地址多个配送场所的视为同一场所，面积可累计），以面积最大的配送场所面积计分。</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（2）若配送场所中含冷库，可一并计算面积。</w:t>
            </w:r>
          </w:p>
          <w:p w14:paraId="5773FD0C">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（二）评审依据</w:t>
            </w:r>
          </w:p>
          <w:p w14:paraId="291B684B">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1、需提供以下证明材料：</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（1）如场所为自有，须提供：</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①场所产权证明扫描件。产权证明须能体现所有权人为投标人及体现面积。</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（2）如场所为租赁，须同时提供：</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①租赁合同扫描件。合同须体现租赁人/承租人为投标人、租赁面积，且租赁期限须涵盖至2025年12月31日。如原合同期限未涵盖至2025年12月31日，须同时提供承诺函（格式自拟），承诺新签订的租赁合同将涵盖至该日期，且新合同内的配送场所面积不低于原合同面积。</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②租赁合同期间的任意一次租金银行转账凭证扫描件。付款人须为投标人，收款人须为租赁合同中的出租人。</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③由第三方检测机构出具的上述场所面积测绘报告。</w:t>
            </w:r>
          </w:p>
          <w:p w14:paraId="00F833B1">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2、其他说明：</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（1）未按要求提供相关证明材料，或提供的证明材料无法判断是否符合评分要求的，不计得分。</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（2）以上所有材料原件备查。</w:t>
            </w:r>
          </w:p>
        </w:tc>
      </w:tr>
      <w:tr w14:paraId="5BF7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1" w:type="dxa"/>
            <w:noWrap w:val="0"/>
            <w:vAlign w:val="center"/>
          </w:tcPr>
          <w:p w14:paraId="0EFBE4AE">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rPr>
            </w:pPr>
          </w:p>
        </w:tc>
        <w:tc>
          <w:tcPr>
            <w:tcW w:w="1993" w:type="dxa"/>
            <w:noWrap w:val="0"/>
            <w:vAlign w:val="center"/>
          </w:tcPr>
          <w:p w14:paraId="684DCB8C">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拟安排项目负责人（仅限一人）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6分</w:t>
            </w:r>
            <w:r>
              <w:rPr>
                <w:rFonts w:hint="eastAsia" w:ascii="仿宋_GB2312" w:hAnsi="仿宋_GB2312" w:eastAsia="仿宋_GB2312" w:cs="仿宋_GB2312"/>
                <w:color w:val="auto"/>
                <w:sz w:val="24"/>
                <w:szCs w:val="24"/>
                <w:highlight w:val="none"/>
                <w:lang w:eastAsia="zh-CN"/>
              </w:rPr>
              <w:t>）</w:t>
            </w:r>
          </w:p>
        </w:tc>
        <w:tc>
          <w:tcPr>
            <w:tcW w:w="5997" w:type="dxa"/>
            <w:noWrap w:val="0"/>
            <w:vAlign w:val="center"/>
          </w:tcPr>
          <w:p w14:paraId="7FD10EDD">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（一）评审内容：</w:t>
            </w:r>
          </w:p>
          <w:p w14:paraId="20E7DD1E">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拟安排项目负责人（仅限一人）须为投标人现有员工，每提供一项以下证书的得</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分，最高得</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分：</w:t>
            </w:r>
          </w:p>
          <w:p w14:paraId="4B444580">
            <w:pPr>
              <w:keepNext w:val="0"/>
              <w:keepLines w:val="0"/>
              <w:pageBreakBefore w:val="0"/>
              <w:widowControl/>
              <w:numPr>
                <w:ilvl w:val="0"/>
                <w:numId w:val="1"/>
              </w:numPr>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具有相关机构颁发的高级食品安全管理员（师）证书或食品安全管理人员考试合格证明；</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2.具有相关机构颁发的高级食品质量管理师证书；</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3.具有相关机构颁发的一级人力资源管理师证书；</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4.具有相关机构颁发的高级食品采购师证书；</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5.具有相关机构颁发的高级仓储管理师证书；</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6.具有相关机构颁发的高级食品检验员（师）证书。</w:t>
            </w:r>
          </w:p>
          <w:p w14:paraId="315A8DE5">
            <w:pPr>
              <w:keepNext w:val="0"/>
              <w:keepLines w:val="0"/>
              <w:pageBreakBefore w:val="0"/>
              <w:widowControl/>
              <w:numPr>
                <w:ilvl w:val="0"/>
                <w:numId w:val="0"/>
              </w:numPr>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（二）评审依据：</w:t>
            </w:r>
          </w:p>
          <w:p w14:paraId="58910A94">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1、提供相关证书扫描件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如证书由行业协会（或学会）颁发的，还需提供该行业协会（或学会）在全国社会组织信用信息公示平台（https://xxgs.chinanpo.mca.gov.cn/gsxt/newList）的信息查询记录，且该机构显示状态为“正常”；</w:t>
            </w:r>
          </w:p>
          <w:p w14:paraId="33925F97">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提供开标日当月（或前一个月）在本单位缴纳且载有社保部门（或税务部门）公章（或业务章）的社保缴交证明材料（如开标日当月或前一个月的社保材料因社保部门（或税务部门）原因暂时无法取得，则可以往前顺延一个月）；成立时间不满1个月的投标人需提供成立时间相关说明材料，并提供承诺函（格式自拟）承诺人员为投标人现有员工；</w:t>
            </w:r>
          </w:p>
          <w:p w14:paraId="5B626871">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3、未按要求提供相关证明材料（或相关证明材料无法判断是否符合评分要求）的不计得分，原件备查。</w:t>
            </w:r>
          </w:p>
        </w:tc>
      </w:tr>
      <w:tr w14:paraId="44DC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1" w:type="dxa"/>
            <w:vMerge w:val="restart"/>
            <w:noWrap w:val="0"/>
            <w:vAlign w:val="center"/>
          </w:tcPr>
          <w:p w14:paraId="71E503D3">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eastAsia="zh-CN"/>
              </w:rPr>
              <w:t>商务部分</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分）</w:t>
            </w:r>
          </w:p>
        </w:tc>
        <w:tc>
          <w:tcPr>
            <w:tcW w:w="1993" w:type="dxa"/>
            <w:noWrap w:val="0"/>
            <w:vAlign w:val="center"/>
          </w:tcPr>
          <w:p w14:paraId="4D2FC85E">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1.食品检测保障能力（10分）</w:t>
            </w:r>
          </w:p>
        </w:tc>
        <w:tc>
          <w:tcPr>
            <w:tcW w:w="5997" w:type="dxa"/>
            <w:noWrap w:val="0"/>
            <w:vAlign w:val="center"/>
          </w:tcPr>
          <w:p w14:paraId="7A6E21A9">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（一）评分内容</w:t>
            </w:r>
          </w:p>
          <w:p w14:paraId="3E1F3E2B">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投标人提供2024年1月1日至本项目投标截止日止，由具备CMA资质的第三方检测机构出具的检测报告。根据其覆盖的品类情况进行打分。</w:t>
            </w:r>
          </w:p>
          <w:p w14:paraId="7959B2B8">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检测报告须涵盖以下品类及相应项目：</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（1）大米类：检测项目须包含铅(以Pb计)、镉(以Cd计)、黄曲霉毒素B1、苯并[a]芘、无机砷（以As计）等；</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（2）食用油类：检测项目须包含酸值/酸价、过氧化值、苯并[a]芘、溶剂残留量、特丁基对苯二酚(TBHQ)、乙基麦芽酚、铅(以Pb计)、黄曲霉毒素B1等；</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（3）肉类：检测项目须包含挥发性盐基氮、克伦特罗、沙丁胺醇、莱克多巴胺、五氯酚酸钠(以五氯酚计)、多西环素、氯霉素、磺胺类(总量)、恩诺沙星、甲氧苄啶等；</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（4）禽类：检测项目须包含挥发性盐基氮、恩诺沙星、五氯酚酸钠(以五氯酚计)、氯霉素、甲硝唑、甲氧苄啶、磺胺类(总量)、呋喃唑酮代谢物、诺氟沙星、氧氟沙星、培氟沙星、洛美沙星等；</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5）水产品类：检测项目须包含恩诺沙星、呋喃唑酮代谢物、呋喃妥因代谢物、呋喃它酮代谢物、呋喃西林代谢物、磺胺类(总量)、孔雀石绿、氯霉素、地西泮、五氯酚酸钠（以五氯酚计）、挥发性盐基氮、氧氟沙星、镉（以Cd计）等；</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（6）蛋类：检测项目须包含甲硝唑、氯霉素、氟虫腈、地美硝唑、氟苯尼考、恩诺沙星、多西环素等；</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7）蔬菜类：检测项目须包含氧乐果、甲基异柳磷、多菌灵、敌敌畏、水胺硫磷、乙酰甲胺磷、氟虫腈、克百威(包括3-羟基克百威)、阿维菌素、毒死蜱、啶虫脒、治螟磷、甲拌磷、灭蝇胺、腐霉利、甲氰菊酯、三唑磷、氯氰菊酯和高效氯氰菊酯、吡虫啉等；</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（8）冻品类：检测项目须包含林丹、甲砜霉素、地美硝唑、汞、铅（以Pb计）、红霉素、镉、铬(以Cr计)、挥发性盐基氮、氯霉素、氟苯尼考、砷等；</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9）豆制品类：检测项目须包含亚硝酸盐、镉、铅、糖精钠、山梨酸及其钾盐、铝的残留量、二氧化硫残留量、防腐剂混合使用时各自用量占其最大使用量的比例之和、苯甲酸及其钠盐、脱氢乙酸及其钠盐、黄曲霉毒素B1、碱性嫩黄等；</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10）水果类：检测项目须包含氧乐果、氟虫腈、毒死蜱、水胺硫磷、克百威（包括3-羟基克百威）、丙溴磷、烯酰吗啉、三唑磷、吡唑醚菌酯、多菌灵、敌敌畏、苯醚甲环唑、阿维菌素、乙酰甲胺磷、嘧霉胺、醚菌酯、糖精钠（以糖精计）等。</w:t>
            </w:r>
          </w:p>
          <w:p w14:paraId="0206E216">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证明材料及得分规则：</w:t>
            </w:r>
          </w:p>
          <w:p w14:paraId="7BDFEC47">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提供上述十类产品在要求时间范围内的检测报告。</w:t>
            </w:r>
          </w:p>
          <w:p w14:paraId="2383A06C">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每提供一个品类的检测报告，且该报告检测项目达到上述要求的，得1分。</w:t>
            </w:r>
          </w:p>
          <w:p w14:paraId="7F450A68">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每一类最高得分1分，不重复计分。本项满分10分。</w:t>
            </w:r>
          </w:p>
          <w:p w14:paraId="3A0CF081">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未按要求提供或项目不达标的，不得分。</w:t>
            </w:r>
          </w:p>
          <w:p w14:paraId="77BA1EC9">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注：成立不足2个月的投标人，提供自成立以来的检测报告仍可参与评分。</w:t>
            </w:r>
          </w:p>
          <w:p w14:paraId="1B5E6A36">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（二）评分依据</w:t>
            </w:r>
          </w:p>
          <w:p w14:paraId="1B7EF976">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须提供检测报告扫描件。报告委托单位或送检单位须为投标人。</w:t>
            </w:r>
          </w:p>
          <w:p w14:paraId="03898BDF">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上述检测项目的判定结果须为“合格”、“符合”、“达标”、“未检出”等同等正面结论。若检测项目结论为“-”、“/”或无明确结论，则该检测项目不计分。</w:t>
            </w:r>
          </w:p>
          <w:p w14:paraId="37582A6F">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检测报告须具有CMA标识，且能在全国认证认可信息公共服务平台(</w:t>
            </w:r>
            <w:r>
              <w:rPr>
                <w:rFonts w:hint="eastAsia" w:ascii="仿宋_GB2312" w:hAnsi="仿宋_GB2312" w:eastAsia="仿宋_GB2312" w:cs="仿宋_GB2312"/>
                <w:color w:val="auto"/>
                <w:sz w:val="24"/>
                <w:szCs w:val="24"/>
                <w:highlight w:val="none"/>
                <w:lang w:eastAsia="zh-CN"/>
              </w:rPr>
              <w:fldChar w:fldCharType="begin"/>
            </w:r>
            <w:r>
              <w:rPr>
                <w:rFonts w:hint="eastAsia" w:ascii="仿宋_GB2312" w:hAnsi="仿宋_GB2312" w:eastAsia="仿宋_GB2312" w:cs="仿宋_GB2312"/>
                <w:color w:val="auto"/>
                <w:sz w:val="24"/>
                <w:szCs w:val="24"/>
                <w:highlight w:val="none"/>
                <w:lang w:eastAsia="zh-CN"/>
              </w:rPr>
              <w:instrText xml:space="preserve"> HYPERLINK "http://cx.cnca.cn/" \t "https://chat.deepseek.com/a/chat/s/_blank" </w:instrText>
            </w:r>
            <w:r>
              <w:rPr>
                <w:rFonts w:hint="eastAsia" w:ascii="仿宋_GB2312" w:hAnsi="仿宋_GB2312" w:eastAsia="仿宋_GB2312" w:cs="仿宋_GB2312"/>
                <w:color w:val="auto"/>
                <w:sz w:val="24"/>
                <w:szCs w:val="24"/>
                <w:highlight w:val="none"/>
                <w:lang w:eastAsia="zh-CN"/>
              </w:rPr>
              <w:fldChar w:fldCharType="separate"/>
            </w:r>
            <w:r>
              <w:rPr>
                <w:rFonts w:hint="eastAsia" w:ascii="仿宋_GB2312" w:hAnsi="仿宋_GB2312" w:eastAsia="仿宋_GB2312" w:cs="仿宋_GB2312"/>
                <w:color w:val="auto"/>
                <w:sz w:val="24"/>
                <w:szCs w:val="24"/>
                <w:highlight w:val="none"/>
                <w:lang w:eastAsia="zh-CN"/>
              </w:rPr>
              <w:t>http://cx.cnca.cn/</w:t>
            </w:r>
            <w:r>
              <w:rPr>
                <w:rFonts w:hint="eastAsia" w:ascii="仿宋_GB2312" w:hAnsi="仿宋_GB2312" w:eastAsia="仿宋_GB2312" w:cs="仿宋_GB2312"/>
                <w:color w:val="auto"/>
                <w:sz w:val="24"/>
                <w:szCs w:val="24"/>
                <w:highlight w:val="none"/>
                <w:lang w:eastAsia="zh-CN"/>
              </w:rPr>
              <w:fldChar w:fldCharType="end"/>
            </w:r>
            <w:r>
              <w:rPr>
                <w:rFonts w:hint="eastAsia" w:ascii="仿宋_GB2312" w:hAnsi="仿宋_GB2312" w:eastAsia="仿宋_GB2312" w:cs="仿宋_GB2312"/>
                <w:color w:val="auto"/>
                <w:sz w:val="24"/>
                <w:szCs w:val="24"/>
                <w:highlight w:val="none"/>
                <w:lang w:eastAsia="zh-CN"/>
              </w:rPr>
              <w:t>)查询，须提供查询截图。</w:t>
            </w:r>
          </w:p>
          <w:p w14:paraId="280C4969">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若检测报告无法在该平台查询，须提供相关监管机构出具的证明检验检测报告真实有效的材料。</w:t>
            </w:r>
          </w:p>
          <w:p w14:paraId="24211353">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新成立企业（成立时间不足2个月）若无法提供完整报告，可提供加盖公章的情况说明，经评委会认可后视为符合要求。</w:t>
            </w:r>
          </w:p>
          <w:p w14:paraId="6EE877F0">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未按要求提供证明材料，或所提供的材料无法证明符合评分要求的，一律不得分。</w:t>
            </w:r>
          </w:p>
        </w:tc>
      </w:tr>
      <w:tr w14:paraId="30D5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1" w:type="dxa"/>
            <w:vMerge w:val="continue"/>
            <w:noWrap w:val="0"/>
            <w:vAlign w:val="center"/>
          </w:tcPr>
          <w:p w14:paraId="464795AD">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rPr>
            </w:pPr>
          </w:p>
        </w:tc>
        <w:tc>
          <w:tcPr>
            <w:tcW w:w="1993" w:type="dxa"/>
            <w:noWrap w:val="0"/>
            <w:vAlign w:val="center"/>
          </w:tcPr>
          <w:p w14:paraId="615FAB0A">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同类业绩</w:t>
            </w:r>
          </w:p>
          <w:p w14:paraId="69B9F585">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分）</w:t>
            </w:r>
          </w:p>
        </w:tc>
        <w:tc>
          <w:tcPr>
            <w:tcW w:w="5997" w:type="dxa"/>
            <w:noWrap w:val="0"/>
            <w:vAlign w:val="center"/>
          </w:tcPr>
          <w:p w14:paraId="387B9EB6">
            <w:pPr>
              <w:keepNext w:val="0"/>
              <w:keepLines w:val="0"/>
              <w:pageBreakBefore w:val="0"/>
              <w:widowControl w:val="0"/>
              <w:kinsoku/>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一、评分内容</w:t>
            </w:r>
          </w:p>
          <w:p w14:paraId="3270961C">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投标人自20</w:t>
            </w:r>
            <w:r>
              <w:rPr>
                <w:rFonts w:hint="eastAsia" w:ascii="仿宋_GB2312" w:hAnsi="仿宋_GB2312" w:eastAsia="仿宋_GB2312" w:cs="仿宋_GB2312"/>
                <w:color w:val="auto"/>
                <w:sz w:val="24"/>
                <w:szCs w:val="24"/>
                <w:highlight w:val="none"/>
                <w:lang w:val="en-US" w:eastAsia="zh-CN"/>
              </w:rPr>
              <w:t>22</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月1日</w:t>
            </w:r>
            <w:r>
              <w:rPr>
                <w:rFonts w:hint="eastAsia" w:ascii="仿宋_GB2312" w:hAnsi="仿宋_GB2312" w:eastAsia="仿宋_GB2312" w:cs="仿宋_GB2312"/>
                <w:color w:val="auto"/>
                <w:sz w:val="24"/>
                <w:szCs w:val="24"/>
                <w:highlight w:val="none"/>
                <w:lang w:val="en-US" w:eastAsia="zh-CN"/>
              </w:rPr>
              <w:t>至投标截至之日</w:t>
            </w:r>
            <w:r>
              <w:rPr>
                <w:rFonts w:hint="eastAsia" w:ascii="仿宋_GB2312" w:hAnsi="仿宋_GB2312" w:eastAsia="仿宋_GB2312" w:cs="仿宋_GB2312"/>
                <w:color w:val="auto"/>
                <w:sz w:val="24"/>
                <w:szCs w:val="24"/>
                <w:highlight w:val="none"/>
              </w:rPr>
              <w:t>（以合同签订日期为准）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具有食堂食材供应合同（内容须体现食材配送)相关经验业绩，每提供一个得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分，最高得</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分，未提供不得分。</w:t>
            </w:r>
          </w:p>
          <w:p w14:paraId="450B5097">
            <w:pPr>
              <w:keepNext w:val="0"/>
              <w:keepLines w:val="0"/>
              <w:pageBreakBefore w:val="0"/>
              <w:widowControl w:val="0"/>
              <w:kinsoku/>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b w:val="0"/>
                <w:bCs w:val="0"/>
                <w:kern w:val="2"/>
                <w:sz w:val="24"/>
                <w:szCs w:val="24"/>
                <w:highlight w:val="none"/>
                <w:lang w:val="en-US"/>
              </w:rPr>
            </w:pPr>
            <w:r>
              <w:rPr>
                <w:rFonts w:hint="eastAsia" w:ascii="仿宋_GB2312" w:hAnsi="仿宋_GB2312" w:eastAsia="仿宋_GB2312" w:cs="仿宋_GB2312"/>
                <w:b w:val="0"/>
                <w:bCs w:val="0"/>
                <w:sz w:val="24"/>
                <w:szCs w:val="24"/>
                <w:highlight w:val="none"/>
                <w:lang w:val="en-US" w:eastAsia="zh-CN"/>
              </w:rPr>
              <w:t>二、</w:t>
            </w:r>
            <w:r>
              <w:rPr>
                <w:rFonts w:hint="eastAsia" w:ascii="仿宋_GB2312" w:hAnsi="仿宋_GB2312" w:eastAsia="仿宋_GB2312" w:cs="仿宋_GB2312"/>
                <w:b w:val="0"/>
                <w:bCs w:val="0"/>
                <w:sz w:val="24"/>
                <w:szCs w:val="24"/>
                <w:highlight w:val="none"/>
              </w:rPr>
              <w:t>评分标准</w:t>
            </w:r>
          </w:p>
          <w:p w14:paraId="7AD7120B">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rPr>
              <w:t>投标人需提供业绩合同</w:t>
            </w:r>
            <w:r>
              <w:rPr>
                <w:rFonts w:hint="eastAsia" w:ascii="仿宋_GB2312" w:hAnsi="仿宋_GB2312" w:eastAsia="仿宋_GB2312" w:cs="仿宋_GB2312"/>
                <w:color w:val="auto"/>
                <w:sz w:val="24"/>
                <w:szCs w:val="24"/>
                <w:highlight w:val="none"/>
                <w:lang w:val="en-US" w:eastAsia="zh-CN"/>
              </w:rPr>
              <w:t>扫描件</w:t>
            </w:r>
            <w:r>
              <w:rPr>
                <w:rFonts w:hint="eastAsia" w:ascii="仿宋_GB2312" w:hAnsi="仿宋_GB2312" w:eastAsia="仿宋_GB2312" w:cs="仿宋_GB2312"/>
                <w:color w:val="auto"/>
                <w:sz w:val="24"/>
                <w:szCs w:val="24"/>
                <w:highlight w:val="none"/>
              </w:rPr>
              <w:t>，一年一签的长期服务续签合同只计算一个业绩。</w:t>
            </w:r>
          </w:p>
          <w:p w14:paraId="3B23CEA5">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未提供证明材料或者提供的证明材料不符合要求或提供的证明材料不清晰导致评审专家无法辨认的不得分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原件备查。</w:t>
            </w:r>
          </w:p>
        </w:tc>
      </w:tr>
      <w:tr w14:paraId="45A3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064" w:type="dxa"/>
            <w:gridSpan w:val="2"/>
            <w:noWrap w:val="0"/>
            <w:vAlign w:val="center"/>
          </w:tcPr>
          <w:p w14:paraId="5C83DFF2">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rPr>
            </w:pPr>
          </w:p>
          <w:p w14:paraId="2BF050D4">
            <w:pPr>
              <w:keepNext w:val="0"/>
              <w:keepLines w:val="0"/>
              <w:pageBreakBefore w:val="0"/>
              <w:widowControl/>
              <w:kinsoku/>
              <w:wordWrap w:val="0"/>
              <w:overflowPunct/>
              <w:topLinePunct w:val="0"/>
              <w:autoSpaceDE/>
              <w:autoSpaceDN/>
              <w:bidi w:val="0"/>
              <w:adjustRightInd/>
              <w:snapToGrid/>
              <w:spacing w:beforeLines="0" w:afterLines="0" w:line="400" w:lineRule="exact"/>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（四）诚信情况（5分）</w:t>
            </w:r>
          </w:p>
        </w:tc>
        <w:tc>
          <w:tcPr>
            <w:tcW w:w="5997" w:type="dxa"/>
            <w:noWrap w:val="0"/>
            <w:vAlign w:val="center"/>
          </w:tcPr>
          <w:p w14:paraId="4A52F1E3">
            <w:pPr>
              <w:keepNext w:val="0"/>
              <w:keepLines w:val="0"/>
              <w:pageBreakBefore w:val="0"/>
              <w:widowControl/>
              <w:kinsoku/>
              <w:wordWrap w:val="0"/>
              <w:overflowPunct/>
              <w:topLinePunct w:val="0"/>
              <w:autoSpaceDE/>
              <w:autoSpaceDN/>
              <w:bidi w:val="0"/>
              <w:adjustRightInd/>
              <w:snapToGrid/>
              <w:spacing w:beforeLines="0" w:afterLines="0" w:line="400" w:lineRule="exact"/>
              <w:ind w:left="0" w:right="0" w:firstLine="0" w:firstLineChars="0"/>
              <w:jc w:val="left"/>
              <w:textAlignment w:val="top"/>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lang w:eastAsia="zh-CN"/>
              </w:rPr>
              <w:t>投标</w:t>
            </w:r>
            <w:r>
              <w:rPr>
                <w:rFonts w:hint="eastAsia" w:ascii="仿宋_GB2312" w:hAnsi="仿宋_GB2312" w:eastAsia="仿宋_GB2312" w:cs="仿宋_GB2312"/>
                <w:color w:val="auto"/>
                <w:kern w:val="2"/>
                <w:sz w:val="24"/>
                <w:szCs w:val="24"/>
                <w:highlight w:val="none"/>
              </w:rPr>
              <w:t>人在参与政府采购活动中存在诚信相关问题且在主管部门相关处理措施实施期限内的，本项不得分，否则得满分。</w:t>
            </w:r>
          </w:p>
          <w:p w14:paraId="41EC91BD">
            <w:pPr>
              <w:keepNext w:val="0"/>
              <w:keepLines w:val="0"/>
              <w:pageBreakBefore w:val="0"/>
              <w:widowControl/>
              <w:kinsoku/>
              <w:wordWrap w:val="0"/>
              <w:overflowPunct/>
              <w:topLinePunct w:val="0"/>
              <w:autoSpaceDE/>
              <w:autoSpaceDN/>
              <w:bidi w:val="0"/>
              <w:adjustRightInd/>
              <w:snapToGrid/>
              <w:spacing w:beforeLines="0" w:afterLines="0" w:line="400" w:lineRule="exact"/>
              <w:ind w:left="0" w:leftChars="0" w:right="0" w:rightChars="0" w:firstLine="0" w:firstLineChars="0"/>
              <w:jc w:val="left"/>
              <w:textAlignment w:val="top"/>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lang w:val="en-US" w:eastAsia="zh-CN"/>
              </w:rPr>
              <w:t>需</w:t>
            </w:r>
            <w:r>
              <w:rPr>
                <w:rFonts w:hint="eastAsia" w:ascii="仿宋_GB2312" w:hAnsi="仿宋_GB2312" w:eastAsia="仿宋_GB2312" w:cs="仿宋_GB2312"/>
                <w:color w:val="auto"/>
                <w:kern w:val="2"/>
                <w:sz w:val="24"/>
                <w:szCs w:val="24"/>
                <w:highlight w:val="none"/>
              </w:rPr>
              <w:t>提供《诚信承诺函》，按采购文件格式要求提供，不提供不得分。如被认定提供的陈述与事实不符的，依法追究其责任。</w:t>
            </w:r>
          </w:p>
        </w:tc>
      </w:tr>
    </w:tbl>
    <w:p w14:paraId="3442128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cs="宋体"/>
          <w:b/>
          <w:bCs/>
          <w:szCs w:val="20"/>
        </w:rPr>
      </w:pPr>
      <w:r>
        <w:rPr>
          <w:rFonts w:hint="eastAsia" w:ascii="黑体" w:hAnsi="黑体" w:eastAsia="黑体" w:cs="黑体"/>
          <w:kern w:val="2"/>
          <w:sz w:val="32"/>
          <w:szCs w:val="32"/>
          <w:highlight w:val="none"/>
          <w:lang w:val="en-US" w:eastAsia="zh-CN" w:bidi="ar-SA"/>
        </w:rPr>
        <w:t>十三、</w:t>
      </w:r>
      <w:r>
        <w:rPr>
          <w:rFonts w:hint="eastAsia" w:ascii="宋体" w:hAnsi="宋体" w:cs="宋体"/>
          <w:b/>
          <w:bCs/>
          <w:szCs w:val="20"/>
        </w:rPr>
        <w:t xml:space="preserve"> </w:t>
      </w:r>
      <w:r>
        <w:rPr>
          <w:rFonts w:hint="eastAsia" w:ascii="黑体" w:hAnsi="黑体" w:eastAsia="黑体" w:cs="黑体"/>
          <w:kern w:val="2"/>
          <w:sz w:val="32"/>
          <w:szCs w:val="32"/>
          <w:highlight w:val="none"/>
          <w:lang w:val="en-US" w:eastAsia="zh-CN" w:bidi="ar-SA"/>
        </w:rPr>
        <w:t>投标文件格式、附件</w:t>
      </w:r>
    </w:p>
    <w:p w14:paraId="191067C0">
      <w:pPr>
        <w:pStyle w:val="1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投标文件组成：</w:t>
      </w:r>
    </w:p>
    <w:p w14:paraId="68107E9A">
      <w:pPr>
        <w:pStyle w:val="1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法定代表人（负责人）证明书</w:t>
      </w:r>
      <w:r>
        <w:rPr>
          <w:rFonts w:hint="eastAsia" w:ascii="仿宋_GB2312" w:hAnsi="仿宋_GB2312" w:eastAsia="仿宋_GB2312" w:cs="仿宋_GB2312"/>
          <w:bCs/>
          <w:sz w:val="32"/>
          <w:szCs w:val="32"/>
          <w:lang w:eastAsia="zh-CN"/>
        </w:rPr>
        <w:t>。</w:t>
      </w:r>
    </w:p>
    <w:p w14:paraId="44669EEE">
      <w:pPr>
        <w:pStyle w:val="1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投标文件签署授权委托书【法定代表人（负责人）为投标人代表的无须提供】</w:t>
      </w:r>
      <w:r>
        <w:rPr>
          <w:rFonts w:hint="eastAsia" w:ascii="仿宋_GB2312" w:hAnsi="仿宋_GB2312" w:eastAsia="仿宋_GB2312" w:cs="仿宋_GB2312"/>
          <w:bCs/>
          <w:sz w:val="32"/>
          <w:szCs w:val="32"/>
          <w:lang w:eastAsia="zh-CN"/>
        </w:rPr>
        <w:t>。</w:t>
      </w:r>
    </w:p>
    <w:p w14:paraId="73F70C29">
      <w:pPr>
        <w:pStyle w:val="1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营业执照复印件和</w:t>
      </w:r>
      <w:r>
        <w:rPr>
          <w:rFonts w:hint="eastAsia" w:ascii="仿宋_GB2312" w:hAnsi="仿宋_GB2312" w:eastAsia="仿宋_GB2312" w:cs="仿宋_GB2312"/>
          <w:bCs/>
          <w:sz w:val="32"/>
          <w:szCs w:val="32"/>
        </w:rPr>
        <w:t>《食品生产许可证》或《食品经营许可证》</w:t>
      </w:r>
      <w:r>
        <w:rPr>
          <w:rFonts w:hint="eastAsia" w:ascii="仿宋_GB2312" w:hAnsi="仿宋_GB2312" w:eastAsia="仿宋_GB2312" w:cs="仿宋_GB2312"/>
          <w:bCs/>
          <w:sz w:val="32"/>
          <w:szCs w:val="32"/>
          <w:lang w:eastAsia="zh-CN"/>
        </w:rPr>
        <w:t>复印件。</w:t>
      </w:r>
    </w:p>
    <w:p w14:paraId="1C2C0654">
      <w:pPr>
        <w:pStyle w:val="1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4.</w:t>
      </w:r>
      <w:r>
        <w:rPr>
          <w:rFonts w:hint="eastAsia" w:ascii="仿宋_GB2312" w:hAnsi="Times New Roman" w:eastAsia="仿宋_GB2312" w:cs="仿宋_GB2312"/>
          <w:sz w:val="32"/>
          <w:szCs w:val="32"/>
          <w:highlight w:val="none"/>
          <w:lang w:val="en-US" w:eastAsia="zh-CN"/>
        </w:rPr>
        <w:t>提供法定代表人、投标授权代表人、项目负责人最近一个月的社保缴纳证明。</w:t>
      </w:r>
    </w:p>
    <w:p w14:paraId="716E3D9A">
      <w:pPr>
        <w:pStyle w:val="1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项目</w:t>
      </w:r>
      <w:r>
        <w:rPr>
          <w:rFonts w:hint="eastAsia" w:ascii="仿宋_GB2312" w:hAnsi="仿宋_GB2312" w:eastAsia="仿宋_GB2312" w:cs="仿宋_GB2312"/>
          <w:bCs/>
          <w:sz w:val="32"/>
          <w:szCs w:val="32"/>
          <w:lang w:eastAsia="zh-CN"/>
        </w:rPr>
        <w:t>服务</w:t>
      </w:r>
      <w:r>
        <w:rPr>
          <w:rFonts w:hint="eastAsia" w:ascii="仿宋_GB2312" w:hAnsi="仿宋_GB2312" w:eastAsia="仿宋_GB2312" w:cs="仿宋_GB2312"/>
          <w:bCs/>
          <w:sz w:val="32"/>
          <w:szCs w:val="32"/>
        </w:rPr>
        <w:t>方案（格式自定）</w:t>
      </w:r>
      <w:r>
        <w:rPr>
          <w:rFonts w:hint="eastAsia" w:ascii="仿宋_GB2312" w:hAnsi="仿宋_GB2312" w:eastAsia="仿宋_GB2312" w:cs="仿宋_GB2312"/>
          <w:bCs/>
          <w:sz w:val="32"/>
          <w:szCs w:val="32"/>
          <w:lang w:eastAsia="zh-CN"/>
        </w:rPr>
        <w:t>。</w:t>
      </w:r>
    </w:p>
    <w:p w14:paraId="095BE772">
      <w:pPr>
        <w:pStyle w:val="1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color w:val="auto"/>
          <w:sz w:val="32"/>
          <w:szCs w:val="32"/>
        </w:rPr>
        <w:t>规章制度、工作流程</w:t>
      </w:r>
      <w:r>
        <w:rPr>
          <w:rFonts w:hint="eastAsia" w:ascii="仿宋_GB2312" w:hAnsi="仿宋_GB2312" w:eastAsia="仿宋_GB2312" w:cs="仿宋_GB2312"/>
          <w:bCs/>
          <w:sz w:val="32"/>
          <w:szCs w:val="32"/>
        </w:rPr>
        <w:t>（格式自定）</w:t>
      </w:r>
      <w:r>
        <w:rPr>
          <w:rFonts w:hint="eastAsia" w:ascii="仿宋_GB2312" w:hAnsi="仿宋_GB2312" w:eastAsia="仿宋_GB2312" w:cs="仿宋_GB2312"/>
          <w:bCs/>
          <w:sz w:val="32"/>
          <w:szCs w:val="32"/>
          <w:lang w:eastAsia="zh-CN"/>
        </w:rPr>
        <w:t>。</w:t>
      </w:r>
    </w:p>
    <w:p w14:paraId="117B98F4">
      <w:pPr>
        <w:pStyle w:val="1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应急方案（格式自定）</w:t>
      </w:r>
      <w:r>
        <w:rPr>
          <w:rFonts w:hint="eastAsia" w:ascii="仿宋_GB2312" w:hAnsi="仿宋_GB2312" w:eastAsia="仿宋_GB2312" w:cs="仿宋_GB2312"/>
          <w:bCs/>
          <w:sz w:val="32"/>
          <w:szCs w:val="32"/>
          <w:lang w:eastAsia="zh-CN"/>
        </w:rPr>
        <w:t>。</w:t>
      </w:r>
    </w:p>
    <w:p w14:paraId="0379C7D9">
      <w:pPr>
        <w:ind w:firstLine="640"/>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kern w:val="2"/>
          <w:sz w:val="32"/>
          <w:szCs w:val="32"/>
          <w:lang w:val="en-US" w:eastAsia="zh-CN" w:bidi="ar-SA"/>
        </w:rPr>
        <w:t>配送场所（格式自定）。</w:t>
      </w:r>
    </w:p>
    <w:p w14:paraId="00A1F811">
      <w:pPr>
        <w:pStyle w:val="2"/>
        <w:ind w:firstLine="640" w:firstLineChars="200"/>
        <w:jc w:val="both"/>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9.拟安排项目负责人（格式自定）。</w:t>
      </w:r>
    </w:p>
    <w:p w14:paraId="56FF74A2">
      <w:pPr>
        <w:pStyle w:val="3"/>
        <w:rPr>
          <w:rFonts w:hint="default"/>
          <w:lang w:val="en-US" w:eastAsia="zh-CN"/>
        </w:rPr>
      </w:pPr>
      <w:r>
        <w:rPr>
          <w:rFonts w:hint="eastAsia" w:ascii="仿宋_GB2312" w:hAnsi="仿宋_GB2312" w:eastAsia="仿宋_GB2312" w:cs="仿宋_GB2312"/>
          <w:bCs/>
          <w:kern w:val="2"/>
          <w:sz w:val="32"/>
          <w:szCs w:val="32"/>
          <w:lang w:val="en-US" w:eastAsia="zh-CN" w:bidi="ar-SA"/>
        </w:rPr>
        <w:t xml:space="preserve">    10.食品检测保障能力（格式自定）。</w:t>
      </w:r>
    </w:p>
    <w:p w14:paraId="3A216D93">
      <w:pPr>
        <w:ind w:firstLine="64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11.</w:t>
      </w:r>
      <w:r>
        <w:rPr>
          <w:rFonts w:hint="eastAsia" w:ascii="仿宋_GB2312" w:hAnsi="仿宋_GB2312" w:eastAsia="仿宋_GB2312" w:cs="仿宋_GB2312"/>
          <w:bCs/>
          <w:sz w:val="32"/>
          <w:szCs w:val="32"/>
        </w:rPr>
        <w:t>同类业绩（格式自定）</w:t>
      </w:r>
      <w:r>
        <w:rPr>
          <w:rFonts w:hint="eastAsia" w:ascii="仿宋_GB2312" w:hAnsi="仿宋_GB2312" w:eastAsia="仿宋_GB2312" w:cs="仿宋_GB2312"/>
          <w:bCs/>
          <w:sz w:val="32"/>
          <w:szCs w:val="32"/>
          <w:lang w:eastAsia="zh-CN"/>
        </w:rPr>
        <w:t>。</w:t>
      </w:r>
    </w:p>
    <w:p w14:paraId="40B73186">
      <w:pPr>
        <w:pStyle w:val="1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12.报价单，需按中农数据食堂采配平台报折扣率（</w:t>
      </w:r>
      <w:r>
        <w:rPr>
          <w:rFonts w:hint="eastAsia" w:ascii="仿宋_GB2312" w:hAnsi="仿宋_GB2312" w:eastAsia="仿宋_GB2312" w:cs="仿宋_GB2312"/>
          <w:bCs/>
          <w:sz w:val="32"/>
          <w:szCs w:val="32"/>
          <w:lang w:val="zh-CN" w:eastAsia="zh-CN"/>
        </w:rPr>
        <w:t>如</w:t>
      </w:r>
      <w:r>
        <w:rPr>
          <w:rFonts w:hint="eastAsia" w:ascii="仿宋_GB2312" w:hAnsi="仿宋_GB2312" w:eastAsia="仿宋_GB2312" w:cs="仿宋_GB2312"/>
          <w:bCs/>
          <w:sz w:val="32"/>
          <w:szCs w:val="32"/>
          <w:lang w:val="en-US" w:eastAsia="zh-CN"/>
        </w:rPr>
        <w:t>：90%、88%</w:t>
      </w:r>
      <w:r>
        <w:rPr>
          <w:rFonts w:hint="eastAsia" w:ascii="仿宋_GB2312" w:hAnsi="仿宋_GB2312" w:eastAsia="仿宋_GB2312" w:cs="仿宋_GB2312"/>
          <w:bCs/>
          <w:sz w:val="32"/>
          <w:szCs w:val="32"/>
          <w:lang w:val="zh-CN" w:eastAsia="zh-CN"/>
        </w:rPr>
        <w:t>等</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zh-CN" w:eastAsia="zh-CN"/>
        </w:rPr>
        <w:t>小数点后位数不超过</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val="zh-CN" w:eastAsia="zh-CN"/>
        </w:rPr>
        <w:t>位</w:t>
      </w:r>
      <w:r>
        <w:rPr>
          <w:rFonts w:hint="eastAsia" w:ascii="仿宋_GB2312" w:hAnsi="仿宋_GB2312" w:eastAsia="仿宋_GB2312" w:cs="仿宋_GB2312"/>
          <w:bCs/>
          <w:sz w:val="32"/>
          <w:szCs w:val="32"/>
          <w:lang w:val="en-US" w:eastAsia="zh-CN"/>
        </w:rPr>
        <w:t>，结算时价格=基准价*折扣率）。</w:t>
      </w:r>
    </w:p>
    <w:p w14:paraId="7D4F2DC1">
      <w:pPr>
        <w:pStyle w:val="1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13</w:t>
      </w:r>
      <w:r>
        <w:rPr>
          <w:rFonts w:hint="default"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eastAsia="zh-CN"/>
        </w:rPr>
        <w:t>供应商基本情况表（附件</w:t>
      </w:r>
      <w:r>
        <w:rPr>
          <w:rFonts w:hint="default"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val="en-US" w:eastAsia="zh-CN"/>
        </w:rPr>
        <w:t>）。</w:t>
      </w:r>
    </w:p>
    <w:p w14:paraId="20F5C239">
      <w:pPr>
        <w:pStyle w:val="1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14</w:t>
      </w:r>
      <w:r>
        <w:rPr>
          <w:rFonts w:hint="default"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eastAsia="zh-CN"/>
        </w:rPr>
        <w:t>政府采购违法行为风险知悉确认书（附件</w:t>
      </w:r>
      <w:r>
        <w:rPr>
          <w:rFonts w:hint="default"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val="en-US" w:eastAsia="zh-CN"/>
        </w:rPr>
        <w:t>）。</w:t>
      </w:r>
    </w:p>
    <w:p w14:paraId="5C401DE9">
      <w:pPr>
        <w:pStyle w:val="1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15.履约承诺函（附件3）。</w:t>
      </w:r>
    </w:p>
    <w:p w14:paraId="548B1E3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lang w:val="en-US" w:eastAsia="zh-CN"/>
        </w:rPr>
      </w:pPr>
      <w:r>
        <w:rPr>
          <w:rFonts w:hint="eastAsia" w:ascii="仿宋_GB2312" w:hAnsi="仿宋_GB2312" w:eastAsia="仿宋_GB2312" w:cs="仿宋_GB2312"/>
          <w:bCs/>
          <w:i w:val="0"/>
          <w:iCs w:val="0"/>
          <w:caps w:val="0"/>
          <w:color w:val="auto"/>
          <w:spacing w:val="0"/>
          <w:sz w:val="32"/>
          <w:szCs w:val="32"/>
          <w:highlight w:val="none"/>
          <w:shd w:val="clear" w:color="auto" w:fill="auto"/>
          <w:lang w:val="en-US" w:eastAsia="zh-CN"/>
        </w:rPr>
        <w:t>16.诚信承诺函（附件4）</w:t>
      </w:r>
    </w:p>
    <w:p w14:paraId="03821938">
      <w:pPr>
        <w:pStyle w:val="1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宋体" w:hAnsi="宋体" w:cs="宋体"/>
          <w:b/>
          <w:bCs/>
          <w:szCs w:val="20"/>
        </w:rPr>
      </w:pPr>
      <w:r>
        <w:rPr>
          <w:rFonts w:hint="eastAsia" w:ascii="仿宋_GB2312" w:hAnsi="仿宋_GB2312" w:eastAsia="仿宋_GB2312" w:cs="仿宋_GB2312"/>
          <w:bCs/>
          <w:sz w:val="32"/>
          <w:szCs w:val="32"/>
          <w:lang w:val="en-US" w:eastAsia="zh-CN"/>
        </w:rPr>
        <w:t>17.其他供应商认为有必要提供的其他材料。</w:t>
      </w:r>
    </w:p>
    <w:p w14:paraId="247FB6E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十四、</w:t>
      </w:r>
      <w:r>
        <w:rPr>
          <w:rFonts w:hint="eastAsia" w:ascii="黑体" w:hAnsi="黑体" w:eastAsia="黑体" w:cs="黑体"/>
          <w:b w:val="0"/>
          <w:bCs w:val="0"/>
          <w:sz w:val="32"/>
          <w:szCs w:val="32"/>
          <w:lang w:val="en-US" w:eastAsia="zh-CN"/>
        </w:rPr>
        <w:t>投标文件装订要求</w:t>
      </w:r>
    </w:p>
    <w:p w14:paraId="70E8AC0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1.</w:t>
      </w:r>
      <w:r>
        <w:rPr>
          <w:rFonts w:hint="eastAsia" w:ascii="仿宋_GB2312" w:hAnsi="仿宋_GB2312" w:eastAsia="仿宋_GB2312" w:cs="仿宋_GB2312"/>
          <w:bCs w:val="0"/>
          <w:sz w:val="32"/>
          <w:szCs w:val="32"/>
          <w:lang w:eastAsia="zh-CN"/>
        </w:rPr>
        <w:t>投标</w:t>
      </w:r>
      <w:r>
        <w:rPr>
          <w:rFonts w:hint="eastAsia" w:ascii="仿宋_GB2312" w:hAnsi="仿宋_GB2312" w:eastAsia="仿宋_GB2312" w:cs="仿宋_GB2312"/>
          <w:bCs w:val="0"/>
          <w:sz w:val="32"/>
          <w:szCs w:val="32"/>
        </w:rPr>
        <w:t>供应商应准备</w:t>
      </w:r>
      <w:r>
        <w:rPr>
          <w:rFonts w:hint="eastAsia" w:ascii="仿宋_GB2312" w:hAnsi="仿宋_GB2312" w:eastAsia="仿宋_GB2312" w:cs="仿宋_GB2312"/>
          <w:sz w:val="32"/>
          <w:szCs w:val="32"/>
        </w:rPr>
        <w:t>纸质投标文件一正</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电子文档一份,U盘或光盘储存（投标文件正本盖章后的扫描件，PDF格式）</w:t>
      </w:r>
      <w:r>
        <w:rPr>
          <w:rFonts w:hint="eastAsia" w:ascii="仿宋_GB2312" w:hAnsi="仿宋_GB2312" w:eastAsia="仿宋_GB2312" w:cs="仿宋_GB2312"/>
          <w:bCs w:val="0"/>
          <w:sz w:val="32"/>
          <w:szCs w:val="32"/>
        </w:rPr>
        <w:t>，在每一份</w:t>
      </w:r>
      <w:r>
        <w:rPr>
          <w:rFonts w:hint="eastAsia" w:ascii="仿宋_GB2312" w:hAnsi="仿宋_GB2312" w:eastAsia="仿宋_GB2312" w:cs="仿宋_GB2312"/>
          <w:bCs w:val="0"/>
          <w:sz w:val="32"/>
          <w:szCs w:val="32"/>
          <w:lang w:eastAsia="zh-CN"/>
        </w:rPr>
        <w:t>投标</w:t>
      </w:r>
      <w:r>
        <w:rPr>
          <w:rFonts w:hint="eastAsia" w:ascii="仿宋_GB2312" w:hAnsi="仿宋_GB2312" w:eastAsia="仿宋_GB2312" w:cs="仿宋_GB2312"/>
          <w:bCs w:val="0"/>
          <w:sz w:val="32"/>
          <w:szCs w:val="32"/>
        </w:rPr>
        <w:t>文件上注明</w:t>
      </w:r>
      <w:r>
        <w:rPr>
          <w:rFonts w:hint="eastAsia" w:ascii="仿宋_GB2312" w:hAnsi="仿宋_GB2312" w:eastAsia="仿宋_GB2312" w:cs="仿宋_GB2312"/>
          <w:bCs w:val="0"/>
          <w:sz w:val="32"/>
          <w:szCs w:val="32"/>
          <w:lang w:eastAsia="zh-CN"/>
        </w:rPr>
        <w:t>投标</w:t>
      </w:r>
      <w:r>
        <w:rPr>
          <w:rFonts w:hint="eastAsia" w:ascii="仿宋_GB2312" w:hAnsi="仿宋_GB2312" w:eastAsia="仿宋_GB2312" w:cs="仿宋_GB2312"/>
          <w:bCs w:val="0"/>
          <w:sz w:val="32"/>
          <w:szCs w:val="32"/>
        </w:rPr>
        <w:t>供应商名称及项目名称，编上页次装订成册（不允许使用活页夹，否则造成的风险由</w:t>
      </w:r>
      <w:r>
        <w:rPr>
          <w:rFonts w:hint="eastAsia" w:ascii="仿宋_GB2312" w:hAnsi="仿宋_GB2312" w:eastAsia="仿宋_GB2312" w:cs="仿宋_GB2312"/>
          <w:bCs w:val="0"/>
          <w:sz w:val="32"/>
          <w:szCs w:val="32"/>
          <w:lang w:eastAsia="zh-CN"/>
        </w:rPr>
        <w:t>投标供应商</w:t>
      </w:r>
      <w:r>
        <w:rPr>
          <w:rFonts w:hint="eastAsia" w:ascii="仿宋_GB2312" w:hAnsi="仿宋_GB2312" w:eastAsia="仿宋_GB2312" w:cs="仿宋_GB2312"/>
          <w:bCs w:val="0"/>
          <w:sz w:val="32"/>
          <w:szCs w:val="32"/>
        </w:rPr>
        <w:t>自行承担），并要明确注明“正本”或“副本”字样，一旦正本和副本发现差异，以正本为准</w:t>
      </w:r>
      <w:r>
        <w:rPr>
          <w:rFonts w:hint="eastAsia" w:ascii="仿宋_GB2312" w:hAnsi="仿宋_GB2312" w:eastAsia="仿宋_GB2312" w:cs="仿宋_GB2312"/>
          <w:bCs w:val="0"/>
          <w:sz w:val="32"/>
          <w:szCs w:val="32"/>
          <w:lang w:val="en-US" w:eastAsia="zh-CN"/>
        </w:rPr>
        <w:t>。</w:t>
      </w:r>
    </w:p>
    <w:p w14:paraId="65315C1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投标文件</w:t>
      </w:r>
      <w:r>
        <w:rPr>
          <w:rFonts w:hint="eastAsia" w:ascii="仿宋_GB2312" w:hAnsi="仿宋_GB2312" w:eastAsia="仿宋_GB2312" w:cs="仿宋_GB2312"/>
          <w:sz w:val="32"/>
          <w:szCs w:val="32"/>
          <w:u w:val="none"/>
        </w:rPr>
        <w:t>正本和副本须打印或用不褪色墨水书写，由</w:t>
      </w:r>
      <w:r>
        <w:rPr>
          <w:rFonts w:hint="eastAsia" w:ascii="仿宋_GB2312" w:hAnsi="仿宋_GB2312" w:eastAsia="仿宋_GB2312" w:cs="仿宋_GB2312"/>
          <w:sz w:val="32"/>
          <w:szCs w:val="32"/>
          <w:u w:val="none"/>
          <w:lang w:eastAsia="zh-CN"/>
        </w:rPr>
        <w:t>投标供应商</w:t>
      </w:r>
      <w:r>
        <w:rPr>
          <w:rFonts w:hint="eastAsia" w:ascii="仿宋_GB2312" w:hAnsi="仿宋_GB2312" w:eastAsia="仿宋_GB2312" w:cs="仿宋_GB2312"/>
          <w:sz w:val="32"/>
          <w:szCs w:val="32"/>
          <w:u w:val="none"/>
        </w:rPr>
        <w:t>法定代表人或其授权代表签字，后者须将“法定代表人授权书”以书面形式附在</w:t>
      </w:r>
      <w:r>
        <w:rPr>
          <w:rFonts w:hint="eastAsia" w:ascii="仿宋_GB2312" w:hAnsi="仿宋_GB2312" w:eastAsia="仿宋_GB2312" w:cs="仿宋_GB2312"/>
          <w:sz w:val="32"/>
          <w:szCs w:val="32"/>
          <w:u w:val="none"/>
          <w:lang w:eastAsia="zh-CN"/>
        </w:rPr>
        <w:t>投标文件</w:t>
      </w:r>
      <w:r>
        <w:rPr>
          <w:rFonts w:hint="eastAsia" w:ascii="仿宋_GB2312" w:hAnsi="仿宋_GB2312" w:eastAsia="仿宋_GB2312" w:cs="仿宋_GB2312"/>
          <w:sz w:val="32"/>
          <w:szCs w:val="32"/>
          <w:u w:val="none"/>
        </w:rPr>
        <w:t>中。</w:t>
      </w:r>
      <w:r>
        <w:rPr>
          <w:rFonts w:hint="eastAsia" w:ascii="仿宋_GB2312" w:hAnsi="仿宋_GB2312" w:eastAsia="仿宋_GB2312" w:cs="仿宋_GB2312"/>
          <w:bCs w:val="0"/>
          <w:sz w:val="32"/>
          <w:szCs w:val="32"/>
        </w:rPr>
        <w:t>副</w:t>
      </w:r>
      <w:r>
        <w:rPr>
          <w:rFonts w:hint="eastAsia" w:ascii="仿宋_GB2312" w:hAnsi="仿宋_GB2312" w:eastAsia="仿宋_GB2312" w:cs="仿宋_GB2312"/>
          <w:sz w:val="32"/>
          <w:szCs w:val="32"/>
        </w:rPr>
        <w:t>本文件可由正本文件复印而成</w:t>
      </w:r>
      <w:r>
        <w:rPr>
          <w:rFonts w:hint="eastAsia" w:ascii="仿宋_GB2312" w:hAnsi="仿宋_GB2312" w:eastAsia="仿宋_GB2312" w:cs="仿宋_GB2312"/>
          <w:sz w:val="32"/>
          <w:szCs w:val="32"/>
          <w:lang w:val="en-US" w:eastAsia="zh-CN"/>
        </w:rPr>
        <w:t>。</w:t>
      </w:r>
    </w:p>
    <w:p w14:paraId="2F9250D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除</w:t>
      </w: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对错处作必要修改外，</w:t>
      </w:r>
      <w:r>
        <w:rPr>
          <w:rFonts w:hint="eastAsia" w:ascii="仿宋_GB2312" w:hAnsi="仿宋_GB2312" w:eastAsia="仿宋_GB2312" w:cs="仿宋_GB2312"/>
          <w:sz w:val="32"/>
          <w:szCs w:val="32"/>
          <w:lang w:eastAsia="zh-CN"/>
        </w:rPr>
        <w:t>投标文件</w:t>
      </w:r>
      <w:r>
        <w:rPr>
          <w:rFonts w:hint="eastAsia" w:ascii="仿宋_GB2312" w:hAnsi="仿宋_GB2312" w:eastAsia="仿宋_GB2312" w:cs="仿宋_GB2312"/>
          <w:sz w:val="32"/>
          <w:szCs w:val="32"/>
        </w:rPr>
        <w:t>中不许有加行、涂抹或改写。</w:t>
      </w:r>
      <w:r>
        <w:rPr>
          <w:rFonts w:hint="eastAsia" w:ascii="仿宋_GB2312" w:hAnsi="仿宋_GB2312" w:eastAsia="仿宋_GB2312" w:cs="仿宋_GB2312"/>
          <w:b w:val="0"/>
          <w:bCs w:val="0"/>
          <w:sz w:val="32"/>
          <w:szCs w:val="32"/>
          <w:u w:val="none"/>
        </w:rPr>
        <w:t>若有修改须由</w:t>
      </w:r>
      <w:r>
        <w:rPr>
          <w:rFonts w:hint="eastAsia" w:ascii="仿宋_GB2312" w:hAnsi="仿宋_GB2312" w:eastAsia="仿宋_GB2312" w:cs="仿宋_GB2312"/>
          <w:b w:val="0"/>
          <w:bCs w:val="0"/>
          <w:sz w:val="32"/>
          <w:szCs w:val="32"/>
          <w:u w:val="none"/>
          <w:lang w:eastAsia="zh-CN"/>
        </w:rPr>
        <w:t>投标供应商</w:t>
      </w:r>
      <w:r>
        <w:rPr>
          <w:rFonts w:hint="eastAsia" w:ascii="仿宋_GB2312" w:hAnsi="仿宋_GB2312" w:eastAsia="仿宋_GB2312" w:cs="仿宋_GB2312"/>
          <w:b w:val="0"/>
          <w:bCs w:val="0"/>
          <w:sz w:val="32"/>
          <w:szCs w:val="32"/>
          <w:u w:val="none"/>
        </w:rPr>
        <w:t>法定代表人或其授权代表进行签字，并加盖</w:t>
      </w:r>
      <w:r>
        <w:rPr>
          <w:rFonts w:hint="eastAsia" w:ascii="仿宋_GB2312" w:hAnsi="仿宋_GB2312" w:eastAsia="仿宋_GB2312" w:cs="仿宋_GB2312"/>
          <w:b w:val="0"/>
          <w:bCs w:val="0"/>
          <w:sz w:val="32"/>
          <w:szCs w:val="32"/>
          <w:u w:val="none"/>
          <w:lang w:eastAsia="zh-CN"/>
        </w:rPr>
        <w:t>投标供应商</w:t>
      </w:r>
      <w:r>
        <w:rPr>
          <w:rFonts w:hint="eastAsia" w:ascii="仿宋_GB2312" w:hAnsi="仿宋_GB2312" w:eastAsia="仿宋_GB2312" w:cs="仿宋_GB2312"/>
          <w:b w:val="0"/>
          <w:bCs w:val="0"/>
          <w:sz w:val="32"/>
          <w:szCs w:val="32"/>
          <w:u w:val="none"/>
        </w:rPr>
        <w:t>公章</w:t>
      </w:r>
      <w:r>
        <w:rPr>
          <w:rFonts w:hint="eastAsia" w:ascii="仿宋_GB2312" w:hAnsi="仿宋_GB2312" w:eastAsia="仿宋_GB2312" w:cs="仿宋_GB2312"/>
          <w:b w:val="0"/>
          <w:bCs w:val="0"/>
          <w:sz w:val="32"/>
          <w:szCs w:val="32"/>
          <w:u w:val="none"/>
          <w:lang w:val="en-US" w:eastAsia="zh-CN"/>
        </w:rPr>
        <w:t>。</w:t>
      </w:r>
    </w:p>
    <w:p w14:paraId="319D3BF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lang w:eastAsia="zh-CN"/>
        </w:rPr>
        <w:t>投标文件</w:t>
      </w:r>
      <w:r>
        <w:rPr>
          <w:rFonts w:hint="eastAsia" w:ascii="仿宋_GB2312" w:hAnsi="仿宋_GB2312" w:eastAsia="仿宋_GB2312" w:cs="仿宋_GB2312"/>
          <w:sz w:val="32"/>
          <w:szCs w:val="32"/>
          <w:u w:val="none"/>
        </w:rPr>
        <w:t>的[正本]及所有[副本]的封面均须由</w:t>
      </w:r>
      <w:r>
        <w:rPr>
          <w:rFonts w:hint="eastAsia" w:ascii="仿宋_GB2312" w:hAnsi="仿宋_GB2312" w:eastAsia="仿宋_GB2312" w:cs="仿宋_GB2312"/>
          <w:sz w:val="32"/>
          <w:szCs w:val="32"/>
          <w:u w:val="none"/>
          <w:lang w:eastAsia="zh-CN"/>
        </w:rPr>
        <w:t>投标供应商</w:t>
      </w:r>
      <w:r>
        <w:rPr>
          <w:rFonts w:hint="eastAsia" w:ascii="仿宋_GB2312" w:hAnsi="仿宋_GB2312" w:eastAsia="仿宋_GB2312" w:cs="仿宋_GB2312"/>
          <w:sz w:val="32"/>
          <w:szCs w:val="32"/>
          <w:u w:val="none"/>
        </w:rPr>
        <w:t>加盖公章</w:t>
      </w:r>
      <w:r>
        <w:rPr>
          <w:rFonts w:hint="eastAsia" w:ascii="仿宋_GB2312" w:hAnsi="仿宋_GB2312" w:eastAsia="仿宋_GB2312" w:cs="仿宋_GB2312"/>
          <w:sz w:val="32"/>
          <w:szCs w:val="32"/>
          <w:u w:val="none"/>
          <w:lang w:val="en-US" w:eastAsia="zh-CN"/>
        </w:rPr>
        <w:t>。</w:t>
      </w:r>
    </w:p>
    <w:p w14:paraId="414E70B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投标文件</w:t>
      </w:r>
      <w:r>
        <w:rPr>
          <w:rFonts w:hint="eastAsia" w:ascii="仿宋_GB2312" w:hAnsi="仿宋_GB2312" w:eastAsia="仿宋_GB2312" w:cs="仿宋_GB2312"/>
          <w:sz w:val="32"/>
          <w:szCs w:val="32"/>
        </w:rPr>
        <w:t>的封面应注明“采购项目名称、</w:t>
      </w: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val="en-US" w:eastAsia="zh-CN"/>
        </w:rPr>
        <w:t>。</w:t>
      </w:r>
    </w:p>
    <w:p w14:paraId="4BAECC2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电子</w:t>
      </w:r>
      <w:r>
        <w:rPr>
          <w:rFonts w:hint="eastAsia" w:ascii="仿宋_GB2312" w:hAnsi="仿宋_GB2312" w:eastAsia="仿宋_GB2312" w:cs="仿宋_GB2312"/>
          <w:bCs w:val="0"/>
          <w:sz w:val="32"/>
          <w:szCs w:val="32"/>
        </w:rPr>
        <w:t>文件用MS office制作</w:t>
      </w:r>
      <w:r>
        <w:rPr>
          <w:rFonts w:hint="eastAsia" w:ascii="仿宋_GB2312" w:hAnsi="仿宋_GB2312" w:eastAsia="仿宋_GB2312" w:cs="仿宋_GB2312"/>
          <w:b w:val="0"/>
          <w:sz w:val="32"/>
          <w:szCs w:val="32"/>
        </w:rPr>
        <w:t>，</w:t>
      </w:r>
      <w:r>
        <w:rPr>
          <w:rFonts w:hint="eastAsia" w:ascii="仿宋_GB2312" w:hAnsi="仿宋_GB2312" w:eastAsia="仿宋_GB2312" w:cs="仿宋_GB2312"/>
          <w:bCs w:val="0"/>
          <w:sz w:val="32"/>
          <w:szCs w:val="32"/>
        </w:rPr>
        <w:t>内容包括：由</w:t>
      </w:r>
      <w:r>
        <w:rPr>
          <w:rFonts w:hint="eastAsia" w:ascii="仿宋_GB2312" w:hAnsi="仿宋_GB2312" w:eastAsia="仿宋_GB2312" w:cs="仿宋_GB2312"/>
          <w:bCs w:val="0"/>
          <w:sz w:val="32"/>
          <w:szCs w:val="32"/>
          <w:lang w:eastAsia="zh-CN"/>
        </w:rPr>
        <w:t>投标供应商</w:t>
      </w:r>
      <w:r>
        <w:rPr>
          <w:rFonts w:hint="eastAsia" w:ascii="仿宋_GB2312" w:hAnsi="仿宋_GB2312" w:eastAsia="仿宋_GB2312" w:cs="仿宋_GB2312"/>
          <w:bCs w:val="0"/>
          <w:sz w:val="32"/>
          <w:szCs w:val="32"/>
        </w:rPr>
        <w:t>自行制作的与</w:t>
      </w:r>
      <w:r>
        <w:rPr>
          <w:rFonts w:hint="eastAsia" w:ascii="仿宋_GB2312" w:hAnsi="仿宋_GB2312" w:eastAsia="仿宋_GB2312" w:cs="仿宋_GB2312"/>
          <w:bCs w:val="0"/>
          <w:sz w:val="32"/>
          <w:szCs w:val="32"/>
          <w:lang w:eastAsia="zh-CN"/>
        </w:rPr>
        <w:t>投标文件</w:t>
      </w:r>
      <w:r>
        <w:rPr>
          <w:rFonts w:hint="eastAsia" w:ascii="仿宋_GB2312" w:hAnsi="仿宋_GB2312" w:eastAsia="仿宋_GB2312" w:cs="仿宋_GB2312"/>
          <w:bCs w:val="0"/>
          <w:sz w:val="32"/>
          <w:szCs w:val="32"/>
        </w:rPr>
        <w:t>正本一致的所有文件。电子文件用U盘或光盘储存，并与</w:t>
      </w:r>
      <w:r>
        <w:rPr>
          <w:rFonts w:hint="eastAsia" w:ascii="仿宋_GB2312" w:hAnsi="仿宋_GB2312" w:eastAsia="仿宋_GB2312" w:cs="仿宋_GB2312"/>
          <w:bCs w:val="0"/>
          <w:sz w:val="32"/>
          <w:szCs w:val="32"/>
          <w:lang w:eastAsia="zh-CN"/>
        </w:rPr>
        <w:t>投标文件</w:t>
      </w:r>
      <w:r>
        <w:rPr>
          <w:rFonts w:hint="eastAsia" w:ascii="仿宋_GB2312" w:hAnsi="仿宋_GB2312" w:eastAsia="仿宋_GB2312" w:cs="仿宋_GB2312"/>
          <w:bCs w:val="0"/>
          <w:sz w:val="32"/>
          <w:szCs w:val="32"/>
        </w:rPr>
        <w:t>一并密封</w:t>
      </w:r>
      <w:r>
        <w:rPr>
          <w:rFonts w:hint="eastAsia" w:ascii="仿宋_GB2312" w:hAnsi="仿宋_GB2312" w:eastAsia="仿宋_GB2312" w:cs="仿宋_GB2312"/>
          <w:bCs w:val="0"/>
          <w:sz w:val="32"/>
          <w:szCs w:val="32"/>
          <w:lang w:val="en-US" w:eastAsia="zh-CN"/>
        </w:rPr>
        <w:t>。</w:t>
      </w:r>
    </w:p>
    <w:p w14:paraId="7746CAE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电报、电传、传真形式的谈判应答概不接受。</w:t>
      </w:r>
    </w:p>
    <w:p w14:paraId="6F0A6AB6">
      <w:pPr>
        <w:pStyle w:val="14"/>
        <w:keepNext w:val="0"/>
        <w:keepLines w:val="0"/>
        <w:pageBreakBefore w:val="0"/>
        <w:widowControl w:val="0"/>
        <w:kinsoku/>
        <w:wordWrap/>
        <w:overflowPunct/>
        <w:topLinePunct w:val="0"/>
        <w:bidi w:val="0"/>
        <w:adjustRightInd w:val="0"/>
        <w:snapToGrid w:val="0"/>
        <w:spacing w:line="579" w:lineRule="exact"/>
        <w:ind w:firstLine="4160" w:firstLineChars="1300"/>
        <w:textAlignment w:val="auto"/>
        <w:rPr>
          <w:rFonts w:hint="eastAsia"/>
          <w:szCs w:val="32"/>
          <w:lang w:val="en-US" w:eastAsia="zh-CN"/>
        </w:rPr>
      </w:pPr>
    </w:p>
    <w:p w14:paraId="569FB402">
      <w:pPr>
        <w:pStyle w:val="14"/>
        <w:keepNext w:val="0"/>
        <w:keepLines w:val="0"/>
        <w:pageBreakBefore w:val="0"/>
        <w:widowControl w:val="0"/>
        <w:kinsoku/>
        <w:wordWrap/>
        <w:overflowPunct/>
        <w:topLinePunct w:val="0"/>
        <w:bidi w:val="0"/>
        <w:adjustRightInd w:val="0"/>
        <w:snapToGrid w:val="0"/>
        <w:spacing w:line="579" w:lineRule="exact"/>
        <w:ind w:firstLine="4160" w:firstLineChars="1300"/>
        <w:textAlignment w:val="auto"/>
        <w:rPr>
          <w:rFonts w:hint="eastAsia"/>
          <w:szCs w:val="32"/>
          <w:lang w:val="en-US" w:eastAsia="zh-CN"/>
        </w:rPr>
      </w:pPr>
    </w:p>
    <w:p w14:paraId="471BFD9C">
      <w:pPr>
        <w:pStyle w:val="14"/>
        <w:keepNext w:val="0"/>
        <w:keepLines w:val="0"/>
        <w:pageBreakBefore w:val="0"/>
        <w:widowControl w:val="0"/>
        <w:kinsoku/>
        <w:wordWrap/>
        <w:overflowPunct/>
        <w:topLinePunct w:val="0"/>
        <w:bidi w:val="0"/>
        <w:adjustRightInd w:val="0"/>
        <w:snapToGrid w:val="0"/>
        <w:spacing w:line="579" w:lineRule="exact"/>
        <w:ind w:firstLine="4160" w:firstLineChars="1300"/>
        <w:textAlignment w:val="auto"/>
        <w:rPr>
          <w:rFonts w:hint="eastAsia"/>
          <w:szCs w:val="32"/>
          <w:lang w:val="en-US" w:eastAsia="zh-CN"/>
        </w:rPr>
      </w:pPr>
    </w:p>
    <w:p w14:paraId="0AA38423">
      <w:pPr>
        <w:pStyle w:val="14"/>
        <w:keepNext w:val="0"/>
        <w:keepLines w:val="0"/>
        <w:pageBreakBefore w:val="0"/>
        <w:widowControl w:val="0"/>
        <w:kinsoku/>
        <w:wordWrap/>
        <w:overflowPunct/>
        <w:topLinePunct w:val="0"/>
        <w:bidi w:val="0"/>
        <w:adjustRightInd w:val="0"/>
        <w:snapToGrid w:val="0"/>
        <w:spacing w:line="579" w:lineRule="exact"/>
        <w:ind w:firstLine="4480" w:firstLineChars="1400"/>
        <w:textAlignment w:val="auto"/>
        <w:rPr>
          <w:rFonts w:hint="eastAsia"/>
          <w:szCs w:val="32"/>
          <w:lang w:val="en-US" w:eastAsia="zh-CN"/>
        </w:rPr>
      </w:pPr>
      <w:r>
        <w:rPr>
          <w:rFonts w:hint="eastAsia"/>
          <w:szCs w:val="32"/>
          <w:lang w:val="en-US" w:eastAsia="zh-CN"/>
        </w:rPr>
        <w:t>深圳市福田区沙头街道办事处</w:t>
      </w:r>
    </w:p>
    <w:p w14:paraId="1A4C0E45">
      <w:pPr>
        <w:pStyle w:val="14"/>
        <w:keepNext w:val="0"/>
        <w:keepLines w:val="0"/>
        <w:pageBreakBefore w:val="0"/>
        <w:widowControl w:val="0"/>
        <w:kinsoku/>
        <w:wordWrap/>
        <w:overflowPunct/>
        <w:topLinePunct w:val="0"/>
        <w:bidi w:val="0"/>
        <w:adjustRightInd w:val="0"/>
        <w:snapToGrid w:val="0"/>
        <w:spacing w:line="579" w:lineRule="exact"/>
        <w:ind w:firstLine="5440" w:firstLineChars="1700"/>
        <w:textAlignment w:val="auto"/>
      </w:pPr>
      <w:r>
        <w:rPr>
          <w:rFonts w:hint="default"/>
          <w:szCs w:val="32"/>
          <w:lang w:val="en-US" w:eastAsia="zh-CN"/>
        </w:rPr>
        <w:t>20</w:t>
      </w:r>
      <w:r>
        <w:rPr>
          <w:rFonts w:hint="eastAsia"/>
          <w:szCs w:val="32"/>
          <w:lang w:val="en-US" w:eastAsia="zh-CN"/>
        </w:rPr>
        <w:t>25</w:t>
      </w:r>
      <w:r>
        <w:rPr>
          <w:rFonts w:hint="default"/>
          <w:szCs w:val="32"/>
          <w:lang w:val="en-US" w:eastAsia="zh-CN"/>
        </w:rPr>
        <w:t>年</w:t>
      </w:r>
      <w:r>
        <w:rPr>
          <w:rFonts w:hint="eastAsia"/>
          <w:szCs w:val="32"/>
          <w:lang w:val="en-US" w:eastAsia="zh-CN"/>
        </w:rPr>
        <w:t>11</w:t>
      </w:r>
      <w:r>
        <w:rPr>
          <w:rFonts w:hint="default"/>
          <w:szCs w:val="32"/>
          <w:lang w:val="en-US" w:eastAsia="zh-CN"/>
        </w:rPr>
        <w:t>月</w:t>
      </w:r>
      <w:r>
        <w:rPr>
          <w:rFonts w:hint="eastAsia"/>
          <w:szCs w:val="32"/>
          <w:lang w:val="en-US" w:eastAsia="zh-CN"/>
        </w:rPr>
        <w:t>25</w:t>
      </w:r>
      <w:bookmarkStart w:id="3" w:name="_GoBack"/>
      <w:bookmarkEnd w:id="3"/>
      <w:r>
        <w:rPr>
          <w:rFonts w:hint="default"/>
          <w:szCs w:val="32"/>
          <w:lang w:val="en-US" w:eastAsia="zh-CN"/>
        </w:rPr>
        <w:t>日</w:t>
      </w:r>
    </w:p>
    <w:p w14:paraId="21854CB1">
      <w:pPr>
        <w:keepNext w:val="0"/>
        <w:keepLines w:val="0"/>
        <w:pageBreakBefore w:val="0"/>
        <w:widowControl/>
        <w:kinsoku/>
        <w:overflowPunct/>
        <w:topLinePunct w:val="0"/>
        <w:bidi w:val="0"/>
        <w:spacing w:line="579" w:lineRule="exact"/>
        <w:rPr>
          <w:rFonts w:hint="eastAsia" w:ascii="黑体" w:hAnsi="黑体" w:eastAsia="黑体" w:cs="仿宋_GB2312"/>
          <w:color w:val="auto"/>
          <w:sz w:val="32"/>
          <w:szCs w:val="32"/>
          <w:highlight w:val="none"/>
          <w:u w:val="none"/>
          <w:lang w:val="en-US" w:eastAsia="zh-CN"/>
        </w:rPr>
      </w:pPr>
      <w:r>
        <w:rPr>
          <w:rFonts w:hint="eastAsia"/>
          <w:lang w:val="en-US" w:eastAsia="zh-CN"/>
        </w:rPr>
        <w:br w:type="page"/>
      </w:r>
      <w:r>
        <w:rPr>
          <w:rFonts w:hint="eastAsia" w:ascii="黑体" w:hAnsi="黑体" w:eastAsia="黑体" w:cs="仿宋_GB2312"/>
          <w:color w:val="auto"/>
          <w:sz w:val="32"/>
          <w:szCs w:val="32"/>
          <w:highlight w:val="none"/>
          <w:u w:val="none"/>
          <w:lang w:eastAsia="zh-CN"/>
        </w:rPr>
        <w:t>附件</w:t>
      </w:r>
      <w:r>
        <w:rPr>
          <w:rFonts w:hint="eastAsia" w:ascii="黑体" w:hAnsi="黑体" w:eastAsia="黑体" w:cs="仿宋_GB2312"/>
          <w:color w:val="auto"/>
          <w:sz w:val="32"/>
          <w:szCs w:val="32"/>
          <w:highlight w:val="none"/>
          <w:u w:val="none"/>
          <w:lang w:val="en-US" w:eastAsia="zh-CN"/>
        </w:rPr>
        <w:t>1</w:t>
      </w:r>
    </w:p>
    <w:p w14:paraId="115DA266">
      <w:pPr>
        <w:widowControl w:val="0"/>
        <w:snapToGrid w:val="0"/>
        <w:spacing w:before="0" w:after="0" w:line="240" w:lineRule="auto"/>
        <w:jc w:val="center"/>
        <w:outlineLvl w:val="0"/>
        <w:rPr>
          <w:rFonts w:hint="eastAsia" w:ascii="方正小标宋_GBK" w:hAnsi="方正小标宋_GBK" w:eastAsia="方正小标宋_GBK" w:cs="方正小标宋_GBK"/>
          <w:b w:val="0"/>
          <w:bCs w:val="0"/>
          <w:kern w:val="2"/>
          <w:sz w:val="44"/>
          <w:szCs w:val="44"/>
          <w:highlight w:val="none"/>
          <w:lang w:val="en-US" w:eastAsia="zh-CN" w:bidi="ar-SA"/>
        </w:rPr>
      </w:pPr>
    </w:p>
    <w:p w14:paraId="3CC1AD8C">
      <w:pPr>
        <w:widowControl w:val="0"/>
        <w:snapToGrid w:val="0"/>
        <w:spacing w:before="0" w:after="0" w:line="240" w:lineRule="auto"/>
        <w:jc w:val="center"/>
        <w:outlineLvl w:val="0"/>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b w:val="0"/>
          <w:bCs w:val="0"/>
          <w:kern w:val="2"/>
          <w:sz w:val="44"/>
          <w:szCs w:val="44"/>
          <w:highlight w:val="none"/>
          <w:lang w:val="en-US" w:eastAsia="zh-CN" w:bidi="ar-SA"/>
        </w:rPr>
        <w:t>供应商基本情况表</w:t>
      </w:r>
    </w:p>
    <w:p w14:paraId="3226DF07">
      <w:pPr>
        <w:pStyle w:val="13"/>
        <w:rPr>
          <w:rFonts w:hint="eastAsia"/>
          <w:highlight w:val="none"/>
          <w:lang w:val="en-US" w:eastAsia="zh-CN"/>
        </w:rPr>
      </w:pPr>
    </w:p>
    <w:p w14:paraId="43031435">
      <w:pP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填表单位：（加盖单位公章）</w:t>
      </w:r>
      <w:r>
        <w:rPr>
          <w:rFonts w:hint="eastAsia" w:ascii="黑体" w:hAnsi="黑体" w:eastAsia="黑体" w:cs="黑体"/>
          <w:sz w:val="28"/>
          <w:szCs w:val="28"/>
          <w:highlight w:val="none"/>
          <w:lang w:val="en-US" w:eastAsia="zh-CN"/>
        </w:rPr>
        <w:tab/>
      </w:r>
      <w:r>
        <w:rPr>
          <w:rFonts w:hint="eastAsia" w:ascii="黑体" w:hAnsi="黑体" w:eastAsia="黑体" w:cs="黑体"/>
          <w:sz w:val="28"/>
          <w:szCs w:val="28"/>
          <w:highlight w:val="none"/>
          <w:lang w:val="en-US" w:eastAsia="zh-CN"/>
        </w:rPr>
        <w:tab/>
      </w:r>
      <w:r>
        <w:rPr>
          <w:rFonts w:hint="eastAsia" w:ascii="黑体" w:hAnsi="黑体" w:eastAsia="黑体" w:cs="黑体"/>
          <w:sz w:val="28"/>
          <w:szCs w:val="28"/>
          <w:highlight w:val="none"/>
          <w:lang w:val="en-US" w:eastAsia="zh-CN"/>
        </w:rPr>
        <w:t xml:space="preserve">   填表日期：    年   月   日</w:t>
      </w:r>
    </w:p>
    <w:tbl>
      <w:tblPr>
        <w:tblStyle w:val="1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5CB9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12" w:type="dxa"/>
            <w:gridSpan w:val="2"/>
            <w:noWrap w:val="0"/>
            <w:vAlign w:val="center"/>
          </w:tcPr>
          <w:p w14:paraId="5FA6FD0C">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采购人</w:t>
            </w:r>
          </w:p>
        </w:tc>
        <w:tc>
          <w:tcPr>
            <w:tcW w:w="2553" w:type="dxa"/>
            <w:gridSpan w:val="2"/>
            <w:noWrap w:val="0"/>
            <w:vAlign w:val="center"/>
          </w:tcPr>
          <w:p w14:paraId="4C9AF60D">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241CAE77">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项目名称</w:t>
            </w:r>
          </w:p>
        </w:tc>
        <w:tc>
          <w:tcPr>
            <w:tcW w:w="2985" w:type="dxa"/>
            <w:gridSpan w:val="2"/>
            <w:noWrap w:val="0"/>
            <w:vAlign w:val="center"/>
          </w:tcPr>
          <w:p w14:paraId="6C84FE48">
            <w:pPr>
              <w:jc w:val="center"/>
              <w:rPr>
                <w:rFonts w:hint="eastAsia" w:ascii="仿宋_GB2312" w:hAnsi="仿宋_GB2312" w:eastAsia="仿宋_GB2312" w:cs="仿宋_GB2312"/>
                <w:sz w:val="24"/>
                <w:szCs w:val="24"/>
                <w:highlight w:val="none"/>
                <w:vertAlign w:val="baseline"/>
                <w:lang w:val="en-US" w:eastAsia="zh-CN"/>
              </w:rPr>
            </w:pPr>
          </w:p>
        </w:tc>
      </w:tr>
      <w:tr w14:paraId="0DE9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28A51EB2">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投标（响应）供应商</w:t>
            </w:r>
          </w:p>
        </w:tc>
        <w:tc>
          <w:tcPr>
            <w:tcW w:w="2553" w:type="dxa"/>
            <w:gridSpan w:val="2"/>
            <w:noWrap w:val="0"/>
            <w:vAlign w:val="center"/>
          </w:tcPr>
          <w:p w14:paraId="087E7DB0">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2E97741E">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供应商统一社会信用代码</w:t>
            </w:r>
          </w:p>
        </w:tc>
        <w:tc>
          <w:tcPr>
            <w:tcW w:w="2985" w:type="dxa"/>
            <w:gridSpan w:val="2"/>
            <w:noWrap w:val="0"/>
            <w:vAlign w:val="center"/>
          </w:tcPr>
          <w:p w14:paraId="0B009F67">
            <w:pPr>
              <w:jc w:val="center"/>
              <w:rPr>
                <w:rFonts w:hint="eastAsia" w:ascii="仿宋_GB2312" w:hAnsi="仿宋_GB2312" w:eastAsia="仿宋_GB2312" w:cs="仿宋_GB2312"/>
                <w:sz w:val="24"/>
                <w:szCs w:val="24"/>
                <w:highlight w:val="none"/>
                <w:vertAlign w:val="baseline"/>
                <w:lang w:val="en-US" w:eastAsia="zh-CN"/>
              </w:rPr>
            </w:pPr>
          </w:p>
        </w:tc>
      </w:tr>
      <w:tr w14:paraId="2972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5F42734B">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投标（响应）供应商相关人员情况</w:t>
            </w:r>
          </w:p>
        </w:tc>
      </w:tr>
      <w:tr w14:paraId="5BC4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30351CE6">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序号</w:t>
            </w:r>
          </w:p>
        </w:tc>
        <w:tc>
          <w:tcPr>
            <w:tcW w:w="2282" w:type="dxa"/>
            <w:gridSpan w:val="2"/>
            <w:tcBorders>
              <w:bottom w:val="single" w:color="auto" w:sz="4" w:space="0"/>
            </w:tcBorders>
            <w:noWrap w:val="0"/>
            <w:vAlign w:val="center"/>
          </w:tcPr>
          <w:p w14:paraId="3EFB5511">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职务</w:t>
            </w:r>
          </w:p>
        </w:tc>
        <w:tc>
          <w:tcPr>
            <w:tcW w:w="947" w:type="dxa"/>
            <w:tcBorders>
              <w:bottom w:val="single" w:color="auto" w:sz="4" w:space="0"/>
            </w:tcBorders>
            <w:noWrap w:val="0"/>
            <w:vAlign w:val="center"/>
          </w:tcPr>
          <w:p w14:paraId="1FF64027">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姓名</w:t>
            </w:r>
          </w:p>
        </w:tc>
        <w:tc>
          <w:tcPr>
            <w:tcW w:w="1991" w:type="dxa"/>
            <w:gridSpan w:val="2"/>
            <w:tcBorders>
              <w:bottom w:val="single" w:color="auto" w:sz="4" w:space="0"/>
            </w:tcBorders>
            <w:noWrap w:val="0"/>
            <w:vAlign w:val="center"/>
          </w:tcPr>
          <w:p w14:paraId="09C076F6">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6435FE4B">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劳动合同</w:t>
            </w:r>
          </w:p>
          <w:p w14:paraId="257BFA63">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关系单位</w:t>
            </w:r>
          </w:p>
        </w:tc>
        <w:tc>
          <w:tcPr>
            <w:tcW w:w="1485" w:type="dxa"/>
            <w:tcBorders>
              <w:bottom w:val="single" w:color="auto" w:sz="4" w:space="0"/>
            </w:tcBorders>
            <w:noWrap w:val="0"/>
            <w:vAlign w:val="center"/>
          </w:tcPr>
          <w:p w14:paraId="2C0333B0">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缴纳社会</w:t>
            </w:r>
          </w:p>
          <w:p w14:paraId="07BBA00B">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保险单位</w:t>
            </w:r>
          </w:p>
        </w:tc>
      </w:tr>
      <w:tr w14:paraId="76C3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8157F66">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2CC72EC">
            <w:pPr>
              <w:spacing w:line="3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highlight w:val="none"/>
              </w:rPr>
              <w:t>法定代表人</w:t>
            </w:r>
            <w:r>
              <w:rPr>
                <w:rFonts w:hint="eastAsia" w:ascii="仿宋_GB2312" w:hAnsi="仿宋_GB2312" w:eastAsia="仿宋_GB2312" w:cs="仿宋_GB2312"/>
                <w:sz w:val="24"/>
                <w:szCs w:val="24"/>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34048D3">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FE039AD">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5664357">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CBA26AE">
            <w:pPr>
              <w:jc w:val="center"/>
              <w:rPr>
                <w:rFonts w:hint="eastAsia" w:ascii="仿宋_GB2312" w:hAnsi="仿宋_GB2312" w:eastAsia="仿宋_GB2312" w:cs="仿宋_GB2312"/>
                <w:sz w:val="24"/>
                <w:szCs w:val="24"/>
                <w:highlight w:val="none"/>
                <w:vertAlign w:val="baseline"/>
                <w:lang w:val="en-US" w:eastAsia="zh-CN"/>
              </w:rPr>
            </w:pPr>
          </w:p>
        </w:tc>
      </w:tr>
      <w:tr w14:paraId="74B2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194A2C15">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835C69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A30FF0F">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37F318C">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356030C">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6A86173">
            <w:pPr>
              <w:jc w:val="center"/>
              <w:rPr>
                <w:rFonts w:hint="eastAsia" w:ascii="仿宋_GB2312" w:hAnsi="仿宋_GB2312" w:eastAsia="仿宋_GB2312" w:cs="仿宋_GB2312"/>
                <w:sz w:val="24"/>
                <w:szCs w:val="24"/>
                <w:highlight w:val="none"/>
                <w:vertAlign w:val="baseline"/>
                <w:lang w:val="en-US" w:eastAsia="zh-CN"/>
              </w:rPr>
            </w:pPr>
          </w:p>
        </w:tc>
      </w:tr>
      <w:tr w14:paraId="45F3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36" w:type="dxa"/>
            <w:tcBorders>
              <w:top w:val="single" w:color="auto" w:sz="4" w:space="0"/>
            </w:tcBorders>
            <w:noWrap w:val="0"/>
            <w:vAlign w:val="center"/>
          </w:tcPr>
          <w:p w14:paraId="0F8ED24D">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3</w:t>
            </w:r>
          </w:p>
        </w:tc>
        <w:tc>
          <w:tcPr>
            <w:tcW w:w="2282" w:type="dxa"/>
            <w:gridSpan w:val="2"/>
            <w:tcBorders>
              <w:top w:val="single" w:color="auto" w:sz="4" w:space="0"/>
            </w:tcBorders>
            <w:noWrap w:val="0"/>
            <w:vAlign w:val="center"/>
          </w:tcPr>
          <w:p w14:paraId="3E76D095">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tcBorders>
            <w:noWrap w:val="0"/>
            <w:vAlign w:val="center"/>
          </w:tcPr>
          <w:p w14:paraId="418C71E5">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tcBorders>
            <w:noWrap w:val="0"/>
            <w:vAlign w:val="center"/>
          </w:tcPr>
          <w:p w14:paraId="66DF6AE8">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tcBorders>
            <w:noWrap w:val="0"/>
            <w:vAlign w:val="center"/>
          </w:tcPr>
          <w:p w14:paraId="12876665">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tcBorders>
            <w:noWrap w:val="0"/>
            <w:vAlign w:val="center"/>
          </w:tcPr>
          <w:p w14:paraId="44198475">
            <w:pPr>
              <w:jc w:val="center"/>
              <w:rPr>
                <w:rFonts w:hint="eastAsia" w:ascii="仿宋_GB2312" w:hAnsi="仿宋_GB2312" w:eastAsia="仿宋_GB2312" w:cs="仿宋_GB2312"/>
                <w:sz w:val="24"/>
                <w:szCs w:val="24"/>
                <w:highlight w:val="none"/>
                <w:vertAlign w:val="baseline"/>
                <w:lang w:val="en-US" w:eastAsia="zh-CN"/>
              </w:rPr>
            </w:pPr>
          </w:p>
        </w:tc>
      </w:tr>
      <w:tr w14:paraId="1BB6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36" w:type="dxa"/>
            <w:noWrap w:val="0"/>
            <w:vAlign w:val="center"/>
          </w:tcPr>
          <w:p w14:paraId="38CC1272">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4</w:t>
            </w:r>
          </w:p>
        </w:tc>
        <w:tc>
          <w:tcPr>
            <w:tcW w:w="2282" w:type="dxa"/>
            <w:gridSpan w:val="2"/>
            <w:noWrap w:val="0"/>
            <w:vAlign w:val="center"/>
          </w:tcPr>
          <w:p w14:paraId="2B09F9AA">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noWrap w:val="0"/>
            <w:vAlign w:val="center"/>
          </w:tcPr>
          <w:p w14:paraId="0AC1054D">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0AE5D11B">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7D3B2DDC">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650C4CCC">
            <w:pPr>
              <w:jc w:val="center"/>
              <w:rPr>
                <w:rFonts w:hint="eastAsia" w:ascii="仿宋_GB2312" w:hAnsi="仿宋_GB2312" w:eastAsia="仿宋_GB2312" w:cs="仿宋_GB2312"/>
                <w:sz w:val="24"/>
                <w:szCs w:val="24"/>
                <w:highlight w:val="none"/>
                <w:vertAlign w:val="baseline"/>
                <w:lang w:val="en-US" w:eastAsia="zh-CN"/>
              </w:rPr>
            </w:pPr>
          </w:p>
        </w:tc>
      </w:tr>
      <w:tr w14:paraId="3C7A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36" w:type="dxa"/>
            <w:noWrap w:val="0"/>
            <w:vAlign w:val="center"/>
          </w:tcPr>
          <w:p w14:paraId="783367D2">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5</w:t>
            </w:r>
          </w:p>
        </w:tc>
        <w:tc>
          <w:tcPr>
            <w:tcW w:w="2282" w:type="dxa"/>
            <w:gridSpan w:val="2"/>
            <w:noWrap w:val="0"/>
            <w:vAlign w:val="center"/>
          </w:tcPr>
          <w:p w14:paraId="34ACDDA1">
            <w:pPr>
              <w:widowControl w:val="0"/>
              <w:snapToGrid w:val="0"/>
              <w:ind w:left="0" w:leftChars="0" w:firstLine="0" w:firstLineChars="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投标文件编制人员</w:t>
            </w:r>
          </w:p>
        </w:tc>
        <w:tc>
          <w:tcPr>
            <w:tcW w:w="947" w:type="dxa"/>
            <w:noWrap w:val="0"/>
            <w:vAlign w:val="center"/>
          </w:tcPr>
          <w:p w14:paraId="440B9C3E">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38AF53F7">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36DD0263">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5AE1285C">
            <w:pPr>
              <w:jc w:val="center"/>
              <w:rPr>
                <w:rFonts w:hint="eastAsia" w:ascii="仿宋_GB2312" w:hAnsi="仿宋_GB2312" w:eastAsia="仿宋_GB2312" w:cs="仿宋_GB2312"/>
                <w:sz w:val="24"/>
                <w:szCs w:val="24"/>
                <w:highlight w:val="none"/>
                <w:vertAlign w:val="baseline"/>
                <w:lang w:val="en-US" w:eastAsia="zh-CN"/>
              </w:rPr>
            </w:pPr>
          </w:p>
        </w:tc>
      </w:tr>
      <w:tr w14:paraId="3DEB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5AE80437">
            <w:pPr>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14:paraId="54BC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4EA1C3DD">
            <w:pPr>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投标（响应）供应商关联关系情况</w:t>
            </w:r>
          </w:p>
        </w:tc>
      </w:tr>
      <w:tr w14:paraId="7739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5E5D2542">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14:paraId="5BD7E421">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368C23FD">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4EC1F3EF">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2A7A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6F67EA3">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7C43ECB">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9FABF3E">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993DF3D">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C2B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48A3BAA">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CD6B234">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07CB8A53">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D639293">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14:paraId="3AAC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6EC3F66D">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14:paraId="4D9341ED">
      <w:pPr>
        <w:keepNext w:val="0"/>
        <w:keepLines w:val="0"/>
        <w:pageBreakBefore w:val="0"/>
        <w:kinsoku/>
        <w:wordWrap w:val="0"/>
        <w:overflowPunct/>
        <w:topLinePunct w:val="0"/>
        <w:bidi w:val="0"/>
        <w:adjustRightInd/>
        <w:snapToGrid/>
        <w:spacing w:beforeLines="0" w:afterLines="0" w:line="579" w:lineRule="exact"/>
        <w:ind w:firstLine="0" w:firstLineChars="0"/>
        <w:jc w:val="both"/>
        <w:outlineLvl w:val="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rPr>
        <w:t>附件</w:t>
      </w:r>
      <w:r>
        <w:rPr>
          <w:rFonts w:hint="eastAsia" w:ascii="黑体" w:hAnsi="黑体" w:eastAsia="黑体" w:cs="黑体"/>
          <w:bCs/>
          <w:sz w:val="32"/>
          <w:szCs w:val="32"/>
          <w:highlight w:val="none"/>
          <w:lang w:val="en-US" w:eastAsia="zh-CN"/>
        </w:rPr>
        <w:t>2</w:t>
      </w:r>
    </w:p>
    <w:p w14:paraId="258449E5">
      <w:pPr>
        <w:widowControl w:val="0"/>
        <w:spacing w:line="579" w:lineRule="exact"/>
        <w:ind w:firstLine="320" w:firstLineChars="100"/>
        <w:jc w:val="center"/>
        <w:rPr>
          <w:rFonts w:hint="eastAsia" w:ascii="黑体" w:hAnsi="黑体" w:eastAsia="黑体" w:cs="黑体"/>
          <w:kern w:val="2"/>
          <w:sz w:val="32"/>
          <w:szCs w:val="32"/>
          <w:highlight w:val="none"/>
          <w:lang w:val="en-US" w:eastAsia="zh-CN" w:bidi="ar-SA"/>
        </w:rPr>
      </w:pPr>
    </w:p>
    <w:p w14:paraId="7E48EF3A">
      <w:pPr>
        <w:keepNext w:val="0"/>
        <w:keepLines w:val="0"/>
        <w:pageBreakBefore w:val="0"/>
        <w:widowControl/>
        <w:kinsoku/>
        <w:wordWrap/>
        <w:overflowPunct/>
        <w:topLinePunct w:val="0"/>
        <w:bidi w:val="0"/>
        <w:adjustRightInd/>
        <w:snapToGrid/>
        <w:spacing w:beforeLines="0" w:afterLines="0" w:line="579" w:lineRule="exact"/>
        <w:ind w:firstLine="0" w:firstLineChars="0"/>
        <w:jc w:val="center"/>
        <w:outlineLvl w:val="0"/>
        <w:rPr>
          <w:rFonts w:hint="eastAsia" w:ascii="方正小标宋_GBK" w:hAnsi="方正小标宋_GBK" w:eastAsia="方正小标宋_GBK" w:cs="方正小标宋_GBK"/>
          <w:b w:val="0"/>
          <w:bCs w:val="0"/>
          <w:spacing w:val="-2"/>
          <w:sz w:val="44"/>
          <w:szCs w:val="44"/>
          <w:highlight w:val="none"/>
          <w:lang w:val="en-US" w:eastAsia="zh-CN"/>
        </w:rPr>
      </w:pPr>
      <w:r>
        <w:rPr>
          <w:rFonts w:hint="eastAsia" w:ascii="方正小标宋_GBK" w:hAnsi="方正小标宋_GBK" w:eastAsia="方正小标宋_GBK" w:cs="方正小标宋_GBK"/>
          <w:b w:val="0"/>
          <w:bCs w:val="0"/>
          <w:spacing w:val="-2"/>
          <w:sz w:val="44"/>
          <w:szCs w:val="44"/>
          <w:highlight w:val="none"/>
          <w:lang w:val="en-US" w:eastAsia="zh-CN"/>
        </w:rPr>
        <w:t>政府采购违法行为风险知悉确认书</w:t>
      </w:r>
    </w:p>
    <w:p w14:paraId="7C3CFC43">
      <w:pPr>
        <w:widowControl w:val="0"/>
        <w:spacing w:line="579" w:lineRule="exact"/>
        <w:ind w:firstLine="320" w:firstLineChars="100"/>
        <w:jc w:val="center"/>
        <w:rPr>
          <w:rFonts w:hint="eastAsia" w:ascii="黑体" w:hAnsi="黑体" w:eastAsia="黑体" w:cs="黑体"/>
          <w:kern w:val="2"/>
          <w:sz w:val="32"/>
          <w:szCs w:val="32"/>
          <w:highlight w:val="none"/>
          <w:lang w:val="en-US" w:eastAsia="zh-CN" w:bidi="ar-SA"/>
        </w:rPr>
      </w:pPr>
    </w:p>
    <w:p w14:paraId="76074139">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b w:val="0"/>
          <w:bCs w:val="0"/>
          <w:kern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本公司在投标前已充分知悉以下情形为参与政府采购活动时的重大风险事项，并承诺已对下述风险提示事项重点排查，做到严谨、诚信、依法依规参与政府采购活动。</w:t>
      </w:r>
    </w:p>
    <w:p w14:paraId="73D51168">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b w:val="0"/>
          <w:bCs w:val="0"/>
          <w:sz w:val="32"/>
          <w:szCs w:val="32"/>
          <w:highlight w:val="none"/>
          <w:lang w:val="en-US" w:eastAsia="zh-CN"/>
        </w:rPr>
        <w:t>一、本公司已充分知悉“隐瞒真实情况，提供虚假资料”的法定情形，相关情形包括但不限于</w:t>
      </w:r>
    </w:p>
    <w:p w14:paraId="307C1E85">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（一）通过转让或者租借等方式从其他单位获取资格或者资质证书投标的。</w:t>
      </w:r>
    </w:p>
    <w:p w14:paraId="281DC505">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（二）由其他单位或者其他单位负责人在投标供应商编制的投标文件上加盖印章或者签字的。</w:t>
      </w:r>
    </w:p>
    <w:p w14:paraId="3CB2B7A3">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（三）项目负责人或者主要技术人员不是本单位人员的。</w:t>
      </w:r>
    </w:p>
    <w:p w14:paraId="3251C64C">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（四）投标保证金不是从投标供应商基本账户转出的。</w:t>
      </w:r>
    </w:p>
    <w:p w14:paraId="304CF2DC">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（五）其他隐瞒真实情况、提供虚假资料的行为。</w:t>
      </w:r>
    </w:p>
    <w:p w14:paraId="1DD653DB">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b w:val="0"/>
          <w:bCs w:val="0"/>
          <w:sz w:val="32"/>
          <w:szCs w:val="32"/>
          <w:highlight w:val="none"/>
          <w:lang w:val="en-US" w:eastAsia="zh-CN"/>
        </w:rPr>
        <w:t>二、本公司已充分知悉“与其他采购参加人串通投标”的法定情形，相关情形包括但不限于</w:t>
      </w:r>
    </w:p>
    <w:p w14:paraId="191A81A6">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（一）投标供应商之间相互约定给予未中标的供应商利益补偿。 </w:t>
      </w:r>
    </w:p>
    <w:p w14:paraId="57068066">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（二）不同投标供应商的法定代表人、主要经营负责人、项目投标授权代表人、项目负责人、主要技术人员为同一人、属同一单位或者在同一单位缴纳社会保险。</w:t>
      </w:r>
    </w:p>
    <w:p w14:paraId="2D9612D9">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（三）不同投标供应商的投标文件由同一单位或者同一人编制，或者由同一人分阶段参与编制的。</w:t>
      </w:r>
    </w:p>
    <w:p w14:paraId="54990BFC">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（四）不同投标供应商的投标文件或部分投标文件相互混装。</w:t>
      </w:r>
    </w:p>
    <w:p w14:paraId="29C1DDAD">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（五）不同投标供应商的投标文件内容存在非正常一致。</w:t>
      </w:r>
    </w:p>
    <w:p w14:paraId="2D87DD77">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（六）由同一单位工作人员为两家以上（含两家）供应商进行同一项投标活动的。</w:t>
      </w:r>
    </w:p>
    <w:p w14:paraId="2BE63CB9">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b w:val="0"/>
          <w:bCs w:val="0"/>
          <w:sz w:val="32"/>
          <w:szCs w:val="32"/>
          <w:highlight w:val="none"/>
          <w:u w:val="none"/>
          <w:lang w:val="en-US" w:eastAsia="zh-CN"/>
        </w:rPr>
        <w:t>不同投标人的投标报价呈规律性差异。</w:t>
      </w:r>
    </w:p>
    <w:p w14:paraId="3A419A3A">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b w:val="0"/>
          <w:bCs w:val="0"/>
          <w:sz w:val="32"/>
          <w:szCs w:val="32"/>
          <w:highlight w:val="none"/>
          <w:u w:val="none"/>
          <w:lang w:val="en-US" w:eastAsia="zh-CN"/>
        </w:rPr>
        <w:t>不同投标人的投标保证金从同一单位或者个人的账户转出。</w:t>
      </w:r>
    </w:p>
    <w:p w14:paraId="4305CB2C">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（九）主管部门依照法律、法规认定的其他情形。</w:t>
      </w:r>
    </w:p>
    <w:p w14:paraId="26FE0080">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b/>
          <w:bCs/>
          <w:sz w:val="32"/>
          <w:szCs w:val="32"/>
          <w:highlight w:val="none"/>
          <w:lang w:val="en-US" w:eastAsia="zh-CN"/>
        </w:rPr>
      </w:pPr>
      <w:r>
        <w:rPr>
          <w:rFonts w:hint="eastAsia" w:ascii="黑体" w:hAnsi="黑体" w:eastAsia="黑体" w:cs="黑体"/>
          <w:b w:val="0"/>
          <w:bCs w:val="0"/>
          <w:sz w:val="32"/>
          <w:szCs w:val="32"/>
          <w:highlight w:val="none"/>
          <w:lang w:val="en-US" w:eastAsia="zh-CN"/>
        </w:rPr>
        <w:t>三、本公司已充分知悉下列情形所对应的法律风险，并在投标前已对相关风险事项进行排查</w:t>
      </w:r>
    </w:p>
    <w:p w14:paraId="76B4FDA4">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（一）对于</w:t>
      </w:r>
      <w:r>
        <w:rPr>
          <w:rFonts w:hint="eastAsia" w:ascii="仿宋_GB2312" w:hAnsi="Times New Roman" w:eastAsia="仿宋_GB2312" w:cs="Times New Roman"/>
          <w:sz w:val="32"/>
          <w:szCs w:val="32"/>
          <w:highlight w:val="none"/>
          <w:lang w:eastAsia="zh-CN"/>
        </w:rPr>
        <w:t>从</w:t>
      </w:r>
      <w:r>
        <w:rPr>
          <w:rFonts w:hint="eastAsia" w:ascii="仿宋_GB2312" w:hAnsi="仿宋_GB2312" w:eastAsia="仿宋_GB2312" w:cs="仿宋_GB2312"/>
          <w:sz w:val="32"/>
          <w:szCs w:val="32"/>
          <w:highlight w:val="none"/>
          <w:lang w:val="en-US" w:eastAsia="zh-CN"/>
        </w:rPr>
        <w:t>其他主体</w:t>
      </w:r>
      <w:r>
        <w:rPr>
          <w:rFonts w:hint="eastAsia" w:ascii="仿宋_GB2312" w:hAnsi="Times New Roman" w:eastAsia="仿宋_GB2312" w:cs="Times New Roman"/>
          <w:sz w:val="32"/>
          <w:szCs w:val="32"/>
          <w:highlight w:val="none"/>
          <w:lang w:eastAsia="zh-CN"/>
        </w:rPr>
        <w:t>获取</w:t>
      </w:r>
      <w:r>
        <w:rPr>
          <w:rFonts w:hint="eastAsia" w:ascii="仿宋_GB2312" w:hAnsi="仿宋_GB2312" w:eastAsia="仿宋_GB2312" w:cs="仿宋_GB2312"/>
          <w:sz w:val="32"/>
          <w:szCs w:val="32"/>
          <w:highlight w:val="none"/>
          <w:lang w:val="en-US" w:eastAsia="zh-CN"/>
        </w:rPr>
        <w:t>的投标资料，供应商应审慎核查，确保投标资料的真实性。</w:t>
      </w:r>
      <w:r>
        <w:rPr>
          <w:rFonts w:hint="eastAsia" w:ascii="仿宋_GB2312" w:hAnsi="仿宋_GB2312" w:eastAsia="仿宋_GB2312" w:cs="仿宋_GB2312"/>
          <w:b/>
          <w:bCs/>
          <w:sz w:val="32"/>
          <w:szCs w:val="32"/>
          <w:highlight w:val="none"/>
          <w:lang w:val="en-US" w:eastAsia="zh-CN"/>
        </w:rPr>
        <w:t>如主管部门查实投标文件中存在虚假资料的，无论相关资料是否由第三方或本公司员工提供，均不影响主管部门对供应商存在“隐瞒真实情况，提供虚假资料”违法行为的认定。</w:t>
      </w:r>
    </w:p>
    <w:p w14:paraId="17E00898">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67D0286A">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（三）对于涉及安全生产、特种作业、抢险救灾、防疫等政府采购项目，供应商实施提供虚假资料、串通投标等违法行为的，主管部门将依法从严处理。 </w:t>
      </w:r>
    </w:p>
    <w:p w14:paraId="03B3CA3C">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（四）供应商应严格规范项目授权代表、员工参与招标投标的行为，加强对投标文件的审核。项目授权代表、员工</w:t>
      </w:r>
      <w:r>
        <w:rPr>
          <w:rFonts w:hint="eastAsia" w:ascii="仿宋_GB2312" w:hAnsi="Times New Roman" w:eastAsia="仿宋_GB2312" w:cs="Times New Roman"/>
          <w:sz w:val="32"/>
          <w:szCs w:val="32"/>
          <w:highlight w:val="none"/>
          <w:lang w:eastAsia="zh-CN"/>
        </w:rPr>
        <w:t>编制、上传</w:t>
      </w:r>
      <w:r>
        <w:rPr>
          <w:rFonts w:hint="eastAsia" w:ascii="仿宋_GB2312" w:hAnsi="仿宋_GB2312" w:eastAsia="仿宋_GB2312" w:cs="仿宋_GB2312"/>
          <w:sz w:val="32"/>
          <w:szCs w:val="32"/>
          <w:highlight w:val="none"/>
          <w:lang w:val="en-US" w:eastAsia="zh-CN"/>
        </w:rPr>
        <w:t>投标文件</w:t>
      </w:r>
      <w:r>
        <w:rPr>
          <w:rFonts w:hint="eastAsia" w:ascii="仿宋_GB2312" w:hAnsi="Times New Roman" w:eastAsia="仿宋_GB2312" w:cs="Times New Roman"/>
          <w:sz w:val="32"/>
          <w:szCs w:val="32"/>
          <w:highlight w:val="none"/>
          <w:lang w:eastAsia="zh-CN"/>
        </w:rPr>
        <w:t>等行为</w:t>
      </w:r>
      <w:r>
        <w:rPr>
          <w:rFonts w:hint="eastAsia" w:ascii="仿宋_GB2312" w:hAnsi="仿宋_GB2312" w:eastAsia="仿宋_GB2312" w:cs="仿宋_GB2312"/>
          <w:sz w:val="32"/>
          <w:szCs w:val="32"/>
          <w:highlight w:val="none"/>
          <w:lang w:val="en-US" w:eastAsia="zh-CN"/>
        </w:rPr>
        <w:t>违反政府采购法律法规或招标文件要求的，投标供应商应当依法承担相应法律责任。</w:t>
      </w:r>
    </w:p>
    <w:p w14:paraId="211A99BE">
      <w:pPr>
        <w:keepNext w:val="0"/>
        <w:keepLines w:val="0"/>
        <w:pageBreakBefore w:val="0"/>
        <w:numPr>
          <w:ilvl w:val="0"/>
          <w:numId w:val="0"/>
        </w:numPr>
        <w:kinsoku/>
        <w:overflowPunct/>
        <w:topLinePunct w:val="0"/>
        <w:bidi w:val="0"/>
        <w:snapToGrid/>
        <w:spacing w:beforeLines="0" w:afterLines="0" w:line="579"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5F5BF86">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（六）单位负责人为同一人或者存在直接控股、管理关系的不同供应商，不得参加同一合同项下的政府采购活动。相关情形</w:t>
      </w:r>
      <w:r>
        <w:rPr>
          <w:rFonts w:hint="eastAsia" w:ascii="仿宋_GB2312" w:hAnsi="Times New Roman" w:eastAsia="仿宋_GB2312" w:cs="Times New Roman"/>
          <w:sz w:val="32"/>
          <w:szCs w:val="32"/>
          <w:highlight w:val="none"/>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14:paraId="2027E923">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四、本公司已充分知悉</w:t>
      </w:r>
      <w:r>
        <w:rPr>
          <w:rFonts w:hint="eastAsia" w:ascii="黑体" w:hAnsi="黑体" w:eastAsia="黑体" w:cs="黑体"/>
          <w:b w:val="0"/>
          <w:bCs w:val="0"/>
          <w:sz w:val="32"/>
          <w:szCs w:val="32"/>
          <w:highlight w:val="none"/>
          <w:u w:val="none"/>
          <w:lang w:val="en-US" w:eastAsia="zh-CN"/>
        </w:rPr>
        <w:t>政府采购违法、违规行为</w:t>
      </w:r>
      <w:r>
        <w:rPr>
          <w:rFonts w:hint="eastAsia" w:ascii="黑体" w:hAnsi="黑体" w:eastAsia="黑体" w:cs="黑体"/>
          <w:b w:val="0"/>
          <w:bCs w:val="0"/>
          <w:sz w:val="32"/>
          <w:szCs w:val="32"/>
          <w:highlight w:val="none"/>
          <w:lang w:val="en-US" w:eastAsia="zh-CN"/>
        </w:rPr>
        <w:t>的法律后果</w:t>
      </w:r>
    </w:p>
    <w:p w14:paraId="381EAD8F">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经查实，若投标供应商存在</w:t>
      </w:r>
      <w:r>
        <w:rPr>
          <w:rFonts w:hint="eastAsia" w:ascii="仿宋_GB2312" w:hAnsi="仿宋_GB2312" w:eastAsia="仿宋_GB2312" w:cs="仿宋_GB2312"/>
          <w:sz w:val="32"/>
          <w:szCs w:val="32"/>
          <w:highlight w:val="none"/>
          <w:u w:val="none"/>
          <w:lang w:val="en-US" w:eastAsia="zh-CN"/>
        </w:rPr>
        <w:t>政府采购违法、违规行为</w:t>
      </w:r>
      <w:r>
        <w:rPr>
          <w:rFonts w:hint="eastAsia" w:ascii="仿宋_GB2312" w:hAnsi="仿宋_GB2312" w:eastAsia="仿宋_GB2312" w:cs="仿宋_GB2312"/>
          <w:sz w:val="32"/>
          <w:szCs w:val="32"/>
          <w:highlight w:val="none"/>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DA8B342">
      <w:pPr>
        <w:keepNext w:val="0"/>
        <w:keepLines w:val="0"/>
        <w:pageBreakBefore w:val="0"/>
        <w:numPr>
          <w:ilvl w:val="0"/>
          <w:numId w:val="0"/>
        </w:numPr>
        <w:kinsoku/>
        <w:overflowPunct/>
        <w:topLinePunct w:val="0"/>
        <w:bidi w:val="0"/>
        <w:snapToGrid/>
        <w:spacing w:beforeLines="0" w:afterLines="0" w:line="579"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highlight w:val="none"/>
          <w:lang w:val="en-US" w:eastAsia="zh-CN"/>
        </w:rPr>
        <w:t>严谨、诚信、依法依规参与政府采购活动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w:t>
      </w:r>
    </w:p>
    <w:p w14:paraId="095FD82D">
      <w:pPr>
        <w:keepNext w:val="0"/>
        <w:keepLines w:val="0"/>
        <w:pageBreakBefore w:val="0"/>
        <w:numPr>
          <w:ilvl w:val="0"/>
          <w:numId w:val="0"/>
        </w:numPr>
        <w:kinsoku/>
        <w:overflowPunct/>
        <w:topLinePunct w:val="0"/>
        <w:bidi w:val="0"/>
        <w:snapToGrid/>
        <w:spacing w:beforeLines="0" w:afterLines="0" w:line="579" w:lineRule="exac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u w:val="single"/>
          <w:lang w:val="en-US" w:eastAsia="zh-CN"/>
        </w:rPr>
        <w:t xml:space="preserve">                                                    </w:t>
      </w:r>
    </w:p>
    <w:p w14:paraId="391412DA">
      <w:pPr>
        <w:keepNext w:val="0"/>
        <w:keepLines w:val="0"/>
        <w:pageBreakBefore w:val="0"/>
        <w:numPr>
          <w:ilvl w:val="0"/>
          <w:numId w:val="0"/>
        </w:numPr>
        <w:kinsoku/>
        <w:overflowPunct/>
        <w:topLinePunct w:val="0"/>
        <w:bidi w:val="0"/>
        <w:snapToGrid/>
        <w:spacing w:beforeLines="0" w:afterLines="0" w:line="579" w:lineRule="exact"/>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single"/>
          <w:lang w:val="en-US" w:eastAsia="zh-CN"/>
        </w:rPr>
        <w:t xml:space="preserve">                                                    </w:t>
      </w:r>
    </w:p>
    <w:p w14:paraId="653EB09A">
      <w:pPr>
        <w:keepNext w:val="0"/>
        <w:keepLines w:val="0"/>
        <w:pageBreakBefore w:val="0"/>
        <w:numPr>
          <w:ilvl w:val="0"/>
          <w:numId w:val="0"/>
        </w:numPr>
        <w:kinsoku/>
        <w:overflowPunct/>
        <w:topLinePunct w:val="0"/>
        <w:bidi w:val="0"/>
        <w:snapToGrid/>
        <w:spacing w:beforeLines="0" w:afterLines="0" w:line="579" w:lineRule="exact"/>
        <w:rPr>
          <w:rFonts w:hint="default" w:ascii="仿宋_GB2312" w:hAnsi="仿宋_GB2312" w:eastAsia="仿宋_GB2312" w:cs="仿宋_GB2312"/>
          <w:sz w:val="32"/>
          <w:szCs w:val="32"/>
          <w:highlight w:val="none"/>
          <w:lang w:val="en-US" w:eastAsia="zh-CN"/>
        </w:rPr>
      </w:pPr>
    </w:p>
    <w:p w14:paraId="6D2D2CE9">
      <w:pPr>
        <w:keepNext w:val="0"/>
        <w:keepLines w:val="0"/>
        <w:pageBreakBefore w:val="0"/>
        <w:numPr>
          <w:ilvl w:val="0"/>
          <w:numId w:val="0"/>
        </w:numPr>
        <w:kinsoku/>
        <w:overflowPunct/>
        <w:topLinePunct w:val="0"/>
        <w:bidi w:val="0"/>
        <w:snapToGrid/>
        <w:spacing w:beforeLines="0" w:afterLines="0" w:line="579" w:lineRule="exac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负责人/投标授权代表签名：</w:t>
      </w:r>
    </w:p>
    <w:p w14:paraId="2BB9318D">
      <w:pPr>
        <w:keepNext w:val="0"/>
        <w:keepLines w:val="0"/>
        <w:pageBreakBefore w:val="0"/>
        <w:numPr>
          <w:ilvl w:val="0"/>
          <w:numId w:val="0"/>
        </w:numPr>
        <w:kinsoku/>
        <w:overflowPunct/>
        <w:topLinePunct w:val="0"/>
        <w:bidi w:val="0"/>
        <w:snapToGrid/>
        <w:spacing w:beforeLines="0" w:afterLines="0" w:line="579" w:lineRule="exact"/>
        <w:ind w:firstLine="3200" w:firstLineChars="10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知悉人（公章）：</w:t>
      </w:r>
    </w:p>
    <w:p w14:paraId="51FF58FB">
      <w:pPr>
        <w:keepNext w:val="0"/>
        <w:keepLines w:val="0"/>
        <w:pageBreakBefore w:val="0"/>
        <w:kinsoku/>
        <w:overflowPunct/>
        <w:topLinePunct w:val="0"/>
        <w:bidi w:val="0"/>
        <w:snapToGrid/>
        <w:spacing w:beforeLines="0" w:afterLines="0" w:line="579" w:lineRule="exact"/>
        <w:rPr>
          <w:rFonts w:ascii="Times New Roman" w:hAnsi="Times New Roman" w:eastAsia="宋体" w:cs="Times New Roman"/>
          <w:sz w:val="32"/>
          <w:szCs w:val="32"/>
          <w:highlight w:val="none"/>
        </w:rPr>
      </w:pPr>
      <w:r>
        <w:rPr>
          <w:rFonts w:hint="eastAsia" w:ascii="仿宋_GB2312" w:hAnsi="仿宋_GB2312" w:eastAsia="仿宋_GB2312" w:cs="仿宋_GB2312"/>
          <w:sz w:val="32"/>
          <w:szCs w:val="32"/>
          <w:highlight w:val="none"/>
          <w:lang w:val="en-US" w:eastAsia="zh-CN"/>
        </w:rPr>
        <w:t xml:space="preserve">                    日期：</w:t>
      </w:r>
    </w:p>
    <w:p w14:paraId="56A2A8B1">
      <w:pPr>
        <w:keepNext w:val="0"/>
        <w:keepLines w:val="0"/>
        <w:pageBreakBefore w:val="0"/>
        <w:kinsoku/>
        <w:overflowPunct/>
        <w:topLinePunct w:val="0"/>
        <w:bidi w:val="0"/>
        <w:snapToGrid/>
        <w:spacing w:beforeLines="0" w:afterLines="0" w:line="579" w:lineRule="exact"/>
        <w:rPr>
          <w:rFonts w:ascii="Times New Roman" w:hAnsi="Times New Roman" w:eastAsia="宋体" w:cs="Times New Roman"/>
          <w:sz w:val="32"/>
          <w:szCs w:val="32"/>
          <w:highlight w:val="none"/>
        </w:rPr>
      </w:pPr>
    </w:p>
    <w:p w14:paraId="4684F013">
      <w:pPr>
        <w:keepNext w:val="0"/>
        <w:keepLines w:val="0"/>
        <w:pageBreakBefore w:val="0"/>
        <w:kinsoku/>
        <w:overflowPunct/>
        <w:topLinePunct w:val="0"/>
        <w:bidi w:val="0"/>
        <w:snapToGrid/>
        <w:spacing w:beforeLines="0" w:afterLines="0" w:line="579" w:lineRule="exact"/>
        <w:rPr>
          <w:rFonts w:hint="eastAsia" w:ascii="Times New Roman" w:hAnsi="Times New Roman" w:eastAsia="宋体" w:cs="Times New Roman"/>
          <w:sz w:val="32"/>
          <w:szCs w:val="32"/>
          <w:highlight w:val="none"/>
          <w:lang w:val="en-US" w:eastAsia="zh-CN"/>
        </w:rPr>
      </w:pPr>
    </w:p>
    <w:p w14:paraId="340D108A">
      <w:pPr>
        <w:keepNext w:val="0"/>
        <w:keepLines w:val="0"/>
        <w:pageBreakBefore w:val="0"/>
        <w:kinsoku/>
        <w:wordWrap w:val="0"/>
        <w:overflowPunct/>
        <w:topLinePunct w:val="0"/>
        <w:bidi w:val="0"/>
        <w:adjustRightInd/>
        <w:snapToGrid/>
        <w:spacing w:beforeLines="0" w:afterLines="0" w:line="579" w:lineRule="exact"/>
        <w:ind w:firstLine="0" w:firstLineChars="0"/>
        <w:jc w:val="both"/>
        <w:outlineLvl w:val="0"/>
        <w:rPr>
          <w:rFonts w:hint="eastAsia" w:ascii="黑体" w:hAnsi="黑体" w:eastAsia="黑体" w:cs="黑体"/>
          <w:bCs/>
          <w:sz w:val="32"/>
          <w:szCs w:val="32"/>
          <w:highlight w:val="none"/>
          <w:lang w:val="en-US" w:eastAsia="zh-CN"/>
        </w:rPr>
      </w:pPr>
      <w:r>
        <w:rPr>
          <w:rFonts w:hint="eastAsia" w:ascii="方正小标宋_GBK" w:hAnsi="方正小标宋_GBK" w:eastAsia="方正小标宋_GBK" w:cs="方正小标宋_GBK"/>
          <w:b w:val="0"/>
          <w:bCs w:val="0"/>
          <w:spacing w:val="-2"/>
          <w:sz w:val="32"/>
          <w:szCs w:val="32"/>
          <w:highlight w:val="none"/>
          <w:lang w:val="en-US" w:eastAsia="zh-CN"/>
        </w:rPr>
        <w:br w:type="page"/>
      </w:r>
      <w:r>
        <w:rPr>
          <w:rFonts w:hint="eastAsia" w:ascii="黑体" w:hAnsi="黑体" w:eastAsia="黑体" w:cs="黑体"/>
          <w:bCs/>
          <w:sz w:val="32"/>
          <w:szCs w:val="32"/>
          <w:highlight w:val="none"/>
        </w:rPr>
        <w:t>附件</w:t>
      </w:r>
      <w:r>
        <w:rPr>
          <w:rFonts w:hint="eastAsia" w:ascii="黑体" w:hAnsi="黑体" w:eastAsia="黑体" w:cs="黑体"/>
          <w:bCs/>
          <w:sz w:val="32"/>
          <w:szCs w:val="32"/>
          <w:highlight w:val="none"/>
          <w:lang w:val="en-US" w:eastAsia="zh-CN"/>
        </w:rPr>
        <w:t>3</w:t>
      </w:r>
    </w:p>
    <w:p w14:paraId="400A47F0">
      <w:pPr>
        <w:widowControl w:val="0"/>
        <w:spacing w:line="579" w:lineRule="exact"/>
        <w:ind w:firstLine="320" w:firstLineChars="100"/>
        <w:jc w:val="center"/>
        <w:rPr>
          <w:rFonts w:hint="eastAsia" w:ascii="黑体" w:hAnsi="黑体" w:eastAsia="黑体" w:cs="黑体"/>
          <w:kern w:val="2"/>
          <w:sz w:val="32"/>
          <w:szCs w:val="32"/>
          <w:highlight w:val="none"/>
          <w:lang w:val="en-US" w:eastAsia="zh-CN" w:bidi="ar-SA"/>
        </w:rPr>
      </w:pPr>
    </w:p>
    <w:p w14:paraId="6D323398">
      <w:pPr>
        <w:keepNext w:val="0"/>
        <w:keepLines w:val="0"/>
        <w:pageBreakBefore w:val="0"/>
        <w:widowControl/>
        <w:kinsoku/>
        <w:wordWrap/>
        <w:overflowPunct/>
        <w:topLinePunct w:val="0"/>
        <w:bidi w:val="0"/>
        <w:adjustRightInd/>
        <w:snapToGrid/>
        <w:spacing w:beforeLines="0" w:afterLines="0" w:line="579" w:lineRule="exact"/>
        <w:ind w:firstLine="0" w:firstLineChars="0"/>
        <w:jc w:val="center"/>
        <w:outlineLvl w:val="0"/>
        <w:rPr>
          <w:rFonts w:hint="eastAsia" w:ascii="方正小标宋_GBK" w:hAnsi="方正小标宋_GBK" w:eastAsia="方正小标宋_GBK" w:cs="方正小标宋_GBK"/>
          <w:spacing w:val="-2"/>
          <w:sz w:val="44"/>
          <w:szCs w:val="44"/>
          <w:highlight w:val="none"/>
          <w:lang w:eastAsia="zh-CN"/>
        </w:rPr>
      </w:pPr>
      <w:r>
        <w:rPr>
          <w:rFonts w:hint="eastAsia" w:ascii="方正小标宋_GBK" w:hAnsi="方正小标宋_GBK" w:eastAsia="方正小标宋_GBK" w:cs="方正小标宋_GBK"/>
          <w:spacing w:val="-2"/>
          <w:sz w:val="44"/>
          <w:szCs w:val="44"/>
          <w:highlight w:val="none"/>
          <w:lang w:eastAsia="zh-CN"/>
        </w:rPr>
        <w:t>履约承诺函</w:t>
      </w:r>
    </w:p>
    <w:p w14:paraId="0635A45C">
      <w:pPr>
        <w:widowControl w:val="0"/>
        <w:spacing w:line="579" w:lineRule="exact"/>
        <w:ind w:firstLine="320" w:firstLineChars="100"/>
        <w:jc w:val="center"/>
        <w:rPr>
          <w:rFonts w:hint="eastAsia" w:ascii="黑体" w:hAnsi="黑体" w:eastAsia="黑体" w:cs="黑体"/>
          <w:kern w:val="2"/>
          <w:sz w:val="32"/>
          <w:szCs w:val="32"/>
          <w:highlight w:val="none"/>
          <w:lang w:val="en-US" w:eastAsia="zh-CN" w:bidi="ar-SA"/>
        </w:rPr>
      </w:pPr>
    </w:p>
    <w:p w14:paraId="0BAE79AD">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b w:val="0"/>
          <w:bCs w:val="0"/>
          <w:color w:val="auto"/>
          <w:sz w:val="32"/>
          <w:szCs w:val="32"/>
          <w:highlight w:val="none"/>
          <w:u w:val="none"/>
          <w:lang w:eastAsia="zh-CN"/>
        </w:rPr>
        <w:t>深圳市福田区沙头街道办事处</w:t>
      </w:r>
    </w:p>
    <w:p w14:paraId="072FC9A7">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我单位承诺：</w:t>
      </w:r>
    </w:p>
    <w:p w14:paraId="35AE7376">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1.我单位参与本项目所投标（响应）的货物、工程或服务，不存在侵犯知识产权的情况。</w:t>
      </w:r>
    </w:p>
    <w:p w14:paraId="3799178B">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2.我单位参与本项目政府采购活动时不存在被有关部门禁止参与政府采购活动且在有效期内的情况。</w:t>
      </w:r>
    </w:p>
    <w:p w14:paraId="5EC6E23B">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3.我单位具备《中华人民共和国政府采购法》第二十二条第一款规定的六项条件。</w:t>
      </w:r>
    </w:p>
    <w:p w14:paraId="3AF64B18">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4.我单位未被列入失信被执行人、重大税收违法案件当事人名单（重大税收违法失信主体）、政府采购严重违法失信行为记录名单。</w:t>
      </w:r>
    </w:p>
    <w:p w14:paraId="2FB8845F">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bookmarkStart w:id="1" w:name="_Hlk72587269"/>
      <w:bookmarkStart w:id="2" w:name="_Hlk72587299"/>
      <w:r>
        <w:rPr>
          <w:rFonts w:hint="eastAsia" w:ascii="仿宋_GB2312" w:hAnsi="仿宋_GB2312" w:eastAsia="仿宋_GB2312" w:cs="仿宋_GB2312"/>
          <w:color w:val="auto"/>
          <w:sz w:val="32"/>
          <w:szCs w:val="32"/>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
      <w:r>
        <w:rPr>
          <w:rFonts w:hint="eastAsia" w:ascii="仿宋_GB2312" w:hAnsi="仿宋_GB2312" w:eastAsia="仿宋_GB2312" w:cs="仿宋_GB2312"/>
          <w:color w:val="auto"/>
          <w:sz w:val="32"/>
          <w:szCs w:val="32"/>
          <w:highlight w:val="none"/>
        </w:rPr>
        <w:t>。</w:t>
      </w:r>
    </w:p>
    <w:bookmarkEnd w:id="2"/>
    <w:p w14:paraId="73C92311">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D68D2F4">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7D2E56D">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5931424">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8.我单位承诺中标后项目不转包，未经</w:t>
      </w:r>
      <w:r>
        <w:rPr>
          <w:rFonts w:hint="eastAsia" w:ascii="仿宋_GB2312" w:hAnsi="仿宋_GB2312" w:eastAsia="仿宋_GB2312" w:cs="仿宋_GB2312"/>
          <w:color w:val="auto"/>
          <w:sz w:val="32"/>
          <w:szCs w:val="32"/>
          <w:highlight w:val="none"/>
          <w:lang w:eastAsia="zh-CN"/>
        </w:rPr>
        <w:t>采购人</w:t>
      </w:r>
      <w:r>
        <w:rPr>
          <w:rFonts w:hint="eastAsia" w:ascii="仿宋_GB2312" w:hAnsi="仿宋_GB2312" w:eastAsia="仿宋_GB2312" w:cs="仿宋_GB2312"/>
          <w:color w:val="auto"/>
          <w:sz w:val="32"/>
          <w:szCs w:val="32"/>
          <w:highlight w:val="none"/>
        </w:rPr>
        <w:t>同意不进行分包。</w:t>
      </w:r>
    </w:p>
    <w:p w14:paraId="71ECAA06">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9.我单位保证，其所提供的货物通过合法正规渠道供货，在提供给</w:t>
      </w:r>
      <w:r>
        <w:rPr>
          <w:rFonts w:hint="eastAsia" w:ascii="仿宋_GB2312" w:hAnsi="仿宋_GB2312" w:eastAsia="仿宋_GB2312" w:cs="仿宋_GB2312"/>
          <w:color w:val="auto"/>
          <w:sz w:val="32"/>
          <w:szCs w:val="32"/>
          <w:highlight w:val="none"/>
          <w:lang w:eastAsia="zh-CN"/>
        </w:rPr>
        <w:t>采购人</w:t>
      </w:r>
      <w:r>
        <w:rPr>
          <w:rFonts w:hint="eastAsia" w:ascii="仿宋_GB2312" w:hAnsi="仿宋_GB2312" w:eastAsia="仿宋_GB2312" w:cs="仿宋_GB2312"/>
          <w:color w:val="auto"/>
          <w:sz w:val="32"/>
          <w:szCs w:val="32"/>
          <w:highlight w:val="none"/>
        </w:rPr>
        <w:t>前具有完全的所有权，</w:t>
      </w:r>
      <w:r>
        <w:rPr>
          <w:rFonts w:hint="eastAsia" w:ascii="仿宋_GB2312" w:hAnsi="仿宋_GB2312" w:eastAsia="仿宋_GB2312" w:cs="仿宋_GB2312"/>
          <w:color w:val="auto"/>
          <w:sz w:val="32"/>
          <w:szCs w:val="32"/>
          <w:highlight w:val="none"/>
          <w:lang w:eastAsia="zh-CN"/>
        </w:rPr>
        <w:t>采购人</w:t>
      </w:r>
      <w:r>
        <w:rPr>
          <w:rFonts w:hint="eastAsia" w:ascii="仿宋_GB2312" w:hAnsi="仿宋_GB2312" w:eastAsia="仿宋_GB2312" w:cs="仿宋_GB2312"/>
          <w:color w:val="auto"/>
          <w:sz w:val="32"/>
          <w:szCs w:val="32"/>
          <w:highlight w:val="none"/>
        </w:rPr>
        <w:t>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1AC26F7">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10.我单位保证，若所投货物涉及《财政部生态环境部关于印发节能产品政府采购品目清单的通知》（财库〔2019〕19号）列明的政府采购强制产品，则所投该产品符合节能产品的认证要求。</w:t>
      </w:r>
    </w:p>
    <w:p w14:paraId="134F0074">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11.我单位已知悉并同意中标（成交）结果信息公示（公开）的内容。</w:t>
      </w:r>
    </w:p>
    <w:p w14:paraId="590D05FE">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14:paraId="24370ABD">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13.我单位清楚，如存在违反投标承诺行为情节严重的，将根据《深圳市财政局关于印发&lt;深圳市财政局政府采购供应商信用信息管理办法&gt;的通知》，依法被列入失信信息。</w:t>
      </w:r>
    </w:p>
    <w:p w14:paraId="51B55A47">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以上承诺，如有违反，愿依照国家相关法律法规处理，并承担由此给</w:t>
      </w:r>
      <w:r>
        <w:rPr>
          <w:rFonts w:hint="eastAsia" w:ascii="仿宋_GB2312" w:hAnsi="仿宋_GB2312" w:eastAsia="仿宋_GB2312" w:cs="仿宋_GB2312"/>
          <w:color w:val="auto"/>
          <w:sz w:val="32"/>
          <w:szCs w:val="32"/>
          <w:highlight w:val="none"/>
          <w:lang w:eastAsia="zh-CN"/>
        </w:rPr>
        <w:t>采购人</w:t>
      </w:r>
      <w:r>
        <w:rPr>
          <w:rFonts w:hint="eastAsia" w:ascii="仿宋_GB2312" w:hAnsi="仿宋_GB2312" w:eastAsia="仿宋_GB2312" w:cs="仿宋_GB2312"/>
          <w:color w:val="auto"/>
          <w:sz w:val="32"/>
          <w:szCs w:val="32"/>
          <w:highlight w:val="none"/>
        </w:rPr>
        <w:t>带来的损失。</w:t>
      </w:r>
    </w:p>
    <w:p w14:paraId="3112FD4D">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41B3BA24">
      <w:pPr>
        <w:keepNext w:val="0"/>
        <w:keepLines w:val="0"/>
        <w:pageBreakBefore w:val="0"/>
        <w:widowControl w:val="0"/>
        <w:kinsoku/>
        <w:wordWrap/>
        <w:overflowPunct/>
        <w:topLinePunct w:val="0"/>
        <w:autoSpaceDE/>
        <w:autoSpaceDN/>
        <w:bidi w:val="0"/>
        <w:adjustRightInd/>
        <w:snapToGrid/>
        <w:spacing w:beforeLines="0" w:afterLines="0" w:line="579" w:lineRule="exact"/>
        <w:ind w:firstLine="4480" w:firstLineChars="14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投标人：              </w:t>
      </w:r>
    </w:p>
    <w:p w14:paraId="0461F797">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微软雅黑" w:hAnsi="微软雅黑" w:eastAsia="微软雅黑" w:cs="Times New Roman"/>
          <w:color w:val="000000"/>
          <w:sz w:val="32"/>
          <w:szCs w:val="32"/>
          <w:highlight w:val="none"/>
        </w:rPr>
      </w:pPr>
      <w:r>
        <w:rPr>
          <w:rFonts w:hint="eastAsia" w:ascii="仿宋_GB2312" w:hAnsi="仿宋_GB2312" w:eastAsia="仿宋_GB2312" w:cs="仿宋_GB2312"/>
          <w:color w:val="auto"/>
          <w:sz w:val="32"/>
          <w:szCs w:val="32"/>
          <w:highlight w:val="none"/>
        </w:rPr>
        <w:t xml:space="preserve">                        日期：    年   月   日</w:t>
      </w:r>
    </w:p>
    <w:p w14:paraId="3A2AD5FB">
      <w:pPr>
        <w:pStyle w:val="2"/>
        <w:keepNext w:val="0"/>
        <w:keepLines w:val="0"/>
        <w:pageBreakBefore w:val="0"/>
        <w:kinsoku/>
        <w:overflowPunct/>
        <w:topLinePunct w:val="0"/>
        <w:bidi w:val="0"/>
        <w:spacing w:line="579" w:lineRule="exact"/>
        <w:jc w:val="left"/>
        <w:rPr>
          <w:rFonts w:hint="eastAsia"/>
          <w:lang w:val="en-US" w:eastAsia="zh-CN"/>
        </w:rPr>
      </w:pPr>
    </w:p>
    <w:p w14:paraId="13972D7E">
      <w:pPr>
        <w:pStyle w:val="3"/>
        <w:rPr>
          <w:rFonts w:hint="eastAsia"/>
          <w:lang w:val="en-US" w:eastAsia="zh-CN"/>
        </w:rPr>
      </w:pPr>
    </w:p>
    <w:p w14:paraId="4058C90A">
      <w:pPr>
        <w:pStyle w:val="3"/>
        <w:rPr>
          <w:rFonts w:hint="eastAsia"/>
          <w:lang w:val="en-US" w:eastAsia="zh-CN"/>
        </w:rPr>
      </w:pPr>
    </w:p>
    <w:p w14:paraId="7EBEA176">
      <w:pPr>
        <w:pStyle w:val="3"/>
        <w:rPr>
          <w:rFonts w:hint="eastAsia"/>
          <w:lang w:val="en-US" w:eastAsia="zh-CN"/>
        </w:rPr>
      </w:pPr>
    </w:p>
    <w:p w14:paraId="572332B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0" w:firstLineChars="0"/>
        <w:jc w:val="both"/>
        <w:textAlignment w:val="auto"/>
        <w:rPr>
          <w:rFonts w:hint="default" w:ascii="黑体" w:hAnsi="黑体" w:eastAsia="黑体" w:cs="黑体"/>
          <w:b w:val="0"/>
          <w:bCs w:val="0"/>
          <w:kern w:val="2"/>
          <w:sz w:val="32"/>
          <w:szCs w:val="32"/>
          <w:highlight w:val="none"/>
          <w:lang w:val="en-US" w:eastAsia="zh-CN"/>
        </w:rPr>
      </w:pPr>
      <w:r>
        <w:rPr>
          <w:rFonts w:hint="eastAsia" w:ascii="黑体" w:hAnsi="黑体" w:eastAsia="黑体" w:cs="黑体"/>
          <w:b w:val="0"/>
          <w:bCs w:val="0"/>
          <w:kern w:val="2"/>
          <w:sz w:val="32"/>
          <w:szCs w:val="32"/>
          <w:highlight w:val="none"/>
          <w:lang w:eastAsia="zh-CN"/>
        </w:rPr>
        <w:t>附件</w:t>
      </w:r>
      <w:r>
        <w:rPr>
          <w:rFonts w:hint="eastAsia" w:ascii="黑体" w:hAnsi="黑体" w:eastAsia="黑体" w:cs="黑体"/>
          <w:b w:val="0"/>
          <w:bCs w:val="0"/>
          <w:kern w:val="2"/>
          <w:sz w:val="32"/>
          <w:szCs w:val="32"/>
          <w:highlight w:val="none"/>
          <w:lang w:val="en-US" w:eastAsia="zh-CN"/>
        </w:rPr>
        <w:t>4</w:t>
      </w:r>
    </w:p>
    <w:p w14:paraId="63CAF9A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Calibri" w:eastAsia="仿宋_GB2312" w:cs="Times New Roman"/>
          <w:kern w:val="2"/>
          <w:sz w:val="32"/>
          <w:szCs w:val="24"/>
          <w:lang w:val="en-US" w:eastAsia="zh-CN" w:bidi="ar-SA"/>
        </w:rPr>
      </w:pPr>
    </w:p>
    <w:p w14:paraId="2B93DD9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诚信承诺函</w:t>
      </w:r>
    </w:p>
    <w:p w14:paraId="681F65AF">
      <w:pPr>
        <w:keepNext w:val="0"/>
        <w:keepLines w:val="0"/>
        <w:pageBreakBefore w:val="0"/>
        <w:widowControl w:val="0"/>
        <w:kinsoku/>
        <w:wordWrap/>
        <w:overflowPunct/>
        <w:topLinePunct w:val="0"/>
        <w:autoSpaceDE/>
        <w:autoSpaceDN/>
        <w:bidi w:val="0"/>
        <w:spacing w:line="579" w:lineRule="exact"/>
        <w:jc w:val="center"/>
        <w:textAlignment w:val="auto"/>
        <w:rPr>
          <w:rFonts w:hint="eastAsia" w:ascii="方正小标宋_GBK" w:hAnsi="方正小标宋_GBK" w:eastAsia="方正小标宋_GBK" w:cs="方正小标宋_GBK"/>
          <w:sz w:val="44"/>
          <w:szCs w:val="44"/>
          <w:highlight w:val="none"/>
          <w:lang w:val="en-US" w:eastAsia="zh-CN"/>
        </w:rPr>
      </w:pPr>
    </w:p>
    <w:p w14:paraId="270393AA">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b w:val="0"/>
          <w:bCs w:val="0"/>
          <w:color w:val="auto"/>
          <w:sz w:val="32"/>
          <w:szCs w:val="32"/>
          <w:highlight w:val="none"/>
          <w:u w:val="none"/>
          <w:lang w:eastAsia="zh-CN"/>
        </w:rPr>
        <w:t>深圳市福田区沙头街道办事处</w:t>
      </w:r>
    </w:p>
    <w:p w14:paraId="713ED9C6">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我方承诺在政府采购招标投标活动中不存在以下情形：</w:t>
      </w:r>
    </w:p>
    <w:p w14:paraId="27395EF1">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（一）被纪检监察部门立案调查，违法违规事实成立的；</w:t>
      </w:r>
    </w:p>
    <w:p w14:paraId="51B36AC3">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（二）未按政府采购相关规定签订、履行采购合同，造成严重后果的；</w:t>
      </w:r>
    </w:p>
    <w:p w14:paraId="7FFFA6A2">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（三）隐瞒真实情况，提供虚假资料的；</w:t>
      </w:r>
    </w:p>
    <w:p w14:paraId="16F711E1">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（四）以非法手段排斥其他供应商参与竞争的；</w:t>
      </w:r>
    </w:p>
    <w:p w14:paraId="14EBF1C5">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（五）与其他采购参加人串通投标的；</w:t>
      </w:r>
    </w:p>
    <w:p w14:paraId="67C0DBB8">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（六）在采购活动中应当回避而未回避的； </w:t>
      </w:r>
    </w:p>
    <w:p w14:paraId="01F264B8">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（七）恶意投诉的； </w:t>
      </w:r>
    </w:p>
    <w:p w14:paraId="693D7D72">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（八）向采购项目相关人行贿或者提供其他不当利益的； </w:t>
      </w:r>
    </w:p>
    <w:p w14:paraId="2EBC8004">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（九）阻碍、抗拒主管部门监督检查的；</w:t>
      </w:r>
    </w:p>
    <w:p w14:paraId="407AAD80">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（十）向采购代理机构及相关工作人员以各类形式进行施压的；</w:t>
      </w:r>
    </w:p>
    <w:p w14:paraId="02FF2527">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（十一）履约检查不合格或者评价为差的；</w:t>
      </w:r>
    </w:p>
    <w:p w14:paraId="3A470059">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（十二）主管部门认定的其他情形。</w:t>
      </w:r>
    </w:p>
    <w:p w14:paraId="6D9783E5">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如我方在本项目开标日前三年内存在上述行为超出法定追诉时效未被追诉、或者上述情节轻微未给予禁止参加政府采购的行政处罚，我司自愿承担虚假应标以及其他一切不利的法律后果。</w:t>
      </w:r>
    </w:p>
    <w:p w14:paraId="691BF6AC">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特此承诺。</w:t>
      </w:r>
    </w:p>
    <w:p w14:paraId="2F50B1A6">
      <w:pPr>
        <w:keepNext w:val="0"/>
        <w:keepLines w:val="0"/>
        <w:pageBreakBefore w:val="0"/>
        <w:widowControl w:val="0"/>
        <w:numPr>
          <w:ilvl w:val="0"/>
          <w:numId w:val="0"/>
        </w:numPr>
        <w:kinsoku/>
        <w:wordWrap/>
        <w:overflowPunct/>
        <w:topLinePunct w:val="0"/>
        <w:autoSpaceDE/>
        <w:autoSpaceDN/>
        <w:bidi w:val="0"/>
        <w:spacing w:line="579" w:lineRule="exact"/>
        <w:textAlignment w:val="auto"/>
        <w:rPr>
          <w:rFonts w:hint="eastAsia" w:ascii="仿宋_GB2312" w:hAnsi="仿宋_GB2312" w:eastAsia="仿宋_GB2312" w:cs="仿宋_GB2312"/>
          <w:b w:val="0"/>
          <w:bCs w:val="0"/>
          <w:sz w:val="32"/>
          <w:szCs w:val="32"/>
          <w:highlight w:val="none"/>
          <w:lang w:val="en-US" w:eastAsia="zh-CN"/>
        </w:rPr>
      </w:pPr>
    </w:p>
    <w:p w14:paraId="13B25605">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投标人：                      </w:t>
      </w:r>
    </w:p>
    <w:p w14:paraId="3AC194BA">
      <w:pPr>
        <w:pageBreakBefore w:val="0"/>
        <w:numPr>
          <w:ilvl w:val="0"/>
          <w:numId w:val="0"/>
        </w:numPr>
        <w:kinsoku/>
        <w:overflowPunct/>
        <w:topLinePunct w:val="0"/>
        <w:bidi w:val="0"/>
        <w:spacing w:line="579" w:lineRule="exact"/>
        <w:ind w:firstLine="640" w:firstLineChars="200"/>
        <w:jc w:val="right"/>
        <w:rPr>
          <w:rFonts w:ascii="Times New Roman" w:hAnsi="Times New Roman" w:eastAsia="宋体" w:cs="Times New Roman"/>
          <w:szCs w:val="24"/>
          <w:highlight w:val="none"/>
        </w:rPr>
      </w:pPr>
      <w:r>
        <w:rPr>
          <w:rFonts w:hint="eastAsia" w:ascii="仿宋_GB2312" w:hAnsi="仿宋_GB2312" w:eastAsia="仿宋_GB2312" w:cs="仿宋_GB2312"/>
          <w:b w:val="0"/>
          <w:bCs w:val="0"/>
          <w:sz w:val="32"/>
          <w:szCs w:val="32"/>
          <w:highlight w:val="none"/>
          <w:lang w:val="en-US" w:eastAsia="zh-CN"/>
        </w:rPr>
        <w:t>日  期：      年    月    日</w:t>
      </w:r>
    </w:p>
    <w:p w14:paraId="3452CB59">
      <w:pPr>
        <w:rPr>
          <w:rFonts w:hint="default" w:ascii="Calibri" w:hAnsi="Calibri" w:eastAsia="宋体" w:cs="宋体"/>
          <w:lang w:val="en-US" w:eastAsia="zh-CN"/>
        </w:rPr>
      </w:pPr>
    </w:p>
    <w:p w14:paraId="531FED6C">
      <w:pPr>
        <w:pStyle w:val="3"/>
        <w:rPr>
          <w:rFonts w:hint="eastAsia"/>
          <w:lang w:val="en-US" w:eastAsia="zh-CN"/>
        </w:rPr>
      </w:pPr>
    </w:p>
    <w:sectPr>
      <w:footerReference r:id="rId3" w:type="default"/>
      <w:pgSz w:w="11906" w:h="16838"/>
      <w:pgMar w:top="2098" w:right="1474" w:bottom="1984" w:left="1587"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0F8E2D-102F-4A42-9B3E-C0AAB3199A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7BB0E4B-C3FC-4923-97D1-0355B40E66C6}"/>
  </w:font>
  <w:font w:name="CESI仿宋-GB2312">
    <w:altName w:val="仿宋"/>
    <w:panose1 w:val="000000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embedRegular r:id="rId3" w:fontKey="{6B47FB76-F998-4D19-8BA3-4B6A2633E77C}"/>
  </w:font>
  <w:font w:name="仿宋_GB2312">
    <w:panose1 w:val="02010609030101010101"/>
    <w:charset w:val="86"/>
    <w:family w:val="auto"/>
    <w:pitch w:val="default"/>
    <w:sig w:usb0="00000001" w:usb1="080E0000" w:usb2="00000000" w:usb3="00000000" w:csb0="00040000" w:csb1="00000000"/>
    <w:embedRegular r:id="rId4" w:fontKey="{3F8EBEBB-A1FB-4479-BB7C-836007098685}"/>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5" w:fontKey="{6FD209E9-A2E3-4A29-8F83-852DBFD80577}"/>
  </w:font>
  <w:font w:name="方正小标宋简体">
    <w:panose1 w:val="03000509000000000000"/>
    <w:charset w:val="86"/>
    <w:family w:val="auto"/>
    <w:pitch w:val="default"/>
    <w:sig w:usb0="00000001" w:usb1="080E0000" w:usb2="00000000" w:usb3="00000000" w:csb0="00040000" w:csb1="00000000"/>
    <w:embedRegular r:id="rId6" w:fontKey="{C353D751-C4D5-47B5-8D08-5BFFB1C05763}"/>
  </w:font>
  <w:font w:name="楷体_GB2312">
    <w:panose1 w:val="02010609030101010101"/>
    <w:charset w:val="86"/>
    <w:family w:val="auto"/>
    <w:pitch w:val="default"/>
    <w:sig w:usb0="00000001" w:usb1="080E0000" w:usb2="00000000" w:usb3="00000000" w:csb0="00040000" w:csb1="00000000"/>
    <w:embedRegular r:id="rId7" w:fontKey="{3B1FB2BB-EBB9-46AD-9832-1E7EBF3D64B7}"/>
  </w:font>
  <w:font w:name="微软雅黑">
    <w:panose1 w:val="020B0503020204020204"/>
    <w:charset w:val="86"/>
    <w:family w:val="auto"/>
    <w:pitch w:val="default"/>
    <w:sig w:usb0="80000287" w:usb1="280F3C52" w:usb2="00000016" w:usb3="00000000" w:csb0="0004001F" w:csb1="00000000"/>
    <w:embedRegular r:id="rId8" w:fontKey="{0E4C7C2D-B049-448A-991A-69B1B01DF0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2F6B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F096DA">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6BF096DA">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99E3E"/>
    <w:multiLevelType w:val="singleLevel"/>
    <w:tmpl w:val="14C99E3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NzBiOTk4YWQwY2IzMDEyMDJlMWI1NGY2ODZiYzUifQ=="/>
  </w:docVars>
  <w:rsids>
    <w:rsidRoot w:val="00000000"/>
    <w:rsid w:val="016919F6"/>
    <w:rsid w:val="01810781"/>
    <w:rsid w:val="021526F0"/>
    <w:rsid w:val="0231565E"/>
    <w:rsid w:val="02C95F7F"/>
    <w:rsid w:val="0324172E"/>
    <w:rsid w:val="07CD55BC"/>
    <w:rsid w:val="0865776D"/>
    <w:rsid w:val="092C2C55"/>
    <w:rsid w:val="0A451F66"/>
    <w:rsid w:val="0A877179"/>
    <w:rsid w:val="0EF50CD5"/>
    <w:rsid w:val="11D81AB8"/>
    <w:rsid w:val="18147845"/>
    <w:rsid w:val="183318AE"/>
    <w:rsid w:val="1A592272"/>
    <w:rsid w:val="1ABA597F"/>
    <w:rsid w:val="1B665A45"/>
    <w:rsid w:val="1DDF20AF"/>
    <w:rsid w:val="1FCD08A1"/>
    <w:rsid w:val="20007E8F"/>
    <w:rsid w:val="20531D8B"/>
    <w:rsid w:val="27324DE7"/>
    <w:rsid w:val="283D7C94"/>
    <w:rsid w:val="2B3808F6"/>
    <w:rsid w:val="2E62469C"/>
    <w:rsid w:val="30D96334"/>
    <w:rsid w:val="329C44E3"/>
    <w:rsid w:val="34841338"/>
    <w:rsid w:val="353E3274"/>
    <w:rsid w:val="37C362D9"/>
    <w:rsid w:val="380A01D6"/>
    <w:rsid w:val="3B2220F5"/>
    <w:rsid w:val="3D560BFE"/>
    <w:rsid w:val="3DCB1944"/>
    <w:rsid w:val="3EB72FBD"/>
    <w:rsid w:val="3F280396"/>
    <w:rsid w:val="404034BA"/>
    <w:rsid w:val="407A208B"/>
    <w:rsid w:val="41993D57"/>
    <w:rsid w:val="41E81B2F"/>
    <w:rsid w:val="4207275C"/>
    <w:rsid w:val="43951038"/>
    <w:rsid w:val="465D60C3"/>
    <w:rsid w:val="48EA0BC1"/>
    <w:rsid w:val="49FF394C"/>
    <w:rsid w:val="4AE46BDF"/>
    <w:rsid w:val="4B1559DB"/>
    <w:rsid w:val="4C3F4944"/>
    <w:rsid w:val="4F4C3FA7"/>
    <w:rsid w:val="50F25F62"/>
    <w:rsid w:val="562640A6"/>
    <w:rsid w:val="56B84917"/>
    <w:rsid w:val="5A79265F"/>
    <w:rsid w:val="5B242EC8"/>
    <w:rsid w:val="5B5063B8"/>
    <w:rsid w:val="5BD572A2"/>
    <w:rsid w:val="5DDE6DED"/>
    <w:rsid w:val="609C3C73"/>
    <w:rsid w:val="62D33EF0"/>
    <w:rsid w:val="63600195"/>
    <w:rsid w:val="63DE0225"/>
    <w:rsid w:val="651906CA"/>
    <w:rsid w:val="66777BE0"/>
    <w:rsid w:val="6A2A72B9"/>
    <w:rsid w:val="6AE664B4"/>
    <w:rsid w:val="6BF608B1"/>
    <w:rsid w:val="6C6B43D7"/>
    <w:rsid w:val="6CDC0391"/>
    <w:rsid w:val="6E6B2489"/>
    <w:rsid w:val="6F193452"/>
    <w:rsid w:val="6FE7572B"/>
    <w:rsid w:val="725A18B6"/>
    <w:rsid w:val="727546F3"/>
    <w:rsid w:val="739E5AB6"/>
    <w:rsid w:val="758272A4"/>
    <w:rsid w:val="75A35DD3"/>
    <w:rsid w:val="75F464B4"/>
    <w:rsid w:val="776E53E9"/>
    <w:rsid w:val="77D93BD7"/>
    <w:rsid w:val="7E335F9E"/>
    <w:rsid w:val="7E994E83"/>
    <w:rsid w:val="7F1800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
    <w:pPr>
      <w:keepNext/>
      <w:keepLines/>
      <w:adjustRightInd w:val="0"/>
      <w:spacing w:before="260" w:beforeLines="0" w:after="260" w:afterLines="0" w:line="416" w:lineRule="atLeast"/>
      <w:textAlignment w:val="baseline"/>
      <w:outlineLvl w:val="1"/>
    </w:pPr>
    <w:rPr>
      <w:rFonts w:ascii="Arial" w:hAnsi="Arial" w:eastAsia="黑体"/>
      <w:b/>
      <w:kern w:val="0"/>
      <w:sz w:val="32"/>
      <w:szCs w:val="20"/>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center"/>
    </w:pPr>
    <w:rPr>
      <w:rFonts w:ascii="宋体"/>
      <w:sz w:val="44"/>
    </w:rPr>
  </w:style>
  <w:style w:type="paragraph" w:styleId="3">
    <w:name w:val="Body Text 2"/>
    <w:basedOn w:val="1"/>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6">
    <w:name w:val="Normal Indent"/>
    <w:basedOn w:val="1"/>
    <w:qFormat/>
    <w:uiPriority w:val="0"/>
    <w:pPr>
      <w:spacing w:after="200" w:line="600" w:lineRule="exact"/>
      <w:ind w:firstLine="420"/>
    </w:pPr>
    <w:rPr>
      <w:rFonts w:ascii="Times New Roman" w:hAnsi="Times New Roman" w:eastAsia="CESI仿宋-GB2312"/>
      <w:sz w:val="32"/>
      <w:szCs w:val="20"/>
    </w:rPr>
  </w:style>
  <w:style w:type="paragraph" w:styleId="7">
    <w:name w:val="annotation text"/>
    <w:basedOn w:val="1"/>
    <w:qFormat/>
    <w:uiPriority w:val="0"/>
    <w:pPr>
      <w:jc w:val="left"/>
    </w:pPr>
  </w:style>
  <w:style w:type="paragraph" w:styleId="8">
    <w:name w:val="Body Text Indent"/>
    <w:basedOn w:val="1"/>
    <w:qFormat/>
    <w:uiPriority w:val="0"/>
    <w:pPr>
      <w:ind w:firstLine="640" w:firstLineChars="200"/>
    </w:pPr>
    <w:rPr>
      <w:rFonts w:ascii="仿宋_GB2312" w:eastAsia="仿宋_GB2312"/>
      <w:sz w:val="3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Autospacing="1" w:afterAutospacing="1"/>
      <w:jc w:val="left"/>
    </w:pPr>
    <w:rPr>
      <w:kern w:val="0"/>
      <w:sz w:val="24"/>
      <w:szCs w:val="24"/>
    </w:rPr>
  </w:style>
  <w:style w:type="paragraph" w:styleId="12">
    <w:name w:val="Title"/>
    <w:basedOn w:val="1"/>
    <w:next w:val="1"/>
    <w:qFormat/>
    <w:uiPriority w:val="10"/>
    <w:pPr>
      <w:spacing w:before="240" w:beforeLines="0" w:after="60" w:afterLines="0"/>
      <w:jc w:val="center"/>
      <w:outlineLvl w:val="0"/>
    </w:pPr>
    <w:rPr>
      <w:rFonts w:ascii="Cambria" w:hAnsi="Cambria"/>
      <w:b/>
      <w:bCs/>
      <w:sz w:val="32"/>
      <w:szCs w:val="32"/>
    </w:rPr>
  </w:style>
  <w:style w:type="paragraph" w:styleId="13">
    <w:name w:val="Body Text First Indent"/>
    <w:basedOn w:val="2"/>
    <w:next w:val="1"/>
    <w:qFormat/>
    <w:uiPriority w:val="0"/>
    <w:pPr>
      <w:widowControl w:val="0"/>
      <w:ind w:firstLine="420" w:firstLineChars="100"/>
      <w:jc w:val="center"/>
    </w:pPr>
    <w:rPr>
      <w:rFonts w:ascii="宋体" w:hAnsi="Times New Roman" w:eastAsia="宋体" w:cs="Times New Roman"/>
      <w:kern w:val="2"/>
      <w:sz w:val="44"/>
      <w:szCs w:val="24"/>
      <w:lang w:val="en-US" w:eastAsia="zh-CN" w:bidi="ar-SA"/>
    </w:rPr>
  </w:style>
  <w:style w:type="paragraph" w:styleId="14">
    <w:name w:val="Body Text First Indent 2"/>
    <w:basedOn w:val="8"/>
    <w:qFormat/>
    <w:uiPriority w:val="0"/>
    <w:pPr>
      <w:ind w:firstLine="420" w:firstLineChars="2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3 Char"/>
    <w:qFormat/>
    <w:uiPriority w:val="0"/>
    <w:rPr>
      <w:rFonts w:ascii="黑体" w:eastAsia="黑体"/>
      <w:bCs/>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11897</Words>
  <Characters>12290</Characters>
  <Lines>0</Lines>
  <Paragraphs>0</Paragraphs>
  <TotalTime>0</TotalTime>
  <ScaleCrop>false</ScaleCrop>
  <LinksUpToDate>false</LinksUpToDate>
  <CharactersWithSpaces>12587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2023-09-27T07:08:00Z</dcterms:created>
  <dc:creator>DELL</dc:creator>
  <cp:lastModifiedBy>明珠</cp:lastModifiedBy>
  <cp:lastPrinted>2024-12-12T02:03:00Z</cp:lastPrinted>
  <dcterms:modified xsi:type="dcterms:W3CDTF">2025-11-24T08:05:02Z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7941B02B083C43678F4DC959468880FC</vt:lpwstr>
  </property>
  <property fmtid="{D5CDD505-2E9C-101B-9397-08002B2CF9AE}" pid="4" name="KSOTemplateDocerSaveRecord">
    <vt:lpwstr>eyJoZGlkIjoiZmQ3MjExODdkZjAyOTZlOTZkODYzODVjY2VhMTZmMGIiLCJ1c2VySWQiOiI1MzA4MjI4NjYifQ==</vt:lpwstr>
  </property>
</Properties>
</file>