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CECCF">
      <w:pPr>
        <w:keepNext w:val="0"/>
        <w:keepLines w:val="0"/>
        <w:pageBreakBefore w:val="0"/>
        <w:widowControl w:val="0"/>
        <w:kinsoku/>
        <w:wordWrap/>
        <w:overflowPunct/>
        <w:topLinePunct w:val="0"/>
        <w:autoSpaceDE/>
        <w:autoSpaceDN/>
        <w:bidi w:val="0"/>
        <w:adjustRightInd w:val="0"/>
        <w:snapToGrid w:val="0"/>
        <w:spacing w:line="560" w:lineRule="exact"/>
        <w:ind w:left="0" w:right="0" w:firstLine="0"/>
        <w:jc w:val="center"/>
        <w:textAlignment w:val="auto"/>
        <w:rPr>
          <w:rFonts w:hint="eastAsia" w:ascii="方正小标宋简体" w:hAnsi="方正小标宋简体" w:eastAsia="方正小标宋简体" w:cs="方正小标宋简体"/>
          <w:b w:val="0"/>
          <w:bCs w:val="0"/>
          <w:spacing w:val="62"/>
          <w:sz w:val="45"/>
          <w:szCs w:val="45"/>
          <w:highlight w:val="none"/>
        </w:rPr>
      </w:pPr>
      <w:r>
        <w:rPr>
          <w:rFonts w:hint="eastAsia" w:ascii="方正小标宋简体" w:hAnsi="方正小标宋简体" w:eastAsia="方正小标宋简体" w:cs="方正小标宋简体"/>
          <w:b w:val="0"/>
          <w:bCs w:val="0"/>
          <w:spacing w:val="62"/>
          <w:sz w:val="45"/>
          <w:szCs w:val="45"/>
          <w:highlight w:val="none"/>
        </w:rPr>
        <w:t>深圳农业科技创新集团有限公司</w:t>
      </w:r>
    </w:p>
    <w:p w14:paraId="720D2DB3">
      <w:pPr>
        <w:keepNext w:val="0"/>
        <w:keepLines w:val="0"/>
        <w:pageBreakBefore w:val="0"/>
        <w:widowControl w:val="0"/>
        <w:kinsoku/>
        <w:wordWrap/>
        <w:overflowPunct/>
        <w:topLinePunct w:val="0"/>
        <w:autoSpaceDE/>
        <w:autoSpaceDN/>
        <w:bidi w:val="0"/>
        <w:adjustRightInd w:val="0"/>
        <w:snapToGrid w:val="0"/>
        <w:spacing w:line="560" w:lineRule="exact"/>
        <w:ind w:left="0" w:right="0" w:firstLine="0"/>
        <w:jc w:val="center"/>
        <w:textAlignment w:val="auto"/>
        <w:rPr>
          <w:rFonts w:hint="eastAsia" w:ascii="方正小标宋简体" w:hAnsi="方正小标宋简体" w:eastAsia="方正小标宋简体" w:cs="方正小标宋简体"/>
          <w:b w:val="0"/>
          <w:bCs w:val="0"/>
          <w:spacing w:val="62"/>
          <w:sz w:val="45"/>
          <w:szCs w:val="45"/>
          <w:highlight w:val="none"/>
        </w:rPr>
      </w:pPr>
      <w:r>
        <w:rPr>
          <w:rFonts w:hint="eastAsia" w:ascii="方正小标宋简体" w:hAnsi="方正小标宋简体" w:eastAsia="方正小标宋简体" w:cs="方正小标宋简体"/>
          <w:b w:val="0"/>
          <w:bCs w:val="0"/>
          <w:spacing w:val="62"/>
          <w:sz w:val="45"/>
          <w:szCs w:val="45"/>
          <w:highlight w:val="none"/>
          <w:lang w:val="en-US" w:eastAsia="zh-CN"/>
        </w:rPr>
        <w:t>专家</w:t>
      </w:r>
      <w:r>
        <w:rPr>
          <w:rFonts w:hint="eastAsia" w:ascii="方正小标宋简体" w:hAnsi="方正小标宋简体" w:eastAsia="方正小标宋简体" w:cs="方正小标宋简体"/>
          <w:b w:val="0"/>
          <w:bCs w:val="0"/>
          <w:spacing w:val="62"/>
          <w:sz w:val="45"/>
          <w:szCs w:val="45"/>
          <w:highlight w:val="none"/>
        </w:rPr>
        <w:t>体检服务采购项目</w:t>
      </w:r>
    </w:p>
    <w:p w14:paraId="5DE98388">
      <w:pPr>
        <w:keepNext w:val="0"/>
        <w:keepLines w:val="0"/>
        <w:pageBreakBefore w:val="0"/>
        <w:widowControl w:val="0"/>
        <w:kinsoku/>
        <w:wordWrap/>
        <w:overflowPunct/>
        <w:topLinePunct w:val="0"/>
        <w:autoSpaceDE/>
        <w:autoSpaceDN/>
        <w:bidi w:val="0"/>
        <w:adjustRightInd w:val="0"/>
        <w:snapToGrid w:val="0"/>
        <w:spacing w:line="560" w:lineRule="exact"/>
        <w:ind w:left="0" w:right="0" w:firstLine="0"/>
        <w:jc w:val="center"/>
        <w:textAlignment w:val="auto"/>
        <w:rPr>
          <w:rFonts w:hint="eastAsia" w:ascii="楷体" w:hAnsi="楷体" w:eastAsia="楷体" w:cs="楷体"/>
          <w:b/>
          <w:bCs/>
          <w:spacing w:val="62"/>
          <w:sz w:val="45"/>
          <w:szCs w:val="45"/>
          <w:highlight w:val="none"/>
        </w:rPr>
      </w:pPr>
    </w:p>
    <w:p w14:paraId="272E767C">
      <w:pPr>
        <w:keepNext w:val="0"/>
        <w:keepLines w:val="0"/>
        <w:pageBreakBefore w:val="0"/>
        <w:widowControl w:val="0"/>
        <w:kinsoku/>
        <w:wordWrap/>
        <w:overflowPunct/>
        <w:topLinePunct w:val="0"/>
        <w:autoSpaceDE/>
        <w:autoSpaceDN/>
        <w:bidi w:val="0"/>
        <w:adjustRightInd w:val="0"/>
        <w:snapToGrid w:val="0"/>
        <w:spacing w:line="560" w:lineRule="exact"/>
        <w:ind w:left="2132"/>
        <w:rPr>
          <w:rFonts w:hint="eastAsia" w:ascii="方正小标宋简体" w:hAnsi="方正小标宋简体" w:eastAsia="方正小标宋简体" w:cs="方正小标宋简体"/>
          <w:b/>
          <w:bCs/>
          <w:spacing w:val="101"/>
          <w:sz w:val="88"/>
          <w:szCs w:val="88"/>
          <w:highlight w:val="none"/>
          <w:lang w:val="en-US" w:eastAsia="zh-CN"/>
        </w:rPr>
      </w:pPr>
    </w:p>
    <w:p w14:paraId="06A8B159">
      <w:pPr>
        <w:keepNext w:val="0"/>
        <w:keepLines w:val="0"/>
        <w:pageBreakBefore w:val="0"/>
        <w:widowControl w:val="0"/>
        <w:kinsoku/>
        <w:wordWrap/>
        <w:overflowPunct/>
        <w:topLinePunct w:val="0"/>
        <w:autoSpaceDE/>
        <w:autoSpaceDN/>
        <w:bidi w:val="0"/>
        <w:adjustRightInd w:val="0"/>
        <w:snapToGrid w:val="0"/>
        <w:spacing w:line="560" w:lineRule="exact"/>
        <w:ind w:left="2132"/>
        <w:rPr>
          <w:rFonts w:hint="eastAsia" w:ascii="方正小标宋简体" w:hAnsi="方正小标宋简体" w:eastAsia="方正小标宋简体" w:cs="方正小标宋简体"/>
          <w:b/>
          <w:bCs/>
          <w:spacing w:val="101"/>
          <w:sz w:val="88"/>
          <w:szCs w:val="88"/>
          <w:highlight w:val="none"/>
          <w:lang w:val="en-US" w:eastAsia="zh-CN"/>
        </w:rPr>
      </w:pPr>
    </w:p>
    <w:p w14:paraId="62C64504">
      <w:pPr>
        <w:keepNext w:val="0"/>
        <w:keepLines w:val="0"/>
        <w:pageBreakBefore w:val="0"/>
        <w:widowControl w:val="0"/>
        <w:kinsoku/>
        <w:wordWrap/>
        <w:overflowPunct/>
        <w:topLinePunct w:val="0"/>
        <w:autoSpaceDE/>
        <w:autoSpaceDN/>
        <w:bidi w:val="0"/>
        <w:adjustRightInd w:val="0"/>
        <w:snapToGrid w:val="0"/>
        <w:spacing w:line="560" w:lineRule="exact"/>
        <w:rPr>
          <w:rFonts w:hint="eastAsia" w:ascii="方正小标宋简体" w:hAnsi="方正小标宋简体" w:eastAsia="方正小标宋简体" w:cs="方正小标宋简体"/>
          <w:b/>
          <w:bCs/>
          <w:spacing w:val="101"/>
          <w:sz w:val="88"/>
          <w:szCs w:val="88"/>
          <w:highlight w:val="none"/>
          <w:lang w:val="en-US" w:eastAsia="zh-CN"/>
        </w:rPr>
      </w:pPr>
    </w:p>
    <w:p w14:paraId="72E4BAC2">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方正小标宋简体" w:hAnsi="方正小标宋简体" w:eastAsia="方正小标宋简体" w:cs="方正小标宋简体"/>
          <w:b w:val="0"/>
          <w:bCs w:val="0"/>
          <w:spacing w:val="101"/>
          <w:sz w:val="88"/>
          <w:szCs w:val="88"/>
          <w:highlight w:val="none"/>
          <w:lang w:val="en-US" w:eastAsia="zh-CN"/>
        </w:rPr>
      </w:pPr>
    </w:p>
    <w:p w14:paraId="39BA2C6A">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方正小标宋简体" w:hAnsi="方正小标宋简体" w:eastAsia="方正小标宋简体" w:cs="方正小标宋简体"/>
          <w:b w:val="0"/>
          <w:bCs w:val="0"/>
          <w:sz w:val="88"/>
          <w:szCs w:val="88"/>
          <w:highlight w:val="none"/>
          <w:lang w:eastAsia="zh-CN"/>
        </w:rPr>
      </w:pPr>
      <w:r>
        <w:rPr>
          <w:rFonts w:hint="eastAsia" w:ascii="方正小标宋简体" w:hAnsi="方正小标宋简体" w:eastAsia="方正小标宋简体" w:cs="方正小标宋简体"/>
          <w:b w:val="0"/>
          <w:bCs w:val="0"/>
          <w:spacing w:val="101"/>
          <w:sz w:val="88"/>
          <w:szCs w:val="88"/>
          <w:highlight w:val="none"/>
          <w:lang w:val="en-US" w:eastAsia="zh-CN"/>
        </w:rPr>
        <w:t>询价函</w:t>
      </w:r>
    </w:p>
    <w:p w14:paraId="032EB6C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p>
    <w:p w14:paraId="1F7A4D8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p>
    <w:p w14:paraId="304022F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p>
    <w:p w14:paraId="3A0693A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p>
    <w:p w14:paraId="70C520D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p>
    <w:p w14:paraId="7DB7FB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p>
    <w:p w14:paraId="1C301BC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p>
    <w:p w14:paraId="209D82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p>
    <w:p w14:paraId="358CCFC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p>
    <w:p w14:paraId="7C45750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项目名称：深农科创2026年度专家体检服务采购项目</w:t>
      </w:r>
    </w:p>
    <w:p w14:paraId="70A5CA2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招标单位：深圳农业科技创新集团有限公司</w:t>
      </w:r>
    </w:p>
    <w:p w14:paraId="6078BCF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地址：深圳市福田区梅中路1号深农投大厦8楼</w:t>
      </w:r>
    </w:p>
    <w:p w14:paraId="26E0427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黑体" w:hAnsi="黑体" w:eastAsia="黑体" w:cs="黑体"/>
          <w:b w:val="0"/>
          <w:bCs w:val="0"/>
          <w:kern w:val="0"/>
          <w:sz w:val="32"/>
          <w:szCs w:val="40"/>
          <w:highlight w:val="none"/>
          <w:lang w:val="en-US" w:eastAsia="zh-CN" w:bidi="ar"/>
        </w:rPr>
      </w:pPr>
      <w:r>
        <w:rPr>
          <w:rFonts w:hint="eastAsia" w:ascii="黑体" w:hAnsi="黑体" w:eastAsia="黑体" w:cs="黑体"/>
          <w:b w:val="0"/>
          <w:bCs w:val="0"/>
          <w:kern w:val="0"/>
          <w:sz w:val="32"/>
          <w:szCs w:val="40"/>
          <w:highlight w:val="none"/>
          <w:lang w:val="en-US" w:eastAsia="zh-CN" w:bidi="ar"/>
        </w:rPr>
        <w:t>一、项目名称</w:t>
      </w:r>
    </w:p>
    <w:p w14:paraId="32D2517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深圳农业科技创新集团有限公司2026年度专家体检服务采购项目</w:t>
      </w:r>
    </w:p>
    <w:p w14:paraId="54AAE00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黑体" w:hAnsi="黑体" w:eastAsia="黑体" w:cs="黑体"/>
          <w:b w:val="0"/>
          <w:bCs w:val="0"/>
          <w:kern w:val="0"/>
          <w:sz w:val="32"/>
          <w:szCs w:val="40"/>
          <w:highlight w:val="none"/>
          <w:lang w:val="en-US" w:eastAsia="zh-CN" w:bidi="ar"/>
        </w:rPr>
      </w:pPr>
      <w:r>
        <w:rPr>
          <w:rFonts w:hint="eastAsia" w:ascii="黑体" w:hAnsi="黑体" w:eastAsia="黑体" w:cs="黑体"/>
          <w:b w:val="0"/>
          <w:bCs w:val="0"/>
          <w:kern w:val="0"/>
          <w:sz w:val="32"/>
          <w:szCs w:val="40"/>
          <w:highlight w:val="none"/>
          <w:lang w:val="en-US" w:eastAsia="zh-CN" w:bidi="ar"/>
        </w:rPr>
        <w:t>二、联系方式</w:t>
      </w:r>
    </w:p>
    <w:p w14:paraId="7360C92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联系人：刘经理；</w:t>
      </w:r>
    </w:p>
    <w:p w14:paraId="39770AD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电话：18355093585；</w:t>
      </w:r>
    </w:p>
    <w:p w14:paraId="50CB7E6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邮箱：liuhao@atigroup.cn。</w:t>
      </w:r>
    </w:p>
    <w:p w14:paraId="3EF9A15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黑体" w:hAnsi="黑体" w:eastAsia="黑体" w:cs="黑体"/>
          <w:b w:val="0"/>
          <w:bCs w:val="0"/>
          <w:kern w:val="0"/>
          <w:sz w:val="32"/>
          <w:szCs w:val="40"/>
          <w:highlight w:val="none"/>
          <w:lang w:val="en-US" w:eastAsia="zh-CN" w:bidi="ar"/>
        </w:rPr>
      </w:pPr>
      <w:r>
        <w:rPr>
          <w:rFonts w:hint="eastAsia" w:ascii="黑体" w:hAnsi="黑体" w:eastAsia="黑体" w:cs="黑体"/>
          <w:b w:val="0"/>
          <w:bCs w:val="0"/>
          <w:kern w:val="0"/>
          <w:sz w:val="32"/>
          <w:szCs w:val="40"/>
          <w:highlight w:val="none"/>
          <w:lang w:val="en-US" w:eastAsia="zh-CN" w:bidi="ar"/>
        </w:rPr>
        <w:t>三、采购方式</w:t>
      </w:r>
    </w:p>
    <w:p w14:paraId="7E811D4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本次采购以邀请询价方式开展，按照综合评估法，确定1个成交单位。</w:t>
      </w:r>
    </w:p>
    <w:p w14:paraId="2AB3941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黑体" w:hAnsi="黑体" w:eastAsia="黑体" w:cs="黑体"/>
          <w:b w:val="0"/>
          <w:bCs w:val="0"/>
          <w:kern w:val="0"/>
          <w:sz w:val="32"/>
          <w:szCs w:val="40"/>
          <w:highlight w:val="none"/>
          <w:lang w:val="en-US" w:eastAsia="zh-CN" w:bidi="ar"/>
        </w:rPr>
      </w:pPr>
      <w:r>
        <w:rPr>
          <w:rFonts w:hint="eastAsia" w:ascii="黑体" w:hAnsi="黑体" w:eastAsia="黑体" w:cs="黑体"/>
          <w:b w:val="0"/>
          <w:bCs w:val="0"/>
          <w:kern w:val="0"/>
          <w:sz w:val="32"/>
          <w:szCs w:val="40"/>
          <w:highlight w:val="none"/>
          <w:lang w:val="en-US" w:eastAsia="zh-CN" w:bidi="ar"/>
        </w:rPr>
        <w:t>四、采购预算及主要内容</w:t>
      </w:r>
    </w:p>
    <w:p w14:paraId="23FFC7BD">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本项目为我司2026年度专家体检服务项目，需提供包括但不限于制定体检套餐、实施体检等工作。预计体检人数合计约10名，本招标总限价为5万元。本次拟招一家体检机构，相关体检费用将按照实际发生额支付。</w:t>
      </w:r>
    </w:p>
    <w:p w14:paraId="403F166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黑体" w:hAnsi="黑体" w:eastAsia="黑体" w:cs="黑体"/>
          <w:b w:val="0"/>
          <w:bCs w:val="0"/>
          <w:kern w:val="0"/>
          <w:sz w:val="32"/>
          <w:szCs w:val="40"/>
          <w:highlight w:val="none"/>
          <w:lang w:val="en-US" w:eastAsia="zh-CN" w:bidi="ar"/>
        </w:rPr>
      </w:pPr>
      <w:r>
        <w:rPr>
          <w:rFonts w:hint="eastAsia" w:ascii="黑体" w:hAnsi="黑体" w:eastAsia="黑体" w:cs="黑体"/>
          <w:b w:val="0"/>
          <w:bCs w:val="0"/>
          <w:kern w:val="0"/>
          <w:sz w:val="32"/>
          <w:szCs w:val="40"/>
          <w:highlight w:val="none"/>
          <w:lang w:val="en-US" w:eastAsia="zh-CN" w:bidi="ar"/>
        </w:rPr>
        <w:t>五、投标人资质要求</w:t>
      </w:r>
    </w:p>
    <w:p w14:paraId="03D8806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1.投标人应为中华人民共和国境内注册（不含港澳台地区）的独立法人机构，具有合法的经营资格及独立承担民事责任的能力（提供营业执照副本或政府部门颁发的其他商业登记材料复印件并加盖公章）；需填写《供应商基本情况表》，见本询价函附件1。</w:t>
      </w:r>
    </w:p>
    <w:p w14:paraId="639A5B7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2.投标人必须是深圳市公立三甲医院或深圳市合法合规的私立体检机构，并提供相关资质材料（复印件加盖公章）;</w:t>
      </w:r>
    </w:p>
    <w:p w14:paraId="1D01377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3.投标人近三年内在经营活动中没有重大违法记录（提供承诺书）；</w:t>
      </w:r>
    </w:p>
    <w:p w14:paraId="6C17BA9B">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4.不接受联合体投标（提供承诺书）。</w:t>
      </w:r>
    </w:p>
    <w:p w14:paraId="6D51969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注：以上须提供的资质证明材料必须加盖投标单位公章，否则视为无效。</w:t>
      </w:r>
    </w:p>
    <w:p w14:paraId="579FAB4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黑体" w:hAnsi="黑体" w:eastAsia="黑体" w:cs="黑体"/>
          <w:b w:val="0"/>
          <w:bCs w:val="0"/>
          <w:kern w:val="0"/>
          <w:sz w:val="32"/>
          <w:szCs w:val="40"/>
          <w:highlight w:val="none"/>
          <w:lang w:val="en-US" w:eastAsia="zh-CN" w:bidi="ar"/>
        </w:rPr>
      </w:pPr>
      <w:r>
        <w:rPr>
          <w:rFonts w:hint="eastAsia" w:ascii="黑体" w:hAnsi="黑体" w:eastAsia="黑体" w:cs="黑体"/>
          <w:b w:val="0"/>
          <w:bCs w:val="0"/>
          <w:kern w:val="0"/>
          <w:sz w:val="32"/>
          <w:szCs w:val="40"/>
          <w:highlight w:val="none"/>
          <w:lang w:val="en-US" w:eastAsia="zh-CN" w:bidi="ar"/>
        </w:rPr>
        <w:t>六、投标保证金</w:t>
      </w:r>
    </w:p>
    <w:p w14:paraId="74CDAD9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本项目不设投标保证金。</w:t>
      </w:r>
    </w:p>
    <w:p w14:paraId="6D5D014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黑体" w:hAnsi="黑体" w:eastAsia="黑体" w:cs="黑体"/>
          <w:b w:val="0"/>
          <w:bCs w:val="0"/>
          <w:kern w:val="0"/>
          <w:sz w:val="32"/>
          <w:szCs w:val="40"/>
          <w:highlight w:val="none"/>
          <w:lang w:val="en-US" w:eastAsia="zh-CN" w:bidi="ar"/>
        </w:rPr>
      </w:pPr>
      <w:r>
        <w:rPr>
          <w:rFonts w:hint="eastAsia" w:ascii="黑体" w:hAnsi="黑体" w:eastAsia="黑体" w:cs="黑体"/>
          <w:b w:val="0"/>
          <w:bCs w:val="0"/>
          <w:kern w:val="0"/>
          <w:sz w:val="32"/>
          <w:szCs w:val="40"/>
          <w:highlight w:val="none"/>
          <w:lang w:val="en-US" w:eastAsia="zh-CN" w:bidi="ar"/>
        </w:rPr>
        <w:t>七、履约保证金</w:t>
      </w:r>
    </w:p>
    <w:p w14:paraId="5EE2BCF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本项目不设履约保证金。</w:t>
      </w:r>
    </w:p>
    <w:p w14:paraId="5974B51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黑体" w:hAnsi="黑体" w:eastAsia="黑体" w:cs="黑体"/>
          <w:b w:val="0"/>
          <w:bCs w:val="0"/>
          <w:kern w:val="0"/>
          <w:sz w:val="32"/>
          <w:szCs w:val="40"/>
          <w:highlight w:val="none"/>
          <w:lang w:val="en-US" w:eastAsia="zh-CN" w:bidi="ar"/>
        </w:rPr>
      </w:pPr>
      <w:r>
        <w:rPr>
          <w:rFonts w:hint="eastAsia" w:ascii="黑体" w:hAnsi="黑体" w:eastAsia="黑体" w:cs="黑体"/>
          <w:b w:val="0"/>
          <w:bCs w:val="0"/>
          <w:kern w:val="0"/>
          <w:sz w:val="32"/>
          <w:szCs w:val="40"/>
          <w:highlight w:val="none"/>
          <w:lang w:val="en-US" w:eastAsia="zh-CN" w:bidi="ar"/>
        </w:rPr>
        <w:t>八、评标原则</w:t>
      </w:r>
    </w:p>
    <w:p w14:paraId="31B7B316">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询价工作小组根据招标文件初步评审内容的规定，对所有应当受理的投标文件进行评审；没有实质响应招标文件要求、资质不符合招标文件资质要求的按废标处理。</w:t>
      </w:r>
    </w:p>
    <w:p w14:paraId="7C54C83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对初步评审通过的投标文件，询价工作小组按照规定的评分标准进行打分、核算汇总，按照综合的得分由高到低顺序推荐中标候选人。其中评标打分体系框架为供应商综合得分(100%)=价格评分(20%)+商务评分(30%)+技术评分(50%)(参照下文),如果投标人得分相同时，取价格分得分高者；最终得分和价格得分均相同时，以抽签方式选取供应商候选人。</w:t>
      </w:r>
    </w:p>
    <w:p w14:paraId="0039BFD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kern w:val="0"/>
          <w:sz w:val="32"/>
          <w:szCs w:val="40"/>
          <w:highlight w:val="none"/>
          <w:lang w:val="en-US" w:eastAsia="zh-CN" w:bidi="ar"/>
        </w:rPr>
      </w:pPr>
      <w:r>
        <w:rPr>
          <w:rFonts w:hint="eastAsia" w:ascii="黑体" w:hAnsi="黑体" w:eastAsia="黑体" w:cs="黑体"/>
          <w:b w:val="0"/>
          <w:bCs w:val="0"/>
          <w:kern w:val="0"/>
          <w:sz w:val="32"/>
          <w:szCs w:val="40"/>
          <w:highlight w:val="none"/>
          <w:lang w:val="en-US" w:eastAsia="zh-CN" w:bidi="ar"/>
        </w:rPr>
        <w:t>九、套餐项目参考</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8"/>
        <w:gridCol w:w="1296"/>
        <w:gridCol w:w="5676"/>
      </w:tblGrid>
      <w:tr w14:paraId="0EC5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744" w:type="dxa"/>
            <w:gridSpan w:val="2"/>
            <w:vAlign w:val="center"/>
          </w:tcPr>
          <w:p w14:paraId="642BBDCC">
            <w:pPr>
              <w:jc w:val="center"/>
              <w:rPr>
                <w:rFonts w:hint="eastAsia" w:cs="宋体" w:asciiTheme="minorEastAsia" w:hAnsiTheme="minorEastAsia" w:eastAsiaTheme="minorEastAsia"/>
                <w:sz w:val="21"/>
                <w:szCs w:val="21"/>
                <w:vertAlign w:val="baseline"/>
                <w:lang w:val="en-US" w:eastAsia="zh-CN"/>
              </w:rPr>
            </w:pPr>
            <w:r>
              <w:rPr>
                <w:rFonts w:hint="eastAsia" w:cs="宋体" w:asciiTheme="minorEastAsia" w:hAnsiTheme="minorEastAsia" w:eastAsiaTheme="minorEastAsia"/>
                <w:sz w:val="21"/>
                <w:szCs w:val="21"/>
                <w:vertAlign w:val="baseline"/>
                <w:lang w:val="en-US" w:eastAsia="zh-CN"/>
              </w:rPr>
              <w:t>类别</w:t>
            </w:r>
          </w:p>
        </w:tc>
        <w:tc>
          <w:tcPr>
            <w:tcW w:w="5676" w:type="dxa"/>
            <w:vAlign w:val="center"/>
          </w:tcPr>
          <w:p w14:paraId="0CF850CF">
            <w:pPr>
              <w:jc w:val="center"/>
              <w:rPr>
                <w:rFonts w:hint="eastAsia" w:cs="宋体" w:asciiTheme="minorEastAsia" w:hAnsiTheme="minorEastAsia" w:eastAsiaTheme="minorEastAsia"/>
                <w:sz w:val="21"/>
                <w:szCs w:val="21"/>
                <w:vertAlign w:val="baseline"/>
                <w:lang w:val="en-US" w:eastAsia="zh-CN"/>
              </w:rPr>
            </w:pPr>
            <w:r>
              <w:rPr>
                <w:rFonts w:hint="eastAsia" w:cs="宋体" w:asciiTheme="minorEastAsia" w:hAnsiTheme="minorEastAsia" w:eastAsiaTheme="minorEastAsia"/>
                <w:sz w:val="21"/>
                <w:szCs w:val="21"/>
                <w:vertAlign w:val="baseline"/>
                <w:lang w:val="en-US" w:eastAsia="zh-CN"/>
              </w:rPr>
              <w:t>套餐内容</w:t>
            </w:r>
          </w:p>
        </w:tc>
      </w:tr>
      <w:tr w14:paraId="554E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8" w:type="dxa"/>
            <w:vAlign w:val="center"/>
          </w:tcPr>
          <w:p w14:paraId="597A191C">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sz w:val="21"/>
                <w:szCs w:val="21"/>
                <w:vertAlign w:val="baseline"/>
                <w:lang w:val="en-US" w:eastAsia="zh-CN"/>
              </w:rPr>
            </w:pPr>
            <w:r>
              <w:rPr>
                <w:rFonts w:hint="eastAsia" w:cs="宋体" w:asciiTheme="minorEastAsia" w:hAnsiTheme="minorEastAsia"/>
                <w:sz w:val="21"/>
                <w:szCs w:val="21"/>
                <w:vertAlign w:val="baseline"/>
                <w:lang w:val="en-US" w:eastAsia="zh-CN"/>
              </w:rPr>
              <w:t>专家套餐</w:t>
            </w:r>
          </w:p>
        </w:tc>
        <w:tc>
          <w:tcPr>
            <w:tcW w:w="1296" w:type="dxa"/>
            <w:vAlign w:val="center"/>
          </w:tcPr>
          <w:p w14:paraId="365E0BD5">
            <w:pPr>
              <w:ind w:left="0" w:firstLine="0" w:firstLineChars="0"/>
              <w:jc w:val="center"/>
              <w:rPr>
                <w:rFonts w:hint="eastAsia" w:cs="宋体" w:asciiTheme="minorEastAsia" w:hAnsiTheme="minorEastAsia" w:eastAsiaTheme="minorEastAsia"/>
                <w:sz w:val="21"/>
                <w:szCs w:val="21"/>
                <w:vertAlign w:val="baseline"/>
                <w:lang w:val="en-US" w:eastAsia="zh-CN"/>
              </w:rPr>
            </w:pPr>
            <w:r>
              <w:rPr>
                <w:rFonts w:hint="eastAsia" w:cs="宋体" w:asciiTheme="minorEastAsia" w:hAnsiTheme="minorEastAsia" w:eastAsiaTheme="minorEastAsia"/>
                <w:sz w:val="21"/>
                <w:szCs w:val="21"/>
                <w:vertAlign w:val="baseline"/>
                <w:lang w:val="en-US" w:eastAsia="zh-CN"/>
              </w:rPr>
              <w:t>男</w:t>
            </w:r>
          </w:p>
        </w:tc>
        <w:tc>
          <w:tcPr>
            <w:tcW w:w="5676" w:type="dxa"/>
            <w:vAlign w:val="center"/>
          </w:tcPr>
          <w:p w14:paraId="321E465E">
            <w:pPr>
              <w:ind w:left="0" w:firstLine="0" w:firstLineChars="0"/>
              <w:jc w:val="left"/>
              <w:rPr>
                <w:rFonts w:hint="eastAsia" w:cs="宋体" w:asciiTheme="minorEastAsia" w:hAnsiTheme="minorEastAsia" w:eastAsiaTheme="minorEastAsia"/>
                <w:sz w:val="21"/>
                <w:szCs w:val="21"/>
                <w:vertAlign w:val="baseline"/>
              </w:rPr>
            </w:pPr>
            <w:r>
              <w:rPr>
                <w:rFonts w:hint="eastAsia" w:cs="宋体" w:asciiTheme="minorEastAsia" w:hAnsiTheme="minorEastAsia" w:eastAsiaTheme="minorEastAsia"/>
                <w:sz w:val="21"/>
                <w:szCs w:val="21"/>
                <w:vertAlign w:val="baseline"/>
              </w:rPr>
              <w:t>一般健康检查(内科、外科、耳鼻喉科、眼科、身高、体重、血压)、眼底检查、眼压检测、血常规、尿常规、尿碘定量检测、空腹血糖、糖化血红蛋白、脂联素、血脂四项、同型半胱氨酸、肝功能五项、血尿酸、甲状腺五项、免疫功能状态检测（淋巴细胞亚群分析）、碳-13呼气试验、血清胃功能检测、肿瘤筛查6项（癌胚抗原、CA199、细胞角蛋白（Cyfra21-1）、神经元特异性烯醇化酶NSE、前列腺特异性抗原、游离前列腺特异性抗原）、甲胎蛋白及异质体两项、异常凝血酶原、羟-25维生素D、EB病毒Rta-IgG测定、EB病毒VCA-IgA、EB病毒NA-IgA、肾功测定组合、电解质测定组合、甲状旁腺素、肺癌自身抗体谱检查、人粪便微小核糖核酸miR-92a检测、肝胆脾胰双肾膀胱输尿管前列腺彩超、甲状腺彩超、颈动脉彩超、多导心电图、胸部低剂量CT平扫、脑血流图、双能骨密度2、心理检测项目套餐、身体成分分析</w:t>
            </w:r>
          </w:p>
        </w:tc>
      </w:tr>
    </w:tbl>
    <w:p w14:paraId="3FBDAAC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提示投标人：表中项目为必须报价项目。招标人专家体检时，除专家本人自愿放弃外，所涉及项为必须体检项目，专家本人无需支付额外费用。</w:t>
      </w:r>
    </w:p>
    <w:p w14:paraId="0559240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kern w:val="0"/>
          <w:sz w:val="32"/>
          <w:szCs w:val="40"/>
          <w:highlight w:val="none"/>
          <w:lang w:val="en-US" w:eastAsia="zh-CN" w:bidi="ar"/>
        </w:rPr>
        <w:sectPr>
          <w:footerReference r:id="rId3" w:type="default"/>
          <w:pgSz w:w="11906" w:h="16838"/>
          <w:pgMar w:top="2098" w:right="1474" w:bottom="1984" w:left="1587" w:header="851" w:footer="992" w:gutter="0"/>
          <w:cols w:space="425" w:num="1"/>
          <w:docGrid w:type="lines" w:linePitch="312" w:charSpace="0"/>
        </w:sectPr>
      </w:pPr>
      <w:r>
        <w:rPr>
          <w:rFonts w:hint="eastAsia" w:ascii="黑体" w:hAnsi="黑体" w:eastAsia="黑体" w:cs="黑体"/>
          <w:b w:val="0"/>
          <w:bCs w:val="0"/>
          <w:kern w:val="0"/>
          <w:sz w:val="32"/>
          <w:szCs w:val="40"/>
          <w:highlight w:val="none"/>
          <w:lang w:val="en-US" w:eastAsia="zh-CN" w:bidi="ar"/>
        </w:rPr>
        <w:t>十、综合评分表</w:t>
      </w:r>
    </w:p>
    <w:p w14:paraId="17DD695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b w:val="0"/>
          <w:bCs w:val="0"/>
          <w:kern w:val="0"/>
          <w:sz w:val="32"/>
          <w:szCs w:val="40"/>
          <w:highlight w:val="none"/>
          <w:lang w:val="en-US" w:eastAsia="zh-CN" w:bidi="ar"/>
        </w:rPr>
      </w:pPr>
    </w:p>
    <w:tbl>
      <w:tblPr>
        <w:tblStyle w:val="10"/>
        <w:tblW w:w="10087"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3"/>
        <w:gridCol w:w="622"/>
        <w:gridCol w:w="1041"/>
        <w:gridCol w:w="7099"/>
        <w:gridCol w:w="722"/>
      </w:tblGrid>
      <w:tr w14:paraId="5459D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8" w:hRule="atLeast"/>
        </w:trPr>
        <w:tc>
          <w:tcPr>
            <w:tcW w:w="603" w:type="dxa"/>
            <w:shd w:val="clear" w:color="auto" w:fill="D7D7D7"/>
            <w:vAlign w:val="center"/>
          </w:tcPr>
          <w:p w14:paraId="4D7C5112">
            <w:pPr>
              <w:pStyle w:val="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黑体" w:hAnsi="黑体" w:eastAsia="黑体" w:cs="黑体"/>
                <w:b w:val="0"/>
                <w:bCs w:val="0"/>
                <w:sz w:val="24"/>
                <w:szCs w:val="24"/>
              </w:rPr>
            </w:pPr>
            <w:r>
              <w:rPr>
                <w:rFonts w:hint="eastAsia" w:ascii="黑体" w:hAnsi="黑体" w:eastAsia="黑体" w:cs="黑体"/>
                <w:b w:val="0"/>
                <w:bCs w:val="0"/>
                <w:spacing w:val="3"/>
                <w:sz w:val="24"/>
                <w:szCs w:val="24"/>
              </w:rPr>
              <w:t>序号</w:t>
            </w:r>
          </w:p>
        </w:tc>
        <w:tc>
          <w:tcPr>
            <w:tcW w:w="622" w:type="dxa"/>
            <w:shd w:val="clear" w:color="auto" w:fill="D7D7D7"/>
            <w:vAlign w:val="center"/>
          </w:tcPr>
          <w:p w14:paraId="11587A96">
            <w:pPr>
              <w:pStyle w:val="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黑体" w:hAnsi="黑体" w:eastAsia="黑体" w:cs="黑体"/>
                <w:b w:val="0"/>
                <w:bCs w:val="0"/>
                <w:spacing w:val="3"/>
                <w:sz w:val="24"/>
                <w:szCs w:val="24"/>
                <w:lang w:val="en-US" w:eastAsia="zh-CN"/>
              </w:rPr>
            </w:pPr>
            <w:r>
              <w:rPr>
                <w:rFonts w:hint="eastAsia" w:ascii="黑体" w:hAnsi="黑体" w:eastAsia="黑体" w:cs="黑体"/>
                <w:b w:val="0"/>
                <w:bCs w:val="0"/>
                <w:spacing w:val="3"/>
                <w:sz w:val="24"/>
                <w:szCs w:val="24"/>
                <w:lang w:val="en-US" w:eastAsia="zh-CN"/>
              </w:rPr>
              <w:t>类型</w:t>
            </w:r>
          </w:p>
        </w:tc>
        <w:tc>
          <w:tcPr>
            <w:tcW w:w="1041" w:type="dxa"/>
            <w:shd w:val="clear" w:color="auto" w:fill="D7D7D7"/>
            <w:vAlign w:val="center"/>
          </w:tcPr>
          <w:p w14:paraId="404A8316">
            <w:pPr>
              <w:pStyle w:val="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黑体" w:hAnsi="黑体" w:eastAsia="黑体" w:cs="黑体"/>
                <w:b w:val="0"/>
                <w:bCs w:val="0"/>
                <w:sz w:val="24"/>
                <w:szCs w:val="24"/>
                <w:lang w:eastAsia="zh-CN"/>
              </w:rPr>
            </w:pPr>
            <w:r>
              <w:rPr>
                <w:rFonts w:hint="eastAsia" w:ascii="黑体" w:hAnsi="黑体" w:eastAsia="黑体" w:cs="黑体"/>
                <w:b w:val="0"/>
                <w:bCs w:val="0"/>
                <w:spacing w:val="6"/>
                <w:sz w:val="24"/>
                <w:szCs w:val="24"/>
                <w:lang w:val="en-US" w:eastAsia="zh-CN"/>
              </w:rPr>
              <w:t>项目</w:t>
            </w:r>
          </w:p>
        </w:tc>
        <w:tc>
          <w:tcPr>
            <w:tcW w:w="7099" w:type="dxa"/>
            <w:shd w:val="clear" w:color="auto" w:fill="D7D7D7"/>
            <w:vAlign w:val="center"/>
          </w:tcPr>
          <w:p w14:paraId="1F6A79C4">
            <w:pPr>
              <w:pStyle w:val="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黑体" w:hAnsi="黑体" w:eastAsia="黑体" w:cs="黑体"/>
                <w:b w:val="0"/>
                <w:bCs w:val="0"/>
                <w:sz w:val="24"/>
                <w:szCs w:val="24"/>
              </w:rPr>
            </w:pPr>
            <w:r>
              <w:rPr>
                <w:rFonts w:hint="eastAsia" w:ascii="黑体" w:hAnsi="黑体" w:eastAsia="黑体" w:cs="黑体"/>
                <w:b w:val="0"/>
                <w:bCs w:val="0"/>
                <w:spacing w:val="6"/>
                <w:sz w:val="24"/>
                <w:szCs w:val="24"/>
              </w:rPr>
              <w:t>评分细则</w:t>
            </w:r>
          </w:p>
        </w:tc>
        <w:tc>
          <w:tcPr>
            <w:tcW w:w="722" w:type="dxa"/>
            <w:shd w:val="clear" w:color="auto" w:fill="D7D7D7"/>
            <w:vAlign w:val="center"/>
          </w:tcPr>
          <w:p w14:paraId="24653BF5">
            <w:pPr>
              <w:pStyle w:val="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黑体" w:hAnsi="黑体" w:eastAsia="黑体" w:cs="黑体"/>
                <w:b w:val="0"/>
                <w:bCs w:val="0"/>
                <w:sz w:val="24"/>
                <w:szCs w:val="24"/>
              </w:rPr>
            </w:pPr>
            <w:r>
              <w:rPr>
                <w:rFonts w:hint="eastAsia" w:ascii="黑体" w:hAnsi="黑体" w:eastAsia="黑体" w:cs="黑体"/>
                <w:b w:val="0"/>
                <w:bCs w:val="0"/>
                <w:spacing w:val="2"/>
                <w:sz w:val="24"/>
                <w:szCs w:val="24"/>
              </w:rPr>
              <w:t>分值</w:t>
            </w:r>
          </w:p>
        </w:tc>
      </w:tr>
      <w:tr w14:paraId="1401D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8" w:hRule="atLeast"/>
        </w:trPr>
        <w:tc>
          <w:tcPr>
            <w:tcW w:w="603" w:type="dxa"/>
            <w:vAlign w:val="center"/>
          </w:tcPr>
          <w:p w14:paraId="7E1E24DB">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pacing w:val="-8"/>
                <w:sz w:val="24"/>
                <w:lang w:val="en-US" w:eastAsia="zh-CN"/>
              </w:rPr>
            </w:pPr>
            <w:r>
              <w:rPr>
                <w:rFonts w:hint="eastAsia" w:ascii="仿宋_GB2312" w:hAnsi="仿宋_GB2312" w:eastAsia="仿宋_GB2312" w:cs="仿宋_GB2312"/>
                <w:spacing w:val="-8"/>
                <w:sz w:val="24"/>
                <w:lang w:val="en-US" w:eastAsia="zh-CN"/>
              </w:rPr>
              <w:t>1</w:t>
            </w:r>
          </w:p>
        </w:tc>
        <w:tc>
          <w:tcPr>
            <w:tcW w:w="622" w:type="dxa"/>
            <w:vAlign w:val="center"/>
          </w:tcPr>
          <w:p w14:paraId="5F367362">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仿宋_GB2312" w:hAnsi="仿宋_GB2312" w:eastAsia="仿宋_GB2312" w:cs="仿宋_GB2312"/>
                <w:spacing w:val="-8"/>
                <w:sz w:val="24"/>
                <w:szCs w:val="24"/>
                <w:lang w:val="en-US" w:eastAsia="zh-CN"/>
              </w:rPr>
            </w:pPr>
            <w:r>
              <w:rPr>
                <w:rFonts w:hint="eastAsia" w:ascii="仿宋_GB2312" w:hAnsi="仿宋_GB2312" w:eastAsia="仿宋_GB2312" w:cs="仿宋_GB2312"/>
                <w:spacing w:val="-8"/>
                <w:sz w:val="24"/>
                <w:szCs w:val="24"/>
                <w:lang w:val="en-US" w:eastAsia="zh-CN"/>
              </w:rPr>
              <w:t>价格评分</w:t>
            </w:r>
          </w:p>
        </w:tc>
        <w:tc>
          <w:tcPr>
            <w:tcW w:w="1041" w:type="dxa"/>
            <w:vAlign w:val="center"/>
          </w:tcPr>
          <w:p w14:paraId="38FA5F95">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8"/>
                <w:sz w:val="24"/>
                <w:szCs w:val="24"/>
                <w:lang w:val="en-US" w:eastAsia="zh-CN"/>
              </w:rPr>
              <w:t>投标价格</w:t>
            </w:r>
          </w:p>
        </w:tc>
        <w:tc>
          <w:tcPr>
            <w:tcW w:w="7099" w:type="dxa"/>
            <w:vAlign w:val="center"/>
          </w:tcPr>
          <w:p w14:paraId="1103FD50">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各投标人价格评分=(评标基准价／评标价)×价格权重×100</w:t>
            </w:r>
          </w:p>
          <w:p w14:paraId="25613C32">
            <w:pPr>
              <w:pStyle w:val="2"/>
              <w:rPr>
                <w:rFonts w:hint="eastAsia"/>
                <w:lang w:val="en-US" w:eastAsia="zh-CN"/>
              </w:rPr>
            </w:pPr>
            <w:r>
              <w:rPr>
                <w:rFonts w:hint="eastAsia" w:ascii="仿宋_GB2312" w:hAnsi="仿宋_GB2312" w:eastAsia="仿宋_GB2312" w:cs="仿宋_GB2312"/>
                <w:spacing w:val="13"/>
                <w:kern w:val="2"/>
                <w:sz w:val="24"/>
                <w:szCs w:val="24"/>
                <w:lang w:val="en-US" w:eastAsia="zh-CN" w:bidi="ar-SA"/>
              </w:rPr>
              <w:t>注：满足招标文件要求且投标价格最低的投标报价为评标基准价。</w:t>
            </w:r>
          </w:p>
        </w:tc>
        <w:tc>
          <w:tcPr>
            <w:tcW w:w="722" w:type="dxa"/>
            <w:vAlign w:val="center"/>
          </w:tcPr>
          <w:p w14:paraId="42D650EC">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8"/>
                <w:sz w:val="24"/>
                <w:szCs w:val="24"/>
                <w:lang w:val="en-US" w:eastAsia="zh-CN"/>
              </w:rPr>
              <w:t>20分</w:t>
            </w:r>
          </w:p>
        </w:tc>
      </w:tr>
      <w:tr w14:paraId="37284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8" w:hRule="atLeast"/>
        </w:trPr>
        <w:tc>
          <w:tcPr>
            <w:tcW w:w="603" w:type="dxa"/>
            <w:vAlign w:val="center"/>
          </w:tcPr>
          <w:p w14:paraId="31DC038D">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pacing w:val="-8"/>
                <w:sz w:val="24"/>
                <w:lang w:val="en-US" w:eastAsia="zh-CN"/>
              </w:rPr>
              <w:t>2</w:t>
            </w:r>
          </w:p>
        </w:tc>
        <w:tc>
          <w:tcPr>
            <w:tcW w:w="622" w:type="dxa"/>
            <w:vMerge w:val="restart"/>
            <w:vAlign w:val="center"/>
          </w:tcPr>
          <w:p w14:paraId="74CC9731">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pacing w:val="-8"/>
                <w:sz w:val="24"/>
                <w:lang w:val="en-US" w:eastAsia="zh-CN"/>
              </w:rPr>
            </w:pPr>
            <w:r>
              <w:rPr>
                <w:rFonts w:hint="eastAsia" w:ascii="仿宋_GB2312" w:hAnsi="仿宋_GB2312" w:eastAsia="仿宋_GB2312" w:cs="仿宋_GB2312"/>
                <w:spacing w:val="-8"/>
                <w:sz w:val="24"/>
                <w:szCs w:val="24"/>
                <w:lang w:val="en-US" w:eastAsia="zh-CN"/>
              </w:rPr>
              <w:t>商务评分</w:t>
            </w:r>
          </w:p>
        </w:tc>
        <w:tc>
          <w:tcPr>
            <w:tcW w:w="1041" w:type="dxa"/>
            <w:vAlign w:val="center"/>
          </w:tcPr>
          <w:p w14:paraId="6E0CF19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仿宋_GB2312" w:hAnsi="仿宋_GB2312" w:eastAsia="仿宋_GB2312" w:cs="仿宋_GB2312"/>
                <w:spacing w:val="13"/>
                <w:kern w:val="2"/>
                <w:sz w:val="24"/>
                <w:szCs w:val="22"/>
                <w:lang w:val="en-US" w:eastAsia="en-US" w:bidi="ar-SA"/>
              </w:rPr>
            </w:pPr>
            <w:r>
              <w:rPr>
                <w:rFonts w:hint="eastAsia" w:ascii="仿宋_GB2312" w:hAnsi="仿宋_GB2312" w:eastAsia="仿宋_GB2312" w:cs="仿宋_GB2312"/>
                <w:spacing w:val="13"/>
                <w:kern w:val="2"/>
                <w:sz w:val="24"/>
                <w:szCs w:val="22"/>
                <w:lang w:val="en-US" w:eastAsia="zh-CN" w:bidi="ar-SA"/>
              </w:rPr>
              <w:t>医疗机构执业许可证资质</w:t>
            </w:r>
          </w:p>
        </w:tc>
        <w:tc>
          <w:tcPr>
            <w:tcW w:w="7099" w:type="dxa"/>
            <w:vAlign w:val="center"/>
          </w:tcPr>
          <w:p w14:paraId="406DE3E3">
            <w:pPr>
              <w:numPr>
                <w:ilvl w:val="0"/>
                <w:numId w:val="1"/>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投标人医疗机构执业许可证为医院资质，得7分；</w:t>
            </w:r>
          </w:p>
          <w:p w14:paraId="6923E5BF">
            <w:pPr>
              <w:numPr>
                <w:ilvl w:val="0"/>
                <w:numId w:val="1"/>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投标人医疗机构执业许可证为综合门诊部资质，得5分；</w:t>
            </w:r>
          </w:p>
          <w:p w14:paraId="4ABBF7BE">
            <w:pPr>
              <w:numPr>
                <w:ilvl w:val="0"/>
                <w:numId w:val="1"/>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投标人医疗机构执业许可证为体检中心资质，得3分；</w:t>
            </w:r>
          </w:p>
          <w:p w14:paraId="75345FE4">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en-US" w:bidi="ar-SA"/>
              </w:rPr>
            </w:pPr>
            <w:r>
              <w:rPr>
                <w:rFonts w:hint="eastAsia" w:ascii="仿宋_GB2312" w:hAnsi="仿宋_GB2312" w:eastAsia="仿宋_GB2312" w:cs="仿宋_GB2312"/>
                <w:spacing w:val="13"/>
                <w:kern w:val="2"/>
                <w:sz w:val="24"/>
                <w:szCs w:val="24"/>
                <w:lang w:val="en-US" w:eastAsia="zh-CN" w:bidi="ar-SA"/>
              </w:rPr>
              <w:t>证明材料：提供资质证书或相关证明文件复印件加盖投标人公章，证书或证明文件具有有效期限的应在有效期内。</w:t>
            </w:r>
          </w:p>
        </w:tc>
        <w:tc>
          <w:tcPr>
            <w:tcW w:w="722" w:type="dxa"/>
            <w:vAlign w:val="center"/>
          </w:tcPr>
          <w:p w14:paraId="28D78568">
            <w:pPr>
              <w:pStyle w:val="9"/>
              <w:spacing w:before="71" w:line="189" w:lineRule="auto"/>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7分</w:t>
            </w:r>
          </w:p>
        </w:tc>
      </w:tr>
      <w:tr w14:paraId="15C33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0" w:hRule="atLeast"/>
        </w:trPr>
        <w:tc>
          <w:tcPr>
            <w:tcW w:w="603" w:type="dxa"/>
            <w:vAlign w:val="center"/>
          </w:tcPr>
          <w:p w14:paraId="14F2DEF4">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3</w:t>
            </w:r>
          </w:p>
        </w:tc>
        <w:tc>
          <w:tcPr>
            <w:tcW w:w="622" w:type="dxa"/>
            <w:vMerge w:val="continue"/>
            <w:vAlign w:val="center"/>
          </w:tcPr>
          <w:p w14:paraId="4BBE798D">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pacing w:val="-1"/>
                <w:sz w:val="24"/>
              </w:rPr>
            </w:pPr>
          </w:p>
        </w:tc>
        <w:tc>
          <w:tcPr>
            <w:tcW w:w="1041" w:type="dxa"/>
            <w:vAlign w:val="center"/>
          </w:tcPr>
          <w:p w14:paraId="0D7EBA8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pacing w:val="13"/>
                <w:kern w:val="2"/>
                <w:sz w:val="24"/>
                <w:szCs w:val="22"/>
                <w:lang w:val="en-US" w:eastAsia="zh-CN" w:bidi="ar-SA"/>
              </w:rPr>
              <w:t>场所总建筑面积</w:t>
            </w:r>
          </w:p>
        </w:tc>
        <w:tc>
          <w:tcPr>
            <w:tcW w:w="7099" w:type="dxa"/>
            <w:vAlign w:val="center"/>
          </w:tcPr>
          <w:p w14:paraId="4F0EB44D">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1、总建筑面积≥5000平方米，得5分；</w:t>
            </w:r>
          </w:p>
          <w:p w14:paraId="540B4233">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2、5000平方米＞总建筑面积≥3000平方米，得3分；</w:t>
            </w:r>
          </w:p>
          <w:p w14:paraId="5BCCD68F">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3、总建筑面积＜3000平方米，得1分。</w:t>
            </w:r>
          </w:p>
          <w:p w14:paraId="5E1CB5E5">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证明材料：提供体检场所的房产证或房地产租赁合同复印件，需注明场所总建筑面积，加盖投标人公章。</w:t>
            </w:r>
          </w:p>
        </w:tc>
        <w:tc>
          <w:tcPr>
            <w:tcW w:w="722" w:type="dxa"/>
            <w:vAlign w:val="center"/>
          </w:tcPr>
          <w:p w14:paraId="3347C6C6">
            <w:pPr>
              <w:numPr>
                <w:ilvl w:val="0"/>
                <w:numId w:val="0"/>
              </w:numPr>
              <w:bidi w:val="0"/>
              <w:ind w:left="0" w:leftChars="0" w:firstLine="0" w:firstLineChars="0"/>
              <w:jc w:val="center"/>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5分</w:t>
            </w:r>
          </w:p>
        </w:tc>
      </w:tr>
      <w:tr w14:paraId="3F072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7" w:hRule="atLeast"/>
        </w:trPr>
        <w:tc>
          <w:tcPr>
            <w:tcW w:w="603" w:type="dxa"/>
            <w:vAlign w:val="center"/>
          </w:tcPr>
          <w:p w14:paraId="52375A34">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pacing w:val="-2"/>
                <w:sz w:val="24"/>
                <w:lang w:val="en-US" w:eastAsia="zh-CN"/>
              </w:rPr>
              <w:t>4</w:t>
            </w:r>
          </w:p>
        </w:tc>
        <w:tc>
          <w:tcPr>
            <w:tcW w:w="622" w:type="dxa"/>
            <w:vMerge w:val="continue"/>
            <w:vAlign w:val="center"/>
          </w:tcPr>
          <w:p w14:paraId="19902828">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pacing w:val="-2"/>
                <w:sz w:val="24"/>
              </w:rPr>
            </w:pPr>
          </w:p>
        </w:tc>
        <w:tc>
          <w:tcPr>
            <w:tcW w:w="1041" w:type="dxa"/>
            <w:vAlign w:val="center"/>
          </w:tcPr>
          <w:p w14:paraId="082B5F13">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整体环境</w:t>
            </w:r>
          </w:p>
        </w:tc>
        <w:tc>
          <w:tcPr>
            <w:tcW w:w="7099" w:type="dxa"/>
            <w:vAlign w:val="center"/>
          </w:tcPr>
          <w:p w14:paraId="3A593FBF">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对投标人体检服务的整体环境进行评审，须提供相关证明及说明材料：</w:t>
            </w:r>
          </w:p>
          <w:p w14:paraId="29E06F8E">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l、布局分区规范合理，候检与咨询区空间相对开放，设置独立，有明确的标识，有专人负责，诊室及候诊区环境优雅舒适，体检私密性有周全保障，得7分；</w:t>
            </w:r>
          </w:p>
          <w:p w14:paraId="6E62785F">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2、布局分区规范，诊室及候诊环境干净整洁，体检有一定私密性考虑，得5分；</w:t>
            </w:r>
          </w:p>
          <w:p w14:paraId="652F702A">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3、布局分区不规范，诊室及候诊环境简陋，体检私密性保障不佳，得3分；</w:t>
            </w:r>
          </w:p>
          <w:p w14:paraId="60F7E067">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4、未提供的，得0分。</w:t>
            </w:r>
          </w:p>
        </w:tc>
        <w:tc>
          <w:tcPr>
            <w:tcW w:w="722" w:type="dxa"/>
            <w:vAlign w:val="center"/>
          </w:tcPr>
          <w:p w14:paraId="749B8942">
            <w:pPr>
              <w:numPr>
                <w:ilvl w:val="0"/>
                <w:numId w:val="0"/>
              </w:numPr>
              <w:bidi w:val="0"/>
              <w:ind w:left="0" w:leftChars="0" w:firstLine="0" w:firstLineChars="0"/>
              <w:jc w:val="center"/>
              <w:rPr>
                <w:rFonts w:hint="default"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7分</w:t>
            </w:r>
          </w:p>
        </w:tc>
      </w:tr>
      <w:tr w14:paraId="2DDEF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6" w:hRule="atLeast"/>
        </w:trPr>
        <w:tc>
          <w:tcPr>
            <w:tcW w:w="603" w:type="dxa"/>
            <w:vAlign w:val="center"/>
          </w:tcPr>
          <w:p w14:paraId="434B0BF5">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pacing w:val="1"/>
                <w:sz w:val="24"/>
                <w:lang w:val="en-US" w:eastAsia="zh-CN"/>
              </w:rPr>
              <w:t>5</w:t>
            </w:r>
          </w:p>
        </w:tc>
        <w:tc>
          <w:tcPr>
            <w:tcW w:w="622" w:type="dxa"/>
            <w:vMerge w:val="continue"/>
            <w:vAlign w:val="center"/>
          </w:tcPr>
          <w:p w14:paraId="09832AA5">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pacing w:val="1"/>
                <w:sz w:val="24"/>
              </w:rPr>
            </w:pPr>
          </w:p>
        </w:tc>
        <w:tc>
          <w:tcPr>
            <w:tcW w:w="1041" w:type="dxa"/>
            <w:vAlign w:val="center"/>
          </w:tcPr>
          <w:p w14:paraId="38918133">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便利性</w:t>
            </w:r>
          </w:p>
        </w:tc>
        <w:tc>
          <w:tcPr>
            <w:tcW w:w="7099" w:type="dxa"/>
            <w:vAlign w:val="center"/>
          </w:tcPr>
          <w:p w14:paraId="0E4A8D07">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对各投标人体检服务机构附近的公共地铁交通条件进行评审：</w:t>
            </w:r>
          </w:p>
          <w:p w14:paraId="7EE5DC47">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1、公交站或地铁站口距离投标人机构在300米内，得5分；</w:t>
            </w:r>
          </w:p>
          <w:p w14:paraId="45C22FDA">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2、公交站或地铁站口距离投标人机构在300-600米，得3分；</w:t>
            </w:r>
          </w:p>
          <w:p w14:paraId="012795B3">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3、公交或地铁站距离投标人超过600米，得1分；</w:t>
            </w:r>
          </w:p>
          <w:p w14:paraId="498C272B">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4、未提供，得0分。</w:t>
            </w:r>
          </w:p>
          <w:p w14:paraId="5AFE7A37">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须提交电子地图截图等相关说明材料复印件。</w:t>
            </w:r>
          </w:p>
        </w:tc>
        <w:tc>
          <w:tcPr>
            <w:tcW w:w="722" w:type="dxa"/>
            <w:vAlign w:val="center"/>
          </w:tcPr>
          <w:p w14:paraId="189F8A56">
            <w:pPr>
              <w:numPr>
                <w:ilvl w:val="0"/>
                <w:numId w:val="0"/>
              </w:numPr>
              <w:bidi w:val="0"/>
              <w:ind w:left="0" w:leftChars="0" w:firstLine="0" w:firstLineChars="0"/>
              <w:jc w:val="center"/>
              <w:rPr>
                <w:rFonts w:hint="default"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5分</w:t>
            </w:r>
          </w:p>
        </w:tc>
      </w:tr>
      <w:tr w14:paraId="00FA1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0" w:hRule="atLeast"/>
        </w:trPr>
        <w:tc>
          <w:tcPr>
            <w:tcW w:w="603" w:type="dxa"/>
            <w:vAlign w:val="center"/>
          </w:tcPr>
          <w:p w14:paraId="5FD419F3">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pacing w:val="-2"/>
                <w:sz w:val="24"/>
                <w:lang w:val="en-US" w:eastAsia="zh-CN"/>
              </w:rPr>
              <w:t>6</w:t>
            </w:r>
          </w:p>
        </w:tc>
        <w:tc>
          <w:tcPr>
            <w:tcW w:w="622" w:type="dxa"/>
            <w:vMerge w:val="continue"/>
            <w:vAlign w:val="center"/>
          </w:tcPr>
          <w:p w14:paraId="51C2CA1E">
            <w:pPr>
              <w:pStyle w:val="9"/>
              <w:keepNext w:val="0"/>
              <w:keepLines w:val="0"/>
              <w:pageBreakBefore w:val="0"/>
              <w:widowControl w:val="0"/>
              <w:kinsoku/>
              <w:wordWrap/>
              <w:overflowPunct/>
              <w:topLinePunct w:val="0"/>
              <w:bidi w:val="0"/>
              <w:spacing w:line="240" w:lineRule="auto"/>
              <w:ind w:firstLine="0" w:firstLineChars="0"/>
              <w:jc w:val="center"/>
              <w:textAlignment w:val="auto"/>
              <w:rPr>
                <w:rFonts w:hint="eastAsia" w:ascii="仿宋_GB2312" w:hAnsi="仿宋_GB2312" w:eastAsia="仿宋_GB2312" w:cs="仿宋_GB2312"/>
                <w:spacing w:val="-2"/>
                <w:sz w:val="24"/>
              </w:rPr>
            </w:pPr>
          </w:p>
        </w:tc>
        <w:tc>
          <w:tcPr>
            <w:tcW w:w="1041" w:type="dxa"/>
            <w:vAlign w:val="center"/>
          </w:tcPr>
          <w:p w14:paraId="0A17DD1E">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VIP服务</w:t>
            </w:r>
          </w:p>
        </w:tc>
        <w:tc>
          <w:tcPr>
            <w:tcW w:w="7099" w:type="dxa"/>
            <w:vAlign w:val="center"/>
          </w:tcPr>
          <w:p w14:paraId="0432FB07">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1、投标人具备VIP服务通道，并且不另收取费用的，得3分；</w:t>
            </w:r>
          </w:p>
          <w:p w14:paraId="54F82CCE">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2、投标人具备一对一接检服务，并且不另收取费用的，得3分；</w:t>
            </w:r>
          </w:p>
          <w:p w14:paraId="2CB89B6D">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3、提供体检专场，实施期间至少预留有5个连续及相对独立的工作日专门用于采购人职工体检的，得3分。</w:t>
            </w:r>
          </w:p>
          <w:p w14:paraId="4326A838">
            <w:pPr>
              <w:numPr>
                <w:ilvl w:val="0"/>
                <w:numId w:val="0"/>
              </w:numPr>
              <w:bidi w:val="0"/>
              <w:ind w:left="0" w:leftChars="0" w:firstLine="0" w:firstLine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（此项最多得6分，须提供承诺书及其他相关证明文件，承诺书格式自拟，未提供的得0分）</w:t>
            </w:r>
          </w:p>
        </w:tc>
        <w:tc>
          <w:tcPr>
            <w:tcW w:w="722" w:type="dxa"/>
            <w:vAlign w:val="center"/>
          </w:tcPr>
          <w:p w14:paraId="12435266">
            <w:pPr>
              <w:numPr>
                <w:ilvl w:val="0"/>
                <w:numId w:val="0"/>
              </w:numPr>
              <w:bidi w:val="0"/>
              <w:ind w:left="0" w:leftChars="0" w:firstLine="0" w:firstLineChars="0"/>
              <w:jc w:val="center"/>
              <w:rPr>
                <w:rFonts w:hint="default"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6分</w:t>
            </w:r>
          </w:p>
        </w:tc>
      </w:tr>
      <w:tr w14:paraId="2B0E5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0" w:hRule="atLeast"/>
        </w:trPr>
        <w:tc>
          <w:tcPr>
            <w:tcW w:w="603" w:type="dxa"/>
            <w:vAlign w:val="center"/>
          </w:tcPr>
          <w:p w14:paraId="00AA85E0">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7</w:t>
            </w:r>
          </w:p>
        </w:tc>
        <w:tc>
          <w:tcPr>
            <w:tcW w:w="622" w:type="dxa"/>
            <w:vMerge w:val="restart"/>
            <w:vAlign w:val="center"/>
          </w:tcPr>
          <w:p w14:paraId="7AA3CE80">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default"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技术评分</w:t>
            </w:r>
          </w:p>
        </w:tc>
        <w:tc>
          <w:tcPr>
            <w:tcW w:w="1041" w:type="dxa"/>
            <w:vAlign w:val="center"/>
          </w:tcPr>
          <w:p w14:paraId="087AB535">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拟投入服务团队实力</w:t>
            </w:r>
          </w:p>
        </w:tc>
        <w:tc>
          <w:tcPr>
            <w:tcW w:w="7099" w:type="dxa"/>
            <w:vAlign w:val="center"/>
          </w:tcPr>
          <w:p w14:paraId="3A958D13">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根据投标人拟投入到本次项目服务团队主要人员中的高级职称情况进行评审:</w:t>
            </w:r>
          </w:p>
          <w:p w14:paraId="13282DF3">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主任医师人数≥10人，得10分;</w:t>
            </w:r>
          </w:p>
          <w:p w14:paraId="247CA054">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10&gt;主任医师人数≥6人，得7分；</w:t>
            </w:r>
          </w:p>
          <w:p w14:paraId="384A32A5">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6&gt;主任医师人数≥3人，得5分；</w:t>
            </w:r>
          </w:p>
          <w:p w14:paraId="587C0802">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3&gt;主任医师人数≥1人，得3分；</w:t>
            </w:r>
          </w:p>
          <w:p w14:paraId="0777D0F7">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其他得0分。</w:t>
            </w:r>
          </w:p>
          <w:p w14:paraId="676265FE">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证明材料：填写拟投入主任医师情况表，并提供医师职称证明文件复印件，医师注册或多点备案信息，并加盖投标人公章，未提供不得分。</w:t>
            </w:r>
          </w:p>
        </w:tc>
        <w:tc>
          <w:tcPr>
            <w:tcW w:w="722" w:type="dxa"/>
            <w:vAlign w:val="center"/>
          </w:tcPr>
          <w:p w14:paraId="3CBD8201">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10分</w:t>
            </w:r>
          </w:p>
        </w:tc>
      </w:tr>
      <w:tr w14:paraId="68777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0" w:hRule="atLeast"/>
        </w:trPr>
        <w:tc>
          <w:tcPr>
            <w:tcW w:w="603" w:type="dxa"/>
            <w:vAlign w:val="center"/>
          </w:tcPr>
          <w:p w14:paraId="3C025E89">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8</w:t>
            </w:r>
          </w:p>
        </w:tc>
        <w:tc>
          <w:tcPr>
            <w:tcW w:w="622" w:type="dxa"/>
            <w:vMerge w:val="continue"/>
            <w:vAlign w:val="center"/>
          </w:tcPr>
          <w:p w14:paraId="00B18A2E">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p>
        </w:tc>
        <w:tc>
          <w:tcPr>
            <w:tcW w:w="1041" w:type="dxa"/>
            <w:vAlign w:val="center"/>
          </w:tcPr>
          <w:p w14:paraId="32F9924C">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信息化管理和检后服务</w:t>
            </w:r>
          </w:p>
        </w:tc>
        <w:tc>
          <w:tcPr>
            <w:tcW w:w="7099" w:type="dxa"/>
            <w:vAlign w:val="center"/>
          </w:tcPr>
          <w:p w14:paraId="545A693F">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根据投标人提供的健康档案管理方案及检后服务方案进行评审，可展现个人历史及当期体检报告对比分析，是否能够建立独立个人健康档案并提供纸质、电子体检报告。</w:t>
            </w:r>
          </w:p>
          <w:p w14:paraId="61FBB391">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1.方案清晰、具体，可展现历史及当期体检数据对比，检后服务能满足项目需求，得8-10分；</w:t>
            </w:r>
          </w:p>
          <w:p w14:paraId="0E0A3F36">
            <w:pPr>
              <w:numPr>
                <w:ilvl w:val="0"/>
                <w:numId w:val="0"/>
              </w:numPr>
              <w:bidi w:val="0"/>
              <w:ind w:left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2.方案较为清晰、具体，检后服务能够满足项目需求，得4-7；3.方案及检后服务一般，得1-3分；</w:t>
            </w:r>
          </w:p>
          <w:p w14:paraId="2D47E355">
            <w:pPr>
              <w:numPr>
                <w:ilvl w:val="0"/>
                <w:numId w:val="0"/>
              </w:numPr>
              <w:bidi w:val="0"/>
              <w:ind w:left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4.未提供方案不得分。</w:t>
            </w:r>
          </w:p>
        </w:tc>
        <w:tc>
          <w:tcPr>
            <w:tcW w:w="722" w:type="dxa"/>
            <w:vAlign w:val="center"/>
          </w:tcPr>
          <w:p w14:paraId="5962A824">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default"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10分</w:t>
            </w:r>
          </w:p>
        </w:tc>
      </w:tr>
      <w:tr w14:paraId="1F64C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0" w:hRule="atLeast"/>
        </w:trPr>
        <w:tc>
          <w:tcPr>
            <w:tcW w:w="603" w:type="dxa"/>
            <w:vAlign w:val="center"/>
          </w:tcPr>
          <w:p w14:paraId="62CCEFA4">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default"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9</w:t>
            </w:r>
          </w:p>
        </w:tc>
        <w:tc>
          <w:tcPr>
            <w:tcW w:w="622" w:type="dxa"/>
            <w:vMerge w:val="continue"/>
            <w:vAlign w:val="center"/>
          </w:tcPr>
          <w:p w14:paraId="6B1E7800">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p>
        </w:tc>
        <w:tc>
          <w:tcPr>
            <w:tcW w:w="1041" w:type="dxa"/>
            <w:vAlign w:val="center"/>
          </w:tcPr>
          <w:p w14:paraId="17411F36">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拟投入的检测仪器设备</w:t>
            </w:r>
          </w:p>
        </w:tc>
        <w:tc>
          <w:tcPr>
            <w:tcW w:w="7099" w:type="dxa"/>
            <w:vAlign w:val="center"/>
          </w:tcPr>
          <w:p w14:paraId="73E0EB46">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针对采购人集中体检的实际需求，对投入体检专用的主要设备进行评审：</w:t>
            </w:r>
          </w:p>
          <w:p w14:paraId="25D7750A">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1.仪器设备种类齐全，主要设备数量多，可靠性及先进性强，得8-10分；</w:t>
            </w:r>
          </w:p>
          <w:p w14:paraId="41E3ED01">
            <w:pPr>
              <w:numPr>
                <w:ilvl w:val="0"/>
                <w:numId w:val="0"/>
              </w:numPr>
              <w:bidi w:val="0"/>
              <w:ind w:left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2.仪器设备种类比较齐全，主要设备数量比较多，可靠性及先进性比较强，得4-7分；</w:t>
            </w:r>
          </w:p>
          <w:p w14:paraId="7151BB6C">
            <w:pPr>
              <w:numPr>
                <w:ilvl w:val="0"/>
                <w:numId w:val="0"/>
              </w:numPr>
              <w:bidi w:val="0"/>
              <w:ind w:leftChars="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3.仪器设备种类少，主要设备数量少，可靠性及先进性一般，得1-3分；</w:t>
            </w:r>
          </w:p>
          <w:p w14:paraId="2BF73243">
            <w:pPr>
              <w:pStyle w:val="2"/>
              <w:rPr>
                <w:rFonts w:hint="default"/>
                <w:lang w:val="en-US" w:eastAsia="zh-CN"/>
              </w:rPr>
            </w:pPr>
            <w:r>
              <w:rPr>
                <w:rFonts w:hint="eastAsia" w:ascii="仿宋_GB2312" w:hAnsi="仿宋_GB2312" w:eastAsia="仿宋_GB2312" w:cs="仿宋_GB2312"/>
                <w:spacing w:val="13"/>
                <w:kern w:val="2"/>
                <w:sz w:val="24"/>
                <w:szCs w:val="24"/>
                <w:lang w:val="en-US" w:eastAsia="zh-CN" w:bidi="ar-SA"/>
              </w:rPr>
              <w:t>4.未提供不得分。</w:t>
            </w:r>
          </w:p>
        </w:tc>
        <w:tc>
          <w:tcPr>
            <w:tcW w:w="722" w:type="dxa"/>
            <w:vAlign w:val="center"/>
          </w:tcPr>
          <w:p w14:paraId="70153DCE">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default"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10分</w:t>
            </w:r>
          </w:p>
        </w:tc>
      </w:tr>
      <w:tr w14:paraId="0EA7B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9" w:hRule="atLeast"/>
        </w:trPr>
        <w:tc>
          <w:tcPr>
            <w:tcW w:w="603" w:type="dxa"/>
            <w:vAlign w:val="center"/>
          </w:tcPr>
          <w:p w14:paraId="7EEA16E7">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default"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10</w:t>
            </w:r>
          </w:p>
        </w:tc>
        <w:tc>
          <w:tcPr>
            <w:tcW w:w="622" w:type="dxa"/>
            <w:vMerge w:val="continue"/>
            <w:vAlign w:val="center"/>
          </w:tcPr>
          <w:p w14:paraId="771852A3">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p>
        </w:tc>
        <w:tc>
          <w:tcPr>
            <w:tcW w:w="1041" w:type="dxa"/>
            <w:vAlign w:val="center"/>
          </w:tcPr>
          <w:p w14:paraId="0400E045">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增值服务</w:t>
            </w:r>
          </w:p>
        </w:tc>
        <w:tc>
          <w:tcPr>
            <w:tcW w:w="7099" w:type="dxa"/>
            <w:vAlign w:val="center"/>
          </w:tcPr>
          <w:p w14:paraId="60B942B6">
            <w:pPr>
              <w:numPr>
                <w:ilvl w:val="0"/>
                <w:numId w:val="0"/>
              </w:numPr>
              <w:bidi w:val="0"/>
              <w:jc w:val="left"/>
              <w:rPr>
                <w:rFonts w:hint="default"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提供增值服务，赠送体检项目，每多赠送一个体检项目得2分。</w:t>
            </w:r>
          </w:p>
        </w:tc>
        <w:tc>
          <w:tcPr>
            <w:tcW w:w="722" w:type="dxa"/>
            <w:vAlign w:val="center"/>
          </w:tcPr>
          <w:p w14:paraId="62D8ED0E">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default"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10分</w:t>
            </w:r>
          </w:p>
        </w:tc>
      </w:tr>
      <w:tr w14:paraId="60926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4" w:hRule="atLeast"/>
        </w:trPr>
        <w:tc>
          <w:tcPr>
            <w:tcW w:w="603" w:type="dxa"/>
            <w:vAlign w:val="center"/>
          </w:tcPr>
          <w:p w14:paraId="364C6DC7">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default"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12</w:t>
            </w:r>
          </w:p>
        </w:tc>
        <w:tc>
          <w:tcPr>
            <w:tcW w:w="622" w:type="dxa"/>
            <w:vMerge w:val="continue"/>
            <w:vAlign w:val="center"/>
          </w:tcPr>
          <w:p w14:paraId="607E4693">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p>
        </w:tc>
        <w:tc>
          <w:tcPr>
            <w:tcW w:w="1041" w:type="dxa"/>
            <w:vAlign w:val="center"/>
          </w:tcPr>
          <w:p w14:paraId="05675D68">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eastAsia"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投标人项目实施方案</w:t>
            </w:r>
          </w:p>
        </w:tc>
        <w:tc>
          <w:tcPr>
            <w:tcW w:w="7099" w:type="dxa"/>
            <w:vAlign w:val="center"/>
          </w:tcPr>
          <w:p w14:paraId="2DE4C121">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根据投标人提供的项目实施方案进行评审（包括但不限于体检的全面性、健康管理体系、人员配备等）：</w:t>
            </w:r>
          </w:p>
          <w:p w14:paraId="4E9DBCA0">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服务内容详细合理、人员配备非常充足的得8-10分；</w:t>
            </w:r>
          </w:p>
          <w:p w14:paraId="59630E2B">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服务内容基本合理、人员配备基本充足的得4-7分；</w:t>
            </w:r>
          </w:p>
          <w:p w14:paraId="7DEB2ECA">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服务内容不详细、人员配备不足的得1-3分。</w:t>
            </w:r>
          </w:p>
          <w:p w14:paraId="25EF8BBF">
            <w:pPr>
              <w:pStyle w:val="2"/>
              <w:rPr>
                <w:rFonts w:hint="default"/>
                <w:lang w:val="en-US" w:eastAsia="zh-CN"/>
              </w:rPr>
            </w:pPr>
            <w:r>
              <w:rPr>
                <w:rFonts w:hint="eastAsia" w:ascii="仿宋_GB2312" w:hAnsi="仿宋_GB2312" w:eastAsia="仿宋_GB2312" w:cs="仿宋_GB2312"/>
                <w:spacing w:val="13"/>
                <w:kern w:val="2"/>
                <w:sz w:val="24"/>
                <w:szCs w:val="24"/>
                <w:lang w:val="en-US" w:eastAsia="zh-CN" w:bidi="ar-SA"/>
              </w:rPr>
              <w:t>未提供不得分。</w:t>
            </w:r>
          </w:p>
          <w:p w14:paraId="4737E345">
            <w:pPr>
              <w:numPr>
                <w:ilvl w:val="0"/>
                <w:numId w:val="0"/>
              </w:numPr>
              <w:bidi w:val="0"/>
              <w:jc w:val="left"/>
              <w:rPr>
                <w:rFonts w:hint="eastAsia" w:ascii="仿宋_GB2312" w:hAnsi="仿宋_GB2312" w:eastAsia="仿宋_GB2312" w:cs="仿宋_GB2312"/>
                <w:spacing w:val="13"/>
                <w:kern w:val="2"/>
                <w:sz w:val="24"/>
                <w:szCs w:val="24"/>
                <w:lang w:val="en-US" w:eastAsia="zh-CN" w:bidi="ar-SA"/>
              </w:rPr>
            </w:pPr>
            <w:r>
              <w:rPr>
                <w:rFonts w:hint="eastAsia" w:ascii="仿宋_GB2312" w:hAnsi="仿宋_GB2312" w:eastAsia="仿宋_GB2312" w:cs="仿宋_GB2312"/>
                <w:spacing w:val="13"/>
                <w:kern w:val="2"/>
                <w:sz w:val="24"/>
                <w:szCs w:val="24"/>
                <w:lang w:val="en-US" w:eastAsia="zh-CN" w:bidi="ar-SA"/>
              </w:rPr>
              <w:t>证明材料：根据评审标准要求提供项目实施方案，格式自拟。</w:t>
            </w:r>
          </w:p>
        </w:tc>
        <w:tc>
          <w:tcPr>
            <w:tcW w:w="722" w:type="dxa"/>
            <w:vAlign w:val="center"/>
          </w:tcPr>
          <w:p w14:paraId="02EAE87C">
            <w:pPr>
              <w:keepNext w:val="0"/>
              <w:keepLines w:val="0"/>
              <w:pageBreakBefore w:val="0"/>
              <w:widowControl w:val="0"/>
              <w:numPr>
                <w:ilvl w:val="0"/>
                <w:numId w:val="0"/>
              </w:numPr>
              <w:kinsoku/>
              <w:wordWrap/>
              <w:overflowPunct/>
              <w:topLinePunct w:val="0"/>
              <w:bidi w:val="0"/>
              <w:spacing w:line="240" w:lineRule="auto"/>
              <w:ind w:left="0" w:leftChars="0" w:firstLine="0" w:firstLineChars="0"/>
              <w:jc w:val="center"/>
              <w:textAlignment w:val="auto"/>
              <w:rPr>
                <w:rFonts w:hint="default" w:ascii="仿宋_GB2312" w:hAnsi="仿宋_GB2312" w:eastAsia="仿宋_GB2312" w:cs="仿宋_GB2312"/>
                <w:spacing w:val="13"/>
                <w:kern w:val="2"/>
                <w:sz w:val="24"/>
                <w:szCs w:val="22"/>
                <w:lang w:val="en-US" w:eastAsia="zh-CN" w:bidi="ar-SA"/>
              </w:rPr>
            </w:pPr>
            <w:r>
              <w:rPr>
                <w:rFonts w:hint="eastAsia" w:ascii="仿宋_GB2312" w:hAnsi="仿宋_GB2312" w:eastAsia="仿宋_GB2312" w:cs="仿宋_GB2312"/>
                <w:spacing w:val="13"/>
                <w:kern w:val="2"/>
                <w:sz w:val="24"/>
                <w:szCs w:val="22"/>
                <w:lang w:val="en-US" w:eastAsia="zh-CN" w:bidi="ar-SA"/>
              </w:rPr>
              <w:t>10分</w:t>
            </w:r>
          </w:p>
        </w:tc>
      </w:tr>
    </w:tbl>
    <w:p w14:paraId="4791628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说明：</w:t>
      </w:r>
    </w:p>
    <w:p w14:paraId="06E0DDA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b w:val="0"/>
          <w:bCs w:val="0"/>
          <w:kern w:val="0"/>
          <w:sz w:val="24"/>
          <w:szCs w:val="24"/>
          <w:highlight w:val="none"/>
          <w:lang w:val="en-US" w:eastAsia="zh-CN" w:bidi="ar"/>
        </w:rPr>
      </w:pPr>
      <w:r>
        <w:rPr>
          <w:rFonts w:hint="eastAsia" w:ascii="仿宋_GB2312" w:hAnsi="仿宋_GB2312" w:eastAsia="仿宋_GB2312" w:cs="仿宋_GB2312"/>
          <w:b w:val="0"/>
          <w:bCs w:val="0"/>
          <w:kern w:val="0"/>
          <w:sz w:val="24"/>
          <w:szCs w:val="24"/>
          <w:highlight w:val="none"/>
          <w:lang w:val="en-US" w:eastAsia="zh-CN" w:bidi="ar"/>
        </w:rPr>
        <w:t>1.本表评审依据要求的各项证明文件须编入投标文件。</w:t>
      </w:r>
    </w:p>
    <w:p w14:paraId="279A36B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default"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24"/>
          <w:szCs w:val="24"/>
          <w:highlight w:val="none"/>
          <w:lang w:val="en-US" w:eastAsia="zh-CN" w:bidi="ar"/>
        </w:rPr>
        <w:t>2.表中要求提供相关证明文件的内容，投标文件中须明确加以说明并提供，未按要求提供相关文件或说明不清楚或评审委员会无法凭所提供的材料判断是否得分的情况，一律作不得分处理。</w:t>
      </w:r>
    </w:p>
    <w:p w14:paraId="28CFC20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b w:val="0"/>
          <w:bCs w:val="0"/>
          <w:kern w:val="0"/>
          <w:sz w:val="32"/>
          <w:szCs w:val="40"/>
          <w:highlight w:val="none"/>
          <w:lang w:val="en-US" w:eastAsia="zh-CN" w:bidi="ar"/>
        </w:rPr>
        <w:sectPr>
          <w:pgSz w:w="11906" w:h="16838"/>
          <w:pgMar w:top="1440" w:right="896" w:bottom="1440" w:left="896" w:header="851" w:footer="992" w:gutter="0"/>
          <w:cols w:space="425" w:num="1"/>
          <w:docGrid w:type="lines" w:linePitch="312" w:charSpace="0"/>
        </w:sectPr>
      </w:pPr>
    </w:p>
    <w:p w14:paraId="717D96E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黑体" w:hAnsi="黑体" w:eastAsia="黑体" w:cs="黑体"/>
          <w:b w:val="0"/>
          <w:bCs w:val="0"/>
          <w:kern w:val="0"/>
          <w:sz w:val="32"/>
          <w:szCs w:val="40"/>
          <w:highlight w:val="none"/>
          <w:lang w:val="en-US" w:eastAsia="zh-CN" w:bidi="ar"/>
        </w:rPr>
      </w:pPr>
      <w:r>
        <w:rPr>
          <w:rFonts w:hint="eastAsia" w:ascii="黑体" w:hAnsi="黑体" w:eastAsia="黑体" w:cs="黑体"/>
          <w:b w:val="0"/>
          <w:bCs w:val="0"/>
          <w:kern w:val="0"/>
          <w:sz w:val="32"/>
          <w:szCs w:val="40"/>
          <w:highlight w:val="none"/>
          <w:lang w:val="en-US" w:eastAsia="zh-CN" w:bidi="ar"/>
        </w:rPr>
        <w:t>十一、投标响应文件提交</w:t>
      </w:r>
    </w:p>
    <w:p w14:paraId="455C3708">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（一）请参考投标文件目录（见本询价函附件3）准备相应文件并加盖公章，扫描生成单一PDF文档后发送至采购方联系人邮箱liuhao@atigroup.cn，邮件主题以“投标人公司名称+项目名称+投标人联系方式”命名。</w:t>
      </w:r>
    </w:p>
    <w:p w14:paraId="0BE2338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(二)采购方对申请文件进行审核，审核未通过的，采购方联系人以邮件形式回复审核情况。</w:t>
      </w:r>
    </w:p>
    <w:p w14:paraId="7150C8F8">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(三)提交了材料并放弃投标的潜在投标人，请在开标前48小时以同一邮箱地址以邮件形式反馈采购方联系人，格式自拟。</w:t>
      </w:r>
    </w:p>
    <w:p w14:paraId="52BD6F8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投标人递交响应文件时提供的所有资料必须真实、有效，若发现有提供虚假资料投标的将取消其投标资格。</w:t>
      </w:r>
    </w:p>
    <w:p w14:paraId="3C0DE68E">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黑体" w:hAnsi="黑体" w:eastAsia="黑体" w:cs="黑体"/>
          <w:sz w:val="32"/>
          <w:szCs w:val="32"/>
          <w:highlight w:val="none"/>
          <w:lang w:val="en-US" w:eastAsia="zh-CN"/>
        </w:rPr>
      </w:pPr>
    </w:p>
    <w:p w14:paraId="30348CF6">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w:t>
      </w:r>
    </w:p>
    <w:p w14:paraId="663F55B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1.《供应商基本情况表》</w:t>
      </w:r>
    </w:p>
    <w:p w14:paraId="5561CA5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kern w:val="0"/>
          <w:sz w:val="32"/>
          <w:szCs w:val="40"/>
          <w:highlight w:val="none"/>
          <w:lang w:val="en-US" w:eastAsia="zh-CN" w:bidi="ar"/>
        </w:rPr>
      </w:pPr>
      <w:r>
        <w:rPr>
          <w:rFonts w:hint="eastAsia" w:ascii="仿宋_GB2312" w:hAnsi="仿宋_GB2312" w:eastAsia="仿宋_GB2312" w:cs="仿宋_GB2312"/>
          <w:b w:val="0"/>
          <w:bCs w:val="0"/>
          <w:kern w:val="0"/>
          <w:sz w:val="32"/>
          <w:szCs w:val="40"/>
          <w:highlight w:val="none"/>
          <w:lang w:val="en-US" w:eastAsia="zh-CN" w:bidi="ar"/>
        </w:rPr>
        <w:t>2.《深农科创2026年度专家体检项目预算表》</w:t>
      </w:r>
    </w:p>
    <w:p w14:paraId="1A225E5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highlight w:val="none"/>
        </w:rPr>
      </w:pPr>
      <w:r>
        <w:rPr>
          <w:rFonts w:hint="eastAsia" w:ascii="仿宋_GB2312" w:hAnsi="仿宋_GB2312" w:eastAsia="仿宋_GB2312" w:cs="仿宋_GB2312"/>
          <w:b w:val="0"/>
          <w:bCs w:val="0"/>
          <w:kern w:val="0"/>
          <w:sz w:val="32"/>
          <w:szCs w:val="40"/>
          <w:highlight w:val="none"/>
          <w:lang w:val="en-US" w:eastAsia="zh-CN" w:bidi="ar"/>
        </w:rPr>
        <w:t>3.《投标文件目录》</w:t>
      </w:r>
    </w:p>
    <w:p w14:paraId="5D86ADA1">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ascii="仿宋" w:hAnsi="仿宋" w:eastAsia="仿宋" w:cs="仿宋"/>
          <w:sz w:val="32"/>
          <w:szCs w:val="32"/>
          <w:highlight w:val="none"/>
        </w:rPr>
      </w:pPr>
      <w:r>
        <w:rPr>
          <w:rFonts w:ascii="仿宋" w:hAnsi="仿宋" w:eastAsia="仿宋" w:cs="仿宋"/>
          <w:sz w:val="32"/>
          <w:szCs w:val="32"/>
          <w:highlight w:val="none"/>
        </w:rPr>
        <w:t xml:space="preserve">                </w:t>
      </w:r>
    </w:p>
    <w:p w14:paraId="2BC37EDB">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仿宋_GB2312" w:hAnsi="仿宋_GB2312" w:eastAsia="仿宋_GB2312" w:cs="仿宋_GB2312"/>
          <w:sz w:val="32"/>
          <w:szCs w:val="32"/>
          <w:highlight w:val="none"/>
        </w:rPr>
      </w:pPr>
      <w:r>
        <w:rPr>
          <w:rFonts w:hint="eastAsia" w:ascii="仿宋" w:hAnsi="仿宋" w:eastAsia="仿宋" w:cs="仿宋"/>
          <w:sz w:val="32"/>
          <w:szCs w:val="32"/>
          <w:highlight w:val="none"/>
          <w:lang w:val="en-US" w:eastAsia="zh-CN"/>
        </w:rPr>
        <w:t xml:space="preserve">               </w:t>
      </w:r>
      <w:r>
        <w:rPr>
          <w:rFonts w:ascii="仿宋" w:hAnsi="仿宋" w:eastAsia="仿宋" w:cs="仿宋"/>
          <w:sz w:val="32"/>
          <w:szCs w:val="32"/>
          <w:highlight w:val="none"/>
        </w:rPr>
        <w:t xml:space="preserve"> </w:t>
      </w:r>
      <w:r>
        <w:rPr>
          <w:rFonts w:hint="eastAsia" w:ascii="仿宋_GB2312" w:hAnsi="仿宋_GB2312" w:eastAsia="仿宋_GB2312" w:cs="仿宋_GB2312"/>
          <w:sz w:val="32"/>
          <w:szCs w:val="32"/>
          <w:highlight w:val="none"/>
        </w:rPr>
        <w:t>深圳农业科技创新集团有限公司</w:t>
      </w:r>
    </w:p>
    <w:p w14:paraId="66CF9701">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12</w:t>
      </w:r>
      <w:bookmarkStart w:id="0" w:name="_GoBack"/>
      <w:bookmarkEnd w:id="0"/>
      <w:r>
        <w:rPr>
          <w:rFonts w:hint="eastAsia" w:ascii="仿宋_GB2312" w:hAnsi="仿宋_GB2312" w:eastAsia="仿宋_GB2312" w:cs="仿宋_GB2312"/>
          <w:sz w:val="32"/>
          <w:szCs w:val="32"/>
          <w:highlight w:val="none"/>
        </w:rPr>
        <w:t>日</w:t>
      </w:r>
    </w:p>
    <w:p w14:paraId="3DAC3B4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黑体" w:hAnsi="黑体" w:eastAsia="黑体" w:cs="黑体"/>
          <w:sz w:val="32"/>
          <w:szCs w:val="32"/>
          <w:highlight w:val="none"/>
          <w:lang w:val="en-US" w:eastAsia="zh-CN"/>
        </w:rPr>
        <w:sectPr>
          <w:pgSz w:w="11906" w:h="16838"/>
          <w:pgMar w:top="2098" w:right="1474" w:bottom="1984" w:left="1587" w:header="851" w:footer="992" w:gutter="0"/>
          <w:cols w:space="425" w:num="1"/>
          <w:docGrid w:type="lines" w:linePitch="312" w:charSpace="0"/>
        </w:sectPr>
      </w:pPr>
    </w:p>
    <w:p w14:paraId="6AD2A2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附件1</w:t>
      </w:r>
    </w:p>
    <w:p w14:paraId="06FCA7C0">
      <w:pPr>
        <w:keepNext w:val="0"/>
        <w:keepLines w:val="0"/>
        <w:pageBreakBefore w:val="0"/>
        <w:widowControl w:val="0"/>
        <w:suppressLineNumbers w:val="0"/>
        <w:wordWrap/>
        <w:topLinePunct w:val="0"/>
        <w:bidi w:val="0"/>
        <w:adjustRightInd w:val="0"/>
        <w:snapToGrid w:val="0"/>
        <w:spacing w:before="0" w:beforeAutospacing="0" w:after="0" w:afterAutospacing="0"/>
        <w:ind w:left="0" w:right="0"/>
        <w:jc w:val="center"/>
        <w:rPr>
          <w:rFonts w:hint="default" w:ascii="方正小标宋_GBK" w:hAnsi="方正小标宋_GBK" w:eastAsia="方正小标宋_GBK" w:cs="方正小标宋_GBK"/>
          <w:kern w:val="2"/>
          <w:sz w:val="44"/>
          <w:szCs w:val="44"/>
          <w:highlight w:val="none"/>
        </w:rPr>
      </w:pPr>
      <w:r>
        <w:rPr>
          <w:rFonts w:hint="default" w:ascii="方正小标宋_GBK" w:hAnsi="方正小标宋_GBK" w:eastAsia="方正小标宋_GBK" w:cs="方正小标宋_GBK"/>
          <w:kern w:val="2"/>
          <w:sz w:val="44"/>
          <w:szCs w:val="44"/>
          <w:highlight w:val="none"/>
          <w:lang w:val="en-US" w:eastAsia="zh-CN" w:bidi="ar"/>
        </w:rPr>
        <w:t>供应商基本情况表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99"/>
        <w:gridCol w:w="144"/>
        <w:gridCol w:w="720"/>
        <w:gridCol w:w="1177"/>
        <w:gridCol w:w="227"/>
        <w:gridCol w:w="924"/>
        <w:gridCol w:w="84"/>
        <w:gridCol w:w="1116"/>
        <w:gridCol w:w="516"/>
        <w:gridCol w:w="264"/>
        <w:gridCol w:w="1200"/>
        <w:gridCol w:w="1351"/>
      </w:tblGrid>
      <w:tr w14:paraId="218E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6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6B047C1">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项目名称</w:t>
            </w:r>
          </w:p>
        </w:tc>
        <w:tc>
          <w:tcPr>
            <w:tcW w:w="6859"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6AEF516">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r>
      <w:tr w14:paraId="7524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C565A7">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投标（响应）供应商</w:t>
            </w:r>
          </w:p>
        </w:tc>
        <w:tc>
          <w:tcPr>
            <w:tcW w:w="232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E364A63">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9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50CE7DD">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供应商统一社会信用代码</w:t>
            </w:r>
          </w:p>
        </w:tc>
        <w:tc>
          <w:tcPr>
            <w:tcW w:w="25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9E4469">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r>
      <w:tr w14:paraId="177A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7DF8B021">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b/>
                <w:bCs/>
                <w:kern w:val="2"/>
                <w:sz w:val="28"/>
                <w:szCs w:val="28"/>
                <w:highlight w:val="none"/>
                <w:lang w:val="en-US" w:eastAsia="zh-CN" w:bidi="ar"/>
              </w:rPr>
              <w:t>投标（响应）供应商相关人员情况</w:t>
            </w:r>
          </w:p>
        </w:tc>
      </w:tr>
      <w:tr w14:paraId="7F76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tcBorders>
              <w:top w:val="single" w:color="auto" w:sz="4" w:space="0"/>
              <w:left w:val="single" w:color="auto" w:sz="4" w:space="0"/>
              <w:bottom w:val="single" w:color="auto" w:sz="4" w:space="0"/>
              <w:right w:val="single" w:color="auto" w:sz="4" w:space="0"/>
            </w:tcBorders>
            <w:shd w:val="clear" w:color="auto" w:fill="auto"/>
            <w:vAlign w:val="center"/>
          </w:tcPr>
          <w:p w14:paraId="17BADAF4">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序号</w:t>
            </w:r>
          </w:p>
        </w:tc>
        <w:tc>
          <w:tcPr>
            <w:tcW w:w="22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E60B6BA">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职务</w:t>
            </w:r>
          </w:p>
        </w:tc>
        <w:tc>
          <w:tcPr>
            <w:tcW w:w="10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A483D5">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姓名</w:t>
            </w:r>
          </w:p>
        </w:tc>
        <w:tc>
          <w:tcPr>
            <w:tcW w:w="16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955C20">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身份证号码</w:t>
            </w:r>
          </w:p>
        </w:tc>
        <w:tc>
          <w:tcPr>
            <w:tcW w:w="146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047D691">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劳动合同关系单位</w:t>
            </w: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692DB131">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缴纳社会保险单位</w:t>
            </w:r>
          </w:p>
        </w:tc>
      </w:tr>
      <w:tr w14:paraId="6C8D9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99" w:type="dxa"/>
            <w:tcBorders>
              <w:top w:val="single" w:color="auto" w:sz="4" w:space="0"/>
              <w:left w:val="single" w:color="auto" w:sz="4" w:space="0"/>
              <w:bottom w:val="single" w:color="auto" w:sz="4" w:space="0"/>
              <w:right w:val="single" w:color="auto" w:sz="4" w:space="0"/>
            </w:tcBorders>
            <w:shd w:val="clear" w:color="auto" w:fill="auto"/>
            <w:vAlign w:val="center"/>
          </w:tcPr>
          <w:p w14:paraId="55575916">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1</w:t>
            </w:r>
          </w:p>
        </w:tc>
        <w:tc>
          <w:tcPr>
            <w:tcW w:w="22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09DA483">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240" w:lineRule="auto"/>
              <w:ind w:left="0" w:right="0"/>
              <w:jc w:val="center"/>
              <w:rPr>
                <w:rFonts w:hint="eastAsia" w:ascii="仿宋_GB2312" w:eastAsia="仿宋_GB2312" w:cs="仿宋_GB2312"/>
                <w:kern w:val="2"/>
                <w:sz w:val="21"/>
                <w:szCs w:val="21"/>
                <w:highlight w:val="none"/>
              </w:rPr>
            </w:pPr>
            <w:r>
              <w:rPr>
                <w:rFonts w:hint="eastAsia" w:ascii="仿宋_GB2312" w:hAnsi="Calibri" w:eastAsia="仿宋_GB2312" w:cs="仿宋_GB2312"/>
                <w:kern w:val="2"/>
                <w:sz w:val="21"/>
                <w:szCs w:val="21"/>
                <w:highlight w:val="none"/>
                <w:lang w:val="en-US" w:eastAsia="zh-CN" w:bidi="ar"/>
              </w:rPr>
              <w:t>法定代表人/单位负责人/主要经营负责人</w:t>
            </w:r>
          </w:p>
        </w:tc>
        <w:tc>
          <w:tcPr>
            <w:tcW w:w="10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2524D1">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6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467BAD">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46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EA73B9">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70A7481C">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r>
      <w:tr w14:paraId="7247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tcBorders>
              <w:top w:val="single" w:color="auto" w:sz="4" w:space="0"/>
              <w:left w:val="single" w:color="auto" w:sz="4" w:space="0"/>
              <w:bottom w:val="single" w:color="auto" w:sz="4" w:space="0"/>
              <w:right w:val="single" w:color="auto" w:sz="4" w:space="0"/>
            </w:tcBorders>
            <w:shd w:val="clear" w:color="auto" w:fill="auto"/>
            <w:vAlign w:val="center"/>
          </w:tcPr>
          <w:p w14:paraId="55093E35">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2</w:t>
            </w:r>
          </w:p>
        </w:tc>
        <w:tc>
          <w:tcPr>
            <w:tcW w:w="22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9DABF47">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1"/>
                <w:szCs w:val="21"/>
                <w:highlight w:val="none"/>
              </w:rPr>
            </w:pPr>
            <w:r>
              <w:rPr>
                <w:rFonts w:hint="eastAsia" w:ascii="仿宋_GB2312" w:hAnsi="Calibri" w:eastAsia="仿宋_GB2312" w:cs="仿宋_GB2312"/>
                <w:kern w:val="2"/>
                <w:sz w:val="21"/>
                <w:szCs w:val="21"/>
                <w:highlight w:val="none"/>
                <w:lang w:val="en-US" w:eastAsia="zh-CN" w:bidi="ar"/>
              </w:rPr>
              <w:t>项目投标授权代表人</w:t>
            </w:r>
          </w:p>
        </w:tc>
        <w:tc>
          <w:tcPr>
            <w:tcW w:w="10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C72035">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6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7C77EF">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46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435CB1">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62FA778C">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r>
      <w:tr w14:paraId="37840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99" w:type="dxa"/>
            <w:tcBorders>
              <w:top w:val="single" w:color="auto" w:sz="4" w:space="0"/>
              <w:left w:val="single" w:color="auto" w:sz="4" w:space="0"/>
              <w:bottom w:val="single" w:color="auto" w:sz="4" w:space="0"/>
              <w:right w:val="single" w:color="auto" w:sz="4" w:space="0"/>
            </w:tcBorders>
            <w:shd w:val="clear" w:color="auto" w:fill="auto"/>
            <w:vAlign w:val="center"/>
          </w:tcPr>
          <w:p w14:paraId="3D34677E">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3</w:t>
            </w:r>
          </w:p>
        </w:tc>
        <w:tc>
          <w:tcPr>
            <w:tcW w:w="22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59C059">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1"/>
                <w:szCs w:val="21"/>
                <w:highlight w:val="none"/>
              </w:rPr>
            </w:pPr>
            <w:r>
              <w:rPr>
                <w:rFonts w:hint="eastAsia" w:ascii="仿宋_GB2312" w:hAnsi="Calibri" w:eastAsia="仿宋_GB2312" w:cs="仿宋_GB2312"/>
                <w:kern w:val="2"/>
                <w:sz w:val="21"/>
                <w:szCs w:val="21"/>
                <w:highlight w:val="none"/>
                <w:lang w:val="en-US" w:eastAsia="zh-CN" w:bidi="ar"/>
              </w:rPr>
              <w:t>项目负责人</w:t>
            </w:r>
          </w:p>
        </w:tc>
        <w:tc>
          <w:tcPr>
            <w:tcW w:w="10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698A91">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6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AF1984">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46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B8B963">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692181EB">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r>
      <w:tr w14:paraId="62E5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tcBorders>
              <w:top w:val="single" w:color="auto" w:sz="4" w:space="0"/>
              <w:left w:val="single" w:color="auto" w:sz="4" w:space="0"/>
              <w:bottom w:val="single" w:color="auto" w:sz="4" w:space="0"/>
              <w:right w:val="single" w:color="auto" w:sz="4" w:space="0"/>
            </w:tcBorders>
            <w:shd w:val="clear" w:color="auto" w:fill="auto"/>
            <w:vAlign w:val="center"/>
          </w:tcPr>
          <w:p w14:paraId="001C0297">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4</w:t>
            </w:r>
          </w:p>
        </w:tc>
        <w:tc>
          <w:tcPr>
            <w:tcW w:w="22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76AAC1A">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1"/>
                <w:szCs w:val="21"/>
                <w:highlight w:val="none"/>
              </w:rPr>
            </w:pPr>
            <w:r>
              <w:rPr>
                <w:rFonts w:hint="eastAsia" w:ascii="仿宋_GB2312" w:hAnsi="Calibri" w:eastAsia="仿宋_GB2312" w:cs="仿宋_GB2312"/>
                <w:kern w:val="2"/>
                <w:sz w:val="21"/>
                <w:szCs w:val="21"/>
                <w:highlight w:val="none"/>
                <w:lang w:val="en-US" w:eastAsia="zh-CN" w:bidi="ar"/>
              </w:rPr>
              <w:t>主要技术人员</w:t>
            </w:r>
          </w:p>
        </w:tc>
        <w:tc>
          <w:tcPr>
            <w:tcW w:w="10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FF5F27">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6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C31FF9">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46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991DE4">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38D76364">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r>
      <w:tr w14:paraId="2F59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tcBorders>
              <w:top w:val="single" w:color="auto" w:sz="4" w:space="0"/>
              <w:left w:val="single" w:color="auto" w:sz="4" w:space="0"/>
              <w:bottom w:val="single" w:color="auto" w:sz="4" w:space="0"/>
              <w:right w:val="single" w:color="auto" w:sz="4" w:space="0"/>
            </w:tcBorders>
            <w:shd w:val="clear" w:color="auto" w:fill="auto"/>
            <w:vAlign w:val="center"/>
          </w:tcPr>
          <w:p w14:paraId="1D6BFAF2">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5</w:t>
            </w:r>
          </w:p>
        </w:tc>
        <w:tc>
          <w:tcPr>
            <w:tcW w:w="22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AB64D5E">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1"/>
                <w:szCs w:val="21"/>
                <w:highlight w:val="none"/>
              </w:rPr>
            </w:pPr>
            <w:r>
              <w:rPr>
                <w:rFonts w:hint="eastAsia" w:ascii="仿宋_GB2312" w:hAnsi="Calibri" w:eastAsia="仿宋_GB2312" w:cs="仿宋_GB2312"/>
                <w:kern w:val="2"/>
                <w:sz w:val="21"/>
                <w:szCs w:val="21"/>
                <w:highlight w:val="none"/>
                <w:lang w:val="en-US" w:eastAsia="zh-CN" w:bidi="ar"/>
              </w:rPr>
              <w:t>投标文件编制人员</w:t>
            </w:r>
          </w:p>
        </w:tc>
        <w:tc>
          <w:tcPr>
            <w:tcW w:w="10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53AA92">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6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28D0A5">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46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470859">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1351" w:type="dxa"/>
            <w:tcBorders>
              <w:top w:val="single" w:color="auto" w:sz="4" w:space="0"/>
              <w:left w:val="single" w:color="auto" w:sz="4" w:space="0"/>
              <w:bottom w:val="single" w:color="auto" w:sz="4" w:space="0"/>
              <w:right w:val="single" w:color="auto" w:sz="4" w:space="0"/>
            </w:tcBorders>
            <w:shd w:val="clear" w:color="auto" w:fill="auto"/>
            <w:vAlign w:val="center"/>
          </w:tcPr>
          <w:p w14:paraId="54C18C69">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r>
      <w:tr w14:paraId="392D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12"/>
            <w:tcBorders>
              <w:top w:val="single" w:color="auto" w:sz="4" w:space="0"/>
              <w:left w:val="single" w:color="auto" w:sz="4" w:space="0"/>
              <w:bottom w:val="single" w:color="auto" w:sz="4" w:space="0"/>
              <w:right w:val="single" w:color="auto" w:sz="4" w:space="0"/>
            </w:tcBorders>
            <w:shd w:val="clear" w:color="auto" w:fill="auto"/>
            <w:vAlign w:val="top"/>
          </w:tcPr>
          <w:p w14:paraId="3F7D4B39">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both"/>
              <w:rPr>
                <w:rFonts w:hint="eastAsia" w:ascii="仿宋_GB2312" w:eastAsia="仿宋_GB2312" w:cs="仿宋_GB2312"/>
                <w:kern w:val="2"/>
                <w:sz w:val="28"/>
                <w:szCs w:val="28"/>
                <w:highlight w:val="none"/>
              </w:rPr>
            </w:pPr>
            <w:r>
              <w:rPr>
                <w:rFonts w:hint="eastAsia" w:ascii="仿宋_GB2312" w:hAnsi="Calibri" w:eastAsia="仿宋_GB2312" w:cs="仿宋_GB2312"/>
                <w:b/>
                <w:bCs/>
                <w:kern w:val="2"/>
                <w:sz w:val="28"/>
                <w:szCs w:val="28"/>
                <w:highlight w:val="none"/>
                <w:lang w:val="en-US" w:eastAsia="zh-CN" w:bidi="ar"/>
              </w:rPr>
              <w:t>说明：同一职务有多人担任（如主要技术人员），应分行填写。</w:t>
            </w:r>
          </w:p>
        </w:tc>
      </w:tr>
      <w:tr w14:paraId="5BAE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7FAD855D">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b/>
                <w:bCs/>
                <w:kern w:val="2"/>
                <w:sz w:val="28"/>
                <w:szCs w:val="28"/>
                <w:highlight w:val="none"/>
                <w:lang w:val="en-US" w:eastAsia="zh-CN" w:bidi="ar"/>
              </w:rPr>
              <w:t>投标（响应）供应商关联关系情况</w:t>
            </w:r>
          </w:p>
        </w:tc>
      </w:tr>
      <w:tr w14:paraId="0A9A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94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18239D">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序号</w:t>
            </w:r>
          </w:p>
        </w:tc>
        <w:tc>
          <w:tcPr>
            <w:tcW w:w="18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6CDDA0">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关联关系类型</w:t>
            </w:r>
          </w:p>
        </w:tc>
        <w:tc>
          <w:tcPr>
            <w:tcW w:w="235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E06091A">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关联主体名称</w:t>
            </w:r>
          </w:p>
        </w:tc>
        <w:tc>
          <w:tcPr>
            <w:tcW w:w="333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B15B8FE">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备注</w:t>
            </w:r>
          </w:p>
        </w:tc>
      </w:tr>
      <w:tr w14:paraId="7E27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94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DB35C2">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1</w:t>
            </w:r>
          </w:p>
        </w:tc>
        <w:tc>
          <w:tcPr>
            <w:tcW w:w="18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CF71D9">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控股股东</w:t>
            </w:r>
          </w:p>
        </w:tc>
        <w:tc>
          <w:tcPr>
            <w:tcW w:w="235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03040AC">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333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5A78D6E">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240" w:lineRule="auto"/>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1"/>
                <w:szCs w:val="21"/>
                <w:highlight w:val="none"/>
                <w:lang w:val="en-US" w:eastAsia="zh-CN" w:bidi="ar"/>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055B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94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A40D24">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2</w:t>
            </w:r>
          </w:p>
        </w:tc>
        <w:tc>
          <w:tcPr>
            <w:tcW w:w="18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79A390">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8"/>
                <w:szCs w:val="28"/>
                <w:highlight w:val="none"/>
                <w:lang w:val="en-US" w:eastAsia="zh-CN" w:bidi="ar"/>
              </w:rPr>
              <w:t>管理关系</w:t>
            </w:r>
          </w:p>
        </w:tc>
        <w:tc>
          <w:tcPr>
            <w:tcW w:w="235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E074565">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center"/>
              <w:rPr>
                <w:rFonts w:hint="eastAsia" w:ascii="仿宋_GB2312" w:eastAsia="仿宋_GB2312" w:cs="仿宋_GB2312"/>
                <w:kern w:val="2"/>
                <w:sz w:val="28"/>
                <w:szCs w:val="28"/>
                <w:highlight w:val="none"/>
              </w:rPr>
            </w:pPr>
          </w:p>
        </w:tc>
        <w:tc>
          <w:tcPr>
            <w:tcW w:w="333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ABD1307">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240" w:lineRule="auto"/>
              <w:ind w:left="0" w:right="0"/>
              <w:jc w:val="center"/>
              <w:rPr>
                <w:rFonts w:hint="eastAsia" w:ascii="仿宋_GB2312" w:eastAsia="仿宋_GB2312" w:cs="仿宋_GB2312"/>
                <w:kern w:val="2"/>
                <w:sz w:val="28"/>
                <w:szCs w:val="28"/>
                <w:highlight w:val="none"/>
              </w:rPr>
            </w:pPr>
            <w:r>
              <w:rPr>
                <w:rFonts w:hint="eastAsia" w:ascii="仿宋_GB2312" w:hAnsi="Calibri" w:eastAsia="仿宋_GB2312" w:cs="仿宋_GB2312"/>
                <w:kern w:val="2"/>
                <w:sz w:val="21"/>
                <w:szCs w:val="21"/>
                <w:highlight w:val="none"/>
                <w:lang w:val="en-US" w:eastAsia="zh-CN" w:bidi="ar"/>
              </w:rPr>
              <w:t>指对投标（响应）供应商不具有出资持股关系，但对其存在管理关系的主体。</w:t>
            </w:r>
          </w:p>
        </w:tc>
      </w:tr>
      <w:tr w14:paraId="3423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gridSpan w:val="12"/>
            <w:tcBorders>
              <w:top w:val="single" w:color="auto" w:sz="4" w:space="0"/>
              <w:left w:val="single" w:color="auto" w:sz="4" w:space="0"/>
              <w:bottom w:val="single" w:color="auto" w:sz="4" w:space="0"/>
              <w:right w:val="single" w:color="auto" w:sz="4" w:space="0"/>
            </w:tcBorders>
            <w:shd w:val="clear" w:color="auto" w:fill="auto"/>
            <w:vAlign w:val="top"/>
          </w:tcPr>
          <w:p w14:paraId="0AAEC21D">
            <w:pPr>
              <w:keepNext w:val="0"/>
              <w:keepLines w:val="0"/>
              <w:pageBreakBefore w:val="0"/>
              <w:widowControl w:val="0"/>
              <w:suppressLineNumbers w:val="0"/>
              <w:wordWrap/>
              <w:topLinePunct w:val="0"/>
              <w:autoSpaceDE w:val="0"/>
              <w:autoSpaceDN/>
              <w:bidi w:val="0"/>
              <w:adjustRightInd w:val="0"/>
              <w:snapToGrid w:val="0"/>
              <w:spacing w:before="0" w:beforeAutospacing="0" w:after="0" w:afterAutospacing="0" w:line="420" w:lineRule="exact"/>
              <w:ind w:left="0" w:right="0"/>
              <w:jc w:val="both"/>
              <w:rPr>
                <w:rFonts w:hint="eastAsia" w:ascii="仿宋_GB2312" w:eastAsia="仿宋_GB2312" w:cs="仿宋_GB2312"/>
                <w:kern w:val="2"/>
                <w:sz w:val="28"/>
                <w:szCs w:val="28"/>
                <w:highlight w:val="none"/>
              </w:rPr>
            </w:pPr>
            <w:r>
              <w:rPr>
                <w:rFonts w:hint="eastAsia" w:ascii="仿宋_GB2312" w:hAnsi="Calibri" w:eastAsia="仿宋_GB2312" w:cs="仿宋_GB2312"/>
                <w:b/>
                <w:bCs/>
                <w:kern w:val="2"/>
                <w:sz w:val="28"/>
                <w:szCs w:val="28"/>
                <w:highlight w:val="none"/>
                <w:lang w:val="en-US" w:eastAsia="zh-CN" w:bidi="ar"/>
              </w:rPr>
              <w:t>说明：同一关联关系类型有多个主体的，应分行填写。</w:t>
            </w:r>
          </w:p>
        </w:tc>
      </w:tr>
    </w:tbl>
    <w:p w14:paraId="21E08D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jc w:val="both"/>
        <w:textAlignment w:val="auto"/>
        <w:rPr>
          <w:rFonts w:hint="eastAsia" w:ascii="仿宋_GB2312" w:eastAsia="仿宋_GB2312" w:cs="仿宋_GB2312"/>
          <w:b/>
          <w:bCs/>
          <w:kern w:val="2"/>
          <w:sz w:val="32"/>
          <w:szCs w:val="32"/>
          <w:highlight w:val="none"/>
        </w:rPr>
      </w:pPr>
      <w:r>
        <w:rPr>
          <w:rFonts w:hint="eastAsia" w:ascii="仿宋_GB2312" w:hAnsi="Calibri" w:eastAsia="仿宋_GB2312" w:cs="仿宋_GB2312"/>
          <w:b/>
          <w:bCs/>
          <w:kern w:val="2"/>
          <w:sz w:val="32"/>
          <w:szCs w:val="32"/>
          <w:highlight w:val="none"/>
          <w:lang w:val="en-US" w:eastAsia="zh-CN" w:bidi="ar"/>
        </w:rPr>
        <w:t>注：</w:t>
      </w:r>
      <w:r>
        <w:rPr>
          <w:rFonts w:hint="eastAsia" w:ascii="仿宋_GB2312" w:hAnsi="Calibri" w:eastAsia="仿宋_GB2312" w:cs="仿宋_GB2312"/>
          <w:kern w:val="2"/>
          <w:sz w:val="32"/>
          <w:szCs w:val="32"/>
          <w:highlight w:val="none"/>
          <w:u w:val="single"/>
          <w:lang w:val="en-US" w:eastAsia="zh-CN" w:bidi="ar"/>
        </w:rPr>
        <w:t>项目投标授权代表人、项目负责人、主要技术人员</w:t>
      </w:r>
      <w:r>
        <w:rPr>
          <w:rFonts w:hint="eastAsia" w:ascii="仿宋_GB2312" w:hAnsi="Calibri" w:eastAsia="仿宋_GB2312" w:cs="仿宋_GB2312"/>
          <w:b w:val="0"/>
          <w:bCs w:val="0"/>
          <w:kern w:val="2"/>
          <w:sz w:val="32"/>
          <w:szCs w:val="32"/>
          <w:highlight w:val="none"/>
          <w:lang w:val="en-US" w:eastAsia="zh-CN" w:bidi="ar"/>
        </w:rPr>
        <w:t>需另附近3个月（连续且自投标截止之日倒推3个月）的</w:t>
      </w:r>
      <w:r>
        <w:rPr>
          <w:rFonts w:hint="eastAsia" w:ascii="仿宋_GB2312" w:hAnsi="Calibri" w:eastAsia="仿宋_GB2312" w:cs="仿宋_GB2312"/>
          <w:b/>
          <w:bCs/>
          <w:kern w:val="2"/>
          <w:sz w:val="32"/>
          <w:szCs w:val="32"/>
          <w:highlight w:val="none"/>
          <w:u w:val="none"/>
          <w:lang w:val="en-US" w:eastAsia="zh-CN" w:bidi="ar"/>
        </w:rPr>
        <w:t>社保缴纳记录证明</w:t>
      </w:r>
      <w:r>
        <w:rPr>
          <w:rFonts w:hint="eastAsia" w:ascii="仿宋_GB2312" w:hAnsi="Calibri" w:eastAsia="仿宋_GB2312" w:cs="仿宋_GB2312"/>
          <w:b w:val="0"/>
          <w:bCs w:val="0"/>
          <w:kern w:val="2"/>
          <w:sz w:val="32"/>
          <w:szCs w:val="32"/>
          <w:highlight w:val="none"/>
          <w:lang w:val="en-US" w:eastAsia="zh-CN" w:bidi="ar"/>
        </w:rPr>
        <w:t>。</w:t>
      </w:r>
      <w:r>
        <w:rPr>
          <w:rFonts w:hint="eastAsia" w:ascii="仿宋_GB2312" w:hAnsi="Calibri" w:eastAsia="仿宋_GB2312" w:cs="仿宋_GB2312"/>
          <w:b/>
          <w:bCs/>
          <w:kern w:val="2"/>
          <w:sz w:val="32"/>
          <w:szCs w:val="32"/>
          <w:highlight w:val="none"/>
          <w:lang w:val="en-US" w:eastAsia="zh-CN" w:bidi="ar"/>
        </w:rPr>
        <w:t>社保缴纳单位应为投标人单位</w:t>
      </w:r>
      <w:r>
        <w:rPr>
          <w:rFonts w:hint="eastAsia" w:ascii="仿宋_GB2312" w:hAnsi="Calibri" w:eastAsia="仿宋_GB2312" w:cs="仿宋_GB2312"/>
          <w:b w:val="0"/>
          <w:bCs w:val="0"/>
          <w:kern w:val="2"/>
          <w:sz w:val="32"/>
          <w:szCs w:val="32"/>
          <w:highlight w:val="none"/>
          <w:lang w:val="en-US" w:eastAsia="zh-CN" w:bidi="ar"/>
        </w:rPr>
        <w:t>，特殊情况（如退休返聘、外籍员工等）需提供相关证明材料。社保缴纳记录应为投标人注册所在地社会保障部门出具的社保缴纳记录证明文件，并包含养老保险和医疗保险等主要险种。</w:t>
      </w:r>
    </w:p>
    <w:p w14:paraId="7B60EA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jc w:val="both"/>
        <w:textAlignment w:val="auto"/>
        <w:rPr>
          <w:rFonts w:hint="eastAsia" w:ascii="仿宋_GB2312" w:eastAsia="仿宋_GB2312" w:cs="仿宋_GB2312"/>
          <w:b/>
          <w:bCs/>
          <w:kern w:val="2"/>
          <w:sz w:val="32"/>
          <w:szCs w:val="32"/>
          <w:highlight w:val="none"/>
        </w:rPr>
      </w:pPr>
      <w:r>
        <w:rPr>
          <w:rFonts w:hint="eastAsia" w:ascii="仿宋_GB2312" w:hAnsi="Calibri" w:eastAsia="仿宋_GB2312" w:cs="仿宋_GB2312"/>
          <w:b/>
          <w:bCs/>
          <w:kern w:val="2"/>
          <w:sz w:val="32"/>
          <w:szCs w:val="32"/>
          <w:highlight w:val="none"/>
          <w:lang w:val="en-US" w:eastAsia="zh-CN" w:bidi="ar"/>
        </w:rPr>
        <w:t>投标（响应）供应商声明：</w:t>
      </w:r>
    </w:p>
    <w:p w14:paraId="784BA7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jc w:val="both"/>
        <w:textAlignment w:val="auto"/>
        <w:rPr>
          <w:rFonts w:hint="eastAsia" w:ascii="仿宋_GB2312" w:eastAsia="仿宋_GB2312" w:cs="仿宋_GB2312"/>
          <w:i w:val="0"/>
          <w:iCs w:val="0"/>
          <w:caps w:val="0"/>
          <w:color w:val="404040"/>
          <w:spacing w:val="0"/>
          <w:kern w:val="2"/>
          <w:sz w:val="32"/>
          <w:szCs w:val="32"/>
          <w:highlight w:val="none"/>
          <w:shd w:val="clear" w:fill="FFFFFF"/>
        </w:rPr>
      </w:pPr>
      <w:r>
        <w:rPr>
          <w:rFonts w:hint="eastAsia" w:ascii="仿宋_GB2312" w:hAnsi="Calibri" w:eastAsia="仿宋_GB2312" w:cs="仿宋_GB2312"/>
          <w:i w:val="0"/>
          <w:iCs w:val="0"/>
          <w:caps w:val="0"/>
          <w:color w:val="404040"/>
          <w:spacing w:val="0"/>
          <w:kern w:val="2"/>
          <w:sz w:val="32"/>
          <w:szCs w:val="32"/>
          <w:highlight w:val="none"/>
          <w:shd w:val="clear" w:fill="FFFFFF"/>
          <w:lang w:val="en-US" w:eastAsia="zh-CN" w:bidi="ar"/>
        </w:rPr>
        <w:t>1.投标（响应）供应商填写内容与事实不符的，招标人有权取消其投标资格、否决投标或解除合同，并依法追究其法律责任。</w:t>
      </w:r>
    </w:p>
    <w:p w14:paraId="689B1A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jc w:val="both"/>
        <w:textAlignment w:val="auto"/>
        <w:rPr>
          <w:rFonts w:hint="eastAsia" w:ascii="仿宋_GB2312" w:eastAsia="仿宋_GB2312" w:cs="仿宋_GB2312"/>
          <w:i w:val="0"/>
          <w:iCs w:val="0"/>
          <w:caps w:val="0"/>
          <w:color w:val="404040"/>
          <w:spacing w:val="0"/>
          <w:kern w:val="2"/>
          <w:sz w:val="32"/>
          <w:szCs w:val="32"/>
          <w:highlight w:val="none"/>
          <w:shd w:val="clear" w:fill="FFFFFF"/>
        </w:rPr>
      </w:pPr>
      <w:r>
        <w:rPr>
          <w:rFonts w:hint="eastAsia" w:ascii="仿宋_GB2312" w:hAnsi="Calibri" w:eastAsia="仿宋_GB2312" w:cs="仿宋_GB2312"/>
          <w:i w:val="0"/>
          <w:iCs w:val="0"/>
          <w:caps w:val="0"/>
          <w:color w:val="404040"/>
          <w:spacing w:val="0"/>
          <w:kern w:val="2"/>
          <w:sz w:val="32"/>
          <w:szCs w:val="32"/>
          <w:highlight w:val="none"/>
          <w:shd w:val="clear" w:fill="FFFFFF"/>
          <w:lang w:val="en-US" w:eastAsia="zh-CN" w:bidi="ar"/>
        </w:rPr>
        <w:t>2.投标（响应）供应商存</w:t>
      </w:r>
      <w:r>
        <w:rPr>
          <w:rFonts w:hint="eastAsia" w:ascii="仿宋_GB2312" w:hAnsi="Calibri" w:eastAsia="仿宋_GB2312" w:cs="仿宋_GB2312"/>
          <w:color w:val="404040"/>
          <w:kern w:val="2"/>
          <w:sz w:val="32"/>
          <w:szCs w:val="32"/>
          <w:highlight w:val="none"/>
          <w:shd w:val="clear" w:fill="FFFFFF"/>
          <w:lang w:val="en-US" w:eastAsia="zh-CN" w:bidi="ar"/>
        </w:rPr>
        <w:t>在</w:t>
      </w:r>
      <w:r>
        <w:rPr>
          <w:rFonts w:hint="eastAsia" w:ascii="仿宋_GB2312" w:hAnsi="Calibri" w:eastAsia="仿宋_GB2312" w:cs="仿宋_GB2312"/>
          <w:i w:val="0"/>
          <w:iCs w:val="0"/>
          <w:caps w:val="0"/>
          <w:color w:val="404040"/>
          <w:spacing w:val="0"/>
          <w:kern w:val="2"/>
          <w:sz w:val="32"/>
          <w:szCs w:val="32"/>
          <w:highlight w:val="none"/>
          <w:shd w:val="clear" w:fill="FFFFFF"/>
          <w:lang w:val="en-US" w:eastAsia="zh-CN" w:bidi="ar"/>
        </w:rPr>
        <w:t>围标串标行为</w:t>
      </w:r>
      <w:r>
        <w:rPr>
          <w:rFonts w:hint="eastAsia" w:ascii="仿宋_GB2312" w:hAnsi="Calibri" w:eastAsia="仿宋_GB2312" w:cs="仿宋_GB2312"/>
          <w:color w:val="404040"/>
          <w:kern w:val="2"/>
          <w:sz w:val="32"/>
          <w:szCs w:val="32"/>
          <w:highlight w:val="none"/>
          <w:shd w:val="clear" w:fill="FFFFFF"/>
          <w:lang w:val="en-US" w:eastAsia="zh-CN" w:bidi="ar"/>
        </w:rPr>
        <w:t>的，</w:t>
      </w:r>
      <w:r>
        <w:rPr>
          <w:rFonts w:hint="eastAsia" w:ascii="仿宋_GB2312" w:hAnsi="Calibri" w:eastAsia="仿宋_GB2312" w:cs="仿宋_GB2312"/>
          <w:i w:val="0"/>
          <w:iCs w:val="0"/>
          <w:caps w:val="0"/>
          <w:color w:val="404040"/>
          <w:spacing w:val="0"/>
          <w:kern w:val="2"/>
          <w:sz w:val="32"/>
          <w:szCs w:val="32"/>
          <w:highlight w:val="none"/>
          <w:shd w:val="clear" w:fill="FFFFFF"/>
          <w:lang w:val="en-US" w:eastAsia="zh-CN" w:bidi="ar"/>
        </w:rPr>
        <w:t>将被列入招标人采购失信名单。</w:t>
      </w:r>
    </w:p>
    <w:p w14:paraId="37632B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jc w:val="both"/>
        <w:textAlignment w:val="auto"/>
        <w:rPr>
          <w:rFonts w:hint="eastAsia" w:ascii="仿宋_GB2312" w:eastAsia="仿宋_GB2312" w:cs="仿宋_GB2312"/>
          <w:i w:val="0"/>
          <w:iCs w:val="0"/>
          <w:caps w:val="0"/>
          <w:color w:val="404040"/>
          <w:spacing w:val="0"/>
          <w:kern w:val="2"/>
          <w:sz w:val="32"/>
          <w:szCs w:val="32"/>
          <w:highlight w:val="none"/>
          <w:shd w:val="clear" w:fill="FFFFFF"/>
        </w:rPr>
      </w:pPr>
      <w:r>
        <w:rPr>
          <w:rFonts w:hint="eastAsia" w:ascii="仿宋_GB2312" w:hAnsi="Calibri" w:eastAsia="仿宋_GB2312" w:cs="仿宋_GB2312"/>
          <w:i w:val="0"/>
          <w:iCs w:val="0"/>
          <w:caps w:val="0"/>
          <w:color w:val="404040"/>
          <w:spacing w:val="0"/>
          <w:kern w:val="2"/>
          <w:sz w:val="32"/>
          <w:szCs w:val="32"/>
          <w:highlight w:val="none"/>
          <w:shd w:val="clear" w:fill="FFFFFF"/>
          <w:lang w:val="en-US" w:eastAsia="zh-CN" w:bidi="ar"/>
        </w:rPr>
        <w:t>3.本情况表自签署之日起生效，适用于本次招采活动及后续合同履行阶段。</w:t>
      </w:r>
    </w:p>
    <w:p w14:paraId="7ABC22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jc w:val="both"/>
        <w:textAlignment w:val="auto"/>
        <w:rPr>
          <w:rFonts w:hint="eastAsia" w:ascii="仿宋_GB2312" w:eastAsia="仿宋_GB2312" w:cs="仿宋_GB2312"/>
          <w:i w:val="0"/>
          <w:iCs w:val="0"/>
          <w:caps w:val="0"/>
          <w:color w:val="404040"/>
          <w:spacing w:val="0"/>
          <w:kern w:val="2"/>
          <w:sz w:val="32"/>
          <w:szCs w:val="32"/>
          <w:highlight w:val="none"/>
          <w:shd w:val="clear" w:fill="FFFFFF"/>
        </w:rPr>
      </w:pPr>
      <w:r>
        <w:rPr>
          <w:rFonts w:hint="eastAsia" w:ascii="仿宋_GB2312" w:hAnsi="Calibri" w:eastAsia="仿宋_GB2312" w:cs="仿宋_GB2312"/>
          <w:i w:val="0"/>
          <w:iCs w:val="0"/>
          <w:caps w:val="0"/>
          <w:color w:val="404040"/>
          <w:spacing w:val="0"/>
          <w:kern w:val="2"/>
          <w:sz w:val="32"/>
          <w:szCs w:val="32"/>
          <w:highlight w:val="none"/>
          <w:shd w:val="clear" w:fill="FFFFFF"/>
          <w:lang w:val="en-US" w:eastAsia="zh-CN" w:bidi="ar"/>
        </w:rPr>
        <w:t xml:space="preserve"> </w:t>
      </w:r>
    </w:p>
    <w:p w14:paraId="03578F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jc w:val="both"/>
        <w:textAlignment w:val="auto"/>
        <w:rPr>
          <w:rFonts w:hint="eastAsia" w:ascii="仿宋_GB2312" w:eastAsia="仿宋_GB2312" w:cs="仿宋_GB2312"/>
          <w:i w:val="0"/>
          <w:iCs w:val="0"/>
          <w:caps w:val="0"/>
          <w:color w:val="404040"/>
          <w:spacing w:val="0"/>
          <w:kern w:val="2"/>
          <w:sz w:val="32"/>
          <w:szCs w:val="32"/>
          <w:highlight w:val="none"/>
          <w:shd w:val="clear" w:fill="FFFFFF"/>
        </w:rPr>
      </w:pPr>
      <w:r>
        <w:rPr>
          <w:rFonts w:hint="eastAsia" w:ascii="仿宋_GB2312" w:hAnsi="Calibri" w:eastAsia="仿宋_GB2312" w:cs="仿宋_GB2312"/>
          <w:i w:val="0"/>
          <w:iCs w:val="0"/>
          <w:caps w:val="0"/>
          <w:color w:val="404040"/>
          <w:spacing w:val="0"/>
          <w:kern w:val="2"/>
          <w:sz w:val="32"/>
          <w:szCs w:val="32"/>
          <w:highlight w:val="none"/>
          <w:shd w:val="clear" w:fill="FFFFFF"/>
          <w:lang w:val="en-US" w:eastAsia="zh-CN" w:bidi="ar"/>
        </w:rPr>
        <w:t xml:space="preserve"> </w:t>
      </w:r>
    </w:p>
    <w:p w14:paraId="55F1CB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5760" w:right="0" w:hanging="5760" w:hangingChars="1800"/>
        <w:jc w:val="both"/>
        <w:textAlignment w:val="auto"/>
        <w:rPr>
          <w:rFonts w:hint="eastAsia" w:ascii="仿宋_GB2312" w:eastAsia="仿宋_GB2312" w:cs="仿宋_GB2312"/>
          <w:kern w:val="2"/>
          <w:sz w:val="32"/>
          <w:szCs w:val="32"/>
          <w:highlight w:val="none"/>
        </w:rPr>
      </w:pPr>
      <w:r>
        <w:rPr>
          <w:rFonts w:hint="eastAsia" w:ascii="仿宋_GB2312" w:hAnsi="Calibri" w:eastAsia="仿宋_GB2312" w:cs="仿宋_GB2312"/>
          <w:i w:val="0"/>
          <w:iCs w:val="0"/>
          <w:caps w:val="0"/>
          <w:color w:val="404040"/>
          <w:spacing w:val="0"/>
          <w:kern w:val="2"/>
          <w:sz w:val="32"/>
          <w:szCs w:val="32"/>
          <w:highlight w:val="none"/>
          <w:shd w:val="clear" w:fill="FFFFFF"/>
          <w:lang w:val="en-US" w:eastAsia="zh-CN" w:bidi="ar"/>
        </w:rPr>
        <w:t xml:space="preserve">                           </w:t>
      </w:r>
      <w:r>
        <w:rPr>
          <w:rFonts w:hint="eastAsia" w:ascii="仿宋_GB2312" w:hAnsi="Calibri" w:eastAsia="仿宋_GB2312" w:cs="仿宋_GB2312"/>
          <w:kern w:val="2"/>
          <w:sz w:val="32"/>
          <w:szCs w:val="32"/>
          <w:highlight w:val="none"/>
          <w:lang w:val="en-US" w:eastAsia="zh-CN" w:bidi="ar"/>
        </w:rPr>
        <w:t>填表单位：（加盖单位公章）      年   月   日</w:t>
      </w:r>
    </w:p>
    <w:p w14:paraId="04CFD96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highlight w:val="none"/>
          <w:lang w:val="en-US" w:eastAsia="zh-CN"/>
        </w:rPr>
        <w:sectPr>
          <w:pgSz w:w="11906" w:h="16838"/>
          <w:pgMar w:top="2098" w:right="1474" w:bottom="1984" w:left="1587" w:header="851" w:footer="992" w:gutter="0"/>
          <w:cols w:space="425" w:num="1"/>
          <w:docGrid w:type="lines" w:linePitch="312" w:charSpace="0"/>
        </w:sectPr>
      </w:pPr>
    </w:p>
    <w:p w14:paraId="651078E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附件2</w:t>
      </w:r>
    </w:p>
    <w:p w14:paraId="6E1D1AB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kern w:val="2"/>
          <w:sz w:val="44"/>
          <w:szCs w:val="44"/>
          <w:highlight w:val="none"/>
          <w:lang w:val="en-US" w:eastAsia="zh-CN" w:bidi="ar"/>
        </w:rPr>
      </w:pPr>
    </w:p>
    <w:p w14:paraId="3974636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kern w:val="2"/>
          <w:sz w:val="44"/>
          <w:szCs w:val="44"/>
          <w:highlight w:val="none"/>
          <w:lang w:val="en-US" w:eastAsia="zh-CN" w:bidi="ar"/>
        </w:rPr>
      </w:pPr>
      <w:r>
        <w:rPr>
          <w:rFonts w:hint="eastAsia" w:ascii="方正小标宋_GBK" w:hAnsi="方正小标宋_GBK" w:eastAsia="方正小标宋_GBK" w:cs="方正小标宋_GBK"/>
          <w:kern w:val="2"/>
          <w:sz w:val="44"/>
          <w:szCs w:val="44"/>
          <w:highlight w:val="none"/>
          <w:lang w:val="en-US" w:eastAsia="zh-CN" w:bidi="ar"/>
        </w:rPr>
        <w:t>深农科创2026年度专家体检项目预算表</w:t>
      </w:r>
    </w:p>
    <w:p w14:paraId="299DA25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（具体以实际发生金额结算）</w:t>
      </w:r>
    </w:p>
    <w:p w14:paraId="48A1FC81">
      <w:pPr>
        <w:pStyle w:val="2"/>
        <w:rPr>
          <w:rFonts w:hint="eastAsia"/>
          <w:lang w:val="en-US" w:eastAsia="zh-CN"/>
        </w:rPr>
      </w:pPr>
    </w:p>
    <w:tbl>
      <w:tblPr>
        <w:tblStyle w:val="5"/>
        <w:tblW w:w="8608"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5"/>
        <w:gridCol w:w="985"/>
        <w:gridCol w:w="3563"/>
        <w:gridCol w:w="985"/>
        <w:gridCol w:w="2090"/>
      </w:tblGrid>
      <w:tr w14:paraId="6AB75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10B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人员类别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211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费用标准预算（元）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34F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F0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合计（元）</w:t>
            </w:r>
          </w:p>
        </w:tc>
      </w:tr>
      <w:tr w14:paraId="065E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E5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专家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A34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男性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F5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DB28">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6C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50000</w:t>
            </w:r>
          </w:p>
        </w:tc>
      </w:tr>
      <w:tr w14:paraId="02F8B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1F4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664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EF5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50000</w:t>
            </w:r>
          </w:p>
        </w:tc>
      </w:tr>
    </w:tbl>
    <w:p w14:paraId="3F43AB06">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b/>
          <w:bCs/>
          <w:kern w:val="0"/>
          <w:sz w:val="32"/>
          <w:szCs w:val="40"/>
          <w:highlight w:val="none"/>
          <w:lang w:val="en-US" w:eastAsia="zh-CN" w:bidi="ar"/>
        </w:rPr>
      </w:pPr>
    </w:p>
    <w:p w14:paraId="55892D9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b/>
          <w:bCs/>
          <w:kern w:val="0"/>
          <w:sz w:val="32"/>
          <w:szCs w:val="40"/>
          <w:highlight w:val="none"/>
          <w:lang w:val="en-US" w:eastAsia="zh-CN" w:bidi="ar"/>
        </w:rPr>
      </w:pPr>
    </w:p>
    <w:p w14:paraId="35DB9464">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b/>
          <w:bCs/>
          <w:kern w:val="0"/>
          <w:sz w:val="32"/>
          <w:szCs w:val="40"/>
          <w:highlight w:val="none"/>
          <w:lang w:val="en-US" w:eastAsia="zh-CN" w:bidi="ar"/>
        </w:rPr>
      </w:pPr>
    </w:p>
    <w:p w14:paraId="28BBD98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b/>
          <w:bCs/>
          <w:kern w:val="0"/>
          <w:sz w:val="32"/>
          <w:szCs w:val="40"/>
          <w:highlight w:val="none"/>
          <w:lang w:val="en-US" w:eastAsia="zh-CN" w:bidi="ar"/>
        </w:rPr>
        <w:sectPr>
          <w:footerReference r:id="rId4" w:type="default"/>
          <w:pgSz w:w="11906" w:h="16838"/>
          <w:pgMar w:top="2098" w:right="1474" w:bottom="1984" w:left="1587" w:header="851" w:footer="992" w:gutter="0"/>
          <w:cols w:space="425" w:num="1"/>
          <w:docGrid w:type="lines" w:linePitch="312" w:charSpace="0"/>
        </w:sectPr>
      </w:pPr>
    </w:p>
    <w:p w14:paraId="5D015B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附件3</w:t>
      </w:r>
    </w:p>
    <w:p w14:paraId="491C50D2">
      <w:pPr>
        <w:keepNext w:val="0"/>
        <w:keepLines w:val="0"/>
        <w:pageBreakBefore w:val="0"/>
        <w:widowControl w:val="0"/>
        <w:suppressLineNumbers w:val="0"/>
        <w:wordWrap/>
        <w:topLinePunct w:val="0"/>
        <w:bidi w:val="0"/>
        <w:adjustRightInd w:val="0"/>
        <w:snapToGrid w:val="0"/>
        <w:spacing w:before="0" w:beforeAutospacing="0" w:after="0" w:afterAutospacing="0"/>
        <w:ind w:left="0" w:right="0"/>
        <w:jc w:val="center"/>
        <w:rPr>
          <w:rFonts w:hint="eastAsia" w:ascii="方正小标宋_GBK" w:hAnsi="方正小标宋_GBK" w:eastAsia="方正小标宋_GBK" w:cs="方正小标宋_GBK"/>
          <w:kern w:val="2"/>
          <w:sz w:val="44"/>
          <w:szCs w:val="44"/>
          <w:highlight w:val="none"/>
          <w:lang w:val="en-US" w:eastAsia="zh-CN" w:bidi="ar"/>
        </w:rPr>
      </w:pPr>
      <w:r>
        <w:rPr>
          <w:rFonts w:hint="eastAsia" w:ascii="方正小标宋_GBK" w:hAnsi="方正小标宋_GBK" w:eastAsia="方正小标宋_GBK" w:cs="方正小标宋_GBK"/>
          <w:kern w:val="2"/>
          <w:sz w:val="44"/>
          <w:szCs w:val="44"/>
          <w:highlight w:val="none"/>
          <w:lang w:val="en-US" w:eastAsia="zh-CN" w:bidi="ar"/>
        </w:rPr>
        <w:t>投标文件目录</w:t>
      </w:r>
    </w:p>
    <w:p w14:paraId="3230B4E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投标文件包括以下文件，均需加盖公章:</w:t>
      </w:r>
    </w:p>
    <w:p w14:paraId="2085278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 、资格审查资料</w:t>
      </w:r>
    </w:p>
    <w:p w14:paraId="4428907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投标人应为中华人民共和国境内注册（不含港澳台地区）的独立法人机构，具有合法的经营资格及独立承担民事责任的能力（提供营业执照副本或政府部门颁发的其他商业登记材料复印件并加盖公章）；</w:t>
      </w:r>
    </w:p>
    <w:p w14:paraId="00CC831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投标人必须是深圳市公立三甲医院或深圳市合法合规的私立体检机构，并提供相关资质材料（复印件加盖公章）;</w:t>
      </w:r>
    </w:p>
    <w:p w14:paraId="1F0C37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投标人近三年内在经营活动中没有重大违法记录（提供承诺书）；</w:t>
      </w:r>
    </w:p>
    <w:p w14:paraId="4699BB6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非联合体投标（提供承诺书）。</w:t>
      </w:r>
    </w:p>
    <w:p w14:paraId="0B7829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二、填写《供应商基本情况表》及相关附件（见本函附件1）。</w:t>
      </w:r>
    </w:p>
    <w:p w14:paraId="0048FEA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三、报价单(格式自拟)。</w:t>
      </w:r>
    </w:p>
    <w:p w14:paraId="5173975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四、参照正文中第十条“综合评分表”内容，提供相关佐证材料。</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C5FA3">
    <w:pPr>
      <w:spacing w:line="173" w:lineRule="auto"/>
      <w:ind w:left="4275"/>
      <w:rPr>
        <w:rFonts w:ascii="Times New Roman" w:hAnsi="Times New Roman" w:eastAsia="Times New Roman" w:cs="Times New Roman"/>
        <w:sz w:val="14"/>
        <w:szCs w:val="14"/>
      </w:rPr>
    </w:pPr>
    <w:r>
      <w:rPr>
        <w:rFonts w:ascii="Times New Roman" w:hAnsi="Times New Roman" w:eastAsia="Times New Roman" w:cs="Times New Roman"/>
        <w:sz w:val="14"/>
        <w:szCs w:val="14"/>
      </w:rPr>
      <w:t>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89AA4">
    <w:pPr>
      <w:spacing w:line="173" w:lineRule="auto"/>
      <w:ind w:left="4715"/>
      <w:rPr>
        <w:rFonts w:ascii="Times New Roman" w:hAnsi="Times New Roman" w:eastAsia="Times New Roman" w:cs="Times New Roman"/>
        <w:sz w:val="14"/>
        <w:szCs w:val="14"/>
      </w:rPr>
    </w:pPr>
    <w:r>
      <w:rPr>
        <w:rFonts w:ascii="Times New Roman" w:hAnsi="Times New Roman" w:eastAsia="Times New Roman" w:cs="Times New Roman"/>
        <w:spacing w:val="-1"/>
        <w:sz w:val="14"/>
        <w:szCs w:val="14"/>
      </w:rPr>
      <w:t>24</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F5EE19"/>
    <w:multiLevelType w:val="singleLevel"/>
    <w:tmpl w:val="56F5EE1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421B99"/>
    <w:rsid w:val="000A002F"/>
    <w:rsid w:val="00350671"/>
    <w:rsid w:val="01761E20"/>
    <w:rsid w:val="01EB0052"/>
    <w:rsid w:val="02866093"/>
    <w:rsid w:val="0627193B"/>
    <w:rsid w:val="063818A5"/>
    <w:rsid w:val="080261BB"/>
    <w:rsid w:val="08071A24"/>
    <w:rsid w:val="0A0C1C12"/>
    <w:rsid w:val="0ACF2701"/>
    <w:rsid w:val="0AE53B72"/>
    <w:rsid w:val="0B2A3950"/>
    <w:rsid w:val="0B2C002F"/>
    <w:rsid w:val="0B7C2DAB"/>
    <w:rsid w:val="0DA90E87"/>
    <w:rsid w:val="0E6B1B78"/>
    <w:rsid w:val="100A783E"/>
    <w:rsid w:val="10246E04"/>
    <w:rsid w:val="10AA1CCC"/>
    <w:rsid w:val="12E44576"/>
    <w:rsid w:val="130D3C66"/>
    <w:rsid w:val="13763F01"/>
    <w:rsid w:val="13765CAF"/>
    <w:rsid w:val="13BA2040"/>
    <w:rsid w:val="13F632D9"/>
    <w:rsid w:val="141817CE"/>
    <w:rsid w:val="144C07BE"/>
    <w:rsid w:val="150F0169"/>
    <w:rsid w:val="15352E44"/>
    <w:rsid w:val="168227FD"/>
    <w:rsid w:val="18921BAC"/>
    <w:rsid w:val="18BC4164"/>
    <w:rsid w:val="191C4C03"/>
    <w:rsid w:val="192A37C4"/>
    <w:rsid w:val="1A5A3C35"/>
    <w:rsid w:val="1B6A60FA"/>
    <w:rsid w:val="1C534DE0"/>
    <w:rsid w:val="1C6D7914"/>
    <w:rsid w:val="1C9571A6"/>
    <w:rsid w:val="1CCC06EE"/>
    <w:rsid w:val="1D771975"/>
    <w:rsid w:val="1DF1494F"/>
    <w:rsid w:val="1E677B8F"/>
    <w:rsid w:val="1F527078"/>
    <w:rsid w:val="1F8771BB"/>
    <w:rsid w:val="20541126"/>
    <w:rsid w:val="20777ADA"/>
    <w:rsid w:val="210E7527"/>
    <w:rsid w:val="21843C8D"/>
    <w:rsid w:val="21EA1370"/>
    <w:rsid w:val="21F7620D"/>
    <w:rsid w:val="221072CF"/>
    <w:rsid w:val="23FC3FAF"/>
    <w:rsid w:val="248F6127"/>
    <w:rsid w:val="24C76425"/>
    <w:rsid w:val="253934AD"/>
    <w:rsid w:val="27005B64"/>
    <w:rsid w:val="275D4D64"/>
    <w:rsid w:val="28162B4E"/>
    <w:rsid w:val="281E7C22"/>
    <w:rsid w:val="283C2BCC"/>
    <w:rsid w:val="28767090"/>
    <w:rsid w:val="2903193C"/>
    <w:rsid w:val="292F2731"/>
    <w:rsid w:val="29CC7F7F"/>
    <w:rsid w:val="2A135BAE"/>
    <w:rsid w:val="2A905451"/>
    <w:rsid w:val="2ABA24CE"/>
    <w:rsid w:val="2AC375D4"/>
    <w:rsid w:val="2C361D0A"/>
    <w:rsid w:val="2C416E1D"/>
    <w:rsid w:val="2CC413E2"/>
    <w:rsid w:val="2DC45283"/>
    <w:rsid w:val="2DCB638C"/>
    <w:rsid w:val="2DE97352"/>
    <w:rsid w:val="2E823302"/>
    <w:rsid w:val="2E9574DA"/>
    <w:rsid w:val="2F2443BA"/>
    <w:rsid w:val="2F4B5DEA"/>
    <w:rsid w:val="301D216B"/>
    <w:rsid w:val="306E7FE2"/>
    <w:rsid w:val="3106646D"/>
    <w:rsid w:val="31A238F2"/>
    <w:rsid w:val="31A67308"/>
    <w:rsid w:val="31DC0F7C"/>
    <w:rsid w:val="33F601DC"/>
    <w:rsid w:val="35042CC3"/>
    <w:rsid w:val="350741B2"/>
    <w:rsid w:val="35AB663A"/>
    <w:rsid w:val="360A255B"/>
    <w:rsid w:val="36981915"/>
    <w:rsid w:val="36BA5D2F"/>
    <w:rsid w:val="37977E1F"/>
    <w:rsid w:val="391F00CC"/>
    <w:rsid w:val="39883AED"/>
    <w:rsid w:val="39CD3FCC"/>
    <w:rsid w:val="3A250733"/>
    <w:rsid w:val="3A881CA1"/>
    <w:rsid w:val="3AFC57A4"/>
    <w:rsid w:val="3B64626A"/>
    <w:rsid w:val="3C434910"/>
    <w:rsid w:val="3C4A495A"/>
    <w:rsid w:val="3D0478C3"/>
    <w:rsid w:val="3D4C49BC"/>
    <w:rsid w:val="3D6E2990"/>
    <w:rsid w:val="3DAC214A"/>
    <w:rsid w:val="3F2D69CB"/>
    <w:rsid w:val="3F3B4420"/>
    <w:rsid w:val="3F710F55"/>
    <w:rsid w:val="3FF34060"/>
    <w:rsid w:val="40950A84"/>
    <w:rsid w:val="411029F0"/>
    <w:rsid w:val="41AB220A"/>
    <w:rsid w:val="41C3735C"/>
    <w:rsid w:val="41CA7043"/>
    <w:rsid w:val="41CE0AE2"/>
    <w:rsid w:val="42132798"/>
    <w:rsid w:val="42213106"/>
    <w:rsid w:val="4278084D"/>
    <w:rsid w:val="42915929"/>
    <w:rsid w:val="42CC7A4E"/>
    <w:rsid w:val="42D73C58"/>
    <w:rsid w:val="440F6F8F"/>
    <w:rsid w:val="45A11732"/>
    <w:rsid w:val="45A55DFD"/>
    <w:rsid w:val="45AB2CE7"/>
    <w:rsid w:val="45D615B7"/>
    <w:rsid w:val="45EC3A2B"/>
    <w:rsid w:val="469320F9"/>
    <w:rsid w:val="46B424A8"/>
    <w:rsid w:val="472A60F0"/>
    <w:rsid w:val="477E4B57"/>
    <w:rsid w:val="48254FD3"/>
    <w:rsid w:val="49470F79"/>
    <w:rsid w:val="49883A6B"/>
    <w:rsid w:val="499A554C"/>
    <w:rsid w:val="4A161077"/>
    <w:rsid w:val="4A8F6E77"/>
    <w:rsid w:val="4AA9523D"/>
    <w:rsid w:val="4BED5E07"/>
    <w:rsid w:val="4C5440D8"/>
    <w:rsid w:val="4CD62D3F"/>
    <w:rsid w:val="4D421B99"/>
    <w:rsid w:val="4F6208BA"/>
    <w:rsid w:val="4FC652ED"/>
    <w:rsid w:val="4FE37C4D"/>
    <w:rsid w:val="4FEE65F2"/>
    <w:rsid w:val="513B5867"/>
    <w:rsid w:val="51825244"/>
    <w:rsid w:val="518413BD"/>
    <w:rsid w:val="52FC2DD4"/>
    <w:rsid w:val="53F046E7"/>
    <w:rsid w:val="542F19D2"/>
    <w:rsid w:val="544D1B39"/>
    <w:rsid w:val="547370C6"/>
    <w:rsid w:val="55861F5B"/>
    <w:rsid w:val="55BA1450"/>
    <w:rsid w:val="5906675A"/>
    <w:rsid w:val="59417793"/>
    <w:rsid w:val="599E6993"/>
    <w:rsid w:val="5A594C1A"/>
    <w:rsid w:val="5B1769FD"/>
    <w:rsid w:val="5BA04C44"/>
    <w:rsid w:val="5BF46D3E"/>
    <w:rsid w:val="5C2E04A2"/>
    <w:rsid w:val="5C823E44"/>
    <w:rsid w:val="5CDF7C72"/>
    <w:rsid w:val="5DDC5CDC"/>
    <w:rsid w:val="5DF11787"/>
    <w:rsid w:val="5E2C27BF"/>
    <w:rsid w:val="5F294F51"/>
    <w:rsid w:val="5F667F53"/>
    <w:rsid w:val="5F814D8D"/>
    <w:rsid w:val="5FEB66AA"/>
    <w:rsid w:val="600E03E4"/>
    <w:rsid w:val="60F82E2D"/>
    <w:rsid w:val="60F91D87"/>
    <w:rsid w:val="61314591"/>
    <w:rsid w:val="621243C2"/>
    <w:rsid w:val="626C5F7A"/>
    <w:rsid w:val="6290635D"/>
    <w:rsid w:val="629F29CA"/>
    <w:rsid w:val="635F32D2"/>
    <w:rsid w:val="64456BB3"/>
    <w:rsid w:val="655652A5"/>
    <w:rsid w:val="667B0788"/>
    <w:rsid w:val="689618A9"/>
    <w:rsid w:val="69247985"/>
    <w:rsid w:val="694F34AF"/>
    <w:rsid w:val="69D70D90"/>
    <w:rsid w:val="6A260B2B"/>
    <w:rsid w:val="6A4D243B"/>
    <w:rsid w:val="6A5C267E"/>
    <w:rsid w:val="6AD06BC8"/>
    <w:rsid w:val="6C2E0D27"/>
    <w:rsid w:val="6D1140E4"/>
    <w:rsid w:val="6D88378A"/>
    <w:rsid w:val="6D8F2ABC"/>
    <w:rsid w:val="6E414065"/>
    <w:rsid w:val="6EAB5982"/>
    <w:rsid w:val="6F213E96"/>
    <w:rsid w:val="6F2179F2"/>
    <w:rsid w:val="70FE448F"/>
    <w:rsid w:val="713559D7"/>
    <w:rsid w:val="7185070D"/>
    <w:rsid w:val="71FD64F5"/>
    <w:rsid w:val="722A3062"/>
    <w:rsid w:val="72546ADA"/>
    <w:rsid w:val="72930C07"/>
    <w:rsid w:val="730C2768"/>
    <w:rsid w:val="73A62BBC"/>
    <w:rsid w:val="74B42626"/>
    <w:rsid w:val="74FA764E"/>
    <w:rsid w:val="75081C3F"/>
    <w:rsid w:val="75C4732A"/>
    <w:rsid w:val="76114604"/>
    <w:rsid w:val="763C5295"/>
    <w:rsid w:val="765E6BE4"/>
    <w:rsid w:val="76876CD5"/>
    <w:rsid w:val="7699176B"/>
    <w:rsid w:val="779935BA"/>
    <w:rsid w:val="780D320A"/>
    <w:rsid w:val="782530AA"/>
    <w:rsid w:val="798C63B0"/>
    <w:rsid w:val="7A246617"/>
    <w:rsid w:val="7AE22FA2"/>
    <w:rsid w:val="7B672C31"/>
    <w:rsid w:val="7B713AB0"/>
    <w:rsid w:val="7BCB34B2"/>
    <w:rsid w:val="7C5B78CF"/>
    <w:rsid w:val="7C910E4E"/>
    <w:rsid w:val="7CB93960"/>
    <w:rsid w:val="7CF93D5D"/>
    <w:rsid w:val="7E5219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3">
    <w:name w:val="Normal Indent"/>
    <w:basedOn w:val="1"/>
    <w:qFormat/>
    <w:uiPriority w:val="0"/>
    <w:pPr>
      <w:ind w:firstLine="200" w:firstLineChars="200"/>
    </w:pPr>
  </w:style>
  <w:style w:type="paragraph" w:styleId="4">
    <w:name w:val="Body Text"/>
    <w:basedOn w:val="1"/>
    <w:semiHidden/>
    <w:qFormat/>
    <w:uiPriority w:val="0"/>
    <w:rPr>
      <w:rFonts w:ascii="Arial" w:hAnsi="Arial" w:eastAsia="Arial" w:cs="Arial"/>
      <w:sz w:val="21"/>
      <w:szCs w:val="21"/>
      <w:lang w:val="en-US" w:eastAsia="en-US"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91"/>
    <w:basedOn w:val="7"/>
    <w:qFormat/>
    <w:uiPriority w:val="0"/>
    <w:rPr>
      <w:rFonts w:hint="eastAsia" w:ascii="宋体" w:hAnsi="宋体" w:eastAsia="宋体" w:cs="宋体"/>
      <w:color w:val="000000"/>
      <w:sz w:val="24"/>
      <w:szCs w:val="24"/>
      <w:u w:val="none"/>
    </w:rPr>
  </w:style>
  <w:style w:type="paragraph" w:customStyle="1" w:styleId="9">
    <w:name w:val="Table Text"/>
    <w:basedOn w:val="1"/>
    <w:semiHidden/>
    <w:qFormat/>
    <w:uiPriority w:val="0"/>
    <w:rPr>
      <w:rFonts w:ascii="宋体" w:hAnsi="宋体" w:eastAsia="宋体" w:cs="宋体"/>
      <w:sz w:val="25"/>
      <w:szCs w:val="25"/>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3843</Words>
  <Characters>4064</Characters>
  <Lines>0</Lines>
  <Paragraphs>0</Paragraphs>
  <TotalTime>13</TotalTime>
  <ScaleCrop>false</ScaleCrop>
  <LinksUpToDate>false</LinksUpToDate>
  <CharactersWithSpaces>4155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2025-09-24T15:08:00Z</dcterms:created>
  <dc:creator>xs</dc:creator>
  <cp:lastModifiedBy>Jasper六号</cp:lastModifiedBy>
  <dcterms:modified xsi:type="dcterms:W3CDTF">2026-06-12T02:29:09Z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616E6C3861E54EA4A467960B5A2AA6FC_13</vt:lpwstr>
  </property>
  <property fmtid="{D5CDD505-2E9C-101B-9397-08002B2CF9AE}" pid="4" name="KSOTemplateDocerSaveRecord">
    <vt:lpwstr>eyJoZGlkIjoiOWY3NjZhY2RkMzczZGUwYjNiYWVkMjczOWNlM2JmMWYiLCJ1c2VySWQiOiI4OTgxMzY5MDAifQ==</vt:lpwstr>
  </property>
</Properties>
</file>