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仿宋_GB2312" w:hAnsi="宋体" w:eastAsia="仿宋_GB2312" w:cs="宋体"/>
          <w:b/>
          <w:bCs/>
          <w:color w:val="000000" w:themeColor="text1"/>
          <w:kern w:val="0"/>
          <w:sz w:val="52"/>
          <w:szCs w:val="52"/>
          <w:highlight w:val="none"/>
          <w14:textFill>
            <w14:solidFill>
              <w14:schemeClr w14:val="tx1"/>
            </w14:solidFill>
          </w14:textFill>
        </w:rPr>
      </w:pPr>
    </w:p>
    <w:p>
      <w:pPr>
        <w:adjustRightInd w:val="0"/>
        <w:snapToGrid w:val="0"/>
        <w:spacing w:line="360" w:lineRule="auto"/>
        <w:jc w:val="center"/>
        <w:rPr>
          <w:rFonts w:ascii="仿宋_GB2312" w:hAnsi="宋体" w:eastAsia="仿宋_GB2312" w:cs="宋体"/>
          <w:b/>
          <w:bCs/>
          <w:color w:val="000000" w:themeColor="text1"/>
          <w:kern w:val="0"/>
          <w:sz w:val="52"/>
          <w:szCs w:val="5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仿宋_GB2312" w:hAnsi="宋体" w:eastAsia="仿宋_GB2312" w:cs="宋体"/>
          <w:b/>
          <w:bCs/>
          <w:color w:val="000000" w:themeColor="text1"/>
          <w:kern w:val="0"/>
          <w:sz w:val="52"/>
          <w:szCs w:val="5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b/>
          <w:bCs/>
          <w:color w:val="000000" w:themeColor="text1"/>
          <w:sz w:val="52"/>
          <w:szCs w:val="52"/>
          <w:highlight w:val="none"/>
          <w:lang w:eastAsia="zh-CN"/>
          <w14:textFill>
            <w14:solidFill>
              <w14:schemeClr w14:val="tx1"/>
            </w14:solidFill>
          </w14:textFill>
        </w:rPr>
      </w:pPr>
      <w:r>
        <w:rPr>
          <w:rFonts w:hint="eastAsia" w:ascii="仿宋_GB2312" w:hAnsi="仿宋_GB2312" w:eastAsia="仿宋_GB2312"/>
          <w:b/>
          <w:bCs/>
          <w:color w:val="000000" w:themeColor="text1"/>
          <w:sz w:val="52"/>
          <w:szCs w:val="52"/>
          <w:highlight w:val="none"/>
          <w:lang w:eastAsia="zh-CN"/>
          <w14:textFill>
            <w14:solidFill>
              <w14:schemeClr w14:val="tx1"/>
            </w14:solidFill>
          </w14:textFill>
        </w:rPr>
        <w:t>深圳市安</w:t>
      </w:r>
      <w:bookmarkStart w:id="18" w:name="_GoBack"/>
      <w:bookmarkEnd w:id="18"/>
      <w:r>
        <w:rPr>
          <w:rFonts w:hint="eastAsia" w:ascii="仿宋_GB2312" w:hAnsi="仿宋_GB2312" w:eastAsia="仿宋_GB2312"/>
          <w:b/>
          <w:bCs/>
          <w:color w:val="000000" w:themeColor="text1"/>
          <w:sz w:val="52"/>
          <w:szCs w:val="52"/>
          <w:highlight w:val="none"/>
          <w:lang w:eastAsia="zh-CN"/>
          <w14:textFill>
            <w14:solidFill>
              <w14:schemeClr w14:val="tx1"/>
            </w14:solidFill>
          </w14:textFill>
        </w:rPr>
        <w:t>居集团有限公司</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b/>
          <w:bCs/>
          <w:color w:val="000000" w:themeColor="text1"/>
          <w:sz w:val="52"/>
          <w:szCs w:val="52"/>
          <w:highlight w:val="none"/>
          <w14:textFill>
            <w14:solidFill>
              <w14:schemeClr w14:val="tx1"/>
            </w14:solidFill>
          </w14:textFill>
        </w:rPr>
      </w:pPr>
      <w:r>
        <w:rPr>
          <w:rFonts w:hint="eastAsia" w:ascii="仿宋_GB2312" w:hAnsi="仿宋_GB2312" w:eastAsia="仿宋_GB2312"/>
          <w:b/>
          <w:bCs/>
          <w:color w:val="000000" w:themeColor="text1"/>
          <w:sz w:val="52"/>
          <w:szCs w:val="52"/>
          <w:highlight w:val="none"/>
          <w14:textFill>
            <w14:solidFill>
              <w14:schemeClr w14:val="tx1"/>
            </w14:solidFill>
          </w14:textFill>
        </w:rPr>
        <w:t>供应商分级管理</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b/>
          <w:bCs/>
          <w:color w:val="000000" w:themeColor="text1"/>
          <w:sz w:val="52"/>
          <w:szCs w:val="52"/>
          <w:highlight w:val="none"/>
          <w14:textFill>
            <w14:solidFill>
              <w14:schemeClr w14:val="tx1"/>
            </w14:solidFill>
          </w14:textFill>
        </w:rPr>
      </w:pPr>
      <w:r>
        <w:rPr>
          <w:rFonts w:hint="eastAsia" w:ascii="仿宋_GB2312" w:hAnsi="仿宋_GB2312" w:eastAsia="仿宋_GB2312"/>
          <w:b/>
          <w:bCs/>
          <w:color w:val="000000" w:themeColor="text1"/>
          <w:sz w:val="52"/>
          <w:szCs w:val="52"/>
          <w:highlight w:val="none"/>
          <w14:textFill>
            <w14:solidFill>
              <w14:schemeClr w14:val="tx1"/>
            </w14:solidFill>
          </w14:textFill>
        </w:rPr>
        <w:t>征集文件</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仿宋_GB2312" w:hAnsi="宋体" w:eastAsia="仿宋_GB2312" w:cs="宋体"/>
          <w:b/>
          <w:bCs/>
          <w:color w:val="000000" w:themeColor="text1"/>
          <w:kern w:val="0"/>
          <w:sz w:val="52"/>
          <w:szCs w:val="5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仿宋_GB2312" w:hAnsi="宋体" w:eastAsia="仿宋_GB2312" w:cs="宋体"/>
          <w:b/>
          <w:bCs/>
          <w:color w:val="000000" w:themeColor="text1"/>
          <w:kern w:val="0"/>
          <w:sz w:val="52"/>
          <w:szCs w:val="5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仿宋_GB2312" w:hAnsi="宋体" w:eastAsia="仿宋_GB2312" w:cs="宋体"/>
          <w:b/>
          <w:bCs/>
          <w:color w:val="000000" w:themeColor="text1"/>
          <w:kern w:val="0"/>
          <w:sz w:val="52"/>
          <w:szCs w:val="5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仿宋_GB2312" w:hAnsi="宋体" w:eastAsia="仿宋_GB2312" w:cs="宋体"/>
          <w:b/>
          <w:bCs/>
          <w:color w:val="000000" w:themeColor="text1"/>
          <w:kern w:val="0"/>
          <w:sz w:val="52"/>
          <w:szCs w:val="5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仿宋_GB2312" w:hAnsi="宋体" w:eastAsia="仿宋_GB2312" w:cs="宋体"/>
          <w:b/>
          <w:bCs/>
          <w:color w:val="000000" w:themeColor="text1"/>
          <w:kern w:val="0"/>
          <w:sz w:val="52"/>
          <w:szCs w:val="5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仿宋_GB2312" w:hAnsi="宋体" w:eastAsia="仿宋_GB2312" w:cs="宋体"/>
          <w:b/>
          <w:bCs/>
          <w:color w:val="000000" w:themeColor="text1"/>
          <w:kern w:val="0"/>
          <w:sz w:val="52"/>
          <w:szCs w:val="5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仿宋_GB2312" w:hAnsi="宋体" w:eastAsia="仿宋_GB2312" w:cs="宋体"/>
          <w:b/>
          <w:bCs/>
          <w:color w:val="000000" w:themeColor="text1"/>
          <w:kern w:val="0"/>
          <w:sz w:val="52"/>
          <w:szCs w:val="5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仿宋_GB2312" w:hAnsi="宋体" w:eastAsia="仿宋_GB2312" w:cs="宋体"/>
          <w:b/>
          <w:bCs/>
          <w:color w:val="000000" w:themeColor="text1"/>
          <w:kern w:val="0"/>
          <w:sz w:val="52"/>
          <w:szCs w:val="5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仿宋_GB2312" w:hAnsi="宋体" w:eastAsia="仿宋_GB2312" w:cs="宋体"/>
          <w:b/>
          <w:bCs/>
          <w:color w:val="000000" w:themeColor="text1"/>
          <w:kern w:val="0"/>
          <w:sz w:val="52"/>
          <w:szCs w:val="5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仿宋_GB2312" w:hAnsi="宋体" w:eastAsia="仿宋_GB2312" w:cs="宋体"/>
          <w:b/>
          <w:bCs/>
          <w:color w:val="000000" w:themeColor="text1"/>
          <w:kern w:val="0"/>
          <w:sz w:val="52"/>
          <w:szCs w:val="5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仿宋_GB2312" w:hAnsi="宋体" w:eastAsia="仿宋_GB2312" w:cs="宋体"/>
          <w:b/>
          <w:bCs/>
          <w:color w:val="000000" w:themeColor="text1"/>
          <w:kern w:val="0"/>
          <w:sz w:val="52"/>
          <w:szCs w:val="5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仿宋_GB2312" w:hAnsi="宋体" w:eastAsia="仿宋_GB2312" w:cs="宋体"/>
          <w:b/>
          <w:bCs/>
          <w:color w:val="000000" w:themeColor="text1"/>
          <w:kern w:val="0"/>
          <w:sz w:val="52"/>
          <w:szCs w:val="5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仿宋_GB2312" w:hAnsi="宋体" w:eastAsia="仿宋_GB2312" w:cs="宋体"/>
          <w:b/>
          <w:bCs/>
          <w:color w:val="000000" w:themeColor="text1"/>
          <w:kern w:val="0"/>
          <w:sz w:val="52"/>
          <w:szCs w:val="5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宋体" w:eastAsia="仿宋_GB2312" w:cs="宋体"/>
          <w:b/>
          <w:bCs/>
          <w:color w:val="000000" w:themeColor="text1"/>
          <w:kern w:val="0"/>
          <w:sz w:val="36"/>
          <w:szCs w:val="36"/>
          <w:highlight w:val="none"/>
          <w:lang w:eastAsia="zh-CN"/>
          <w14:textFill>
            <w14:solidFill>
              <w14:schemeClr w14:val="tx1"/>
            </w14:solidFill>
          </w14:textFill>
        </w:rPr>
      </w:pPr>
      <w:r>
        <w:rPr>
          <w:rFonts w:hint="eastAsia" w:ascii="仿宋_GB2312" w:hAnsi="宋体" w:eastAsia="仿宋_GB2312" w:cs="宋体"/>
          <w:b/>
          <w:bCs/>
          <w:color w:val="000000" w:themeColor="text1"/>
          <w:kern w:val="0"/>
          <w:sz w:val="36"/>
          <w:szCs w:val="36"/>
          <w:highlight w:val="none"/>
          <w:lang w:eastAsia="zh-CN"/>
          <w14:textFill>
            <w14:solidFill>
              <w14:schemeClr w14:val="tx1"/>
            </w14:solidFill>
          </w14:textFill>
        </w:rPr>
        <w:t>202</w:t>
      </w:r>
      <w:r>
        <w:rPr>
          <w:rFonts w:hint="eastAsia" w:ascii="仿宋_GB2312" w:hAnsi="宋体" w:eastAsia="仿宋_GB2312" w:cs="宋体"/>
          <w:b/>
          <w:bCs/>
          <w:color w:val="000000" w:themeColor="text1"/>
          <w:kern w:val="0"/>
          <w:sz w:val="36"/>
          <w:szCs w:val="36"/>
          <w:highlight w:val="none"/>
          <w:lang w:val="en-US" w:eastAsia="zh-CN"/>
          <w14:textFill>
            <w14:solidFill>
              <w14:schemeClr w14:val="tx1"/>
            </w14:solidFill>
          </w14:textFill>
        </w:rPr>
        <w:t>6</w:t>
      </w:r>
      <w:r>
        <w:rPr>
          <w:rFonts w:hint="eastAsia" w:ascii="仿宋_GB2312" w:hAnsi="宋体" w:eastAsia="仿宋_GB2312" w:cs="宋体"/>
          <w:b/>
          <w:bCs/>
          <w:color w:val="000000" w:themeColor="text1"/>
          <w:kern w:val="0"/>
          <w:sz w:val="36"/>
          <w:szCs w:val="36"/>
          <w:highlight w:val="none"/>
          <w:lang w:eastAsia="zh-CN"/>
          <w14:textFill>
            <w14:solidFill>
              <w14:schemeClr w14:val="tx1"/>
            </w14:solidFill>
          </w14:textFill>
        </w:rPr>
        <w:t>年</w:t>
      </w:r>
      <w:r>
        <w:rPr>
          <w:rFonts w:hint="eastAsia" w:ascii="仿宋_GB2312" w:hAnsi="宋体" w:eastAsia="仿宋_GB2312" w:cs="宋体"/>
          <w:b/>
          <w:bCs/>
          <w:color w:val="000000" w:themeColor="text1"/>
          <w:kern w:val="0"/>
          <w:sz w:val="36"/>
          <w:szCs w:val="36"/>
          <w:highlight w:val="none"/>
          <w:lang w:val="en-US" w:eastAsia="zh-CN"/>
          <w14:textFill>
            <w14:solidFill>
              <w14:schemeClr w14:val="tx1"/>
            </w14:solidFill>
          </w14:textFill>
        </w:rPr>
        <w:t>6</w:t>
      </w:r>
      <w:r>
        <w:rPr>
          <w:rFonts w:hint="eastAsia" w:ascii="仿宋_GB2312" w:hAnsi="宋体" w:eastAsia="仿宋_GB2312" w:cs="宋体"/>
          <w:b/>
          <w:bCs/>
          <w:color w:val="000000" w:themeColor="text1"/>
          <w:kern w:val="0"/>
          <w:sz w:val="36"/>
          <w:szCs w:val="36"/>
          <w:highlight w:val="none"/>
          <w:lang w:eastAsia="zh-CN"/>
          <w14:textFill>
            <w14:solidFill>
              <w14:schemeClr w14:val="tx1"/>
            </w14:solidFill>
          </w14:textFill>
        </w:rPr>
        <w:t>月</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ascii="仿宋_GB2312" w:hAnsi="仿宋_GB2312" w:eastAsia="仿宋_GB2312"/>
          <w:b/>
          <w:bCs/>
          <w:color w:val="000000" w:themeColor="text1"/>
          <w:sz w:val="32"/>
          <w:szCs w:val="32"/>
          <w:highlight w:val="none"/>
          <w14:textFill>
            <w14:solidFill>
              <w14:schemeClr w14:val="tx1"/>
            </w14:solidFill>
          </w14:textFill>
        </w:rPr>
        <w:sectPr>
          <w:headerReference r:id="rId3" w:type="first"/>
          <w:pgSz w:w="11906" w:h="16838"/>
          <w:pgMar w:top="1440" w:right="1797" w:bottom="1440" w:left="1797" w:header="851" w:footer="992" w:gutter="0"/>
          <w:pgNumType w:start="0"/>
          <w:cols w:space="425" w:num="1"/>
          <w:titlePg/>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ascii="仿宋_GB2312" w:hAnsi="仿宋_GB2312" w:eastAsia="仿宋_GB2312"/>
          <w:b/>
          <w:bCs/>
          <w:color w:val="000000" w:themeColor="text1"/>
          <w:sz w:val="32"/>
          <w:szCs w:val="32"/>
          <w:highlight w:val="none"/>
          <w14:textFill>
            <w14:solidFill>
              <w14:schemeClr w14:val="tx1"/>
            </w14:solidFill>
          </w14:textFill>
        </w:rPr>
      </w:pPr>
      <w:r>
        <w:rPr>
          <w:rFonts w:hint="eastAsia" w:ascii="仿宋_GB2312" w:hAnsi="仿宋_GB2312" w:eastAsia="仿宋_GB2312"/>
          <w:b/>
          <w:bCs/>
          <w:color w:val="000000" w:themeColor="text1"/>
          <w:sz w:val="32"/>
          <w:szCs w:val="32"/>
          <w:highlight w:val="none"/>
          <w14:textFill>
            <w14:solidFill>
              <w14:schemeClr w14:val="tx1"/>
            </w14:solidFill>
          </w14:textFill>
        </w:rPr>
        <w:t>一、</w:t>
      </w:r>
      <w:r>
        <w:rPr>
          <w:rFonts w:hint="eastAsia" w:ascii="仿宋_GB2312" w:hAnsi="仿宋_GB2312" w:eastAsia="仿宋_GB2312"/>
          <w:b/>
          <w:bCs/>
          <w:color w:val="000000" w:themeColor="text1"/>
          <w:sz w:val="32"/>
          <w:szCs w:val="32"/>
          <w:highlight w:val="none"/>
          <w:lang w:val="en-US" w:eastAsia="zh-CN"/>
          <w14:textFill>
            <w14:solidFill>
              <w14:schemeClr w14:val="tx1"/>
            </w14:solidFill>
          </w14:textFill>
        </w:rPr>
        <w:t>申报</w:t>
      </w:r>
      <w:r>
        <w:rPr>
          <w:rFonts w:hint="eastAsia" w:ascii="仿宋_GB2312" w:hAnsi="仿宋_GB2312" w:eastAsia="仿宋_GB2312"/>
          <w:b/>
          <w:bCs/>
          <w:color w:val="000000" w:themeColor="text1"/>
          <w:sz w:val="32"/>
          <w:szCs w:val="32"/>
          <w:highlight w:val="none"/>
          <w14:textFill>
            <w14:solidFill>
              <w14:schemeClr w14:val="tx1"/>
            </w14:solidFill>
          </w14:textFill>
        </w:rPr>
        <w:t>条件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Helvetica" w:eastAsia="仿宋_GB2312" w:cs="Helvetica"/>
          <w:color w:val="auto"/>
          <w:kern w:val="0"/>
          <w:sz w:val="32"/>
          <w:szCs w:val="32"/>
          <w:highlight w:val="none"/>
        </w:rPr>
      </w:pPr>
      <w:r>
        <w:rPr>
          <w:rFonts w:hint="eastAsia" w:ascii="仿宋_GB2312" w:hAnsi="Helvetica" w:eastAsia="仿宋_GB2312" w:cs="Helvetica"/>
          <w:color w:val="auto"/>
          <w:kern w:val="0"/>
          <w:sz w:val="32"/>
          <w:szCs w:val="32"/>
          <w:highlight w:val="none"/>
        </w:rPr>
        <w:t>（一）工程总承包类：具备建筑工程施工总承包资质的独立法人企业</w:t>
      </w:r>
      <w:r>
        <w:rPr>
          <w:rFonts w:hint="eastAsia" w:ascii="仿宋_GB2312" w:hAnsi="Helvetica" w:eastAsia="仿宋_GB2312" w:cs="Helvetica"/>
          <w:color w:val="auto"/>
          <w:kern w:val="0"/>
          <w:sz w:val="32"/>
          <w:szCs w:val="32"/>
          <w:highlight w:val="none"/>
          <w:lang w:val="en-US" w:eastAsia="zh-CN"/>
        </w:rPr>
        <w:t>或合伙制企业</w:t>
      </w:r>
      <w:r>
        <w:rPr>
          <w:rFonts w:hint="eastAsia" w:ascii="仿宋_GB2312" w:hAnsi="Helvetica" w:eastAsia="仿宋_GB2312" w:cs="Helvetica"/>
          <w:color w:val="auto"/>
          <w:kern w:val="0"/>
          <w:sz w:val="32"/>
          <w:szCs w:val="32"/>
          <w:highlight w:val="none"/>
          <w:lang w:eastAsia="zh-CN"/>
        </w:rPr>
        <w:t>或者其他组织</w:t>
      </w:r>
      <w:r>
        <w:rPr>
          <w:rFonts w:hint="eastAsia" w:ascii="仿宋_GB2312" w:hAnsi="Helvetica" w:eastAsia="仿宋_GB2312" w:cs="Helvetica"/>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Helvetica" w:eastAsia="仿宋_GB2312" w:cs="Helvetica"/>
          <w:color w:val="auto"/>
          <w:kern w:val="0"/>
          <w:sz w:val="32"/>
          <w:szCs w:val="32"/>
          <w:highlight w:val="none"/>
          <w:lang w:eastAsia="zh-CN"/>
        </w:rPr>
      </w:pPr>
      <w:bookmarkStart w:id="0" w:name="OLE_LINK46"/>
      <w:bookmarkStart w:id="1" w:name="OLE_LINK25"/>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二</w:t>
      </w:r>
      <w:r>
        <w:rPr>
          <w:rFonts w:hint="eastAsia" w:ascii="仿宋_GB2312" w:hAnsi="Helvetica" w:eastAsia="仿宋_GB2312" w:cs="Helvetica"/>
          <w:color w:val="auto"/>
          <w:kern w:val="0"/>
          <w:sz w:val="32"/>
          <w:szCs w:val="32"/>
          <w:highlight w:val="none"/>
          <w:lang w:eastAsia="zh-CN"/>
        </w:rPr>
        <w:t>）精装修</w:t>
      </w:r>
      <w:r>
        <w:rPr>
          <w:rFonts w:hint="eastAsia" w:ascii="仿宋_GB2312" w:hAnsi="Helvetica" w:eastAsia="仿宋_GB2312" w:cs="Helvetica"/>
          <w:color w:val="auto"/>
          <w:kern w:val="0"/>
          <w:sz w:val="32"/>
          <w:szCs w:val="32"/>
          <w:highlight w:val="none"/>
          <w:lang w:val="en-US" w:eastAsia="zh-CN"/>
        </w:rPr>
        <w:t>工程类</w:t>
      </w:r>
      <w:r>
        <w:rPr>
          <w:rFonts w:hint="eastAsia" w:ascii="仿宋_GB2312" w:hAnsi="Helvetica" w:eastAsia="仿宋_GB2312" w:cs="Helvetica"/>
          <w:color w:val="auto"/>
          <w:kern w:val="0"/>
          <w:sz w:val="32"/>
          <w:szCs w:val="32"/>
          <w:highlight w:val="none"/>
          <w:lang w:eastAsia="zh-CN"/>
        </w:rPr>
        <w:t>：具备建筑装修装饰工程专业承包资质的独立法人企业</w:t>
      </w:r>
      <w:r>
        <w:rPr>
          <w:rFonts w:hint="eastAsia" w:ascii="仿宋_GB2312" w:hAnsi="Helvetica" w:eastAsia="仿宋_GB2312" w:cs="Helvetica"/>
          <w:color w:val="auto"/>
          <w:kern w:val="0"/>
          <w:sz w:val="32"/>
          <w:szCs w:val="32"/>
          <w:highlight w:val="none"/>
          <w:lang w:val="en-US" w:eastAsia="zh-CN"/>
        </w:rPr>
        <w:t>或合伙制企业</w:t>
      </w:r>
      <w:r>
        <w:rPr>
          <w:rFonts w:hint="eastAsia" w:ascii="仿宋_GB2312" w:hAnsi="Helvetica" w:eastAsia="仿宋_GB2312" w:cs="Helvetica"/>
          <w:color w:val="auto"/>
          <w:kern w:val="0"/>
          <w:sz w:val="32"/>
          <w:szCs w:val="32"/>
          <w:highlight w:val="none"/>
          <w:lang w:eastAsia="zh-CN"/>
        </w:rPr>
        <w:t>或者其他组织；</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Helvetica" w:eastAsia="仿宋_GB2312" w:cs="Helvetica"/>
          <w:color w:val="auto"/>
          <w:kern w:val="0"/>
          <w:sz w:val="32"/>
          <w:szCs w:val="32"/>
          <w:highlight w:val="none"/>
          <w:lang w:eastAsia="zh-CN"/>
        </w:rPr>
      </w:pP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三</w:t>
      </w:r>
      <w:r>
        <w:rPr>
          <w:rFonts w:hint="eastAsia" w:ascii="仿宋_GB2312" w:hAnsi="Helvetica" w:eastAsia="仿宋_GB2312" w:cs="Helvetica"/>
          <w:color w:val="auto"/>
          <w:kern w:val="0"/>
          <w:sz w:val="32"/>
          <w:szCs w:val="32"/>
          <w:highlight w:val="none"/>
          <w:lang w:eastAsia="zh-CN"/>
        </w:rPr>
        <w:t>）园林景观</w:t>
      </w:r>
      <w:r>
        <w:rPr>
          <w:rFonts w:hint="eastAsia" w:ascii="仿宋_GB2312" w:hAnsi="Helvetica" w:eastAsia="仿宋_GB2312" w:cs="Helvetica"/>
          <w:color w:val="auto"/>
          <w:kern w:val="0"/>
          <w:sz w:val="32"/>
          <w:szCs w:val="32"/>
          <w:highlight w:val="none"/>
          <w:lang w:val="en-US" w:eastAsia="zh-CN"/>
        </w:rPr>
        <w:t>工程类</w:t>
      </w: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须为</w:t>
      </w:r>
      <w:r>
        <w:rPr>
          <w:rFonts w:hint="eastAsia" w:ascii="仿宋_GB2312" w:hAnsi="Helvetica" w:eastAsia="仿宋_GB2312" w:cs="Helvetica"/>
          <w:color w:val="auto"/>
          <w:kern w:val="0"/>
          <w:sz w:val="32"/>
          <w:szCs w:val="32"/>
          <w:highlight w:val="none"/>
          <w:lang w:eastAsia="zh-CN"/>
        </w:rPr>
        <w:t>中华人民共和国境内注册成立的独立法人</w:t>
      </w:r>
      <w:r>
        <w:rPr>
          <w:rFonts w:hint="eastAsia" w:ascii="仿宋_GB2312" w:hAnsi="Helvetica" w:eastAsia="仿宋_GB2312" w:cs="Helvetica"/>
          <w:color w:val="auto"/>
          <w:kern w:val="0"/>
          <w:sz w:val="32"/>
          <w:szCs w:val="32"/>
          <w:highlight w:val="none"/>
          <w:lang w:val="en-US" w:eastAsia="zh-CN"/>
        </w:rPr>
        <w:t>或合伙制企业</w:t>
      </w:r>
      <w:r>
        <w:rPr>
          <w:rFonts w:hint="eastAsia" w:ascii="仿宋_GB2312" w:hAnsi="Helvetica" w:eastAsia="仿宋_GB2312" w:cs="Helvetica"/>
          <w:color w:val="auto"/>
          <w:kern w:val="0"/>
          <w:sz w:val="32"/>
          <w:szCs w:val="32"/>
          <w:highlight w:val="none"/>
          <w:lang w:eastAsia="zh-CN"/>
        </w:rPr>
        <w:t>或者其他组织；</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四</w:t>
      </w: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地基与基础工程类：具备地基基础工程专业资质的独立法人企业或合伙制企业</w:t>
      </w:r>
      <w:r>
        <w:rPr>
          <w:rFonts w:hint="eastAsia" w:ascii="仿宋_GB2312" w:hAnsi="Helvetica" w:eastAsia="仿宋_GB2312" w:cs="Helvetica"/>
          <w:color w:val="auto"/>
          <w:kern w:val="0"/>
          <w:sz w:val="32"/>
          <w:szCs w:val="32"/>
          <w:highlight w:val="none"/>
          <w:lang w:eastAsia="zh-CN"/>
        </w:rPr>
        <w:t>或者其他组织</w:t>
      </w:r>
      <w:r>
        <w:rPr>
          <w:rFonts w:hint="eastAsia" w:ascii="仿宋_GB2312" w:hAnsi="Helvetica" w:eastAsia="仿宋_GB2312" w:cs="Helvetica"/>
          <w:color w:val="auto"/>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五</w:t>
      </w: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建筑设计类：具备建筑设计资质的独立法人企业或合伙制企业</w:t>
      </w:r>
      <w:r>
        <w:rPr>
          <w:rFonts w:hint="eastAsia" w:ascii="仿宋_GB2312" w:hAnsi="Helvetica" w:eastAsia="仿宋_GB2312" w:cs="Helvetica"/>
          <w:color w:val="auto"/>
          <w:kern w:val="0"/>
          <w:sz w:val="32"/>
          <w:szCs w:val="32"/>
          <w:highlight w:val="none"/>
          <w:lang w:eastAsia="zh-CN"/>
        </w:rPr>
        <w:t>或者其他组织</w:t>
      </w:r>
      <w:r>
        <w:rPr>
          <w:rFonts w:hint="eastAsia" w:ascii="仿宋_GB2312" w:hAnsi="Helvetica" w:eastAsia="仿宋_GB2312" w:cs="Helvetica"/>
          <w:color w:val="auto"/>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六</w:t>
      </w: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rPr>
        <w:t>工程监理</w:t>
      </w:r>
      <w:r>
        <w:rPr>
          <w:rFonts w:hint="eastAsia" w:ascii="仿宋_GB2312" w:hAnsi="Helvetica" w:eastAsia="仿宋_GB2312" w:cs="Helvetica"/>
          <w:color w:val="auto"/>
          <w:kern w:val="0"/>
          <w:sz w:val="32"/>
          <w:szCs w:val="32"/>
          <w:highlight w:val="none"/>
          <w:lang w:val="en-US" w:eastAsia="zh-CN"/>
        </w:rPr>
        <w:t>类：具备房屋建筑工程监理资质或工程监理综合资质的独立法人企业或合伙制企业</w:t>
      </w:r>
      <w:r>
        <w:rPr>
          <w:rFonts w:hint="eastAsia" w:ascii="仿宋_GB2312" w:hAnsi="Helvetica" w:eastAsia="仿宋_GB2312" w:cs="Helvetica"/>
          <w:color w:val="auto"/>
          <w:kern w:val="0"/>
          <w:sz w:val="32"/>
          <w:szCs w:val="32"/>
          <w:highlight w:val="none"/>
          <w:lang w:eastAsia="zh-CN"/>
        </w:rPr>
        <w:t>或者其他组织</w:t>
      </w:r>
      <w:r>
        <w:rPr>
          <w:rFonts w:hint="eastAsia" w:ascii="仿宋_GB2312" w:hAnsi="Helvetica" w:eastAsia="仿宋_GB2312" w:cs="Helvetica"/>
          <w:color w:val="auto"/>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仿宋_GB2312" w:hAnsi="Helvetica" w:eastAsia="仿宋_GB2312" w:cs="Helvetica"/>
          <w:color w:val="auto"/>
          <w:kern w:val="0"/>
          <w:sz w:val="32"/>
          <w:szCs w:val="32"/>
          <w:highlight w:val="none"/>
          <w:lang w:val="en-US" w:eastAsia="zh-CN"/>
        </w:rPr>
      </w:pPr>
      <w:r>
        <w:rPr>
          <w:rFonts w:hint="eastAsia" w:ascii="仿宋_GB2312" w:hAnsi="Helvetica" w:eastAsia="仿宋_GB2312" w:cs="Helvetica"/>
          <w:color w:val="auto"/>
          <w:kern w:val="0"/>
          <w:sz w:val="32"/>
          <w:szCs w:val="32"/>
          <w:highlight w:val="none"/>
          <w:lang w:eastAsia="zh-CN"/>
        </w:rPr>
        <w:t>（</w:t>
      </w:r>
      <w:r>
        <w:rPr>
          <w:rFonts w:hint="eastAsia" w:ascii="仿宋_GB2312" w:hAnsi="Helvetica" w:eastAsia="仿宋_GB2312" w:cs="Helvetica"/>
          <w:color w:val="auto"/>
          <w:kern w:val="0"/>
          <w:sz w:val="32"/>
          <w:szCs w:val="32"/>
          <w:highlight w:val="none"/>
          <w:lang w:val="en-US" w:eastAsia="zh-CN"/>
        </w:rPr>
        <w:t>七</w:t>
      </w:r>
      <w:r>
        <w:rPr>
          <w:rFonts w:hint="eastAsia" w:ascii="仿宋_GB2312" w:hAnsi="Helvetica" w:eastAsia="仿宋_GB2312" w:cs="Helvetica"/>
          <w:color w:val="auto"/>
          <w:kern w:val="0"/>
          <w:sz w:val="32"/>
          <w:szCs w:val="32"/>
          <w:highlight w:val="none"/>
          <w:lang w:eastAsia="zh-CN"/>
        </w:rPr>
        <w:t>）造价咨询</w:t>
      </w:r>
      <w:r>
        <w:rPr>
          <w:rFonts w:hint="eastAsia" w:ascii="仿宋_GB2312" w:hAnsi="Helvetica" w:eastAsia="仿宋_GB2312" w:cs="Helvetica"/>
          <w:color w:val="auto"/>
          <w:kern w:val="0"/>
          <w:sz w:val="32"/>
          <w:szCs w:val="32"/>
          <w:highlight w:val="none"/>
          <w:lang w:val="en-US" w:eastAsia="zh-CN"/>
        </w:rPr>
        <w:t>类：</w:t>
      </w:r>
      <w:bookmarkEnd w:id="0"/>
      <w:r>
        <w:rPr>
          <w:rFonts w:hint="eastAsia" w:ascii="仿宋_GB2312" w:hAnsi="Helvetica" w:eastAsia="仿宋_GB2312" w:cs="Helvetica"/>
          <w:color w:val="auto"/>
          <w:kern w:val="0"/>
          <w:sz w:val="32"/>
          <w:szCs w:val="32"/>
          <w:highlight w:val="none"/>
          <w:lang w:val="en-US" w:eastAsia="zh-CN"/>
        </w:rPr>
        <w:t>须为中华人民共和国境内注册成立的独立法人或合伙制企业</w:t>
      </w:r>
      <w:r>
        <w:rPr>
          <w:rFonts w:hint="eastAsia" w:ascii="仿宋_GB2312" w:hAnsi="Helvetica" w:eastAsia="仿宋_GB2312" w:cs="Helvetica"/>
          <w:color w:val="auto"/>
          <w:kern w:val="0"/>
          <w:sz w:val="32"/>
          <w:szCs w:val="32"/>
          <w:highlight w:val="none"/>
          <w:lang w:eastAsia="zh-CN"/>
        </w:rPr>
        <w:t>或者其他组织</w:t>
      </w:r>
      <w:r>
        <w:rPr>
          <w:rFonts w:hint="eastAsia" w:ascii="仿宋_GB2312" w:hAnsi="Helvetica" w:eastAsia="仿宋_GB2312" w:cs="Helvetica"/>
          <w:color w:val="auto"/>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Helvetica" w:eastAsia="仿宋_GB2312" w:cs="Helvetica"/>
          <w:b/>
          <w:bCs/>
          <w:color w:val="000000" w:themeColor="text1"/>
          <w:kern w:val="0"/>
          <w:sz w:val="32"/>
          <w:szCs w:val="32"/>
          <w:highlight w:val="none"/>
          <w:lang w:eastAsia="zh-CN"/>
          <w14:textFill>
            <w14:solidFill>
              <w14:schemeClr w14:val="tx1"/>
            </w14:solidFill>
          </w14:textFill>
        </w:rPr>
      </w:pPr>
      <w:r>
        <w:rPr>
          <w:rFonts w:hint="eastAsia" w:ascii="仿宋_GB2312" w:hAnsi="Helvetica" w:eastAsia="仿宋_GB2312" w:cs="Helvetica"/>
          <w:b/>
          <w:bCs/>
          <w:color w:val="000000" w:themeColor="text1"/>
          <w:kern w:val="0"/>
          <w:sz w:val="32"/>
          <w:szCs w:val="32"/>
          <w:highlight w:val="none"/>
          <w14:textFill>
            <w14:solidFill>
              <w14:schemeClr w14:val="tx1"/>
            </w14:solidFill>
          </w14:textFill>
        </w:rPr>
        <w:t>二、申报</w:t>
      </w:r>
      <w:r>
        <w:rPr>
          <w:rFonts w:hint="eastAsia" w:ascii="仿宋_GB2312" w:hAnsi="Helvetica" w:eastAsia="仿宋_GB2312" w:cs="Helvetica"/>
          <w:b/>
          <w:bCs/>
          <w:color w:val="000000" w:themeColor="text1"/>
          <w:kern w:val="0"/>
          <w:sz w:val="32"/>
          <w:szCs w:val="32"/>
          <w:highlight w:val="none"/>
          <w:lang w:val="en-US" w:eastAsia="zh-CN"/>
          <w14:textFill>
            <w14:solidFill>
              <w14:schemeClr w14:val="tx1"/>
            </w14:solidFill>
          </w14:textFill>
        </w:rPr>
        <w:t>方式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color w:val="000000" w:themeColor="text1"/>
          <w:highlight w:val="none"/>
          <w14:textFill>
            <w14:solidFill>
              <w14:schemeClr w14:val="tx1"/>
            </w14:solidFill>
          </w14:textFill>
        </w:rPr>
      </w:pPr>
      <w:bookmarkStart w:id="2" w:name="OLE_LINK29"/>
      <w:r>
        <w:rPr>
          <w:rFonts w:hint="eastAsia" w:ascii="仿宋_GB2312" w:hAnsi="Helvetica" w:eastAsia="仿宋_GB2312" w:cs="Helvetica"/>
          <w:color w:val="000000" w:themeColor="text1"/>
          <w:kern w:val="0"/>
          <w:sz w:val="32"/>
          <w:szCs w:val="32"/>
          <w:highlight w:val="none"/>
          <w14:textFill>
            <w14:solidFill>
              <w14:schemeClr w14:val="tx1"/>
            </w14:solidFill>
          </w14:textFill>
        </w:rPr>
        <w:t>工程总承包</w:t>
      </w:r>
      <w:bookmarkStart w:id="3" w:name="OLE_LINK16"/>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类或</w:t>
      </w:r>
      <w:r>
        <w:rPr>
          <w:rFonts w:hint="eastAsia" w:ascii="仿宋_GB2312" w:hAnsi="Helvetica" w:eastAsia="仿宋_GB2312" w:cs="Helvetica"/>
          <w:color w:val="000000" w:themeColor="text1"/>
          <w:kern w:val="0"/>
          <w:sz w:val="32"/>
          <w:szCs w:val="32"/>
          <w:highlight w:val="none"/>
          <w14:textFill>
            <w14:solidFill>
              <w14:schemeClr w14:val="tx1"/>
            </w14:solidFill>
          </w14:textFill>
        </w:rPr>
        <w:t>地基与基础工程类</w:t>
      </w: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供应商</w:t>
      </w:r>
      <w:bookmarkEnd w:id="3"/>
      <w:bookmarkStart w:id="4" w:name="OLE_LINK28"/>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可采用单独申报</w:t>
      </w:r>
      <w:bookmarkEnd w:id="4"/>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或联合申报；</w:t>
      </w:r>
      <w:r>
        <w:rPr>
          <w:rFonts w:hint="eastAsia" w:ascii="仿宋_GB2312" w:hAnsi="Helvetica" w:eastAsia="仿宋_GB2312" w:cs="Helvetica"/>
          <w:color w:val="000000" w:themeColor="text1"/>
          <w:kern w:val="0"/>
          <w:sz w:val="32"/>
          <w:szCs w:val="32"/>
          <w:highlight w:val="none"/>
          <w14:textFill>
            <w14:solidFill>
              <w14:schemeClr w14:val="tx1"/>
            </w14:solidFill>
          </w14:textFill>
        </w:rPr>
        <w:t>精装修工程类、园林景观工程类、建筑设计类</w:t>
      </w:r>
      <w:r>
        <w:rPr>
          <w:rFonts w:hint="eastAsia" w:ascii="仿宋_GB2312" w:hAnsi="Helvetica" w:eastAsia="仿宋_GB2312" w:cs="Helvetica"/>
          <w:color w:val="000000" w:themeColor="text1"/>
          <w:kern w:val="0"/>
          <w:sz w:val="32"/>
          <w:szCs w:val="32"/>
          <w:highlight w:val="none"/>
          <w:lang w:eastAsia="zh-CN"/>
          <w14:textFill>
            <w14:solidFill>
              <w14:schemeClr w14:val="tx1"/>
            </w14:solidFill>
          </w14:textFill>
        </w:rPr>
        <w:t>、</w:t>
      </w:r>
      <w:r>
        <w:rPr>
          <w:rFonts w:hint="eastAsia" w:ascii="仿宋_GB2312" w:hAnsi="Helvetica" w:eastAsia="仿宋_GB2312" w:cs="Helvetica"/>
          <w:color w:val="000000" w:themeColor="text1"/>
          <w:kern w:val="0"/>
          <w:sz w:val="32"/>
          <w:szCs w:val="32"/>
          <w:highlight w:val="none"/>
          <w14:textFill>
            <w14:solidFill>
              <w14:schemeClr w14:val="tx1"/>
            </w14:solidFill>
          </w14:textFill>
        </w:rPr>
        <w:t>工程监理类、造价咨询类供应商</w:t>
      </w: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须采用单独申报</w:t>
      </w:r>
      <w:r>
        <w:rPr>
          <w:rFonts w:hint="eastAsia" w:ascii="仿宋_GB2312" w:hAnsi="Helvetica" w:eastAsia="仿宋_GB2312" w:cs="Helvetica"/>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Helvetica" w:eastAsia="仿宋_GB2312" w:cs="Helvetica"/>
          <w:color w:val="000000" w:themeColor="text1"/>
          <w:kern w:val="0"/>
          <w:sz w:val="32"/>
          <w:szCs w:val="32"/>
          <w:highlight w:val="none"/>
          <w14:textFill>
            <w14:solidFill>
              <w14:schemeClr w14:val="tx1"/>
            </w14:solidFill>
          </w14:textFill>
        </w:rPr>
      </w:pPr>
      <w:r>
        <w:rPr>
          <w:rFonts w:hint="eastAsia" w:ascii="仿宋_GB2312" w:hAnsi="Helvetica" w:eastAsia="仿宋_GB2312" w:cs="Helvetica"/>
          <w:b/>
          <w:bCs/>
          <w:color w:val="000000" w:themeColor="text1"/>
          <w:kern w:val="0"/>
          <w:sz w:val="32"/>
          <w:szCs w:val="32"/>
          <w:highlight w:val="none"/>
          <w14:textFill>
            <w14:solidFill>
              <w14:schemeClr w14:val="tx1"/>
            </w14:solidFill>
          </w14:textFill>
        </w:rPr>
        <w:t>单独申报：</w:t>
      </w: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由具备各类别相应资质</w:t>
      </w:r>
      <w:r>
        <w:rPr>
          <w:rFonts w:hint="eastAsia" w:ascii="仿宋_GB2312" w:hAnsi="Helvetica" w:eastAsia="仿宋_GB2312" w:cs="Helvetica"/>
          <w:color w:val="000000" w:themeColor="text1"/>
          <w:kern w:val="0"/>
          <w:sz w:val="32"/>
          <w:szCs w:val="32"/>
          <w:highlight w:val="none"/>
          <w14:textFill>
            <w14:solidFill>
              <w14:schemeClr w14:val="tx1"/>
            </w14:solidFill>
          </w14:textFill>
        </w:rPr>
        <w:t>的独立法人企业单独申报。</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Helvetica" w:eastAsia="仿宋_GB2312" w:cs="Helvetica"/>
          <w:color w:val="000000" w:themeColor="text1"/>
          <w:kern w:val="0"/>
          <w:sz w:val="32"/>
          <w:szCs w:val="32"/>
          <w:highlight w:val="none"/>
          <w14:textFill>
            <w14:solidFill>
              <w14:schemeClr w14:val="tx1"/>
            </w14:solidFill>
          </w14:textFill>
        </w:rPr>
      </w:pPr>
      <w:r>
        <w:rPr>
          <w:rFonts w:hint="eastAsia" w:ascii="仿宋_GB2312" w:hAnsi="Helvetica" w:eastAsia="仿宋_GB2312" w:cs="Helvetica"/>
          <w:b/>
          <w:bCs/>
          <w:color w:val="000000" w:themeColor="text1"/>
          <w:kern w:val="0"/>
          <w:sz w:val="32"/>
          <w:szCs w:val="32"/>
          <w:highlight w:val="none"/>
          <w14:textFill>
            <w14:solidFill>
              <w14:schemeClr w14:val="tx1"/>
            </w14:solidFill>
          </w14:textFill>
        </w:rPr>
        <w:t>联合申报：</w:t>
      </w:r>
      <w:r>
        <w:rPr>
          <w:rFonts w:hint="eastAsia" w:ascii="仿宋_GB2312" w:hAnsi="Helvetica" w:eastAsia="仿宋_GB2312" w:cs="Helvetica"/>
          <w:color w:val="000000" w:themeColor="text1"/>
          <w:kern w:val="0"/>
          <w:sz w:val="32"/>
          <w:szCs w:val="32"/>
          <w:highlight w:val="none"/>
          <w14:textFill>
            <w14:solidFill>
              <w14:schemeClr w14:val="tx1"/>
            </w14:solidFill>
          </w14:textFill>
        </w:rPr>
        <w:t>工程总承包类</w:t>
      </w: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或</w:t>
      </w:r>
      <w:r>
        <w:rPr>
          <w:rFonts w:hint="eastAsia" w:ascii="仿宋_GB2312" w:hAnsi="Helvetica" w:eastAsia="仿宋_GB2312" w:cs="Helvetica"/>
          <w:color w:val="000000" w:themeColor="text1"/>
          <w:kern w:val="0"/>
          <w:sz w:val="32"/>
          <w:szCs w:val="32"/>
          <w:highlight w:val="none"/>
          <w14:textFill>
            <w14:solidFill>
              <w14:schemeClr w14:val="tx1"/>
            </w14:solidFill>
          </w14:textFill>
        </w:rPr>
        <w:t>地基与基础工程类供应商关联的法人企业</w:t>
      </w: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须采用</w:t>
      </w:r>
      <w:r>
        <w:rPr>
          <w:rFonts w:hint="eastAsia" w:ascii="仿宋_GB2312" w:hAnsi="Helvetica" w:eastAsia="仿宋_GB2312" w:cs="Helvetica"/>
          <w:color w:val="000000" w:themeColor="text1"/>
          <w:kern w:val="0"/>
          <w:sz w:val="32"/>
          <w:szCs w:val="32"/>
          <w:highlight w:val="none"/>
          <w14:textFill>
            <w14:solidFill>
              <w14:schemeClr w14:val="tx1"/>
            </w14:solidFill>
          </w14:textFill>
        </w:rPr>
        <w:t>联合申报，关联企业是指上下级全资及控股企业，或为同一上级企业的同级企业。联合申报的法人企业不超过3家，合并平均计算分级评分，共享分级结果，占一个分级供应商名额。</w:t>
      </w:r>
    </w:p>
    <w:bookmarkEnd w:id="1"/>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Helvetica" w:eastAsia="仿宋_GB2312" w:cs="Helvetica"/>
          <w:color w:val="000000" w:themeColor="text1"/>
          <w:kern w:val="0"/>
          <w:sz w:val="32"/>
          <w:szCs w:val="32"/>
          <w:highlight w:val="none"/>
          <w14:textFill>
            <w14:solidFill>
              <w14:schemeClr w14:val="tx1"/>
            </w14:solidFill>
          </w14:textFill>
        </w:rPr>
      </w:pP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采用联合申报方式的，每家独立法人企业均须在申报平台独立填报资料，并提供集团公司（或上级控股企业、工程局等）统筹申报的说明，具体格式详见附件1。</w:t>
      </w:r>
    </w:p>
    <w:bookmarkEnd w:id="2"/>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ascii="仿宋_GB2312" w:hAnsi="Helvetica" w:eastAsia="仿宋_GB2312" w:cs="Helvetica"/>
          <w:b/>
          <w:bCs/>
          <w:color w:val="000000" w:themeColor="text1"/>
          <w:kern w:val="0"/>
          <w:sz w:val="32"/>
          <w:szCs w:val="32"/>
          <w:highlight w:val="none"/>
          <w14:textFill>
            <w14:solidFill>
              <w14:schemeClr w14:val="tx1"/>
            </w14:solidFill>
          </w14:textFill>
        </w:rPr>
      </w:pPr>
      <w:bookmarkStart w:id="5" w:name="OLE_LINK4"/>
      <w:r>
        <w:rPr>
          <w:rFonts w:hint="eastAsia" w:ascii="仿宋_GB2312" w:hAnsi="Helvetica" w:eastAsia="仿宋_GB2312" w:cs="Helvetica"/>
          <w:b/>
          <w:bCs/>
          <w:color w:val="000000" w:themeColor="text1"/>
          <w:kern w:val="0"/>
          <w:sz w:val="32"/>
          <w:szCs w:val="32"/>
          <w:highlight w:val="none"/>
          <w:lang w:val="en-US" w:eastAsia="zh-CN"/>
          <w14:textFill>
            <w14:solidFill>
              <w14:schemeClr w14:val="tx1"/>
            </w14:solidFill>
          </w14:textFill>
        </w:rPr>
        <w:t>三</w:t>
      </w:r>
      <w:r>
        <w:rPr>
          <w:rFonts w:hint="eastAsia" w:ascii="仿宋_GB2312" w:hAnsi="Helvetica" w:eastAsia="仿宋_GB2312" w:cs="Helvetica"/>
          <w:b/>
          <w:bCs/>
          <w:color w:val="000000" w:themeColor="text1"/>
          <w:kern w:val="0"/>
          <w:sz w:val="32"/>
          <w:szCs w:val="32"/>
          <w:highlight w:val="none"/>
          <w14:textFill>
            <w14:solidFill>
              <w14:schemeClr w14:val="tx1"/>
            </w14:solidFill>
          </w14:textFill>
        </w:rPr>
        <w:t>、申报流程</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Helvetica" w:eastAsia="仿宋_GB2312" w:cs="Helvetica"/>
          <w:color w:val="000000" w:themeColor="text1"/>
          <w:kern w:val="0"/>
          <w:sz w:val="32"/>
          <w:szCs w:val="32"/>
          <w:highlight w:val="none"/>
          <w14:textFill>
            <w14:solidFill>
              <w14:schemeClr w14:val="tx1"/>
            </w14:solidFill>
          </w14:textFill>
        </w:rPr>
      </w:pPr>
      <w:bookmarkStart w:id="6" w:name="OLE_LINK59"/>
      <w:r>
        <w:rPr>
          <w:rFonts w:hint="eastAsia" w:ascii="仿宋_GB2312" w:hAnsi="Helvetica" w:eastAsia="仿宋_GB2312" w:cs="Helvetica"/>
          <w:color w:val="000000" w:themeColor="text1"/>
          <w:kern w:val="0"/>
          <w:sz w:val="32"/>
          <w:szCs w:val="32"/>
          <w:highlight w:val="none"/>
          <w:lang w:eastAsia="zh-CN"/>
          <w14:textFill>
            <w14:solidFill>
              <w14:schemeClr w14:val="tx1"/>
            </w14:solidFill>
          </w14:textFill>
        </w:rPr>
        <w:t>（</w:t>
      </w: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一</w:t>
      </w:r>
      <w:r>
        <w:rPr>
          <w:rFonts w:hint="eastAsia" w:ascii="仿宋_GB2312" w:hAnsi="Helvetica" w:eastAsia="仿宋_GB2312" w:cs="Helvetica"/>
          <w:color w:val="000000" w:themeColor="text1"/>
          <w:kern w:val="0"/>
          <w:sz w:val="32"/>
          <w:szCs w:val="32"/>
          <w:highlight w:val="none"/>
          <w:lang w:eastAsia="zh-CN"/>
          <w14:textFill>
            <w14:solidFill>
              <w14:schemeClr w14:val="tx1"/>
            </w14:solidFill>
          </w14:textFill>
        </w:rPr>
        <w:t>）</w:t>
      </w: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申报平台账号</w:t>
      </w:r>
      <w:r>
        <w:rPr>
          <w:rFonts w:hint="eastAsia" w:ascii="仿宋_GB2312" w:hAnsi="Helvetica" w:eastAsia="仿宋_GB2312" w:cs="Helvetica"/>
          <w:color w:val="000000" w:themeColor="text1"/>
          <w:kern w:val="0"/>
          <w:sz w:val="32"/>
          <w:szCs w:val="32"/>
          <w:highlight w:val="none"/>
          <w14:textFill>
            <w14:solidFill>
              <w14:schemeClr w14:val="tx1"/>
            </w14:solidFill>
          </w14:textFill>
        </w:rPr>
        <w:t>注册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仿宋_GB2312" w:hAnsi="Helvetica" w:eastAsia="仿宋_GB2312" w:cs="Helvetica"/>
          <w:color w:val="000000" w:themeColor="text1"/>
          <w:kern w:val="0"/>
          <w:sz w:val="32"/>
          <w:szCs w:val="32"/>
          <w:highlight w:val="none"/>
          <w:lang w:val="en-US" w:eastAsia="zh-CN"/>
          <w14:textFill>
            <w14:solidFill>
              <w14:schemeClr w14:val="tx1"/>
            </w14:solidFill>
          </w14:textFill>
        </w:rPr>
      </w:pPr>
      <w:bookmarkStart w:id="7" w:name="OLE_LINK3"/>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登录</w:t>
      </w:r>
      <w:r>
        <w:rPr>
          <w:rFonts w:hint="eastAsia" w:ascii="仿宋_GB2312" w:hAnsi="Helvetica" w:eastAsia="仿宋_GB2312" w:cs="Helvetica"/>
          <w:color w:val="000000" w:themeColor="text1"/>
          <w:kern w:val="0"/>
          <w:sz w:val="32"/>
          <w:szCs w:val="32"/>
          <w:highlight w:val="none"/>
          <w14:textFill>
            <w14:solidFill>
              <w14:schemeClr w14:val="tx1"/>
            </w14:solidFill>
          </w14:textFill>
        </w:rPr>
        <w:t>安居集团供应商平台</w:t>
      </w:r>
      <w:bookmarkEnd w:id="7"/>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进行账号</w:t>
      </w:r>
      <w:r>
        <w:rPr>
          <w:rFonts w:hint="eastAsia" w:ascii="仿宋_GB2312" w:hAnsi="Helvetica" w:eastAsia="仿宋_GB2312" w:cs="Helvetica"/>
          <w:color w:val="000000" w:themeColor="text1"/>
          <w:kern w:val="0"/>
          <w:sz w:val="32"/>
          <w:szCs w:val="32"/>
          <w:highlight w:val="none"/>
          <w14:textFill>
            <w14:solidFill>
              <w14:schemeClr w14:val="tx1"/>
            </w14:solidFill>
          </w14:textFill>
        </w:rPr>
        <w:t>注册</w:t>
      </w:r>
      <w:r>
        <w:rPr>
          <w:rFonts w:hint="eastAsia" w:ascii="仿宋_GB2312" w:hAnsi="Helvetica" w:eastAsia="仿宋_GB2312" w:cs="Helvetica"/>
          <w:color w:val="000000" w:themeColor="text1"/>
          <w:kern w:val="0"/>
          <w:sz w:val="32"/>
          <w:szCs w:val="32"/>
          <w:highlight w:val="none"/>
          <w:lang w:eastAsia="zh-CN"/>
          <w14:textFill>
            <w14:solidFill>
              <w14:schemeClr w14:val="tx1"/>
            </w14:solidFill>
          </w14:textFill>
        </w:rPr>
        <w:t>（</w:t>
      </w: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网址：</w:t>
      </w:r>
      <w:r>
        <w:rPr>
          <w:rFonts w:hint="eastAsia" w:ascii="仿宋_GB2312" w:hAnsi="Helvetica" w:eastAsia="仿宋_GB2312" w:cs="Helvetica"/>
          <w:color w:val="000000" w:themeColor="text1"/>
          <w:kern w:val="0"/>
          <w:sz w:val="32"/>
          <w:szCs w:val="32"/>
          <w:highlight w:val="none"/>
          <w:u w:val="single"/>
          <w14:textFill>
            <w14:solidFill>
              <w14:schemeClr w14:val="tx1"/>
            </w14:solidFill>
          </w14:textFill>
        </w:rPr>
        <w:t>https://cgmh.gyspt.szrcaj.com:7443/szaj/register</w:t>
      </w:r>
      <w:r>
        <w:rPr>
          <w:rFonts w:hint="eastAsia" w:ascii="仿宋_GB2312" w:hAnsi="Helvetica" w:eastAsia="仿宋_GB2312" w:cs="Helvetica"/>
          <w:color w:val="000000" w:themeColor="text1"/>
          <w:kern w:val="0"/>
          <w:sz w:val="32"/>
          <w:szCs w:val="32"/>
          <w:highlight w:val="none"/>
          <w:lang w:eastAsia="zh-CN"/>
          <w14:textFill>
            <w14:solidFill>
              <w14:schemeClr w14:val="tx1"/>
            </w14:solidFill>
          </w14:textFill>
        </w:rPr>
        <w:t>），</w:t>
      </w: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已完成账号注册的供应商无须重复注册；</w:t>
      </w:r>
    </w:p>
    <w:bookmarkEnd w:id="6"/>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pPr>
      <w:r>
        <w:rPr>
          <w:rFonts w:hint="eastAsia" w:ascii="仿宋_GB2312" w:hAnsi="Helvetica" w:eastAsia="仿宋_GB2312" w:cs="Helvetica"/>
          <w:color w:val="000000" w:themeColor="text1"/>
          <w:kern w:val="0"/>
          <w:sz w:val="32"/>
          <w:szCs w:val="32"/>
          <w:highlight w:val="none"/>
          <w:lang w:eastAsia="zh-CN"/>
          <w14:textFill>
            <w14:solidFill>
              <w14:schemeClr w14:val="tx1"/>
            </w14:solidFill>
          </w14:textFill>
        </w:rPr>
        <w:t>（</w:t>
      </w: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二</w:t>
      </w:r>
      <w:r>
        <w:rPr>
          <w:rFonts w:hint="eastAsia" w:ascii="仿宋_GB2312" w:hAnsi="Helvetica" w:eastAsia="仿宋_GB2312" w:cs="Helvetica"/>
          <w:color w:val="000000" w:themeColor="text1"/>
          <w:kern w:val="0"/>
          <w:sz w:val="32"/>
          <w:szCs w:val="32"/>
          <w:highlight w:val="none"/>
          <w:lang w:eastAsia="zh-CN"/>
          <w14:textFill>
            <w14:solidFill>
              <w14:schemeClr w14:val="tx1"/>
            </w14:solidFill>
          </w14:textFill>
        </w:rPr>
        <w:t>）</w:t>
      </w:r>
      <w:bookmarkStart w:id="8" w:name="OLE_LINK24"/>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市场评价资料上传</w:t>
      </w:r>
      <w:bookmarkEnd w:id="8"/>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Style w:val="11"/>
          <w:rFonts w:hint="eastAsia" w:ascii="仿宋_GB2312" w:hAnsi="仿宋_GB2312" w:eastAsia="仿宋_GB2312"/>
          <w:color w:val="000000" w:themeColor="text1"/>
          <w:sz w:val="32"/>
          <w:szCs w:val="32"/>
          <w:highlight w:val="none"/>
          <w:u w:val="none"/>
          <w:lang w:val="en-US" w:eastAsia="zh-CN"/>
          <w14:textFill>
            <w14:solidFill>
              <w14:schemeClr w14:val="tx1"/>
            </w14:solidFill>
          </w14:textFill>
        </w:rPr>
      </w:pP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供应商应将市场评价申报资料以PDF形式，上传至</w:t>
      </w:r>
      <w:bookmarkStart w:id="9" w:name="OLE_LINK26"/>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供应商分类分级管理信息平台</w:t>
      </w:r>
      <w:bookmarkEnd w:id="9"/>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对应节点中</w:t>
      </w:r>
      <w:bookmarkStart w:id="10" w:name="OLE_LINK15"/>
      <w:r>
        <w:rPr>
          <w:rFonts w:hint="eastAsia" w:ascii="仿宋_GB2312" w:hAnsi="Helvetica" w:eastAsia="仿宋_GB2312" w:cs="Helvetica"/>
          <w:color w:val="000000" w:themeColor="text1"/>
          <w:kern w:val="0"/>
          <w:sz w:val="32"/>
          <w:szCs w:val="32"/>
          <w:highlight w:val="none"/>
          <w:lang w:eastAsia="zh-CN"/>
          <w14:textFill>
            <w14:solidFill>
              <w14:schemeClr w14:val="tx1"/>
            </w14:solidFill>
          </w14:textFill>
        </w:rPr>
        <w:t>（</w:t>
      </w: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网址：</w:t>
      </w:r>
      <w:r>
        <w:rPr>
          <w:rFonts w:hint="eastAsia" w:ascii="仿宋_GB2312" w:hAnsi="Helvetica" w:eastAsia="仿宋_GB2312" w:cs="Helvetica"/>
          <w:color w:val="000000" w:themeColor="text1"/>
          <w:kern w:val="0"/>
          <w:sz w:val="32"/>
          <w:szCs w:val="32"/>
          <w:highlight w:val="none"/>
          <w:u w:val="single"/>
          <w:lang w:val="en-US" w:eastAsia="zh-CN"/>
          <w14:textFill>
            <w14:solidFill>
              <w14:schemeClr w14:val="tx1"/>
            </w14:solidFill>
          </w14:textFill>
        </w:rPr>
        <w:fldChar w:fldCharType="begin"/>
      </w:r>
      <w:r>
        <w:rPr>
          <w:rFonts w:hint="eastAsia" w:ascii="仿宋_GB2312" w:hAnsi="Helvetica" w:eastAsia="仿宋_GB2312" w:cs="Helvetica"/>
          <w:color w:val="000000" w:themeColor="text1"/>
          <w:kern w:val="0"/>
          <w:sz w:val="32"/>
          <w:szCs w:val="32"/>
          <w:highlight w:val="none"/>
          <w:u w:val="single"/>
          <w:lang w:val="en-US" w:eastAsia="zh-CN"/>
          <w14:textFill>
            <w14:solidFill>
              <w14:schemeClr w14:val="tx1"/>
            </w14:solidFill>
          </w14:textFill>
        </w:rPr>
        <w:instrText xml:space="preserve"> HYPERLINK "https://cgmh.gyspt.szrcaj.com:7443/szaj），具体评分要求详见附件2。" </w:instrText>
      </w:r>
      <w:r>
        <w:rPr>
          <w:rFonts w:hint="eastAsia" w:ascii="仿宋_GB2312" w:hAnsi="Helvetica" w:eastAsia="仿宋_GB2312" w:cs="Helvetica"/>
          <w:color w:val="000000" w:themeColor="text1"/>
          <w:kern w:val="0"/>
          <w:sz w:val="32"/>
          <w:szCs w:val="32"/>
          <w:highlight w:val="none"/>
          <w:u w:val="single"/>
          <w:lang w:val="en-US" w:eastAsia="zh-CN"/>
          <w14:textFill>
            <w14:solidFill>
              <w14:schemeClr w14:val="tx1"/>
            </w14:solidFill>
          </w14:textFill>
        </w:rPr>
        <w:fldChar w:fldCharType="separate"/>
      </w:r>
      <w:r>
        <w:rPr>
          <w:rStyle w:val="11"/>
          <w:rFonts w:ascii="仿宋_GB2312" w:hAnsi="Helvetica" w:eastAsia="仿宋_GB2312" w:cs="Helvetica"/>
          <w:color w:val="000000" w:themeColor="text1"/>
          <w:kern w:val="0"/>
          <w:sz w:val="32"/>
          <w:szCs w:val="32"/>
          <w:highlight w:val="none"/>
          <w14:textFill>
            <w14:solidFill>
              <w14:schemeClr w14:val="tx1"/>
            </w14:solidFill>
          </w14:textFill>
        </w:rPr>
        <w:t>https://cgmh.gyspt.szrcaj.com:7443/szaj/login</w:t>
      </w:r>
      <w:r>
        <w:rPr>
          <w:rStyle w:val="11"/>
          <w:rFonts w:hint="eastAsia" w:ascii="仿宋_GB2312" w:hAnsi="Helvetica" w:eastAsia="仿宋_GB2312" w:cs="Helvetica"/>
          <w:color w:val="000000" w:themeColor="text1"/>
          <w:kern w:val="0"/>
          <w:sz w:val="32"/>
          <w:szCs w:val="32"/>
          <w:highlight w:val="none"/>
          <w:lang w:eastAsia="zh-CN"/>
          <w14:textFill>
            <w14:solidFill>
              <w14:schemeClr w14:val="tx1"/>
            </w14:solidFill>
          </w14:textFill>
        </w:rPr>
        <w:t>）</w:t>
      </w:r>
      <w:r>
        <w:rPr>
          <w:rStyle w:val="11"/>
          <w:rFonts w:hint="eastAsia" w:ascii="仿宋_GB2312" w:hAnsi="Helvetica" w:eastAsia="仿宋_GB2312" w:cs="Helvetica"/>
          <w:color w:val="000000" w:themeColor="text1"/>
          <w:kern w:val="0"/>
          <w:sz w:val="32"/>
          <w:szCs w:val="32"/>
          <w:highlight w:val="none"/>
          <w:u w:val="none"/>
          <w:lang w:val="en-US" w:eastAsia="zh-CN"/>
          <w14:textFill>
            <w14:solidFill>
              <w14:schemeClr w14:val="tx1"/>
            </w14:solidFill>
          </w14:textFill>
        </w:rPr>
        <w:t>，具体评分要求</w:t>
      </w:r>
      <w:r>
        <w:rPr>
          <w:rStyle w:val="11"/>
          <w:rFonts w:hint="eastAsia" w:ascii="仿宋_GB2312" w:hAnsi="仿宋_GB2312" w:eastAsia="仿宋_GB2312"/>
          <w:color w:val="000000" w:themeColor="text1"/>
          <w:sz w:val="32"/>
          <w:szCs w:val="32"/>
          <w:highlight w:val="none"/>
          <w:u w:val="none"/>
          <w:lang w:val="en-US" w:eastAsia="zh-CN"/>
          <w14:textFill>
            <w14:solidFill>
              <w14:schemeClr w14:val="tx1"/>
            </w14:solidFill>
          </w14:textFill>
        </w:rPr>
        <w:t>详见</w:t>
      </w:r>
      <w:bookmarkEnd w:id="10"/>
      <w:r>
        <w:rPr>
          <w:rStyle w:val="11"/>
          <w:rFonts w:hint="eastAsia" w:ascii="仿宋_GB2312" w:hAnsi="仿宋_GB2312" w:eastAsia="仿宋_GB2312"/>
          <w:color w:val="000000" w:themeColor="text1"/>
          <w:sz w:val="32"/>
          <w:szCs w:val="32"/>
          <w:highlight w:val="none"/>
          <w:u w:val="none"/>
          <w:lang w:val="en-US" w:eastAsia="zh-CN"/>
          <w14:textFill>
            <w14:solidFill>
              <w14:schemeClr w14:val="tx1"/>
            </w14:solidFill>
          </w14:textFill>
        </w:rPr>
        <w:t>附件2。</w:t>
      </w:r>
    </w:p>
    <w:p>
      <w:pPr>
        <w:pStyle w:val="26"/>
        <w:ind w:firstLine="642"/>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pP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w:t>
      </w:r>
      <w:bookmarkStart w:id="11" w:name="OLE_LINK2"/>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三</w:t>
      </w:r>
      <w:bookmarkEnd w:id="11"/>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）开展分级评分，</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按市场评价（20分）和履约评价（80分）进行综合评分（总分100分）并公示</w:t>
      </w: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w:t>
      </w:r>
    </w:p>
    <w:p>
      <w:pPr>
        <w:pStyle w:val="26"/>
        <w:ind w:firstLine="642"/>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pP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1.市场评价分：由评审小组对供应商申报材料进行评审；</w:t>
      </w:r>
    </w:p>
    <w:p>
      <w:pPr>
        <w:pStyle w:val="26"/>
        <w:ind w:firstLine="642"/>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履约评价分：根据供应商在安居集团、市建筑工务署履约评价结果及其他赋分规则进行统计计算。</w:t>
      </w:r>
    </w:p>
    <w:p>
      <w:pPr>
        <w:pStyle w:val="26"/>
        <w:ind w:firstLine="642"/>
        <w:rPr>
          <w:rFonts w:hint="default" w:ascii="仿宋_GB2312" w:hAnsi="Helvetica" w:eastAsia="仿宋_GB2312" w:cs="Helvetica"/>
          <w:color w:val="000000" w:themeColor="text1"/>
          <w:kern w:val="0"/>
          <w:sz w:val="32"/>
          <w:szCs w:val="32"/>
          <w:highlight w:val="none"/>
          <w:lang w:val="en-US" w:eastAsia="zh-CN"/>
          <w14:textFill>
            <w14:solidFill>
              <w14:schemeClr w14:val="tx1"/>
            </w14:solidFill>
          </w14:textFill>
        </w:rPr>
      </w:pP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（四）供应商风险核查，对存在重大风险的供应商，安居集团有权拒绝其申报。</w:t>
      </w:r>
    </w:p>
    <w:p>
      <w:pPr>
        <w:pStyle w:val="26"/>
        <w:ind w:firstLine="642"/>
        <w:rPr>
          <w:rFonts w:hint="default" w:ascii="仿宋_GB2312" w:hAnsi="Helvetica" w:eastAsia="仿宋_GB2312" w:cs="Helvetica"/>
          <w:color w:val="000000" w:themeColor="text1"/>
          <w:kern w:val="0"/>
          <w:sz w:val="32"/>
          <w:szCs w:val="32"/>
          <w:highlight w:val="none"/>
          <w:lang w:val="en-US" w:eastAsia="zh-CN"/>
          <w14:textFill>
            <w14:solidFill>
              <w14:schemeClr w14:val="tx1"/>
            </w14:solidFill>
          </w14:textFill>
        </w:rPr>
      </w:pP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（五）拟定分级结果，</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按照</w:t>
      </w: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供应商</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综合评分从高到低，将供应商分为A、B、C三级</w:t>
      </w:r>
      <w:r>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Helvetica" w:eastAsia="仿宋_GB2312" w:cs="Helvetica"/>
          <w:b/>
          <w:bCs/>
          <w:color w:val="000000" w:themeColor="text1"/>
          <w:kern w:val="0"/>
          <w:sz w:val="32"/>
          <w:szCs w:val="32"/>
          <w:highlight w:val="none"/>
          <w:lang w:val="en-US" w:eastAsia="zh-CN"/>
          <w14:textFill>
            <w14:solidFill>
              <w14:schemeClr w14:val="tx1"/>
            </w14:solidFill>
          </w14:textFill>
        </w:rPr>
      </w:pPr>
      <w:r>
        <w:rPr>
          <w:rFonts w:hint="eastAsia" w:ascii="仿宋_GB2312" w:hAnsi="Helvetica" w:eastAsia="仿宋_GB2312" w:cs="Helvetica"/>
          <w:color w:val="000000" w:themeColor="text1"/>
          <w:kern w:val="0"/>
          <w:sz w:val="32"/>
          <w:szCs w:val="32"/>
          <w:highlight w:val="none"/>
          <w:u w:val="single"/>
          <w:lang w:val="en-US" w:eastAsia="zh-CN"/>
          <w14:textFill>
            <w14:solidFill>
              <w14:schemeClr w14:val="tx1"/>
            </w14:solidFill>
          </w14:textFill>
        </w:rPr>
        <w:fldChar w:fldCharType="end"/>
      </w:r>
      <w:bookmarkStart w:id="12" w:name="OLE_LINK1"/>
      <w:r>
        <w:rPr>
          <w:rFonts w:hint="eastAsia" w:ascii="仿宋_GB2312" w:hAnsi="Helvetica" w:eastAsia="仿宋_GB2312" w:cs="Helvetica"/>
          <w:b/>
          <w:bCs/>
          <w:color w:val="000000" w:themeColor="text1"/>
          <w:kern w:val="0"/>
          <w:sz w:val="32"/>
          <w:szCs w:val="32"/>
          <w:highlight w:val="none"/>
          <w:lang w:val="en-US" w:eastAsia="zh-CN"/>
          <w14:textFill>
            <w14:solidFill>
              <w14:schemeClr w14:val="tx1"/>
            </w14:solidFill>
          </w14:textFill>
        </w:rPr>
        <w:t>附件1-1：</w:t>
      </w:r>
    </w:p>
    <w:bookmarkEnd w:id="12"/>
    <w:p>
      <w:pPr>
        <w:adjustRightInd w:val="0"/>
        <w:snapToGrid w:val="0"/>
        <w:spacing w:line="360" w:lineRule="auto"/>
        <w:jc w:val="left"/>
        <w:rPr>
          <w:rFonts w:ascii="仿宋_GB2312" w:hAnsi="Helvetica" w:eastAsia="仿宋_GB2312" w:cs="Helvetica"/>
          <w:color w:val="000000" w:themeColor="text1"/>
          <w:kern w:val="0"/>
          <w:sz w:val="32"/>
          <w:szCs w:val="32"/>
          <w:highlight w:val="none"/>
          <w14:textFill>
            <w14:solidFill>
              <w14:schemeClr w14:val="tx1"/>
            </w14:solidFill>
          </w14:textFill>
        </w:rPr>
      </w:pPr>
    </w:p>
    <w:p>
      <w:pPr>
        <w:adjustRightInd w:val="0"/>
        <w:snapToGrid w:val="0"/>
        <w:spacing w:line="360" w:lineRule="auto"/>
        <w:jc w:val="center"/>
        <w:rPr>
          <w:rFonts w:ascii="仿宋_GB2312" w:hAnsi="Helvetica" w:eastAsia="仿宋_GB2312" w:cs="Helvetica"/>
          <w:b/>
          <w:bCs/>
          <w:color w:val="000000" w:themeColor="text1"/>
          <w:kern w:val="0"/>
          <w:sz w:val="32"/>
          <w:szCs w:val="32"/>
          <w:highlight w:val="none"/>
          <w14:textFill>
            <w14:solidFill>
              <w14:schemeClr w14:val="tx1"/>
            </w14:solidFill>
          </w14:textFill>
        </w:rPr>
      </w:pPr>
      <w:r>
        <w:rPr>
          <w:rFonts w:hint="eastAsia" w:ascii="仿宋_GB2312" w:hAnsi="Helvetica" w:eastAsia="仿宋_GB2312" w:cs="Helvetica"/>
          <w:b/>
          <w:bCs/>
          <w:color w:val="000000" w:themeColor="text1"/>
          <w:kern w:val="0"/>
          <w:sz w:val="32"/>
          <w:szCs w:val="32"/>
          <w:highlight w:val="none"/>
          <w14:textFill>
            <w14:solidFill>
              <w14:schemeClr w14:val="tx1"/>
            </w14:solidFill>
          </w14:textFill>
        </w:rPr>
        <w:t>关于联合申报的情况说明（如有）</w:t>
      </w:r>
    </w:p>
    <w:p>
      <w:pPr>
        <w:adjustRightInd w:val="0"/>
        <w:snapToGrid w:val="0"/>
        <w:spacing w:line="360" w:lineRule="auto"/>
        <w:jc w:val="left"/>
        <w:rPr>
          <w:rFonts w:ascii="仿宋_GB2312" w:hAnsi="Helvetica" w:eastAsia="仿宋_GB2312" w:cs="Helvetica"/>
          <w:color w:val="000000" w:themeColor="text1"/>
          <w:kern w:val="0"/>
          <w:sz w:val="32"/>
          <w:szCs w:val="32"/>
          <w:highlight w:val="none"/>
          <w14:textFill>
            <w14:solidFill>
              <w14:schemeClr w14:val="tx1"/>
            </w14:solidFill>
          </w14:textFill>
        </w:rPr>
      </w:pPr>
    </w:p>
    <w:p>
      <w:pPr>
        <w:adjustRightInd w:val="0"/>
        <w:snapToGrid w:val="0"/>
        <w:spacing w:line="360" w:lineRule="auto"/>
        <w:jc w:val="left"/>
        <w:rPr>
          <w:rFonts w:ascii="仿宋_GB2312" w:hAnsi="Helvetica" w:eastAsia="仿宋_GB2312" w:cs="Helvetica"/>
          <w:color w:val="000000" w:themeColor="text1"/>
          <w:kern w:val="0"/>
          <w:sz w:val="28"/>
          <w:szCs w:val="28"/>
          <w:highlight w:val="none"/>
          <w14:textFill>
            <w14:solidFill>
              <w14:schemeClr w14:val="tx1"/>
            </w14:solidFill>
          </w14:textFill>
        </w:rPr>
      </w:pPr>
      <w:r>
        <w:rPr>
          <w:rFonts w:hint="eastAsia" w:ascii="仿宋_GB2312" w:hAnsi="Helvetica" w:eastAsia="仿宋_GB2312" w:cs="Helvetica"/>
          <w:color w:val="000000" w:themeColor="text1"/>
          <w:kern w:val="0"/>
          <w:sz w:val="28"/>
          <w:szCs w:val="28"/>
          <w:highlight w:val="none"/>
          <w:lang w:eastAsia="zh-CN"/>
          <w14:textFill>
            <w14:solidFill>
              <w14:schemeClr w14:val="tx1"/>
            </w14:solidFill>
          </w14:textFill>
        </w:rPr>
        <w:t>深圳市安居集团有限公司</w:t>
      </w:r>
      <w:r>
        <w:rPr>
          <w:rFonts w:hint="eastAsia" w:ascii="仿宋_GB2312" w:hAnsi="Helvetica" w:eastAsia="仿宋_GB2312" w:cs="Helvetica"/>
          <w:color w:val="000000" w:themeColor="text1"/>
          <w:kern w:val="0"/>
          <w:sz w:val="28"/>
          <w:szCs w:val="28"/>
          <w:highlight w:val="none"/>
          <w14:textFill>
            <w14:solidFill>
              <w14:schemeClr w14:val="tx1"/>
            </w14:solidFill>
          </w14:textFill>
        </w:rPr>
        <w:t>：</w:t>
      </w:r>
    </w:p>
    <w:p>
      <w:pPr>
        <w:adjustRightInd w:val="0"/>
        <w:snapToGrid w:val="0"/>
        <w:spacing w:line="360" w:lineRule="auto"/>
        <w:ind w:firstLine="560" w:firstLineChars="200"/>
        <w:jc w:val="left"/>
        <w:rPr>
          <w:rFonts w:ascii="仿宋_GB2312" w:hAnsi="Helvetica" w:eastAsia="仿宋_GB2312" w:cs="Helvetica"/>
          <w:color w:val="000000" w:themeColor="text1"/>
          <w:kern w:val="0"/>
          <w:sz w:val="28"/>
          <w:szCs w:val="28"/>
          <w:highlight w:val="none"/>
          <w14:textFill>
            <w14:solidFill>
              <w14:schemeClr w14:val="tx1"/>
            </w14:solidFill>
          </w14:textFill>
        </w:rPr>
      </w:pPr>
      <w:r>
        <w:rPr>
          <w:rFonts w:hint="eastAsia" w:ascii="仿宋_GB2312" w:hAnsi="Helvetica" w:eastAsia="仿宋_GB2312" w:cs="Helvetica"/>
          <w:color w:val="000000" w:themeColor="text1"/>
          <w:kern w:val="0"/>
          <w:sz w:val="28"/>
          <w:szCs w:val="28"/>
          <w:highlight w:val="none"/>
          <w14:textFill>
            <w14:solidFill>
              <w14:schemeClr w14:val="tx1"/>
            </w14:solidFill>
          </w14:textFill>
        </w:rPr>
        <w:t>根据《</w:t>
      </w:r>
      <w:r>
        <w:rPr>
          <w:rFonts w:hint="eastAsia" w:ascii="仿宋_GB2312" w:hAnsi="Helvetica" w:eastAsia="仿宋_GB2312" w:cs="Helvetica"/>
          <w:color w:val="000000" w:themeColor="text1"/>
          <w:kern w:val="0"/>
          <w:sz w:val="28"/>
          <w:szCs w:val="28"/>
          <w:highlight w:val="none"/>
          <w:lang w:eastAsia="zh-CN"/>
          <w14:textFill>
            <w14:solidFill>
              <w14:schemeClr w14:val="tx1"/>
            </w14:solidFill>
          </w14:textFill>
        </w:rPr>
        <w:t>深圳市安居集团有限公司</w:t>
      </w:r>
      <w:r>
        <w:rPr>
          <w:rFonts w:hint="eastAsia" w:ascii="仿宋_GB2312" w:hAnsi="Helvetica" w:eastAsia="仿宋_GB2312" w:cs="Helvetica"/>
          <w:color w:val="000000" w:themeColor="text1"/>
          <w:kern w:val="0"/>
          <w:sz w:val="28"/>
          <w:szCs w:val="28"/>
          <w:highlight w:val="none"/>
          <w14:textFill>
            <w14:solidFill>
              <w14:schemeClr w14:val="tx1"/>
            </w14:solidFill>
          </w14:textFill>
        </w:rPr>
        <w:t>供应商分级管理征集文件》的申报要求，若采用联合申报，须由供应商所在的集团公司（或上级控股企业、工程局等）统筹本单位具备</w:t>
      </w:r>
      <w:r>
        <w:rPr>
          <w:rFonts w:hint="eastAsia" w:ascii="仿宋_GB2312" w:hAnsi="Helvetica" w:eastAsia="仿宋_GB2312" w:cs="Helvetica"/>
          <w:color w:val="000000" w:themeColor="text1"/>
          <w:kern w:val="0"/>
          <w:sz w:val="28"/>
          <w:szCs w:val="28"/>
          <w:highlight w:val="none"/>
          <w:u w:val="single"/>
          <w14:textFill>
            <w14:solidFill>
              <w14:schemeClr w14:val="tx1"/>
            </w14:solidFill>
          </w14:textFill>
        </w:rPr>
        <w:t>建筑工程施工总承包资质</w:t>
      </w:r>
      <w:r>
        <w:rPr>
          <w:rFonts w:hint="eastAsia" w:ascii="仿宋_GB2312" w:hAnsi="Helvetica" w:eastAsia="仿宋_GB2312" w:cs="Helvetica"/>
          <w:color w:val="000000" w:themeColor="text1"/>
          <w:kern w:val="0"/>
          <w:sz w:val="28"/>
          <w:szCs w:val="28"/>
          <w:highlight w:val="none"/>
          <w14:textFill>
            <w14:solidFill>
              <w14:schemeClr w14:val="tx1"/>
            </w14:solidFill>
          </w14:textFill>
        </w:rPr>
        <w:t>的</w:t>
      </w:r>
      <w:r>
        <w:rPr>
          <w:rFonts w:hint="eastAsia" w:ascii="仿宋_GB2312" w:hAnsi="Helvetica" w:eastAsia="仿宋_GB2312" w:cs="Helvetica"/>
          <w:color w:val="000000" w:themeColor="text1"/>
          <w:kern w:val="0"/>
          <w:sz w:val="28"/>
          <w:szCs w:val="28"/>
          <w:highlight w:val="none"/>
          <w:lang w:val="en-US" w:eastAsia="zh-CN"/>
          <w14:textFill>
            <w14:solidFill>
              <w14:schemeClr w14:val="tx1"/>
            </w14:solidFill>
          </w14:textFill>
        </w:rPr>
        <w:t>单位</w:t>
      </w:r>
      <w:r>
        <w:rPr>
          <w:rFonts w:hint="eastAsia" w:ascii="仿宋_GB2312" w:hAnsi="Helvetica" w:eastAsia="仿宋_GB2312" w:cs="Helvetica"/>
          <w:color w:val="000000" w:themeColor="text1"/>
          <w:kern w:val="0"/>
          <w:sz w:val="28"/>
          <w:szCs w:val="28"/>
          <w:highlight w:val="none"/>
          <w14:textFill>
            <w14:solidFill>
              <w14:schemeClr w14:val="tx1"/>
            </w14:solidFill>
          </w14:textFill>
        </w:rPr>
        <w:t>进行联合申报并共享分级结果，联合申报组成家数不超过三家。</w:t>
      </w:r>
    </w:p>
    <w:p>
      <w:pPr>
        <w:adjustRightInd w:val="0"/>
        <w:snapToGrid w:val="0"/>
        <w:spacing w:line="360" w:lineRule="auto"/>
        <w:ind w:firstLine="560" w:firstLineChars="200"/>
        <w:jc w:val="left"/>
        <w:rPr>
          <w:rFonts w:ascii="仿宋_GB2312" w:hAnsi="Helvetica" w:eastAsia="仿宋_GB2312" w:cs="Helvetica"/>
          <w:color w:val="000000" w:themeColor="text1"/>
          <w:kern w:val="0"/>
          <w:sz w:val="28"/>
          <w:szCs w:val="28"/>
          <w:highlight w:val="none"/>
          <w14:textFill>
            <w14:solidFill>
              <w14:schemeClr w14:val="tx1"/>
            </w14:solidFill>
          </w14:textFill>
        </w:rPr>
      </w:pPr>
      <w:r>
        <w:rPr>
          <w:rFonts w:hint="eastAsia" w:ascii="仿宋_GB2312" w:hAnsi="Helvetica" w:eastAsia="仿宋_GB2312" w:cs="Helvetica"/>
          <w:color w:val="000000" w:themeColor="text1"/>
          <w:kern w:val="0"/>
          <w:sz w:val="28"/>
          <w:szCs w:val="28"/>
          <w:highlight w:val="none"/>
          <w14:textFill>
            <w14:solidFill>
              <w14:schemeClr w14:val="tx1"/>
            </w14:solidFill>
          </w14:textFill>
        </w:rPr>
        <w:t>为此，集团（局）公司统筹安排</w:t>
      </w:r>
      <w:r>
        <w:rPr>
          <w:rFonts w:hint="eastAsia"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r>
        <w:rPr>
          <w:rFonts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r>
        <w:rPr>
          <w:rFonts w:hint="eastAsia" w:ascii="仿宋_GB2312" w:hAnsi="Helvetica" w:eastAsia="仿宋_GB2312" w:cs="Helvetica"/>
          <w:color w:val="000000" w:themeColor="text1"/>
          <w:kern w:val="0"/>
          <w:sz w:val="28"/>
          <w:szCs w:val="28"/>
          <w:highlight w:val="none"/>
          <w14:textFill>
            <w14:solidFill>
              <w14:schemeClr w14:val="tx1"/>
            </w14:solidFill>
          </w14:textFill>
        </w:rPr>
        <w:t>家进行联合申报，联合申报组成单位具体为</w:t>
      </w:r>
      <w:r>
        <w:rPr>
          <w:rFonts w:hint="eastAsia"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r>
        <w:rPr>
          <w:rFonts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r>
        <w:rPr>
          <w:rFonts w:hint="eastAsia"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r>
        <w:rPr>
          <w:rFonts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r>
        <w:rPr>
          <w:rFonts w:hint="eastAsia" w:ascii="仿宋_GB2312" w:hAnsi="Helvetica" w:eastAsia="仿宋_GB2312" w:cs="Helvetica"/>
          <w:color w:val="000000" w:themeColor="text1"/>
          <w:kern w:val="0"/>
          <w:sz w:val="28"/>
          <w:szCs w:val="28"/>
          <w:highlight w:val="none"/>
          <w:u w:val="single"/>
          <w14:textFill>
            <w14:solidFill>
              <w14:schemeClr w14:val="tx1"/>
            </w14:solidFill>
          </w14:textFill>
        </w:rPr>
        <w:t>（单位名称）</w:t>
      </w:r>
      <w:r>
        <w:rPr>
          <w:rFonts w:hint="eastAsia" w:ascii="仿宋_GB2312" w:hAnsi="Helvetica" w:eastAsia="仿宋_GB2312" w:cs="Helvetica"/>
          <w:color w:val="000000" w:themeColor="text1"/>
          <w:kern w:val="0"/>
          <w:sz w:val="28"/>
          <w:szCs w:val="28"/>
          <w:highlight w:val="none"/>
          <w14:textFill>
            <w14:solidFill>
              <w14:schemeClr w14:val="tx1"/>
            </w14:solidFill>
          </w14:textFill>
        </w:rPr>
        <w:t>。</w:t>
      </w:r>
    </w:p>
    <w:p>
      <w:pPr>
        <w:adjustRightInd w:val="0"/>
        <w:snapToGrid w:val="0"/>
        <w:spacing w:line="360" w:lineRule="auto"/>
        <w:ind w:firstLine="560" w:firstLineChars="200"/>
        <w:jc w:val="left"/>
        <w:rPr>
          <w:rFonts w:ascii="仿宋_GB2312" w:hAnsi="Helvetica" w:eastAsia="仿宋_GB2312" w:cs="Helvetica"/>
          <w:color w:val="000000" w:themeColor="text1"/>
          <w:kern w:val="0"/>
          <w:sz w:val="28"/>
          <w:szCs w:val="28"/>
          <w:highlight w:val="none"/>
          <w14:textFill>
            <w14:solidFill>
              <w14:schemeClr w14:val="tx1"/>
            </w14:solidFill>
          </w14:textFill>
        </w:rPr>
      </w:pPr>
      <w:r>
        <w:rPr>
          <w:rFonts w:hint="eastAsia" w:ascii="仿宋_GB2312" w:hAnsi="Helvetica" w:eastAsia="仿宋_GB2312" w:cs="Helvetica"/>
          <w:color w:val="000000" w:themeColor="text1"/>
          <w:kern w:val="0"/>
          <w:sz w:val="28"/>
          <w:szCs w:val="28"/>
          <w:highlight w:val="none"/>
          <w14:textFill>
            <w14:solidFill>
              <w14:schemeClr w14:val="tx1"/>
            </w14:solidFill>
          </w14:textFill>
        </w:rPr>
        <w:t>特此说明。</w:t>
      </w:r>
    </w:p>
    <w:p>
      <w:pPr>
        <w:adjustRightInd w:val="0"/>
        <w:snapToGrid w:val="0"/>
        <w:spacing w:line="360" w:lineRule="auto"/>
        <w:ind w:firstLine="560" w:firstLineChars="200"/>
        <w:jc w:val="left"/>
        <w:rPr>
          <w:rFonts w:ascii="仿宋_GB2312" w:hAnsi="Helvetica" w:eastAsia="仿宋_GB2312" w:cs="Helvetica"/>
          <w:color w:val="000000" w:themeColor="text1"/>
          <w:kern w:val="0"/>
          <w:sz w:val="28"/>
          <w:szCs w:val="28"/>
          <w:highlight w:val="none"/>
          <w14:textFill>
            <w14:solidFill>
              <w14:schemeClr w14:val="tx1"/>
            </w14:solidFill>
          </w14:textFill>
        </w:rPr>
      </w:pPr>
    </w:p>
    <w:p>
      <w:pPr>
        <w:adjustRightInd w:val="0"/>
        <w:snapToGrid w:val="0"/>
        <w:spacing w:line="360" w:lineRule="auto"/>
        <w:ind w:firstLine="2240" w:firstLineChars="800"/>
        <w:jc w:val="left"/>
        <w:rPr>
          <w:rFonts w:ascii="仿宋_GB2312" w:hAnsi="Helvetica" w:eastAsia="仿宋_GB2312" w:cs="Helvetica"/>
          <w:color w:val="000000" w:themeColor="text1"/>
          <w:kern w:val="0"/>
          <w:sz w:val="28"/>
          <w:szCs w:val="28"/>
          <w:highlight w:val="none"/>
          <w14:textFill>
            <w14:solidFill>
              <w14:schemeClr w14:val="tx1"/>
            </w14:solidFill>
          </w14:textFill>
        </w:rPr>
      </w:pPr>
      <w:r>
        <w:rPr>
          <w:rFonts w:hint="eastAsia" w:ascii="仿宋_GB2312" w:hAnsi="Helvetica" w:eastAsia="仿宋_GB2312" w:cs="Helvetica"/>
          <w:color w:val="000000" w:themeColor="text1"/>
          <w:kern w:val="0"/>
          <w:sz w:val="28"/>
          <w:szCs w:val="28"/>
          <w:highlight w:val="none"/>
          <w14:textFill>
            <w14:solidFill>
              <w14:schemeClr w14:val="tx1"/>
            </w14:solidFill>
          </w14:textFill>
        </w:rPr>
        <w:t>集团（局）公司（加盖公章）：</w:t>
      </w:r>
      <w:r>
        <w:rPr>
          <w:rFonts w:hint="eastAsia"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r>
        <w:rPr>
          <w:rFonts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p>
    <w:p>
      <w:pPr>
        <w:adjustRightInd w:val="0"/>
        <w:snapToGrid w:val="0"/>
        <w:spacing w:line="360" w:lineRule="auto"/>
        <w:ind w:firstLine="5320" w:firstLineChars="1900"/>
        <w:jc w:val="left"/>
        <w:rPr>
          <w:rFonts w:ascii="仿宋_GB2312" w:hAnsi="Helvetica" w:eastAsia="仿宋_GB2312" w:cs="Helvetica"/>
          <w:color w:val="000000" w:themeColor="text1"/>
          <w:kern w:val="0"/>
          <w:sz w:val="28"/>
          <w:szCs w:val="28"/>
          <w:highlight w:val="none"/>
          <w:u w:val="single"/>
          <w14:textFill>
            <w14:solidFill>
              <w14:schemeClr w14:val="tx1"/>
            </w14:solidFill>
          </w14:textFill>
        </w:rPr>
      </w:pPr>
      <w:r>
        <w:rPr>
          <w:rFonts w:hint="eastAsia" w:ascii="仿宋_GB2312" w:hAnsi="Helvetica" w:eastAsia="仿宋_GB2312" w:cs="Helvetica"/>
          <w:color w:val="000000" w:themeColor="text1"/>
          <w:kern w:val="0"/>
          <w:sz w:val="28"/>
          <w:szCs w:val="28"/>
          <w:highlight w:val="none"/>
          <w14:textFill>
            <w14:solidFill>
              <w14:schemeClr w14:val="tx1"/>
            </w14:solidFill>
          </w14:textFill>
        </w:rPr>
        <w:t>日期：</w:t>
      </w:r>
      <w:r>
        <w:rPr>
          <w:rFonts w:hint="eastAsia"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r>
        <w:rPr>
          <w:rFonts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p>
    <w:p>
      <w:pPr>
        <w:pStyle w:val="2"/>
        <w:rPr>
          <w:rFonts w:ascii="仿宋_GB2312" w:hAnsi="Helvetica" w:eastAsia="仿宋_GB2312" w:cs="Helvetica"/>
          <w:color w:val="000000" w:themeColor="text1"/>
          <w:kern w:val="0"/>
          <w:sz w:val="28"/>
          <w:szCs w:val="28"/>
          <w:highlight w:val="none"/>
          <w:u w:val="single"/>
          <w14:textFill>
            <w14:solidFill>
              <w14:schemeClr w14:val="tx1"/>
            </w14:solidFill>
          </w14:textFill>
        </w:rPr>
      </w:pPr>
    </w:p>
    <w:p>
      <w:pPr>
        <w:rPr>
          <w:rFonts w:ascii="仿宋_GB2312" w:hAnsi="Helvetica" w:eastAsia="仿宋_GB2312" w:cs="Helvetica"/>
          <w:color w:val="000000" w:themeColor="text1"/>
          <w:kern w:val="0"/>
          <w:sz w:val="28"/>
          <w:szCs w:val="28"/>
          <w:highlight w:val="none"/>
          <w:u w:val="single"/>
          <w14:textFill>
            <w14:solidFill>
              <w14:schemeClr w14:val="tx1"/>
            </w14:solidFill>
          </w14:textFill>
        </w:rPr>
      </w:pPr>
    </w:p>
    <w:p>
      <w:pPr>
        <w:pStyle w:val="2"/>
        <w:rPr>
          <w:rFonts w:ascii="仿宋_GB2312" w:hAnsi="Helvetica" w:eastAsia="仿宋_GB2312" w:cs="Helvetica"/>
          <w:color w:val="000000" w:themeColor="text1"/>
          <w:kern w:val="0"/>
          <w:sz w:val="28"/>
          <w:szCs w:val="28"/>
          <w:highlight w:val="none"/>
          <w:u w:val="single"/>
          <w14:textFill>
            <w14:solidFill>
              <w14:schemeClr w14:val="tx1"/>
            </w14:solidFill>
          </w14:textFill>
        </w:rPr>
      </w:pPr>
    </w:p>
    <w:p>
      <w:pPr>
        <w:rPr>
          <w:rFonts w:ascii="仿宋_GB2312" w:hAnsi="Helvetica" w:eastAsia="仿宋_GB2312" w:cs="Helvetica"/>
          <w:color w:val="000000" w:themeColor="text1"/>
          <w:kern w:val="0"/>
          <w:sz w:val="28"/>
          <w:szCs w:val="28"/>
          <w:highlight w:val="none"/>
          <w:u w:val="single"/>
          <w14:textFill>
            <w14:solidFill>
              <w14:schemeClr w14:val="tx1"/>
            </w14:solidFill>
          </w14:textFill>
        </w:rPr>
      </w:pPr>
    </w:p>
    <w:p>
      <w:pPr>
        <w:pStyle w:val="2"/>
        <w:rPr>
          <w:rFonts w:ascii="仿宋_GB2312" w:hAnsi="Helvetica" w:eastAsia="仿宋_GB2312" w:cs="Helvetica"/>
          <w:color w:val="000000" w:themeColor="text1"/>
          <w:kern w:val="0"/>
          <w:sz w:val="28"/>
          <w:szCs w:val="28"/>
          <w:highlight w:val="none"/>
          <w:u w:val="single"/>
          <w14:textFill>
            <w14:solidFill>
              <w14:schemeClr w14:val="tx1"/>
            </w14:solidFill>
          </w14:textFill>
        </w:rPr>
      </w:pPr>
    </w:p>
    <w:p>
      <w:pPr>
        <w:rPr>
          <w:rFonts w:ascii="仿宋_GB2312" w:hAnsi="Helvetica" w:eastAsia="仿宋_GB2312" w:cs="Helvetica"/>
          <w:color w:val="000000" w:themeColor="text1"/>
          <w:kern w:val="0"/>
          <w:sz w:val="28"/>
          <w:szCs w:val="28"/>
          <w:highlight w:val="none"/>
          <w:u w:val="single"/>
          <w14:textFill>
            <w14:solidFill>
              <w14:schemeClr w14:val="tx1"/>
            </w14:solidFill>
          </w14:textFill>
        </w:rPr>
      </w:pPr>
    </w:p>
    <w:p>
      <w:pPr>
        <w:pStyle w:val="2"/>
        <w:rPr>
          <w:rFonts w:ascii="仿宋_GB2312" w:hAnsi="Helvetica" w:eastAsia="仿宋_GB2312" w:cs="Helvetica"/>
          <w:color w:val="000000" w:themeColor="text1"/>
          <w:kern w:val="0"/>
          <w:sz w:val="28"/>
          <w:szCs w:val="28"/>
          <w:highlight w:val="none"/>
          <w:u w:val="single"/>
          <w14:textFill>
            <w14:solidFill>
              <w14:schemeClr w14:val="tx1"/>
            </w14:solidFill>
          </w14:textFill>
        </w:rPr>
      </w:pPr>
    </w:p>
    <w:p>
      <w:pPr>
        <w:rPr>
          <w:rFonts w:ascii="仿宋_GB2312" w:hAnsi="Helvetica" w:eastAsia="仿宋_GB2312" w:cs="Helvetica"/>
          <w:color w:val="000000" w:themeColor="text1"/>
          <w:kern w:val="0"/>
          <w:sz w:val="28"/>
          <w:szCs w:val="28"/>
          <w:highlight w:val="none"/>
          <w:u w:val="singl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Helvetica" w:eastAsia="仿宋_GB2312" w:cs="Helvetica"/>
          <w:b/>
          <w:bCs/>
          <w:color w:val="000000" w:themeColor="text1"/>
          <w:kern w:val="0"/>
          <w:sz w:val="32"/>
          <w:szCs w:val="32"/>
          <w:highlight w:val="none"/>
          <w:lang w:val="en-US" w:eastAsia="zh-CN"/>
          <w14:textFill>
            <w14:solidFill>
              <w14:schemeClr w14:val="tx1"/>
            </w14:solidFill>
          </w14:textFill>
        </w:rPr>
      </w:pPr>
      <w:r>
        <w:rPr>
          <w:rFonts w:hint="eastAsia" w:ascii="仿宋_GB2312" w:hAnsi="Helvetica" w:eastAsia="仿宋_GB2312" w:cs="Helvetica"/>
          <w:b/>
          <w:bCs/>
          <w:color w:val="000000" w:themeColor="text1"/>
          <w:kern w:val="0"/>
          <w:sz w:val="32"/>
          <w:szCs w:val="32"/>
          <w:highlight w:val="none"/>
          <w:lang w:val="en-US" w:eastAsia="zh-CN"/>
          <w14:textFill>
            <w14:solidFill>
              <w14:schemeClr w14:val="tx1"/>
            </w14:solidFill>
          </w14:textFill>
        </w:rPr>
        <w:t>附件1-2：</w:t>
      </w:r>
    </w:p>
    <w:p>
      <w:pPr>
        <w:adjustRightInd w:val="0"/>
        <w:snapToGrid w:val="0"/>
        <w:spacing w:line="360" w:lineRule="auto"/>
        <w:jc w:val="left"/>
        <w:rPr>
          <w:rFonts w:ascii="仿宋_GB2312" w:hAnsi="Helvetica" w:eastAsia="仿宋_GB2312" w:cs="Helvetica"/>
          <w:color w:val="000000" w:themeColor="text1"/>
          <w:kern w:val="0"/>
          <w:sz w:val="32"/>
          <w:szCs w:val="32"/>
          <w:highlight w:val="none"/>
          <w14:textFill>
            <w14:solidFill>
              <w14:schemeClr w14:val="tx1"/>
            </w14:solidFill>
          </w14:textFill>
        </w:rPr>
      </w:pPr>
    </w:p>
    <w:p>
      <w:pPr>
        <w:adjustRightInd w:val="0"/>
        <w:snapToGrid w:val="0"/>
        <w:spacing w:line="360" w:lineRule="auto"/>
        <w:jc w:val="center"/>
        <w:rPr>
          <w:rFonts w:ascii="仿宋_GB2312" w:hAnsi="Helvetica" w:eastAsia="仿宋_GB2312" w:cs="Helvetica"/>
          <w:b/>
          <w:bCs/>
          <w:color w:val="000000" w:themeColor="text1"/>
          <w:kern w:val="0"/>
          <w:sz w:val="32"/>
          <w:szCs w:val="32"/>
          <w:highlight w:val="none"/>
          <w14:textFill>
            <w14:solidFill>
              <w14:schemeClr w14:val="tx1"/>
            </w14:solidFill>
          </w14:textFill>
        </w:rPr>
      </w:pPr>
      <w:r>
        <w:rPr>
          <w:rFonts w:hint="eastAsia" w:ascii="仿宋_GB2312" w:hAnsi="Helvetica" w:eastAsia="仿宋_GB2312" w:cs="Helvetica"/>
          <w:b/>
          <w:bCs/>
          <w:color w:val="000000" w:themeColor="text1"/>
          <w:kern w:val="0"/>
          <w:sz w:val="32"/>
          <w:szCs w:val="32"/>
          <w:highlight w:val="none"/>
          <w14:textFill>
            <w14:solidFill>
              <w14:schemeClr w14:val="tx1"/>
            </w14:solidFill>
          </w14:textFill>
        </w:rPr>
        <w:t>关于联合申报的情况说明（如有）</w:t>
      </w:r>
    </w:p>
    <w:p>
      <w:pPr>
        <w:adjustRightInd w:val="0"/>
        <w:snapToGrid w:val="0"/>
        <w:spacing w:line="360" w:lineRule="auto"/>
        <w:jc w:val="left"/>
        <w:rPr>
          <w:rFonts w:ascii="仿宋_GB2312" w:hAnsi="Helvetica" w:eastAsia="仿宋_GB2312" w:cs="Helvetica"/>
          <w:color w:val="000000" w:themeColor="text1"/>
          <w:kern w:val="0"/>
          <w:sz w:val="32"/>
          <w:szCs w:val="32"/>
          <w:highlight w:val="none"/>
          <w14:textFill>
            <w14:solidFill>
              <w14:schemeClr w14:val="tx1"/>
            </w14:solidFill>
          </w14:textFill>
        </w:rPr>
      </w:pPr>
    </w:p>
    <w:p>
      <w:pPr>
        <w:adjustRightInd w:val="0"/>
        <w:snapToGrid w:val="0"/>
        <w:spacing w:line="360" w:lineRule="auto"/>
        <w:jc w:val="left"/>
        <w:rPr>
          <w:rFonts w:ascii="仿宋_GB2312" w:hAnsi="Helvetica" w:eastAsia="仿宋_GB2312" w:cs="Helvetica"/>
          <w:color w:val="000000" w:themeColor="text1"/>
          <w:kern w:val="0"/>
          <w:sz w:val="28"/>
          <w:szCs w:val="28"/>
          <w:highlight w:val="none"/>
          <w14:textFill>
            <w14:solidFill>
              <w14:schemeClr w14:val="tx1"/>
            </w14:solidFill>
          </w14:textFill>
        </w:rPr>
      </w:pPr>
      <w:r>
        <w:rPr>
          <w:rFonts w:hint="eastAsia" w:ascii="仿宋_GB2312" w:hAnsi="Helvetica" w:eastAsia="仿宋_GB2312" w:cs="Helvetica"/>
          <w:color w:val="000000" w:themeColor="text1"/>
          <w:kern w:val="0"/>
          <w:sz w:val="28"/>
          <w:szCs w:val="28"/>
          <w:highlight w:val="none"/>
          <w:lang w:eastAsia="zh-CN"/>
          <w14:textFill>
            <w14:solidFill>
              <w14:schemeClr w14:val="tx1"/>
            </w14:solidFill>
          </w14:textFill>
        </w:rPr>
        <w:t>深圳市安居集团有限公司</w:t>
      </w:r>
      <w:r>
        <w:rPr>
          <w:rFonts w:hint="eastAsia" w:ascii="仿宋_GB2312" w:hAnsi="Helvetica" w:eastAsia="仿宋_GB2312" w:cs="Helvetica"/>
          <w:color w:val="000000" w:themeColor="text1"/>
          <w:kern w:val="0"/>
          <w:sz w:val="28"/>
          <w:szCs w:val="28"/>
          <w:highlight w:val="none"/>
          <w14:textFill>
            <w14:solidFill>
              <w14:schemeClr w14:val="tx1"/>
            </w14:solidFill>
          </w14:textFill>
        </w:rPr>
        <w:t>：</w:t>
      </w:r>
    </w:p>
    <w:p>
      <w:pPr>
        <w:adjustRightInd w:val="0"/>
        <w:snapToGrid w:val="0"/>
        <w:spacing w:line="360" w:lineRule="auto"/>
        <w:ind w:firstLine="560" w:firstLineChars="200"/>
        <w:jc w:val="left"/>
        <w:rPr>
          <w:rFonts w:ascii="仿宋_GB2312" w:hAnsi="Helvetica" w:eastAsia="仿宋_GB2312" w:cs="Helvetica"/>
          <w:color w:val="000000" w:themeColor="text1"/>
          <w:kern w:val="0"/>
          <w:sz w:val="28"/>
          <w:szCs w:val="28"/>
          <w:highlight w:val="none"/>
          <w14:textFill>
            <w14:solidFill>
              <w14:schemeClr w14:val="tx1"/>
            </w14:solidFill>
          </w14:textFill>
        </w:rPr>
      </w:pPr>
      <w:r>
        <w:rPr>
          <w:rFonts w:hint="eastAsia" w:ascii="仿宋_GB2312" w:hAnsi="Helvetica" w:eastAsia="仿宋_GB2312" w:cs="Helvetica"/>
          <w:color w:val="000000" w:themeColor="text1"/>
          <w:kern w:val="0"/>
          <w:sz w:val="28"/>
          <w:szCs w:val="28"/>
          <w:highlight w:val="none"/>
          <w14:textFill>
            <w14:solidFill>
              <w14:schemeClr w14:val="tx1"/>
            </w14:solidFill>
          </w14:textFill>
        </w:rPr>
        <w:t>根据《</w:t>
      </w:r>
      <w:r>
        <w:rPr>
          <w:rFonts w:hint="eastAsia" w:ascii="仿宋_GB2312" w:hAnsi="Helvetica" w:eastAsia="仿宋_GB2312" w:cs="Helvetica"/>
          <w:color w:val="000000" w:themeColor="text1"/>
          <w:kern w:val="0"/>
          <w:sz w:val="28"/>
          <w:szCs w:val="28"/>
          <w:highlight w:val="none"/>
          <w:lang w:eastAsia="zh-CN"/>
          <w14:textFill>
            <w14:solidFill>
              <w14:schemeClr w14:val="tx1"/>
            </w14:solidFill>
          </w14:textFill>
        </w:rPr>
        <w:t>深圳市安居集团有限公司</w:t>
      </w:r>
      <w:r>
        <w:rPr>
          <w:rFonts w:hint="eastAsia" w:ascii="仿宋_GB2312" w:hAnsi="Helvetica" w:eastAsia="仿宋_GB2312" w:cs="Helvetica"/>
          <w:color w:val="000000" w:themeColor="text1"/>
          <w:kern w:val="0"/>
          <w:sz w:val="28"/>
          <w:szCs w:val="28"/>
          <w:highlight w:val="none"/>
          <w14:textFill>
            <w14:solidFill>
              <w14:schemeClr w14:val="tx1"/>
            </w14:solidFill>
          </w14:textFill>
        </w:rPr>
        <w:t>供应商分级管理征集文件》的申报要求，若采用联合申报，须由供应商所在的集团公司（或上级控股企业、工程局等）统筹本单位具备</w:t>
      </w:r>
      <w:r>
        <w:rPr>
          <w:rFonts w:hint="eastAsia" w:ascii="仿宋_GB2312" w:hAnsi="Helvetica" w:eastAsia="仿宋_GB2312" w:cs="Helvetica"/>
          <w:color w:val="000000" w:themeColor="text1"/>
          <w:kern w:val="0"/>
          <w:sz w:val="28"/>
          <w:szCs w:val="28"/>
          <w:highlight w:val="none"/>
          <w:u w:val="single"/>
          <w14:textFill>
            <w14:solidFill>
              <w14:schemeClr w14:val="tx1"/>
            </w14:solidFill>
          </w14:textFill>
        </w:rPr>
        <w:t>地基基础工程专业资质</w:t>
      </w:r>
      <w:r>
        <w:rPr>
          <w:rFonts w:hint="eastAsia" w:ascii="仿宋_GB2312" w:hAnsi="Helvetica" w:eastAsia="仿宋_GB2312" w:cs="Helvetica"/>
          <w:color w:val="000000" w:themeColor="text1"/>
          <w:kern w:val="0"/>
          <w:sz w:val="28"/>
          <w:szCs w:val="28"/>
          <w:highlight w:val="none"/>
          <w14:textFill>
            <w14:solidFill>
              <w14:schemeClr w14:val="tx1"/>
            </w14:solidFill>
          </w14:textFill>
        </w:rPr>
        <w:t>的</w:t>
      </w:r>
      <w:r>
        <w:rPr>
          <w:rFonts w:hint="eastAsia" w:ascii="仿宋_GB2312" w:hAnsi="Helvetica" w:eastAsia="仿宋_GB2312" w:cs="Helvetica"/>
          <w:color w:val="000000" w:themeColor="text1"/>
          <w:kern w:val="0"/>
          <w:sz w:val="28"/>
          <w:szCs w:val="28"/>
          <w:highlight w:val="none"/>
          <w:lang w:val="en-US" w:eastAsia="zh-CN"/>
          <w14:textFill>
            <w14:solidFill>
              <w14:schemeClr w14:val="tx1"/>
            </w14:solidFill>
          </w14:textFill>
        </w:rPr>
        <w:t>单位</w:t>
      </w:r>
      <w:r>
        <w:rPr>
          <w:rFonts w:hint="eastAsia" w:ascii="仿宋_GB2312" w:hAnsi="Helvetica" w:eastAsia="仿宋_GB2312" w:cs="Helvetica"/>
          <w:color w:val="000000" w:themeColor="text1"/>
          <w:kern w:val="0"/>
          <w:sz w:val="28"/>
          <w:szCs w:val="28"/>
          <w:highlight w:val="none"/>
          <w14:textFill>
            <w14:solidFill>
              <w14:schemeClr w14:val="tx1"/>
            </w14:solidFill>
          </w14:textFill>
        </w:rPr>
        <w:t>进行联合申报并共享分级结果，联合申报组成家数不超过三家。</w:t>
      </w:r>
    </w:p>
    <w:p>
      <w:pPr>
        <w:adjustRightInd w:val="0"/>
        <w:snapToGrid w:val="0"/>
        <w:spacing w:line="360" w:lineRule="auto"/>
        <w:ind w:firstLine="560" w:firstLineChars="200"/>
        <w:jc w:val="left"/>
        <w:rPr>
          <w:rFonts w:ascii="仿宋_GB2312" w:hAnsi="Helvetica" w:eastAsia="仿宋_GB2312" w:cs="Helvetica"/>
          <w:color w:val="000000" w:themeColor="text1"/>
          <w:kern w:val="0"/>
          <w:sz w:val="28"/>
          <w:szCs w:val="28"/>
          <w:highlight w:val="none"/>
          <w14:textFill>
            <w14:solidFill>
              <w14:schemeClr w14:val="tx1"/>
            </w14:solidFill>
          </w14:textFill>
        </w:rPr>
      </w:pPr>
      <w:r>
        <w:rPr>
          <w:rFonts w:hint="eastAsia" w:ascii="仿宋_GB2312" w:hAnsi="Helvetica" w:eastAsia="仿宋_GB2312" w:cs="Helvetica"/>
          <w:color w:val="000000" w:themeColor="text1"/>
          <w:kern w:val="0"/>
          <w:sz w:val="28"/>
          <w:szCs w:val="28"/>
          <w:highlight w:val="none"/>
          <w14:textFill>
            <w14:solidFill>
              <w14:schemeClr w14:val="tx1"/>
            </w14:solidFill>
          </w14:textFill>
        </w:rPr>
        <w:t>为此，集团（局）公司统筹安排</w:t>
      </w:r>
      <w:r>
        <w:rPr>
          <w:rFonts w:hint="eastAsia"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r>
        <w:rPr>
          <w:rFonts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r>
        <w:rPr>
          <w:rFonts w:hint="eastAsia" w:ascii="仿宋_GB2312" w:hAnsi="Helvetica" w:eastAsia="仿宋_GB2312" w:cs="Helvetica"/>
          <w:color w:val="000000" w:themeColor="text1"/>
          <w:kern w:val="0"/>
          <w:sz w:val="28"/>
          <w:szCs w:val="28"/>
          <w:highlight w:val="none"/>
          <w14:textFill>
            <w14:solidFill>
              <w14:schemeClr w14:val="tx1"/>
            </w14:solidFill>
          </w14:textFill>
        </w:rPr>
        <w:t>家进行联合申报，联合申报组成单位具体为</w:t>
      </w:r>
      <w:r>
        <w:rPr>
          <w:rFonts w:hint="eastAsia"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r>
        <w:rPr>
          <w:rFonts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r>
        <w:rPr>
          <w:rFonts w:hint="eastAsia"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r>
        <w:rPr>
          <w:rFonts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r>
        <w:rPr>
          <w:rFonts w:hint="eastAsia" w:ascii="仿宋_GB2312" w:hAnsi="Helvetica" w:eastAsia="仿宋_GB2312" w:cs="Helvetica"/>
          <w:color w:val="000000" w:themeColor="text1"/>
          <w:kern w:val="0"/>
          <w:sz w:val="28"/>
          <w:szCs w:val="28"/>
          <w:highlight w:val="none"/>
          <w:u w:val="single"/>
          <w14:textFill>
            <w14:solidFill>
              <w14:schemeClr w14:val="tx1"/>
            </w14:solidFill>
          </w14:textFill>
        </w:rPr>
        <w:t>（单位名称）</w:t>
      </w:r>
      <w:r>
        <w:rPr>
          <w:rFonts w:hint="eastAsia" w:ascii="仿宋_GB2312" w:hAnsi="Helvetica" w:eastAsia="仿宋_GB2312" w:cs="Helvetica"/>
          <w:color w:val="000000" w:themeColor="text1"/>
          <w:kern w:val="0"/>
          <w:sz w:val="28"/>
          <w:szCs w:val="28"/>
          <w:highlight w:val="none"/>
          <w14:textFill>
            <w14:solidFill>
              <w14:schemeClr w14:val="tx1"/>
            </w14:solidFill>
          </w14:textFill>
        </w:rPr>
        <w:t>。</w:t>
      </w:r>
    </w:p>
    <w:p>
      <w:pPr>
        <w:adjustRightInd w:val="0"/>
        <w:snapToGrid w:val="0"/>
        <w:spacing w:line="360" w:lineRule="auto"/>
        <w:ind w:firstLine="560" w:firstLineChars="200"/>
        <w:jc w:val="left"/>
        <w:rPr>
          <w:rFonts w:ascii="仿宋_GB2312" w:hAnsi="Helvetica" w:eastAsia="仿宋_GB2312" w:cs="Helvetica"/>
          <w:color w:val="000000" w:themeColor="text1"/>
          <w:kern w:val="0"/>
          <w:sz w:val="28"/>
          <w:szCs w:val="28"/>
          <w:highlight w:val="none"/>
          <w14:textFill>
            <w14:solidFill>
              <w14:schemeClr w14:val="tx1"/>
            </w14:solidFill>
          </w14:textFill>
        </w:rPr>
      </w:pPr>
      <w:r>
        <w:rPr>
          <w:rFonts w:hint="eastAsia" w:ascii="仿宋_GB2312" w:hAnsi="Helvetica" w:eastAsia="仿宋_GB2312" w:cs="Helvetica"/>
          <w:color w:val="000000" w:themeColor="text1"/>
          <w:kern w:val="0"/>
          <w:sz w:val="28"/>
          <w:szCs w:val="28"/>
          <w:highlight w:val="none"/>
          <w14:textFill>
            <w14:solidFill>
              <w14:schemeClr w14:val="tx1"/>
            </w14:solidFill>
          </w14:textFill>
        </w:rPr>
        <w:t>特此说明。</w:t>
      </w:r>
    </w:p>
    <w:p>
      <w:pPr>
        <w:adjustRightInd w:val="0"/>
        <w:snapToGrid w:val="0"/>
        <w:spacing w:line="360" w:lineRule="auto"/>
        <w:ind w:firstLine="560" w:firstLineChars="200"/>
        <w:jc w:val="left"/>
        <w:rPr>
          <w:rFonts w:ascii="仿宋_GB2312" w:hAnsi="Helvetica" w:eastAsia="仿宋_GB2312" w:cs="Helvetica"/>
          <w:color w:val="000000" w:themeColor="text1"/>
          <w:kern w:val="0"/>
          <w:sz w:val="28"/>
          <w:szCs w:val="28"/>
          <w:highlight w:val="none"/>
          <w14:textFill>
            <w14:solidFill>
              <w14:schemeClr w14:val="tx1"/>
            </w14:solidFill>
          </w14:textFill>
        </w:rPr>
      </w:pPr>
    </w:p>
    <w:p>
      <w:pPr>
        <w:adjustRightInd w:val="0"/>
        <w:snapToGrid w:val="0"/>
        <w:spacing w:line="360" w:lineRule="auto"/>
        <w:ind w:firstLine="2240" w:firstLineChars="800"/>
        <w:jc w:val="left"/>
        <w:rPr>
          <w:rFonts w:ascii="仿宋_GB2312" w:hAnsi="Helvetica" w:eastAsia="仿宋_GB2312" w:cs="Helvetica"/>
          <w:color w:val="000000" w:themeColor="text1"/>
          <w:kern w:val="0"/>
          <w:sz w:val="28"/>
          <w:szCs w:val="28"/>
          <w:highlight w:val="none"/>
          <w14:textFill>
            <w14:solidFill>
              <w14:schemeClr w14:val="tx1"/>
            </w14:solidFill>
          </w14:textFill>
        </w:rPr>
      </w:pPr>
      <w:r>
        <w:rPr>
          <w:rFonts w:hint="eastAsia" w:ascii="仿宋_GB2312" w:hAnsi="Helvetica" w:eastAsia="仿宋_GB2312" w:cs="Helvetica"/>
          <w:color w:val="000000" w:themeColor="text1"/>
          <w:kern w:val="0"/>
          <w:sz w:val="28"/>
          <w:szCs w:val="28"/>
          <w:highlight w:val="none"/>
          <w14:textFill>
            <w14:solidFill>
              <w14:schemeClr w14:val="tx1"/>
            </w14:solidFill>
          </w14:textFill>
        </w:rPr>
        <w:t>集团（局）公司（加盖公章）：</w:t>
      </w:r>
      <w:r>
        <w:rPr>
          <w:rFonts w:hint="eastAsia"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r>
        <w:rPr>
          <w:rFonts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p>
    <w:p>
      <w:pPr>
        <w:adjustRightInd w:val="0"/>
        <w:snapToGrid w:val="0"/>
        <w:spacing w:line="360" w:lineRule="auto"/>
        <w:ind w:firstLine="5320" w:firstLineChars="1900"/>
        <w:jc w:val="left"/>
        <w:rPr>
          <w:rFonts w:ascii="仿宋_GB2312" w:eastAsia="仿宋_GB2312"/>
          <w:color w:val="000000" w:themeColor="text1"/>
          <w:szCs w:val="21"/>
          <w:highlight w:val="none"/>
          <w14:textFill>
            <w14:solidFill>
              <w14:schemeClr w14:val="tx1"/>
            </w14:solidFill>
          </w14:textFill>
        </w:rPr>
      </w:pPr>
      <w:r>
        <w:rPr>
          <w:rFonts w:hint="eastAsia" w:ascii="仿宋_GB2312" w:hAnsi="Helvetica" w:eastAsia="仿宋_GB2312" w:cs="Helvetica"/>
          <w:color w:val="000000" w:themeColor="text1"/>
          <w:kern w:val="0"/>
          <w:sz w:val="28"/>
          <w:szCs w:val="28"/>
          <w:highlight w:val="none"/>
          <w14:textFill>
            <w14:solidFill>
              <w14:schemeClr w14:val="tx1"/>
            </w14:solidFill>
          </w14:textFill>
        </w:rPr>
        <w:t>日期：</w:t>
      </w:r>
      <w:r>
        <w:rPr>
          <w:rFonts w:hint="eastAsia"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r>
        <w:rPr>
          <w:rFonts w:ascii="仿宋_GB2312" w:hAnsi="Helvetica" w:eastAsia="仿宋_GB2312" w:cs="Helvetica"/>
          <w:color w:val="000000" w:themeColor="text1"/>
          <w:kern w:val="0"/>
          <w:sz w:val="28"/>
          <w:szCs w:val="28"/>
          <w:highlight w:val="none"/>
          <w:u w:val="single"/>
          <w14:textFill>
            <w14:solidFill>
              <w14:schemeClr w14:val="tx1"/>
            </w14:solidFill>
          </w14:textFill>
        </w:rPr>
        <w:t xml:space="preserve">              </w:t>
      </w:r>
    </w:p>
    <w:p>
      <w:pPr>
        <w:pStyle w:val="2"/>
      </w:pPr>
    </w:p>
    <w:p>
      <w:pPr>
        <w:adjustRightInd w:val="0"/>
        <w:snapToGrid w:val="0"/>
        <w:spacing w:line="360" w:lineRule="auto"/>
        <w:rPr>
          <w:rFonts w:ascii="仿宋_GB2312" w:eastAsia="仿宋_GB2312"/>
          <w:color w:val="000000" w:themeColor="text1"/>
          <w:szCs w:val="21"/>
          <w:highlight w:val="none"/>
          <w14:textFill>
            <w14:solidFill>
              <w14:schemeClr w14:val="tx1"/>
            </w14:solidFill>
          </w14:textFill>
        </w:rPr>
      </w:pPr>
    </w:p>
    <w:p>
      <w:pPr>
        <w:pStyle w:val="2"/>
        <w:ind w:left="0" w:leftChars="0" w:firstLine="0" w:firstLineChars="0"/>
        <w:rPr>
          <w:rFonts w:hint="eastAsia"/>
          <w:color w:val="000000" w:themeColor="text1"/>
          <w:highlight w:val="none"/>
          <w:lang w:val="en-US" w:eastAsia="zh-CN"/>
          <w14:textFill>
            <w14:solidFill>
              <w14:schemeClr w14:val="tx1"/>
            </w14:solidFill>
          </w14:textFill>
        </w:rPr>
      </w:pPr>
    </w:p>
    <w:p>
      <w:pPr>
        <w:rPr>
          <w:rFonts w:hint="eastAsia"/>
          <w:color w:val="000000" w:themeColor="text1"/>
          <w:highlight w:val="none"/>
          <w:lang w:val="en-US" w:eastAsia="zh-CN"/>
          <w14:textFill>
            <w14:solidFill>
              <w14:schemeClr w14:val="tx1"/>
            </w14:solidFill>
          </w14:textFill>
        </w:rPr>
      </w:pPr>
    </w:p>
    <w:bookmarkEnd w:id="5"/>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Helvetica" w:eastAsia="仿宋_GB2312" w:cs="Helvetica"/>
          <w:color w:val="000000" w:themeColor="text1"/>
          <w:kern w:val="0"/>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仿宋_GB2312" w:hAnsi="Helvetica" w:eastAsia="仿宋_GB2312" w:cs="Helvetica"/>
          <w:color w:val="000000" w:themeColor="text1"/>
          <w:kern w:val="0"/>
          <w:sz w:val="32"/>
          <w:szCs w:val="32"/>
          <w:highlight w:val="none"/>
          <w:lang w:val="en-US" w:eastAsia="zh-CN"/>
          <w14:textFill>
            <w14:solidFill>
              <w14:schemeClr w14:val="tx1"/>
            </w14:solidFill>
          </w14:textFill>
        </w:rPr>
      </w:pPr>
    </w:p>
    <w:p>
      <w:pPr>
        <w:adjustRightInd w:val="0"/>
        <w:snapToGrid w:val="0"/>
        <w:spacing w:line="360" w:lineRule="auto"/>
        <w:jc w:val="left"/>
        <w:rPr>
          <w:rFonts w:hint="eastAsia" w:ascii="仿宋_GB2312" w:hAnsi="Helvetica" w:eastAsia="仿宋_GB2312" w:cs="Helvetica"/>
          <w:color w:val="000000" w:themeColor="text1"/>
          <w:kern w:val="0"/>
          <w:sz w:val="32"/>
          <w:szCs w:val="32"/>
          <w:highlight w:val="none"/>
          <w14:textFill>
            <w14:solidFill>
              <w14:schemeClr w14:val="tx1"/>
            </w14:solidFill>
          </w14:textFill>
        </w:rPr>
        <w:sectPr>
          <w:footerReference r:id="rId5" w:type="first"/>
          <w:footerReference r:id="rId4" w:type="default"/>
          <w:pgSz w:w="11906" w:h="16838"/>
          <w:pgMar w:top="1383" w:right="1797" w:bottom="1383" w:left="1797" w:header="851" w:footer="992" w:gutter="0"/>
          <w:pgNumType w:start="1"/>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000000" w:themeColor="text1"/>
          <w:sz w:val="18"/>
          <w:szCs w:val="18"/>
          <w:highlight w:val="none"/>
          <w:lang w:val="en-US" w:eastAsia="zh-CN"/>
          <w14:textFill>
            <w14:solidFill>
              <w14:schemeClr w14:val="tx1"/>
            </w14:solidFill>
          </w14:textFill>
        </w:rPr>
      </w:pPr>
      <w:bookmarkStart w:id="13" w:name="OLE_LINK12"/>
      <w:bookmarkStart w:id="14" w:name="OLE_LINK45"/>
      <w:bookmarkStart w:id="15" w:name="OLE_LINK85"/>
      <w:r>
        <w:rPr>
          <w:rFonts w:hint="eastAsia" w:ascii="仿宋_GB2312" w:hAnsi="Helvetica" w:eastAsia="仿宋_GB2312" w:cs="Helvetica"/>
          <w:b/>
          <w:bCs/>
          <w:color w:val="000000" w:themeColor="text1"/>
          <w:kern w:val="0"/>
          <w:sz w:val="32"/>
          <w:szCs w:val="32"/>
          <w:highlight w:val="none"/>
          <w:lang w:val="en-US" w:eastAsia="zh-CN"/>
          <w14:textFill>
            <w14:solidFill>
              <w14:schemeClr w14:val="tx1"/>
            </w14:solidFill>
          </w14:textFill>
        </w:rPr>
        <w:t>附件2：</w:t>
      </w:r>
      <w:bookmarkEnd w:id="13"/>
      <w:bookmarkEnd w:id="14"/>
    </w:p>
    <w:p>
      <w:pPr>
        <w:pStyle w:val="2"/>
        <w:ind w:left="0" w:leftChars="0" w:firstLine="0" w:firstLineChars="0"/>
        <w:jc w:val="cente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pPr>
      <w:r>
        <w:rPr>
          <w:color w:val="000000" w:themeColor="text1"/>
          <w:sz w:val="2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1022985</wp:posOffset>
                </wp:positionH>
                <wp:positionV relativeFrom="paragraph">
                  <wp:posOffset>-319405</wp:posOffset>
                </wp:positionV>
                <wp:extent cx="1828800" cy="1828800"/>
                <wp:effectExtent l="0" t="0" r="0" b="0"/>
                <wp:wrapSquare wrapText="bothSides"/>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80.55pt;margin-top:-25.15pt;height:144pt;width:144pt;mso-wrap-distance-bottom:0pt;mso-wrap-distance-left:9pt;mso-wrap-distance-right:9pt;mso-wrap-distance-top:0pt;mso-wrap-style:none;z-index:251659264;mso-width-relative:page;mso-height-relative:page;" fillcolor="#FFFFFF [3201]" filled="t" stroked="f" coordsize="21600,21600" o:gfxdata="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8MDHy2wAAAAsBAAAPAAAAAAAA&#10;AAEAIAAAACIAAABkcnMvZG93bnJldi54bWxQSwECFAAUAAAACACHTuJAaCHhuUgCAACOBAAADgAA&#10;AAAAAAABACAAAAAqAQAAZHJzL2Uyb0RvYy54bWxQSwUGAAAAAAYABgBZAQAA5AUAAAAA&#10;">
                <v:fill on="t" focussize="0,0"/>
                <v:stroke on="f" weight="0.5pt"/>
                <v:imagedata o:title=""/>
                <o:lock v:ext="edit" aspectratio="f"/>
                <v:textbox style="mso-fit-shape-to-text:t;">
                  <w:txbxContent>
                    <w:p>
                      <w:pPr>
                        <w:rPr>
                          <w:rFonts w:hint="eastAsia"/>
                          <w:lang w:val="en-US" w:eastAsia="zh-CN"/>
                        </w:rPr>
                      </w:pPr>
                    </w:p>
                  </w:txbxContent>
                </v:textbox>
                <w10:wrap type="square"/>
              </v:shape>
            </w:pict>
          </mc:Fallback>
        </mc:AlternateContent>
      </w:r>
      <w: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t>工程总承包类市场评价评分表</w:t>
      </w:r>
    </w:p>
    <w:p>
      <w:pPr>
        <w:adjustRightInd w:val="0"/>
        <w:snapToGrid w:val="0"/>
        <w:jc w:val="left"/>
        <w:rPr>
          <w:rFonts w:ascii="仿宋_GB2312" w:eastAsia="仿宋_GB2312"/>
          <w:color w:val="000000" w:themeColor="text1"/>
          <w:szCs w:val="21"/>
          <w:highlight w:val="none"/>
          <w14:textFill>
            <w14:solidFill>
              <w14:schemeClr w14:val="tx1"/>
            </w14:solidFill>
          </w14:textFill>
        </w:rPr>
      </w:pPr>
    </w:p>
    <w:tbl>
      <w:tblPr>
        <w:tblStyle w:val="6"/>
        <w:tblW w:w="20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8"/>
        <w:gridCol w:w="1376"/>
        <w:gridCol w:w="1713"/>
        <w:gridCol w:w="4776"/>
        <w:gridCol w:w="3433"/>
        <w:gridCol w:w="6970"/>
        <w:gridCol w:w="1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778"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ascii="仿宋_GB2312" w:hAnsi="仿宋_GB2312" w:eastAsia="仿宋_GB2312"/>
                <w:b w:val="0"/>
                <w:bCs w:val="0"/>
                <w:color w:val="000000" w:themeColor="text1"/>
                <w:sz w:val="22"/>
                <w:szCs w:val="22"/>
                <w:highlight w:val="none"/>
                <w14:textFill>
                  <w14:solidFill>
                    <w14:schemeClr w14:val="tx1"/>
                  </w14:solidFill>
                </w14:textFill>
              </w:rPr>
            </w:pPr>
            <w:r>
              <w:rPr>
                <w:rFonts w:hint="eastAsia" w:ascii="仿宋_GB2312" w:hAnsi="仿宋_GB2312" w:eastAsia="仿宋_GB2312"/>
                <w:b w:val="0"/>
                <w:bCs w:val="0"/>
                <w:color w:val="000000" w:themeColor="text1"/>
                <w:sz w:val="22"/>
                <w:szCs w:val="22"/>
                <w:highlight w:val="none"/>
                <w14:textFill>
                  <w14:solidFill>
                    <w14:schemeClr w14:val="tx1"/>
                  </w14:solidFill>
                </w14:textFill>
              </w:rPr>
              <w:t>序号</w:t>
            </w:r>
          </w:p>
        </w:tc>
        <w:tc>
          <w:tcPr>
            <w:tcW w:w="13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hint="default" w:ascii="仿宋_GB2312" w:hAnsi="仿宋_GB2312" w:eastAsia="仿宋_GB2312"/>
                <w:b w:val="0"/>
                <w:bCs w:val="0"/>
                <w:color w:val="000000" w:themeColor="text1"/>
                <w:sz w:val="22"/>
                <w:szCs w:val="22"/>
                <w:highlight w:val="none"/>
                <w:lang w:val="en-US" w:eastAsia="zh-CN"/>
                <w14:textFill>
                  <w14:solidFill>
                    <w14:schemeClr w14:val="tx1"/>
                  </w14:solidFill>
                </w14:textFill>
              </w:rPr>
            </w:pPr>
            <w:r>
              <w:rPr>
                <w:rFonts w:hint="eastAsia" w:ascii="仿宋_GB2312" w:hAnsi="仿宋_GB2312" w:eastAsia="仿宋_GB2312"/>
                <w:b w:val="0"/>
                <w:bCs w:val="0"/>
                <w:color w:val="000000" w:themeColor="text1"/>
                <w:sz w:val="22"/>
                <w:szCs w:val="22"/>
                <w:highlight w:val="none"/>
                <w:lang w:val="en-US" w:eastAsia="zh-CN"/>
                <w14:textFill>
                  <w14:solidFill>
                    <w14:schemeClr w14:val="tx1"/>
                  </w14:solidFill>
                </w14:textFill>
              </w:rPr>
              <w:t>评价项</w:t>
            </w: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ascii="仿宋_GB2312" w:hAnsi="仿宋_GB2312" w:eastAsia="仿宋_GB2312"/>
                <w:b w:val="0"/>
                <w:bCs w:val="0"/>
                <w:color w:val="000000" w:themeColor="text1"/>
                <w:sz w:val="22"/>
                <w:szCs w:val="22"/>
                <w:highlight w:val="none"/>
                <w14:textFill>
                  <w14:solidFill>
                    <w14:schemeClr w14:val="tx1"/>
                  </w14:solidFill>
                </w14:textFill>
              </w:rPr>
            </w:pPr>
            <w:r>
              <w:rPr>
                <w:rFonts w:hint="eastAsia" w:ascii="仿宋_GB2312" w:hAnsi="仿宋_GB2312" w:eastAsia="仿宋_GB2312"/>
                <w:b w:val="0"/>
                <w:bCs w:val="0"/>
                <w:color w:val="000000" w:themeColor="text1"/>
                <w:sz w:val="22"/>
                <w:szCs w:val="22"/>
                <w:highlight w:val="none"/>
                <w:lang w:val="en-US" w:eastAsia="zh-CN"/>
                <w14:textFill>
                  <w14:solidFill>
                    <w14:schemeClr w14:val="tx1"/>
                  </w14:solidFill>
                </w14:textFill>
              </w:rPr>
              <w:t>评价指标</w:t>
            </w:r>
          </w:p>
        </w:tc>
        <w:tc>
          <w:tcPr>
            <w:tcW w:w="4776" w:type="dxa"/>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ascii="仿宋_GB2312" w:hAnsi="仿宋_GB2312" w:eastAsia="仿宋_GB2312"/>
                <w:b w:val="0"/>
                <w:bCs w:val="0"/>
                <w:color w:val="000000" w:themeColor="text1"/>
                <w:sz w:val="22"/>
                <w:szCs w:val="22"/>
                <w:highlight w:val="none"/>
                <w14:textFill>
                  <w14:solidFill>
                    <w14:schemeClr w14:val="tx1"/>
                  </w14:solidFill>
                </w14:textFill>
              </w:rPr>
            </w:pPr>
            <w:r>
              <w:rPr>
                <w:rFonts w:hint="eastAsia" w:ascii="仿宋_GB2312" w:hAnsi="仿宋_GB2312" w:eastAsia="仿宋_GB2312"/>
                <w:b w:val="0"/>
                <w:bCs w:val="0"/>
                <w:color w:val="000000" w:themeColor="text1"/>
                <w:sz w:val="22"/>
                <w:szCs w:val="22"/>
                <w:highlight w:val="none"/>
                <w14:textFill>
                  <w14:solidFill>
                    <w14:schemeClr w14:val="tx1"/>
                  </w14:solidFill>
                </w14:textFill>
              </w:rPr>
              <w:t>证明材料</w:t>
            </w:r>
          </w:p>
        </w:tc>
        <w:tc>
          <w:tcPr>
            <w:tcW w:w="3433" w:type="dxa"/>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hint="eastAsia" w:ascii="仿宋_GB2312" w:hAnsi="仿宋_GB2312" w:eastAsia="仿宋_GB2312"/>
                <w:b w:val="0"/>
                <w:bCs w:val="0"/>
                <w:color w:val="000000" w:themeColor="text1"/>
                <w:sz w:val="22"/>
                <w:szCs w:val="22"/>
                <w:highlight w:val="none"/>
                <w14:textFill>
                  <w14:solidFill>
                    <w14:schemeClr w14:val="tx1"/>
                  </w14:solidFill>
                </w14:textFill>
              </w:rPr>
            </w:pPr>
            <w:r>
              <w:rPr>
                <w:rFonts w:hint="eastAsia" w:ascii="仿宋_GB2312" w:hAnsi="仿宋_GB2312" w:eastAsia="仿宋_GB2312"/>
                <w:b w:val="0"/>
                <w:bCs w:val="0"/>
                <w:color w:val="000000" w:themeColor="text1"/>
                <w:sz w:val="22"/>
                <w:szCs w:val="22"/>
                <w:highlight w:val="none"/>
                <w14:textFill>
                  <w14:solidFill>
                    <w14:schemeClr w14:val="tx1"/>
                  </w14:solidFill>
                </w14:textFill>
              </w:rPr>
              <w:t>证明材料要求</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ascii="仿宋_GB2312" w:hAnsi="仿宋_GB2312" w:eastAsia="仿宋_GB2312"/>
                <w:b w:val="0"/>
                <w:bCs w:val="0"/>
                <w:color w:val="000000" w:themeColor="text1"/>
                <w:sz w:val="22"/>
                <w:szCs w:val="22"/>
                <w:highlight w:val="none"/>
                <w14:textFill>
                  <w14:solidFill>
                    <w14:schemeClr w14:val="tx1"/>
                  </w14:solidFill>
                </w14:textFill>
              </w:rPr>
            </w:pPr>
            <w:r>
              <w:rPr>
                <w:rFonts w:hint="eastAsia" w:ascii="仿宋_GB2312" w:hAnsi="仿宋_GB2312" w:eastAsia="仿宋_GB2312"/>
                <w:b w:val="0"/>
                <w:bCs w:val="0"/>
                <w:color w:val="000000" w:themeColor="text1"/>
                <w:sz w:val="22"/>
                <w:szCs w:val="22"/>
                <w:highlight w:val="none"/>
                <w14:textFill>
                  <w14:solidFill>
                    <w14:schemeClr w14:val="tx1"/>
                  </w14:solidFill>
                </w14:textFill>
              </w:rPr>
              <w:t>评分标准</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ascii="仿宋_GB2312" w:hAnsi="仿宋_GB2312" w:eastAsia="仿宋_GB2312"/>
                <w:b w:val="0"/>
                <w:bCs w:val="0"/>
                <w:color w:val="000000" w:themeColor="text1"/>
                <w:sz w:val="22"/>
                <w:szCs w:val="22"/>
                <w:highlight w:val="none"/>
                <w14:textFill>
                  <w14:solidFill>
                    <w14:schemeClr w14:val="tx1"/>
                  </w14:solidFill>
                </w14:textFill>
              </w:rPr>
            </w:pPr>
            <w:r>
              <w:rPr>
                <w:rFonts w:hint="eastAsia" w:ascii="仿宋_GB2312" w:hAnsi="仿宋_GB2312" w:eastAsia="仿宋_GB2312"/>
                <w:b w:val="0"/>
                <w:bCs w:val="0"/>
                <w:color w:val="000000" w:themeColor="text1"/>
                <w:sz w:val="22"/>
                <w:szCs w:val="22"/>
                <w:highlight w:val="none"/>
                <w:lang w:val="en-US" w:eastAsia="zh-CN"/>
                <w14:textFill>
                  <w14:solidFill>
                    <w14:schemeClr w14:val="tx1"/>
                  </w14:solidFill>
                </w14:textFill>
              </w:rPr>
              <w:t>评</w:t>
            </w:r>
            <w:r>
              <w:rPr>
                <w:rFonts w:hint="eastAsia" w:ascii="仿宋_GB2312" w:hAnsi="仿宋_GB2312" w:eastAsia="仿宋_GB2312"/>
                <w:b w:val="0"/>
                <w:bCs w:val="0"/>
                <w:color w:val="000000" w:themeColor="text1"/>
                <w:sz w:val="22"/>
                <w:szCs w:val="22"/>
                <w:highlight w:val="none"/>
                <w14:textFill>
                  <w14:solidFill>
                    <w14:schemeClr w14:val="tx1"/>
                  </w14:solidFill>
                </w14:textFill>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w:t>
            </w:r>
          </w:p>
        </w:tc>
        <w:tc>
          <w:tcPr>
            <w:tcW w:w="1376" w:type="dxa"/>
            <w:vMerge w:val="restart"/>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企业资信</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br w:type="textWrapping"/>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（5分）</w:t>
            </w: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企业资质</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提供企业资质证书原件扫描件</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对企业拥有的建筑工程施工总承包资质的等级进行标记。</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根据企业最高资质进行评分：</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1.具有建筑工程施工总承包特级的，得2分；</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2.具有建筑工程施工总承包一级的，得1分；</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3.其他资质的不得分。</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w:t>
            </w:r>
          </w:p>
        </w:tc>
        <w:tc>
          <w:tcPr>
            <w:tcW w:w="137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企业同类获奖</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br w:type="textWrapping"/>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（近3年）</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提供近3年作为主要承建单位（总包单位）获得鲁班奖、国家优质工程金质奖（金奖）、中国土木工程詹天佑奖获奖证书原件扫描件或其它相关证明。</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对项目名称、项目所在地、竣工时间、颁奖单位、项目属性为房建类（包括住宅、公共建筑）等信息进行标注。</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作为主要承建单位（总包单位），近3年(获奖时间为准)获得鲁班奖、国家优质工程金质奖（金奖）、中国土木工程詹天佑奖获，0.5分/项。</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注：同一项目获多个奖项可以重复计取</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3</w:t>
            </w:r>
          </w:p>
        </w:tc>
        <w:tc>
          <w:tcPr>
            <w:tcW w:w="137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同类完工项目</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br w:type="textWrapping"/>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（近3年）</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提供作为主要承建单位（总包单位），近3年竣工的建筑工程施工总承包(含EPC、工程总承包) 工程合同和竣工验收报告原件扫描件。</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对合同金额、项目所在地、竣工报告竣工验收时间、工程类型、项目属性为房建类（包括住宅、公共建筑）等信息进行标注。</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作为主要承建单位(总包单位)，近3年竣工的(竣工验收时间为准)：</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1.合同金额5 亿元以上的建筑工程施工总承包项目(含EPC、工程总承包)得0.5分/项，</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2.合同金额1 亿元以上的建筑工程施工总承包项目(含EPC、工程总承包)得0.2分/项。</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4</w:t>
            </w:r>
          </w:p>
        </w:tc>
        <w:tc>
          <w:tcPr>
            <w:tcW w:w="137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同类在建项目</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br w:type="textWrapping"/>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（近2年）</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提供作为主要承建单位（总包单位），近2年在建的建筑工程施工总承包(含EPC、工程总承包)工程合同原件扫描件。</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对合同金额、项目所在地、工程类型、开工时间、项目属性为房建类（包括住宅、公共建筑）等信息进行标注。</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作为主要承建单位(总包单位)，近2年在建项目(中标通知书、合同、施工许可或开工报告时间为准)：</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1.合同金额5 亿元以上的建筑工程施工总承包项目(含EPC、工程总承包)得0.5分/项；</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2.合同金额1 亿元以上的建筑工程施工总承包项目(含EPC、工程总承包)得0.2分/项。</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注：中标通知书、合同签订时间、施工许可或开工报告的开始时间为近2年；申报时已开展竣工验收的项目不得列入。</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78" w:type="dxa"/>
            <w:noWrap/>
            <w:tcMar>
              <w:top w:w="10" w:type="dxa"/>
              <w:left w:w="10" w:type="dxa"/>
              <w:right w:w="10" w:type="dxa"/>
            </w:tcMar>
            <w:vAlign w:val="center"/>
          </w:tcPr>
          <w:p>
            <w:pPr>
              <w:widowControl w:val="0"/>
              <w:spacing w:line="240" w:lineRule="auto"/>
              <w:jc w:val="center"/>
              <w:rPr>
                <w:rFonts w:hint="default"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5</w:t>
            </w:r>
          </w:p>
        </w:tc>
        <w:tc>
          <w:tcPr>
            <w:tcW w:w="1376"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信用等级</w:t>
            </w:r>
          </w:p>
          <w:p>
            <w:pPr>
              <w:widowControl w:val="0"/>
              <w:spacing w:line="240" w:lineRule="auto"/>
              <w:jc w:val="center"/>
              <w:rPr>
                <w:rFonts w:hint="default"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（5分）</w:t>
            </w:r>
          </w:p>
        </w:tc>
        <w:tc>
          <w:tcPr>
            <w:tcW w:w="1713" w:type="dxa"/>
            <w:tcMar>
              <w:top w:w="10" w:type="dxa"/>
              <w:left w:w="10" w:type="dxa"/>
              <w:right w:w="10" w:type="dxa"/>
            </w:tcMar>
            <w:vAlign w:val="center"/>
          </w:tcPr>
          <w:p>
            <w:pPr>
              <w:widowControl w:val="0"/>
              <w:spacing w:line="240" w:lineRule="auto"/>
              <w:jc w:val="center"/>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企业信用等级</w:t>
            </w:r>
          </w:p>
        </w:tc>
        <w:tc>
          <w:tcPr>
            <w:tcW w:w="4776" w:type="dxa"/>
            <w:tcMar>
              <w:top w:w="10" w:type="dxa"/>
              <w:left w:w="10" w:type="dxa"/>
              <w:right w:w="10" w:type="dxa"/>
            </w:tcMar>
            <w:vAlign w:val="center"/>
          </w:tcPr>
          <w:p>
            <w:pPr>
              <w:widowControl w:val="0"/>
              <w:spacing w:line="240" w:lineRule="auto"/>
              <w:jc w:val="left"/>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提供最近一期建筑行业信用评价系统截图（https://www.gdzwfw.gov.cn/portal/v2/legal/hot）。</w:t>
            </w:r>
          </w:p>
        </w:tc>
        <w:tc>
          <w:tcPr>
            <w:tcW w:w="3433"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证明资料应能清晰反映关键信息，截图应体现单位名称、计算时间、在深圳市建筑市场主体信用管理系统中建筑施工信用等级等主要信息。</w:t>
            </w:r>
          </w:p>
        </w:tc>
        <w:tc>
          <w:tcPr>
            <w:tcW w:w="6970"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根据在深圳市建筑市场主体信用管理系统中建筑施工信用等级进行评分：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1.等级为A，得5分；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2.等级为B+，得4分；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3.等级为B，得3分；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4.等级为C，得1分；</w:t>
            </w:r>
          </w:p>
          <w:p>
            <w:pPr>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等级为D或未提不得分。</w:t>
            </w:r>
          </w:p>
        </w:tc>
        <w:tc>
          <w:tcPr>
            <w:tcW w:w="1192"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bookmarkStart w:id="16" w:name="OLE_LINK5" w:colFirst="3" w:colLast="3"/>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6</w:t>
            </w:r>
          </w:p>
        </w:tc>
        <w:tc>
          <w:tcPr>
            <w:tcW w:w="1376" w:type="dxa"/>
            <w:vMerge w:val="restart"/>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经营状况</w:t>
            </w:r>
          </w:p>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(10分)</w:t>
            </w: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近1年负债率</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提供2025年经审计的第三方财务报告（报告页需含防伪二维码，财务报表页需有公司签章）</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1.计算公式：负债率=负债总额÷资产总额×100%</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2.需对财务报告中负债总额、资产总额进行标记。</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与行业（或申报单位）平均值相比，</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1.低于平均值20%（含）以上得1.5分；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2.低于平均值10-20%（不含）以上得1分；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3.低于平均值0-10%（不含）以上得0.5分；高于平均值不得分。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例：若行业（或申报单位）平均值为75%，则供应商近1年负债率55%时得1.5分，近1年负债率56%时得1分。</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7</w:t>
            </w:r>
          </w:p>
        </w:tc>
        <w:tc>
          <w:tcPr>
            <w:tcW w:w="137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近1年净现金流</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提供2025年经审计的第三方财务报告（报告页需含防伪二维码，财务报表页需有公司签章）</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1.需对财务报告中净现金流进行标记，净现金流为经营性现金流量净额。</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经营性净现金流为正，得3分；经营性净现金流为负，不得分。</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8</w:t>
            </w:r>
          </w:p>
        </w:tc>
        <w:tc>
          <w:tcPr>
            <w:tcW w:w="137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短期债务偿还能力</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提供2025年经审计的第三方财务报告（报告页需含防伪二维码，财务报表页需有公司签章）</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1.计算公式：短期债务偿还能力=货币资金/（短期借款+一年内到期的非流动负债）</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2.需对财务报告中货币资金、短期借款、一年内到期的非流动负债进行标记。</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与行业（或申报单位）平均值相比，</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1.高于平均值1.2倍（含）以上得1.5分；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2.高于平均值1.1倍（含）以上得1分；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3.高于平均值1倍（含）以上，或</w:t>
            </w:r>
            <w:r>
              <w:rPr>
                <w:rFonts w:hint="eastAsia" w:ascii="仿宋_GB2312" w:hAnsi="仿宋_GB2312" w:eastAsia="仿宋_GB2312" w:cs="仿宋_GB2312"/>
                <w:b w:val="0"/>
                <w:bCs w:val="0"/>
                <w:color w:val="000000" w:themeColor="text1"/>
                <w:sz w:val="18"/>
                <w:szCs w:val="18"/>
                <w:highlight w:val="none"/>
                <w14:textFill>
                  <w14:solidFill>
                    <w14:schemeClr w14:val="tx1"/>
                  </w14:solidFill>
                </w14:textFill>
              </w:rPr>
              <w:t>低于平均值但短期债务偿还能力</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大于</w:t>
            </w:r>
            <w:r>
              <w:rPr>
                <w:rFonts w:hint="eastAsia" w:ascii="仿宋_GB2312" w:hAnsi="仿宋_GB2312" w:eastAsia="仿宋_GB2312" w:cs="仿宋_GB2312"/>
                <w:b w:val="0"/>
                <w:bCs w:val="0"/>
                <w:color w:val="000000" w:themeColor="text1"/>
                <w:sz w:val="18"/>
                <w:szCs w:val="18"/>
                <w:highlight w:val="none"/>
                <w14:textFill>
                  <w14:solidFill>
                    <w14:schemeClr w14:val="tx1"/>
                  </w14:solidFill>
                </w14:textFill>
              </w:rPr>
              <w:t>1</w:t>
            </w:r>
            <w:r>
              <w:rPr>
                <w:rFonts w:hint="eastAsia" w:ascii="仿宋_GB2312" w:hAnsi="仿宋_GB2312" w:eastAsia="仿宋_GB2312" w:cs="仿宋_GB2312"/>
                <w:b w:val="0"/>
                <w:bCs w:val="0"/>
                <w:color w:val="000000" w:themeColor="text1"/>
                <w:sz w:val="18"/>
                <w:szCs w:val="1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得0.5分；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4.其余情形不得分。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例：若行业（或申报单位）平均值为1.2，则供应商近1年短期债务偿还能力1.44得1.5分，近1年短期债务偿还能力1.32得1分。</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9</w:t>
            </w:r>
          </w:p>
        </w:tc>
        <w:tc>
          <w:tcPr>
            <w:tcW w:w="137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经营变化</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1.提供近2年（2024年、2025年）经审计的第三方财务报告（报告页需含防伪二维码，财务报表页需有公司签章）</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2.信用评级机构或银行出具的信用评价证明。</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1.提供近2年企业负债率、净现金流、偿债能力汇总表；</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2.对近2年信用评级情况进行标记。</w:t>
            </w:r>
          </w:p>
        </w:tc>
        <w:tc>
          <w:tcPr>
            <w:tcW w:w="6970" w:type="dxa"/>
            <w:tcMar>
              <w:top w:w="10" w:type="dxa"/>
              <w:left w:w="10" w:type="dxa"/>
              <w:right w:w="10" w:type="dxa"/>
            </w:tcMar>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企业负债率、净现金流、偿债能力、信用评价四项指标，与上1年比较，（基础为4分）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1.企业资产负债率上升且高于平均值扣1分；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2.净现金流下降且低于0扣1分；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3.短期债务偿还能力下降且低于平均值扣1分；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4.信用评级机构或银行信用评级下降扣1分；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default"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若未提供的不得分。</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4</w:t>
            </w:r>
          </w:p>
        </w:tc>
      </w:tr>
      <w:bookmarkEnd w:id="1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046" w:type="dxa"/>
            <w:gridSpan w:val="6"/>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ascii="仿宋_GB2312" w:eastAsia="仿宋_GB2312"/>
                <w:b w:val="0"/>
                <w:bCs w:val="0"/>
                <w:color w:val="000000" w:themeColor="text1"/>
                <w:szCs w:val="21"/>
                <w:highlight w:val="none"/>
                <w14:textFill>
                  <w14:solidFill>
                    <w14:schemeClr w14:val="tx1"/>
                  </w14:solidFill>
                </w14:textFill>
              </w:rPr>
            </w:pPr>
            <w:r>
              <w:rPr>
                <w:rFonts w:hint="eastAsia" w:ascii="仿宋_GB2312" w:eastAsia="仿宋_GB2312"/>
                <w:b w:val="0"/>
                <w:bCs w:val="0"/>
                <w:color w:val="000000" w:themeColor="text1"/>
                <w:szCs w:val="21"/>
                <w:highlight w:val="none"/>
                <w14:textFill>
                  <w14:solidFill>
                    <w14:schemeClr w14:val="tx1"/>
                  </w14:solidFill>
                </w14:textFill>
              </w:rPr>
              <w:t>合计</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hint="default" w:ascii="仿宋_GB2312" w:hAnsi="仿宋_GB2312" w:eastAsia="仿宋_GB2312"/>
                <w:b w:val="0"/>
                <w:bCs w:val="0"/>
                <w:color w:val="000000" w:themeColor="text1"/>
                <w:szCs w:val="21"/>
                <w:highlight w:val="none"/>
                <w:lang w:val="en-US" w:eastAsia="zh-CN"/>
                <w14:textFill>
                  <w14:solidFill>
                    <w14:schemeClr w14:val="tx1"/>
                  </w14:solidFill>
                </w14:textFill>
              </w:rPr>
            </w:pPr>
            <w:r>
              <w:rPr>
                <w:rFonts w:hint="eastAsia" w:ascii="仿宋_GB2312" w:hAnsi="仿宋_GB2312" w:eastAsia="仿宋_GB2312"/>
                <w:b w:val="0"/>
                <w:bCs w:val="0"/>
                <w:color w:val="000000" w:themeColor="text1"/>
                <w:szCs w:val="21"/>
                <w:highlight w:val="none"/>
                <w:lang w:val="en-US" w:eastAsia="zh-CN"/>
                <w14:textFill>
                  <w14:solidFill>
                    <w14:schemeClr w14:val="tx1"/>
                  </w14:solidFill>
                </w14:textFill>
              </w:rPr>
              <w:t>20</w:t>
            </w:r>
          </w:p>
        </w:tc>
      </w:tr>
    </w:tbl>
    <w:p>
      <w:pPr>
        <w:adjustRightInd w:val="0"/>
        <w:snapToGrid w:val="0"/>
        <w:jc w:val="left"/>
        <w:rPr>
          <w:rFonts w:ascii="仿宋_GB2312" w:eastAsia="仿宋_GB2312"/>
          <w:color w:val="000000" w:themeColor="text1"/>
          <w:szCs w:val="21"/>
          <w:highlight w:val="none"/>
          <w14:textFill>
            <w14:solidFill>
              <w14:schemeClr w14:val="tx1"/>
            </w14:solidFill>
          </w14:textFill>
        </w:rPr>
      </w:pPr>
    </w:p>
    <w:p>
      <w:pPr>
        <w:ind w:left="0" w:leftChars="0" w:firstLineChars="0"/>
        <w:jc w:val="cente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br w:type="page"/>
      </w:r>
    </w:p>
    <w:p>
      <w:pPr>
        <w:pStyle w:val="2"/>
        <w:ind w:left="0" w:leftChars="0" w:firstLine="0" w:firstLineChars="0"/>
        <w:jc w:val="cente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t>精装修类市场评价评分表</w:t>
      </w:r>
    </w:p>
    <w:p>
      <w:pPr>
        <w:rPr>
          <w:rFonts w:hint="default"/>
          <w:highlight w:val="none"/>
          <w:lang w:val="en-US" w:eastAsia="zh-CN"/>
        </w:rPr>
      </w:pPr>
    </w:p>
    <w:tbl>
      <w:tblPr>
        <w:tblStyle w:val="6"/>
        <w:tblW w:w="20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8"/>
        <w:gridCol w:w="1376"/>
        <w:gridCol w:w="1713"/>
        <w:gridCol w:w="4776"/>
        <w:gridCol w:w="3433"/>
        <w:gridCol w:w="6970"/>
        <w:gridCol w:w="1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778"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000000" w:themeColor="text1"/>
                <w:sz w:val="22"/>
                <w:szCs w:val="22"/>
                <w:highlight w:val="none"/>
                <w14:textFill>
                  <w14:solidFill>
                    <w14:schemeClr w14:val="tx1"/>
                  </w14:solidFill>
                </w14:textFill>
              </w:rPr>
            </w:pPr>
            <w:r>
              <w:rPr>
                <w:rFonts w:hint="eastAsia" w:ascii="仿宋_GB2312" w:hAnsi="仿宋_GB2312" w:eastAsia="仿宋_GB2312"/>
                <w:b w:val="0"/>
                <w:bCs w:val="0"/>
                <w:color w:val="000000" w:themeColor="text1"/>
                <w:sz w:val="22"/>
                <w:szCs w:val="22"/>
                <w:highlight w:val="none"/>
                <w14:textFill>
                  <w14:solidFill>
                    <w14:schemeClr w14:val="tx1"/>
                  </w14:solidFill>
                </w14:textFill>
              </w:rPr>
              <w:t>序号</w:t>
            </w:r>
          </w:p>
        </w:tc>
        <w:tc>
          <w:tcPr>
            <w:tcW w:w="1376" w:type="dxa"/>
            <w:tcMar>
              <w:top w:w="10" w:type="dxa"/>
              <w:left w:w="10" w:type="dxa"/>
              <w:right w:w="10" w:type="dxa"/>
            </w:tcMar>
            <w:vAlign w:val="center"/>
          </w:tcPr>
          <w:p>
            <w:pPr>
              <w:adjustRightInd w:val="0"/>
              <w:snapToGrid w:val="0"/>
              <w:jc w:val="center"/>
              <w:textAlignment w:val="center"/>
              <w:rPr>
                <w:rFonts w:hint="default" w:ascii="仿宋_GB2312" w:hAnsi="仿宋_GB2312" w:eastAsia="仿宋_GB2312"/>
                <w:b w:val="0"/>
                <w:bCs w:val="0"/>
                <w:color w:val="000000" w:themeColor="text1"/>
                <w:sz w:val="22"/>
                <w:szCs w:val="22"/>
                <w:highlight w:val="none"/>
                <w:lang w:val="en-US" w:eastAsia="zh-CN"/>
                <w14:textFill>
                  <w14:solidFill>
                    <w14:schemeClr w14:val="tx1"/>
                  </w14:solidFill>
                </w14:textFill>
              </w:rPr>
            </w:pPr>
            <w:r>
              <w:rPr>
                <w:rFonts w:hint="eastAsia" w:ascii="仿宋_GB2312" w:hAnsi="仿宋_GB2312" w:eastAsia="仿宋_GB2312"/>
                <w:b w:val="0"/>
                <w:bCs w:val="0"/>
                <w:color w:val="000000" w:themeColor="text1"/>
                <w:sz w:val="22"/>
                <w:szCs w:val="22"/>
                <w:highlight w:val="none"/>
                <w:lang w:val="en-US" w:eastAsia="zh-CN"/>
                <w14:textFill>
                  <w14:solidFill>
                    <w14:schemeClr w14:val="tx1"/>
                  </w14:solidFill>
                </w14:textFill>
              </w:rPr>
              <w:t>评价项</w:t>
            </w:r>
          </w:p>
        </w:tc>
        <w:tc>
          <w:tcPr>
            <w:tcW w:w="1713"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000000" w:themeColor="text1"/>
                <w:sz w:val="22"/>
                <w:szCs w:val="22"/>
                <w:highlight w:val="none"/>
                <w14:textFill>
                  <w14:solidFill>
                    <w14:schemeClr w14:val="tx1"/>
                  </w14:solidFill>
                </w14:textFill>
              </w:rPr>
            </w:pPr>
            <w:r>
              <w:rPr>
                <w:rFonts w:hint="eastAsia" w:ascii="仿宋_GB2312" w:hAnsi="仿宋_GB2312" w:eastAsia="仿宋_GB2312"/>
                <w:b w:val="0"/>
                <w:bCs w:val="0"/>
                <w:color w:val="000000" w:themeColor="text1"/>
                <w:sz w:val="22"/>
                <w:szCs w:val="22"/>
                <w:highlight w:val="none"/>
                <w:lang w:val="en-US" w:eastAsia="zh-CN"/>
                <w14:textFill>
                  <w14:solidFill>
                    <w14:schemeClr w14:val="tx1"/>
                  </w14:solidFill>
                </w14:textFill>
              </w:rPr>
              <w:t>评价指标</w:t>
            </w:r>
          </w:p>
        </w:tc>
        <w:tc>
          <w:tcPr>
            <w:tcW w:w="4776" w:type="dxa"/>
            <w:shd w:val="clear" w:color="auto" w:fill="auto"/>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000000" w:themeColor="text1"/>
                <w:sz w:val="22"/>
                <w:szCs w:val="22"/>
                <w:highlight w:val="none"/>
                <w14:textFill>
                  <w14:solidFill>
                    <w14:schemeClr w14:val="tx1"/>
                  </w14:solidFill>
                </w14:textFill>
              </w:rPr>
            </w:pPr>
            <w:r>
              <w:rPr>
                <w:rFonts w:hint="eastAsia" w:ascii="仿宋_GB2312" w:hAnsi="仿宋_GB2312" w:eastAsia="仿宋_GB2312"/>
                <w:b w:val="0"/>
                <w:bCs w:val="0"/>
                <w:color w:val="000000" w:themeColor="text1"/>
                <w:sz w:val="22"/>
                <w:szCs w:val="22"/>
                <w:highlight w:val="none"/>
                <w14:textFill>
                  <w14:solidFill>
                    <w14:schemeClr w14:val="tx1"/>
                  </w14:solidFill>
                </w14:textFill>
              </w:rPr>
              <w:t>证明材料</w:t>
            </w:r>
          </w:p>
        </w:tc>
        <w:tc>
          <w:tcPr>
            <w:tcW w:w="3433" w:type="dxa"/>
            <w:shd w:val="clear" w:color="auto" w:fill="auto"/>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b w:val="0"/>
                <w:bCs w:val="0"/>
                <w:color w:val="000000" w:themeColor="text1"/>
                <w:sz w:val="22"/>
                <w:szCs w:val="22"/>
                <w:highlight w:val="none"/>
                <w14:textFill>
                  <w14:solidFill>
                    <w14:schemeClr w14:val="tx1"/>
                  </w14:solidFill>
                </w14:textFill>
              </w:rPr>
            </w:pPr>
            <w:r>
              <w:rPr>
                <w:rFonts w:hint="eastAsia" w:ascii="仿宋_GB2312" w:hAnsi="仿宋_GB2312" w:eastAsia="仿宋_GB2312"/>
                <w:b w:val="0"/>
                <w:bCs w:val="0"/>
                <w:color w:val="000000" w:themeColor="text1"/>
                <w:sz w:val="22"/>
                <w:szCs w:val="22"/>
                <w:highlight w:val="none"/>
                <w14:textFill>
                  <w14:solidFill>
                    <w14:schemeClr w14:val="tx1"/>
                  </w14:solidFill>
                </w14:textFill>
              </w:rPr>
              <w:t>证明材料要求</w:t>
            </w:r>
          </w:p>
        </w:tc>
        <w:tc>
          <w:tcPr>
            <w:tcW w:w="6970"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000000" w:themeColor="text1"/>
                <w:sz w:val="22"/>
                <w:szCs w:val="22"/>
                <w:highlight w:val="none"/>
                <w14:textFill>
                  <w14:solidFill>
                    <w14:schemeClr w14:val="tx1"/>
                  </w14:solidFill>
                </w14:textFill>
              </w:rPr>
            </w:pPr>
            <w:r>
              <w:rPr>
                <w:rFonts w:hint="eastAsia" w:ascii="仿宋_GB2312" w:hAnsi="仿宋_GB2312" w:eastAsia="仿宋_GB2312"/>
                <w:b w:val="0"/>
                <w:bCs w:val="0"/>
                <w:color w:val="000000" w:themeColor="text1"/>
                <w:sz w:val="22"/>
                <w:szCs w:val="22"/>
                <w:highlight w:val="none"/>
                <w14:textFill>
                  <w14:solidFill>
                    <w14:schemeClr w14:val="tx1"/>
                  </w14:solidFill>
                </w14:textFill>
              </w:rPr>
              <w:t>评分标准</w:t>
            </w:r>
          </w:p>
        </w:tc>
        <w:tc>
          <w:tcPr>
            <w:tcW w:w="1192"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000000" w:themeColor="text1"/>
                <w:sz w:val="22"/>
                <w:szCs w:val="22"/>
                <w:highlight w:val="none"/>
                <w14:textFill>
                  <w14:solidFill>
                    <w14:schemeClr w14:val="tx1"/>
                  </w14:solidFill>
                </w14:textFill>
              </w:rPr>
            </w:pPr>
            <w:r>
              <w:rPr>
                <w:rFonts w:hint="eastAsia" w:ascii="仿宋_GB2312" w:hAnsi="仿宋_GB2312" w:eastAsia="仿宋_GB2312"/>
                <w:b w:val="0"/>
                <w:bCs w:val="0"/>
                <w:color w:val="000000" w:themeColor="text1"/>
                <w:sz w:val="22"/>
                <w:szCs w:val="22"/>
                <w:highlight w:val="none"/>
                <w:lang w:val="en-US" w:eastAsia="zh-CN"/>
                <w14:textFill>
                  <w14:solidFill>
                    <w14:schemeClr w14:val="tx1"/>
                  </w14:solidFill>
                </w14:textFill>
              </w:rPr>
              <w:t>评</w:t>
            </w:r>
            <w:r>
              <w:rPr>
                <w:rFonts w:hint="eastAsia" w:ascii="仿宋_GB2312" w:hAnsi="仿宋_GB2312" w:eastAsia="仿宋_GB2312"/>
                <w:b w:val="0"/>
                <w:bCs w:val="0"/>
                <w:color w:val="000000" w:themeColor="text1"/>
                <w:sz w:val="22"/>
                <w:szCs w:val="22"/>
                <w:highlight w:val="none"/>
                <w14:textFill>
                  <w14:solidFill>
                    <w14:schemeClr w14:val="tx1"/>
                  </w14:solidFill>
                </w14:textFill>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w:t>
            </w:r>
          </w:p>
        </w:tc>
        <w:tc>
          <w:tcPr>
            <w:tcW w:w="1376" w:type="dxa"/>
            <w:vMerge w:val="restart"/>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企业资信</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br w:type="textWrapping"/>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（5分）</w:t>
            </w:r>
          </w:p>
        </w:tc>
        <w:tc>
          <w:tcPr>
            <w:tcW w:w="1713"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企业资质</w:t>
            </w:r>
          </w:p>
        </w:tc>
        <w:tc>
          <w:tcPr>
            <w:tcW w:w="4776"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企业资质证书原件扫描件</w:t>
            </w:r>
          </w:p>
        </w:tc>
        <w:tc>
          <w:tcPr>
            <w:tcW w:w="3433"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对企业拥有的建筑装修装饰专业承包资质的等级进行标记。</w:t>
            </w:r>
          </w:p>
        </w:tc>
        <w:tc>
          <w:tcPr>
            <w:tcW w:w="6970"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根据企业最高资质进行评分：</w:t>
            </w:r>
          </w:p>
          <w:p>
            <w:pPr>
              <w:widowControl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1.具有建筑装修装饰专业承包一级的，得2分；</w:t>
            </w:r>
          </w:p>
          <w:p>
            <w:pPr>
              <w:widowControl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2.具有建筑装修装饰专业承包二级的，得1分；</w:t>
            </w:r>
          </w:p>
          <w:p>
            <w:pPr>
              <w:widowControl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3.其他资质的不得分。</w:t>
            </w:r>
          </w:p>
        </w:tc>
        <w:tc>
          <w:tcPr>
            <w:tcW w:w="1192" w:type="dxa"/>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w:t>
            </w:r>
          </w:p>
        </w:tc>
        <w:tc>
          <w:tcPr>
            <w:tcW w:w="1376" w:type="dxa"/>
            <w:vMerge w:val="continue"/>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p>
        </w:tc>
        <w:tc>
          <w:tcPr>
            <w:tcW w:w="1713" w:type="dxa"/>
            <w:tcMar>
              <w:top w:w="10" w:type="dxa"/>
              <w:left w:w="10" w:type="dxa"/>
              <w:right w:w="10" w:type="dxa"/>
            </w:tcMar>
            <w:vAlign w:val="center"/>
          </w:tcPr>
          <w:p>
            <w:pPr>
              <w:widowControl w:val="0"/>
              <w:spacing w:line="240" w:lineRule="auto"/>
              <w:jc w:val="center"/>
              <w:rPr>
                <w:rFonts w:hint="default"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企业同类获奖</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br w:type="textWrapping"/>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（近3年）</w:t>
            </w:r>
          </w:p>
        </w:tc>
        <w:tc>
          <w:tcPr>
            <w:tcW w:w="4776"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提供近3年作为主要参建单位(建筑装修装饰专业承包单位)获得鲁班奖、国家优质工程金质奖（金奖）、詹天佑奖、</w:t>
            </w:r>
            <w:r>
              <w:rPr>
                <w:rFonts w:hint="eastAsia" w:ascii="仿宋_GB2312" w:hAnsi="仿宋_GB2312" w:eastAsia="仿宋_GB2312" w:cs="仿宋_GB2312"/>
                <w:b w:val="0"/>
                <w:bCs w:val="0"/>
                <w:color w:val="auto"/>
                <w:sz w:val="18"/>
                <w:szCs w:val="18"/>
                <w:highlight w:val="none"/>
                <w:lang w:val="en-US" w:eastAsia="zh-CN"/>
              </w:rPr>
              <w:fldChar w:fldCharType="begin"/>
            </w:r>
            <w:r>
              <w:rPr>
                <w:rFonts w:hint="eastAsia" w:ascii="仿宋_GB2312" w:hAnsi="仿宋_GB2312" w:eastAsia="仿宋_GB2312" w:cs="仿宋_GB2312"/>
                <w:b w:val="0"/>
                <w:bCs w:val="0"/>
                <w:color w:val="auto"/>
                <w:sz w:val="18"/>
                <w:szCs w:val="18"/>
                <w:highlight w:val="none"/>
                <w:lang w:val="en-US" w:eastAsia="zh-CN"/>
              </w:rPr>
              <w:instrText xml:space="preserve"> HYPERLINK "https://baike.baidu.com/item/%E4%B8%AD%E5%9B%BD%E5%BB%BA%E7%AD%91/5081?fromModule=lemma_inlink" \t "https://baike.baidu.com/item/%E5%85%A8%E5%9B%BD%E5%BB%BA%E7%AD%91%E5%B7%A5%E7%A8%8B%E8%A3%85%E9%A5%B0%E5%A5%96/_blank" </w:instrText>
            </w:r>
            <w:r>
              <w:rPr>
                <w:rFonts w:hint="eastAsia" w:ascii="仿宋_GB2312" w:hAnsi="仿宋_GB2312" w:eastAsia="仿宋_GB2312" w:cs="仿宋_GB2312"/>
                <w:b w:val="0"/>
                <w:bCs w:val="0"/>
                <w:color w:val="auto"/>
                <w:sz w:val="18"/>
                <w:szCs w:val="18"/>
                <w:highlight w:val="none"/>
                <w:lang w:val="en-US" w:eastAsia="zh-CN"/>
              </w:rPr>
              <w:fldChar w:fldCharType="separate"/>
            </w:r>
            <w:r>
              <w:rPr>
                <w:rFonts w:hint="eastAsia" w:ascii="仿宋_GB2312" w:hAnsi="仿宋_GB2312" w:eastAsia="仿宋_GB2312" w:cs="仿宋_GB2312"/>
                <w:b w:val="0"/>
                <w:bCs w:val="0"/>
                <w:color w:val="auto"/>
                <w:sz w:val="18"/>
                <w:szCs w:val="18"/>
                <w:highlight w:val="none"/>
                <w:lang w:val="en-US" w:eastAsia="zh-CN"/>
              </w:rPr>
              <w:t>中国建筑</w:t>
            </w:r>
            <w:r>
              <w:rPr>
                <w:rFonts w:hint="eastAsia" w:ascii="仿宋_GB2312" w:hAnsi="仿宋_GB2312" w:eastAsia="仿宋_GB2312" w:cs="仿宋_GB2312"/>
                <w:b w:val="0"/>
                <w:bCs w:val="0"/>
                <w:color w:val="auto"/>
                <w:sz w:val="18"/>
                <w:szCs w:val="18"/>
                <w:highlight w:val="none"/>
                <w:lang w:val="en-US" w:eastAsia="zh-CN"/>
              </w:rPr>
              <w:fldChar w:fldCharType="end"/>
            </w:r>
            <w:r>
              <w:rPr>
                <w:rFonts w:hint="eastAsia" w:ascii="仿宋_GB2312" w:hAnsi="仿宋_GB2312" w:eastAsia="仿宋_GB2312" w:cs="仿宋_GB2312"/>
                <w:b w:val="0"/>
                <w:bCs w:val="0"/>
                <w:color w:val="auto"/>
                <w:sz w:val="18"/>
                <w:szCs w:val="18"/>
                <w:highlight w:val="none"/>
                <w:lang w:val="en-US" w:eastAsia="zh-CN"/>
              </w:rPr>
              <w:t>工程装饰奖获奖证书原件扫描件或其它相关证明</w:t>
            </w:r>
          </w:p>
        </w:tc>
        <w:tc>
          <w:tcPr>
            <w:tcW w:w="3433"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对项目名称、项目所在地、竣工时间、颁奖单位、项目属性为房建类（包括住宅、公共建筑）等信息进行标注。</w:t>
            </w:r>
          </w:p>
        </w:tc>
        <w:tc>
          <w:tcPr>
            <w:tcW w:w="6970"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作为主要参建单位(建筑装修装饰专业承包单位),近3年(获奖时间为准)获鲁班奖、、国家优质工程金质奖（金奖）、詹天佑奖、</w:t>
            </w:r>
            <w:r>
              <w:rPr>
                <w:rFonts w:hint="eastAsia" w:ascii="仿宋_GB2312" w:hAnsi="仿宋_GB2312" w:eastAsia="仿宋_GB2312" w:cs="仿宋_GB2312"/>
                <w:b w:val="0"/>
                <w:bCs w:val="0"/>
                <w:color w:val="auto"/>
                <w:sz w:val="18"/>
                <w:szCs w:val="18"/>
                <w:highlight w:val="none"/>
                <w:lang w:val="en-US" w:eastAsia="zh-CN"/>
              </w:rPr>
              <w:fldChar w:fldCharType="begin"/>
            </w:r>
            <w:r>
              <w:rPr>
                <w:rFonts w:hint="eastAsia" w:ascii="仿宋_GB2312" w:hAnsi="仿宋_GB2312" w:eastAsia="仿宋_GB2312" w:cs="仿宋_GB2312"/>
                <w:b w:val="0"/>
                <w:bCs w:val="0"/>
                <w:color w:val="auto"/>
                <w:sz w:val="18"/>
                <w:szCs w:val="18"/>
                <w:highlight w:val="none"/>
                <w:lang w:val="en-US" w:eastAsia="zh-CN"/>
              </w:rPr>
              <w:instrText xml:space="preserve"> HYPERLINK "https://baike.baidu.com/item/%E4%B8%AD%E5%9B%BD%E5%BB%BA%E7%AD%91/5081?fromModule=lemma_inlink" \t "https://baike.baidu.com/item/%E5%85%A8%E5%9B%BD%E5%BB%BA%E7%AD%91%E5%B7%A5%E7%A8%8B%E8%A3%85%E9%A5%B0%E5%A5%96/_blank" </w:instrText>
            </w:r>
            <w:r>
              <w:rPr>
                <w:rFonts w:hint="eastAsia" w:ascii="仿宋_GB2312" w:hAnsi="仿宋_GB2312" w:eastAsia="仿宋_GB2312" w:cs="仿宋_GB2312"/>
                <w:b w:val="0"/>
                <w:bCs w:val="0"/>
                <w:color w:val="auto"/>
                <w:sz w:val="18"/>
                <w:szCs w:val="18"/>
                <w:highlight w:val="none"/>
                <w:lang w:val="en-US" w:eastAsia="zh-CN"/>
              </w:rPr>
              <w:fldChar w:fldCharType="separate"/>
            </w:r>
            <w:r>
              <w:rPr>
                <w:rFonts w:hint="eastAsia" w:ascii="仿宋_GB2312" w:hAnsi="仿宋_GB2312" w:eastAsia="仿宋_GB2312" w:cs="仿宋_GB2312"/>
                <w:b w:val="0"/>
                <w:bCs w:val="0"/>
                <w:color w:val="auto"/>
                <w:sz w:val="18"/>
                <w:szCs w:val="18"/>
                <w:highlight w:val="none"/>
                <w:lang w:val="en-US" w:eastAsia="zh-CN"/>
              </w:rPr>
              <w:t>中国建筑</w:t>
            </w:r>
            <w:r>
              <w:rPr>
                <w:rFonts w:hint="eastAsia" w:ascii="仿宋_GB2312" w:hAnsi="仿宋_GB2312" w:eastAsia="仿宋_GB2312" w:cs="仿宋_GB2312"/>
                <w:b w:val="0"/>
                <w:bCs w:val="0"/>
                <w:color w:val="auto"/>
                <w:sz w:val="18"/>
                <w:szCs w:val="18"/>
                <w:highlight w:val="none"/>
                <w:lang w:val="en-US" w:eastAsia="zh-CN"/>
              </w:rPr>
              <w:fldChar w:fldCharType="end"/>
            </w:r>
            <w:r>
              <w:rPr>
                <w:rFonts w:hint="eastAsia" w:ascii="仿宋_GB2312" w:hAnsi="仿宋_GB2312" w:eastAsia="仿宋_GB2312" w:cs="仿宋_GB2312"/>
                <w:b w:val="0"/>
                <w:bCs w:val="0"/>
                <w:color w:val="auto"/>
                <w:sz w:val="18"/>
                <w:szCs w:val="18"/>
                <w:highlight w:val="none"/>
                <w:lang w:val="en-US" w:eastAsia="zh-CN"/>
              </w:rPr>
              <w:t>工程装饰奖，0.5分/项；</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注：同一项目获多个奖项可以重复计取</w:t>
            </w:r>
          </w:p>
        </w:tc>
        <w:tc>
          <w:tcPr>
            <w:tcW w:w="1192" w:type="dxa"/>
            <w:tcMar>
              <w:top w:w="10" w:type="dxa"/>
              <w:left w:w="10" w:type="dxa"/>
              <w:right w:w="10" w:type="dxa"/>
            </w:tcMar>
            <w:vAlign w:val="center"/>
          </w:tcPr>
          <w:p>
            <w:pPr>
              <w:adjustRightInd w:val="0"/>
              <w:snapToGrid w:val="0"/>
              <w:jc w:val="center"/>
              <w:textAlignment w:val="center"/>
              <w:rPr>
                <w:rFonts w:hint="default" w:ascii="仿宋_GB2312" w:hAnsi="仿宋_GB2312" w:eastAsia="仿宋_GB2312" w:cstheme="minorBidi"/>
                <w:b w:val="0"/>
                <w:bCs w:val="0"/>
                <w:color w:val="000000" w:themeColor="text1"/>
                <w:kern w:val="2"/>
                <w:sz w:val="18"/>
                <w:szCs w:val="18"/>
                <w:highlight w:val="none"/>
                <w:lang w:val="en-US" w:eastAsia="zh-CN" w:bidi="ar-SA"/>
                <w14:textFill>
                  <w14:solidFill>
                    <w14:schemeClr w14:val="tx1"/>
                  </w14:solidFill>
                </w14:textFill>
              </w:rPr>
            </w:pPr>
            <w: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3</w:t>
            </w:r>
          </w:p>
        </w:tc>
        <w:tc>
          <w:tcPr>
            <w:tcW w:w="1376" w:type="dxa"/>
            <w:vMerge w:val="continue"/>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p>
        </w:tc>
        <w:tc>
          <w:tcPr>
            <w:tcW w:w="1713"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同类完工项目</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br w:type="textWrapping"/>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（近3年）</w:t>
            </w:r>
          </w:p>
        </w:tc>
        <w:tc>
          <w:tcPr>
            <w:tcW w:w="4776"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提供作为主要参建单位(建筑装修装饰专业承包单位),近3年竣工的(竣工验收时问为准)建筑装修装饰专业承包项目合同原件扫描件。</w:t>
            </w:r>
          </w:p>
        </w:tc>
        <w:tc>
          <w:tcPr>
            <w:tcW w:w="3433"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对合同金额、项目所在地、竣工报告竣工验收时间、工程类型、项目属性为房建类（包括住宅、公共建筑）等信息进行标注。</w:t>
            </w:r>
          </w:p>
        </w:tc>
        <w:tc>
          <w:tcPr>
            <w:tcW w:w="6970"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作为主要承建单位(建筑装修装饰专业承包单位)，近3年竣工的(竣工验收时间为准)：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1.合同金额5000万元以上的精装修项目得0.5分/项，</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2.合同金额1000万元以上的精装修项目得0.2分/项：</w:t>
            </w:r>
          </w:p>
        </w:tc>
        <w:tc>
          <w:tcPr>
            <w:tcW w:w="1192" w:type="dxa"/>
            <w:tcMar>
              <w:top w:w="10" w:type="dxa"/>
              <w:left w:w="10" w:type="dxa"/>
              <w:right w:w="10" w:type="dxa"/>
            </w:tcMar>
            <w:vAlign w:val="center"/>
          </w:tcPr>
          <w:p>
            <w:pPr>
              <w:adjustRightInd w:val="0"/>
              <w:snapToGrid w:val="0"/>
              <w:jc w:val="center"/>
              <w:textAlignment w:val="center"/>
              <w:rPr>
                <w:rFonts w:hint="default"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4</w:t>
            </w:r>
          </w:p>
        </w:tc>
        <w:tc>
          <w:tcPr>
            <w:tcW w:w="1376" w:type="dxa"/>
            <w:vMerge w:val="continue"/>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p>
        </w:tc>
        <w:tc>
          <w:tcPr>
            <w:tcW w:w="1713"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同类在建项目</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br w:type="textWrapping"/>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（近2年）</w:t>
            </w:r>
          </w:p>
        </w:tc>
        <w:tc>
          <w:tcPr>
            <w:tcW w:w="4776"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提供作为主要参建单位(建筑装修装饰专业承包单位)，近2年在建的建筑装修装饰专业承包项目合同原件扫描件。</w:t>
            </w:r>
          </w:p>
        </w:tc>
        <w:tc>
          <w:tcPr>
            <w:tcW w:w="3433"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对合同金额、项目所在地、工程类型、开工时间、项目属性为房建类（包括住宅、公共建筑）等信息进行标注。</w:t>
            </w:r>
          </w:p>
        </w:tc>
        <w:tc>
          <w:tcPr>
            <w:tcW w:w="6970"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作为主要承建单位(建筑装修装饰专业承包单位)，近2年在建的(中标通知书、合同、施工许可或开工报告时间为准)：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1.合同金额5000万元以上的精装修项目得0.5分/项，</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2.合同金额1000万元以上的精装修项目得0.2分/项：</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注：中标通知书、合同签订时间、施工许可或开工报告的开始时间为近2年；已开展竣工验收的项目不得列入。</w:t>
            </w:r>
          </w:p>
        </w:tc>
        <w:tc>
          <w:tcPr>
            <w:tcW w:w="1192" w:type="dxa"/>
            <w:tcMar>
              <w:top w:w="10" w:type="dxa"/>
              <w:left w:w="10" w:type="dxa"/>
              <w:right w:w="10" w:type="dxa"/>
            </w:tcMar>
            <w:vAlign w:val="center"/>
          </w:tcPr>
          <w:p>
            <w:pPr>
              <w:adjustRightInd w:val="0"/>
              <w:snapToGrid w:val="0"/>
              <w:jc w:val="center"/>
              <w:textAlignment w:val="center"/>
              <w:rPr>
                <w:rFonts w:hint="default"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widowControl w:val="0"/>
              <w:spacing w:line="240" w:lineRule="auto"/>
              <w:jc w:val="center"/>
              <w:rPr>
                <w:rFonts w:hint="default"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5</w:t>
            </w:r>
          </w:p>
        </w:tc>
        <w:tc>
          <w:tcPr>
            <w:tcW w:w="1376"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信用等级</w:t>
            </w:r>
          </w:p>
          <w:p>
            <w:pPr>
              <w:widowControl w:val="0"/>
              <w:spacing w:line="240" w:lineRule="auto"/>
              <w:jc w:val="center"/>
              <w:rPr>
                <w:rFonts w:hint="default"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（5分）</w:t>
            </w:r>
          </w:p>
        </w:tc>
        <w:tc>
          <w:tcPr>
            <w:tcW w:w="1713" w:type="dxa"/>
            <w:tcMar>
              <w:top w:w="10" w:type="dxa"/>
              <w:left w:w="10" w:type="dxa"/>
              <w:right w:w="10" w:type="dxa"/>
            </w:tcMar>
            <w:vAlign w:val="center"/>
          </w:tcPr>
          <w:p>
            <w:pPr>
              <w:widowControl w:val="0"/>
              <w:spacing w:line="240" w:lineRule="auto"/>
              <w:jc w:val="center"/>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企业信用等级</w:t>
            </w:r>
          </w:p>
        </w:tc>
        <w:tc>
          <w:tcPr>
            <w:tcW w:w="4776"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提供最近一期建筑行业信用评价系统截图（https://www.gdzwfw.gov.cn/portal/v2/legal/hot）。</w:t>
            </w:r>
          </w:p>
        </w:tc>
        <w:tc>
          <w:tcPr>
            <w:tcW w:w="3433"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证明资料应能清晰反映关键信息，截图应体现单位名称、计算时间、在深圳市建筑市场主体信用管理系统中建筑装饰装修类信用等级等主要信息。</w:t>
            </w:r>
          </w:p>
        </w:tc>
        <w:tc>
          <w:tcPr>
            <w:tcW w:w="6970"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根据在深圳市建筑市场主体信用管理系统中建筑装饰装修类信用等级进行评分：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1.等级为A，得5分；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2.等级为B+，得4分；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3.等级为B，得3分；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4.等级为C，得1分；</w:t>
            </w:r>
          </w:p>
          <w:p>
            <w:pP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等级为D或未提不得分。</w:t>
            </w:r>
          </w:p>
        </w:tc>
        <w:tc>
          <w:tcPr>
            <w:tcW w:w="1192" w:type="dxa"/>
            <w:tcMar>
              <w:top w:w="10" w:type="dxa"/>
              <w:left w:w="10" w:type="dxa"/>
              <w:right w:w="10" w:type="dxa"/>
            </w:tcMar>
            <w:vAlign w:val="center"/>
          </w:tcPr>
          <w:p>
            <w:pPr>
              <w:widowControl w:val="0"/>
              <w:spacing w:line="240" w:lineRule="auto"/>
              <w:jc w:val="cente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6</w:t>
            </w:r>
          </w:p>
        </w:tc>
        <w:tc>
          <w:tcPr>
            <w:tcW w:w="1376" w:type="dxa"/>
            <w:vMerge w:val="restart"/>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经营状况</w:t>
            </w:r>
          </w:p>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(10分)</w:t>
            </w: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近1年负债率</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提供2025年经审计的第三方财务报告（报告页需含防伪二维码，财务报表页需有公司签章）</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1.计算公式：负债率=负债总额÷资产总额×100%</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2.需对财务报告中负债总额、资产总额进行标记。</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与行业（或申报单位）平均值相比，</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1.低于平均值20%（含）以上得1.5分；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2.低于平均值10-20%（不含）以上得1分；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3.低于平均值0-10%（不含）以上得0.5分；高于平均值不得分。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例：若行业（或申报单位）平均值为75%，则供应商近1年负债率55%时得1.5分，近1年负债率56%时得1分。</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7</w:t>
            </w:r>
          </w:p>
        </w:tc>
        <w:tc>
          <w:tcPr>
            <w:tcW w:w="137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仿宋_GB2312" w:eastAsia="仿宋_GB2312"/>
                <w:b w:val="0"/>
                <w:bCs w:val="0"/>
                <w:color w:val="000000" w:themeColor="text1"/>
                <w:sz w:val="18"/>
                <w:szCs w:val="18"/>
                <w:highlight w:val="none"/>
                <w14:textFill>
                  <w14:solidFill>
                    <w14:schemeClr w14:val="tx1"/>
                  </w14:solidFill>
                </w14:textFill>
              </w:rPr>
            </w:pP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近1年净现金流</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提供2025年经审计的第三方财务报告（报告页需含防伪二维码，财务报表页需有公司签章）</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000000" w:themeColor="text1"/>
                <w:sz w:val="18"/>
                <w:szCs w:val="18"/>
                <w:highlight w:val="none"/>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1.需对财务报告中净现金流进行标记，净现金流为经营性现金流量净额。</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000000" w:themeColor="text1"/>
                <w:sz w:val="18"/>
                <w:szCs w:val="18"/>
                <w:highlight w:val="none"/>
                <w:u w:val="single"/>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经营性净现金流为正，得3分；经营性净现金流为负，不得分。</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8</w:t>
            </w:r>
          </w:p>
        </w:tc>
        <w:tc>
          <w:tcPr>
            <w:tcW w:w="137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仿宋_GB2312" w:eastAsia="仿宋_GB2312"/>
                <w:b w:val="0"/>
                <w:bCs w:val="0"/>
                <w:color w:val="000000" w:themeColor="text1"/>
                <w:sz w:val="18"/>
                <w:szCs w:val="18"/>
                <w:highlight w:val="none"/>
                <w14:textFill>
                  <w14:solidFill>
                    <w14:schemeClr w14:val="tx1"/>
                  </w14:solidFill>
                </w14:textFill>
              </w:rPr>
            </w:pP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短期债务偿还能力</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提供2025年经审计的第三方财务报告（报告页需含防伪二维码，财务报表页需有公司签章）</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1.计算公式：短期债务偿还能力=货币资金/（短期借款+一年内到期的非流动负债）</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2.需对财务报告中货币资金、短期借款、一年内到期的非流动负债进行标记。</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与行业（或申报单位）平均值相比，</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1.高于平均值1.2倍（含）以上得1.5分；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2.高于平均值1.1倍（含）以上得1分；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3.高于平均值1倍（含）以上，或</w:t>
            </w:r>
            <w:r>
              <w:rPr>
                <w:rFonts w:hint="eastAsia" w:ascii="仿宋_GB2312" w:hAnsi="仿宋_GB2312" w:eastAsia="仿宋_GB2312" w:cs="仿宋_GB2312"/>
                <w:b w:val="0"/>
                <w:bCs w:val="0"/>
                <w:color w:val="000000" w:themeColor="text1"/>
                <w:sz w:val="18"/>
                <w:szCs w:val="18"/>
                <w:highlight w:val="none"/>
                <w14:textFill>
                  <w14:solidFill>
                    <w14:schemeClr w14:val="tx1"/>
                  </w14:solidFill>
                </w14:textFill>
              </w:rPr>
              <w:t>低于平均值但短期债务偿还能力</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大于</w:t>
            </w:r>
            <w:r>
              <w:rPr>
                <w:rFonts w:hint="eastAsia" w:ascii="仿宋_GB2312" w:hAnsi="仿宋_GB2312" w:eastAsia="仿宋_GB2312" w:cs="仿宋_GB2312"/>
                <w:b w:val="0"/>
                <w:bCs w:val="0"/>
                <w:color w:val="000000" w:themeColor="text1"/>
                <w:sz w:val="18"/>
                <w:szCs w:val="18"/>
                <w:highlight w:val="none"/>
                <w14:textFill>
                  <w14:solidFill>
                    <w14:schemeClr w14:val="tx1"/>
                  </w14:solidFill>
                </w14:textFill>
              </w:rPr>
              <w:t>1</w:t>
            </w:r>
            <w:r>
              <w:rPr>
                <w:rFonts w:hint="eastAsia" w:ascii="仿宋_GB2312" w:hAnsi="仿宋_GB2312" w:eastAsia="仿宋_GB2312" w:cs="仿宋_GB2312"/>
                <w:b w:val="0"/>
                <w:bCs w:val="0"/>
                <w:color w:val="000000" w:themeColor="text1"/>
                <w:sz w:val="18"/>
                <w:szCs w:val="1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得0.5分；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4.其余情形不得分。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例：若行业（或申报单位）平均值为1.2，则供应商近1年短期债务偿还能力1.44得1.5分，近1年短期债务偿还能力1.32得1分。</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9</w:t>
            </w:r>
          </w:p>
        </w:tc>
        <w:tc>
          <w:tcPr>
            <w:tcW w:w="137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仿宋_GB2312" w:eastAsia="仿宋_GB2312"/>
                <w:b w:val="0"/>
                <w:bCs w:val="0"/>
                <w:color w:val="000000" w:themeColor="text1"/>
                <w:sz w:val="18"/>
                <w:szCs w:val="18"/>
                <w:highlight w:val="none"/>
                <w14:textFill>
                  <w14:solidFill>
                    <w14:schemeClr w14:val="tx1"/>
                  </w14:solidFill>
                </w14:textFill>
              </w:rPr>
            </w:pP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经营变化</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1.提供近2年（2024年、2025年）经审计的第三方财务报告（报告页需含防伪二维码，财务报表页需有公司签章）</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2.信用评级机构或银行出具的信用评价证明。</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1.提供近2年企业负债率、净现金流、偿债能力汇总表；</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000000" w:themeColor="text1"/>
                <w:sz w:val="18"/>
                <w:szCs w:val="18"/>
                <w:highlight w:val="none"/>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2.对近2年信用评级情况进行标记。</w:t>
            </w:r>
          </w:p>
        </w:tc>
        <w:tc>
          <w:tcPr>
            <w:tcW w:w="6970" w:type="dxa"/>
            <w:tcMar>
              <w:top w:w="10" w:type="dxa"/>
              <w:left w:w="10" w:type="dxa"/>
              <w:right w:w="10" w:type="dxa"/>
            </w:tcMar>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企业负债率、净现金流、偿债能力、信用评价四项指标，与上1年比较，（基础为4分）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1.企业资产负债率上升且高于平均值扣1分；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2.净现金流下降且低于0扣1分；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3.短期债务偿还能力下降且低于平均值扣1分；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4.信用评级机构或银行信用评级下降扣1分；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rPr>
                <w:rFonts w:hint="eastAsia" w:ascii="仿宋_GB2312" w:hAnsi="仿宋_GB2312" w:eastAsia="仿宋_GB2312"/>
                <w:b w:val="0"/>
                <w:bCs w:val="0"/>
                <w:color w:val="000000" w:themeColor="text1"/>
                <w:sz w:val="18"/>
                <w:szCs w:val="18"/>
                <w:highlight w:val="none"/>
                <w:u w:val="single"/>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若未提供的不得分。</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046" w:type="dxa"/>
            <w:gridSpan w:val="6"/>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ascii="仿宋_GB2312" w:eastAsia="仿宋_GB2312"/>
                <w:b w:val="0"/>
                <w:bCs w:val="0"/>
                <w:color w:val="000000" w:themeColor="text1"/>
                <w:sz w:val="18"/>
                <w:szCs w:val="18"/>
                <w:highlight w:val="none"/>
                <w14:textFill>
                  <w14:solidFill>
                    <w14:schemeClr w14:val="tx1"/>
                  </w14:solidFill>
                </w14:textFill>
              </w:rPr>
            </w:pPr>
            <w:r>
              <w:rPr>
                <w:rFonts w:hint="eastAsia" w:ascii="仿宋_GB2312" w:eastAsia="仿宋_GB2312"/>
                <w:b w:val="0"/>
                <w:bCs w:val="0"/>
                <w:color w:val="000000" w:themeColor="text1"/>
                <w:sz w:val="18"/>
                <w:szCs w:val="18"/>
                <w:highlight w:val="none"/>
                <w14:textFill>
                  <w14:solidFill>
                    <w14:schemeClr w14:val="tx1"/>
                  </w14:solidFill>
                </w14:textFill>
              </w:rPr>
              <w:t>合计</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hint="default"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t>20</w:t>
            </w:r>
          </w:p>
        </w:tc>
      </w:tr>
    </w:tbl>
    <w:p>
      <w:pPr>
        <w:rPr>
          <w:rFonts w:hint="eastAsia" w:ascii="方正小标宋简体" w:hAnsi="方正小标宋简体" w:eastAsia="方正小标宋简体" w:cs="方正小标宋简体"/>
          <w:b w:val="0"/>
          <w:bCs w:val="0"/>
          <w:color w:val="000000" w:themeColor="text1"/>
          <w:sz w:val="10"/>
          <w:szCs w:val="10"/>
          <w:highlight w:val="none"/>
          <w:lang w:val="en-US" w:eastAsia="zh-CN"/>
          <w14:textFill>
            <w14:solidFill>
              <w14:schemeClr w14:val="tx1"/>
            </w14:solidFill>
          </w14:textFill>
        </w:rPr>
      </w:pPr>
    </w:p>
    <w:p>
      <w:pP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br w:type="page"/>
      </w:r>
    </w:p>
    <w:p>
      <w:pPr>
        <w:pStyle w:val="2"/>
        <w:ind w:left="0" w:leftChars="0" w:firstLine="0" w:firstLineChars="0"/>
        <w:jc w:val="cente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t>园林景观类市场评价评分表</w:t>
      </w:r>
    </w:p>
    <w:tbl>
      <w:tblPr>
        <w:tblStyle w:val="6"/>
        <w:tblW w:w="20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8"/>
        <w:gridCol w:w="1376"/>
        <w:gridCol w:w="1713"/>
        <w:gridCol w:w="4776"/>
        <w:gridCol w:w="3433"/>
        <w:gridCol w:w="7007"/>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778"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000000" w:themeColor="text1"/>
                <w:sz w:val="22"/>
                <w:szCs w:val="22"/>
                <w:highlight w:val="none"/>
                <w14:textFill>
                  <w14:solidFill>
                    <w14:schemeClr w14:val="tx1"/>
                  </w14:solidFill>
                </w14:textFill>
              </w:rPr>
            </w:pPr>
            <w:r>
              <w:rPr>
                <w:rFonts w:hint="eastAsia" w:ascii="仿宋_GB2312" w:hAnsi="仿宋_GB2312" w:eastAsia="仿宋_GB2312"/>
                <w:b w:val="0"/>
                <w:bCs w:val="0"/>
                <w:color w:val="000000" w:themeColor="text1"/>
                <w:sz w:val="22"/>
                <w:szCs w:val="22"/>
                <w:highlight w:val="none"/>
                <w14:textFill>
                  <w14:solidFill>
                    <w14:schemeClr w14:val="tx1"/>
                  </w14:solidFill>
                </w14:textFill>
              </w:rPr>
              <w:t>序号</w:t>
            </w:r>
          </w:p>
        </w:tc>
        <w:tc>
          <w:tcPr>
            <w:tcW w:w="1376" w:type="dxa"/>
            <w:tcMar>
              <w:top w:w="10" w:type="dxa"/>
              <w:left w:w="10" w:type="dxa"/>
              <w:right w:w="10" w:type="dxa"/>
            </w:tcMar>
            <w:vAlign w:val="center"/>
          </w:tcPr>
          <w:p>
            <w:pPr>
              <w:adjustRightInd w:val="0"/>
              <w:snapToGrid w:val="0"/>
              <w:jc w:val="center"/>
              <w:textAlignment w:val="center"/>
              <w:rPr>
                <w:rFonts w:hint="default" w:ascii="仿宋_GB2312" w:hAnsi="仿宋_GB2312" w:eastAsia="仿宋_GB2312"/>
                <w:b w:val="0"/>
                <w:bCs w:val="0"/>
                <w:color w:val="000000" w:themeColor="text1"/>
                <w:sz w:val="22"/>
                <w:szCs w:val="22"/>
                <w:highlight w:val="none"/>
                <w:lang w:val="en-US" w:eastAsia="zh-CN"/>
                <w14:textFill>
                  <w14:solidFill>
                    <w14:schemeClr w14:val="tx1"/>
                  </w14:solidFill>
                </w14:textFill>
              </w:rPr>
            </w:pPr>
            <w:r>
              <w:rPr>
                <w:rFonts w:hint="eastAsia" w:ascii="仿宋_GB2312" w:hAnsi="仿宋_GB2312" w:eastAsia="仿宋_GB2312"/>
                <w:b w:val="0"/>
                <w:bCs w:val="0"/>
                <w:color w:val="000000" w:themeColor="text1"/>
                <w:sz w:val="22"/>
                <w:szCs w:val="22"/>
                <w:highlight w:val="none"/>
                <w:lang w:val="en-US" w:eastAsia="zh-CN"/>
                <w14:textFill>
                  <w14:solidFill>
                    <w14:schemeClr w14:val="tx1"/>
                  </w14:solidFill>
                </w14:textFill>
              </w:rPr>
              <w:t>评价项</w:t>
            </w:r>
          </w:p>
        </w:tc>
        <w:tc>
          <w:tcPr>
            <w:tcW w:w="1713"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000000" w:themeColor="text1"/>
                <w:sz w:val="22"/>
                <w:szCs w:val="22"/>
                <w:highlight w:val="none"/>
                <w14:textFill>
                  <w14:solidFill>
                    <w14:schemeClr w14:val="tx1"/>
                  </w14:solidFill>
                </w14:textFill>
              </w:rPr>
            </w:pPr>
            <w:r>
              <w:rPr>
                <w:rFonts w:hint="eastAsia" w:ascii="仿宋_GB2312" w:hAnsi="仿宋_GB2312" w:eastAsia="仿宋_GB2312"/>
                <w:b w:val="0"/>
                <w:bCs w:val="0"/>
                <w:color w:val="000000" w:themeColor="text1"/>
                <w:sz w:val="22"/>
                <w:szCs w:val="22"/>
                <w:highlight w:val="none"/>
                <w:lang w:val="en-US" w:eastAsia="zh-CN"/>
                <w14:textFill>
                  <w14:solidFill>
                    <w14:schemeClr w14:val="tx1"/>
                  </w14:solidFill>
                </w14:textFill>
              </w:rPr>
              <w:t>评价指标</w:t>
            </w:r>
          </w:p>
        </w:tc>
        <w:tc>
          <w:tcPr>
            <w:tcW w:w="4776" w:type="dxa"/>
            <w:shd w:val="clear" w:color="auto" w:fill="auto"/>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000000" w:themeColor="text1"/>
                <w:sz w:val="22"/>
                <w:szCs w:val="22"/>
                <w:highlight w:val="none"/>
                <w14:textFill>
                  <w14:solidFill>
                    <w14:schemeClr w14:val="tx1"/>
                  </w14:solidFill>
                </w14:textFill>
              </w:rPr>
            </w:pPr>
            <w:r>
              <w:rPr>
                <w:rFonts w:hint="eastAsia" w:ascii="仿宋_GB2312" w:hAnsi="仿宋_GB2312" w:eastAsia="仿宋_GB2312"/>
                <w:b w:val="0"/>
                <w:bCs w:val="0"/>
                <w:color w:val="000000" w:themeColor="text1"/>
                <w:sz w:val="22"/>
                <w:szCs w:val="22"/>
                <w:highlight w:val="none"/>
                <w14:textFill>
                  <w14:solidFill>
                    <w14:schemeClr w14:val="tx1"/>
                  </w14:solidFill>
                </w14:textFill>
              </w:rPr>
              <w:t>证明材料</w:t>
            </w:r>
          </w:p>
        </w:tc>
        <w:tc>
          <w:tcPr>
            <w:tcW w:w="3433" w:type="dxa"/>
            <w:shd w:val="clear" w:color="auto" w:fill="auto"/>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b w:val="0"/>
                <w:bCs w:val="0"/>
                <w:color w:val="000000" w:themeColor="text1"/>
                <w:sz w:val="22"/>
                <w:szCs w:val="22"/>
                <w:highlight w:val="none"/>
                <w14:textFill>
                  <w14:solidFill>
                    <w14:schemeClr w14:val="tx1"/>
                  </w14:solidFill>
                </w14:textFill>
              </w:rPr>
            </w:pPr>
            <w:r>
              <w:rPr>
                <w:rFonts w:hint="eastAsia" w:ascii="仿宋_GB2312" w:hAnsi="仿宋_GB2312" w:eastAsia="仿宋_GB2312"/>
                <w:b w:val="0"/>
                <w:bCs w:val="0"/>
                <w:color w:val="000000" w:themeColor="text1"/>
                <w:sz w:val="22"/>
                <w:szCs w:val="22"/>
                <w:highlight w:val="none"/>
                <w14:textFill>
                  <w14:solidFill>
                    <w14:schemeClr w14:val="tx1"/>
                  </w14:solidFill>
                </w14:textFill>
              </w:rPr>
              <w:t>证明材料要求</w:t>
            </w:r>
          </w:p>
        </w:tc>
        <w:tc>
          <w:tcPr>
            <w:tcW w:w="7007"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000000" w:themeColor="text1"/>
                <w:sz w:val="22"/>
                <w:szCs w:val="22"/>
                <w:highlight w:val="none"/>
                <w14:textFill>
                  <w14:solidFill>
                    <w14:schemeClr w14:val="tx1"/>
                  </w14:solidFill>
                </w14:textFill>
              </w:rPr>
            </w:pPr>
            <w:r>
              <w:rPr>
                <w:rFonts w:hint="eastAsia" w:ascii="仿宋_GB2312" w:hAnsi="仿宋_GB2312" w:eastAsia="仿宋_GB2312"/>
                <w:b w:val="0"/>
                <w:bCs w:val="0"/>
                <w:color w:val="000000" w:themeColor="text1"/>
                <w:sz w:val="22"/>
                <w:szCs w:val="22"/>
                <w:highlight w:val="none"/>
                <w14:textFill>
                  <w14:solidFill>
                    <w14:schemeClr w14:val="tx1"/>
                  </w14:solidFill>
                </w14:textFill>
              </w:rPr>
              <w:t>评分标准</w:t>
            </w:r>
          </w:p>
        </w:tc>
        <w:tc>
          <w:tcPr>
            <w:tcW w:w="1155"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000000" w:themeColor="text1"/>
                <w:sz w:val="22"/>
                <w:szCs w:val="22"/>
                <w:highlight w:val="none"/>
                <w14:textFill>
                  <w14:solidFill>
                    <w14:schemeClr w14:val="tx1"/>
                  </w14:solidFill>
                </w14:textFill>
              </w:rPr>
            </w:pPr>
            <w:r>
              <w:rPr>
                <w:rFonts w:hint="eastAsia" w:ascii="仿宋_GB2312" w:hAnsi="仿宋_GB2312" w:eastAsia="仿宋_GB2312"/>
                <w:b w:val="0"/>
                <w:bCs w:val="0"/>
                <w:color w:val="000000" w:themeColor="text1"/>
                <w:sz w:val="22"/>
                <w:szCs w:val="22"/>
                <w:highlight w:val="none"/>
                <w:lang w:val="en-US" w:eastAsia="zh-CN"/>
                <w14:textFill>
                  <w14:solidFill>
                    <w14:schemeClr w14:val="tx1"/>
                  </w14:solidFill>
                </w14:textFill>
              </w:rPr>
              <w:t>评</w:t>
            </w:r>
            <w:r>
              <w:rPr>
                <w:rFonts w:hint="eastAsia" w:ascii="仿宋_GB2312" w:hAnsi="仿宋_GB2312" w:eastAsia="仿宋_GB2312"/>
                <w:b w:val="0"/>
                <w:bCs w:val="0"/>
                <w:color w:val="000000" w:themeColor="text1"/>
                <w:sz w:val="22"/>
                <w:szCs w:val="22"/>
                <w:highlight w:val="none"/>
                <w14:textFill>
                  <w14:solidFill>
                    <w14:schemeClr w14:val="tx1"/>
                  </w14:solidFill>
                </w14:textFill>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jc w:val="center"/>
        </w:trPr>
        <w:tc>
          <w:tcPr>
            <w:tcW w:w="778" w:type="dxa"/>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b w:val="0"/>
                <w:bCs w:val="0"/>
                <w:color w:val="000000" w:themeColor="text1"/>
                <w:sz w:val="22"/>
                <w:szCs w:val="22"/>
                <w:highlight w:val="none"/>
                <w:lang w:val="en-US" w:eastAsia="zh-CN"/>
                <w14:textFill>
                  <w14:solidFill>
                    <w14:schemeClr w14:val="tx1"/>
                  </w14:solidFill>
                </w14:textFill>
              </w:rPr>
            </w:pPr>
            <w:r>
              <w:rPr>
                <w:rFonts w:hint="eastAsia" w:ascii="仿宋_GB2312" w:hAnsi="仿宋_GB2312" w:eastAsia="仿宋_GB2312"/>
                <w:b w:val="0"/>
                <w:bCs w:val="0"/>
                <w:color w:val="000000" w:themeColor="text1"/>
                <w:sz w:val="22"/>
                <w:szCs w:val="22"/>
                <w:highlight w:val="none"/>
                <w:lang w:val="en-US" w:eastAsia="zh-CN"/>
                <w14:textFill>
                  <w14:solidFill>
                    <w14:schemeClr w14:val="tx1"/>
                  </w14:solidFill>
                </w14:textFill>
              </w:rPr>
              <w:t>1</w:t>
            </w:r>
          </w:p>
        </w:tc>
        <w:tc>
          <w:tcPr>
            <w:tcW w:w="1376" w:type="dxa"/>
            <w:vMerge w:val="restart"/>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000000" w:themeColor="text1"/>
                <w:kern w:val="2"/>
                <w:sz w:val="18"/>
                <w:szCs w:val="18"/>
                <w:highlight w:val="none"/>
                <w:lang w:val="en-US" w:eastAsia="zh-CN" w:bidi="ar-SA"/>
                <w14:textFill>
                  <w14:solidFill>
                    <w14:schemeClr w14:val="tx1"/>
                  </w14:solidFill>
                </w14:textFill>
              </w:rPr>
            </w:pPr>
            <w: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t>企业资信</w:t>
            </w:r>
            <w: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br w:type="textWrapping"/>
            </w:r>
            <w: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t>（5分）</w:t>
            </w:r>
          </w:p>
        </w:tc>
        <w:tc>
          <w:tcPr>
            <w:tcW w:w="1713" w:type="dxa"/>
            <w:shd w:val="clear" w:color="auto" w:fill="auto"/>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000000" w:themeColor="text1"/>
                <w:kern w:val="2"/>
                <w:sz w:val="18"/>
                <w:szCs w:val="18"/>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企业同类获奖</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br w:type="textWrapping"/>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（近3年）</w:t>
            </w:r>
          </w:p>
        </w:tc>
        <w:tc>
          <w:tcPr>
            <w:tcW w:w="4776" w:type="dxa"/>
            <w:shd w:val="clear" w:color="auto" w:fill="auto"/>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000000" w:themeColor="text1"/>
                <w:kern w:val="2"/>
                <w:sz w:val="18"/>
                <w:szCs w:val="18"/>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提供近3年作为主要承建单位获得（仅限建设系统、科技系统、园林和林业系统）颁发奖项证书原件扫描件或其它相关证明</w:t>
            </w:r>
          </w:p>
        </w:tc>
        <w:tc>
          <w:tcPr>
            <w:tcW w:w="3433" w:type="dxa"/>
            <w:shd w:val="clear" w:color="auto" w:fill="auto"/>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000000" w:themeColor="text1"/>
                <w:kern w:val="2"/>
                <w:sz w:val="18"/>
                <w:szCs w:val="18"/>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对项目名称、项目所在地、竣工时间、颁奖单位、等信息进行标注。</w:t>
            </w:r>
          </w:p>
        </w:tc>
        <w:tc>
          <w:tcPr>
            <w:tcW w:w="7007" w:type="dxa"/>
            <w:shd w:val="clear" w:color="auto" w:fill="auto"/>
            <w:tcMar>
              <w:top w:w="10" w:type="dxa"/>
              <w:left w:w="10" w:type="dxa"/>
              <w:right w:w="10" w:type="dxa"/>
            </w:tcMar>
            <w:vAlign w:val="center"/>
          </w:tcPr>
          <w:p>
            <w:pPr>
              <w:widowControl w:val="0"/>
              <w:spacing w:line="240" w:lineRule="auto"/>
              <w:jc w:val="left"/>
              <w:rPr>
                <w:rFonts w:hint="default"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作为主要参建单位,近3年(获奖时间为准)获得（仅限建设系统、科技系统、园林和林业系统）颁发奖项，0.5分/项。</w:t>
            </w:r>
          </w:p>
          <w:p>
            <w:pPr>
              <w:widowControl w:val="0"/>
              <w:spacing w:line="240" w:lineRule="auto"/>
              <w:jc w:val="left"/>
              <w:rPr>
                <w:rFonts w:hint="default" w:ascii="仿宋_GB2312" w:hAnsi="仿宋_GB2312" w:eastAsia="仿宋_GB2312"/>
                <w:b w:val="0"/>
                <w:bCs w:val="0"/>
                <w:color w:val="000000" w:themeColor="text1"/>
                <w:sz w:val="22"/>
                <w:szCs w:val="2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注：同一项目获多个奖项可以重复计取</w:t>
            </w:r>
          </w:p>
        </w:tc>
        <w:tc>
          <w:tcPr>
            <w:tcW w:w="1155" w:type="dxa"/>
            <w:tcMar>
              <w:top w:w="10" w:type="dxa"/>
              <w:left w:w="10" w:type="dxa"/>
              <w:right w:w="10" w:type="dxa"/>
            </w:tcMar>
            <w:vAlign w:val="center"/>
          </w:tcPr>
          <w:p>
            <w:pPr>
              <w:adjustRightInd w:val="0"/>
              <w:snapToGrid w:val="0"/>
              <w:jc w:val="center"/>
              <w:textAlignment w:val="center"/>
              <w:rPr>
                <w:highlight w:val="none"/>
              </w:rPr>
            </w:pPr>
            <w:r>
              <w:rPr>
                <w:rFonts w:hint="eastAsia" w:ascii="仿宋_GB2312" w:hAnsi="仿宋_GB2312" w:eastAsia="仿宋_GB2312"/>
                <w:b w:val="0"/>
                <w:bCs w:val="0"/>
                <w:color w:val="000000" w:themeColor="text1"/>
                <w:sz w:val="22"/>
                <w:szCs w:val="22"/>
                <w:highlight w:val="none"/>
                <w:lang w:val="en-US" w:eastAsia="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b w:val="0"/>
                <w:bCs w:val="0"/>
                <w:color w:val="000000" w:themeColor="text1"/>
                <w:sz w:val="18"/>
                <w:szCs w:val="18"/>
                <w:highlight w:val="none"/>
                <w:lang w:eastAsia="zh-CN"/>
                <w14:textFill>
                  <w14:solidFill>
                    <w14:schemeClr w14:val="tx1"/>
                  </w14:solidFill>
                </w14:textFill>
              </w:rPr>
            </w:pPr>
            <w: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t>2</w:t>
            </w:r>
          </w:p>
        </w:tc>
        <w:tc>
          <w:tcPr>
            <w:tcW w:w="1376" w:type="dxa"/>
            <w:vMerge w:val="continue"/>
            <w:tcMar>
              <w:top w:w="10" w:type="dxa"/>
              <w:left w:w="10" w:type="dxa"/>
              <w:right w:w="10" w:type="dxa"/>
            </w:tcMar>
            <w:vAlign w:val="center"/>
          </w:tcPr>
          <w:p>
            <w:pPr>
              <w:pStyle w:val="16"/>
              <w:widowControl w:val="0"/>
              <w:adjustRightInd w:val="0"/>
              <w:snapToGrid w:val="0"/>
              <w:jc w:val="center"/>
              <w:rPr>
                <w:rFonts w:ascii="仿宋_GB2312" w:hAnsi="仿宋_GB2312" w:eastAsia="仿宋_GB2312"/>
                <w:b w:val="0"/>
                <w:bCs w:val="0"/>
                <w:color w:val="000000" w:themeColor="text1"/>
                <w:sz w:val="18"/>
                <w:szCs w:val="18"/>
                <w:highlight w:val="none"/>
                <w14:textFill>
                  <w14:solidFill>
                    <w14:schemeClr w14:val="tx1"/>
                  </w14:solidFill>
                </w14:textFill>
              </w:rPr>
            </w:pPr>
          </w:p>
        </w:tc>
        <w:tc>
          <w:tcPr>
            <w:tcW w:w="1713"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同类完工项目</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br w:type="textWrapping"/>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（近3年）</w:t>
            </w:r>
          </w:p>
        </w:tc>
        <w:tc>
          <w:tcPr>
            <w:tcW w:w="4776"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提供作为主要参建单位(园林景观工程专业承包单位),近3年竣工的(竣工验收时问为准)园林景观工程项目合同原件扫描件。</w:t>
            </w:r>
          </w:p>
        </w:tc>
        <w:tc>
          <w:tcPr>
            <w:tcW w:w="3433"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对合同金额、项目所在地、竣工报告竣工验收时间、工程类型等信息进行标注。</w:t>
            </w:r>
          </w:p>
        </w:tc>
        <w:tc>
          <w:tcPr>
            <w:tcW w:w="7007" w:type="dxa"/>
            <w:tcMar>
              <w:top w:w="10" w:type="dxa"/>
              <w:left w:w="10" w:type="dxa"/>
              <w:right w:w="10" w:type="dxa"/>
            </w:tcMar>
            <w:vAlign w:val="center"/>
          </w:tcPr>
          <w:p>
            <w:pPr>
              <w:widowControl/>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作为主要承建单位(园林景观工程专业承包单位)，近3年竣工的(竣工验收时间为准)：</w:t>
            </w:r>
          </w:p>
          <w:p>
            <w:pPr>
              <w:widowControl/>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1.合同金额1000万元以上的园林景观项目得0.5分/项，</w:t>
            </w:r>
          </w:p>
          <w:p>
            <w:pPr>
              <w:widowControl/>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2.合同金额500万元以上的园林景观项目得0.2分/项：</w:t>
            </w:r>
          </w:p>
        </w:tc>
        <w:tc>
          <w:tcPr>
            <w:tcW w:w="1155" w:type="dxa"/>
            <w:tcMar>
              <w:top w:w="10" w:type="dxa"/>
              <w:left w:w="10" w:type="dxa"/>
              <w:right w:w="10" w:type="dxa"/>
            </w:tcMar>
            <w:vAlign w:val="center"/>
          </w:tcPr>
          <w:p>
            <w:pPr>
              <w:adjustRightInd w:val="0"/>
              <w:snapToGrid w:val="0"/>
              <w:jc w:val="center"/>
              <w:textAlignment w:val="center"/>
              <w:rPr>
                <w:rFonts w:hint="default"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t>3</w:t>
            </w:r>
          </w:p>
        </w:tc>
        <w:tc>
          <w:tcPr>
            <w:tcW w:w="1376" w:type="dxa"/>
            <w:vMerge w:val="continue"/>
            <w:tcMar>
              <w:top w:w="10" w:type="dxa"/>
              <w:left w:w="10" w:type="dxa"/>
              <w:right w:w="10" w:type="dxa"/>
            </w:tcMar>
            <w:vAlign w:val="center"/>
          </w:tcPr>
          <w:p>
            <w:pPr>
              <w:pStyle w:val="16"/>
              <w:widowControl w:val="0"/>
              <w:adjustRightInd w:val="0"/>
              <w:snapToGrid w:val="0"/>
              <w:jc w:val="center"/>
              <w:rPr>
                <w:rFonts w:ascii="仿宋_GB2312" w:hAnsi="仿宋_GB2312" w:eastAsia="仿宋_GB2312"/>
                <w:b w:val="0"/>
                <w:bCs w:val="0"/>
                <w:color w:val="000000" w:themeColor="text1"/>
                <w:sz w:val="18"/>
                <w:szCs w:val="18"/>
                <w:highlight w:val="none"/>
                <w14:textFill>
                  <w14:solidFill>
                    <w14:schemeClr w14:val="tx1"/>
                  </w14:solidFill>
                </w14:textFill>
              </w:rPr>
            </w:pPr>
          </w:p>
        </w:tc>
        <w:tc>
          <w:tcPr>
            <w:tcW w:w="1713"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同类在建项目</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br w:type="textWrapping"/>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（近2年）</w:t>
            </w:r>
          </w:p>
        </w:tc>
        <w:tc>
          <w:tcPr>
            <w:tcW w:w="4776"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提供作为主要参建单位(园林景观工程专业承包单位)，近2年在建的园林景观工程专业承包项目合同原件扫描件。</w:t>
            </w:r>
          </w:p>
        </w:tc>
        <w:tc>
          <w:tcPr>
            <w:tcW w:w="3433"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对合同金额、项目所在地、工程类型、开工时间等信息进行标注。</w:t>
            </w:r>
          </w:p>
        </w:tc>
        <w:tc>
          <w:tcPr>
            <w:tcW w:w="7007"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作为主要承建单位(园林景观工程专业承包单位)，近2年在建的(中标通知书、合同、施工许可或开工报告时间为准)：)：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1.合同金额1000万元以上的园林景观项目得0.5分/项，</w:t>
            </w:r>
          </w:p>
          <w:p>
            <w:pPr>
              <w:rPr>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2.合同金额500万元以上的园林景观项目得0.2分/项：</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注：中标通知书、合同签订时间、施工许可或开工报告的开始时间为近2年；已开展竣工验收的项目不得列入。</w:t>
            </w:r>
          </w:p>
        </w:tc>
        <w:tc>
          <w:tcPr>
            <w:tcW w:w="1155" w:type="dxa"/>
            <w:tcMar>
              <w:top w:w="10" w:type="dxa"/>
              <w:left w:w="10" w:type="dxa"/>
              <w:right w:w="10" w:type="dxa"/>
            </w:tcMar>
            <w:vAlign w:val="center"/>
          </w:tcPr>
          <w:p>
            <w:pPr>
              <w:adjustRightInd w:val="0"/>
              <w:snapToGrid w:val="0"/>
              <w:jc w:val="center"/>
              <w:textAlignment w:val="center"/>
              <w:rPr>
                <w:rFonts w:hint="default"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4</w:t>
            </w:r>
          </w:p>
        </w:tc>
        <w:tc>
          <w:tcPr>
            <w:tcW w:w="1376"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信用等级</w:t>
            </w:r>
          </w:p>
          <w:p>
            <w:pPr>
              <w:widowControl w:val="0"/>
              <w:spacing w:line="240" w:lineRule="auto"/>
              <w:jc w:val="center"/>
              <w:rPr>
                <w:rFonts w:hint="default"/>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（5分）</w:t>
            </w:r>
          </w:p>
        </w:tc>
        <w:tc>
          <w:tcPr>
            <w:tcW w:w="1713" w:type="dxa"/>
            <w:tcMar>
              <w:top w:w="10" w:type="dxa"/>
              <w:left w:w="10" w:type="dxa"/>
              <w:right w:w="10" w:type="dxa"/>
            </w:tcMar>
            <w:vAlign w:val="center"/>
          </w:tcPr>
          <w:p>
            <w:pPr>
              <w:widowControl w:val="0"/>
              <w:spacing w:line="240" w:lineRule="auto"/>
              <w:jc w:val="center"/>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企业信用等级</w:t>
            </w:r>
          </w:p>
        </w:tc>
        <w:tc>
          <w:tcPr>
            <w:tcW w:w="4776"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提供最近一期建筑行业信用评价系统截图（https://www.gdzwfw.gov.cn/portal/v2/legal/hot）。</w:t>
            </w:r>
          </w:p>
        </w:tc>
        <w:tc>
          <w:tcPr>
            <w:tcW w:w="3433"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证明资料应能清晰反映关键信息，截图应体现单位名称、计算时间、在深圳市建筑市场主体信用管理系统中建筑施工信用等级等主要信息。</w:t>
            </w:r>
          </w:p>
        </w:tc>
        <w:tc>
          <w:tcPr>
            <w:tcW w:w="7007"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根据在深圳市建筑市场主体信用管理系统中建筑施工信用等级进行评分：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1.等级为A，得5分；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2.等级为B+，得4分；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3.等级为B，得3分；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4.等级为C，得1分；</w:t>
            </w:r>
          </w:p>
          <w:p>
            <w:pP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等级为D或未提不得分。</w:t>
            </w:r>
          </w:p>
        </w:tc>
        <w:tc>
          <w:tcPr>
            <w:tcW w:w="1155" w:type="dxa"/>
            <w:tcMar>
              <w:top w:w="10" w:type="dxa"/>
              <w:left w:w="10" w:type="dxa"/>
              <w:right w:w="10" w:type="dxa"/>
            </w:tcMar>
            <w:vAlign w:val="center"/>
          </w:tcPr>
          <w:p>
            <w:pPr>
              <w:widowControl w:val="0"/>
              <w:spacing w:line="240" w:lineRule="auto"/>
              <w:jc w:val="cente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5</w:t>
            </w:r>
          </w:p>
        </w:tc>
        <w:tc>
          <w:tcPr>
            <w:tcW w:w="1376" w:type="dxa"/>
            <w:vMerge w:val="restart"/>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经营状况</w:t>
            </w:r>
          </w:p>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仿宋_GB2312" w:eastAsia="仿宋_GB2312"/>
                <w:b w:val="0"/>
                <w:bCs w:val="0"/>
                <w:color w:val="000000" w:themeColor="text1"/>
                <w:sz w:val="18"/>
                <w:szCs w:val="18"/>
                <w:highlight w:val="none"/>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(10分)</w:t>
            </w: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近1年负债率</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提供2025年经审计的第三方财务报告（报告页需含防伪二维码，财务报表页需有公司签章）</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1.计算公式：负债率=负债总额÷资产总额×100%</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2.需对财务报告中负债总额、资产总额进行标记。</w:t>
            </w:r>
          </w:p>
        </w:tc>
        <w:tc>
          <w:tcPr>
            <w:tcW w:w="7007"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与行业（或申报单位）平均值相比，</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1.低于平均值20%（含）以上得1.5分；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2.低于平均值10-20%（不含）以上得1分；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3.低于平均值0-10%（不含）以上得0.5分；高于平均值不得分。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例：若行业（或申报单位）平均值为75%，则供应商近1年负债率55%时得1.5分，近1年负债率56%时得1分。</w:t>
            </w:r>
          </w:p>
        </w:tc>
        <w:tc>
          <w:tcPr>
            <w:tcW w:w="1155"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6</w:t>
            </w:r>
          </w:p>
        </w:tc>
        <w:tc>
          <w:tcPr>
            <w:tcW w:w="137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仿宋_GB2312" w:eastAsia="仿宋_GB2312"/>
                <w:b w:val="0"/>
                <w:bCs w:val="0"/>
                <w:color w:val="000000" w:themeColor="text1"/>
                <w:sz w:val="18"/>
                <w:szCs w:val="18"/>
                <w:highlight w:val="none"/>
                <w14:textFill>
                  <w14:solidFill>
                    <w14:schemeClr w14:val="tx1"/>
                  </w14:solidFill>
                </w14:textFill>
              </w:rPr>
            </w:pP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近1年净现金流</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提供2025年经审计的第三方财务报告（报告页需含防伪二维码，财务报表页需有公司签章）</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1.需对财务报告中净现金流进行标记，净现金流为经营性现金流量净额。</w:t>
            </w:r>
          </w:p>
        </w:tc>
        <w:tc>
          <w:tcPr>
            <w:tcW w:w="7007"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经营性净现金流为正，得3分；经营性净现金流为负，不得分。</w:t>
            </w:r>
          </w:p>
        </w:tc>
        <w:tc>
          <w:tcPr>
            <w:tcW w:w="1155"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7</w:t>
            </w:r>
          </w:p>
        </w:tc>
        <w:tc>
          <w:tcPr>
            <w:tcW w:w="137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仿宋_GB2312" w:eastAsia="仿宋_GB2312"/>
                <w:b w:val="0"/>
                <w:bCs w:val="0"/>
                <w:color w:val="000000" w:themeColor="text1"/>
                <w:sz w:val="18"/>
                <w:szCs w:val="18"/>
                <w:highlight w:val="none"/>
                <w14:textFill>
                  <w14:solidFill>
                    <w14:schemeClr w14:val="tx1"/>
                  </w14:solidFill>
                </w14:textFill>
              </w:rPr>
            </w:pP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短期债务偿还能力</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提供2025年经审计的第三方财务报告（报告页需含防伪二维码，财务报表页需有公司签章）</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1.计算公式：短期债务偿还能力=货币资金/（短期借款+一年内到期的非流动负债）</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2.需对财务报告中货币资金、短期借款、一年内到期的非流动负债进行标记。</w:t>
            </w:r>
          </w:p>
        </w:tc>
        <w:tc>
          <w:tcPr>
            <w:tcW w:w="7007"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与行业（或申报单位）平均值相比，</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1.高于平均值1.2倍（含）以上得1.5分；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2.高于平均值1.1倍（含）以上得1分；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3.高于平均值1倍（含）以上，或</w:t>
            </w:r>
            <w:r>
              <w:rPr>
                <w:rFonts w:hint="eastAsia" w:ascii="仿宋_GB2312" w:hAnsi="仿宋_GB2312" w:eastAsia="仿宋_GB2312" w:cs="仿宋_GB2312"/>
                <w:b w:val="0"/>
                <w:bCs w:val="0"/>
                <w:color w:val="000000" w:themeColor="text1"/>
                <w:sz w:val="18"/>
                <w:szCs w:val="18"/>
                <w:highlight w:val="none"/>
                <w14:textFill>
                  <w14:solidFill>
                    <w14:schemeClr w14:val="tx1"/>
                  </w14:solidFill>
                </w14:textFill>
              </w:rPr>
              <w:t>低于平均值但短期债务偿还能力</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大于</w:t>
            </w:r>
            <w:r>
              <w:rPr>
                <w:rFonts w:hint="eastAsia" w:ascii="仿宋_GB2312" w:hAnsi="仿宋_GB2312" w:eastAsia="仿宋_GB2312" w:cs="仿宋_GB2312"/>
                <w:b w:val="0"/>
                <w:bCs w:val="0"/>
                <w:color w:val="000000" w:themeColor="text1"/>
                <w:sz w:val="18"/>
                <w:szCs w:val="18"/>
                <w:highlight w:val="none"/>
                <w14:textFill>
                  <w14:solidFill>
                    <w14:schemeClr w14:val="tx1"/>
                  </w14:solidFill>
                </w14:textFill>
              </w:rPr>
              <w:t>1</w:t>
            </w:r>
            <w:r>
              <w:rPr>
                <w:rFonts w:hint="eastAsia" w:ascii="仿宋_GB2312" w:hAnsi="仿宋_GB2312" w:eastAsia="仿宋_GB2312" w:cs="仿宋_GB2312"/>
                <w:b w:val="0"/>
                <w:bCs w:val="0"/>
                <w:color w:val="000000" w:themeColor="text1"/>
                <w:sz w:val="18"/>
                <w:szCs w:val="18"/>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得0.5分；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4.其余情形不得分。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例：若行业（或申报单位）平均值为1.2，则供应商近1年短期债务偿还能力1.44得1.5分，近1年短期债务偿还能力1.32得1分。</w:t>
            </w:r>
          </w:p>
        </w:tc>
        <w:tc>
          <w:tcPr>
            <w:tcW w:w="1155"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8</w:t>
            </w:r>
          </w:p>
        </w:tc>
        <w:tc>
          <w:tcPr>
            <w:tcW w:w="137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仿宋_GB2312" w:eastAsia="仿宋_GB2312"/>
                <w:b w:val="0"/>
                <w:bCs w:val="0"/>
                <w:color w:val="000000" w:themeColor="text1"/>
                <w:sz w:val="18"/>
                <w:szCs w:val="18"/>
                <w:highlight w:val="none"/>
                <w14:textFill>
                  <w14:solidFill>
                    <w14:schemeClr w14:val="tx1"/>
                  </w14:solidFill>
                </w14:textFill>
              </w:rPr>
            </w:pP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经营变化</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1.提供近2年（2024年、2025年）经审计的第三方财务报告（报告页需含防伪二维码，财务报表页需有公司签章）</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2.信用评级机构或银行出具的信用评价证明。</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1.提供近2年企业负债率、净现金流、偿债能力汇总表；</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2.对近2年信用评级情况进行标记。</w:t>
            </w:r>
          </w:p>
        </w:tc>
        <w:tc>
          <w:tcPr>
            <w:tcW w:w="7007" w:type="dxa"/>
            <w:tcMar>
              <w:top w:w="10" w:type="dxa"/>
              <w:left w:w="10" w:type="dxa"/>
              <w:right w:w="10" w:type="dxa"/>
            </w:tcMar>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企业负债率、净现金流、偿债能力、信用评价四项指标，与上1年比较，（基础为4分）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1.企业资产负债率上升且高于平均值扣1分；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2.净现金流下降且低于0扣1分；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3.短期债务偿还能力下降且低于平均值扣1分；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4.信用评级机构或银行信用评级下降扣1分；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若未提供的不得分。</w:t>
            </w:r>
          </w:p>
        </w:tc>
        <w:tc>
          <w:tcPr>
            <w:tcW w:w="1155"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083" w:type="dxa"/>
            <w:gridSpan w:val="6"/>
            <w:noWrap/>
            <w:tcMar>
              <w:top w:w="10" w:type="dxa"/>
              <w:left w:w="10" w:type="dxa"/>
              <w:right w:w="10" w:type="dxa"/>
            </w:tcMar>
            <w:vAlign w:val="center"/>
          </w:tcPr>
          <w:p>
            <w:pPr>
              <w:adjustRightInd w:val="0"/>
              <w:snapToGrid w:val="0"/>
              <w:jc w:val="center"/>
              <w:textAlignment w:val="center"/>
              <w:rPr>
                <w:rFonts w:ascii="仿宋_GB2312" w:eastAsia="仿宋_GB2312"/>
                <w:b w:val="0"/>
                <w:bCs w:val="0"/>
                <w:color w:val="000000" w:themeColor="text1"/>
                <w:sz w:val="18"/>
                <w:szCs w:val="18"/>
                <w:highlight w:val="none"/>
                <w14:textFill>
                  <w14:solidFill>
                    <w14:schemeClr w14:val="tx1"/>
                  </w14:solidFill>
                </w14:textFill>
              </w:rPr>
            </w:pPr>
            <w:r>
              <w:rPr>
                <w:rFonts w:hint="eastAsia" w:ascii="仿宋_GB2312" w:eastAsia="仿宋_GB2312"/>
                <w:b w:val="0"/>
                <w:bCs w:val="0"/>
                <w:color w:val="000000" w:themeColor="text1"/>
                <w:sz w:val="18"/>
                <w:szCs w:val="18"/>
                <w:highlight w:val="none"/>
                <w14:textFill>
                  <w14:solidFill>
                    <w14:schemeClr w14:val="tx1"/>
                  </w14:solidFill>
                </w14:textFill>
              </w:rPr>
              <w:t>合计</w:t>
            </w:r>
          </w:p>
        </w:tc>
        <w:tc>
          <w:tcPr>
            <w:tcW w:w="1155" w:type="dxa"/>
            <w:tcMar>
              <w:top w:w="10" w:type="dxa"/>
              <w:left w:w="10" w:type="dxa"/>
              <w:right w:w="10" w:type="dxa"/>
            </w:tcMar>
            <w:vAlign w:val="center"/>
          </w:tcPr>
          <w:p>
            <w:pPr>
              <w:adjustRightInd w:val="0"/>
              <w:snapToGrid w:val="0"/>
              <w:jc w:val="center"/>
              <w:textAlignment w:val="center"/>
              <w:rPr>
                <w:rFonts w:hint="default" w:ascii="仿宋_GB2312" w:hAnsi="仿宋_GB2312" w:eastAsia="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b w:val="0"/>
                <w:bCs w:val="0"/>
                <w:color w:val="000000" w:themeColor="text1"/>
                <w:sz w:val="18"/>
                <w:szCs w:val="18"/>
                <w:highlight w:val="none"/>
                <w:lang w:val="en-US" w:eastAsia="zh-CN"/>
                <w14:textFill>
                  <w14:solidFill>
                    <w14:schemeClr w14:val="tx1"/>
                  </w14:solidFill>
                </w14:textFill>
              </w:rPr>
              <w:t>20</w:t>
            </w:r>
          </w:p>
        </w:tc>
      </w:tr>
    </w:tbl>
    <w:p>
      <w:pPr>
        <w:rPr>
          <w:rFonts w:hint="default"/>
          <w:highlight w:val="none"/>
          <w:lang w:val="en-US" w:eastAsia="zh-CN"/>
        </w:rPr>
      </w:pPr>
    </w:p>
    <w:p>
      <w:pPr>
        <w:adjustRightInd w:val="0"/>
        <w:snapToGrid w:val="0"/>
        <w:rPr>
          <w:rFonts w:ascii="仿宋_GB2312" w:eastAsia="仿宋_GB2312"/>
          <w:color w:val="000000" w:themeColor="text1"/>
          <w:szCs w:val="21"/>
          <w:highlight w:val="none"/>
          <w14:textFill>
            <w14:solidFill>
              <w14:schemeClr w14:val="tx1"/>
            </w14:solidFill>
          </w14:textFill>
        </w:rPr>
      </w:pPr>
    </w:p>
    <w:p>
      <w:pPr>
        <w:ind w:left="0" w:leftChars="0" w:firstLineChars="0"/>
        <w:jc w:val="cente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br w:type="page"/>
      </w:r>
    </w:p>
    <w:p>
      <w:pPr>
        <w:pStyle w:val="2"/>
        <w:ind w:left="0" w:leftChars="0" w:firstLine="0" w:firstLineChars="0"/>
        <w:jc w:val="cente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1022985</wp:posOffset>
                </wp:positionH>
                <wp:positionV relativeFrom="paragraph">
                  <wp:posOffset>-319405</wp:posOffset>
                </wp:positionV>
                <wp:extent cx="1828800" cy="1828800"/>
                <wp:effectExtent l="0" t="0" r="0" b="0"/>
                <wp:wrapSquare wrapText="bothSides"/>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80.55pt;margin-top:-25.15pt;height:144pt;width:144pt;mso-wrap-distance-bottom:0pt;mso-wrap-distance-left:9pt;mso-wrap-distance-right:9pt;mso-wrap-distance-top:0pt;mso-wrap-style:none;z-index:251660288;mso-width-relative:page;mso-height-relative:page;" fillcolor="#FFFFFF [3201]" filled="t" stroked="f" coordsize="21600,21600" o:gfxdata="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8MDHy2wAAAAsBAAAPAAAAAAAA&#10;AAEAIAAAACIAAABkcnMvZG93bnJldi54bWxQSwECFAAUAAAACACHTuJAb7Mh8kgCAACOBAAADgAA&#10;AAAAAAABACAAAAAqAQAAZHJzL2Uyb0RvYy54bWxQSwUGAAAAAAYABgBZAQAA5AUAAAAA&#10;">
                <v:fill on="t" focussize="0,0"/>
                <v:stroke on="f" weight="0.5pt"/>
                <v:imagedata o:title=""/>
                <o:lock v:ext="edit" aspectratio="f"/>
                <v:textbox style="mso-fit-shape-to-text:t;">
                  <w:txbxContent>
                    <w:p>
                      <w:pPr>
                        <w:rPr>
                          <w:rFonts w:hint="eastAsia"/>
                          <w:lang w:val="en-US" w:eastAsia="zh-CN"/>
                        </w:rPr>
                      </w:pPr>
                    </w:p>
                  </w:txbxContent>
                </v:textbox>
                <w10:wrap type="square"/>
              </v:shape>
            </w:pict>
          </mc:Fallback>
        </mc:AlternateContent>
      </w:r>
      <w: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t>地基与基础类市场评价评分表</w:t>
      </w:r>
    </w:p>
    <w:tbl>
      <w:tblPr>
        <w:tblStyle w:val="6"/>
        <w:tblW w:w="20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8"/>
        <w:gridCol w:w="1376"/>
        <w:gridCol w:w="1713"/>
        <w:gridCol w:w="4776"/>
        <w:gridCol w:w="3433"/>
        <w:gridCol w:w="6970"/>
        <w:gridCol w:w="1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blHeader/>
          <w:jc w:val="center"/>
        </w:trPr>
        <w:tc>
          <w:tcPr>
            <w:tcW w:w="778"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ascii="仿宋_GB2312" w:hAnsi="仿宋_GB2312" w:eastAsia="仿宋_GB2312"/>
                <w:b w:val="0"/>
                <w:bCs w:val="0"/>
                <w:color w:val="auto"/>
                <w:sz w:val="22"/>
                <w:szCs w:val="22"/>
                <w:highlight w:val="none"/>
              </w:rPr>
            </w:pPr>
            <w:r>
              <w:rPr>
                <w:rFonts w:hint="eastAsia" w:ascii="仿宋_GB2312" w:hAnsi="仿宋_GB2312" w:eastAsia="仿宋_GB2312"/>
                <w:b w:val="0"/>
                <w:bCs w:val="0"/>
                <w:color w:val="auto"/>
                <w:sz w:val="22"/>
                <w:szCs w:val="22"/>
                <w:highlight w:val="none"/>
              </w:rPr>
              <w:t>序号</w:t>
            </w:r>
          </w:p>
        </w:tc>
        <w:tc>
          <w:tcPr>
            <w:tcW w:w="13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hint="default" w:ascii="仿宋_GB2312" w:hAnsi="仿宋_GB2312" w:eastAsia="仿宋_GB2312"/>
                <w:b w:val="0"/>
                <w:bCs w:val="0"/>
                <w:color w:val="auto"/>
                <w:sz w:val="22"/>
                <w:szCs w:val="22"/>
                <w:highlight w:val="none"/>
                <w:lang w:val="en-US" w:eastAsia="zh-CN"/>
              </w:rPr>
            </w:pPr>
            <w:r>
              <w:rPr>
                <w:rFonts w:hint="eastAsia" w:ascii="仿宋_GB2312" w:hAnsi="仿宋_GB2312" w:eastAsia="仿宋_GB2312"/>
                <w:b w:val="0"/>
                <w:bCs w:val="0"/>
                <w:color w:val="auto"/>
                <w:sz w:val="22"/>
                <w:szCs w:val="22"/>
                <w:highlight w:val="none"/>
                <w:lang w:val="en-US" w:eastAsia="zh-CN"/>
              </w:rPr>
              <w:t>评价项</w:t>
            </w: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ascii="仿宋_GB2312" w:hAnsi="仿宋_GB2312" w:eastAsia="仿宋_GB2312"/>
                <w:b w:val="0"/>
                <w:bCs w:val="0"/>
                <w:color w:val="auto"/>
                <w:sz w:val="22"/>
                <w:szCs w:val="22"/>
                <w:highlight w:val="none"/>
              </w:rPr>
            </w:pPr>
            <w:r>
              <w:rPr>
                <w:rFonts w:hint="eastAsia" w:ascii="仿宋_GB2312" w:hAnsi="仿宋_GB2312" w:eastAsia="仿宋_GB2312"/>
                <w:b w:val="0"/>
                <w:bCs w:val="0"/>
                <w:color w:val="auto"/>
                <w:sz w:val="22"/>
                <w:szCs w:val="22"/>
                <w:highlight w:val="none"/>
                <w:lang w:val="en-US" w:eastAsia="zh-CN"/>
              </w:rPr>
              <w:t>评价指标</w:t>
            </w:r>
          </w:p>
        </w:tc>
        <w:tc>
          <w:tcPr>
            <w:tcW w:w="4776" w:type="dxa"/>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ascii="仿宋_GB2312" w:hAnsi="仿宋_GB2312" w:eastAsia="仿宋_GB2312"/>
                <w:b w:val="0"/>
                <w:bCs w:val="0"/>
                <w:color w:val="auto"/>
                <w:sz w:val="22"/>
                <w:szCs w:val="22"/>
                <w:highlight w:val="none"/>
              </w:rPr>
            </w:pPr>
            <w:r>
              <w:rPr>
                <w:rFonts w:hint="eastAsia" w:ascii="仿宋_GB2312" w:hAnsi="仿宋_GB2312" w:eastAsia="仿宋_GB2312"/>
                <w:b w:val="0"/>
                <w:bCs w:val="0"/>
                <w:color w:val="auto"/>
                <w:sz w:val="22"/>
                <w:szCs w:val="22"/>
                <w:highlight w:val="none"/>
              </w:rPr>
              <w:t>证明材料</w:t>
            </w:r>
          </w:p>
        </w:tc>
        <w:tc>
          <w:tcPr>
            <w:tcW w:w="3433" w:type="dxa"/>
            <w:shd w:val="clear" w:color="auto" w:fill="auto"/>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hint="eastAsia" w:ascii="仿宋_GB2312" w:hAnsi="仿宋_GB2312" w:eastAsia="仿宋_GB2312"/>
                <w:b w:val="0"/>
                <w:bCs w:val="0"/>
                <w:color w:val="auto"/>
                <w:sz w:val="22"/>
                <w:szCs w:val="22"/>
                <w:highlight w:val="none"/>
              </w:rPr>
            </w:pPr>
            <w:r>
              <w:rPr>
                <w:rFonts w:hint="eastAsia" w:ascii="仿宋_GB2312" w:hAnsi="仿宋_GB2312" w:eastAsia="仿宋_GB2312"/>
                <w:b w:val="0"/>
                <w:bCs w:val="0"/>
                <w:color w:val="auto"/>
                <w:sz w:val="22"/>
                <w:szCs w:val="22"/>
                <w:highlight w:val="none"/>
              </w:rPr>
              <w:t>证明材料要求</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ascii="仿宋_GB2312" w:hAnsi="仿宋_GB2312" w:eastAsia="仿宋_GB2312"/>
                <w:b w:val="0"/>
                <w:bCs w:val="0"/>
                <w:color w:val="auto"/>
                <w:sz w:val="22"/>
                <w:szCs w:val="22"/>
                <w:highlight w:val="none"/>
              </w:rPr>
            </w:pPr>
            <w:r>
              <w:rPr>
                <w:rFonts w:hint="eastAsia" w:ascii="仿宋_GB2312" w:hAnsi="仿宋_GB2312" w:eastAsia="仿宋_GB2312"/>
                <w:b w:val="0"/>
                <w:bCs w:val="0"/>
                <w:color w:val="auto"/>
                <w:sz w:val="22"/>
                <w:szCs w:val="22"/>
                <w:highlight w:val="none"/>
              </w:rPr>
              <w:t>评分标准</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ascii="仿宋_GB2312" w:hAnsi="仿宋_GB2312" w:eastAsia="仿宋_GB2312"/>
                <w:b w:val="0"/>
                <w:bCs w:val="0"/>
                <w:color w:val="auto"/>
                <w:sz w:val="22"/>
                <w:szCs w:val="22"/>
                <w:highlight w:val="none"/>
              </w:rPr>
            </w:pPr>
            <w:r>
              <w:rPr>
                <w:rFonts w:hint="eastAsia" w:ascii="仿宋_GB2312" w:hAnsi="仿宋_GB2312" w:eastAsia="仿宋_GB2312"/>
                <w:b w:val="0"/>
                <w:bCs w:val="0"/>
                <w:color w:val="auto"/>
                <w:sz w:val="22"/>
                <w:szCs w:val="22"/>
                <w:highlight w:val="none"/>
                <w:lang w:val="en-US" w:eastAsia="zh-CN"/>
              </w:rPr>
              <w:t>评</w:t>
            </w:r>
            <w:r>
              <w:rPr>
                <w:rFonts w:hint="eastAsia" w:ascii="仿宋_GB2312" w:hAnsi="仿宋_GB2312" w:eastAsia="仿宋_GB2312"/>
                <w:b w:val="0"/>
                <w:bCs w:val="0"/>
                <w:color w:val="auto"/>
                <w:sz w:val="22"/>
                <w:szCs w:val="22"/>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w:t>
            </w:r>
          </w:p>
        </w:tc>
        <w:tc>
          <w:tcPr>
            <w:tcW w:w="1376" w:type="dxa"/>
            <w:vMerge w:val="restart"/>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企业资信</w:t>
            </w:r>
            <w:r>
              <w:rPr>
                <w:rFonts w:hint="eastAsia" w:ascii="仿宋_GB2312" w:hAnsi="仿宋_GB2312" w:eastAsia="仿宋_GB2312"/>
                <w:b w:val="0"/>
                <w:bCs w:val="0"/>
                <w:color w:val="auto"/>
                <w:sz w:val="18"/>
                <w:szCs w:val="18"/>
                <w:highlight w:val="none"/>
                <w:lang w:val="en-US" w:eastAsia="zh-CN"/>
              </w:rPr>
              <w:br w:type="textWrapping"/>
            </w:r>
            <w:r>
              <w:rPr>
                <w:rFonts w:hint="eastAsia" w:ascii="仿宋_GB2312" w:hAnsi="仿宋_GB2312" w:eastAsia="仿宋_GB2312"/>
                <w:b w:val="0"/>
                <w:bCs w:val="0"/>
                <w:color w:val="auto"/>
                <w:sz w:val="18"/>
                <w:szCs w:val="18"/>
                <w:highlight w:val="none"/>
                <w:lang w:val="en-US" w:eastAsia="zh-CN"/>
              </w:rPr>
              <w:t>（</w:t>
            </w:r>
            <w:r>
              <w:rPr>
                <w:rFonts w:hint="eastAsia" w:ascii="仿宋_GB2312" w:hAnsi="仿宋_GB2312" w:eastAsia="仿宋_GB2312" w:cs="Times New Roman"/>
                <w:b w:val="0"/>
                <w:bCs w:val="0"/>
                <w:color w:val="auto"/>
                <w:kern w:val="2"/>
                <w:sz w:val="18"/>
                <w:szCs w:val="18"/>
                <w:highlight w:val="none"/>
                <w:lang w:val="en-US" w:eastAsia="zh-CN" w:bidi="ar-SA"/>
              </w:rPr>
              <w:t>10</w:t>
            </w:r>
            <w:r>
              <w:rPr>
                <w:rFonts w:hint="eastAsia" w:ascii="仿宋_GB2312" w:hAnsi="仿宋_GB2312" w:eastAsia="仿宋_GB2312"/>
                <w:b w:val="0"/>
                <w:bCs w:val="0"/>
                <w:color w:val="auto"/>
                <w:sz w:val="18"/>
                <w:szCs w:val="18"/>
                <w:highlight w:val="none"/>
                <w:lang w:val="en-US" w:eastAsia="zh-CN"/>
              </w:rPr>
              <w:t>分）</w:t>
            </w: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企业资质</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提供企业资质证书原件扫描件</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对企业拥有的地基基础工程专业资质的等级进行标记。</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根据企业最高资质进行评分：</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1.具有地基基础工程一级的，得2分；</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2.具有地基基础工程二级的，得1分；</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3.其他资质的不得分。</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w:t>
            </w:r>
          </w:p>
        </w:tc>
        <w:tc>
          <w:tcPr>
            <w:tcW w:w="137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企业同类获奖</w:t>
            </w:r>
            <w:r>
              <w:rPr>
                <w:rFonts w:hint="eastAsia" w:ascii="仿宋_GB2312" w:hAnsi="仿宋_GB2312" w:eastAsia="仿宋_GB2312" w:cs="仿宋_GB2312"/>
                <w:b w:val="0"/>
                <w:bCs w:val="0"/>
                <w:color w:val="auto"/>
                <w:sz w:val="18"/>
                <w:szCs w:val="18"/>
                <w:highlight w:val="none"/>
                <w:lang w:val="en-US" w:eastAsia="zh-CN"/>
              </w:rPr>
              <w:br w:type="textWrapping"/>
            </w:r>
            <w:r>
              <w:rPr>
                <w:rFonts w:hint="eastAsia" w:ascii="仿宋_GB2312" w:hAnsi="仿宋_GB2312" w:eastAsia="仿宋_GB2312" w:cs="仿宋_GB2312"/>
                <w:b w:val="0"/>
                <w:bCs w:val="0"/>
                <w:color w:val="auto"/>
                <w:sz w:val="18"/>
                <w:szCs w:val="18"/>
                <w:highlight w:val="none"/>
                <w:lang w:val="en-US" w:eastAsia="zh-CN"/>
              </w:rPr>
              <w:t>（近3年）</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提供近3年作为主要参建单位（地基基础单位）获得鲁班奖、国家优质工程金质奖（金奖）、中国土木工程詹天佑奖获奖证书原件扫描件或其它相关证明。</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对项目名称、项目所在地、竣工时间、颁奖单位、项目属性为房建类（包括住宅、公共建筑）等信息进行标注。</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作为主要参建单位（地基基础单位），近3年(获奖时间为准)获得鲁班奖、国家优质工程金质奖（金奖）、中国土木工程詹天佑奖获，0.5分/项。</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注：同一项目获多个奖项可以重复计取</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w:t>
            </w:r>
          </w:p>
        </w:tc>
        <w:tc>
          <w:tcPr>
            <w:tcW w:w="137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同类完工项目</w:t>
            </w:r>
            <w:r>
              <w:rPr>
                <w:rFonts w:hint="eastAsia" w:ascii="仿宋_GB2312" w:hAnsi="仿宋_GB2312" w:eastAsia="仿宋_GB2312" w:cs="仿宋_GB2312"/>
                <w:b w:val="0"/>
                <w:bCs w:val="0"/>
                <w:color w:val="auto"/>
                <w:sz w:val="18"/>
                <w:szCs w:val="18"/>
                <w:highlight w:val="none"/>
                <w:lang w:val="en-US" w:eastAsia="zh-CN"/>
              </w:rPr>
              <w:br w:type="textWrapping"/>
            </w:r>
            <w:r>
              <w:rPr>
                <w:rFonts w:hint="eastAsia" w:ascii="仿宋_GB2312" w:hAnsi="仿宋_GB2312" w:eastAsia="仿宋_GB2312" w:cs="仿宋_GB2312"/>
                <w:b w:val="0"/>
                <w:bCs w:val="0"/>
                <w:color w:val="auto"/>
                <w:sz w:val="18"/>
                <w:szCs w:val="18"/>
                <w:highlight w:val="none"/>
                <w:lang w:val="en-US" w:eastAsia="zh-CN"/>
              </w:rPr>
              <w:t>（近3年）</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color w:val="auto"/>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提供近3年竣工的地基基础工程合同和竣工验收报告原件扫描件。</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对合同金额、项目所在地、竣工报告竣工验收时间、工程类型等信息进行标注。</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作为主要承建单位，近3年竣工的(竣工验收时间为准)：</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1.业绩金额1亿元以上，得0.5分/项，</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2.业绩金额5000万元以上，得0.2分/项。</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color w:val="auto"/>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注：需提供地基基础专业工程合同业绩，总包项目工程业绩不予认可。</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4</w:t>
            </w:r>
          </w:p>
        </w:tc>
        <w:tc>
          <w:tcPr>
            <w:tcW w:w="137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同类在建项目</w:t>
            </w:r>
            <w:r>
              <w:rPr>
                <w:rFonts w:hint="eastAsia" w:ascii="仿宋_GB2312" w:hAnsi="仿宋_GB2312" w:eastAsia="仿宋_GB2312" w:cs="仿宋_GB2312"/>
                <w:b w:val="0"/>
                <w:bCs w:val="0"/>
                <w:color w:val="auto"/>
                <w:sz w:val="18"/>
                <w:szCs w:val="18"/>
                <w:highlight w:val="none"/>
                <w:lang w:val="en-US" w:eastAsia="zh-CN"/>
              </w:rPr>
              <w:br w:type="textWrapping"/>
            </w:r>
            <w:r>
              <w:rPr>
                <w:rFonts w:hint="eastAsia" w:ascii="仿宋_GB2312" w:hAnsi="仿宋_GB2312" w:eastAsia="仿宋_GB2312" w:cs="仿宋_GB2312"/>
                <w:b w:val="0"/>
                <w:bCs w:val="0"/>
                <w:color w:val="auto"/>
                <w:sz w:val="18"/>
                <w:szCs w:val="18"/>
                <w:highlight w:val="none"/>
                <w:lang w:val="en-US" w:eastAsia="zh-CN"/>
              </w:rPr>
              <w:t>（近2年）</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提供近2年在建的地基基础工程合同原件扫描件。</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对合同金额、项目所在地、竣工报告竣工验收时间、工程类型等信息进行标注。</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作为主要承建单位，近2年在建项目(中标通知书、合同、施工许可或开工报告时间为准)：</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1.业绩金额1亿元以上，得0.5分/项，</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2.业绩金额5000万元以上，得0.2分/项。</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注：中标通知书、合同签订时间、施工许可或开工报告的开始时间为近2年；需提供地基基础专业工程合同业绩，总包项目工程业绩不予认可。</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5</w:t>
            </w:r>
          </w:p>
        </w:tc>
        <w:tc>
          <w:tcPr>
            <w:tcW w:w="137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kern w:val="2"/>
                <w:sz w:val="18"/>
                <w:szCs w:val="18"/>
                <w:highlight w:val="none"/>
                <w:lang w:val="en-US" w:eastAsia="zh-CN" w:bidi="ar-SA"/>
              </w:rPr>
            </w:pP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专业能力</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1.提供自有旋挖桩基设备合同、发票扫描件；</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2.提供</w:t>
            </w:r>
            <w:r>
              <w:rPr>
                <w:rFonts w:hint="eastAsia" w:ascii="仿宋_GB2312" w:hAnsi="仿宋_GB2312" w:eastAsia="仿宋_GB2312" w:cs="仿宋_GB2312"/>
                <w:color w:val="auto"/>
                <w:sz w:val="18"/>
                <w:szCs w:val="18"/>
                <w:highlight w:val="none"/>
              </w:rPr>
              <w:t>注册土木工程师(岩土)</w:t>
            </w:r>
            <w:r>
              <w:rPr>
                <w:rFonts w:hint="eastAsia" w:ascii="仿宋_GB2312" w:hAnsi="仿宋_GB2312" w:eastAsia="仿宋_GB2312" w:cs="仿宋_GB2312"/>
                <w:b w:val="0"/>
                <w:bCs w:val="0"/>
                <w:color w:val="auto"/>
                <w:sz w:val="18"/>
                <w:szCs w:val="18"/>
                <w:highlight w:val="none"/>
                <w:lang w:val="en-US" w:eastAsia="zh-CN"/>
              </w:rPr>
              <w:t>证件扫描件，并提供公司近半年社保扫描件；</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3.提供勘察大师证件扫描件，并提供公司近半年社保扫描件，若已退休的则提供返聘合同。</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1.对合同（发票）主体、设备名称进行标注，合同（发票）主体须为申报单位；</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2.人员注册证书应在有效期内，须体现注册有效期、注册单位，社保缴存单位须为申报单位；</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3.对勘察设计大师颁证单位进行标注，人员社保缴存单位或返聘合同签订单位须为申报单位。</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1.自有旋挖桩基设备数量：10台（含）以上得2分；5台（含）以上得1分；其余情况不得分；</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w:t>
            </w:r>
            <w:r>
              <w:rPr>
                <w:rFonts w:hint="eastAsia" w:ascii="仿宋_GB2312" w:hAnsi="仿宋_GB2312" w:eastAsia="仿宋_GB2312" w:cs="仿宋_GB2312"/>
                <w:color w:val="auto"/>
                <w:sz w:val="18"/>
                <w:szCs w:val="18"/>
                <w:highlight w:val="none"/>
              </w:rPr>
              <w:t>注册土木工程师(岩土)</w:t>
            </w:r>
            <w:r>
              <w:rPr>
                <w:rFonts w:hint="eastAsia" w:ascii="仿宋_GB2312" w:hAnsi="仿宋_GB2312" w:eastAsia="仿宋_GB2312" w:cs="仿宋_GB2312"/>
                <w:b w:val="0"/>
                <w:bCs w:val="0"/>
                <w:color w:val="auto"/>
                <w:sz w:val="18"/>
                <w:szCs w:val="18"/>
                <w:highlight w:val="none"/>
                <w:lang w:val="en-US" w:eastAsia="zh-CN"/>
              </w:rPr>
              <w:t>人员数量：10人（含）以上得2分；5人（含）以上得1分；其余情况不得分；</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3.勘察设计大师情况：颁证单位为国家级得1分/人；颁证单位为省级得0.5分/人；颁证单位为市级得0.2分/人；本项评分满分为1分。</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widowControl w:val="0"/>
              <w:spacing w:line="240" w:lineRule="auto"/>
              <w:jc w:val="center"/>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6</w:t>
            </w:r>
          </w:p>
        </w:tc>
        <w:tc>
          <w:tcPr>
            <w:tcW w:w="1376"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信用等级</w:t>
            </w:r>
          </w:p>
          <w:p>
            <w:pPr>
              <w:widowControl w:val="0"/>
              <w:spacing w:line="240" w:lineRule="auto"/>
              <w:jc w:val="center"/>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（5分）</w:t>
            </w:r>
          </w:p>
        </w:tc>
        <w:tc>
          <w:tcPr>
            <w:tcW w:w="1713" w:type="dxa"/>
            <w:tcMar>
              <w:top w:w="10" w:type="dxa"/>
              <w:left w:w="10" w:type="dxa"/>
              <w:right w:w="10" w:type="dxa"/>
            </w:tcMar>
            <w:vAlign w:val="center"/>
          </w:tcPr>
          <w:p>
            <w:pPr>
              <w:widowControl w:val="0"/>
              <w:spacing w:line="240" w:lineRule="auto"/>
              <w:jc w:val="center"/>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企业信用等级</w:t>
            </w:r>
          </w:p>
        </w:tc>
        <w:tc>
          <w:tcPr>
            <w:tcW w:w="4776"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提供最近一期建筑行业信用评价系统截图（https://www.gdzwfw.gov.cn/portal/v2/legal/hot）。</w:t>
            </w:r>
          </w:p>
        </w:tc>
        <w:tc>
          <w:tcPr>
            <w:tcW w:w="3433"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证明资料应能清晰反映关键信息，截图应体现单位名称、计算时间、在深圳市建筑市场主体信用管理系统中建筑施工信用等级等主要信息。</w:t>
            </w:r>
          </w:p>
        </w:tc>
        <w:tc>
          <w:tcPr>
            <w:tcW w:w="6970"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根据在深圳市建筑市场主体信用管理系统中建筑施工信用等级进行评分：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1.等级为A，得5分；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2.等级为B+，得4分；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3.等级为B，得3分；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4.等级为C，得1分；</w:t>
            </w:r>
          </w:p>
          <w:p>
            <w:pP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等级为D或未提不得分。</w:t>
            </w:r>
          </w:p>
        </w:tc>
        <w:tc>
          <w:tcPr>
            <w:tcW w:w="1192"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7</w:t>
            </w:r>
          </w:p>
        </w:tc>
        <w:tc>
          <w:tcPr>
            <w:tcW w:w="1376" w:type="dxa"/>
            <w:vMerge w:val="restart"/>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经营状况</w:t>
            </w:r>
          </w:p>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(5分)</w:t>
            </w: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近1年负债率</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提供2025年经审计的第三方财务报告（报告页需含防伪二维码，财务报表页需有公司签章）</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1.计算公式：负债率=负债总额÷资产总额×100%</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2.需对财务报告中负债总额、资产总额进行标记。</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与行业（或申报单位）平均值相比，</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1.低于平均值20%（含）以上得1分；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2.低于平均值10-20%（不含）以上得0.5分；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3.低于平均值0-10%（不含）以上得0.2分；高于平均值不得分。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例：若行业（或申报单位）平均值为75%，则供应商近1年负债率55%时得1分，近1年负债率56%时得0.5分。</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8</w:t>
            </w:r>
          </w:p>
        </w:tc>
        <w:tc>
          <w:tcPr>
            <w:tcW w:w="137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近1年净现金流</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提供2025年经审计的第三方财务报告（报告页需含防伪二维码，财务报表页需有公司签章）</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1.需对财务报告中净现金流进行标记，净现金流为经营性现金流量净额。</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经营性净现金流为正，得1分；经营性净现金流为负，不得分。</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9</w:t>
            </w:r>
          </w:p>
        </w:tc>
        <w:tc>
          <w:tcPr>
            <w:tcW w:w="137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短期债务偿还能力</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提供2025年经审计的第三方财务报告（报告页需含防伪二维码，财务报表页需有公司签章）</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1.计算公式：短期债务偿还能力=货币资金/（短期借款+一年内到期的非流动负债）</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2.需对财务报告中货币资金、短期借款、一年内到期的非流动负债进行标记。</w:t>
            </w:r>
          </w:p>
        </w:tc>
        <w:tc>
          <w:tcPr>
            <w:tcW w:w="69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与行业（或申报单位）平均值相比，</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1.高于平均值1.2倍（含）以上得1分；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2.高于平均值1.1倍（含）以上得0.5分；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3.高于平均值1倍（含）以上，或</w:t>
            </w:r>
            <w:r>
              <w:rPr>
                <w:rFonts w:hint="eastAsia" w:ascii="仿宋_GB2312" w:hAnsi="仿宋_GB2312" w:eastAsia="仿宋_GB2312" w:cs="仿宋_GB2312"/>
                <w:b w:val="0"/>
                <w:bCs w:val="0"/>
                <w:color w:val="auto"/>
                <w:sz w:val="18"/>
                <w:szCs w:val="18"/>
                <w:highlight w:val="none"/>
              </w:rPr>
              <w:t>低于平均值但短期债务偿还能力</w:t>
            </w:r>
            <w:r>
              <w:rPr>
                <w:rFonts w:hint="eastAsia" w:ascii="仿宋_GB2312" w:hAnsi="仿宋_GB2312" w:eastAsia="仿宋_GB2312" w:cs="仿宋_GB2312"/>
                <w:b w:val="0"/>
                <w:bCs w:val="0"/>
                <w:color w:val="auto"/>
                <w:sz w:val="18"/>
                <w:szCs w:val="18"/>
                <w:highlight w:val="none"/>
                <w:lang w:val="en-US" w:eastAsia="zh-CN"/>
              </w:rPr>
              <w:t>大于</w:t>
            </w:r>
            <w:r>
              <w:rPr>
                <w:rFonts w:hint="eastAsia" w:ascii="仿宋_GB2312" w:hAnsi="仿宋_GB2312" w:eastAsia="仿宋_GB2312" w:cs="仿宋_GB2312"/>
                <w:b w:val="0"/>
                <w:bCs w:val="0"/>
                <w:color w:val="auto"/>
                <w:sz w:val="18"/>
                <w:szCs w:val="18"/>
                <w:highlight w:val="none"/>
              </w:rPr>
              <w:t>1</w:t>
            </w:r>
            <w:r>
              <w:rPr>
                <w:rFonts w:hint="eastAsia" w:ascii="仿宋_GB2312" w:hAnsi="仿宋_GB2312" w:eastAsia="仿宋_GB2312" w:cs="仿宋_GB2312"/>
                <w:b w:val="0"/>
                <w:bCs w:val="0"/>
                <w:color w:val="auto"/>
                <w:sz w:val="18"/>
                <w:szCs w:val="18"/>
                <w:highlight w:val="none"/>
                <w:lang w:eastAsia="zh-CN"/>
              </w:rPr>
              <w:t>，</w:t>
            </w:r>
            <w:r>
              <w:rPr>
                <w:rFonts w:hint="eastAsia" w:ascii="仿宋_GB2312" w:hAnsi="仿宋_GB2312" w:eastAsia="仿宋_GB2312" w:cs="仿宋_GB2312"/>
                <w:b w:val="0"/>
                <w:bCs w:val="0"/>
                <w:color w:val="auto"/>
                <w:sz w:val="18"/>
                <w:szCs w:val="18"/>
                <w:highlight w:val="none"/>
                <w:lang w:val="en-US" w:eastAsia="zh-CN"/>
              </w:rPr>
              <w:t>得0.2分；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4.其余情形不得分。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例：若行业（或申报单位）平均值为1.2，则供应商近1年短期债务偿还能力1.44得1分，近1年短期债务偿还能力1.32得0.5分。</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778" w:type="dxa"/>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10</w:t>
            </w:r>
          </w:p>
        </w:tc>
        <w:tc>
          <w:tcPr>
            <w:tcW w:w="137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p>
        </w:tc>
        <w:tc>
          <w:tcPr>
            <w:tcW w:w="17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经营变化</w:t>
            </w:r>
          </w:p>
        </w:tc>
        <w:tc>
          <w:tcPr>
            <w:tcW w:w="4776"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1.提供近2年（2024年、2025年）经审计的第三方财务报告（报告页需含防伪二维码，财务报表页需有公司签章）</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2.信用评级机构或银行出具的信用评价证明。</w:t>
            </w:r>
          </w:p>
        </w:tc>
        <w:tc>
          <w:tcPr>
            <w:tcW w:w="343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1.提供近2年企业负债率、净现金流、偿债能力汇总表；</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2.对近2年信用评级情况进行标记。</w:t>
            </w:r>
          </w:p>
        </w:tc>
        <w:tc>
          <w:tcPr>
            <w:tcW w:w="6970" w:type="dxa"/>
            <w:tcMar>
              <w:top w:w="10" w:type="dxa"/>
              <w:left w:w="10" w:type="dxa"/>
              <w:right w:w="10" w:type="dxa"/>
            </w:tcMar>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企业负债率、净现金流、偿债能力、信用评价四项指标，与上1年比较，（基础为2分）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1.企业资产负债率上升且高于平均值扣0.5分；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2.净现金流下降且低于0扣0.5分；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3.短期债务偿还能力下降且低于平均值扣0.5分；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4.信用评级机构或银行信用评级下降扣0.5分。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若未提供的不得分。</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046" w:type="dxa"/>
            <w:gridSpan w:val="6"/>
            <w:noWrap/>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ascii="仿宋_GB2312" w:eastAsia="仿宋_GB2312"/>
                <w:b w:val="0"/>
                <w:bCs w:val="0"/>
                <w:color w:val="auto"/>
                <w:szCs w:val="21"/>
                <w:highlight w:val="none"/>
              </w:rPr>
            </w:pPr>
            <w:r>
              <w:rPr>
                <w:rFonts w:hint="eastAsia" w:ascii="仿宋_GB2312" w:eastAsia="仿宋_GB2312"/>
                <w:b w:val="0"/>
                <w:bCs w:val="0"/>
                <w:color w:val="auto"/>
                <w:szCs w:val="21"/>
                <w:highlight w:val="none"/>
              </w:rPr>
              <w:t>合计</w:t>
            </w:r>
          </w:p>
        </w:tc>
        <w:tc>
          <w:tcPr>
            <w:tcW w:w="119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center"/>
              <w:rPr>
                <w:rFonts w:hint="default" w:ascii="仿宋_GB2312" w:hAnsi="仿宋_GB2312" w:eastAsia="仿宋_GB2312"/>
                <w:b w:val="0"/>
                <w:bCs w:val="0"/>
                <w:color w:val="auto"/>
                <w:szCs w:val="21"/>
                <w:highlight w:val="none"/>
                <w:lang w:val="en-US" w:eastAsia="zh-CN"/>
              </w:rPr>
            </w:pPr>
            <w:r>
              <w:rPr>
                <w:rFonts w:hint="eastAsia" w:ascii="仿宋_GB2312" w:hAnsi="仿宋_GB2312" w:eastAsia="仿宋_GB2312"/>
                <w:b w:val="0"/>
                <w:bCs w:val="0"/>
                <w:color w:val="auto"/>
                <w:szCs w:val="21"/>
                <w:highlight w:val="none"/>
                <w:lang w:val="en-US" w:eastAsia="zh-CN"/>
              </w:rPr>
              <w:t>20</w:t>
            </w:r>
          </w:p>
        </w:tc>
      </w:tr>
    </w:tbl>
    <w:p>
      <w:pPr>
        <w:adjustRightInd w:val="0"/>
        <w:snapToGrid w:val="0"/>
        <w:jc w:val="left"/>
        <w:rPr>
          <w:rFonts w:ascii="仿宋_GB2312" w:eastAsia="仿宋_GB2312"/>
          <w:color w:val="000000" w:themeColor="text1"/>
          <w:szCs w:val="21"/>
          <w:highlight w:val="none"/>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br w:type="page"/>
      </w:r>
    </w:p>
    <w:p>
      <w:pPr>
        <w:pStyle w:val="2"/>
        <w:ind w:left="0" w:leftChars="0" w:firstLine="0" w:firstLineChars="0"/>
        <w:jc w:val="center"/>
        <w:rPr>
          <w:rFonts w:hint="default" w:ascii="方正小标宋简体" w:hAnsi="方正小标宋简体" w:eastAsia="方正小标宋简体" w:cs="方正小标宋简体"/>
          <w:color w:val="000000" w:themeColor="text1"/>
          <w:sz w:val="40"/>
          <w:szCs w:val="40"/>
          <w:highlight w:val="none"/>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t>工程监理类市场评价评分表</w:t>
      </w:r>
    </w:p>
    <w:tbl>
      <w:tblPr>
        <w:tblStyle w:val="6"/>
        <w:tblW w:w="20232" w:type="dxa"/>
        <w:tblInd w:w="2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8"/>
        <w:gridCol w:w="1406"/>
        <w:gridCol w:w="1669"/>
        <w:gridCol w:w="4781"/>
        <w:gridCol w:w="3413"/>
        <w:gridCol w:w="6975"/>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trPr>
        <w:tc>
          <w:tcPr>
            <w:tcW w:w="788"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22"/>
                <w:szCs w:val="22"/>
                <w:highlight w:val="none"/>
              </w:rPr>
            </w:pPr>
            <w:r>
              <w:rPr>
                <w:rFonts w:hint="eastAsia" w:ascii="仿宋_GB2312" w:hAnsi="仿宋_GB2312" w:eastAsia="仿宋_GB2312"/>
                <w:b w:val="0"/>
                <w:bCs w:val="0"/>
                <w:color w:val="auto"/>
                <w:sz w:val="22"/>
                <w:szCs w:val="22"/>
                <w:highlight w:val="none"/>
              </w:rPr>
              <w:t>序号</w:t>
            </w:r>
          </w:p>
        </w:tc>
        <w:tc>
          <w:tcPr>
            <w:tcW w:w="1406" w:type="dxa"/>
            <w:tcMar>
              <w:top w:w="10" w:type="dxa"/>
              <w:left w:w="10" w:type="dxa"/>
              <w:right w:w="10" w:type="dxa"/>
            </w:tcMar>
            <w:vAlign w:val="center"/>
          </w:tcPr>
          <w:p>
            <w:pPr>
              <w:adjustRightInd w:val="0"/>
              <w:snapToGrid w:val="0"/>
              <w:jc w:val="center"/>
              <w:textAlignment w:val="center"/>
              <w:rPr>
                <w:rFonts w:hint="default" w:ascii="仿宋_GB2312" w:hAnsi="仿宋_GB2312" w:eastAsia="仿宋_GB2312"/>
                <w:b w:val="0"/>
                <w:bCs w:val="0"/>
                <w:color w:val="auto"/>
                <w:sz w:val="22"/>
                <w:szCs w:val="22"/>
                <w:highlight w:val="none"/>
                <w:lang w:val="en-US" w:eastAsia="zh-CN"/>
              </w:rPr>
            </w:pPr>
            <w:r>
              <w:rPr>
                <w:rFonts w:hint="eastAsia" w:ascii="仿宋_GB2312" w:hAnsi="仿宋_GB2312" w:eastAsia="仿宋_GB2312"/>
                <w:b w:val="0"/>
                <w:bCs w:val="0"/>
                <w:color w:val="auto"/>
                <w:sz w:val="22"/>
                <w:szCs w:val="22"/>
                <w:highlight w:val="none"/>
                <w:lang w:val="en-US" w:eastAsia="zh-CN"/>
              </w:rPr>
              <w:t>评价项</w:t>
            </w:r>
          </w:p>
        </w:tc>
        <w:tc>
          <w:tcPr>
            <w:tcW w:w="1669"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22"/>
                <w:szCs w:val="22"/>
                <w:highlight w:val="none"/>
              </w:rPr>
            </w:pPr>
            <w:r>
              <w:rPr>
                <w:rFonts w:hint="eastAsia" w:ascii="仿宋_GB2312" w:hAnsi="仿宋_GB2312" w:eastAsia="仿宋_GB2312"/>
                <w:b w:val="0"/>
                <w:bCs w:val="0"/>
                <w:color w:val="auto"/>
                <w:sz w:val="22"/>
                <w:szCs w:val="22"/>
                <w:highlight w:val="none"/>
                <w:lang w:val="en-US" w:eastAsia="zh-CN"/>
              </w:rPr>
              <w:t>评价指标</w:t>
            </w:r>
          </w:p>
        </w:tc>
        <w:tc>
          <w:tcPr>
            <w:tcW w:w="4781" w:type="dxa"/>
            <w:shd w:val="clear" w:color="auto" w:fill="auto"/>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22"/>
                <w:szCs w:val="22"/>
                <w:highlight w:val="none"/>
              </w:rPr>
            </w:pPr>
            <w:r>
              <w:rPr>
                <w:rFonts w:hint="eastAsia" w:ascii="仿宋_GB2312" w:hAnsi="仿宋_GB2312" w:eastAsia="仿宋_GB2312"/>
                <w:b w:val="0"/>
                <w:bCs w:val="0"/>
                <w:color w:val="auto"/>
                <w:sz w:val="22"/>
                <w:szCs w:val="22"/>
                <w:highlight w:val="none"/>
              </w:rPr>
              <w:t>证明材料</w:t>
            </w:r>
          </w:p>
        </w:tc>
        <w:tc>
          <w:tcPr>
            <w:tcW w:w="3413" w:type="dxa"/>
            <w:shd w:val="clear" w:color="auto" w:fill="auto"/>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b w:val="0"/>
                <w:bCs w:val="0"/>
                <w:color w:val="auto"/>
                <w:sz w:val="22"/>
                <w:szCs w:val="22"/>
                <w:highlight w:val="none"/>
              </w:rPr>
            </w:pPr>
            <w:r>
              <w:rPr>
                <w:rFonts w:hint="eastAsia" w:ascii="仿宋_GB2312" w:hAnsi="仿宋_GB2312" w:eastAsia="仿宋_GB2312"/>
                <w:b w:val="0"/>
                <w:bCs w:val="0"/>
                <w:color w:val="auto"/>
                <w:sz w:val="22"/>
                <w:szCs w:val="22"/>
                <w:highlight w:val="none"/>
              </w:rPr>
              <w:t>证明材料要求</w:t>
            </w:r>
          </w:p>
        </w:tc>
        <w:tc>
          <w:tcPr>
            <w:tcW w:w="6975"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22"/>
                <w:szCs w:val="22"/>
                <w:highlight w:val="none"/>
              </w:rPr>
            </w:pPr>
            <w:r>
              <w:rPr>
                <w:rFonts w:hint="eastAsia" w:ascii="仿宋_GB2312" w:hAnsi="仿宋_GB2312" w:eastAsia="仿宋_GB2312"/>
                <w:b w:val="0"/>
                <w:bCs w:val="0"/>
                <w:color w:val="auto"/>
                <w:sz w:val="22"/>
                <w:szCs w:val="22"/>
                <w:highlight w:val="none"/>
              </w:rPr>
              <w:t>评分标准</w:t>
            </w:r>
          </w:p>
        </w:tc>
        <w:tc>
          <w:tcPr>
            <w:tcW w:w="1200"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22"/>
                <w:szCs w:val="22"/>
                <w:highlight w:val="none"/>
              </w:rPr>
            </w:pPr>
            <w:r>
              <w:rPr>
                <w:rFonts w:hint="eastAsia" w:ascii="仿宋_GB2312" w:hAnsi="仿宋_GB2312" w:eastAsia="仿宋_GB2312"/>
                <w:b w:val="0"/>
                <w:bCs w:val="0"/>
                <w:color w:val="auto"/>
                <w:sz w:val="22"/>
                <w:szCs w:val="22"/>
                <w:highlight w:val="none"/>
                <w:lang w:val="en-US" w:eastAsia="zh-CN"/>
              </w:rPr>
              <w:t>评</w:t>
            </w:r>
            <w:r>
              <w:rPr>
                <w:rFonts w:hint="eastAsia" w:ascii="仿宋_GB2312" w:hAnsi="仿宋_GB2312" w:eastAsia="仿宋_GB2312"/>
                <w:b w:val="0"/>
                <w:bCs w:val="0"/>
                <w:color w:val="auto"/>
                <w:sz w:val="22"/>
                <w:szCs w:val="22"/>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88" w:type="dxa"/>
            <w:noWrap/>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18"/>
                <w:szCs w:val="18"/>
                <w:highlight w:val="none"/>
              </w:rPr>
            </w:pPr>
            <w:r>
              <w:rPr>
                <w:rFonts w:hint="eastAsia" w:ascii="仿宋_GB2312" w:hAnsi="仿宋_GB2312" w:eastAsia="仿宋_GB2312"/>
                <w:b w:val="0"/>
                <w:bCs w:val="0"/>
                <w:color w:val="auto"/>
                <w:sz w:val="18"/>
                <w:szCs w:val="18"/>
                <w:highlight w:val="none"/>
              </w:rPr>
              <w:t>1</w:t>
            </w:r>
          </w:p>
        </w:tc>
        <w:tc>
          <w:tcPr>
            <w:tcW w:w="1406" w:type="dxa"/>
            <w:vMerge w:val="restart"/>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18"/>
                <w:szCs w:val="18"/>
                <w:highlight w:val="none"/>
              </w:rPr>
            </w:pPr>
            <w:r>
              <w:rPr>
                <w:rFonts w:hint="eastAsia" w:ascii="仿宋_GB2312" w:hAnsi="仿宋_GB2312" w:eastAsia="仿宋_GB2312"/>
                <w:b w:val="0"/>
                <w:bCs w:val="0"/>
                <w:color w:val="auto"/>
                <w:sz w:val="18"/>
                <w:szCs w:val="18"/>
                <w:highlight w:val="none"/>
                <w:lang w:val="en-US" w:eastAsia="zh-CN"/>
              </w:rPr>
              <w:t>企业资信</w:t>
            </w:r>
            <w:r>
              <w:rPr>
                <w:rFonts w:hint="eastAsia" w:ascii="仿宋_GB2312" w:hAnsi="仿宋_GB2312" w:eastAsia="仿宋_GB2312"/>
                <w:b w:val="0"/>
                <w:bCs w:val="0"/>
                <w:color w:val="auto"/>
                <w:sz w:val="18"/>
                <w:szCs w:val="18"/>
                <w:highlight w:val="none"/>
                <w:lang w:val="en-US" w:eastAsia="zh-CN"/>
              </w:rPr>
              <w:br w:type="textWrapping"/>
            </w:r>
            <w:r>
              <w:rPr>
                <w:rFonts w:hint="eastAsia" w:ascii="仿宋_GB2312" w:hAnsi="仿宋_GB2312" w:eastAsia="仿宋_GB2312"/>
                <w:b w:val="0"/>
                <w:bCs w:val="0"/>
                <w:color w:val="auto"/>
                <w:sz w:val="18"/>
                <w:szCs w:val="18"/>
                <w:highlight w:val="none"/>
                <w:lang w:val="en-US" w:eastAsia="zh-CN"/>
              </w:rPr>
              <w:t>（5分）</w:t>
            </w:r>
          </w:p>
        </w:tc>
        <w:tc>
          <w:tcPr>
            <w:tcW w:w="1669"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strike w:val="0"/>
                <w:color w:val="auto"/>
                <w:sz w:val="18"/>
                <w:szCs w:val="18"/>
                <w:highlight w:val="none"/>
              </w:rPr>
            </w:pPr>
            <w:r>
              <w:rPr>
                <w:rFonts w:hint="eastAsia" w:ascii="仿宋_GB2312" w:hAnsi="仿宋_GB2312" w:eastAsia="仿宋_GB2312" w:cs="仿宋_GB2312"/>
                <w:b w:val="0"/>
                <w:bCs w:val="0"/>
                <w:color w:val="auto"/>
                <w:kern w:val="2"/>
                <w:sz w:val="18"/>
                <w:szCs w:val="18"/>
                <w:highlight w:val="none"/>
                <w:lang w:val="en-US" w:eastAsia="zh-CN"/>
              </w:rPr>
              <w:t>企业资质</w:t>
            </w:r>
          </w:p>
        </w:tc>
        <w:tc>
          <w:tcPr>
            <w:tcW w:w="4781"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strike w:val="0"/>
                <w:color w:val="auto"/>
                <w:sz w:val="18"/>
                <w:szCs w:val="18"/>
                <w:highlight w:val="none"/>
              </w:rPr>
            </w:pPr>
            <w:r>
              <w:rPr>
                <w:rFonts w:hint="eastAsia" w:ascii="仿宋_GB2312" w:hAnsi="仿宋_GB2312" w:eastAsia="仿宋_GB2312" w:cs="仿宋_GB2312"/>
                <w:b w:val="0"/>
                <w:bCs w:val="0"/>
                <w:color w:val="auto"/>
                <w:kern w:val="2"/>
                <w:sz w:val="18"/>
                <w:szCs w:val="18"/>
                <w:highlight w:val="none"/>
                <w:lang w:val="en-US" w:eastAsia="zh-CN"/>
              </w:rPr>
              <w:t>提供企业</w:t>
            </w:r>
            <w:r>
              <w:rPr>
                <w:rFonts w:hint="eastAsia" w:ascii="仿宋_GB2312" w:hAnsi="仿宋_GB2312" w:eastAsia="仿宋_GB2312" w:cs="仿宋_GB2312"/>
                <w:b w:val="0"/>
                <w:bCs w:val="0"/>
                <w:color w:val="auto"/>
                <w:w w:val="100"/>
                <w:sz w:val="18"/>
                <w:szCs w:val="18"/>
                <w:highlight w:val="none"/>
                <w:lang w:val="en-US" w:eastAsia="zh-CN"/>
              </w:rPr>
              <w:t>工程监理资质证书</w:t>
            </w:r>
            <w:r>
              <w:rPr>
                <w:rFonts w:hint="eastAsia" w:ascii="仿宋_GB2312" w:hAnsi="仿宋_GB2312" w:eastAsia="仿宋_GB2312" w:cs="仿宋_GB2312"/>
                <w:b w:val="0"/>
                <w:bCs w:val="0"/>
                <w:color w:val="auto"/>
                <w:kern w:val="2"/>
                <w:sz w:val="18"/>
                <w:szCs w:val="18"/>
                <w:highlight w:val="none"/>
                <w:lang w:val="en-US" w:eastAsia="zh-CN"/>
              </w:rPr>
              <w:t>扫描件。</w:t>
            </w:r>
          </w:p>
        </w:tc>
        <w:tc>
          <w:tcPr>
            <w:tcW w:w="3413"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strike w:val="0"/>
                <w:color w:val="auto"/>
                <w:sz w:val="18"/>
                <w:szCs w:val="18"/>
                <w:highlight w:val="none"/>
              </w:rPr>
            </w:pPr>
            <w:r>
              <w:rPr>
                <w:rFonts w:hint="eastAsia" w:ascii="仿宋_GB2312" w:hAnsi="仿宋_GB2312" w:eastAsia="仿宋_GB2312" w:cs="仿宋_GB2312"/>
                <w:b w:val="0"/>
                <w:bCs w:val="0"/>
                <w:color w:val="auto"/>
                <w:kern w:val="2"/>
                <w:sz w:val="18"/>
                <w:szCs w:val="18"/>
                <w:highlight w:val="none"/>
                <w:lang w:val="en-US" w:eastAsia="zh-CN"/>
              </w:rPr>
              <w:t>提供企业</w:t>
            </w:r>
            <w:r>
              <w:rPr>
                <w:rFonts w:hint="eastAsia" w:ascii="仿宋_GB2312" w:hAnsi="仿宋_GB2312" w:eastAsia="仿宋_GB2312" w:cs="仿宋_GB2312"/>
                <w:b w:val="0"/>
                <w:bCs w:val="0"/>
                <w:color w:val="auto"/>
                <w:w w:val="100"/>
                <w:sz w:val="18"/>
                <w:szCs w:val="18"/>
                <w:highlight w:val="none"/>
                <w:lang w:val="en-US" w:eastAsia="zh-CN"/>
              </w:rPr>
              <w:t>工程监理资质证书等证明材料</w:t>
            </w:r>
            <w:r>
              <w:rPr>
                <w:rFonts w:hint="eastAsia" w:ascii="仿宋_GB2312" w:hAnsi="仿宋_GB2312" w:eastAsia="仿宋_GB2312" w:cs="仿宋_GB2312"/>
                <w:b w:val="0"/>
                <w:bCs w:val="0"/>
                <w:color w:val="auto"/>
                <w:kern w:val="2"/>
                <w:sz w:val="18"/>
                <w:szCs w:val="18"/>
                <w:highlight w:val="none"/>
                <w:lang w:val="en-US" w:eastAsia="zh-CN"/>
              </w:rPr>
              <w:t>扫描件。</w:t>
            </w:r>
          </w:p>
        </w:tc>
        <w:tc>
          <w:tcPr>
            <w:tcW w:w="6975"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rPr>
              <w:t>根据企业最高资质进行</w:t>
            </w:r>
            <w:r>
              <w:rPr>
                <w:rFonts w:hint="eastAsia" w:ascii="仿宋_GB2312" w:hAnsi="仿宋_GB2312" w:eastAsia="仿宋_GB2312" w:cs="仿宋_GB2312"/>
                <w:b w:val="0"/>
                <w:bCs w:val="0"/>
                <w:color w:val="auto"/>
                <w:sz w:val="18"/>
                <w:szCs w:val="18"/>
                <w:highlight w:val="none"/>
                <w:lang w:val="en-US" w:eastAsia="zh-CN"/>
              </w:rPr>
              <w:t>评</w:t>
            </w:r>
            <w:r>
              <w:rPr>
                <w:rFonts w:hint="eastAsia" w:ascii="仿宋_GB2312" w:hAnsi="仿宋_GB2312" w:eastAsia="仿宋_GB2312" w:cs="仿宋_GB2312"/>
                <w:b w:val="0"/>
                <w:bCs w:val="0"/>
                <w:color w:val="auto"/>
                <w:sz w:val="18"/>
                <w:szCs w:val="18"/>
                <w:highlight w:val="none"/>
              </w:rPr>
              <w:t>分：</w:t>
            </w:r>
          </w:p>
          <w:p>
            <w:pPr>
              <w:widowControl w:val="0"/>
              <w:spacing w:line="240" w:lineRule="auto"/>
              <w:jc w:val="left"/>
              <w:rPr>
                <w:color w:val="auto"/>
                <w:highlight w:val="none"/>
              </w:rPr>
            </w:pPr>
            <w:r>
              <w:rPr>
                <w:rFonts w:hint="eastAsia" w:ascii="仿宋_GB2312" w:hAnsi="仿宋_GB2312" w:eastAsia="仿宋_GB2312" w:cs="仿宋_GB2312"/>
                <w:b w:val="0"/>
                <w:bCs w:val="0"/>
                <w:color w:val="auto"/>
                <w:sz w:val="18"/>
                <w:szCs w:val="18"/>
                <w:highlight w:val="none"/>
                <w:lang w:eastAsia="zh-CN"/>
              </w:rPr>
              <w:t>1.</w:t>
            </w:r>
            <w:r>
              <w:rPr>
                <w:rFonts w:hint="eastAsia" w:ascii="仿宋_GB2312" w:hAnsi="仿宋_GB2312" w:eastAsia="仿宋_GB2312" w:cs="仿宋_GB2312"/>
                <w:b w:val="0"/>
                <w:bCs w:val="0"/>
                <w:color w:val="auto"/>
                <w:sz w:val="18"/>
                <w:szCs w:val="18"/>
                <w:highlight w:val="none"/>
              </w:rPr>
              <w:t>具有工程监理综合资质</w:t>
            </w:r>
            <w:r>
              <w:rPr>
                <w:rFonts w:hint="eastAsia" w:ascii="仿宋_GB2312" w:hAnsi="仿宋_GB2312" w:eastAsia="仿宋_GB2312" w:cs="仿宋_GB2312"/>
                <w:b w:val="0"/>
                <w:bCs w:val="0"/>
                <w:color w:val="auto"/>
                <w:sz w:val="18"/>
                <w:szCs w:val="18"/>
                <w:highlight w:val="none"/>
                <w:lang w:val="en-US" w:eastAsia="zh-CN"/>
              </w:rPr>
              <w:t>或</w:t>
            </w:r>
            <w:r>
              <w:rPr>
                <w:rFonts w:hint="eastAsia" w:ascii="仿宋_GB2312" w:hAnsi="仿宋_GB2312" w:eastAsia="仿宋_GB2312" w:cs="仿宋_GB2312"/>
                <w:b w:val="0"/>
                <w:bCs w:val="0"/>
                <w:color w:val="auto"/>
                <w:sz w:val="18"/>
                <w:szCs w:val="18"/>
                <w:highlight w:val="none"/>
              </w:rPr>
              <w:t>房屋建筑工程监理甲级的，得</w:t>
            </w:r>
            <w:r>
              <w:rPr>
                <w:rFonts w:hint="eastAsia" w:ascii="仿宋_GB2312" w:hAnsi="仿宋_GB2312" w:eastAsia="仿宋_GB2312" w:cs="仿宋_GB2312"/>
                <w:b w:val="0"/>
                <w:bCs w:val="0"/>
                <w:color w:val="auto"/>
                <w:sz w:val="18"/>
                <w:szCs w:val="18"/>
                <w:highlight w:val="none"/>
                <w:lang w:val="en-US" w:eastAsia="zh-CN"/>
              </w:rPr>
              <w:t>1</w:t>
            </w:r>
            <w:r>
              <w:rPr>
                <w:rFonts w:hint="eastAsia" w:ascii="仿宋_GB2312" w:hAnsi="仿宋_GB2312" w:eastAsia="仿宋_GB2312" w:cs="仿宋_GB2312"/>
                <w:b w:val="0"/>
                <w:bCs w:val="0"/>
                <w:color w:val="auto"/>
                <w:sz w:val="18"/>
                <w:szCs w:val="18"/>
                <w:highlight w:val="none"/>
              </w:rPr>
              <w:t>分；</w:t>
            </w:r>
          </w:p>
          <w:p>
            <w:pPr>
              <w:widowControl w:val="0"/>
              <w:spacing w:line="240" w:lineRule="auto"/>
              <w:jc w:val="left"/>
              <w:rPr>
                <w:rFonts w:hint="eastAsia" w:ascii="仿宋_GB2312" w:hAnsi="仿宋_GB2312" w:eastAsia="仿宋_GB2312" w:cs="仿宋_GB2312"/>
                <w:b w:val="0"/>
                <w:bCs w:val="0"/>
                <w:strike w:val="0"/>
                <w:color w:val="auto"/>
                <w:sz w:val="18"/>
                <w:szCs w:val="18"/>
                <w:highlight w:val="none"/>
                <w:lang w:eastAsia="zh-CN"/>
              </w:rPr>
            </w:pPr>
            <w:r>
              <w:rPr>
                <w:rFonts w:hint="eastAsia" w:ascii="仿宋_GB2312" w:hAnsi="仿宋_GB2312" w:eastAsia="仿宋_GB2312" w:cs="仿宋_GB2312"/>
                <w:b w:val="0"/>
                <w:bCs w:val="0"/>
                <w:color w:val="auto"/>
                <w:sz w:val="18"/>
                <w:szCs w:val="18"/>
                <w:highlight w:val="none"/>
                <w:lang w:val="en-US" w:eastAsia="zh-CN"/>
              </w:rPr>
              <w:t>2</w:t>
            </w:r>
            <w:r>
              <w:rPr>
                <w:rFonts w:hint="eastAsia" w:ascii="仿宋_GB2312" w:hAnsi="仿宋_GB2312" w:eastAsia="仿宋_GB2312" w:cs="仿宋_GB2312"/>
                <w:b w:val="0"/>
                <w:bCs w:val="0"/>
                <w:color w:val="auto"/>
                <w:sz w:val="18"/>
                <w:szCs w:val="18"/>
                <w:highlight w:val="none"/>
                <w:lang w:eastAsia="zh-CN"/>
              </w:rPr>
              <w:t>.</w:t>
            </w:r>
            <w:r>
              <w:rPr>
                <w:rFonts w:hint="eastAsia" w:ascii="仿宋_GB2312" w:hAnsi="仿宋_GB2312" w:eastAsia="仿宋_GB2312" w:cs="仿宋_GB2312"/>
                <w:b w:val="0"/>
                <w:bCs w:val="0"/>
                <w:color w:val="auto"/>
                <w:sz w:val="18"/>
                <w:szCs w:val="18"/>
                <w:highlight w:val="none"/>
              </w:rPr>
              <w:t>具有房屋建筑工程监理乙级的，得</w:t>
            </w:r>
            <w:r>
              <w:rPr>
                <w:rFonts w:hint="eastAsia" w:ascii="仿宋_GB2312" w:hAnsi="仿宋_GB2312" w:eastAsia="仿宋_GB2312" w:cs="仿宋_GB2312"/>
                <w:b w:val="0"/>
                <w:bCs w:val="0"/>
                <w:color w:val="auto"/>
                <w:sz w:val="18"/>
                <w:szCs w:val="18"/>
                <w:highlight w:val="none"/>
                <w:lang w:val="en-US" w:eastAsia="zh-CN"/>
              </w:rPr>
              <w:t>0.5</w:t>
            </w:r>
            <w:r>
              <w:rPr>
                <w:rFonts w:hint="eastAsia" w:ascii="仿宋_GB2312" w:hAnsi="仿宋_GB2312" w:eastAsia="仿宋_GB2312" w:cs="仿宋_GB2312"/>
                <w:b w:val="0"/>
                <w:bCs w:val="0"/>
                <w:color w:val="auto"/>
                <w:sz w:val="18"/>
                <w:szCs w:val="18"/>
                <w:highlight w:val="none"/>
              </w:rPr>
              <w:t>分</w:t>
            </w:r>
            <w:r>
              <w:rPr>
                <w:rFonts w:hint="eastAsia" w:ascii="仿宋_GB2312" w:hAnsi="仿宋_GB2312" w:eastAsia="仿宋_GB2312" w:cs="仿宋_GB2312"/>
                <w:b w:val="0"/>
                <w:bCs w:val="0"/>
                <w:color w:val="auto"/>
                <w:sz w:val="18"/>
                <w:szCs w:val="18"/>
                <w:highlight w:val="none"/>
                <w:lang w:val="en-US" w:eastAsia="zh-CN"/>
              </w:rPr>
              <w:t>。</w:t>
            </w:r>
          </w:p>
        </w:tc>
        <w:tc>
          <w:tcPr>
            <w:tcW w:w="1200" w:type="dxa"/>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88" w:type="dxa"/>
            <w:noWrap/>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b w:val="0"/>
                <w:bCs w:val="0"/>
                <w:color w:val="auto"/>
                <w:sz w:val="18"/>
                <w:szCs w:val="18"/>
                <w:highlight w:val="none"/>
                <w:lang w:eastAsia="zh-CN"/>
              </w:rPr>
            </w:pPr>
            <w:r>
              <w:rPr>
                <w:rFonts w:hint="eastAsia" w:ascii="仿宋_GB2312" w:hAnsi="仿宋_GB2312" w:eastAsia="仿宋_GB2312"/>
                <w:b w:val="0"/>
                <w:bCs w:val="0"/>
                <w:color w:val="auto"/>
                <w:sz w:val="18"/>
                <w:szCs w:val="18"/>
                <w:highlight w:val="none"/>
                <w:lang w:val="en-US" w:eastAsia="zh-CN"/>
              </w:rPr>
              <w:t>2</w:t>
            </w:r>
          </w:p>
        </w:tc>
        <w:tc>
          <w:tcPr>
            <w:tcW w:w="1406" w:type="dxa"/>
            <w:vMerge w:val="continue"/>
            <w:tcMar>
              <w:top w:w="10" w:type="dxa"/>
              <w:left w:w="10" w:type="dxa"/>
              <w:right w:w="10" w:type="dxa"/>
            </w:tcMar>
            <w:vAlign w:val="center"/>
          </w:tcPr>
          <w:p>
            <w:pPr>
              <w:pStyle w:val="16"/>
              <w:widowControl w:val="0"/>
              <w:adjustRightInd w:val="0"/>
              <w:snapToGrid w:val="0"/>
              <w:jc w:val="center"/>
              <w:rPr>
                <w:rFonts w:ascii="仿宋_GB2312" w:hAnsi="仿宋_GB2312" w:eastAsia="仿宋_GB2312"/>
                <w:b w:val="0"/>
                <w:bCs w:val="0"/>
                <w:color w:val="auto"/>
                <w:sz w:val="18"/>
                <w:szCs w:val="18"/>
                <w:highlight w:val="none"/>
              </w:rPr>
            </w:pPr>
          </w:p>
        </w:tc>
        <w:tc>
          <w:tcPr>
            <w:tcW w:w="1669" w:type="dxa"/>
            <w:tcMar>
              <w:top w:w="10" w:type="dxa"/>
              <w:left w:w="10" w:type="dxa"/>
              <w:right w:w="10" w:type="dxa"/>
            </w:tcMar>
            <w:vAlign w:val="center"/>
          </w:tcPr>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Times New Roman"/>
                <w:b w:val="0"/>
                <w:bCs w:val="0"/>
                <w:color w:val="auto"/>
                <w:kern w:val="2"/>
                <w:sz w:val="18"/>
                <w:szCs w:val="18"/>
                <w:highlight w:val="none"/>
                <w:lang w:val="en-US" w:eastAsia="zh-CN" w:bidi="ar-SA"/>
              </w:rPr>
              <w:t>专业技术人员规模</w:t>
            </w:r>
          </w:p>
        </w:tc>
        <w:tc>
          <w:tcPr>
            <w:tcW w:w="4781" w:type="dxa"/>
            <w:tcMar>
              <w:top w:w="10" w:type="dxa"/>
              <w:left w:w="10" w:type="dxa"/>
              <w:right w:w="10" w:type="dxa"/>
            </w:tcMar>
            <w:vAlign w:val="center"/>
          </w:tcPr>
          <w:p>
            <w:pPr>
              <w:pStyle w:val="2"/>
              <w:ind w:left="0" w:leftChars="0" w:firstLine="0" w:firstLineChars="0"/>
              <w:jc w:val="left"/>
              <w:rPr>
                <w:rFonts w:hint="eastAsia" w:ascii="仿宋_GB2312" w:hAnsi="仿宋_GB2312" w:eastAsia="仿宋_GB2312" w:cs="仿宋_GB2312"/>
                <w:b w:val="0"/>
                <w:bCs w:val="0"/>
                <w:color w:val="auto"/>
                <w:w w:val="100"/>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提供</w:t>
            </w:r>
            <w:r>
              <w:rPr>
                <w:rFonts w:hint="eastAsia" w:ascii="仿宋_GB2312" w:hAnsi="仿宋_GB2312" w:eastAsia="仿宋_GB2312" w:cs="Times New Roman"/>
                <w:b w:val="0"/>
                <w:bCs w:val="0"/>
                <w:color w:val="auto"/>
                <w:kern w:val="2"/>
                <w:sz w:val="18"/>
                <w:szCs w:val="18"/>
                <w:highlight w:val="none"/>
                <w:lang w:val="en-US" w:eastAsia="zh-CN" w:bidi="ar-SA"/>
              </w:rPr>
              <w:t>注册监理工程师人员证明资料。</w:t>
            </w:r>
          </w:p>
        </w:tc>
        <w:tc>
          <w:tcPr>
            <w:tcW w:w="3413" w:type="dxa"/>
            <w:tcMar>
              <w:top w:w="10" w:type="dxa"/>
              <w:left w:w="10" w:type="dxa"/>
              <w:right w:w="10" w:type="dxa"/>
            </w:tcMar>
            <w:vAlign w:val="center"/>
          </w:tcPr>
          <w:p>
            <w:pPr>
              <w:widowControl w:val="0"/>
              <w:spacing w:afterLines="0" w:line="240" w:lineRule="auto"/>
              <w:jc w:val="left"/>
              <w:outlineLvl w:val="9"/>
              <w:rPr>
                <w:rFonts w:hint="default"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1.提供盖章版《注册监理工程师人员汇总表》，格式自拟；</w:t>
            </w:r>
          </w:p>
          <w:p>
            <w:pPr>
              <w:widowControl w:val="0"/>
              <w:spacing w:afterLines="0" w:line="240" w:lineRule="auto"/>
              <w:jc w:val="left"/>
              <w:outlineLvl w:val="9"/>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2.</w:t>
            </w:r>
            <w:r>
              <w:rPr>
                <w:rFonts w:hint="eastAsia" w:ascii="仿宋_GB2312" w:hAnsi="仿宋_GB2312" w:eastAsia="仿宋_GB2312"/>
                <w:color w:val="auto"/>
                <w:sz w:val="18"/>
                <w:szCs w:val="18"/>
                <w:highlight w:val="none"/>
              </w:rPr>
              <w:t>须在</w:t>
            </w:r>
            <w:r>
              <w:rPr>
                <w:rFonts w:hint="eastAsia" w:ascii="仿宋_GB2312" w:hAnsi="仿宋_GB2312" w:eastAsia="仿宋_GB2312"/>
                <w:color w:val="auto"/>
                <w:sz w:val="18"/>
                <w:szCs w:val="18"/>
                <w:highlight w:val="none"/>
                <w:lang w:val="en-US" w:eastAsia="zh-CN"/>
              </w:rPr>
              <w:t>安居集团</w:t>
            </w:r>
            <w:r>
              <w:rPr>
                <w:rFonts w:hint="eastAsia" w:ascii="仿宋_GB2312" w:hAnsi="仿宋_GB2312" w:eastAsia="仿宋_GB2312"/>
                <w:color w:val="auto"/>
                <w:sz w:val="18"/>
                <w:szCs w:val="18"/>
                <w:highlight w:val="none"/>
              </w:rPr>
              <w:t>项目对应社保统筹管辖范围内正常参保，</w:t>
            </w:r>
            <w:r>
              <w:rPr>
                <w:rFonts w:hint="eastAsia" w:ascii="仿宋_GB2312" w:hAnsi="仿宋_GB2312" w:eastAsia="仿宋_GB2312" w:cs="Times New Roman"/>
                <w:b w:val="0"/>
                <w:bCs w:val="0"/>
                <w:color w:val="auto"/>
                <w:kern w:val="2"/>
                <w:sz w:val="18"/>
                <w:szCs w:val="18"/>
                <w:highlight w:val="none"/>
                <w:lang w:val="en-US" w:eastAsia="zh-CN" w:bidi="ar-SA"/>
              </w:rPr>
              <w:t>提供社保机构出具的近6个月个人社保缴存证明文件；</w:t>
            </w:r>
          </w:p>
          <w:p>
            <w:pPr>
              <w:widowControl w:val="0"/>
              <w:spacing w:afterLines="0" w:line="240" w:lineRule="auto"/>
              <w:jc w:val="left"/>
              <w:outlineLvl w:val="9"/>
              <w:rPr>
                <w:rFonts w:hint="eastAsia" w:ascii="仿宋_GB2312" w:hAnsi="仿宋_GB2312" w:eastAsia="仿宋_GB2312" w:cs="仿宋_GB2312"/>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3.在申报企业注册且在有效期内，注册证书扫描件须体现注册有效期、注册单位；</w:t>
            </w:r>
          </w:p>
        </w:tc>
        <w:tc>
          <w:tcPr>
            <w:tcW w:w="6975" w:type="dxa"/>
            <w:tcMar>
              <w:top w:w="10" w:type="dxa"/>
              <w:left w:w="10" w:type="dxa"/>
              <w:right w:w="10" w:type="dxa"/>
            </w:tcMar>
            <w:vAlign w:val="center"/>
          </w:tcPr>
          <w:p>
            <w:pPr>
              <w:widowControl w:val="0"/>
              <w:spacing w:afterLines="0" w:line="240" w:lineRule="auto"/>
              <w:jc w:val="left"/>
              <w:outlineLvl w:val="9"/>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缴纳社保的注册监理工程师人员数量：</w:t>
            </w:r>
          </w:p>
          <w:p>
            <w:pPr>
              <w:widowControl w:val="0"/>
              <w:spacing w:afterLines="0" w:line="240" w:lineRule="auto"/>
              <w:jc w:val="left"/>
              <w:outlineLvl w:val="9"/>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1.总人数30名及以上的，得2分；</w:t>
            </w:r>
          </w:p>
          <w:p>
            <w:pPr>
              <w:widowControl w:val="0"/>
              <w:spacing w:afterLines="0" w:line="240" w:lineRule="auto"/>
              <w:jc w:val="left"/>
              <w:outlineLvl w:val="9"/>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2.总人数10-29名，得1分；</w:t>
            </w:r>
          </w:p>
          <w:p>
            <w:pPr>
              <w:jc w:val="left"/>
              <w:rPr>
                <w:color w:val="auto"/>
                <w:highlight w:val="none"/>
              </w:rPr>
            </w:pPr>
            <w:r>
              <w:rPr>
                <w:rFonts w:hint="eastAsia" w:ascii="仿宋_GB2312" w:hAnsi="仿宋_GB2312" w:eastAsia="仿宋_GB2312" w:cs="Times New Roman"/>
                <w:b w:val="0"/>
                <w:bCs w:val="0"/>
                <w:color w:val="auto"/>
                <w:kern w:val="2"/>
                <w:sz w:val="18"/>
                <w:szCs w:val="18"/>
                <w:highlight w:val="none"/>
                <w:lang w:val="en-US" w:eastAsia="zh-CN" w:bidi="ar-SA"/>
              </w:rPr>
              <w:t>3.总人数9名及以下，不得分。</w:t>
            </w:r>
          </w:p>
          <w:p>
            <w:pPr>
              <w:widowControl w:val="0"/>
              <w:spacing w:afterLines="0" w:line="240" w:lineRule="auto"/>
              <w:jc w:val="left"/>
              <w:outlineLvl w:val="9"/>
              <w:rPr>
                <w:rFonts w:hint="eastAsia" w:ascii="仿宋_GB2312" w:hAnsi="仿宋_GB2312" w:eastAsia="仿宋_GB2312" w:cs="仿宋_GB2312"/>
                <w:b w:val="0"/>
                <w:bCs w:val="0"/>
                <w:color w:val="auto"/>
                <w:kern w:val="2"/>
                <w:sz w:val="18"/>
                <w:szCs w:val="18"/>
                <w:highlight w:val="none"/>
                <w:u w:val="none"/>
                <w:lang w:val="en-US" w:eastAsia="zh-CN" w:bidi="ar-SA"/>
              </w:rPr>
            </w:pPr>
          </w:p>
        </w:tc>
        <w:tc>
          <w:tcPr>
            <w:tcW w:w="1200" w:type="dxa"/>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cstheme="minorBidi"/>
                <w:b w:val="0"/>
                <w:bCs w:val="0"/>
                <w:color w:val="auto"/>
                <w:kern w:val="2"/>
                <w:sz w:val="18"/>
                <w:szCs w:val="18"/>
                <w:highlight w:val="none"/>
                <w:lang w:val="en-US" w:eastAsia="zh-CN" w:bidi="ar-SA"/>
              </w:rPr>
            </w:pPr>
            <w:r>
              <w:rPr>
                <w:rFonts w:hint="eastAsia" w:ascii="仿宋_GB2312" w:hAnsi="仿宋_GB2312" w:eastAsia="仿宋_GB2312"/>
                <w:b w:val="0"/>
                <w:bCs w:val="0"/>
                <w:color w:val="auto"/>
                <w:sz w:val="18"/>
                <w:szCs w:val="1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88" w:type="dxa"/>
            <w:noWrap/>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b w:val="0"/>
                <w:bCs w:val="0"/>
                <w:color w:val="auto"/>
                <w:sz w:val="18"/>
                <w:szCs w:val="18"/>
                <w:highlight w:val="none"/>
                <w:lang w:eastAsia="zh-CN"/>
              </w:rPr>
            </w:pPr>
            <w:r>
              <w:rPr>
                <w:rFonts w:hint="eastAsia" w:ascii="仿宋_GB2312" w:hAnsi="仿宋_GB2312" w:eastAsia="仿宋_GB2312"/>
                <w:b w:val="0"/>
                <w:bCs w:val="0"/>
                <w:color w:val="auto"/>
                <w:sz w:val="18"/>
                <w:szCs w:val="18"/>
                <w:highlight w:val="none"/>
                <w:lang w:val="en-US" w:eastAsia="zh-CN"/>
              </w:rPr>
              <w:t>3</w:t>
            </w:r>
          </w:p>
        </w:tc>
        <w:tc>
          <w:tcPr>
            <w:tcW w:w="1406" w:type="dxa"/>
            <w:vMerge w:val="continue"/>
            <w:tcMar>
              <w:top w:w="10" w:type="dxa"/>
              <w:left w:w="10" w:type="dxa"/>
              <w:right w:w="10" w:type="dxa"/>
            </w:tcMar>
            <w:vAlign w:val="center"/>
          </w:tcPr>
          <w:p>
            <w:pPr>
              <w:pStyle w:val="16"/>
              <w:widowControl w:val="0"/>
              <w:adjustRightInd w:val="0"/>
              <w:snapToGrid w:val="0"/>
              <w:jc w:val="center"/>
              <w:rPr>
                <w:rFonts w:ascii="仿宋_GB2312" w:hAnsi="仿宋_GB2312" w:eastAsia="仿宋_GB2312"/>
                <w:b w:val="0"/>
                <w:bCs w:val="0"/>
                <w:color w:val="auto"/>
                <w:sz w:val="18"/>
                <w:szCs w:val="18"/>
                <w:highlight w:val="none"/>
              </w:rPr>
            </w:pPr>
          </w:p>
        </w:tc>
        <w:tc>
          <w:tcPr>
            <w:tcW w:w="1669"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房建类业绩</w:t>
            </w:r>
          </w:p>
          <w:p>
            <w:pPr>
              <w:widowControl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(近2年)</w:t>
            </w:r>
          </w:p>
        </w:tc>
        <w:tc>
          <w:tcPr>
            <w:tcW w:w="4781" w:type="dxa"/>
            <w:tcMar>
              <w:top w:w="10" w:type="dxa"/>
              <w:left w:w="10" w:type="dxa"/>
              <w:right w:w="10" w:type="dxa"/>
            </w:tcMar>
            <w:vAlign w:val="center"/>
          </w:tcPr>
          <w:p>
            <w:pPr>
              <w:widowControl w:val="0"/>
              <w:spacing w:afterLines="-2147483648" w:line="240" w:lineRule="auto"/>
              <w:jc w:val="left"/>
              <w:outlineLvl w:val="9"/>
              <w:rPr>
                <w:rFonts w:hint="eastAsia" w:ascii="仿宋_GB2312" w:hAnsi="仿宋_GB2312" w:eastAsia="仿宋_GB2312" w:cs="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提供</w:t>
            </w:r>
            <w:r>
              <w:rPr>
                <w:rFonts w:hint="eastAsia" w:ascii="仿宋_GB2312" w:hAnsi="仿宋_GB2312" w:eastAsia="仿宋_GB2312" w:cs="仿宋_GB2312"/>
                <w:b w:val="0"/>
                <w:bCs w:val="0"/>
                <w:color w:val="auto"/>
                <w:sz w:val="18"/>
                <w:szCs w:val="18"/>
                <w:highlight w:val="none"/>
              </w:rPr>
              <w:t>近</w:t>
            </w:r>
            <w:r>
              <w:rPr>
                <w:rFonts w:hint="eastAsia" w:ascii="仿宋_GB2312" w:hAnsi="仿宋_GB2312" w:eastAsia="仿宋_GB2312" w:cs="仿宋_GB2312"/>
                <w:b w:val="0"/>
                <w:bCs w:val="0"/>
                <w:color w:val="auto"/>
                <w:sz w:val="18"/>
                <w:szCs w:val="18"/>
                <w:highlight w:val="none"/>
                <w:lang w:val="en-US" w:eastAsia="zh-CN"/>
              </w:rPr>
              <w:t>2</w:t>
            </w:r>
            <w:r>
              <w:rPr>
                <w:rFonts w:hint="eastAsia" w:ascii="仿宋_GB2312" w:hAnsi="仿宋_GB2312" w:eastAsia="仿宋_GB2312" w:cs="仿宋_GB2312"/>
                <w:b w:val="0"/>
                <w:bCs w:val="0"/>
                <w:color w:val="auto"/>
                <w:sz w:val="18"/>
                <w:szCs w:val="18"/>
                <w:highlight w:val="none"/>
              </w:rPr>
              <w:t>年作为</w:t>
            </w:r>
            <w:r>
              <w:rPr>
                <w:rFonts w:hint="eastAsia" w:ascii="仿宋_GB2312" w:hAnsi="仿宋_GB2312" w:eastAsia="仿宋_GB2312" w:cs="仿宋_GB2312"/>
                <w:b w:val="0"/>
                <w:bCs w:val="0"/>
                <w:color w:val="auto"/>
                <w:sz w:val="18"/>
                <w:szCs w:val="18"/>
                <w:highlight w:val="none"/>
                <w:lang w:val="en-US" w:eastAsia="zh-CN"/>
              </w:rPr>
              <w:t>监理</w:t>
            </w:r>
            <w:r>
              <w:rPr>
                <w:rFonts w:hint="eastAsia" w:ascii="仿宋_GB2312" w:hAnsi="仿宋_GB2312" w:eastAsia="仿宋_GB2312" w:cs="仿宋_GB2312"/>
                <w:b w:val="0"/>
                <w:bCs w:val="0"/>
                <w:color w:val="auto"/>
                <w:sz w:val="18"/>
                <w:szCs w:val="18"/>
                <w:highlight w:val="none"/>
              </w:rPr>
              <w:t>服务单位，</w:t>
            </w:r>
            <w:r>
              <w:rPr>
                <w:rFonts w:hint="eastAsia" w:ascii="仿宋_GB2312" w:hAnsi="仿宋_GB2312" w:eastAsia="仿宋_GB2312" w:cs="仿宋_GB2312"/>
                <w:b w:val="0"/>
                <w:bCs w:val="0"/>
                <w:color w:val="auto"/>
                <w:sz w:val="18"/>
                <w:szCs w:val="18"/>
                <w:highlight w:val="none"/>
                <w:lang w:eastAsia="zh-CN"/>
              </w:rPr>
              <w:t>房建类</w:t>
            </w:r>
            <w:r>
              <w:rPr>
                <w:rFonts w:hint="eastAsia" w:ascii="仿宋_GB2312" w:hAnsi="仿宋_GB2312" w:eastAsia="仿宋_GB2312" w:cs="仿宋_GB2312"/>
                <w:b w:val="0"/>
                <w:bCs w:val="0"/>
                <w:color w:val="auto"/>
                <w:sz w:val="18"/>
                <w:szCs w:val="18"/>
                <w:highlight w:val="none"/>
              </w:rPr>
              <w:t>业绩</w:t>
            </w:r>
            <w:r>
              <w:rPr>
                <w:rFonts w:hint="eastAsia" w:ascii="仿宋_GB2312" w:hAnsi="仿宋_GB2312" w:eastAsia="仿宋_GB2312" w:cs="仿宋_GB2312"/>
                <w:b w:val="0"/>
                <w:bCs w:val="0"/>
                <w:color w:val="auto"/>
                <w:sz w:val="18"/>
                <w:szCs w:val="18"/>
                <w:highlight w:val="none"/>
                <w:lang w:val="en-US" w:eastAsia="zh-CN"/>
              </w:rPr>
              <w:t>合同原件扫描件及其他证明材料</w:t>
            </w:r>
            <w:r>
              <w:rPr>
                <w:rFonts w:hint="eastAsia" w:ascii="仿宋_GB2312" w:hAnsi="仿宋_GB2312" w:eastAsia="仿宋_GB2312" w:cs="仿宋_GB2312"/>
                <w:b w:val="0"/>
                <w:bCs w:val="0"/>
                <w:color w:val="auto"/>
                <w:sz w:val="18"/>
                <w:szCs w:val="18"/>
                <w:highlight w:val="none"/>
              </w:rPr>
              <w:t>，在建或已完成均可。</w:t>
            </w:r>
          </w:p>
        </w:tc>
        <w:tc>
          <w:tcPr>
            <w:tcW w:w="3413" w:type="dxa"/>
            <w:tcMar>
              <w:top w:w="10" w:type="dxa"/>
              <w:left w:w="10" w:type="dxa"/>
              <w:right w:w="10" w:type="dxa"/>
            </w:tcMar>
            <w:vAlign w:val="center"/>
          </w:tcPr>
          <w:p>
            <w:pPr>
              <w:widowControl w:val="0"/>
              <w:spacing w:afterLines="-2147483648" w:line="240" w:lineRule="auto"/>
              <w:jc w:val="left"/>
              <w:outlineLvl w:val="9"/>
              <w:rPr>
                <w:rFonts w:hint="eastAsia" w:ascii="仿宋_GB2312" w:hAnsi="仿宋_GB2312" w:eastAsia="仿宋_GB2312" w:cs="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对项目名称、项目所在地、项目总建筑面积、竣工时间等信息进行标注。</w:t>
            </w:r>
          </w:p>
        </w:tc>
        <w:tc>
          <w:tcPr>
            <w:tcW w:w="6975"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kern w:val="2"/>
                <w:sz w:val="18"/>
                <w:szCs w:val="18"/>
                <w:highlight w:val="none"/>
                <w:lang w:val="en-US" w:eastAsia="zh-CN" w:bidi="ar-SA"/>
              </w:rPr>
              <w:t>根据企业近2年作为监理服务单位，房屋建筑工程监理类似业绩情况进行评分：</w:t>
            </w:r>
          </w:p>
          <w:p>
            <w:pPr>
              <w:widowControl w:val="0"/>
              <w:spacing w:line="240" w:lineRule="auto"/>
              <w:jc w:val="left"/>
              <w:rPr>
                <w:rFonts w:hint="eastAsia" w:ascii="仿宋_GB2312" w:hAnsi="仿宋_GB2312" w:eastAsia="仿宋_GB2312" w:cs="仿宋_GB2312"/>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kern w:val="2"/>
                <w:sz w:val="18"/>
                <w:szCs w:val="18"/>
                <w:highlight w:val="none"/>
                <w:lang w:val="en-US" w:eastAsia="zh-CN" w:bidi="ar-SA"/>
              </w:rPr>
              <w:t>1.单个项目总建筑面积30万平方米（含）及以上的，得0.5分/项；</w:t>
            </w:r>
          </w:p>
          <w:p>
            <w:pPr>
              <w:widowControl w:val="0"/>
              <w:spacing w:line="240" w:lineRule="auto"/>
              <w:jc w:val="left"/>
              <w:rPr>
                <w:rFonts w:hint="eastAsia" w:ascii="仿宋_GB2312" w:hAnsi="仿宋_GB2312" w:eastAsia="仿宋_GB2312" w:cs="仿宋_GB2312"/>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kern w:val="2"/>
                <w:sz w:val="18"/>
                <w:szCs w:val="18"/>
                <w:highlight w:val="none"/>
                <w:lang w:val="en-US" w:eastAsia="zh-CN" w:bidi="ar-SA"/>
              </w:rPr>
              <w:t>2.单个项目总建筑面积20万（含）-30万平方米的，得0.3分/项；</w:t>
            </w:r>
          </w:p>
          <w:p>
            <w:pPr>
              <w:widowControl w:val="0"/>
              <w:spacing w:line="240" w:lineRule="auto"/>
              <w:jc w:val="left"/>
              <w:rPr>
                <w:rFonts w:hint="eastAsia" w:ascii="仿宋_GB2312" w:hAnsi="仿宋_GB2312" w:eastAsia="仿宋_GB2312" w:cs="仿宋_GB2312"/>
                <w:b w:val="0"/>
                <w:bCs w:val="0"/>
                <w:color w:val="auto"/>
                <w:sz w:val="18"/>
                <w:szCs w:val="18"/>
                <w:highlight w:val="none"/>
              </w:rPr>
            </w:pPr>
            <w:r>
              <w:rPr>
                <w:rFonts w:hint="eastAsia" w:ascii="仿宋_GB2312" w:hAnsi="仿宋_GB2312" w:eastAsia="仿宋_GB2312" w:cs="仿宋_GB2312"/>
                <w:b w:val="0"/>
                <w:bCs w:val="0"/>
                <w:color w:val="auto"/>
                <w:kern w:val="2"/>
                <w:sz w:val="18"/>
                <w:szCs w:val="18"/>
                <w:highlight w:val="none"/>
                <w:lang w:val="en-US" w:eastAsia="zh-CN" w:bidi="ar-SA"/>
              </w:rPr>
              <w:t>3.单个项目总建筑面积10万（含）-20万平方米的，得0.2分/项。</w:t>
            </w:r>
          </w:p>
        </w:tc>
        <w:tc>
          <w:tcPr>
            <w:tcW w:w="1200" w:type="dxa"/>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Times New Roman"/>
                <w:b w:val="0"/>
                <w:bCs w:val="0"/>
                <w:color w:val="auto"/>
                <w:kern w:val="2"/>
                <w:sz w:val="18"/>
                <w:szCs w:val="18"/>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88" w:type="dxa"/>
            <w:noWrap/>
            <w:tcMar>
              <w:top w:w="10" w:type="dxa"/>
              <w:left w:w="10" w:type="dxa"/>
              <w:right w:w="10" w:type="dxa"/>
            </w:tcMar>
            <w:vAlign w:val="center"/>
          </w:tcPr>
          <w:p>
            <w:pPr>
              <w:adjustRightInd w:val="0"/>
              <w:snapToGrid w:val="0"/>
              <w:jc w:val="center"/>
              <w:textAlignment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4</w:t>
            </w:r>
          </w:p>
        </w:tc>
        <w:tc>
          <w:tcPr>
            <w:tcW w:w="1406" w:type="dxa"/>
            <w:vMerge w:val="continue"/>
            <w:tcMar>
              <w:top w:w="10" w:type="dxa"/>
              <w:left w:w="10" w:type="dxa"/>
              <w:right w:w="10" w:type="dxa"/>
            </w:tcMar>
            <w:vAlign w:val="center"/>
          </w:tcPr>
          <w:p>
            <w:pPr>
              <w:pStyle w:val="16"/>
              <w:widowControl w:val="0"/>
              <w:adjustRightInd w:val="0"/>
              <w:snapToGrid w:val="0"/>
              <w:jc w:val="center"/>
              <w:rPr>
                <w:rFonts w:ascii="仿宋_GB2312" w:hAnsi="仿宋_GB2312" w:eastAsia="仿宋_GB2312"/>
                <w:b w:val="0"/>
                <w:bCs w:val="0"/>
                <w:color w:val="auto"/>
                <w:sz w:val="18"/>
                <w:szCs w:val="18"/>
                <w:highlight w:val="none"/>
              </w:rPr>
            </w:pPr>
          </w:p>
        </w:tc>
        <w:tc>
          <w:tcPr>
            <w:tcW w:w="1669"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color w:val="auto"/>
                <w:sz w:val="18"/>
                <w:szCs w:val="18"/>
                <w:highlight w:val="none"/>
                <w:lang w:val="en-US" w:eastAsia="zh-CN"/>
              </w:rPr>
            </w:pPr>
            <w:r>
              <w:rPr>
                <w:rFonts w:hint="eastAsia" w:ascii="仿宋_GB2312" w:hAnsi="仿宋_GB2312" w:eastAsia="仿宋_GB2312" w:cs="仿宋_GB2312"/>
                <w:color w:val="auto"/>
                <w:sz w:val="18"/>
                <w:szCs w:val="18"/>
                <w:highlight w:val="none"/>
                <w:lang w:val="en-US" w:eastAsia="zh-CN"/>
              </w:rPr>
              <w:t>房建类获奖</w:t>
            </w:r>
          </w:p>
          <w:p>
            <w:pPr>
              <w:widowControl w:val="0"/>
              <w:jc w:val="center"/>
              <w:rPr>
                <w:rFonts w:hint="eastAsia"/>
                <w:color w:val="auto"/>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(近3年)</w:t>
            </w:r>
          </w:p>
        </w:tc>
        <w:tc>
          <w:tcPr>
            <w:tcW w:w="4781" w:type="dxa"/>
            <w:tcMar>
              <w:top w:w="10" w:type="dxa"/>
              <w:left w:w="10" w:type="dxa"/>
              <w:right w:w="10" w:type="dxa"/>
            </w:tcMar>
            <w:vAlign w:val="center"/>
          </w:tcPr>
          <w:p>
            <w:pPr>
              <w:widowControl w:val="0"/>
              <w:spacing w:afterLines="-2147483648" w:line="240" w:lineRule="auto"/>
              <w:jc w:val="left"/>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供企业近3年（自征集文件发布截止之日起倒推）与房屋建筑类相关的获奖证书证明材料。</w:t>
            </w:r>
          </w:p>
        </w:tc>
        <w:tc>
          <w:tcPr>
            <w:tcW w:w="3413" w:type="dxa"/>
            <w:tcMar>
              <w:top w:w="10" w:type="dxa"/>
              <w:left w:w="10" w:type="dxa"/>
              <w:right w:w="10" w:type="dxa"/>
            </w:tcMar>
            <w:vAlign w:val="center"/>
          </w:tcPr>
          <w:p>
            <w:pPr>
              <w:widowControl w:val="0"/>
              <w:spacing w:afterLines="-2147483648" w:line="240" w:lineRule="auto"/>
              <w:jc w:val="left"/>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提供企业近3年（自征集文件发布截止之日起倒推）与房屋建筑类相关的获奖证书证明材料。 对项目名称、项目所在地、竣工时间、颁奖单位等信息进行标注。</w:t>
            </w:r>
          </w:p>
        </w:tc>
        <w:tc>
          <w:tcPr>
            <w:tcW w:w="6975"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kern w:val="2"/>
                <w:sz w:val="18"/>
                <w:szCs w:val="18"/>
                <w:highlight w:val="none"/>
                <w:lang w:val="en-US" w:eastAsia="zh-CN" w:bidi="ar-SA"/>
              </w:rPr>
              <w:t>获得中国建筑业协会评选的《中国建设工程鲁班奖》、国家工程建设质量奖审定委员会评选的《国家优质工程金、银质奖》、中国施工企业管理协会评选的《国家优质工程奖》、中国建筑金属结构协会评选的《中国钢结构金奖》、中国建筑装饰协会评选的《中国建筑工程装饰奖》、中国建筑业协会评选的《全国建设工程项目施工安全生产标准化工地奖》、《AAA级安全文明标准化诚信工地奖》，0.5分/项。</w:t>
            </w:r>
          </w:p>
          <w:p>
            <w:pPr>
              <w:widowControl w:val="0"/>
              <w:spacing w:line="240" w:lineRule="auto"/>
              <w:jc w:val="left"/>
              <w:rPr>
                <w:rFonts w:hint="eastAsia" w:ascii="仿宋_GB2312" w:hAnsi="仿宋_GB2312" w:eastAsia="仿宋_GB2312" w:cs="仿宋_GB2312"/>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kern w:val="2"/>
                <w:sz w:val="18"/>
                <w:szCs w:val="18"/>
                <w:highlight w:val="none"/>
                <w:lang w:val="en-US" w:eastAsia="zh-CN" w:bidi="ar-SA"/>
              </w:rPr>
              <w:t>注：同一项目获多个奖项可以重复计取</w:t>
            </w:r>
          </w:p>
        </w:tc>
        <w:tc>
          <w:tcPr>
            <w:tcW w:w="1200" w:type="dxa"/>
            <w:tcMar>
              <w:top w:w="10" w:type="dxa"/>
              <w:left w:w="10" w:type="dxa"/>
              <w:right w:w="10" w:type="dxa"/>
            </w:tcMar>
            <w:vAlign w:val="center"/>
          </w:tcPr>
          <w:p>
            <w:pPr>
              <w:widowControl w:val="0"/>
              <w:spacing w:line="240" w:lineRule="auto"/>
              <w:jc w:val="center"/>
              <w:rPr>
                <w:rFonts w:hint="default" w:ascii="仿宋_GB2312" w:hAnsi="仿宋_GB2312" w:eastAsia="仿宋_GB2312" w:cs="Times New Roman"/>
                <w:b w:val="0"/>
                <w:bCs w:val="0"/>
                <w:color w:val="auto"/>
                <w:kern w:val="2"/>
                <w:sz w:val="18"/>
                <w:szCs w:val="18"/>
                <w:highlight w:val="none"/>
                <w:lang w:val="en-US" w:eastAsia="zh-CN"/>
              </w:rPr>
            </w:pPr>
            <w:r>
              <w:rPr>
                <w:rFonts w:hint="eastAsia" w:ascii="仿宋_GB2312" w:hAnsi="仿宋_GB2312" w:eastAsia="仿宋_GB2312" w:cs="Times New Roman"/>
                <w:b w:val="0"/>
                <w:bCs w:val="0"/>
                <w:color w:val="auto"/>
                <w:kern w:val="2"/>
                <w:sz w:val="18"/>
                <w:szCs w:val="18"/>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88" w:type="dxa"/>
            <w:noWrap/>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5</w:t>
            </w:r>
          </w:p>
        </w:tc>
        <w:tc>
          <w:tcPr>
            <w:tcW w:w="1406"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信用等级</w:t>
            </w:r>
          </w:p>
          <w:p>
            <w:pPr>
              <w:widowControl w:val="0"/>
              <w:spacing w:line="240" w:lineRule="auto"/>
              <w:jc w:val="center"/>
              <w:rPr>
                <w:rFonts w:hint="default"/>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（5分）</w:t>
            </w:r>
          </w:p>
        </w:tc>
        <w:tc>
          <w:tcPr>
            <w:tcW w:w="1669" w:type="dxa"/>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企业信用等级</w:t>
            </w:r>
          </w:p>
        </w:tc>
        <w:tc>
          <w:tcPr>
            <w:tcW w:w="4781" w:type="dxa"/>
            <w:tcMar>
              <w:top w:w="10" w:type="dxa"/>
              <w:left w:w="10" w:type="dxa"/>
              <w:right w:w="10" w:type="dxa"/>
            </w:tcMar>
            <w:vAlign w:val="center"/>
          </w:tcPr>
          <w:p>
            <w:pPr>
              <w:widowControl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提供最近一期建筑行业信用评价系统截图（https://www.gdzwfw.gov.cn/portal/v2/legal/hot）。</w:t>
            </w:r>
          </w:p>
        </w:tc>
        <w:tc>
          <w:tcPr>
            <w:tcW w:w="3413" w:type="dxa"/>
            <w:tcMar>
              <w:top w:w="10" w:type="dxa"/>
              <w:left w:w="10" w:type="dxa"/>
              <w:right w:w="10" w:type="dxa"/>
            </w:tcMar>
            <w:vAlign w:val="center"/>
          </w:tcPr>
          <w:p>
            <w:pPr>
              <w:widowControl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证明资料应能清晰反映关键信息，截图应体现单位名称、计算时间、在深圳市建筑市场主体信用管理系统中监理类信用等级等主要信息。</w:t>
            </w:r>
          </w:p>
        </w:tc>
        <w:tc>
          <w:tcPr>
            <w:tcW w:w="6975"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根据在深圳市建筑市场主体信用管理系统中监理类信用等级进行评分：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1.等级为A，得5分；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2.等级为B+，得4分；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3.等级为B，得3分；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4.等级为C，得1分；</w:t>
            </w:r>
          </w:p>
          <w:p>
            <w:pPr>
              <w:widowControl w:val="0"/>
              <w:spacing w:line="240" w:lineRule="auto"/>
              <w:jc w:val="left"/>
              <w:rPr>
                <w:rFonts w:hint="eastAsia" w:ascii="仿宋_GB2312" w:hAnsi="仿宋_GB2312" w:eastAsia="仿宋_GB2312"/>
                <w:b w:val="0"/>
                <w:bCs w:val="0"/>
                <w:color w:val="auto"/>
                <w:sz w:val="18"/>
                <w:szCs w:val="18"/>
                <w:highlight w:val="none"/>
                <w:u w:val="single"/>
              </w:rPr>
            </w:pPr>
            <w:r>
              <w:rPr>
                <w:rFonts w:hint="eastAsia" w:ascii="仿宋_GB2312" w:hAnsi="仿宋_GB2312" w:eastAsia="仿宋_GB2312" w:cs="仿宋_GB2312"/>
                <w:b w:val="0"/>
                <w:bCs w:val="0"/>
                <w:color w:val="auto"/>
                <w:sz w:val="18"/>
                <w:szCs w:val="18"/>
                <w:highlight w:val="none"/>
                <w:lang w:val="en-US" w:eastAsia="zh-CN"/>
              </w:rPr>
              <w:t>等级为D或未提不得分。</w:t>
            </w:r>
          </w:p>
        </w:tc>
        <w:tc>
          <w:tcPr>
            <w:tcW w:w="1200" w:type="dxa"/>
            <w:tcMar>
              <w:top w:w="10" w:type="dxa"/>
              <w:left w:w="10" w:type="dxa"/>
              <w:right w:w="10" w:type="dxa"/>
            </w:tcMar>
            <w:vAlign w:val="center"/>
          </w:tcPr>
          <w:p>
            <w:pPr>
              <w:widowControl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88" w:type="dxa"/>
            <w:noWrap/>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6</w:t>
            </w:r>
          </w:p>
        </w:tc>
        <w:tc>
          <w:tcPr>
            <w:tcW w:w="1406" w:type="dxa"/>
            <w:vMerge w:val="restart"/>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经营状况</w:t>
            </w:r>
          </w:p>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（10分)</w:t>
            </w:r>
          </w:p>
        </w:tc>
        <w:tc>
          <w:tcPr>
            <w:tcW w:w="1669"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近1年负债率</w:t>
            </w:r>
          </w:p>
        </w:tc>
        <w:tc>
          <w:tcPr>
            <w:tcW w:w="4781"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提供2025年经审计的第三方财务报告（报告页需含防伪二维码，财务报表页需有公司签章）</w:t>
            </w:r>
          </w:p>
        </w:tc>
        <w:tc>
          <w:tcPr>
            <w:tcW w:w="34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1.计算公式：负债率=负债总额÷资产总额×100%</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2.需对财务报告中负债总额、资产总额进行标记。</w:t>
            </w:r>
          </w:p>
        </w:tc>
        <w:tc>
          <w:tcPr>
            <w:tcW w:w="6975"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与行业（或申报单位）平均值相比，</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1.低于平均值20%（含）以上得1.5分；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2.低于平均值10-20%（不含）以上得1分；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3.低于平均值0-10%（不含）以上得0.5分；高于平均值不得分。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rPr>
                <w:rFonts w:hint="eastAsia" w:ascii="仿宋_GB2312" w:hAnsi="仿宋_GB2312" w:eastAsia="仿宋_GB2312"/>
                <w:b w:val="0"/>
                <w:bCs w:val="0"/>
                <w:color w:val="auto"/>
                <w:sz w:val="18"/>
                <w:szCs w:val="18"/>
                <w:highlight w:val="none"/>
                <w:u w:val="single"/>
              </w:rPr>
            </w:pPr>
            <w:r>
              <w:rPr>
                <w:rFonts w:hint="eastAsia" w:ascii="仿宋_GB2312" w:hAnsi="仿宋_GB2312" w:eastAsia="仿宋_GB2312" w:cs="仿宋_GB2312"/>
                <w:b w:val="0"/>
                <w:bCs w:val="0"/>
                <w:color w:val="auto"/>
                <w:sz w:val="18"/>
                <w:szCs w:val="18"/>
                <w:highlight w:val="none"/>
                <w:lang w:val="en-US" w:eastAsia="zh-CN"/>
              </w:rPr>
              <w:t>例：若行业（或申报单位）平均值为75%，则供应商近1年负债率55%时得1.5分，近1年负债率56%时得1分。</w:t>
            </w:r>
          </w:p>
        </w:tc>
        <w:tc>
          <w:tcPr>
            <w:tcW w:w="120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88" w:type="dxa"/>
            <w:noWrap/>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7</w:t>
            </w:r>
          </w:p>
        </w:tc>
        <w:tc>
          <w:tcPr>
            <w:tcW w:w="140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仿宋_GB2312" w:eastAsia="仿宋_GB2312"/>
                <w:b w:val="0"/>
                <w:bCs w:val="0"/>
                <w:color w:val="auto"/>
                <w:sz w:val="18"/>
                <w:szCs w:val="18"/>
                <w:highlight w:val="none"/>
              </w:rPr>
            </w:pPr>
          </w:p>
        </w:tc>
        <w:tc>
          <w:tcPr>
            <w:tcW w:w="1669"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近1年净现金流</w:t>
            </w:r>
          </w:p>
        </w:tc>
        <w:tc>
          <w:tcPr>
            <w:tcW w:w="4781"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提供2025年经审计的第三方财务报告（报告页需含防伪二维码，财务报表页需有公司签章）</w:t>
            </w:r>
          </w:p>
        </w:tc>
        <w:tc>
          <w:tcPr>
            <w:tcW w:w="34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1.需对财务报告中净现金流进行标记，净现金流为经营性现金流量净额。</w:t>
            </w:r>
          </w:p>
        </w:tc>
        <w:tc>
          <w:tcPr>
            <w:tcW w:w="6975"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u w:val="single"/>
              </w:rPr>
            </w:pPr>
            <w:r>
              <w:rPr>
                <w:rFonts w:hint="eastAsia" w:ascii="仿宋_GB2312" w:hAnsi="仿宋_GB2312" w:eastAsia="仿宋_GB2312" w:cs="仿宋_GB2312"/>
                <w:b w:val="0"/>
                <w:bCs w:val="0"/>
                <w:color w:val="auto"/>
                <w:sz w:val="18"/>
                <w:szCs w:val="18"/>
                <w:highlight w:val="none"/>
                <w:lang w:val="en-US" w:eastAsia="zh-CN"/>
              </w:rPr>
              <w:t>经营性净现金流为正，得3分；经营性净现金流为负，不得分。</w:t>
            </w:r>
          </w:p>
        </w:tc>
        <w:tc>
          <w:tcPr>
            <w:tcW w:w="120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88" w:type="dxa"/>
            <w:noWrap/>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8</w:t>
            </w:r>
          </w:p>
        </w:tc>
        <w:tc>
          <w:tcPr>
            <w:tcW w:w="140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仿宋_GB2312" w:eastAsia="仿宋_GB2312"/>
                <w:b w:val="0"/>
                <w:bCs w:val="0"/>
                <w:color w:val="auto"/>
                <w:sz w:val="18"/>
                <w:szCs w:val="18"/>
                <w:highlight w:val="none"/>
              </w:rPr>
            </w:pPr>
          </w:p>
        </w:tc>
        <w:tc>
          <w:tcPr>
            <w:tcW w:w="1669"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短期债务偿还能力</w:t>
            </w:r>
          </w:p>
        </w:tc>
        <w:tc>
          <w:tcPr>
            <w:tcW w:w="4781"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提供2025年经审计的第三方财务报告（报告页需含防伪二维码，财务报表页需有公司签章）</w:t>
            </w:r>
          </w:p>
        </w:tc>
        <w:tc>
          <w:tcPr>
            <w:tcW w:w="34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1.计算公式：短期债务偿还能力=货币资金/（短期借款+一年内到期的非流动负债）</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2.需对财务报告中货币资金、短期借款、一年内到期的非流动负债进行标记。</w:t>
            </w:r>
          </w:p>
        </w:tc>
        <w:tc>
          <w:tcPr>
            <w:tcW w:w="6975"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与行业（或申报单位）平均值相比，</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1.高于平均值1.2倍（含）以上得1.5分；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2.高于平均值1.1倍（含）以上得1分；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3.高于平均值1倍（含）以上，或</w:t>
            </w:r>
            <w:r>
              <w:rPr>
                <w:rFonts w:hint="eastAsia" w:ascii="仿宋_GB2312" w:hAnsi="仿宋_GB2312" w:eastAsia="仿宋_GB2312" w:cs="仿宋_GB2312"/>
                <w:b w:val="0"/>
                <w:bCs w:val="0"/>
                <w:color w:val="auto"/>
                <w:sz w:val="18"/>
                <w:szCs w:val="18"/>
                <w:highlight w:val="none"/>
              </w:rPr>
              <w:t>低于平均值但短期债务偿还能力</w:t>
            </w:r>
            <w:r>
              <w:rPr>
                <w:rFonts w:hint="eastAsia" w:ascii="仿宋_GB2312" w:hAnsi="仿宋_GB2312" w:eastAsia="仿宋_GB2312" w:cs="仿宋_GB2312"/>
                <w:b w:val="0"/>
                <w:bCs w:val="0"/>
                <w:color w:val="auto"/>
                <w:sz w:val="18"/>
                <w:szCs w:val="18"/>
                <w:highlight w:val="none"/>
                <w:lang w:val="en-US" w:eastAsia="zh-CN"/>
              </w:rPr>
              <w:t>大于</w:t>
            </w:r>
            <w:r>
              <w:rPr>
                <w:rFonts w:hint="eastAsia" w:ascii="仿宋_GB2312" w:hAnsi="仿宋_GB2312" w:eastAsia="仿宋_GB2312" w:cs="仿宋_GB2312"/>
                <w:b w:val="0"/>
                <w:bCs w:val="0"/>
                <w:color w:val="auto"/>
                <w:sz w:val="18"/>
                <w:szCs w:val="18"/>
                <w:highlight w:val="none"/>
              </w:rPr>
              <w:t>1</w:t>
            </w:r>
            <w:r>
              <w:rPr>
                <w:rFonts w:hint="eastAsia" w:ascii="仿宋_GB2312" w:hAnsi="仿宋_GB2312" w:eastAsia="仿宋_GB2312" w:cs="仿宋_GB2312"/>
                <w:b w:val="0"/>
                <w:bCs w:val="0"/>
                <w:color w:val="auto"/>
                <w:sz w:val="18"/>
                <w:szCs w:val="18"/>
                <w:highlight w:val="none"/>
                <w:lang w:eastAsia="zh-CN"/>
              </w:rPr>
              <w:t>，</w:t>
            </w:r>
            <w:r>
              <w:rPr>
                <w:rFonts w:hint="eastAsia" w:ascii="仿宋_GB2312" w:hAnsi="仿宋_GB2312" w:eastAsia="仿宋_GB2312" w:cs="仿宋_GB2312"/>
                <w:b w:val="0"/>
                <w:bCs w:val="0"/>
                <w:color w:val="auto"/>
                <w:sz w:val="18"/>
                <w:szCs w:val="18"/>
                <w:highlight w:val="none"/>
                <w:lang w:val="en-US" w:eastAsia="zh-CN"/>
              </w:rPr>
              <w:t>得0.5分；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4.其余情形不得分。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rPr>
                <w:rFonts w:hint="eastAsia" w:ascii="仿宋_GB2312" w:hAnsi="仿宋_GB2312" w:eastAsia="仿宋_GB2312"/>
                <w:b w:val="0"/>
                <w:bCs w:val="0"/>
                <w:color w:val="auto"/>
                <w:sz w:val="18"/>
                <w:szCs w:val="18"/>
                <w:highlight w:val="none"/>
                <w:u w:val="single"/>
              </w:rPr>
            </w:pPr>
            <w:r>
              <w:rPr>
                <w:rFonts w:hint="eastAsia" w:ascii="仿宋_GB2312" w:hAnsi="仿宋_GB2312" w:eastAsia="仿宋_GB2312" w:cs="仿宋_GB2312"/>
                <w:b w:val="0"/>
                <w:bCs w:val="0"/>
                <w:color w:val="auto"/>
                <w:sz w:val="18"/>
                <w:szCs w:val="18"/>
                <w:highlight w:val="none"/>
                <w:lang w:val="en-US" w:eastAsia="zh-CN"/>
              </w:rPr>
              <w:t>例：若行业（或申报单位）平均值为1.2，则供应商近1年短期债务偿还能力1.44得1.5分，近1年短期债务偿还能力1.32得1分。</w:t>
            </w:r>
          </w:p>
        </w:tc>
        <w:tc>
          <w:tcPr>
            <w:tcW w:w="120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788" w:type="dxa"/>
            <w:noWrap/>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9</w:t>
            </w:r>
          </w:p>
        </w:tc>
        <w:tc>
          <w:tcPr>
            <w:tcW w:w="1406"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仿宋_GB2312" w:eastAsia="仿宋_GB2312"/>
                <w:b w:val="0"/>
                <w:bCs w:val="0"/>
                <w:color w:val="auto"/>
                <w:sz w:val="18"/>
                <w:szCs w:val="18"/>
                <w:highlight w:val="none"/>
              </w:rPr>
            </w:pPr>
          </w:p>
        </w:tc>
        <w:tc>
          <w:tcPr>
            <w:tcW w:w="1669"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经营变化</w:t>
            </w:r>
          </w:p>
        </w:tc>
        <w:tc>
          <w:tcPr>
            <w:tcW w:w="4781"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1.提供近2年（2024年、2025年）经审计的第三方财务报告（报告页需含防伪二维码，财务报表页需有公司签章）</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2.信用评级机构或银行出具的信用评价证明。</w:t>
            </w:r>
          </w:p>
        </w:tc>
        <w:tc>
          <w:tcPr>
            <w:tcW w:w="3413"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1.提供近2年企业负债率、净现金流、偿债能力汇总表；</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2.对近2年信用评级情况进行标记。</w:t>
            </w:r>
          </w:p>
        </w:tc>
        <w:tc>
          <w:tcPr>
            <w:tcW w:w="6975" w:type="dxa"/>
            <w:tcMar>
              <w:top w:w="10" w:type="dxa"/>
              <w:left w:w="10" w:type="dxa"/>
              <w:right w:w="10" w:type="dxa"/>
            </w:tcMar>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企业负债率、净现金流、偿债能力、信用评价四项指标，与上1年比较，（基础为4分）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1.企业资产负债率上升且高于平均值扣1分；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2.净现金流下降且低于0扣1分；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3.短期债务偿还能力下降且低于平均值扣1分；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4.信用评级机构或银行信用评级下降扣1分；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rPr>
                <w:rFonts w:hint="eastAsia" w:ascii="仿宋_GB2312" w:hAnsi="仿宋_GB2312" w:eastAsia="仿宋_GB2312"/>
                <w:b w:val="0"/>
                <w:bCs w:val="0"/>
                <w:color w:val="auto"/>
                <w:sz w:val="18"/>
                <w:szCs w:val="18"/>
                <w:highlight w:val="none"/>
                <w:u w:val="single"/>
              </w:rPr>
            </w:pPr>
            <w:r>
              <w:rPr>
                <w:rFonts w:hint="eastAsia" w:ascii="仿宋_GB2312" w:hAnsi="仿宋_GB2312" w:eastAsia="仿宋_GB2312" w:cs="仿宋_GB2312"/>
                <w:b w:val="0"/>
                <w:bCs w:val="0"/>
                <w:color w:val="auto"/>
                <w:sz w:val="18"/>
                <w:szCs w:val="18"/>
                <w:highlight w:val="none"/>
                <w:lang w:val="en-US" w:eastAsia="zh-CN"/>
              </w:rPr>
              <w:t>若未提供的不得分。</w:t>
            </w:r>
          </w:p>
        </w:tc>
        <w:tc>
          <w:tcPr>
            <w:tcW w:w="120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9032" w:type="dxa"/>
            <w:gridSpan w:val="6"/>
            <w:noWrap/>
            <w:tcMar>
              <w:top w:w="10" w:type="dxa"/>
              <w:left w:w="10" w:type="dxa"/>
              <w:right w:w="10" w:type="dxa"/>
            </w:tcMar>
            <w:vAlign w:val="center"/>
          </w:tcPr>
          <w:p>
            <w:pPr>
              <w:adjustRightInd w:val="0"/>
              <w:snapToGrid w:val="0"/>
              <w:jc w:val="center"/>
              <w:textAlignment w:val="center"/>
              <w:rPr>
                <w:rFonts w:ascii="仿宋_GB2312" w:eastAsia="仿宋_GB2312"/>
                <w:b w:val="0"/>
                <w:bCs w:val="0"/>
                <w:color w:val="auto"/>
                <w:sz w:val="18"/>
                <w:szCs w:val="18"/>
                <w:highlight w:val="none"/>
              </w:rPr>
            </w:pPr>
            <w:r>
              <w:rPr>
                <w:rFonts w:hint="eastAsia" w:ascii="仿宋_GB2312" w:eastAsia="仿宋_GB2312"/>
                <w:b w:val="0"/>
                <w:bCs w:val="0"/>
                <w:color w:val="auto"/>
                <w:sz w:val="18"/>
                <w:szCs w:val="18"/>
                <w:highlight w:val="none"/>
              </w:rPr>
              <w:t>合计</w:t>
            </w:r>
          </w:p>
        </w:tc>
        <w:tc>
          <w:tcPr>
            <w:tcW w:w="1200" w:type="dxa"/>
            <w:tcMar>
              <w:top w:w="10" w:type="dxa"/>
              <w:left w:w="10" w:type="dxa"/>
              <w:right w:w="10" w:type="dxa"/>
            </w:tcMar>
            <w:vAlign w:val="center"/>
          </w:tcPr>
          <w:p>
            <w:pPr>
              <w:adjustRightInd w:val="0"/>
              <w:snapToGrid w:val="0"/>
              <w:jc w:val="center"/>
              <w:textAlignment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20</w:t>
            </w:r>
          </w:p>
        </w:tc>
      </w:tr>
    </w:tbl>
    <w:p>
      <w:pP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br w:type="page"/>
      </w:r>
    </w:p>
    <w:p>
      <w:pPr>
        <w:jc w:val="center"/>
        <w:rPr>
          <w:rFonts w:hint="default" w:ascii="方正小标宋简体" w:hAnsi="方正小标宋简体" w:eastAsia="方正小标宋简体" w:cs="方正小标宋简体"/>
          <w:color w:val="000000" w:themeColor="text1"/>
          <w:sz w:val="40"/>
          <w:szCs w:val="40"/>
          <w:highlight w:val="none"/>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t>造价咨询类市场评价评分表</w:t>
      </w:r>
    </w:p>
    <w:tbl>
      <w:tblPr>
        <w:tblStyle w:val="6"/>
        <w:tblW w:w="202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2"/>
        <w:gridCol w:w="1410"/>
        <w:gridCol w:w="1680"/>
        <w:gridCol w:w="4770"/>
        <w:gridCol w:w="3450"/>
        <w:gridCol w:w="6981"/>
        <w:gridCol w:w="1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 w:hRule="atLeast"/>
          <w:tblHeader/>
          <w:jc w:val="center"/>
        </w:trPr>
        <w:tc>
          <w:tcPr>
            <w:tcW w:w="812"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18"/>
                <w:szCs w:val="18"/>
                <w:highlight w:val="none"/>
              </w:rPr>
            </w:pPr>
            <w:r>
              <w:rPr>
                <w:rFonts w:hint="eastAsia" w:ascii="仿宋_GB2312" w:hAnsi="仿宋_GB2312" w:eastAsia="仿宋_GB2312"/>
                <w:b w:val="0"/>
                <w:bCs w:val="0"/>
                <w:color w:val="auto"/>
                <w:sz w:val="18"/>
                <w:szCs w:val="18"/>
                <w:highlight w:val="none"/>
              </w:rPr>
              <w:t>序号</w:t>
            </w:r>
          </w:p>
        </w:tc>
        <w:tc>
          <w:tcPr>
            <w:tcW w:w="1410" w:type="dxa"/>
            <w:tcMar>
              <w:top w:w="10" w:type="dxa"/>
              <w:left w:w="10" w:type="dxa"/>
              <w:right w:w="10" w:type="dxa"/>
            </w:tcMar>
            <w:vAlign w:val="center"/>
          </w:tcPr>
          <w:p>
            <w:pPr>
              <w:adjustRightInd w:val="0"/>
              <w:snapToGrid w:val="0"/>
              <w:jc w:val="center"/>
              <w:textAlignment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评价项</w:t>
            </w:r>
          </w:p>
        </w:tc>
        <w:tc>
          <w:tcPr>
            <w:tcW w:w="1680"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18"/>
                <w:szCs w:val="18"/>
                <w:highlight w:val="none"/>
              </w:rPr>
            </w:pPr>
            <w:r>
              <w:rPr>
                <w:rFonts w:hint="eastAsia" w:ascii="仿宋_GB2312" w:hAnsi="仿宋_GB2312" w:eastAsia="仿宋_GB2312"/>
                <w:b w:val="0"/>
                <w:bCs w:val="0"/>
                <w:color w:val="auto"/>
                <w:sz w:val="18"/>
                <w:szCs w:val="18"/>
                <w:highlight w:val="none"/>
                <w:lang w:val="en-US" w:eastAsia="zh-CN"/>
              </w:rPr>
              <w:t>评价指标</w:t>
            </w:r>
          </w:p>
        </w:tc>
        <w:tc>
          <w:tcPr>
            <w:tcW w:w="4770" w:type="dxa"/>
            <w:shd w:val="clear" w:color="auto" w:fill="auto"/>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18"/>
                <w:szCs w:val="18"/>
                <w:highlight w:val="none"/>
              </w:rPr>
            </w:pPr>
            <w:r>
              <w:rPr>
                <w:rFonts w:hint="eastAsia" w:ascii="仿宋_GB2312" w:hAnsi="仿宋_GB2312" w:eastAsia="仿宋_GB2312"/>
                <w:b w:val="0"/>
                <w:bCs w:val="0"/>
                <w:color w:val="auto"/>
                <w:sz w:val="18"/>
                <w:szCs w:val="18"/>
                <w:highlight w:val="none"/>
              </w:rPr>
              <w:t>证明材料</w:t>
            </w:r>
          </w:p>
        </w:tc>
        <w:tc>
          <w:tcPr>
            <w:tcW w:w="3450" w:type="dxa"/>
            <w:shd w:val="clear" w:color="auto" w:fill="auto"/>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b w:val="0"/>
                <w:bCs w:val="0"/>
                <w:color w:val="auto"/>
                <w:sz w:val="18"/>
                <w:szCs w:val="18"/>
                <w:highlight w:val="none"/>
              </w:rPr>
            </w:pPr>
            <w:r>
              <w:rPr>
                <w:rFonts w:hint="eastAsia" w:ascii="仿宋_GB2312" w:hAnsi="仿宋_GB2312" w:eastAsia="仿宋_GB2312"/>
                <w:b w:val="0"/>
                <w:bCs w:val="0"/>
                <w:color w:val="auto"/>
                <w:sz w:val="18"/>
                <w:szCs w:val="18"/>
                <w:highlight w:val="none"/>
              </w:rPr>
              <w:t>证明材料要求</w:t>
            </w:r>
          </w:p>
        </w:tc>
        <w:tc>
          <w:tcPr>
            <w:tcW w:w="6981"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18"/>
                <w:szCs w:val="18"/>
                <w:highlight w:val="none"/>
              </w:rPr>
            </w:pPr>
            <w:r>
              <w:rPr>
                <w:rFonts w:hint="eastAsia" w:ascii="仿宋_GB2312" w:hAnsi="仿宋_GB2312" w:eastAsia="仿宋_GB2312"/>
                <w:b w:val="0"/>
                <w:bCs w:val="0"/>
                <w:color w:val="auto"/>
                <w:sz w:val="18"/>
                <w:szCs w:val="18"/>
                <w:highlight w:val="none"/>
              </w:rPr>
              <w:t>评分标准</w:t>
            </w:r>
          </w:p>
        </w:tc>
        <w:tc>
          <w:tcPr>
            <w:tcW w:w="1170"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18"/>
                <w:szCs w:val="18"/>
                <w:highlight w:val="none"/>
              </w:rPr>
            </w:pPr>
            <w:r>
              <w:rPr>
                <w:rFonts w:hint="eastAsia" w:ascii="仿宋_GB2312" w:hAnsi="仿宋_GB2312" w:eastAsia="仿宋_GB2312"/>
                <w:b w:val="0"/>
                <w:bCs w:val="0"/>
                <w:color w:val="auto"/>
                <w:sz w:val="18"/>
                <w:szCs w:val="18"/>
                <w:highlight w:val="none"/>
                <w:lang w:val="en-US" w:eastAsia="zh-CN"/>
              </w:rPr>
              <w:t>评</w:t>
            </w:r>
            <w:r>
              <w:rPr>
                <w:rFonts w:hint="eastAsia" w:ascii="仿宋_GB2312" w:hAnsi="仿宋_GB2312" w:eastAsia="仿宋_GB2312"/>
                <w:b w:val="0"/>
                <w:bCs w:val="0"/>
                <w:color w:val="auto"/>
                <w:sz w:val="18"/>
                <w:szCs w:val="18"/>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8" w:hRule="atLeast"/>
          <w:jc w:val="center"/>
        </w:trPr>
        <w:tc>
          <w:tcPr>
            <w:tcW w:w="812" w:type="dxa"/>
            <w:noWrap/>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18"/>
                <w:szCs w:val="18"/>
                <w:highlight w:val="none"/>
              </w:rPr>
            </w:pPr>
            <w:r>
              <w:rPr>
                <w:rFonts w:hint="eastAsia" w:ascii="仿宋_GB2312" w:hAnsi="仿宋_GB2312" w:eastAsia="仿宋_GB2312"/>
                <w:b w:val="0"/>
                <w:bCs w:val="0"/>
                <w:color w:val="auto"/>
                <w:sz w:val="18"/>
                <w:szCs w:val="18"/>
                <w:highlight w:val="none"/>
              </w:rPr>
              <w:t>1</w:t>
            </w:r>
          </w:p>
        </w:tc>
        <w:tc>
          <w:tcPr>
            <w:tcW w:w="1410" w:type="dxa"/>
            <w:vMerge w:val="restart"/>
            <w:tcMar>
              <w:top w:w="10" w:type="dxa"/>
              <w:left w:w="10" w:type="dxa"/>
              <w:right w:w="10" w:type="dxa"/>
            </w:tcMar>
            <w:vAlign w:val="center"/>
          </w:tcPr>
          <w:p>
            <w:pPr>
              <w:pStyle w:val="16"/>
              <w:widowControl w:val="0"/>
              <w:adjustRightInd w:val="0"/>
              <w:snapToGrid w:val="0"/>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企业资信</w:t>
            </w:r>
            <w:r>
              <w:rPr>
                <w:rFonts w:hint="eastAsia" w:ascii="仿宋_GB2312" w:hAnsi="仿宋_GB2312" w:eastAsia="仿宋_GB2312"/>
                <w:b w:val="0"/>
                <w:bCs w:val="0"/>
                <w:color w:val="auto"/>
                <w:sz w:val="18"/>
                <w:szCs w:val="18"/>
                <w:highlight w:val="none"/>
                <w:lang w:val="en-US" w:eastAsia="zh-CN"/>
              </w:rPr>
              <w:br w:type="textWrapping"/>
            </w:r>
            <w:r>
              <w:rPr>
                <w:rFonts w:hint="eastAsia" w:ascii="仿宋_GB2312" w:hAnsi="仿宋_GB2312" w:eastAsia="仿宋_GB2312"/>
                <w:b w:val="0"/>
                <w:bCs w:val="0"/>
                <w:color w:val="auto"/>
                <w:sz w:val="18"/>
                <w:szCs w:val="18"/>
                <w:highlight w:val="none"/>
                <w:lang w:val="en-US" w:eastAsia="zh-CN"/>
              </w:rPr>
              <w:t>（</w:t>
            </w:r>
            <w:r>
              <w:rPr>
                <w:rFonts w:hint="eastAsia" w:ascii="仿宋_GB2312" w:hAnsi="仿宋_GB2312" w:eastAsia="仿宋_GB2312" w:cs="Times New Roman"/>
                <w:b w:val="0"/>
                <w:bCs w:val="0"/>
                <w:color w:val="auto"/>
                <w:kern w:val="2"/>
                <w:sz w:val="18"/>
                <w:szCs w:val="18"/>
                <w:highlight w:val="none"/>
                <w:lang w:val="en-US" w:eastAsia="zh-CN" w:bidi="ar-SA"/>
              </w:rPr>
              <w:t>5</w:t>
            </w:r>
            <w:r>
              <w:rPr>
                <w:rFonts w:hint="eastAsia" w:ascii="仿宋_GB2312" w:hAnsi="仿宋_GB2312" w:eastAsia="仿宋_GB2312"/>
                <w:b w:val="0"/>
                <w:bCs w:val="0"/>
                <w:color w:val="auto"/>
                <w:sz w:val="18"/>
                <w:szCs w:val="18"/>
                <w:highlight w:val="none"/>
                <w:lang w:val="en-US" w:eastAsia="zh-CN"/>
              </w:rPr>
              <w:t>分）</w:t>
            </w:r>
          </w:p>
        </w:tc>
        <w:tc>
          <w:tcPr>
            <w:tcW w:w="1680" w:type="dxa"/>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成立时间</w:t>
            </w:r>
          </w:p>
        </w:tc>
        <w:tc>
          <w:tcPr>
            <w:tcW w:w="4770"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kern w:val="2"/>
                <w:sz w:val="18"/>
                <w:szCs w:val="18"/>
                <w:highlight w:val="none"/>
                <w:lang w:val="en-US" w:eastAsia="zh-CN"/>
              </w:rPr>
            </w:pPr>
            <w:r>
              <w:rPr>
                <w:rFonts w:hint="eastAsia" w:ascii="仿宋_GB2312" w:hAnsi="仿宋_GB2312" w:eastAsia="仿宋_GB2312" w:cs="仿宋_GB2312"/>
                <w:b w:val="0"/>
                <w:bCs w:val="0"/>
                <w:color w:val="auto"/>
                <w:kern w:val="2"/>
                <w:sz w:val="18"/>
                <w:szCs w:val="18"/>
                <w:highlight w:val="none"/>
                <w:lang w:val="en-US" w:eastAsia="zh-CN"/>
              </w:rPr>
              <w:t>提供企业营业执照扫描件。</w:t>
            </w:r>
          </w:p>
          <w:p>
            <w:pPr>
              <w:widowControl w:val="0"/>
              <w:spacing w:line="240" w:lineRule="auto"/>
              <w:jc w:val="left"/>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kern w:val="2"/>
                <w:sz w:val="18"/>
                <w:szCs w:val="18"/>
                <w:highlight w:val="none"/>
                <w:lang w:val="en-US" w:eastAsia="zh-CN"/>
              </w:rPr>
              <w:t>如企业名称变更的，需同步提供《企业名称变更核准通知书》、变更名称前的营业执照。</w:t>
            </w:r>
          </w:p>
        </w:tc>
        <w:tc>
          <w:tcPr>
            <w:tcW w:w="3450"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kern w:val="2"/>
                <w:sz w:val="18"/>
                <w:szCs w:val="18"/>
                <w:highlight w:val="none"/>
                <w:lang w:val="en-US" w:eastAsia="zh-CN"/>
              </w:rPr>
            </w:pPr>
            <w:r>
              <w:rPr>
                <w:rFonts w:hint="eastAsia" w:ascii="仿宋_GB2312" w:hAnsi="仿宋_GB2312" w:eastAsia="仿宋_GB2312" w:cs="仿宋_GB2312"/>
                <w:b w:val="0"/>
                <w:bCs w:val="0"/>
                <w:color w:val="auto"/>
                <w:kern w:val="2"/>
                <w:sz w:val="18"/>
                <w:szCs w:val="18"/>
                <w:highlight w:val="none"/>
                <w:lang w:val="en-US" w:eastAsia="zh-CN"/>
              </w:rPr>
              <w:t>提供企业营业执照扫描件。</w:t>
            </w:r>
          </w:p>
          <w:p>
            <w:pPr>
              <w:widowControl w:val="0"/>
              <w:spacing w:line="240" w:lineRule="auto"/>
              <w:jc w:val="left"/>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kern w:val="2"/>
                <w:sz w:val="18"/>
                <w:szCs w:val="18"/>
                <w:highlight w:val="none"/>
                <w:lang w:val="en-US" w:eastAsia="zh-CN"/>
              </w:rPr>
              <w:t>如企业名称变更的，需同步提供《企业名称变更核准通知书》、变更名称前的营业执照。</w:t>
            </w:r>
          </w:p>
        </w:tc>
        <w:tc>
          <w:tcPr>
            <w:tcW w:w="6981"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rPr>
              <w:t>根据企业成立时间进行评分：</w:t>
            </w:r>
          </w:p>
          <w:p>
            <w:pPr>
              <w:widowControl w:val="0"/>
              <w:spacing w:line="240" w:lineRule="auto"/>
              <w:jc w:val="left"/>
              <w:rPr>
                <w:rFonts w:hint="eastAsia" w:ascii="仿宋_GB2312" w:hAnsi="仿宋_GB2312" w:eastAsia="仿宋_GB2312" w:cs="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rPr>
              <w:t>1.企业成立年限在15年及以上的，得</w:t>
            </w:r>
            <w:r>
              <w:rPr>
                <w:rFonts w:hint="eastAsia" w:ascii="仿宋_GB2312" w:hAnsi="仿宋_GB2312" w:eastAsia="仿宋_GB2312" w:cs="仿宋_GB2312"/>
                <w:b w:val="0"/>
                <w:bCs w:val="0"/>
                <w:color w:val="auto"/>
                <w:sz w:val="18"/>
                <w:szCs w:val="18"/>
                <w:highlight w:val="none"/>
                <w:lang w:val="en-US" w:eastAsia="zh-CN"/>
              </w:rPr>
              <w:t>1</w:t>
            </w:r>
            <w:r>
              <w:rPr>
                <w:rFonts w:hint="eastAsia" w:ascii="仿宋_GB2312" w:hAnsi="仿宋_GB2312" w:eastAsia="仿宋_GB2312" w:cs="仿宋_GB2312"/>
                <w:b w:val="0"/>
                <w:bCs w:val="0"/>
                <w:color w:val="auto"/>
                <w:sz w:val="18"/>
                <w:szCs w:val="18"/>
                <w:highlight w:val="none"/>
              </w:rPr>
              <w:t>分；</w:t>
            </w:r>
          </w:p>
          <w:p>
            <w:pPr>
              <w:widowControl w:val="0"/>
              <w:spacing w:line="240" w:lineRule="auto"/>
              <w:jc w:val="left"/>
              <w:rPr>
                <w:rFonts w:hint="eastAsia" w:ascii="仿宋_GB2312" w:hAnsi="仿宋_GB2312" w:eastAsia="仿宋_GB2312" w:cs="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rPr>
              <w:t>2.企业成立年限在8</w:t>
            </w:r>
            <w:r>
              <w:rPr>
                <w:rFonts w:hint="eastAsia" w:ascii="仿宋_GB2312" w:hAnsi="仿宋_GB2312" w:eastAsia="仿宋_GB2312" w:cs="仿宋_GB2312"/>
                <w:b w:val="0"/>
                <w:bCs w:val="0"/>
                <w:color w:val="auto"/>
                <w:sz w:val="18"/>
                <w:szCs w:val="18"/>
                <w:highlight w:val="none"/>
                <w:lang w:eastAsia="zh-CN"/>
              </w:rPr>
              <w:t>（</w:t>
            </w:r>
            <w:r>
              <w:rPr>
                <w:rFonts w:hint="eastAsia" w:ascii="仿宋_GB2312" w:hAnsi="仿宋_GB2312" w:eastAsia="仿宋_GB2312" w:cs="仿宋_GB2312"/>
                <w:b w:val="0"/>
                <w:bCs w:val="0"/>
                <w:color w:val="auto"/>
                <w:sz w:val="18"/>
                <w:szCs w:val="18"/>
                <w:highlight w:val="none"/>
                <w:lang w:val="en-US" w:eastAsia="zh-CN"/>
              </w:rPr>
              <w:t>含</w:t>
            </w:r>
            <w:r>
              <w:rPr>
                <w:rFonts w:hint="eastAsia" w:ascii="仿宋_GB2312" w:hAnsi="仿宋_GB2312" w:eastAsia="仿宋_GB2312" w:cs="仿宋_GB2312"/>
                <w:b w:val="0"/>
                <w:bCs w:val="0"/>
                <w:color w:val="auto"/>
                <w:sz w:val="18"/>
                <w:szCs w:val="18"/>
                <w:highlight w:val="none"/>
                <w:lang w:eastAsia="zh-CN"/>
              </w:rPr>
              <w:t>）</w:t>
            </w:r>
            <w:r>
              <w:rPr>
                <w:rFonts w:hint="eastAsia" w:ascii="仿宋_GB2312" w:hAnsi="仿宋_GB2312" w:eastAsia="仿宋_GB2312" w:cs="仿宋_GB2312"/>
                <w:b w:val="0"/>
                <w:bCs w:val="0"/>
                <w:color w:val="auto"/>
                <w:sz w:val="18"/>
                <w:szCs w:val="18"/>
                <w:highlight w:val="none"/>
              </w:rPr>
              <w:t>-1</w:t>
            </w:r>
            <w:r>
              <w:rPr>
                <w:rFonts w:hint="eastAsia" w:ascii="仿宋_GB2312" w:hAnsi="仿宋_GB2312" w:eastAsia="仿宋_GB2312" w:cs="仿宋_GB2312"/>
                <w:b w:val="0"/>
                <w:bCs w:val="0"/>
                <w:color w:val="auto"/>
                <w:sz w:val="18"/>
                <w:szCs w:val="18"/>
                <w:highlight w:val="none"/>
                <w:lang w:val="en-US" w:eastAsia="zh-CN"/>
              </w:rPr>
              <w:t>5</w:t>
            </w:r>
            <w:r>
              <w:rPr>
                <w:rFonts w:hint="eastAsia" w:ascii="仿宋_GB2312" w:hAnsi="仿宋_GB2312" w:eastAsia="仿宋_GB2312" w:cs="仿宋_GB2312"/>
                <w:b w:val="0"/>
                <w:bCs w:val="0"/>
                <w:color w:val="auto"/>
                <w:sz w:val="18"/>
                <w:szCs w:val="18"/>
                <w:highlight w:val="none"/>
              </w:rPr>
              <w:t>年的，得</w:t>
            </w:r>
            <w:r>
              <w:rPr>
                <w:rFonts w:hint="eastAsia" w:ascii="仿宋_GB2312" w:hAnsi="仿宋_GB2312" w:eastAsia="仿宋_GB2312" w:cs="仿宋_GB2312"/>
                <w:b w:val="0"/>
                <w:bCs w:val="0"/>
                <w:color w:val="auto"/>
                <w:sz w:val="18"/>
                <w:szCs w:val="18"/>
                <w:highlight w:val="none"/>
                <w:lang w:val="en-US" w:eastAsia="zh-CN"/>
              </w:rPr>
              <w:t>0.5</w:t>
            </w:r>
            <w:r>
              <w:rPr>
                <w:rFonts w:hint="eastAsia" w:ascii="仿宋_GB2312" w:hAnsi="仿宋_GB2312" w:eastAsia="仿宋_GB2312" w:cs="仿宋_GB2312"/>
                <w:b w:val="0"/>
                <w:bCs w:val="0"/>
                <w:color w:val="auto"/>
                <w:sz w:val="18"/>
                <w:szCs w:val="18"/>
                <w:highlight w:val="none"/>
              </w:rPr>
              <w:t>分；</w:t>
            </w:r>
          </w:p>
          <w:p>
            <w:pPr>
              <w:widowControl w:val="0"/>
              <w:spacing w:line="240" w:lineRule="auto"/>
              <w:jc w:val="left"/>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rPr>
              <w:t>3.企业成立年限</w:t>
            </w:r>
            <w:r>
              <w:rPr>
                <w:rFonts w:hint="eastAsia" w:ascii="仿宋_GB2312" w:hAnsi="仿宋_GB2312" w:eastAsia="仿宋_GB2312" w:cs="仿宋_GB2312"/>
                <w:b w:val="0"/>
                <w:bCs w:val="0"/>
                <w:color w:val="auto"/>
                <w:sz w:val="18"/>
                <w:szCs w:val="18"/>
                <w:highlight w:val="none"/>
                <w:lang w:val="en-US" w:eastAsia="zh-CN"/>
              </w:rPr>
              <w:t>8</w:t>
            </w:r>
            <w:r>
              <w:rPr>
                <w:rFonts w:hint="eastAsia" w:ascii="仿宋_GB2312" w:hAnsi="仿宋_GB2312" w:eastAsia="仿宋_GB2312" w:cs="仿宋_GB2312"/>
                <w:b w:val="0"/>
                <w:bCs w:val="0"/>
                <w:color w:val="auto"/>
                <w:sz w:val="18"/>
                <w:szCs w:val="18"/>
                <w:highlight w:val="none"/>
              </w:rPr>
              <w:t>年以下的，不得分。</w:t>
            </w:r>
          </w:p>
        </w:tc>
        <w:tc>
          <w:tcPr>
            <w:tcW w:w="1170" w:type="dxa"/>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12" w:type="dxa"/>
            <w:noWrap/>
            <w:tcMar>
              <w:top w:w="10" w:type="dxa"/>
              <w:left w:w="10" w:type="dxa"/>
              <w:right w:w="10" w:type="dxa"/>
            </w:tcMar>
            <w:vAlign w:val="center"/>
          </w:tcPr>
          <w:p>
            <w:pPr>
              <w:jc w:val="center"/>
              <w:rPr>
                <w:rFonts w:hint="eastAsia" w:eastAsia="宋体"/>
                <w:color w:val="auto"/>
                <w:highlight w:val="none"/>
                <w:lang w:val="en-US" w:eastAsia="zh-CN"/>
              </w:rPr>
            </w:pPr>
            <w:r>
              <w:rPr>
                <w:rFonts w:hint="eastAsia" w:ascii="仿宋_GB2312" w:hAnsi="仿宋_GB2312" w:eastAsia="仿宋_GB2312"/>
                <w:color w:val="auto"/>
                <w:sz w:val="18"/>
                <w:szCs w:val="18"/>
                <w:highlight w:val="none"/>
                <w:lang w:val="en-US" w:eastAsia="zh-CN"/>
              </w:rPr>
              <w:t>2</w:t>
            </w:r>
          </w:p>
        </w:tc>
        <w:tc>
          <w:tcPr>
            <w:tcW w:w="1410" w:type="dxa"/>
            <w:vMerge w:val="continue"/>
            <w:tcMar>
              <w:top w:w="10" w:type="dxa"/>
              <w:left w:w="10" w:type="dxa"/>
              <w:right w:w="10" w:type="dxa"/>
            </w:tcMar>
            <w:vAlign w:val="center"/>
          </w:tcPr>
          <w:p>
            <w:pPr>
              <w:jc w:val="center"/>
              <w:rPr>
                <w:color w:val="auto"/>
                <w:highlight w:val="none"/>
              </w:rPr>
            </w:pPr>
          </w:p>
        </w:tc>
        <w:tc>
          <w:tcPr>
            <w:tcW w:w="1680" w:type="dxa"/>
            <w:tcMar>
              <w:top w:w="10" w:type="dxa"/>
              <w:left w:w="10" w:type="dxa"/>
              <w:right w:w="10" w:type="dxa"/>
            </w:tcMar>
            <w:vAlign w:val="center"/>
          </w:tcPr>
          <w:p>
            <w:pPr>
              <w:widowControl w:val="0"/>
              <w:spacing w:afterLines="0" w:line="240" w:lineRule="auto"/>
              <w:jc w:val="center"/>
              <w:outlineLvl w:val="9"/>
              <w:rPr>
                <w:color w:val="auto"/>
                <w:highlight w:val="none"/>
              </w:rPr>
            </w:pPr>
            <w:r>
              <w:rPr>
                <w:rFonts w:hint="eastAsia" w:ascii="仿宋_GB2312" w:hAnsi="仿宋_GB2312" w:eastAsia="仿宋_GB2312" w:cs="Times New Roman"/>
                <w:b w:val="0"/>
                <w:bCs w:val="0"/>
                <w:color w:val="auto"/>
                <w:kern w:val="2"/>
                <w:sz w:val="18"/>
                <w:szCs w:val="18"/>
                <w:highlight w:val="none"/>
                <w:lang w:val="en-US" w:eastAsia="zh-CN" w:bidi="ar-SA"/>
              </w:rPr>
              <w:t>专业技术人员规模</w:t>
            </w:r>
          </w:p>
        </w:tc>
        <w:tc>
          <w:tcPr>
            <w:tcW w:w="4770" w:type="dxa"/>
            <w:tcMar>
              <w:top w:w="10" w:type="dxa"/>
              <w:left w:w="10" w:type="dxa"/>
              <w:right w:w="10" w:type="dxa"/>
            </w:tcMar>
            <w:vAlign w:val="center"/>
          </w:tcPr>
          <w:p>
            <w:pPr>
              <w:pStyle w:val="2"/>
              <w:ind w:left="0" w:leftChars="0" w:firstLine="0" w:firstLineChars="0"/>
              <w:jc w:val="left"/>
              <w:rPr>
                <w:color w:val="auto"/>
                <w:highlight w:val="none"/>
              </w:rPr>
            </w:pPr>
            <w:r>
              <w:rPr>
                <w:rFonts w:hint="eastAsia" w:ascii="仿宋_GB2312" w:hAnsi="仿宋_GB2312" w:eastAsia="仿宋_GB2312" w:cs="仿宋_GB2312"/>
                <w:b w:val="0"/>
                <w:bCs w:val="0"/>
                <w:color w:val="auto"/>
                <w:sz w:val="18"/>
                <w:szCs w:val="18"/>
                <w:highlight w:val="none"/>
                <w:lang w:val="en-US" w:eastAsia="zh-CN"/>
              </w:rPr>
              <w:t>提供注册造价工程师（一级）人员证明资料。</w:t>
            </w:r>
          </w:p>
        </w:tc>
        <w:tc>
          <w:tcPr>
            <w:tcW w:w="3450" w:type="dxa"/>
            <w:tcMar>
              <w:top w:w="10" w:type="dxa"/>
              <w:left w:w="10" w:type="dxa"/>
              <w:right w:w="10" w:type="dxa"/>
            </w:tcMar>
            <w:vAlign w:val="center"/>
          </w:tcPr>
          <w:p>
            <w:pPr>
              <w:widowControl w:val="0"/>
              <w:spacing w:afterLines="0" w:line="240" w:lineRule="auto"/>
              <w:jc w:val="left"/>
              <w:outlineLvl w:val="9"/>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1.提供盖章版《注册</w:t>
            </w:r>
            <w:r>
              <w:rPr>
                <w:rFonts w:hint="eastAsia" w:ascii="仿宋_GB2312" w:hAnsi="仿宋_GB2312" w:eastAsia="仿宋_GB2312" w:cs="仿宋_GB2312"/>
                <w:b w:val="0"/>
                <w:bCs w:val="0"/>
                <w:color w:val="auto"/>
                <w:sz w:val="18"/>
                <w:szCs w:val="18"/>
                <w:highlight w:val="none"/>
                <w:lang w:val="en-US" w:eastAsia="zh-CN"/>
              </w:rPr>
              <w:t>造价工程师（一级）</w:t>
            </w:r>
            <w:r>
              <w:rPr>
                <w:rFonts w:hint="eastAsia" w:ascii="仿宋_GB2312" w:hAnsi="仿宋_GB2312" w:eastAsia="仿宋_GB2312" w:cs="Times New Roman"/>
                <w:b w:val="0"/>
                <w:bCs w:val="0"/>
                <w:color w:val="auto"/>
                <w:kern w:val="2"/>
                <w:sz w:val="18"/>
                <w:szCs w:val="18"/>
                <w:highlight w:val="none"/>
                <w:lang w:val="en-US" w:eastAsia="zh-CN" w:bidi="ar-SA"/>
              </w:rPr>
              <w:t>人员汇总表》，格式自拟；</w:t>
            </w:r>
          </w:p>
          <w:p>
            <w:pPr>
              <w:widowControl w:val="0"/>
              <w:spacing w:afterLines="0" w:line="240" w:lineRule="auto"/>
              <w:jc w:val="left"/>
              <w:outlineLvl w:val="9"/>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2.</w:t>
            </w:r>
            <w:r>
              <w:rPr>
                <w:rFonts w:hint="eastAsia" w:ascii="仿宋_GB2312" w:hAnsi="仿宋_GB2312" w:eastAsia="仿宋_GB2312"/>
                <w:color w:val="auto"/>
                <w:sz w:val="18"/>
                <w:szCs w:val="18"/>
                <w:highlight w:val="none"/>
              </w:rPr>
              <w:t>须在</w:t>
            </w:r>
            <w:r>
              <w:rPr>
                <w:rFonts w:hint="eastAsia" w:ascii="仿宋_GB2312" w:hAnsi="仿宋_GB2312" w:eastAsia="仿宋_GB2312"/>
                <w:color w:val="auto"/>
                <w:sz w:val="18"/>
                <w:szCs w:val="18"/>
                <w:highlight w:val="none"/>
                <w:lang w:val="en-US" w:eastAsia="zh-CN"/>
              </w:rPr>
              <w:t>安居集团</w:t>
            </w:r>
            <w:r>
              <w:rPr>
                <w:rFonts w:hint="eastAsia" w:ascii="仿宋_GB2312" w:hAnsi="仿宋_GB2312" w:eastAsia="仿宋_GB2312"/>
                <w:color w:val="auto"/>
                <w:sz w:val="18"/>
                <w:szCs w:val="18"/>
                <w:highlight w:val="none"/>
              </w:rPr>
              <w:t>项目对应社保统筹管辖范围内正常参保，</w:t>
            </w:r>
            <w:r>
              <w:rPr>
                <w:rFonts w:hint="eastAsia" w:ascii="仿宋_GB2312" w:hAnsi="仿宋_GB2312" w:eastAsia="仿宋_GB2312" w:cs="Times New Roman"/>
                <w:b w:val="0"/>
                <w:bCs w:val="0"/>
                <w:color w:val="auto"/>
                <w:kern w:val="2"/>
                <w:sz w:val="18"/>
                <w:szCs w:val="18"/>
                <w:highlight w:val="none"/>
                <w:lang w:val="en-US" w:eastAsia="zh-CN" w:bidi="ar-SA"/>
              </w:rPr>
              <w:t>提供社保机构出具的近6个月个人社保缴存证明文件；</w:t>
            </w:r>
          </w:p>
          <w:p>
            <w:pPr>
              <w:widowControl w:val="0"/>
              <w:spacing w:afterLines="0" w:line="240" w:lineRule="auto"/>
              <w:jc w:val="left"/>
              <w:outlineLvl w:val="9"/>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3.提供注册证书扫描件，在申报企业注册且在有效期内，须体现注册有效期、注册单位；</w:t>
            </w:r>
          </w:p>
          <w:p>
            <w:pPr>
              <w:rPr>
                <w:color w:val="auto"/>
                <w:highlight w:val="none"/>
              </w:rPr>
            </w:pPr>
            <w:r>
              <w:rPr>
                <w:rFonts w:hint="eastAsia" w:ascii="仿宋_GB2312" w:hAnsi="仿宋_GB2312" w:eastAsia="仿宋_GB2312" w:cs="Times New Roman"/>
                <w:b w:val="0"/>
                <w:bCs w:val="0"/>
                <w:color w:val="auto"/>
                <w:kern w:val="2"/>
                <w:sz w:val="18"/>
                <w:szCs w:val="18"/>
                <w:highlight w:val="none"/>
                <w:lang w:val="en-US" w:eastAsia="zh-CN" w:bidi="ar-SA"/>
              </w:rPr>
              <w:t>4.提供全国工程造价咨询管理系统平台“注册造价工程师（一级）”人员截图。</w:t>
            </w:r>
          </w:p>
        </w:tc>
        <w:tc>
          <w:tcPr>
            <w:tcW w:w="6981" w:type="dxa"/>
            <w:tcMar>
              <w:top w:w="10" w:type="dxa"/>
              <w:left w:w="10" w:type="dxa"/>
              <w:right w:w="10" w:type="dxa"/>
            </w:tcMar>
            <w:vAlign w:val="center"/>
          </w:tcPr>
          <w:p>
            <w:pPr>
              <w:jc w:val="left"/>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缴纳社保的注册造价工程师（一级）人员数量：</w:t>
            </w:r>
          </w:p>
          <w:p>
            <w:pPr>
              <w:widowControl/>
              <w:spacing w:afterLines="-2147483648" w:line="240" w:lineRule="auto"/>
              <w:jc w:val="left"/>
              <w:outlineLvl w:val="9"/>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1.总人数30名及以上的，得2分；</w:t>
            </w:r>
          </w:p>
          <w:p>
            <w:pPr>
              <w:widowControl/>
              <w:spacing w:afterLines="-2147483648" w:line="240" w:lineRule="auto"/>
              <w:jc w:val="left"/>
              <w:outlineLvl w:val="9"/>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2.总人数10-29名，得1分；</w:t>
            </w:r>
          </w:p>
          <w:p>
            <w:pPr>
              <w:rPr>
                <w:color w:val="auto"/>
                <w:highlight w:val="none"/>
              </w:rPr>
            </w:pPr>
            <w:r>
              <w:rPr>
                <w:rFonts w:hint="eastAsia" w:ascii="仿宋_GB2312" w:hAnsi="仿宋_GB2312" w:eastAsia="仿宋_GB2312" w:cs="Times New Roman"/>
                <w:b w:val="0"/>
                <w:bCs w:val="0"/>
                <w:color w:val="auto"/>
                <w:kern w:val="2"/>
                <w:sz w:val="18"/>
                <w:szCs w:val="18"/>
                <w:highlight w:val="none"/>
                <w:lang w:val="en-US" w:eastAsia="zh-CN" w:bidi="ar-SA"/>
              </w:rPr>
              <w:t>3.总人数9名及以下，不得分。</w:t>
            </w:r>
          </w:p>
          <w:p>
            <w:pPr>
              <w:rPr>
                <w:color w:val="auto"/>
                <w:highlight w:val="none"/>
              </w:rPr>
            </w:pPr>
          </w:p>
          <w:p>
            <w:pPr>
              <w:rPr>
                <w:color w:val="auto"/>
                <w:highlight w:val="none"/>
              </w:rPr>
            </w:pPr>
          </w:p>
          <w:p>
            <w:pPr>
              <w:widowControl/>
              <w:spacing w:afterLines="-2147483648" w:line="240" w:lineRule="auto"/>
              <w:jc w:val="left"/>
              <w:outlineLvl w:val="9"/>
              <w:rPr>
                <w:color w:val="auto"/>
                <w:highlight w:val="none"/>
              </w:rPr>
            </w:pPr>
          </w:p>
        </w:tc>
        <w:tc>
          <w:tcPr>
            <w:tcW w:w="1170" w:type="dxa"/>
            <w:tcMar>
              <w:top w:w="10" w:type="dxa"/>
              <w:left w:w="10" w:type="dxa"/>
              <w:right w:w="10" w:type="dxa"/>
            </w:tcMar>
            <w:vAlign w:val="center"/>
          </w:tcPr>
          <w:p>
            <w:pPr>
              <w:jc w:val="center"/>
              <w:rPr>
                <w:rFonts w:hint="eastAsia" w:eastAsia="宋体"/>
                <w:color w:val="auto"/>
                <w:highlight w:val="none"/>
                <w:lang w:val="en-US" w:eastAsia="zh-CN"/>
              </w:rPr>
            </w:pPr>
            <w:r>
              <w:rPr>
                <w:rFonts w:hint="eastAsia" w:ascii="仿宋_GB2312" w:hAnsi="仿宋_GB2312" w:eastAsia="仿宋_GB2312"/>
                <w:b w:val="0"/>
                <w:bCs w:val="0"/>
                <w:color w:val="auto"/>
                <w:sz w:val="18"/>
                <w:szCs w:val="1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12" w:type="dxa"/>
            <w:noWrap/>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3</w:t>
            </w:r>
          </w:p>
        </w:tc>
        <w:tc>
          <w:tcPr>
            <w:tcW w:w="1410" w:type="dxa"/>
            <w:vMerge w:val="continue"/>
            <w:tcMar>
              <w:top w:w="10" w:type="dxa"/>
              <w:left w:w="10" w:type="dxa"/>
              <w:right w:w="10" w:type="dxa"/>
            </w:tcMar>
            <w:vAlign w:val="center"/>
          </w:tcPr>
          <w:p>
            <w:pPr>
              <w:pStyle w:val="16"/>
              <w:widowControl w:val="0"/>
              <w:adjustRightInd w:val="0"/>
              <w:snapToGrid w:val="0"/>
              <w:jc w:val="center"/>
              <w:rPr>
                <w:rFonts w:hint="eastAsia" w:ascii="仿宋_GB2312" w:hAnsi="仿宋_GB2312" w:eastAsia="仿宋_GB2312" w:cs="Times New Roman"/>
                <w:b w:val="0"/>
                <w:bCs w:val="0"/>
                <w:color w:val="auto"/>
                <w:kern w:val="2"/>
                <w:sz w:val="18"/>
                <w:szCs w:val="18"/>
                <w:highlight w:val="none"/>
                <w:lang w:val="en-US" w:eastAsia="zh-CN" w:bidi="ar-SA"/>
              </w:rPr>
            </w:pPr>
          </w:p>
        </w:tc>
        <w:tc>
          <w:tcPr>
            <w:tcW w:w="1680"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房建类业绩</w:t>
            </w:r>
          </w:p>
          <w:p>
            <w:pPr>
              <w:widowControl w:val="0"/>
              <w:spacing w:line="240" w:lineRule="auto"/>
              <w:jc w:val="center"/>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(近3年)</w:t>
            </w:r>
          </w:p>
        </w:tc>
        <w:tc>
          <w:tcPr>
            <w:tcW w:w="4770" w:type="dxa"/>
            <w:tcMar>
              <w:top w:w="10" w:type="dxa"/>
              <w:left w:w="10" w:type="dxa"/>
              <w:right w:w="10" w:type="dxa"/>
            </w:tcMar>
            <w:vAlign w:val="center"/>
          </w:tcPr>
          <w:p>
            <w:pPr>
              <w:widowControl w:val="0"/>
              <w:spacing w:afterLines="-2147483648" w:line="240" w:lineRule="auto"/>
              <w:jc w:val="left"/>
              <w:outlineLvl w:val="9"/>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提供近3年（自征集文件截止之日起倒推）作为全过程造价咨询服务单位，房建类项目全过程造价咨询服务业绩合同原件扫描件（需体现合同签订日期、项目总建筑面积、服务内容）、成果性文件盖章页扫描件等资料，在建或已完成均可。</w:t>
            </w:r>
          </w:p>
        </w:tc>
        <w:tc>
          <w:tcPr>
            <w:tcW w:w="3450" w:type="dxa"/>
            <w:tcMar>
              <w:top w:w="10" w:type="dxa"/>
              <w:left w:w="10" w:type="dxa"/>
              <w:right w:w="10" w:type="dxa"/>
            </w:tcMar>
            <w:vAlign w:val="center"/>
          </w:tcPr>
          <w:p>
            <w:pPr>
              <w:widowControl w:val="0"/>
              <w:spacing w:afterLines="-2147483648" w:line="240" w:lineRule="auto"/>
              <w:jc w:val="left"/>
              <w:outlineLvl w:val="9"/>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对项目名称、项目所在地、合同签订时间、合同服务内容、项目总建筑面积等信息进行标注。</w:t>
            </w:r>
          </w:p>
        </w:tc>
        <w:tc>
          <w:tcPr>
            <w:tcW w:w="6981"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kern w:val="2"/>
                <w:sz w:val="18"/>
                <w:szCs w:val="18"/>
                <w:highlight w:val="none"/>
                <w:lang w:val="en-US" w:eastAsia="zh-CN" w:bidi="ar-SA"/>
              </w:rPr>
              <w:t>1.单个项目总建筑面积在30万平方米及以上的，得1分/项，</w:t>
            </w:r>
          </w:p>
          <w:p>
            <w:pPr>
              <w:widowControl w:val="0"/>
              <w:spacing w:line="240" w:lineRule="auto"/>
              <w:jc w:val="left"/>
              <w:rPr>
                <w:rFonts w:hint="eastAsia" w:ascii="仿宋_GB2312" w:hAnsi="仿宋_GB2312" w:eastAsia="仿宋_GB2312" w:cs="仿宋_GB2312"/>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kern w:val="2"/>
                <w:sz w:val="18"/>
                <w:szCs w:val="18"/>
                <w:highlight w:val="none"/>
                <w:lang w:val="en-US" w:eastAsia="zh-CN" w:bidi="ar-SA"/>
              </w:rPr>
              <w:t>2.单个项目总建筑面积在20万（含）-30万平方米的，得0.5分/项，</w:t>
            </w:r>
          </w:p>
          <w:p>
            <w:pPr>
              <w:widowControl w:val="0"/>
              <w:spacing w:line="240" w:lineRule="auto"/>
              <w:jc w:val="left"/>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kern w:val="2"/>
                <w:sz w:val="18"/>
                <w:szCs w:val="18"/>
                <w:highlight w:val="none"/>
                <w:lang w:val="en-US" w:eastAsia="zh-CN" w:bidi="ar-SA"/>
              </w:rPr>
              <w:t>3.单个项目总建筑面积在10万（含）-20万平方米的，得0.3分/项。</w:t>
            </w:r>
          </w:p>
        </w:tc>
        <w:tc>
          <w:tcPr>
            <w:tcW w:w="1170" w:type="dxa"/>
            <w:tcMar>
              <w:top w:w="10" w:type="dxa"/>
              <w:left w:w="10" w:type="dxa"/>
              <w:right w:w="10" w:type="dxa"/>
            </w:tcMar>
            <w:vAlign w:val="center"/>
          </w:tcPr>
          <w:p>
            <w:pPr>
              <w:widowControl w:val="0"/>
              <w:spacing w:afterLines="0" w:line="240" w:lineRule="auto"/>
              <w:jc w:val="center"/>
              <w:outlineLvl w:val="9"/>
              <w:rPr>
                <w:rFonts w:hint="default"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12" w:type="dxa"/>
            <w:noWrap/>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4</w:t>
            </w:r>
          </w:p>
        </w:tc>
        <w:tc>
          <w:tcPr>
            <w:tcW w:w="1410"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信用等级</w:t>
            </w:r>
          </w:p>
          <w:p>
            <w:pPr>
              <w:widowControl w:val="0"/>
              <w:spacing w:line="240" w:lineRule="auto"/>
              <w:jc w:val="center"/>
              <w:rPr>
                <w:rFonts w:hint="default"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（5分）</w:t>
            </w:r>
          </w:p>
        </w:tc>
        <w:tc>
          <w:tcPr>
            <w:tcW w:w="1680" w:type="dxa"/>
            <w:tcMar>
              <w:top w:w="10" w:type="dxa"/>
              <w:left w:w="10" w:type="dxa"/>
              <w:right w:w="10" w:type="dxa"/>
            </w:tcMar>
            <w:vAlign w:val="center"/>
          </w:tcPr>
          <w:p>
            <w:pPr>
              <w:widowControl w:val="0"/>
              <w:spacing w:line="240" w:lineRule="auto"/>
              <w:jc w:val="center"/>
              <w:rPr>
                <w:rFonts w:hint="default"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企业信用等级</w:t>
            </w:r>
          </w:p>
        </w:tc>
        <w:tc>
          <w:tcPr>
            <w:tcW w:w="4770" w:type="dxa"/>
            <w:tcMar>
              <w:top w:w="10" w:type="dxa"/>
              <w:left w:w="10" w:type="dxa"/>
              <w:right w:w="10" w:type="dxa"/>
            </w:tcMar>
            <w:vAlign w:val="center"/>
          </w:tcPr>
          <w:p>
            <w:pPr>
              <w:widowControl w:val="0"/>
              <w:spacing w:line="240" w:lineRule="auto"/>
              <w:jc w:val="left"/>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提供最近一期建筑行业信用评价系统截图（https://www.gdzwfw.gov.cn/portal/v2/legal/hot）。</w:t>
            </w:r>
          </w:p>
        </w:tc>
        <w:tc>
          <w:tcPr>
            <w:tcW w:w="3450" w:type="dxa"/>
            <w:tcMar>
              <w:top w:w="10" w:type="dxa"/>
              <w:left w:w="10" w:type="dxa"/>
              <w:right w:w="10" w:type="dxa"/>
            </w:tcMar>
            <w:vAlign w:val="center"/>
          </w:tcPr>
          <w:p>
            <w:pPr>
              <w:widowControl w:val="0"/>
              <w:spacing w:line="240" w:lineRule="auto"/>
              <w:jc w:val="left"/>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证明资料应能清晰反映关键信息，截图应体现单位名称、计算时间、在深圳市建筑市场主体信用管理系统中造价咨询类信用等级等主要信息。</w:t>
            </w:r>
          </w:p>
        </w:tc>
        <w:tc>
          <w:tcPr>
            <w:tcW w:w="6981"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根据在深圳市建筑市场主体信用管理系统中造价咨询类信用等级进行评分：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1.等级为A，得5分；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2.等级为B+，得4分；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3.等级为B，得3分；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4.等级为C，得1分；</w:t>
            </w:r>
          </w:p>
          <w:p>
            <w:pPr>
              <w:widowControl w:val="0"/>
              <w:spacing w:line="240" w:lineRule="auto"/>
              <w:jc w:val="left"/>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等级为D或未提不得分。</w:t>
            </w:r>
          </w:p>
        </w:tc>
        <w:tc>
          <w:tcPr>
            <w:tcW w:w="1170" w:type="dxa"/>
            <w:tcMar>
              <w:top w:w="10" w:type="dxa"/>
              <w:left w:w="10" w:type="dxa"/>
              <w:right w:w="10" w:type="dxa"/>
            </w:tcMar>
            <w:vAlign w:val="center"/>
          </w:tcPr>
          <w:p>
            <w:pPr>
              <w:widowControl w:val="0"/>
              <w:spacing w:line="240" w:lineRule="auto"/>
              <w:jc w:val="center"/>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3" w:hRule="atLeast"/>
          <w:jc w:val="center"/>
        </w:trPr>
        <w:tc>
          <w:tcPr>
            <w:tcW w:w="812" w:type="dxa"/>
            <w:noWrap/>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5</w:t>
            </w:r>
          </w:p>
        </w:tc>
        <w:tc>
          <w:tcPr>
            <w:tcW w:w="1410" w:type="dxa"/>
            <w:vMerge w:val="restart"/>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经营状况</w:t>
            </w:r>
          </w:p>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(10分)</w:t>
            </w:r>
          </w:p>
        </w:tc>
        <w:tc>
          <w:tcPr>
            <w:tcW w:w="168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近1年负债率</w:t>
            </w:r>
          </w:p>
        </w:tc>
        <w:tc>
          <w:tcPr>
            <w:tcW w:w="47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提供2025年经审计的第三方财务报告（报告页需含防伪二维码，财务报表页需有公司签章）</w:t>
            </w:r>
          </w:p>
        </w:tc>
        <w:tc>
          <w:tcPr>
            <w:tcW w:w="345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1.计算公式：负债率=负债总额÷资产总额×100%</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2.需对财务报告中负债总额、资产总额进行标记。</w:t>
            </w:r>
          </w:p>
        </w:tc>
        <w:tc>
          <w:tcPr>
            <w:tcW w:w="6981"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与行业（或申报单位）平均值相比，</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1.低于平均值20%（含）以上得1.5分；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2.低于平均值10-20%（不含）以上得1分；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3.低于平均值0-10%（不含）以上得0.5分；高于平均值不得分。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例：若行业（或申报单位）平均值为75%，则供应商近1年负债率55%时得1.5分，近1年负债率56%时得1分。</w:t>
            </w:r>
          </w:p>
        </w:tc>
        <w:tc>
          <w:tcPr>
            <w:tcW w:w="11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12" w:type="dxa"/>
            <w:noWrap/>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6</w:t>
            </w:r>
          </w:p>
        </w:tc>
        <w:tc>
          <w:tcPr>
            <w:tcW w:w="1410"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Times New Roman"/>
                <w:b w:val="0"/>
                <w:bCs w:val="0"/>
                <w:color w:val="auto"/>
                <w:kern w:val="2"/>
                <w:sz w:val="18"/>
                <w:szCs w:val="18"/>
                <w:highlight w:val="none"/>
                <w:lang w:val="en-US" w:eastAsia="zh-CN" w:bidi="ar-SA"/>
              </w:rPr>
            </w:pPr>
          </w:p>
        </w:tc>
        <w:tc>
          <w:tcPr>
            <w:tcW w:w="168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近1年净现金流</w:t>
            </w:r>
          </w:p>
        </w:tc>
        <w:tc>
          <w:tcPr>
            <w:tcW w:w="47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提供2025年经审计的第三方财务报告（报告页需含防伪二维码，财务报表页需有公司签章）</w:t>
            </w:r>
          </w:p>
        </w:tc>
        <w:tc>
          <w:tcPr>
            <w:tcW w:w="345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1.需对财务报告中净现金流进行标记，净现金流为经营性现金流量净额。</w:t>
            </w:r>
          </w:p>
        </w:tc>
        <w:tc>
          <w:tcPr>
            <w:tcW w:w="6981"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经营性净现金流为正，得3分；经营性净现金流为负，不得分。</w:t>
            </w:r>
          </w:p>
        </w:tc>
        <w:tc>
          <w:tcPr>
            <w:tcW w:w="11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12" w:type="dxa"/>
            <w:noWrap/>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7</w:t>
            </w:r>
          </w:p>
        </w:tc>
        <w:tc>
          <w:tcPr>
            <w:tcW w:w="1410"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Times New Roman"/>
                <w:b w:val="0"/>
                <w:bCs w:val="0"/>
                <w:color w:val="auto"/>
                <w:kern w:val="2"/>
                <w:sz w:val="18"/>
                <w:szCs w:val="18"/>
                <w:highlight w:val="none"/>
                <w:lang w:val="en-US" w:eastAsia="zh-CN" w:bidi="ar-SA"/>
              </w:rPr>
            </w:pPr>
          </w:p>
        </w:tc>
        <w:tc>
          <w:tcPr>
            <w:tcW w:w="168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短期债务偿还能力</w:t>
            </w:r>
          </w:p>
        </w:tc>
        <w:tc>
          <w:tcPr>
            <w:tcW w:w="47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提供2025年经审计的第三方财务报告（报告页需含防伪二维码，财务报表页需有公司签章）</w:t>
            </w:r>
          </w:p>
        </w:tc>
        <w:tc>
          <w:tcPr>
            <w:tcW w:w="345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1.计算公式：短期债务偿还能力=货币资金/（短期借款+一年内到期的非流动负债）</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2.需对财务报告中货币资金、短期借款、一年内到期的非流动负债进行标记。</w:t>
            </w:r>
          </w:p>
        </w:tc>
        <w:tc>
          <w:tcPr>
            <w:tcW w:w="6981"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与行业（或申报单位）平均值相比，</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1.高于平均值1.2倍（含）以上得1.5分；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2.高于平均值1.1倍（含）以上得1分；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3.高于平均值1倍（含）以上，或</w:t>
            </w:r>
            <w:r>
              <w:rPr>
                <w:rFonts w:hint="eastAsia" w:ascii="仿宋_GB2312" w:hAnsi="仿宋_GB2312" w:eastAsia="仿宋_GB2312" w:cs="仿宋_GB2312"/>
                <w:b w:val="0"/>
                <w:bCs w:val="0"/>
                <w:color w:val="auto"/>
                <w:sz w:val="18"/>
                <w:szCs w:val="18"/>
                <w:highlight w:val="none"/>
              </w:rPr>
              <w:t>低于平均值但短期债务偿还能力</w:t>
            </w:r>
            <w:r>
              <w:rPr>
                <w:rFonts w:hint="eastAsia" w:ascii="仿宋_GB2312" w:hAnsi="仿宋_GB2312" w:eastAsia="仿宋_GB2312" w:cs="仿宋_GB2312"/>
                <w:b w:val="0"/>
                <w:bCs w:val="0"/>
                <w:color w:val="auto"/>
                <w:sz w:val="18"/>
                <w:szCs w:val="18"/>
                <w:highlight w:val="none"/>
                <w:lang w:val="en-US" w:eastAsia="zh-CN"/>
              </w:rPr>
              <w:t>大于</w:t>
            </w:r>
            <w:r>
              <w:rPr>
                <w:rFonts w:hint="eastAsia" w:ascii="仿宋_GB2312" w:hAnsi="仿宋_GB2312" w:eastAsia="仿宋_GB2312" w:cs="仿宋_GB2312"/>
                <w:b w:val="0"/>
                <w:bCs w:val="0"/>
                <w:color w:val="auto"/>
                <w:sz w:val="18"/>
                <w:szCs w:val="18"/>
                <w:highlight w:val="none"/>
              </w:rPr>
              <w:t>1</w:t>
            </w:r>
            <w:r>
              <w:rPr>
                <w:rFonts w:hint="eastAsia" w:ascii="仿宋_GB2312" w:hAnsi="仿宋_GB2312" w:eastAsia="仿宋_GB2312" w:cs="仿宋_GB2312"/>
                <w:b w:val="0"/>
                <w:bCs w:val="0"/>
                <w:color w:val="auto"/>
                <w:sz w:val="18"/>
                <w:szCs w:val="18"/>
                <w:highlight w:val="none"/>
                <w:lang w:eastAsia="zh-CN"/>
              </w:rPr>
              <w:t>，</w:t>
            </w:r>
            <w:r>
              <w:rPr>
                <w:rFonts w:hint="eastAsia" w:ascii="仿宋_GB2312" w:hAnsi="仿宋_GB2312" w:eastAsia="仿宋_GB2312" w:cs="仿宋_GB2312"/>
                <w:b w:val="0"/>
                <w:bCs w:val="0"/>
                <w:color w:val="auto"/>
                <w:sz w:val="18"/>
                <w:szCs w:val="18"/>
                <w:highlight w:val="none"/>
                <w:lang w:val="en-US" w:eastAsia="zh-CN"/>
              </w:rPr>
              <w:t>得0.5分；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4.其余情形不得分。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例：若行业（或申报单位）平均值为1.2，则供应商近1年短期债务偿还能力1.44得1.5分，近1年短期债务偿还能力1.32得1分。</w:t>
            </w:r>
          </w:p>
        </w:tc>
        <w:tc>
          <w:tcPr>
            <w:tcW w:w="11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12" w:type="dxa"/>
            <w:noWrap/>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8</w:t>
            </w:r>
          </w:p>
        </w:tc>
        <w:tc>
          <w:tcPr>
            <w:tcW w:w="1410"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仿宋_GB2312" w:eastAsia="仿宋_GB2312"/>
                <w:b w:val="0"/>
                <w:bCs w:val="0"/>
                <w:color w:val="auto"/>
                <w:sz w:val="18"/>
                <w:szCs w:val="18"/>
                <w:highlight w:val="none"/>
              </w:rPr>
            </w:pPr>
          </w:p>
        </w:tc>
        <w:tc>
          <w:tcPr>
            <w:tcW w:w="168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theme="minorBidi"/>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经营变化</w:t>
            </w:r>
          </w:p>
        </w:tc>
        <w:tc>
          <w:tcPr>
            <w:tcW w:w="47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1.提供近2年（2024年、2025年）经审计的第三方财务报告（报告页需含防伪二维码，财务报表页需有公司签章）</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2.信用评级机构或银行出具的信用评价证明。</w:t>
            </w:r>
          </w:p>
        </w:tc>
        <w:tc>
          <w:tcPr>
            <w:tcW w:w="345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1.提供近2年企业负债率、净现金流、偿债能力汇总表；</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2.对近2年信用评级情况进行标记。</w:t>
            </w:r>
          </w:p>
        </w:tc>
        <w:tc>
          <w:tcPr>
            <w:tcW w:w="6981" w:type="dxa"/>
            <w:tcMar>
              <w:top w:w="10" w:type="dxa"/>
              <w:left w:w="10" w:type="dxa"/>
              <w:right w:w="10" w:type="dxa"/>
            </w:tcMar>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企业负债率、净现金流、偿债能力、信用评价四项指标，与上1年比较，（基础为4分）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1.企业资产负债率上升且高于平均值扣1分；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2.净现金流下降且低于0扣1分；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3.短期债务偿还能力下降且低于平均值扣1分；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4.信用评级机构或银行信用评级下降扣1分；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若未提供的不得分。</w:t>
            </w:r>
          </w:p>
        </w:tc>
        <w:tc>
          <w:tcPr>
            <w:tcW w:w="1170"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103" w:type="dxa"/>
            <w:gridSpan w:val="6"/>
            <w:noWrap/>
            <w:tcMar>
              <w:top w:w="10" w:type="dxa"/>
              <w:left w:w="10" w:type="dxa"/>
              <w:right w:w="10" w:type="dxa"/>
            </w:tcMar>
            <w:vAlign w:val="center"/>
          </w:tcPr>
          <w:p>
            <w:pPr>
              <w:adjustRightInd w:val="0"/>
              <w:snapToGrid w:val="0"/>
              <w:jc w:val="center"/>
              <w:textAlignment w:val="center"/>
              <w:rPr>
                <w:rFonts w:ascii="仿宋_GB2312" w:eastAsia="仿宋_GB2312"/>
                <w:b w:val="0"/>
                <w:bCs w:val="0"/>
                <w:color w:val="auto"/>
                <w:sz w:val="18"/>
                <w:szCs w:val="18"/>
                <w:highlight w:val="none"/>
              </w:rPr>
            </w:pPr>
            <w:r>
              <w:rPr>
                <w:rFonts w:hint="eastAsia" w:ascii="仿宋_GB2312" w:eastAsia="仿宋_GB2312"/>
                <w:b w:val="0"/>
                <w:bCs w:val="0"/>
                <w:color w:val="auto"/>
                <w:sz w:val="18"/>
                <w:szCs w:val="18"/>
                <w:highlight w:val="none"/>
              </w:rPr>
              <w:t>合计</w:t>
            </w:r>
          </w:p>
        </w:tc>
        <w:tc>
          <w:tcPr>
            <w:tcW w:w="1170" w:type="dxa"/>
            <w:tcMar>
              <w:top w:w="10" w:type="dxa"/>
              <w:left w:w="10" w:type="dxa"/>
              <w:right w:w="10" w:type="dxa"/>
            </w:tcMar>
            <w:vAlign w:val="center"/>
          </w:tcPr>
          <w:p>
            <w:pPr>
              <w:adjustRightInd w:val="0"/>
              <w:snapToGrid w:val="0"/>
              <w:jc w:val="center"/>
              <w:textAlignment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20</w:t>
            </w:r>
          </w:p>
        </w:tc>
      </w:tr>
    </w:tbl>
    <w:p>
      <w:pPr>
        <w:jc w:val="center"/>
        <w:rPr>
          <w:highlight w:val="none"/>
        </w:rPr>
      </w:pPr>
      <w:r>
        <w:rPr>
          <w:highlight w:val="none"/>
        </w:rPr>
        <w:br w:type="page"/>
      </w:r>
    </w:p>
    <w:p>
      <w:pPr>
        <w:jc w:val="cente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t>建筑设计类市场评价评分表</w:t>
      </w:r>
    </w:p>
    <w:p>
      <w:pPr>
        <w:pStyle w:val="2"/>
        <w:ind w:left="0" w:leftChars="0" w:firstLine="0" w:firstLineChars="0"/>
        <w:rPr>
          <w:highlight w:val="none"/>
        </w:rPr>
      </w:pPr>
    </w:p>
    <w:tbl>
      <w:tblPr>
        <w:tblStyle w:val="6"/>
        <w:tblpPr w:leftFromText="180" w:rightFromText="180" w:vertAnchor="text" w:horzAnchor="page" w:tblpX="1643" w:tblpY="257"/>
        <w:tblOverlap w:val="never"/>
        <w:tblW w:w="202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4"/>
        <w:gridCol w:w="1414"/>
        <w:gridCol w:w="1672"/>
        <w:gridCol w:w="4778"/>
        <w:gridCol w:w="3472"/>
        <w:gridCol w:w="6985"/>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trPr>
        <w:tc>
          <w:tcPr>
            <w:tcW w:w="814"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22"/>
                <w:szCs w:val="22"/>
                <w:highlight w:val="none"/>
              </w:rPr>
            </w:pPr>
            <w:r>
              <w:rPr>
                <w:rFonts w:hint="eastAsia" w:ascii="仿宋_GB2312" w:hAnsi="仿宋_GB2312" w:eastAsia="仿宋_GB2312"/>
                <w:b w:val="0"/>
                <w:bCs w:val="0"/>
                <w:color w:val="auto"/>
                <w:sz w:val="22"/>
                <w:szCs w:val="22"/>
                <w:highlight w:val="none"/>
              </w:rPr>
              <w:t>序号</w:t>
            </w:r>
          </w:p>
        </w:tc>
        <w:tc>
          <w:tcPr>
            <w:tcW w:w="1414" w:type="dxa"/>
            <w:tcMar>
              <w:top w:w="10" w:type="dxa"/>
              <w:left w:w="10" w:type="dxa"/>
              <w:right w:w="10" w:type="dxa"/>
            </w:tcMar>
            <w:vAlign w:val="center"/>
          </w:tcPr>
          <w:p>
            <w:pPr>
              <w:adjustRightInd w:val="0"/>
              <w:snapToGrid w:val="0"/>
              <w:jc w:val="center"/>
              <w:textAlignment w:val="center"/>
              <w:rPr>
                <w:rFonts w:hint="default" w:ascii="仿宋_GB2312" w:hAnsi="仿宋_GB2312" w:eastAsia="仿宋_GB2312"/>
                <w:b w:val="0"/>
                <w:bCs w:val="0"/>
                <w:color w:val="auto"/>
                <w:sz w:val="22"/>
                <w:szCs w:val="22"/>
                <w:highlight w:val="none"/>
                <w:lang w:val="en-US" w:eastAsia="zh-CN"/>
              </w:rPr>
            </w:pPr>
            <w:r>
              <w:rPr>
                <w:rFonts w:hint="eastAsia" w:ascii="仿宋_GB2312" w:hAnsi="仿宋_GB2312" w:eastAsia="仿宋_GB2312"/>
                <w:b w:val="0"/>
                <w:bCs w:val="0"/>
                <w:color w:val="auto"/>
                <w:sz w:val="22"/>
                <w:szCs w:val="22"/>
                <w:highlight w:val="none"/>
                <w:lang w:val="en-US" w:eastAsia="zh-CN"/>
              </w:rPr>
              <w:t>评价项</w:t>
            </w:r>
          </w:p>
        </w:tc>
        <w:tc>
          <w:tcPr>
            <w:tcW w:w="1672"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22"/>
                <w:szCs w:val="22"/>
                <w:highlight w:val="none"/>
              </w:rPr>
            </w:pPr>
            <w:r>
              <w:rPr>
                <w:rFonts w:hint="eastAsia" w:ascii="仿宋_GB2312" w:hAnsi="仿宋_GB2312" w:eastAsia="仿宋_GB2312"/>
                <w:b w:val="0"/>
                <w:bCs w:val="0"/>
                <w:color w:val="auto"/>
                <w:sz w:val="22"/>
                <w:szCs w:val="22"/>
                <w:highlight w:val="none"/>
                <w:lang w:val="en-US" w:eastAsia="zh-CN"/>
              </w:rPr>
              <w:t>评价指标</w:t>
            </w:r>
          </w:p>
        </w:tc>
        <w:tc>
          <w:tcPr>
            <w:tcW w:w="4778" w:type="dxa"/>
            <w:shd w:val="clear" w:color="auto" w:fill="auto"/>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22"/>
                <w:szCs w:val="22"/>
                <w:highlight w:val="none"/>
              </w:rPr>
            </w:pPr>
            <w:r>
              <w:rPr>
                <w:rFonts w:hint="eastAsia" w:ascii="仿宋_GB2312" w:hAnsi="仿宋_GB2312" w:eastAsia="仿宋_GB2312"/>
                <w:b w:val="0"/>
                <w:bCs w:val="0"/>
                <w:color w:val="auto"/>
                <w:sz w:val="22"/>
                <w:szCs w:val="22"/>
                <w:highlight w:val="none"/>
              </w:rPr>
              <w:t>证明材料</w:t>
            </w:r>
          </w:p>
        </w:tc>
        <w:tc>
          <w:tcPr>
            <w:tcW w:w="3472" w:type="dxa"/>
            <w:shd w:val="clear" w:color="auto" w:fill="auto"/>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b w:val="0"/>
                <w:bCs w:val="0"/>
                <w:color w:val="auto"/>
                <w:sz w:val="22"/>
                <w:szCs w:val="22"/>
                <w:highlight w:val="none"/>
              </w:rPr>
            </w:pPr>
            <w:r>
              <w:rPr>
                <w:rFonts w:hint="eastAsia" w:ascii="仿宋_GB2312" w:hAnsi="仿宋_GB2312" w:eastAsia="仿宋_GB2312"/>
                <w:b w:val="0"/>
                <w:bCs w:val="0"/>
                <w:color w:val="auto"/>
                <w:sz w:val="22"/>
                <w:szCs w:val="22"/>
                <w:highlight w:val="none"/>
              </w:rPr>
              <w:t>证明材料要求</w:t>
            </w:r>
          </w:p>
        </w:tc>
        <w:tc>
          <w:tcPr>
            <w:tcW w:w="6985"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22"/>
                <w:szCs w:val="22"/>
                <w:highlight w:val="none"/>
              </w:rPr>
            </w:pPr>
            <w:r>
              <w:rPr>
                <w:rFonts w:hint="eastAsia" w:ascii="仿宋_GB2312" w:hAnsi="仿宋_GB2312" w:eastAsia="仿宋_GB2312"/>
                <w:b w:val="0"/>
                <w:bCs w:val="0"/>
                <w:color w:val="auto"/>
                <w:sz w:val="22"/>
                <w:szCs w:val="22"/>
                <w:highlight w:val="none"/>
              </w:rPr>
              <w:t>评分标准</w:t>
            </w:r>
          </w:p>
        </w:tc>
        <w:tc>
          <w:tcPr>
            <w:tcW w:w="1158" w:type="dxa"/>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22"/>
                <w:szCs w:val="22"/>
                <w:highlight w:val="none"/>
              </w:rPr>
            </w:pPr>
            <w:r>
              <w:rPr>
                <w:rFonts w:hint="eastAsia" w:ascii="仿宋_GB2312" w:hAnsi="仿宋_GB2312" w:eastAsia="仿宋_GB2312"/>
                <w:b w:val="0"/>
                <w:bCs w:val="0"/>
                <w:color w:val="auto"/>
                <w:sz w:val="22"/>
                <w:szCs w:val="22"/>
                <w:highlight w:val="none"/>
                <w:lang w:val="en-US" w:eastAsia="zh-CN"/>
              </w:rPr>
              <w:t>评</w:t>
            </w:r>
            <w:r>
              <w:rPr>
                <w:rFonts w:hint="eastAsia" w:ascii="仿宋_GB2312" w:hAnsi="仿宋_GB2312" w:eastAsia="仿宋_GB2312"/>
                <w:b w:val="0"/>
                <w:bCs w:val="0"/>
                <w:color w:val="auto"/>
                <w:sz w:val="22"/>
                <w:szCs w:val="22"/>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814" w:type="dxa"/>
            <w:noWrap/>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18"/>
                <w:szCs w:val="18"/>
                <w:highlight w:val="none"/>
              </w:rPr>
            </w:pPr>
            <w:r>
              <w:rPr>
                <w:rFonts w:hint="eastAsia" w:ascii="仿宋_GB2312" w:hAnsi="仿宋_GB2312" w:eastAsia="仿宋_GB2312"/>
                <w:b w:val="0"/>
                <w:bCs w:val="0"/>
                <w:color w:val="auto"/>
                <w:sz w:val="18"/>
                <w:szCs w:val="18"/>
                <w:highlight w:val="none"/>
              </w:rPr>
              <w:t>1</w:t>
            </w:r>
          </w:p>
        </w:tc>
        <w:tc>
          <w:tcPr>
            <w:tcW w:w="1414" w:type="dxa"/>
            <w:vMerge w:val="restart"/>
            <w:tcMar>
              <w:top w:w="10" w:type="dxa"/>
              <w:left w:w="10" w:type="dxa"/>
              <w:right w:w="10" w:type="dxa"/>
            </w:tcMar>
            <w:vAlign w:val="center"/>
          </w:tcPr>
          <w:p>
            <w:pPr>
              <w:adjustRightInd w:val="0"/>
              <w:snapToGrid w:val="0"/>
              <w:jc w:val="center"/>
              <w:textAlignment w:val="center"/>
              <w:rPr>
                <w:rFonts w:ascii="仿宋_GB2312" w:hAnsi="仿宋_GB2312" w:eastAsia="仿宋_GB2312"/>
                <w:b w:val="0"/>
                <w:bCs w:val="0"/>
                <w:color w:val="auto"/>
                <w:sz w:val="18"/>
                <w:szCs w:val="18"/>
                <w:highlight w:val="none"/>
              </w:rPr>
            </w:pPr>
            <w:r>
              <w:rPr>
                <w:rFonts w:hint="eastAsia" w:ascii="仿宋_GB2312" w:hAnsi="仿宋_GB2312" w:eastAsia="仿宋_GB2312"/>
                <w:b w:val="0"/>
                <w:bCs w:val="0"/>
                <w:color w:val="auto"/>
                <w:sz w:val="18"/>
                <w:szCs w:val="18"/>
                <w:highlight w:val="none"/>
                <w:lang w:val="en-US" w:eastAsia="zh-CN"/>
              </w:rPr>
              <w:t>企业资信</w:t>
            </w:r>
            <w:r>
              <w:rPr>
                <w:rFonts w:hint="eastAsia" w:ascii="仿宋_GB2312" w:hAnsi="仿宋_GB2312" w:eastAsia="仿宋_GB2312"/>
                <w:b w:val="0"/>
                <w:bCs w:val="0"/>
                <w:color w:val="auto"/>
                <w:sz w:val="18"/>
                <w:szCs w:val="18"/>
                <w:highlight w:val="none"/>
                <w:lang w:val="en-US" w:eastAsia="zh-CN"/>
              </w:rPr>
              <w:br w:type="textWrapping"/>
            </w:r>
            <w:r>
              <w:rPr>
                <w:rFonts w:hint="eastAsia" w:ascii="仿宋_GB2312" w:hAnsi="仿宋_GB2312" w:eastAsia="仿宋_GB2312"/>
                <w:b w:val="0"/>
                <w:bCs w:val="0"/>
                <w:color w:val="auto"/>
                <w:sz w:val="18"/>
                <w:szCs w:val="18"/>
                <w:highlight w:val="none"/>
                <w:lang w:val="en-US" w:eastAsia="zh-CN"/>
              </w:rPr>
              <w:t>（10分）</w:t>
            </w:r>
          </w:p>
        </w:tc>
        <w:tc>
          <w:tcPr>
            <w:tcW w:w="1672"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strike w:val="0"/>
                <w:color w:val="auto"/>
                <w:sz w:val="18"/>
                <w:szCs w:val="18"/>
                <w:highlight w:val="none"/>
              </w:rPr>
            </w:pPr>
            <w:r>
              <w:rPr>
                <w:rFonts w:hint="eastAsia" w:ascii="仿宋_GB2312" w:hAnsi="仿宋_GB2312" w:eastAsia="仿宋_GB2312" w:cs="仿宋_GB2312"/>
                <w:b w:val="0"/>
                <w:bCs w:val="0"/>
                <w:strike w:val="0"/>
                <w:color w:val="auto"/>
                <w:kern w:val="2"/>
                <w:sz w:val="18"/>
                <w:szCs w:val="18"/>
                <w:highlight w:val="none"/>
                <w:lang w:val="en-US" w:eastAsia="zh-CN"/>
              </w:rPr>
              <w:t>企业资质</w:t>
            </w:r>
          </w:p>
        </w:tc>
        <w:tc>
          <w:tcPr>
            <w:tcW w:w="4778"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strike w:val="0"/>
                <w:color w:val="auto"/>
                <w:sz w:val="18"/>
                <w:szCs w:val="18"/>
                <w:highlight w:val="none"/>
              </w:rPr>
            </w:pPr>
            <w:r>
              <w:rPr>
                <w:rFonts w:hint="eastAsia" w:ascii="仿宋_GB2312" w:hAnsi="仿宋_GB2312" w:eastAsia="仿宋_GB2312" w:cs="仿宋_GB2312"/>
                <w:b w:val="0"/>
                <w:bCs w:val="0"/>
                <w:strike w:val="0"/>
                <w:color w:val="auto"/>
                <w:kern w:val="2"/>
                <w:sz w:val="18"/>
                <w:szCs w:val="18"/>
                <w:highlight w:val="none"/>
                <w:lang w:val="en-US" w:eastAsia="zh-CN"/>
              </w:rPr>
              <w:t>提供企业</w:t>
            </w:r>
            <w:r>
              <w:rPr>
                <w:rFonts w:hint="eastAsia" w:ascii="仿宋_GB2312" w:hAnsi="仿宋_GB2312" w:eastAsia="仿宋_GB2312" w:cs="仿宋_GB2312"/>
                <w:b w:val="0"/>
                <w:bCs w:val="0"/>
                <w:strike w:val="0"/>
                <w:color w:val="auto"/>
                <w:w w:val="100"/>
                <w:sz w:val="18"/>
                <w:szCs w:val="18"/>
                <w:highlight w:val="none"/>
                <w:lang w:val="en-US" w:eastAsia="zh-CN"/>
              </w:rPr>
              <w:t>建筑设计资质证书</w:t>
            </w:r>
            <w:r>
              <w:rPr>
                <w:rFonts w:hint="eastAsia" w:ascii="仿宋_GB2312" w:hAnsi="仿宋_GB2312" w:eastAsia="仿宋_GB2312" w:cs="仿宋_GB2312"/>
                <w:b w:val="0"/>
                <w:bCs w:val="0"/>
                <w:strike w:val="0"/>
                <w:color w:val="auto"/>
                <w:kern w:val="2"/>
                <w:sz w:val="18"/>
                <w:szCs w:val="18"/>
                <w:highlight w:val="none"/>
                <w:lang w:val="en-US" w:eastAsia="zh-CN"/>
              </w:rPr>
              <w:t>扫描件。</w:t>
            </w:r>
          </w:p>
        </w:tc>
        <w:tc>
          <w:tcPr>
            <w:tcW w:w="3472"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strike w:val="0"/>
                <w:color w:val="auto"/>
                <w:sz w:val="18"/>
                <w:szCs w:val="18"/>
                <w:highlight w:val="none"/>
              </w:rPr>
            </w:pPr>
            <w:r>
              <w:rPr>
                <w:rFonts w:hint="eastAsia" w:ascii="仿宋_GB2312" w:hAnsi="仿宋_GB2312" w:eastAsia="仿宋_GB2312" w:cs="仿宋_GB2312"/>
                <w:b w:val="0"/>
                <w:bCs w:val="0"/>
                <w:strike w:val="0"/>
                <w:color w:val="auto"/>
                <w:kern w:val="2"/>
                <w:sz w:val="18"/>
                <w:szCs w:val="18"/>
                <w:highlight w:val="none"/>
                <w:lang w:val="en-US" w:eastAsia="zh-CN"/>
              </w:rPr>
              <w:t>提供企业</w:t>
            </w:r>
            <w:r>
              <w:rPr>
                <w:rFonts w:hint="eastAsia" w:ascii="仿宋_GB2312" w:hAnsi="仿宋_GB2312" w:eastAsia="仿宋_GB2312" w:cs="仿宋_GB2312"/>
                <w:b w:val="0"/>
                <w:bCs w:val="0"/>
                <w:strike w:val="0"/>
                <w:color w:val="auto"/>
                <w:w w:val="100"/>
                <w:sz w:val="18"/>
                <w:szCs w:val="18"/>
                <w:highlight w:val="none"/>
                <w:lang w:val="en-US" w:eastAsia="zh-CN"/>
              </w:rPr>
              <w:t>建筑设计建筑设计资质证书等证明材料</w:t>
            </w:r>
            <w:r>
              <w:rPr>
                <w:rFonts w:hint="eastAsia" w:ascii="仿宋_GB2312" w:hAnsi="仿宋_GB2312" w:eastAsia="仿宋_GB2312" w:cs="仿宋_GB2312"/>
                <w:b w:val="0"/>
                <w:bCs w:val="0"/>
                <w:strike w:val="0"/>
                <w:color w:val="auto"/>
                <w:kern w:val="2"/>
                <w:sz w:val="18"/>
                <w:szCs w:val="18"/>
                <w:highlight w:val="none"/>
                <w:lang w:val="en-US" w:eastAsia="zh-CN"/>
              </w:rPr>
              <w:t>扫描件。</w:t>
            </w:r>
          </w:p>
        </w:tc>
        <w:tc>
          <w:tcPr>
            <w:tcW w:w="6985" w:type="dxa"/>
            <w:tcMar>
              <w:top w:w="10" w:type="dxa"/>
              <w:left w:w="10" w:type="dxa"/>
              <w:right w:w="10" w:type="dxa"/>
            </w:tcMar>
            <w:vAlign w:val="center"/>
          </w:tcPr>
          <w:p>
            <w:pPr>
              <w:jc w:val="left"/>
              <w:rPr>
                <w:rFonts w:hint="eastAsia" w:ascii="仿宋_GB2312" w:hAnsi="仿宋_GB2312" w:eastAsia="仿宋_GB2312" w:cs="仿宋_GB2312"/>
                <w:b w:val="0"/>
                <w:bCs w:val="0"/>
                <w:strike w:val="0"/>
                <w:color w:val="auto"/>
                <w:sz w:val="18"/>
                <w:szCs w:val="18"/>
                <w:highlight w:val="none"/>
              </w:rPr>
            </w:pPr>
            <w:r>
              <w:rPr>
                <w:rFonts w:hint="eastAsia" w:ascii="仿宋_GB2312" w:hAnsi="仿宋_GB2312" w:eastAsia="仿宋_GB2312" w:cs="仿宋_GB2312"/>
                <w:b w:val="0"/>
                <w:bCs w:val="0"/>
                <w:strike w:val="0"/>
                <w:color w:val="auto"/>
                <w:sz w:val="18"/>
                <w:szCs w:val="18"/>
                <w:highlight w:val="none"/>
              </w:rPr>
              <w:t>根据企业最高资质进行</w:t>
            </w:r>
            <w:r>
              <w:rPr>
                <w:rFonts w:hint="eastAsia" w:ascii="仿宋_GB2312" w:hAnsi="仿宋_GB2312" w:eastAsia="仿宋_GB2312" w:cs="仿宋_GB2312"/>
                <w:b w:val="0"/>
                <w:bCs w:val="0"/>
                <w:strike w:val="0"/>
                <w:color w:val="auto"/>
                <w:sz w:val="18"/>
                <w:szCs w:val="18"/>
                <w:highlight w:val="none"/>
                <w:lang w:val="en-US" w:eastAsia="zh-CN"/>
              </w:rPr>
              <w:t>评</w:t>
            </w:r>
            <w:r>
              <w:rPr>
                <w:rFonts w:hint="eastAsia" w:ascii="仿宋_GB2312" w:hAnsi="仿宋_GB2312" w:eastAsia="仿宋_GB2312" w:cs="仿宋_GB2312"/>
                <w:b w:val="0"/>
                <w:bCs w:val="0"/>
                <w:strike w:val="0"/>
                <w:color w:val="auto"/>
                <w:sz w:val="18"/>
                <w:szCs w:val="18"/>
                <w:highlight w:val="none"/>
              </w:rPr>
              <w:t>分：</w:t>
            </w:r>
          </w:p>
          <w:p>
            <w:pPr>
              <w:widowControl w:val="0"/>
              <w:spacing w:line="240" w:lineRule="auto"/>
              <w:jc w:val="left"/>
              <w:rPr>
                <w:rFonts w:hint="eastAsia" w:ascii="仿宋_GB2312" w:hAnsi="仿宋_GB2312" w:eastAsia="仿宋_GB2312" w:cs="仿宋_GB2312"/>
                <w:b w:val="0"/>
                <w:bCs w:val="0"/>
                <w:strike w:val="0"/>
                <w:color w:val="auto"/>
                <w:sz w:val="18"/>
                <w:szCs w:val="18"/>
                <w:highlight w:val="none"/>
              </w:rPr>
            </w:pPr>
            <w:r>
              <w:rPr>
                <w:rFonts w:hint="eastAsia" w:ascii="仿宋_GB2312" w:hAnsi="仿宋_GB2312" w:eastAsia="仿宋_GB2312" w:cs="仿宋_GB2312"/>
                <w:b w:val="0"/>
                <w:bCs w:val="0"/>
                <w:strike w:val="0"/>
                <w:color w:val="auto"/>
                <w:sz w:val="18"/>
                <w:szCs w:val="18"/>
                <w:highlight w:val="none"/>
                <w:lang w:val="en-US" w:eastAsia="zh-CN"/>
              </w:rPr>
              <w:t>1</w:t>
            </w:r>
            <w:r>
              <w:rPr>
                <w:rFonts w:hint="eastAsia" w:ascii="仿宋_GB2312" w:hAnsi="仿宋_GB2312" w:eastAsia="仿宋_GB2312" w:cs="仿宋_GB2312"/>
                <w:b w:val="0"/>
                <w:bCs w:val="0"/>
                <w:strike w:val="0"/>
                <w:color w:val="auto"/>
                <w:sz w:val="18"/>
                <w:szCs w:val="18"/>
                <w:highlight w:val="none"/>
                <w:lang w:eastAsia="zh-CN"/>
              </w:rPr>
              <w:t>.</w:t>
            </w:r>
            <w:r>
              <w:rPr>
                <w:rFonts w:hint="eastAsia" w:ascii="仿宋_GB2312" w:hAnsi="仿宋_GB2312" w:eastAsia="仿宋_GB2312" w:cs="仿宋_GB2312"/>
                <w:b w:val="0"/>
                <w:bCs w:val="0"/>
                <w:strike w:val="0"/>
                <w:color w:val="auto"/>
                <w:sz w:val="18"/>
                <w:szCs w:val="18"/>
                <w:highlight w:val="none"/>
              </w:rPr>
              <w:t>具有</w:t>
            </w:r>
            <w:r>
              <w:rPr>
                <w:rFonts w:hint="eastAsia" w:ascii="仿宋_GB2312" w:hAnsi="仿宋_GB2312" w:eastAsia="仿宋_GB2312" w:cs="仿宋_GB2312"/>
                <w:b w:val="0"/>
                <w:bCs w:val="0"/>
                <w:strike w:val="0"/>
                <w:color w:val="auto"/>
                <w:sz w:val="18"/>
                <w:szCs w:val="18"/>
                <w:highlight w:val="none"/>
                <w:lang w:val="en-US" w:eastAsia="zh-CN"/>
              </w:rPr>
              <w:t>工程设计</w:t>
            </w:r>
            <w:r>
              <w:rPr>
                <w:rFonts w:hint="eastAsia" w:ascii="仿宋_GB2312" w:hAnsi="仿宋_GB2312" w:eastAsia="仿宋_GB2312" w:cs="仿宋_GB2312"/>
                <w:b w:val="0"/>
                <w:bCs w:val="0"/>
                <w:strike w:val="0"/>
                <w:color w:val="auto"/>
                <w:sz w:val="18"/>
                <w:szCs w:val="18"/>
                <w:highlight w:val="none"/>
              </w:rPr>
              <w:t>综合</w:t>
            </w:r>
            <w:r>
              <w:rPr>
                <w:rFonts w:hint="eastAsia" w:ascii="仿宋_GB2312" w:hAnsi="仿宋_GB2312" w:eastAsia="仿宋_GB2312" w:cs="仿宋_GB2312"/>
                <w:b w:val="0"/>
                <w:bCs w:val="0"/>
                <w:strike w:val="0"/>
                <w:color w:val="auto"/>
                <w:sz w:val="18"/>
                <w:szCs w:val="18"/>
                <w:highlight w:val="none"/>
                <w:lang w:val="en-US" w:eastAsia="zh-CN"/>
              </w:rPr>
              <w:t>甲级资质或建筑行业设计甲级资质</w:t>
            </w:r>
            <w:r>
              <w:rPr>
                <w:rFonts w:hint="eastAsia" w:ascii="仿宋_GB2312" w:hAnsi="仿宋_GB2312" w:eastAsia="仿宋_GB2312" w:cs="仿宋_GB2312"/>
                <w:b w:val="0"/>
                <w:bCs w:val="0"/>
                <w:strike w:val="0"/>
                <w:color w:val="auto"/>
                <w:sz w:val="18"/>
                <w:szCs w:val="18"/>
                <w:highlight w:val="none"/>
              </w:rPr>
              <w:t>，得</w:t>
            </w:r>
            <w:r>
              <w:rPr>
                <w:rFonts w:hint="eastAsia" w:ascii="仿宋_GB2312" w:hAnsi="仿宋_GB2312" w:eastAsia="仿宋_GB2312" w:cs="仿宋_GB2312"/>
                <w:b w:val="0"/>
                <w:bCs w:val="0"/>
                <w:strike w:val="0"/>
                <w:color w:val="auto"/>
                <w:sz w:val="18"/>
                <w:szCs w:val="18"/>
                <w:highlight w:val="none"/>
                <w:lang w:val="en-US" w:eastAsia="zh-CN"/>
              </w:rPr>
              <w:t>1</w:t>
            </w:r>
            <w:r>
              <w:rPr>
                <w:rFonts w:hint="eastAsia" w:ascii="仿宋_GB2312" w:hAnsi="仿宋_GB2312" w:eastAsia="仿宋_GB2312" w:cs="仿宋_GB2312"/>
                <w:b w:val="0"/>
                <w:bCs w:val="0"/>
                <w:strike w:val="0"/>
                <w:color w:val="auto"/>
                <w:sz w:val="18"/>
                <w:szCs w:val="18"/>
                <w:highlight w:val="none"/>
              </w:rPr>
              <w:t>分；</w:t>
            </w:r>
          </w:p>
          <w:p>
            <w:pPr>
              <w:widowControl w:val="0"/>
              <w:spacing w:line="240" w:lineRule="auto"/>
              <w:jc w:val="left"/>
              <w:rPr>
                <w:rFonts w:hint="eastAsia" w:ascii="仿宋_GB2312" w:hAnsi="仿宋_GB2312" w:eastAsia="仿宋_GB2312" w:cs="仿宋_GB2312"/>
                <w:b w:val="0"/>
                <w:bCs w:val="0"/>
                <w:strike w:val="0"/>
                <w:color w:val="auto"/>
                <w:sz w:val="18"/>
                <w:szCs w:val="18"/>
                <w:highlight w:val="none"/>
              </w:rPr>
            </w:pPr>
            <w:r>
              <w:rPr>
                <w:rFonts w:hint="eastAsia" w:ascii="仿宋_GB2312" w:hAnsi="仿宋_GB2312" w:eastAsia="仿宋_GB2312" w:cs="仿宋_GB2312"/>
                <w:b w:val="0"/>
                <w:bCs w:val="0"/>
                <w:strike w:val="0"/>
                <w:color w:val="auto"/>
                <w:sz w:val="18"/>
                <w:szCs w:val="18"/>
                <w:highlight w:val="none"/>
                <w:lang w:val="en-US" w:eastAsia="zh-CN"/>
              </w:rPr>
              <w:t>2</w:t>
            </w:r>
            <w:r>
              <w:rPr>
                <w:rFonts w:hint="eastAsia" w:ascii="仿宋_GB2312" w:hAnsi="仿宋_GB2312" w:eastAsia="仿宋_GB2312" w:cs="仿宋_GB2312"/>
                <w:b w:val="0"/>
                <w:bCs w:val="0"/>
                <w:strike w:val="0"/>
                <w:color w:val="auto"/>
                <w:sz w:val="18"/>
                <w:szCs w:val="18"/>
                <w:highlight w:val="none"/>
                <w:lang w:eastAsia="zh-CN"/>
              </w:rPr>
              <w:t>.</w:t>
            </w:r>
            <w:r>
              <w:rPr>
                <w:rFonts w:hint="eastAsia" w:ascii="仿宋_GB2312" w:hAnsi="仿宋_GB2312" w:eastAsia="仿宋_GB2312" w:cs="仿宋_GB2312"/>
                <w:b w:val="0"/>
                <w:bCs w:val="0"/>
                <w:strike w:val="0"/>
                <w:color w:val="auto"/>
                <w:sz w:val="18"/>
                <w:szCs w:val="18"/>
                <w:highlight w:val="none"/>
              </w:rPr>
              <w:t>具有</w:t>
            </w:r>
            <w:r>
              <w:rPr>
                <w:rFonts w:hint="eastAsia" w:ascii="仿宋_GB2312" w:hAnsi="仿宋_GB2312" w:eastAsia="仿宋_GB2312" w:cs="仿宋_GB2312"/>
                <w:b w:val="0"/>
                <w:bCs w:val="0"/>
                <w:strike w:val="0"/>
                <w:color w:val="auto"/>
                <w:sz w:val="18"/>
                <w:szCs w:val="18"/>
                <w:highlight w:val="none"/>
                <w:lang w:val="en-US" w:eastAsia="zh-CN"/>
              </w:rPr>
              <w:t>建筑行业（建筑工程）专业设计甲级资质</w:t>
            </w:r>
            <w:r>
              <w:rPr>
                <w:rFonts w:hint="eastAsia" w:ascii="仿宋_GB2312" w:hAnsi="仿宋_GB2312" w:eastAsia="仿宋_GB2312" w:cs="仿宋_GB2312"/>
                <w:b w:val="0"/>
                <w:bCs w:val="0"/>
                <w:strike w:val="0"/>
                <w:color w:val="auto"/>
                <w:sz w:val="18"/>
                <w:szCs w:val="18"/>
                <w:highlight w:val="none"/>
              </w:rPr>
              <w:t>的，得</w:t>
            </w:r>
            <w:r>
              <w:rPr>
                <w:rFonts w:hint="eastAsia" w:ascii="仿宋_GB2312" w:hAnsi="仿宋_GB2312" w:eastAsia="仿宋_GB2312" w:cs="仿宋_GB2312"/>
                <w:b w:val="0"/>
                <w:bCs w:val="0"/>
                <w:strike w:val="0"/>
                <w:color w:val="auto"/>
                <w:sz w:val="18"/>
                <w:szCs w:val="18"/>
                <w:highlight w:val="none"/>
                <w:lang w:val="en-US" w:eastAsia="zh-CN"/>
              </w:rPr>
              <w:t>0.5</w:t>
            </w:r>
            <w:r>
              <w:rPr>
                <w:rFonts w:hint="eastAsia" w:ascii="仿宋_GB2312" w:hAnsi="仿宋_GB2312" w:eastAsia="仿宋_GB2312" w:cs="仿宋_GB2312"/>
                <w:b w:val="0"/>
                <w:bCs w:val="0"/>
                <w:strike w:val="0"/>
                <w:color w:val="auto"/>
                <w:sz w:val="18"/>
                <w:szCs w:val="18"/>
                <w:highlight w:val="none"/>
              </w:rPr>
              <w:t>分；</w:t>
            </w:r>
          </w:p>
        </w:tc>
        <w:tc>
          <w:tcPr>
            <w:tcW w:w="1158" w:type="dxa"/>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b w:val="0"/>
                <w:bCs w:val="0"/>
                <w:strike/>
                <w:color w:val="auto"/>
                <w:sz w:val="18"/>
                <w:szCs w:val="18"/>
                <w:highlight w:val="none"/>
                <w:lang w:val="en-US" w:eastAsia="zh-CN"/>
              </w:rPr>
            </w:pPr>
            <w:r>
              <w:rPr>
                <w:rFonts w:hint="eastAsia" w:ascii="仿宋_GB2312" w:hAnsi="仿宋_GB2312" w:eastAsia="仿宋_GB2312"/>
                <w:b w:val="0"/>
                <w:bCs w:val="0"/>
                <w:strike w:val="0"/>
                <w:color w:val="auto"/>
                <w:sz w:val="18"/>
                <w:szCs w:val="18"/>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5" w:hRule="atLeast"/>
        </w:trPr>
        <w:tc>
          <w:tcPr>
            <w:tcW w:w="814" w:type="dxa"/>
            <w:noWrap/>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2</w:t>
            </w:r>
          </w:p>
        </w:tc>
        <w:tc>
          <w:tcPr>
            <w:tcW w:w="1414" w:type="dxa"/>
            <w:vMerge w:val="continue"/>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b w:val="0"/>
                <w:bCs w:val="0"/>
                <w:color w:val="auto"/>
                <w:sz w:val="18"/>
                <w:szCs w:val="18"/>
                <w:highlight w:val="none"/>
                <w:lang w:val="en-US" w:eastAsia="zh-CN"/>
              </w:rPr>
            </w:pPr>
          </w:p>
        </w:tc>
        <w:tc>
          <w:tcPr>
            <w:tcW w:w="1672" w:type="dxa"/>
            <w:tcMar>
              <w:top w:w="10" w:type="dxa"/>
              <w:left w:w="10" w:type="dxa"/>
              <w:right w:w="10" w:type="dxa"/>
            </w:tcMar>
            <w:vAlign w:val="center"/>
          </w:tcPr>
          <w:p>
            <w:pPr>
              <w:widowControl w:val="0"/>
              <w:spacing w:afterLines="0" w:line="240" w:lineRule="auto"/>
              <w:jc w:val="center"/>
              <w:outlineLvl w:val="9"/>
              <w:rPr>
                <w:rFonts w:hint="eastAsia" w:ascii="仿宋_GB2312" w:hAnsi="仿宋_GB2312" w:eastAsia="仿宋_GB2312" w:cs="仿宋_GB2312"/>
                <w:b w:val="0"/>
                <w:bCs w:val="0"/>
                <w:color w:val="auto"/>
                <w:kern w:val="2"/>
                <w:sz w:val="18"/>
                <w:szCs w:val="18"/>
                <w:highlight w:val="none"/>
                <w:lang w:val="en-US" w:eastAsia="zh-CN"/>
              </w:rPr>
            </w:pPr>
            <w:r>
              <w:rPr>
                <w:rFonts w:hint="eastAsia" w:ascii="仿宋_GB2312" w:hAnsi="仿宋_GB2312" w:eastAsia="仿宋_GB2312" w:cs="Times New Roman"/>
                <w:b w:val="0"/>
                <w:bCs w:val="0"/>
                <w:color w:val="auto"/>
                <w:kern w:val="2"/>
                <w:sz w:val="18"/>
                <w:szCs w:val="18"/>
                <w:highlight w:val="none"/>
                <w:lang w:val="en-US" w:eastAsia="zh-CN" w:bidi="ar-SA"/>
              </w:rPr>
              <w:t>专业技术人员规模</w:t>
            </w:r>
          </w:p>
        </w:tc>
        <w:tc>
          <w:tcPr>
            <w:tcW w:w="4778" w:type="dxa"/>
            <w:tcMar>
              <w:top w:w="10" w:type="dxa"/>
              <w:left w:w="10" w:type="dxa"/>
              <w:right w:w="10" w:type="dxa"/>
            </w:tcMar>
            <w:vAlign w:val="center"/>
          </w:tcPr>
          <w:p>
            <w:pPr>
              <w:pStyle w:val="2"/>
              <w:ind w:left="0" w:leftChars="0" w:firstLine="0" w:firstLineChars="0"/>
              <w:jc w:val="left"/>
              <w:rPr>
                <w:rFonts w:hint="eastAsia" w:ascii="仿宋_GB2312" w:hAnsi="仿宋_GB2312" w:eastAsia="仿宋_GB2312" w:cs="仿宋_GB2312"/>
                <w:b w:val="0"/>
                <w:bCs w:val="0"/>
                <w:color w:val="auto"/>
                <w:kern w:val="2"/>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提供</w:t>
            </w:r>
            <w:r>
              <w:rPr>
                <w:rFonts w:hint="eastAsia" w:ascii="仿宋_GB2312" w:hAnsi="仿宋_GB2312" w:eastAsia="仿宋_GB2312" w:cs="Times New Roman"/>
                <w:b w:val="0"/>
                <w:bCs w:val="0"/>
                <w:color w:val="auto"/>
                <w:kern w:val="2"/>
                <w:sz w:val="18"/>
                <w:szCs w:val="18"/>
                <w:highlight w:val="none"/>
                <w:lang w:val="en-US" w:eastAsia="zh-CN" w:bidi="ar-SA"/>
              </w:rPr>
              <w:t>缴纳社保的一级注册建筑师、一级注册结构师、注册公用设备工程师等注册类人员证明资料。</w:t>
            </w:r>
          </w:p>
        </w:tc>
        <w:tc>
          <w:tcPr>
            <w:tcW w:w="3472" w:type="dxa"/>
            <w:tcMar>
              <w:top w:w="10" w:type="dxa"/>
              <w:left w:w="10" w:type="dxa"/>
              <w:right w:w="10" w:type="dxa"/>
            </w:tcMar>
            <w:vAlign w:val="center"/>
          </w:tcPr>
          <w:p>
            <w:pPr>
              <w:rPr>
                <w:highlight w:val="none"/>
              </w:rPr>
            </w:pPr>
            <w:r>
              <w:rPr>
                <w:rFonts w:hint="eastAsia" w:ascii="仿宋_GB2312" w:hAnsi="仿宋_GB2312" w:eastAsia="仿宋_GB2312"/>
                <w:color w:val="auto"/>
                <w:sz w:val="18"/>
                <w:szCs w:val="18"/>
                <w:highlight w:val="none"/>
                <w:lang w:val="en-US" w:eastAsia="zh-CN"/>
              </w:rPr>
              <w:t>以</w:t>
            </w:r>
            <w:r>
              <w:rPr>
                <w:rFonts w:hint="eastAsia" w:ascii="仿宋_GB2312" w:hAnsi="仿宋_GB2312" w:eastAsia="仿宋_GB2312"/>
                <w:color w:val="auto"/>
                <w:sz w:val="18"/>
                <w:szCs w:val="18"/>
                <w:highlight w:val="none"/>
              </w:rPr>
              <w:t>全国建筑市场监管公共服务平台</w:t>
            </w:r>
            <w:r>
              <w:rPr>
                <w:rFonts w:hint="eastAsia" w:ascii="仿宋_GB2312" w:hAnsi="仿宋_GB2312" w:eastAsia="仿宋_GB2312"/>
                <w:color w:val="auto"/>
                <w:sz w:val="18"/>
                <w:szCs w:val="18"/>
                <w:highlight w:val="none"/>
                <w:lang w:eastAsia="zh-CN"/>
              </w:rPr>
              <w:t>（</w:t>
            </w:r>
            <w:r>
              <w:rPr>
                <w:rFonts w:hint="eastAsia" w:ascii="仿宋_GB2312" w:hAnsi="仿宋_GB2312" w:eastAsia="仿宋_GB2312"/>
                <w:color w:val="auto"/>
                <w:sz w:val="18"/>
                <w:szCs w:val="18"/>
                <w:highlight w:val="none"/>
                <w:lang w:val="en-US" w:eastAsia="zh-CN"/>
              </w:rPr>
              <w:t>四库一平台</w:t>
            </w:r>
            <w:r>
              <w:rPr>
                <w:rFonts w:hint="eastAsia" w:ascii="仿宋_GB2312" w:hAnsi="仿宋_GB2312" w:eastAsia="仿宋_GB2312"/>
                <w:color w:val="auto"/>
                <w:sz w:val="18"/>
                <w:szCs w:val="18"/>
                <w:highlight w:val="none"/>
                <w:lang w:eastAsia="zh-CN"/>
              </w:rPr>
              <w:t>）</w:t>
            </w:r>
            <w:r>
              <w:rPr>
                <w:rFonts w:hint="eastAsia" w:ascii="仿宋_GB2312" w:hAnsi="仿宋_GB2312" w:eastAsia="仿宋_GB2312"/>
                <w:color w:val="auto"/>
                <w:sz w:val="18"/>
                <w:szCs w:val="18"/>
                <w:highlight w:val="none"/>
                <w:lang w:val="en-US" w:eastAsia="zh-CN"/>
              </w:rPr>
              <w:t>网站查询结果为准</w:t>
            </w:r>
          </w:p>
          <w:p>
            <w:pPr>
              <w:rPr>
                <w:highlight w:val="none"/>
              </w:rPr>
            </w:pPr>
          </w:p>
          <w:p>
            <w:pPr>
              <w:rPr>
                <w:rFonts w:hint="eastAsia" w:ascii="仿宋_GB2312" w:hAnsi="仿宋_GB2312" w:eastAsia="仿宋_GB2312" w:cs="仿宋_GB2312"/>
                <w:b w:val="0"/>
                <w:bCs w:val="0"/>
                <w:color w:val="auto"/>
                <w:kern w:val="2"/>
                <w:sz w:val="18"/>
                <w:szCs w:val="18"/>
                <w:highlight w:val="none"/>
                <w:lang w:val="en-US" w:eastAsia="zh-CN"/>
              </w:rPr>
            </w:pPr>
            <w:r>
              <w:rPr>
                <w:rFonts w:hint="eastAsia" w:ascii="仿宋_GB2312" w:hAnsi="仿宋_GB2312" w:eastAsia="仿宋_GB2312" w:cs="Times New Roman"/>
                <w:b w:val="0"/>
                <w:bCs w:val="0"/>
                <w:color w:val="auto"/>
                <w:kern w:val="2"/>
                <w:sz w:val="18"/>
                <w:szCs w:val="18"/>
                <w:highlight w:val="none"/>
                <w:lang w:val="en-US" w:eastAsia="zh-CN" w:bidi="ar-SA"/>
              </w:rPr>
              <w:t>。</w:t>
            </w:r>
            <w:r>
              <w:rPr>
                <w:rFonts w:hint="eastAsia" w:ascii="仿宋_GB2312" w:hAnsi="仿宋_GB2312" w:eastAsia="仿宋_GB2312"/>
                <w:color w:val="auto"/>
                <w:sz w:val="18"/>
                <w:szCs w:val="18"/>
                <w:highlight w:val="none"/>
              </w:rPr>
              <w:t>https://jzsc.mohurd.gov.cn/home</w:t>
            </w:r>
          </w:p>
        </w:tc>
        <w:tc>
          <w:tcPr>
            <w:tcW w:w="6985" w:type="dxa"/>
            <w:tcMar>
              <w:top w:w="10" w:type="dxa"/>
              <w:left w:w="10" w:type="dxa"/>
              <w:right w:w="10" w:type="dxa"/>
            </w:tcMar>
            <w:vAlign w:val="center"/>
          </w:tcPr>
          <w:p>
            <w:pPr>
              <w:widowControl w:val="0"/>
              <w:spacing w:afterLines="0" w:line="240" w:lineRule="auto"/>
              <w:jc w:val="left"/>
              <w:outlineLvl w:val="9"/>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注册类专业人员数量情况：</w:t>
            </w:r>
          </w:p>
          <w:p>
            <w:pPr>
              <w:widowControl w:val="0"/>
              <w:spacing w:afterLines="0" w:line="240" w:lineRule="auto"/>
              <w:jc w:val="left"/>
              <w:outlineLvl w:val="9"/>
              <w:rPr>
                <w:rFonts w:hint="default"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1.总人数50名及以上的，得5分</w:t>
            </w:r>
          </w:p>
          <w:p>
            <w:pPr>
              <w:widowControl w:val="0"/>
              <w:spacing w:afterLines="0" w:line="240" w:lineRule="auto"/>
              <w:jc w:val="left"/>
              <w:outlineLvl w:val="9"/>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2.总人数30-49名及以上的，得3分；</w:t>
            </w:r>
          </w:p>
          <w:p>
            <w:pPr>
              <w:widowControl w:val="0"/>
              <w:spacing w:afterLines="0" w:line="240" w:lineRule="auto"/>
              <w:jc w:val="left"/>
              <w:outlineLvl w:val="9"/>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3.总人数20-29名，得2分；</w:t>
            </w:r>
          </w:p>
          <w:p>
            <w:pPr>
              <w:widowControl w:val="0"/>
              <w:spacing w:afterLines="0" w:line="240" w:lineRule="auto"/>
              <w:jc w:val="left"/>
              <w:outlineLvl w:val="9"/>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4.总人数10-19名，得1分；</w:t>
            </w:r>
          </w:p>
          <w:p>
            <w:pPr>
              <w:widowControl w:val="0"/>
              <w:spacing w:afterLines="0" w:line="240" w:lineRule="auto"/>
              <w:jc w:val="left"/>
              <w:outlineLvl w:val="9"/>
              <w:rPr>
                <w:rFonts w:hint="eastAsia" w:ascii="仿宋_GB2312" w:hAnsi="仿宋_GB2312" w:eastAsia="仿宋_GB2312" w:cs="仿宋_GB2312"/>
                <w:b w:val="0"/>
                <w:bCs w:val="0"/>
                <w:color w:val="auto"/>
                <w:sz w:val="18"/>
                <w:szCs w:val="18"/>
                <w:highlight w:val="none"/>
                <w:lang w:eastAsia="zh-CN"/>
              </w:rPr>
            </w:pPr>
            <w:r>
              <w:rPr>
                <w:rFonts w:hint="eastAsia" w:ascii="仿宋_GB2312" w:hAnsi="仿宋_GB2312" w:eastAsia="仿宋_GB2312" w:cs="Times New Roman"/>
                <w:b w:val="0"/>
                <w:bCs w:val="0"/>
                <w:color w:val="auto"/>
                <w:kern w:val="2"/>
                <w:sz w:val="18"/>
                <w:szCs w:val="18"/>
                <w:highlight w:val="none"/>
                <w:lang w:val="en-US" w:eastAsia="zh-CN" w:bidi="ar-SA"/>
              </w:rPr>
              <w:t>5.总人数9名及以下，不得分。</w:t>
            </w:r>
          </w:p>
        </w:tc>
        <w:tc>
          <w:tcPr>
            <w:tcW w:w="1158" w:type="dxa"/>
            <w:tcMar>
              <w:top w:w="10" w:type="dxa"/>
              <w:left w:w="10" w:type="dxa"/>
              <w:right w:w="10" w:type="dxa"/>
            </w:tcMar>
            <w:vAlign w:val="center"/>
          </w:tcPr>
          <w:p>
            <w:pPr>
              <w:adjustRightInd w:val="0"/>
              <w:snapToGrid w:val="0"/>
              <w:jc w:val="center"/>
              <w:textAlignment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814" w:type="dxa"/>
            <w:noWrap/>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b w:val="0"/>
                <w:bCs w:val="0"/>
                <w:color w:val="auto"/>
                <w:sz w:val="18"/>
                <w:szCs w:val="18"/>
                <w:highlight w:val="none"/>
                <w:lang w:eastAsia="zh-CN"/>
              </w:rPr>
            </w:pPr>
            <w:r>
              <w:rPr>
                <w:rFonts w:hint="eastAsia" w:ascii="仿宋_GB2312" w:hAnsi="仿宋_GB2312" w:eastAsia="仿宋_GB2312"/>
                <w:b w:val="0"/>
                <w:bCs w:val="0"/>
                <w:color w:val="auto"/>
                <w:sz w:val="18"/>
                <w:szCs w:val="18"/>
                <w:highlight w:val="none"/>
                <w:lang w:val="en-US" w:eastAsia="zh-CN"/>
              </w:rPr>
              <w:t>3</w:t>
            </w:r>
          </w:p>
        </w:tc>
        <w:tc>
          <w:tcPr>
            <w:tcW w:w="1414" w:type="dxa"/>
            <w:vMerge w:val="continue"/>
            <w:tcMar>
              <w:top w:w="10" w:type="dxa"/>
              <w:left w:w="10" w:type="dxa"/>
              <w:right w:w="10" w:type="dxa"/>
            </w:tcMar>
            <w:vAlign w:val="center"/>
          </w:tcPr>
          <w:p>
            <w:pPr>
              <w:pStyle w:val="16"/>
              <w:widowControl w:val="0"/>
              <w:adjustRightInd w:val="0"/>
              <w:snapToGrid w:val="0"/>
              <w:jc w:val="center"/>
              <w:rPr>
                <w:rFonts w:ascii="仿宋_GB2312" w:hAnsi="仿宋_GB2312" w:eastAsia="仿宋_GB2312"/>
                <w:b w:val="0"/>
                <w:bCs w:val="0"/>
                <w:color w:val="auto"/>
                <w:sz w:val="18"/>
                <w:szCs w:val="18"/>
                <w:highlight w:val="none"/>
              </w:rPr>
            </w:pPr>
          </w:p>
        </w:tc>
        <w:tc>
          <w:tcPr>
            <w:tcW w:w="1672" w:type="dxa"/>
            <w:tcMar>
              <w:top w:w="10" w:type="dxa"/>
              <w:left w:w="10" w:type="dxa"/>
              <w:right w:w="10" w:type="dxa"/>
            </w:tcMar>
            <w:vAlign w:val="center"/>
          </w:tcPr>
          <w:p>
            <w:pPr>
              <w:widowControl w:val="0"/>
              <w:spacing w:line="240" w:lineRule="auto"/>
              <w:jc w:val="center"/>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kern w:val="2"/>
                <w:sz w:val="18"/>
                <w:szCs w:val="18"/>
                <w:highlight w:val="none"/>
                <w:lang w:val="en-US" w:eastAsia="zh-CN"/>
              </w:rPr>
              <w:t>企业人员数量</w:t>
            </w:r>
          </w:p>
        </w:tc>
        <w:tc>
          <w:tcPr>
            <w:tcW w:w="4778"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w w:val="100"/>
                <w:kern w:val="2"/>
                <w:sz w:val="18"/>
                <w:szCs w:val="18"/>
                <w:highlight w:val="none"/>
                <w:lang w:val="en-US" w:eastAsia="zh-CN" w:bidi="ar-SA"/>
              </w:rPr>
            </w:pPr>
            <w:r>
              <w:rPr>
                <w:rFonts w:hint="eastAsia" w:ascii="仿宋_GB2312" w:hAnsi="仿宋_GB2312" w:eastAsia="仿宋_GB2312" w:cs="仿宋_GB2312"/>
                <w:b w:val="0"/>
                <w:bCs w:val="0"/>
                <w:color w:val="auto"/>
                <w:kern w:val="2"/>
                <w:sz w:val="18"/>
                <w:szCs w:val="18"/>
                <w:highlight w:val="none"/>
                <w:lang w:val="en-US" w:eastAsia="zh-CN"/>
              </w:rPr>
              <w:t>提供社保证明</w:t>
            </w:r>
            <w:r>
              <w:rPr>
                <w:rFonts w:hint="eastAsia" w:ascii="仿宋_GB2312" w:hAnsi="仿宋_GB2312" w:eastAsia="仿宋_GB2312" w:cs="仿宋_GB2312"/>
                <w:b w:val="0"/>
                <w:bCs w:val="0"/>
                <w:color w:val="auto"/>
                <w:kern w:val="2"/>
                <w:sz w:val="18"/>
                <w:szCs w:val="18"/>
                <w:highlight w:val="none"/>
                <w:lang w:eastAsia="zh-CN"/>
              </w:rPr>
              <w:t>。</w:t>
            </w:r>
          </w:p>
        </w:tc>
        <w:tc>
          <w:tcPr>
            <w:tcW w:w="3472" w:type="dxa"/>
            <w:shd w:val="clear" w:color="auto" w:fill="auto"/>
            <w:tcMar>
              <w:top w:w="10" w:type="dxa"/>
              <w:left w:w="10" w:type="dxa"/>
              <w:right w:w="10" w:type="dxa"/>
            </w:tcMar>
            <w:vAlign w:val="center"/>
          </w:tcPr>
          <w:p>
            <w:pPr>
              <w:widowControl w:val="0"/>
              <w:spacing w:afterLines="0" w:line="240" w:lineRule="auto"/>
              <w:jc w:val="left"/>
              <w:outlineLvl w:val="9"/>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olor w:val="auto"/>
                <w:sz w:val="18"/>
                <w:szCs w:val="18"/>
                <w:highlight w:val="none"/>
              </w:rPr>
              <w:t>须在</w:t>
            </w:r>
            <w:r>
              <w:rPr>
                <w:rFonts w:hint="eastAsia" w:ascii="仿宋_GB2312" w:hAnsi="仿宋_GB2312" w:eastAsia="仿宋_GB2312"/>
                <w:color w:val="auto"/>
                <w:sz w:val="18"/>
                <w:szCs w:val="18"/>
                <w:highlight w:val="none"/>
                <w:lang w:val="en-US" w:eastAsia="zh-CN"/>
              </w:rPr>
              <w:t>安居集团</w:t>
            </w:r>
            <w:r>
              <w:rPr>
                <w:rFonts w:hint="eastAsia" w:ascii="仿宋_GB2312" w:hAnsi="仿宋_GB2312" w:eastAsia="仿宋_GB2312"/>
                <w:color w:val="auto"/>
                <w:sz w:val="18"/>
                <w:szCs w:val="18"/>
                <w:highlight w:val="none"/>
              </w:rPr>
              <w:t>项目对应社保统筹管辖范围内正常参保，</w:t>
            </w:r>
            <w:r>
              <w:rPr>
                <w:rFonts w:hint="eastAsia" w:ascii="仿宋_GB2312" w:hAnsi="仿宋_GB2312" w:eastAsia="仿宋_GB2312" w:cs="Times New Roman"/>
                <w:b w:val="0"/>
                <w:bCs w:val="0"/>
                <w:color w:val="auto"/>
                <w:kern w:val="2"/>
                <w:sz w:val="18"/>
                <w:szCs w:val="18"/>
                <w:highlight w:val="none"/>
                <w:lang w:val="en-US" w:eastAsia="zh-CN" w:bidi="ar-SA"/>
              </w:rPr>
              <w:t>提供社保机构出具的最近一个月参保人数证明文件。</w:t>
            </w:r>
          </w:p>
        </w:tc>
        <w:tc>
          <w:tcPr>
            <w:tcW w:w="6985" w:type="dxa"/>
            <w:shd w:val="clear" w:color="auto" w:fill="auto"/>
            <w:tcMar>
              <w:top w:w="10" w:type="dxa"/>
              <w:left w:w="10" w:type="dxa"/>
              <w:right w:w="10" w:type="dxa"/>
            </w:tcMar>
            <w:vAlign w:val="center"/>
          </w:tcPr>
          <w:p>
            <w:pPr>
              <w:widowControl w:val="0"/>
              <w:spacing w:afterLines="0" w:line="240" w:lineRule="auto"/>
              <w:jc w:val="left"/>
              <w:outlineLvl w:val="9"/>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缴纳社保的人员数量情况：</w:t>
            </w:r>
          </w:p>
          <w:p>
            <w:pPr>
              <w:widowControl w:val="0"/>
              <w:spacing w:afterLines="0" w:line="240" w:lineRule="auto"/>
              <w:jc w:val="left"/>
              <w:outlineLvl w:val="9"/>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1.总人数150名及以上的，得2分；</w:t>
            </w:r>
          </w:p>
          <w:p>
            <w:pPr>
              <w:widowControl w:val="0"/>
              <w:spacing w:afterLines="0" w:line="240" w:lineRule="auto"/>
              <w:jc w:val="left"/>
              <w:outlineLvl w:val="9"/>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2.总人数100-149名，得1分；</w:t>
            </w:r>
          </w:p>
          <w:p>
            <w:pPr>
              <w:widowControl w:val="0"/>
              <w:spacing w:afterLines="0" w:line="240" w:lineRule="auto"/>
              <w:jc w:val="left"/>
              <w:outlineLvl w:val="9"/>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3.总人数50-99名，得0.5分；</w:t>
            </w:r>
          </w:p>
          <w:p>
            <w:pPr>
              <w:jc w:val="left"/>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cs="Times New Roman"/>
                <w:b w:val="0"/>
                <w:bCs w:val="0"/>
                <w:color w:val="auto"/>
                <w:kern w:val="2"/>
                <w:sz w:val="18"/>
                <w:szCs w:val="18"/>
                <w:highlight w:val="none"/>
                <w:lang w:val="en-US" w:eastAsia="zh-CN" w:bidi="ar-SA"/>
              </w:rPr>
              <w:t>4.总人数49名及以下，不得分。</w:t>
            </w:r>
          </w:p>
        </w:tc>
        <w:tc>
          <w:tcPr>
            <w:tcW w:w="1158" w:type="dxa"/>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cstheme="minorBidi"/>
                <w:b w:val="0"/>
                <w:bCs w:val="0"/>
                <w:color w:val="auto"/>
                <w:kern w:val="2"/>
                <w:sz w:val="18"/>
                <w:szCs w:val="18"/>
                <w:highlight w:val="none"/>
                <w:lang w:val="en-US" w:eastAsia="zh-CN" w:bidi="ar-SA"/>
              </w:rPr>
            </w:pPr>
            <w:r>
              <w:rPr>
                <w:rFonts w:hint="eastAsia" w:ascii="仿宋_GB2312" w:hAnsi="仿宋_GB2312" w:eastAsia="仿宋_GB2312"/>
                <w:b w:val="0"/>
                <w:bCs w:val="0"/>
                <w:color w:val="auto"/>
                <w:sz w:val="18"/>
                <w:szCs w:val="1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814" w:type="dxa"/>
            <w:noWrap/>
            <w:tcMar>
              <w:top w:w="10" w:type="dxa"/>
              <w:left w:w="10" w:type="dxa"/>
              <w:right w:w="10" w:type="dxa"/>
            </w:tcMar>
            <w:vAlign w:val="center"/>
          </w:tcPr>
          <w:p>
            <w:pPr>
              <w:adjustRightInd w:val="0"/>
              <w:snapToGrid w:val="0"/>
              <w:jc w:val="center"/>
              <w:textAlignment w:val="center"/>
              <w:rPr>
                <w:rFonts w:hint="eastAsia" w:ascii="仿宋_GB2312" w:hAnsi="仿宋_GB2312" w:eastAsia="仿宋_GB2312"/>
                <w:b w:val="0"/>
                <w:bCs w:val="0"/>
                <w:color w:val="auto"/>
                <w:sz w:val="18"/>
                <w:szCs w:val="18"/>
                <w:highlight w:val="none"/>
                <w:lang w:eastAsia="zh-CN"/>
              </w:rPr>
            </w:pPr>
            <w:r>
              <w:rPr>
                <w:rFonts w:hint="eastAsia" w:ascii="仿宋_GB2312" w:hAnsi="仿宋_GB2312" w:eastAsia="仿宋_GB2312"/>
                <w:b w:val="0"/>
                <w:bCs w:val="0"/>
                <w:color w:val="auto"/>
                <w:sz w:val="18"/>
                <w:szCs w:val="18"/>
                <w:highlight w:val="none"/>
                <w:lang w:val="en-US" w:eastAsia="zh-CN"/>
              </w:rPr>
              <w:t>4</w:t>
            </w:r>
          </w:p>
        </w:tc>
        <w:tc>
          <w:tcPr>
            <w:tcW w:w="1414" w:type="dxa"/>
            <w:vMerge w:val="continue"/>
            <w:tcMar>
              <w:top w:w="10" w:type="dxa"/>
              <w:left w:w="10" w:type="dxa"/>
              <w:right w:w="10" w:type="dxa"/>
            </w:tcMar>
            <w:vAlign w:val="center"/>
          </w:tcPr>
          <w:p>
            <w:pPr>
              <w:pStyle w:val="16"/>
              <w:widowControl w:val="0"/>
              <w:adjustRightInd w:val="0"/>
              <w:snapToGrid w:val="0"/>
              <w:jc w:val="center"/>
              <w:rPr>
                <w:rFonts w:ascii="仿宋_GB2312" w:hAnsi="仿宋_GB2312" w:eastAsia="仿宋_GB2312"/>
                <w:b w:val="0"/>
                <w:bCs w:val="0"/>
                <w:color w:val="auto"/>
                <w:sz w:val="18"/>
                <w:szCs w:val="18"/>
                <w:highlight w:val="none"/>
              </w:rPr>
            </w:pPr>
          </w:p>
        </w:tc>
        <w:tc>
          <w:tcPr>
            <w:tcW w:w="1672"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房建类业绩</w:t>
            </w:r>
          </w:p>
          <w:p>
            <w:pPr>
              <w:widowControl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(近2年)</w:t>
            </w:r>
          </w:p>
        </w:tc>
        <w:tc>
          <w:tcPr>
            <w:tcW w:w="4778" w:type="dxa"/>
            <w:tcMar>
              <w:top w:w="10" w:type="dxa"/>
              <w:left w:w="10" w:type="dxa"/>
              <w:right w:w="10" w:type="dxa"/>
            </w:tcMar>
            <w:vAlign w:val="center"/>
          </w:tcPr>
          <w:p>
            <w:pPr>
              <w:widowControl w:val="0"/>
              <w:spacing w:afterLines="-2147483648" w:line="240" w:lineRule="auto"/>
              <w:jc w:val="left"/>
              <w:outlineLvl w:val="9"/>
              <w:rPr>
                <w:rFonts w:hint="eastAsia" w:ascii="仿宋_GB2312" w:hAnsi="仿宋_GB2312" w:eastAsia="仿宋_GB2312" w:cs="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提供</w:t>
            </w:r>
            <w:r>
              <w:rPr>
                <w:rFonts w:hint="eastAsia" w:ascii="仿宋_GB2312" w:hAnsi="仿宋_GB2312" w:eastAsia="仿宋_GB2312" w:cs="仿宋_GB2312"/>
                <w:b w:val="0"/>
                <w:bCs w:val="0"/>
                <w:color w:val="auto"/>
                <w:sz w:val="18"/>
                <w:szCs w:val="18"/>
                <w:highlight w:val="none"/>
              </w:rPr>
              <w:t>近</w:t>
            </w:r>
            <w:r>
              <w:rPr>
                <w:rFonts w:hint="eastAsia" w:ascii="仿宋_GB2312" w:hAnsi="仿宋_GB2312" w:eastAsia="仿宋_GB2312" w:cs="仿宋_GB2312"/>
                <w:b w:val="0"/>
                <w:bCs w:val="0"/>
                <w:color w:val="auto"/>
                <w:sz w:val="18"/>
                <w:szCs w:val="18"/>
                <w:highlight w:val="none"/>
                <w:lang w:val="en-US" w:eastAsia="zh-CN"/>
              </w:rPr>
              <w:t>2</w:t>
            </w:r>
            <w:r>
              <w:rPr>
                <w:rFonts w:hint="eastAsia" w:ascii="仿宋_GB2312" w:hAnsi="仿宋_GB2312" w:eastAsia="仿宋_GB2312" w:cs="仿宋_GB2312"/>
                <w:b w:val="0"/>
                <w:bCs w:val="0"/>
                <w:color w:val="auto"/>
                <w:sz w:val="18"/>
                <w:szCs w:val="18"/>
                <w:highlight w:val="none"/>
              </w:rPr>
              <w:t>年作为</w:t>
            </w:r>
            <w:r>
              <w:rPr>
                <w:rFonts w:hint="eastAsia" w:ascii="仿宋_GB2312" w:hAnsi="仿宋_GB2312" w:eastAsia="仿宋_GB2312" w:cs="仿宋_GB2312"/>
                <w:b w:val="0"/>
                <w:bCs w:val="0"/>
                <w:color w:val="auto"/>
                <w:sz w:val="18"/>
                <w:szCs w:val="18"/>
                <w:highlight w:val="none"/>
                <w:lang w:val="en-US" w:eastAsia="zh-CN"/>
              </w:rPr>
              <w:t>全过程设计</w:t>
            </w:r>
            <w:r>
              <w:rPr>
                <w:rFonts w:hint="eastAsia" w:ascii="仿宋_GB2312" w:hAnsi="仿宋_GB2312" w:eastAsia="仿宋_GB2312" w:cs="仿宋_GB2312"/>
                <w:b w:val="0"/>
                <w:bCs w:val="0"/>
                <w:color w:val="auto"/>
                <w:sz w:val="18"/>
                <w:szCs w:val="18"/>
                <w:highlight w:val="none"/>
              </w:rPr>
              <w:t>服务单位，</w:t>
            </w:r>
            <w:r>
              <w:rPr>
                <w:rFonts w:hint="eastAsia" w:ascii="仿宋_GB2312" w:hAnsi="仿宋_GB2312" w:eastAsia="仿宋_GB2312" w:cs="仿宋_GB2312"/>
                <w:b w:val="0"/>
                <w:bCs w:val="0"/>
                <w:color w:val="auto"/>
                <w:sz w:val="18"/>
                <w:szCs w:val="18"/>
                <w:highlight w:val="none"/>
                <w:lang w:eastAsia="zh-CN"/>
              </w:rPr>
              <w:t>房建类</w:t>
            </w:r>
            <w:r>
              <w:rPr>
                <w:rFonts w:hint="eastAsia" w:ascii="仿宋_GB2312" w:hAnsi="仿宋_GB2312" w:eastAsia="仿宋_GB2312" w:cs="仿宋_GB2312"/>
                <w:b w:val="0"/>
                <w:bCs w:val="0"/>
                <w:color w:val="auto"/>
                <w:sz w:val="18"/>
                <w:szCs w:val="18"/>
                <w:highlight w:val="none"/>
              </w:rPr>
              <w:t>业绩</w:t>
            </w:r>
            <w:r>
              <w:rPr>
                <w:rFonts w:hint="eastAsia" w:ascii="仿宋_GB2312" w:hAnsi="仿宋_GB2312" w:eastAsia="仿宋_GB2312" w:cs="仿宋_GB2312"/>
                <w:b w:val="0"/>
                <w:bCs w:val="0"/>
                <w:color w:val="auto"/>
                <w:sz w:val="18"/>
                <w:szCs w:val="18"/>
                <w:highlight w:val="none"/>
                <w:lang w:val="en-US" w:eastAsia="zh-CN"/>
              </w:rPr>
              <w:t>合同原件扫描件及其他证明材料</w:t>
            </w:r>
            <w:r>
              <w:rPr>
                <w:rFonts w:hint="eastAsia" w:ascii="仿宋_GB2312" w:hAnsi="仿宋_GB2312" w:eastAsia="仿宋_GB2312" w:cs="仿宋_GB2312"/>
                <w:b w:val="0"/>
                <w:bCs w:val="0"/>
                <w:color w:val="auto"/>
                <w:sz w:val="18"/>
                <w:szCs w:val="18"/>
                <w:highlight w:val="none"/>
              </w:rPr>
              <w:t>，在建或已完成均可。</w:t>
            </w:r>
          </w:p>
        </w:tc>
        <w:tc>
          <w:tcPr>
            <w:tcW w:w="3472" w:type="dxa"/>
            <w:tcMar>
              <w:top w:w="10" w:type="dxa"/>
              <w:left w:w="10" w:type="dxa"/>
              <w:right w:w="10" w:type="dxa"/>
            </w:tcMar>
            <w:vAlign w:val="center"/>
          </w:tcPr>
          <w:p>
            <w:pPr>
              <w:widowControl w:val="0"/>
              <w:spacing w:afterLines="-2147483648" w:line="240" w:lineRule="auto"/>
              <w:jc w:val="left"/>
              <w:outlineLvl w:val="9"/>
              <w:rPr>
                <w:rFonts w:hint="eastAsia" w:ascii="仿宋_GB2312" w:hAnsi="仿宋_GB2312" w:eastAsia="仿宋_GB2312" w:cs="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对项目名称、项目所在地、合同签订时间、合同服务内容、项目总建筑面积等信息进行标注。</w:t>
            </w:r>
          </w:p>
        </w:tc>
        <w:tc>
          <w:tcPr>
            <w:tcW w:w="6985"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kern w:val="2"/>
                <w:sz w:val="18"/>
                <w:szCs w:val="18"/>
                <w:highlight w:val="none"/>
                <w:lang w:val="en-US" w:eastAsia="zh-CN" w:bidi="ar-SA"/>
              </w:rPr>
              <w:t>根据企业近2年作为建筑</w:t>
            </w:r>
            <w:r>
              <w:rPr>
                <w:rFonts w:hint="eastAsia" w:ascii="仿宋_GB2312" w:hAnsi="仿宋_GB2312" w:eastAsia="仿宋_GB2312" w:cs="仿宋_GB2312"/>
                <w:b w:val="0"/>
                <w:bCs w:val="0"/>
                <w:color w:val="auto"/>
                <w:sz w:val="18"/>
                <w:szCs w:val="18"/>
                <w:highlight w:val="none"/>
                <w:lang w:val="en-US" w:eastAsia="zh-CN"/>
              </w:rPr>
              <w:t>全过程</w:t>
            </w:r>
            <w:r>
              <w:rPr>
                <w:rFonts w:hint="eastAsia" w:ascii="仿宋_GB2312" w:hAnsi="仿宋_GB2312" w:eastAsia="仿宋_GB2312" w:cs="仿宋_GB2312"/>
                <w:b w:val="0"/>
                <w:bCs w:val="0"/>
                <w:color w:val="auto"/>
                <w:kern w:val="2"/>
                <w:sz w:val="18"/>
                <w:szCs w:val="18"/>
                <w:highlight w:val="none"/>
                <w:lang w:val="en-US" w:eastAsia="zh-CN" w:bidi="ar-SA"/>
              </w:rPr>
              <w:t>设计服务单位，在房屋建筑设计类似业绩情况进行评分：</w:t>
            </w:r>
          </w:p>
          <w:p>
            <w:pPr>
              <w:widowControl w:val="0"/>
              <w:spacing w:line="240" w:lineRule="auto"/>
              <w:jc w:val="left"/>
              <w:rPr>
                <w:rFonts w:hint="eastAsia" w:ascii="仿宋_GB2312" w:hAnsi="仿宋_GB2312" w:eastAsia="仿宋_GB2312" w:cs="仿宋_GB2312"/>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kern w:val="2"/>
                <w:sz w:val="18"/>
                <w:szCs w:val="18"/>
                <w:highlight w:val="none"/>
                <w:lang w:val="en-US" w:eastAsia="zh-CN" w:bidi="ar-SA"/>
              </w:rPr>
              <w:t>1.单个项目总建筑面积在30万平方米及以上的，得1分/项；</w:t>
            </w:r>
          </w:p>
          <w:p>
            <w:pPr>
              <w:widowControl w:val="0"/>
              <w:spacing w:line="240" w:lineRule="auto"/>
              <w:jc w:val="left"/>
              <w:rPr>
                <w:rFonts w:hint="eastAsia" w:ascii="仿宋_GB2312" w:hAnsi="仿宋_GB2312" w:eastAsia="仿宋_GB2312" w:cs="仿宋_GB2312"/>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kern w:val="2"/>
                <w:sz w:val="18"/>
                <w:szCs w:val="18"/>
                <w:highlight w:val="none"/>
                <w:lang w:val="en-US" w:eastAsia="zh-CN" w:bidi="ar-SA"/>
              </w:rPr>
              <w:t>2.单个项目总建筑面积在20万（含）-30万平方米的，得0.5分/项；</w:t>
            </w:r>
          </w:p>
          <w:p>
            <w:pPr>
              <w:widowControl w:val="0"/>
              <w:spacing w:line="240" w:lineRule="auto"/>
              <w:jc w:val="left"/>
              <w:rPr>
                <w:rFonts w:hint="eastAsia" w:ascii="仿宋_GB2312" w:hAnsi="仿宋_GB2312" w:eastAsia="仿宋_GB2312" w:cs="仿宋_GB2312"/>
                <w:b w:val="0"/>
                <w:bCs w:val="0"/>
                <w:color w:val="auto"/>
                <w:sz w:val="18"/>
                <w:szCs w:val="18"/>
                <w:highlight w:val="none"/>
              </w:rPr>
            </w:pPr>
            <w:r>
              <w:rPr>
                <w:rFonts w:hint="eastAsia" w:ascii="仿宋_GB2312" w:hAnsi="仿宋_GB2312" w:eastAsia="仿宋_GB2312" w:cs="仿宋_GB2312"/>
                <w:b w:val="0"/>
                <w:bCs w:val="0"/>
                <w:color w:val="auto"/>
                <w:kern w:val="2"/>
                <w:sz w:val="18"/>
                <w:szCs w:val="18"/>
                <w:highlight w:val="none"/>
                <w:lang w:val="en-US" w:eastAsia="zh-CN" w:bidi="ar-SA"/>
              </w:rPr>
              <w:t>3.单个项目总建筑面积在10万（含）-20万平方米的，得0.3分/项。</w:t>
            </w:r>
          </w:p>
        </w:tc>
        <w:tc>
          <w:tcPr>
            <w:tcW w:w="1158" w:type="dxa"/>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Times New Roman"/>
                <w:b w:val="0"/>
                <w:bCs w:val="0"/>
                <w:color w:val="auto"/>
                <w:kern w:val="2"/>
                <w:sz w:val="18"/>
                <w:szCs w:val="1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814" w:type="dxa"/>
            <w:noWrap/>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5</w:t>
            </w:r>
          </w:p>
        </w:tc>
        <w:tc>
          <w:tcPr>
            <w:tcW w:w="1414" w:type="dxa"/>
            <w:tcMar>
              <w:top w:w="10" w:type="dxa"/>
              <w:left w:w="10" w:type="dxa"/>
              <w:right w:w="10" w:type="dxa"/>
            </w:tcMar>
            <w:vAlign w:val="center"/>
          </w:tcPr>
          <w:p>
            <w:pPr>
              <w:widowControl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信用等级</w:t>
            </w:r>
          </w:p>
          <w:p>
            <w:pPr>
              <w:widowControl w:val="0"/>
              <w:spacing w:line="240" w:lineRule="auto"/>
              <w:jc w:val="center"/>
              <w:rPr>
                <w:rFonts w:hint="default"/>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（5分）</w:t>
            </w:r>
          </w:p>
        </w:tc>
        <w:tc>
          <w:tcPr>
            <w:tcW w:w="1672" w:type="dxa"/>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企业信用等级</w:t>
            </w:r>
          </w:p>
        </w:tc>
        <w:tc>
          <w:tcPr>
            <w:tcW w:w="4778" w:type="dxa"/>
            <w:tcMar>
              <w:top w:w="10" w:type="dxa"/>
              <w:left w:w="10" w:type="dxa"/>
              <w:right w:w="10" w:type="dxa"/>
            </w:tcMar>
            <w:vAlign w:val="center"/>
          </w:tcPr>
          <w:p>
            <w:pPr>
              <w:widowControl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提供最近一期建筑行业信用评价系统截图（https://www.gdzwfw.gov.cn/portal/v2/legal/hot）。</w:t>
            </w:r>
          </w:p>
        </w:tc>
        <w:tc>
          <w:tcPr>
            <w:tcW w:w="3472" w:type="dxa"/>
            <w:tcMar>
              <w:top w:w="10" w:type="dxa"/>
              <w:left w:w="10" w:type="dxa"/>
              <w:right w:w="10" w:type="dxa"/>
            </w:tcMar>
            <w:vAlign w:val="center"/>
          </w:tcPr>
          <w:p>
            <w:pPr>
              <w:widowControl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证明资料应能清晰反映关键信息，截图应体现单位名称、计算时间、在深圳市建筑市场主体信用管理系统中建筑设计类信用等级等主要信息。</w:t>
            </w:r>
          </w:p>
        </w:tc>
        <w:tc>
          <w:tcPr>
            <w:tcW w:w="6985" w:type="dxa"/>
            <w:tcMar>
              <w:top w:w="10" w:type="dxa"/>
              <w:left w:w="10" w:type="dxa"/>
              <w:right w:w="10" w:type="dxa"/>
            </w:tcMar>
            <w:vAlign w:val="center"/>
          </w:tcPr>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根据在深圳市建筑市场主体信用管理系统中建筑设计类信用等级进行评分：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1.等级为A，得5分；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2.等级为B+，得4分；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3.等级为B，得3分；</w:t>
            </w:r>
          </w:p>
          <w:p>
            <w:pPr>
              <w:widowControl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4.等级为C，得1分；</w:t>
            </w:r>
          </w:p>
          <w:p>
            <w:pPr>
              <w:widowControl w:val="0"/>
              <w:spacing w:line="240" w:lineRule="auto"/>
              <w:jc w:val="left"/>
              <w:rPr>
                <w:rFonts w:hint="eastAsia" w:ascii="仿宋_GB2312" w:hAnsi="仿宋_GB2312" w:eastAsia="仿宋_GB2312"/>
                <w:b w:val="0"/>
                <w:bCs w:val="0"/>
                <w:color w:val="auto"/>
                <w:sz w:val="18"/>
                <w:szCs w:val="18"/>
                <w:highlight w:val="none"/>
                <w:u w:val="single"/>
              </w:rPr>
            </w:pPr>
            <w:r>
              <w:rPr>
                <w:rFonts w:hint="eastAsia" w:ascii="仿宋_GB2312" w:hAnsi="仿宋_GB2312" w:eastAsia="仿宋_GB2312" w:cs="仿宋_GB2312"/>
                <w:b w:val="0"/>
                <w:bCs w:val="0"/>
                <w:color w:val="auto"/>
                <w:sz w:val="18"/>
                <w:szCs w:val="18"/>
                <w:highlight w:val="none"/>
                <w:lang w:val="en-US" w:eastAsia="zh-CN"/>
              </w:rPr>
              <w:t>等级为D或未提不得分。</w:t>
            </w:r>
          </w:p>
        </w:tc>
        <w:tc>
          <w:tcPr>
            <w:tcW w:w="1158" w:type="dxa"/>
            <w:tcMar>
              <w:top w:w="10" w:type="dxa"/>
              <w:left w:w="10" w:type="dxa"/>
              <w:right w:w="10" w:type="dxa"/>
            </w:tcMar>
            <w:vAlign w:val="center"/>
          </w:tcPr>
          <w:p>
            <w:pPr>
              <w:widowControl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814" w:type="dxa"/>
            <w:noWrap/>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6</w:t>
            </w:r>
          </w:p>
        </w:tc>
        <w:tc>
          <w:tcPr>
            <w:tcW w:w="1414" w:type="dxa"/>
            <w:vMerge w:val="restart"/>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经营状况</w:t>
            </w:r>
          </w:p>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(5分)</w:t>
            </w:r>
          </w:p>
        </w:tc>
        <w:tc>
          <w:tcPr>
            <w:tcW w:w="167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近1年负债率</w:t>
            </w:r>
          </w:p>
        </w:tc>
        <w:tc>
          <w:tcPr>
            <w:tcW w:w="4778"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提供2025年经审计的第三方财务报告（报告页需含防伪二维码，财务报表页需有公司签章）</w:t>
            </w:r>
          </w:p>
        </w:tc>
        <w:tc>
          <w:tcPr>
            <w:tcW w:w="347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1.计算公式：负债率=负债总额÷资产总额×100%</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2.需对财务报告中负债总额、资产总额进行标记。</w:t>
            </w:r>
          </w:p>
        </w:tc>
        <w:tc>
          <w:tcPr>
            <w:tcW w:w="6985"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与行业（或申报单位）平均值相比，</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1.低于平均值20%（含）以上得1分；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2.低于平均值10-20%（不含）以上得0.5分；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3.低于平均值0-10%（不含）以上得0.2分；高于平均值不得分。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rPr>
                <w:rFonts w:hint="eastAsia" w:ascii="仿宋_GB2312" w:hAnsi="仿宋_GB2312" w:eastAsia="仿宋_GB2312"/>
                <w:b w:val="0"/>
                <w:bCs w:val="0"/>
                <w:color w:val="auto"/>
                <w:sz w:val="18"/>
                <w:szCs w:val="18"/>
                <w:highlight w:val="none"/>
                <w:u w:val="single"/>
              </w:rPr>
            </w:pPr>
            <w:r>
              <w:rPr>
                <w:rFonts w:hint="eastAsia" w:ascii="仿宋_GB2312" w:hAnsi="仿宋_GB2312" w:eastAsia="仿宋_GB2312" w:cs="仿宋_GB2312"/>
                <w:b w:val="0"/>
                <w:bCs w:val="0"/>
                <w:color w:val="auto"/>
                <w:sz w:val="18"/>
                <w:szCs w:val="18"/>
                <w:highlight w:val="none"/>
                <w:lang w:val="en-US" w:eastAsia="zh-CN"/>
              </w:rPr>
              <w:t>例：若行业（或申报单位）平均值为75%，则供应商近1年负债率55%时得1分，近1年负债率56%时得0.5分。</w:t>
            </w:r>
          </w:p>
        </w:tc>
        <w:tc>
          <w:tcPr>
            <w:tcW w:w="1158"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8" w:hRule="atLeast"/>
        </w:trPr>
        <w:tc>
          <w:tcPr>
            <w:tcW w:w="814" w:type="dxa"/>
            <w:noWrap/>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7</w:t>
            </w:r>
          </w:p>
        </w:tc>
        <w:tc>
          <w:tcPr>
            <w:tcW w:w="1414"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仿宋_GB2312" w:eastAsia="仿宋_GB2312"/>
                <w:b w:val="0"/>
                <w:bCs w:val="0"/>
                <w:color w:val="auto"/>
                <w:sz w:val="18"/>
                <w:szCs w:val="18"/>
                <w:highlight w:val="none"/>
              </w:rPr>
            </w:pPr>
          </w:p>
        </w:tc>
        <w:tc>
          <w:tcPr>
            <w:tcW w:w="167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近1年净现金流</w:t>
            </w:r>
          </w:p>
        </w:tc>
        <w:tc>
          <w:tcPr>
            <w:tcW w:w="4778"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提供2025年经审计的第三方财务报告（报告页需含防伪二维码，财务报表页需有公司签章）</w:t>
            </w:r>
          </w:p>
        </w:tc>
        <w:tc>
          <w:tcPr>
            <w:tcW w:w="347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1.需对财务报告中净现金流进行标记，净现金流为经营性现金流量净额。</w:t>
            </w:r>
          </w:p>
        </w:tc>
        <w:tc>
          <w:tcPr>
            <w:tcW w:w="6985"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u w:val="single"/>
              </w:rPr>
            </w:pPr>
            <w:r>
              <w:rPr>
                <w:rFonts w:hint="eastAsia" w:ascii="仿宋_GB2312" w:hAnsi="仿宋_GB2312" w:eastAsia="仿宋_GB2312" w:cs="仿宋_GB2312"/>
                <w:b w:val="0"/>
                <w:bCs w:val="0"/>
                <w:color w:val="auto"/>
                <w:sz w:val="18"/>
                <w:szCs w:val="18"/>
                <w:highlight w:val="none"/>
                <w:lang w:val="en-US" w:eastAsia="zh-CN"/>
              </w:rPr>
              <w:t>经营性净现金流为正，得1分；经营性净现金流为负，不得分。</w:t>
            </w:r>
          </w:p>
        </w:tc>
        <w:tc>
          <w:tcPr>
            <w:tcW w:w="1158"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814" w:type="dxa"/>
            <w:noWrap/>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8</w:t>
            </w:r>
          </w:p>
        </w:tc>
        <w:tc>
          <w:tcPr>
            <w:tcW w:w="1414"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仿宋_GB2312" w:eastAsia="仿宋_GB2312"/>
                <w:b w:val="0"/>
                <w:bCs w:val="0"/>
                <w:color w:val="auto"/>
                <w:sz w:val="18"/>
                <w:szCs w:val="18"/>
                <w:highlight w:val="none"/>
              </w:rPr>
            </w:pPr>
          </w:p>
        </w:tc>
        <w:tc>
          <w:tcPr>
            <w:tcW w:w="167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短期债务偿还能力</w:t>
            </w:r>
          </w:p>
        </w:tc>
        <w:tc>
          <w:tcPr>
            <w:tcW w:w="4778"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提供2025年经审计的第三方财务报告（报告页需含防伪二维码，财务报表页需有公司签章）</w:t>
            </w:r>
          </w:p>
        </w:tc>
        <w:tc>
          <w:tcPr>
            <w:tcW w:w="347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1.计算公式：短期债务偿还能力=货币资金/（短期借款+一年内到期的非流动负债）</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2.需对财务报告中货币资金、短期借款、一年内到期的非流动负债进行标记。</w:t>
            </w:r>
          </w:p>
        </w:tc>
        <w:tc>
          <w:tcPr>
            <w:tcW w:w="6985"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与行业（或申报单位）平均值相比，</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1.高于平均值1.2倍（含）以上得1分；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2.高于平均值1.1倍（含）以上得0.5分；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3.高于平均值1倍（含）以上，或</w:t>
            </w:r>
            <w:r>
              <w:rPr>
                <w:rFonts w:hint="eastAsia" w:ascii="仿宋_GB2312" w:hAnsi="仿宋_GB2312" w:eastAsia="仿宋_GB2312" w:cs="仿宋_GB2312"/>
                <w:b w:val="0"/>
                <w:bCs w:val="0"/>
                <w:color w:val="auto"/>
                <w:sz w:val="18"/>
                <w:szCs w:val="18"/>
                <w:highlight w:val="none"/>
              </w:rPr>
              <w:t>低于平均值但短期债务偿还能力</w:t>
            </w:r>
            <w:r>
              <w:rPr>
                <w:rFonts w:hint="eastAsia" w:ascii="仿宋_GB2312" w:hAnsi="仿宋_GB2312" w:eastAsia="仿宋_GB2312" w:cs="仿宋_GB2312"/>
                <w:b w:val="0"/>
                <w:bCs w:val="0"/>
                <w:color w:val="auto"/>
                <w:sz w:val="18"/>
                <w:szCs w:val="18"/>
                <w:highlight w:val="none"/>
                <w:lang w:val="en-US" w:eastAsia="zh-CN"/>
              </w:rPr>
              <w:t>大于</w:t>
            </w:r>
            <w:r>
              <w:rPr>
                <w:rFonts w:hint="eastAsia" w:ascii="仿宋_GB2312" w:hAnsi="仿宋_GB2312" w:eastAsia="仿宋_GB2312" w:cs="仿宋_GB2312"/>
                <w:b w:val="0"/>
                <w:bCs w:val="0"/>
                <w:color w:val="auto"/>
                <w:sz w:val="18"/>
                <w:szCs w:val="18"/>
                <w:highlight w:val="none"/>
              </w:rPr>
              <w:t>1</w:t>
            </w:r>
            <w:r>
              <w:rPr>
                <w:rFonts w:hint="eastAsia" w:ascii="仿宋_GB2312" w:hAnsi="仿宋_GB2312" w:eastAsia="仿宋_GB2312" w:cs="仿宋_GB2312"/>
                <w:b w:val="0"/>
                <w:bCs w:val="0"/>
                <w:color w:val="auto"/>
                <w:sz w:val="18"/>
                <w:szCs w:val="18"/>
                <w:highlight w:val="none"/>
                <w:lang w:eastAsia="zh-CN"/>
              </w:rPr>
              <w:t>，</w:t>
            </w:r>
            <w:r>
              <w:rPr>
                <w:rFonts w:hint="eastAsia" w:ascii="仿宋_GB2312" w:hAnsi="仿宋_GB2312" w:eastAsia="仿宋_GB2312" w:cs="仿宋_GB2312"/>
                <w:b w:val="0"/>
                <w:bCs w:val="0"/>
                <w:color w:val="auto"/>
                <w:sz w:val="18"/>
                <w:szCs w:val="18"/>
                <w:highlight w:val="none"/>
                <w:lang w:val="en-US" w:eastAsia="zh-CN"/>
              </w:rPr>
              <w:t>得0.2分；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4.其余情形不得分。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rPr>
                <w:rFonts w:hint="eastAsia" w:ascii="仿宋_GB2312" w:hAnsi="仿宋_GB2312" w:eastAsia="仿宋_GB2312"/>
                <w:b w:val="0"/>
                <w:bCs w:val="0"/>
                <w:color w:val="auto"/>
                <w:sz w:val="18"/>
                <w:szCs w:val="18"/>
                <w:highlight w:val="none"/>
                <w:u w:val="single"/>
              </w:rPr>
            </w:pPr>
            <w:r>
              <w:rPr>
                <w:rFonts w:hint="eastAsia" w:ascii="仿宋_GB2312" w:hAnsi="仿宋_GB2312" w:eastAsia="仿宋_GB2312" w:cs="仿宋_GB2312"/>
                <w:b w:val="0"/>
                <w:bCs w:val="0"/>
                <w:color w:val="auto"/>
                <w:sz w:val="18"/>
                <w:szCs w:val="18"/>
                <w:highlight w:val="none"/>
                <w:lang w:val="en-US" w:eastAsia="zh-CN"/>
              </w:rPr>
              <w:t>例：若行业（或申报单位）平均值为1.2，则供应商近1年短期债务偿还能力1.44得1分，近1年短期债务偿还能力1.32得0.5分。</w:t>
            </w:r>
          </w:p>
        </w:tc>
        <w:tc>
          <w:tcPr>
            <w:tcW w:w="1158"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8" w:hRule="atLeast"/>
        </w:trPr>
        <w:tc>
          <w:tcPr>
            <w:tcW w:w="814" w:type="dxa"/>
            <w:noWrap/>
            <w:tcMar>
              <w:top w:w="10" w:type="dxa"/>
              <w:left w:w="10" w:type="dxa"/>
              <w:right w:w="10" w:type="dxa"/>
            </w:tcMar>
            <w:vAlign w:val="center"/>
          </w:tcPr>
          <w:p>
            <w:pPr>
              <w:widowControl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9</w:t>
            </w:r>
          </w:p>
        </w:tc>
        <w:tc>
          <w:tcPr>
            <w:tcW w:w="1414" w:type="dxa"/>
            <w:vMerge w:val="continue"/>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仿宋_GB2312" w:hAnsi="仿宋_GB2312" w:eastAsia="仿宋_GB2312"/>
                <w:b w:val="0"/>
                <w:bCs w:val="0"/>
                <w:color w:val="auto"/>
                <w:sz w:val="18"/>
                <w:szCs w:val="18"/>
                <w:highlight w:val="none"/>
              </w:rPr>
            </w:pPr>
          </w:p>
        </w:tc>
        <w:tc>
          <w:tcPr>
            <w:tcW w:w="167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经营变化</w:t>
            </w:r>
          </w:p>
        </w:tc>
        <w:tc>
          <w:tcPr>
            <w:tcW w:w="4778"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1.提供近2年（2024年、2025年）经审计的第三方财务报告（报告页需含防伪二维码，财务报表页需有公司签章）</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000000" w:themeColor="text1"/>
                <w:sz w:val="18"/>
                <w:szCs w:val="18"/>
                <w:highlight w:val="none"/>
                <w:lang w:val="en-US" w:eastAsia="zh-CN"/>
                <w14:textFill>
                  <w14:solidFill>
                    <w14:schemeClr w14:val="tx1"/>
                  </w14:solidFill>
                </w14:textFill>
              </w:rPr>
              <w:t>2.信用评级机构或银行出具的信用评价证明。</w:t>
            </w:r>
          </w:p>
        </w:tc>
        <w:tc>
          <w:tcPr>
            <w:tcW w:w="3472"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1.提供近2年企业负债率、净现金流、偿债能力汇总表；</w:t>
            </w:r>
          </w:p>
          <w:p>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auto"/>
                <w:sz w:val="18"/>
                <w:szCs w:val="18"/>
                <w:highlight w:val="none"/>
                <w:lang w:val="en-US" w:eastAsia="zh-CN"/>
              </w:rPr>
              <w:t>2.对近2年信用评级情况进行标记。</w:t>
            </w:r>
          </w:p>
        </w:tc>
        <w:tc>
          <w:tcPr>
            <w:tcW w:w="6985" w:type="dxa"/>
            <w:tcMar>
              <w:top w:w="10" w:type="dxa"/>
              <w:left w:w="10" w:type="dxa"/>
              <w:right w:w="10" w:type="dxa"/>
            </w:tcMar>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企业负债率、净现金流、偿债能力、信用评价四项指标，与上1年比较，（基础为2分）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1.企业资产负债率上升且高于平均值扣0.5分；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2.净现金流下降且低于0扣0.5分；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3.短期债务偿还能力下降且低于平均值扣0.5分；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4.信用评级机构或银行信用评级下降扣0.5分。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left"/>
              <w:rPr>
                <w:rFonts w:hint="eastAsia" w:ascii="仿宋_GB2312" w:hAnsi="仿宋_GB2312" w:eastAsia="仿宋_GB2312"/>
                <w:b w:val="0"/>
                <w:bCs w:val="0"/>
                <w:color w:val="auto"/>
                <w:sz w:val="18"/>
                <w:szCs w:val="18"/>
                <w:highlight w:val="none"/>
                <w:u w:val="single"/>
              </w:rPr>
            </w:pPr>
            <w:r>
              <w:rPr>
                <w:rFonts w:hint="eastAsia" w:ascii="仿宋_GB2312" w:hAnsi="仿宋_GB2312" w:eastAsia="仿宋_GB2312" w:cs="仿宋_GB2312"/>
                <w:b w:val="0"/>
                <w:bCs w:val="0"/>
                <w:color w:val="auto"/>
                <w:sz w:val="18"/>
                <w:szCs w:val="18"/>
                <w:highlight w:val="none"/>
                <w:lang w:val="en-US" w:eastAsia="zh-CN"/>
              </w:rPr>
              <w:t>若未提供的不得分。</w:t>
            </w:r>
          </w:p>
        </w:tc>
        <w:tc>
          <w:tcPr>
            <w:tcW w:w="1158" w:type="dxa"/>
            <w:tcMar>
              <w:top w:w="10" w:type="dxa"/>
              <w:left w:w="10" w:type="dxa"/>
              <w:right w:w="1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9135" w:type="dxa"/>
            <w:gridSpan w:val="6"/>
            <w:noWrap/>
            <w:tcMar>
              <w:top w:w="10" w:type="dxa"/>
              <w:left w:w="10" w:type="dxa"/>
              <w:right w:w="10" w:type="dxa"/>
            </w:tcMar>
            <w:vAlign w:val="center"/>
          </w:tcPr>
          <w:p>
            <w:pPr>
              <w:adjustRightInd w:val="0"/>
              <w:snapToGrid w:val="0"/>
              <w:jc w:val="center"/>
              <w:textAlignment w:val="center"/>
              <w:rPr>
                <w:rFonts w:ascii="仿宋_GB2312" w:eastAsia="仿宋_GB2312"/>
                <w:b w:val="0"/>
                <w:bCs w:val="0"/>
                <w:color w:val="auto"/>
                <w:sz w:val="18"/>
                <w:szCs w:val="18"/>
                <w:highlight w:val="none"/>
              </w:rPr>
            </w:pPr>
            <w:r>
              <w:rPr>
                <w:rFonts w:hint="eastAsia" w:ascii="仿宋_GB2312" w:eastAsia="仿宋_GB2312"/>
                <w:b w:val="0"/>
                <w:bCs w:val="0"/>
                <w:color w:val="auto"/>
                <w:sz w:val="18"/>
                <w:szCs w:val="18"/>
                <w:highlight w:val="none"/>
              </w:rPr>
              <w:t>合计</w:t>
            </w:r>
          </w:p>
        </w:tc>
        <w:tc>
          <w:tcPr>
            <w:tcW w:w="1158" w:type="dxa"/>
            <w:tcMar>
              <w:top w:w="10" w:type="dxa"/>
              <w:left w:w="10" w:type="dxa"/>
              <w:right w:w="10" w:type="dxa"/>
            </w:tcMar>
            <w:vAlign w:val="center"/>
          </w:tcPr>
          <w:p>
            <w:pPr>
              <w:adjustRightInd w:val="0"/>
              <w:snapToGrid w:val="0"/>
              <w:jc w:val="center"/>
              <w:textAlignment w:val="center"/>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20</w:t>
            </w:r>
          </w:p>
        </w:tc>
      </w:tr>
    </w:tbl>
    <w:p>
      <w:pPr>
        <w:rPr>
          <w:rFonts w:hint="default"/>
          <w:highlight w:val="none"/>
          <w:lang w:val="en-US" w:eastAsia="zh-CN"/>
        </w:rPr>
        <w:sectPr>
          <w:headerReference r:id="rId6" w:type="default"/>
          <w:footerReference r:id="rId7" w:type="default"/>
          <w:pgSz w:w="23811" w:h="16838" w:orient="landscape"/>
          <w:pgMar w:top="1349" w:right="1684" w:bottom="1349" w:left="1440" w:header="720" w:footer="720" w:gutter="0"/>
          <w:cols w:space="0" w:num="1"/>
          <w:rtlGutter w:val="0"/>
          <w:docGrid w:linePitch="0" w:charSpace="0"/>
        </w:sectPr>
      </w:pPr>
    </w:p>
    <w:p>
      <w:pPr>
        <w:adjustRightInd w:val="0"/>
        <w:snapToGrid w:val="0"/>
        <w:spacing w:line="360" w:lineRule="auto"/>
        <w:jc w:val="center"/>
        <w:rPr>
          <w:rFonts w:hint="eastAsia" w:ascii="仿宋_GB2312" w:hAnsi="Helvetica" w:eastAsia="仿宋_GB2312" w:cs="Helvetica"/>
          <w:b/>
          <w:bCs/>
          <w:color w:val="000000" w:themeColor="text1"/>
          <w:kern w:val="0"/>
          <w:sz w:val="32"/>
          <w:szCs w:val="32"/>
          <w:highlight w:val="none"/>
          <w:lang w:val="en-US" w:eastAsia="zh-CN"/>
          <w14:textFill>
            <w14:solidFill>
              <w14:schemeClr w14:val="tx1"/>
            </w14:solidFill>
          </w14:textFill>
        </w:rPr>
      </w:pPr>
    </w:p>
    <w:p>
      <w:pPr>
        <w:adjustRightInd w:val="0"/>
        <w:snapToGrid w:val="0"/>
        <w:spacing w:line="360" w:lineRule="auto"/>
        <w:jc w:val="center"/>
        <w:rPr>
          <w:rFonts w:hint="eastAsia" w:ascii="仿宋_GB2312" w:hAnsi="Helvetica" w:eastAsia="仿宋_GB2312" w:cs="Helvetica"/>
          <w:b/>
          <w:bCs/>
          <w:color w:val="000000" w:themeColor="text1"/>
          <w:kern w:val="0"/>
          <w:sz w:val="32"/>
          <w:szCs w:val="32"/>
          <w:highlight w:val="none"/>
          <w:lang w:val="en-US" w:eastAsia="zh-CN"/>
          <w14:textFill>
            <w14:solidFill>
              <w14:schemeClr w14:val="tx1"/>
            </w14:solidFill>
          </w14:textFill>
        </w:rPr>
      </w:pPr>
      <w:r>
        <w:rPr>
          <w:rFonts w:hint="eastAsia" w:ascii="仿宋_GB2312" w:hAnsi="Helvetica" w:eastAsia="仿宋_GB2312" w:cs="Helvetica"/>
          <w:b/>
          <w:bCs/>
          <w:color w:val="000000" w:themeColor="text1"/>
          <w:kern w:val="0"/>
          <w:sz w:val="32"/>
          <w:szCs w:val="32"/>
          <w:highlight w:val="none"/>
          <w:lang w:val="en-US" w:eastAsia="zh-CN"/>
          <w14:textFill>
            <w14:solidFill>
              <w14:schemeClr w14:val="tx1"/>
            </w14:solidFill>
          </w14:textFill>
        </w:rPr>
        <w:t>供应商近2年企业负债率、净现金流、短期偿债能力、信用评级情况汇总表</w:t>
      </w:r>
    </w:p>
    <w:tbl>
      <w:tblPr>
        <w:tblStyle w:val="6"/>
        <w:tblW w:w="2037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9"/>
        <w:gridCol w:w="3516"/>
        <w:gridCol w:w="984"/>
        <w:gridCol w:w="1933"/>
        <w:gridCol w:w="1950"/>
        <w:gridCol w:w="1783"/>
        <w:gridCol w:w="1600"/>
        <w:gridCol w:w="1834"/>
        <w:gridCol w:w="1533"/>
        <w:gridCol w:w="1667"/>
        <w:gridCol w:w="1716"/>
        <w:gridCol w:w="10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769" w:type="dxa"/>
            <w:vMerge w:val="restart"/>
            <w:tcBorders>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t>序号</w:t>
            </w:r>
          </w:p>
        </w:tc>
        <w:tc>
          <w:tcPr>
            <w:tcW w:w="3516" w:type="dxa"/>
            <w:vMerge w:val="restart"/>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lang w:val="en-US"/>
                <w14:textFill>
                  <w14:solidFill>
                    <w14:schemeClr w14:val="tx1"/>
                  </w14:solidFill>
                </w14:textFill>
              </w:rPr>
            </w:pPr>
            <w: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t>供应商名称</w:t>
            </w:r>
          </w:p>
        </w:tc>
        <w:tc>
          <w:tcPr>
            <w:tcW w:w="984" w:type="dxa"/>
            <w:vMerge w:val="restart"/>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t>年度</w:t>
            </w:r>
          </w:p>
        </w:tc>
        <w:tc>
          <w:tcPr>
            <w:tcW w:w="5666" w:type="dxa"/>
            <w:gridSpan w:val="3"/>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t>资产负债率=负债总额/资产总额</w:t>
            </w:r>
          </w:p>
        </w:tc>
        <w:tc>
          <w:tcPr>
            <w:tcW w:w="1600"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t>经营性现金流量净额</w:t>
            </w:r>
          </w:p>
        </w:tc>
        <w:tc>
          <w:tcPr>
            <w:tcW w:w="6750" w:type="dxa"/>
            <w:gridSpan w:val="4"/>
            <w:tcBorders>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18"/>
                <w:szCs w:val="18"/>
                <w:highlight w:val="none"/>
                <w:lang w:val="en-US" w:eastAsia="zh-CN"/>
                <w14:textFill>
                  <w14:solidFill>
                    <w14:schemeClr w14:val="tx1"/>
                  </w14:solidFill>
                </w14:textFill>
              </w:rPr>
              <w:t>短期债务偿还能力=货币资金/（短期借款+一年内到期的非流动负债）</w:t>
            </w:r>
          </w:p>
        </w:tc>
        <w:tc>
          <w:tcPr>
            <w:tcW w:w="1092" w:type="dxa"/>
            <w:vMerge w:val="restart"/>
            <w:tcBorders>
              <w:lef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18"/>
                <w:szCs w:val="18"/>
                <w:highlight w:val="none"/>
                <w:lang w:val="en-US" w:eastAsia="zh-CN"/>
                <w14:textFill>
                  <w14:solidFill>
                    <w14:schemeClr w14:val="tx1"/>
                  </w14:solidFill>
                </w14:textFill>
              </w:rPr>
              <w:t>信用评级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769" w:type="dxa"/>
            <w:vMerge w:val="continue"/>
            <w:tcBorders>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p>
        </w:tc>
        <w:tc>
          <w:tcPr>
            <w:tcW w:w="3516"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lang w:val="en-US"/>
                <w14:textFill>
                  <w14:solidFill>
                    <w14:schemeClr w14:val="tx1"/>
                  </w14:solidFill>
                </w14:textFill>
              </w:rPr>
            </w:pPr>
          </w:p>
        </w:tc>
        <w:tc>
          <w:tcPr>
            <w:tcW w:w="98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t>负债总额</w:t>
            </w:r>
          </w:p>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t>（万元）</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t>资产总额</w:t>
            </w:r>
          </w:p>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t>（万元）</w:t>
            </w:r>
          </w:p>
        </w:tc>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t>资产负债率</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t>经营性现金流量净额（万元）</w:t>
            </w:r>
          </w:p>
        </w:tc>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18"/>
                <w:szCs w:val="18"/>
                <w:highlight w:val="none"/>
                <w:lang w:val="en-US" w:eastAsia="zh-CN"/>
                <w14:textFill>
                  <w14:solidFill>
                    <w14:schemeClr w14:val="tx1"/>
                  </w14:solidFill>
                </w14:textFill>
              </w:rPr>
              <w:t>货币资金</w:t>
            </w:r>
          </w:p>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t>（万元）</w:t>
            </w:r>
          </w:p>
        </w:tc>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18"/>
                <w:szCs w:val="18"/>
                <w:highlight w:val="none"/>
                <w:lang w:val="en-US" w:eastAsia="zh-CN"/>
                <w14:textFill>
                  <w14:solidFill>
                    <w14:schemeClr w14:val="tx1"/>
                  </w14:solidFill>
                </w14:textFill>
              </w:rPr>
              <w:t>短期借款</w:t>
            </w:r>
          </w:p>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t>（万元）</w:t>
            </w:r>
          </w:p>
        </w:tc>
        <w:tc>
          <w:tcPr>
            <w:tcW w:w="1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color w:val="000000" w:themeColor="text1"/>
                <w:sz w:val="18"/>
                <w:szCs w:val="18"/>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18"/>
                <w:szCs w:val="18"/>
                <w:highlight w:val="none"/>
                <w:lang w:val="en-US" w:eastAsia="zh-CN"/>
                <w14:textFill>
                  <w14:solidFill>
                    <w14:schemeClr w14:val="tx1"/>
                  </w14:solidFill>
                </w14:textFill>
              </w:rPr>
              <w:t>一年内到期的非流动负债</w:t>
            </w:r>
          </w:p>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pPr>
            <w: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t>（万元）</w:t>
            </w:r>
          </w:p>
        </w:tc>
        <w:tc>
          <w:tcPr>
            <w:tcW w:w="1716"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r>
              <w:rPr>
                <w:rFonts w:hint="eastAsia" w:ascii="仿宋_GB2312" w:hAnsi="仿宋_GB2312" w:eastAsia="仿宋_GB2312" w:cs="仿宋_GB2312"/>
                <w:b/>
                <w:bCs/>
                <w:color w:val="000000" w:themeColor="text1"/>
                <w:sz w:val="18"/>
                <w:szCs w:val="18"/>
                <w:highlight w:val="none"/>
                <w:lang w:val="en-US" w:eastAsia="zh-CN"/>
                <w14:textFill>
                  <w14:solidFill>
                    <w14:schemeClr w14:val="tx1"/>
                  </w14:solidFill>
                </w14:textFill>
              </w:rPr>
              <w:t>短期债务偿还能力</w:t>
            </w:r>
          </w:p>
        </w:tc>
        <w:tc>
          <w:tcPr>
            <w:tcW w:w="1092" w:type="dxa"/>
            <w:vMerge w:val="continue"/>
            <w:tcBorders>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color w:val="000000" w:themeColor="text1"/>
                <w:sz w:val="18"/>
                <w:szCs w:val="18"/>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769" w:type="dxa"/>
            <w:vMerge w:val="restart"/>
            <w:tcBorders>
              <w:top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t>1</w:t>
            </w:r>
          </w:p>
        </w:tc>
        <w:tc>
          <w:tcPr>
            <w:tcW w:w="3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t xml:space="preserve">2024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p>
        </w:tc>
        <w:tc>
          <w:tcPr>
            <w:tcW w:w="1834"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pPr>
          </w:p>
        </w:tc>
        <w:tc>
          <w:tcPr>
            <w:tcW w:w="1533"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pPr>
          </w:p>
        </w:tc>
        <w:tc>
          <w:tcPr>
            <w:tcW w:w="1667"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pPr>
          </w:p>
        </w:tc>
        <w:tc>
          <w:tcPr>
            <w:tcW w:w="1716" w:type="dxa"/>
            <w:tcBorders>
              <w:top w:val="single" w:color="000000" w:sz="4" w:space="0"/>
              <w:left w:val="single" w:color="000000" w:sz="4" w:space="0"/>
              <w:bottom w:val="nil"/>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p>
        </w:tc>
        <w:tc>
          <w:tcPr>
            <w:tcW w:w="1092" w:type="dxa"/>
            <w:tcBorders>
              <w:top w:val="single" w:color="000000" w:sz="4" w:space="0"/>
              <w:left w:val="single" w:color="000000" w:sz="4" w:space="0"/>
              <w:bottom w:val="nil"/>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jc w:val="center"/>
        </w:trPr>
        <w:tc>
          <w:tcPr>
            <w:tcW w:w="769" w:type="dxa"/>
            <w:vMerge w:val="continue"/>
            <w:tcBorders>
              <w:top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p>
        </w:tc>
        <w:tc>
          <w:tcPr>
            <w:tcW w:w="3516" w:type="dxa"/>
            <w:vMerge w:val="continue"/>
            <w:tcBorders>
              <w:top w:val="single" w:color="000000" w:sz="4" w:space="0"/>
              <w:left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p>
        </w:tc>
        <w:tc>
          <w:tcPr>
            <w:tcW w:w="984"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仿宋_GB2312" w:eastAsia="仿宋_GB2312" w:cs="仿宋_GB2312"/>
                <w:b/>
                <w:bCs/>
                <w:i w:val="0"/>
                <w:iCs w:val="0"/>
                <w:color w:val="000000" w:themeColor="text1"/>
                <w:sz w:val="18"/>
                <w:szCs w:val="18"/>
                <w:highlight w:val="none"/>
                <w:u w:val="none"/>
                <w:lang w:val="en-US"/>
                <w14:textFill>
                  <w14:solidFill>
                    <w14:schemeClr w14:val="tx1"/>
                  </w14:solidFill>
                </w14:textFill>
              </w:rPr>
            </w:pPr>
            <w:r>
              <w:rPr>
                <w:rFonts w:hint="eastAsia" w:ascii="仿宋_GB2312" w:hAnsi="仿宋_GB2312" w:eastAsia="仿宋_GB2312" w:cs="仿宋_GB2312"/>
                <w:b/>
                <w:bCs/>
                <w:i w:val="0"/>
                <w:iCs w:val="0"/>
                <w:color w:val="000000" w:themeColor="text1"/>
                <w:kern w:val="0"/>
                <w:sz w:val="18"/>
                <w:szCs w:val="18"/>
                <w:highlight w:val="none"/>
                <w:u w:val="none"/>
                <w:lang w:val="en-US" w:eastAsia="zh-CN" w:bidi="ar"/>
                <w14:textFill>
                  <w14:solidFill>
                    <w14:schemeClr w14:val="tx1"/>
                  </w14:solidFill>
                </w14:textFill>
              </w:rPr>
              <w:t>2025</w:t>
            </w:r>
          </w:p>
        </w:tc>
        <w:tc>
          <w:tcPr>
            <w:tcW w:w="1933" w:type="dxa"/>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p>
        </w:tc>
        <w:tc>
          <w:tcPr>
            <w:tcW w:w="1950" w:type="dxa"/>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p>
        </w:tc>
        <w:tc>
          <w:tcPr>
            <w:tcW w:w="1783" w:type="dxa"/>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p>
        </w:tc>
        <w:tc>
          <w:tcPr>
            <w:tcW w:w="1600" w:type="dxa"/>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p>
        </w:tc>
        <w:tc>
          <w:tcPr>
            <w:tcW w:w="1834" w:type="dxa"/>
            <w:tcBorders>
              <w:top w:val="single" w:color="000000" w:sz="4" w:space="0"/>
              <w:left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p>
        </w:tc>
        <w:tc>
          <w:tcPr>
            <w:tcW w:w="1533" w:type="dxa"/>
            <w:tcBorders>
              <w:top w:val="single" w:color="000000" w:sz="4" w:space="0"/>
              <w:left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p>
        </w:tc>
        <w:tc>
          <w:tcPr>
            <w:tcW w:w="1667" w:type="dxa"/>
            <w:tcBorders>
              <w:top w:val="single" w:color="000000" w:sz="4" w:space="0"/>
              <w:left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p>
        </w:tc>
        <w:tc>
          <w:tcPr>
            <w:tcW w:w="1716" w:type="dxa"/>
            <w:tcBorders>
              <w:top w:val="single" w:color="000000" w:sz="4" w:space="0"/>
              <w:left w:val="single" w:color="000000" w:sz="4" w:space="0"/>
            </w:tcBorders>
            <w:shd w:val="clear" w:color="auto" w:fill="auto"/>
            <w:noWrap/>
            <w:vAlign w:val="center"/>
          </w:tcPr>
          <w:p>
            <w:pPr>
              <w:jc w:val="center"/>
              <w:rPr>
                <w:rFonts w:hint="eastAsia" w:ascii="仿宋_GB2312" w:hAnsi="仿宋_GB2312" w:eastAsia="仿宋_GB2312" w:cs="仿宋_GB2312"/>
                <w:b/>
                <w:bCs/>
                <w:i w:val="0"/>
                <w:iCs w:val="0"/>
                <w:color w:val="000000" w:themeColor="text1"/>
                <w:kern w:val="2"/>
                <w:sz w:val="18"/>
                <w:szCs w:val="18"/>
                <w:highlight w:val="none"/>
                <w:u w:val="none"/>
                <w:lang w:val="en-US" w:eastAsia="zh-CN" w:bidi="ar-SA"/>
                <w14:textFill>
                  <w14:solidFill>
                    <w14:schemeClr w14:val="tx1"/>
                  </w14:solidFill>
                </w14:textFill>
              </w:rPr>
            </w:pPr>
          </w:p>
        </w:tc>
        <w:tc>
          <w:tcPr>
            <w:tcW w:w="1092" w:type="dxa"/>
            <w:tcBorders>
              <w:top w:val="single" w:color="000000" w:sz="4" w:space="0"/>
              <w:left w:val="single" w:color="000000" w:sz="4" w:space="0"/>
            </w:tcBorders>
            <w:shd w:val="clear" w:color="auto" w:fill="auto"/>
            <w:noWrap/>
            <w:vAlign w:val="center"/>
          </w:tcPr>
          <w:p>
            <w:pPr>
              <w:jc w:val="center"/>
              <w:rPr>
                <w:rFonts w:hint="eastAsia" w:ascii="仿宋_GB2312" w:hAnsi="仿宋_GB2312" w:eastAsia="仿宋_GB2312" w:cs="仿宋_GB2312"/>
                <w:b/>
                <w:bCs/>
                <w:i w:val="0"/>
                <w:iCs w:val="0"/>
                <w:color w:val="000000" w:themeColor="text1"/>
                <w:sz w:val="18"/>
                <w:szCs w:val="18"/>
                <w:highlight w:val="none"/>
                <w:u w:val="none"/>
                <w14:textFill>
                  <w14:solidFill>
                    <w14:schemeClr w14:val="tx1"/>
                  </w14:solidFill>
                </w14:textFill>
              </w:rPr>
            </w:pPr>
          </w:p>
        </w:tc>
      </w:tr>
    </w:tbl>
    <w:p>
      <w:pPr>
        <w:adjustRightInd w:val="0"/>
        <w:snapToGrid w:val="0"/>
        <w:spacing w:line="360" w:lineRule="auto"/>
        <w:ind w:firstLine="360" w:firstLineChars="200"/>
        <w:jc w:val="left"/>
        <w:rPr>
          <w:rFonts w:hint="eastAsia" w:ascii="仿宋_GB2312" w:hAnsi="Helvetica" w:eastAsia="仿宋_GB2312" w:cs="Helvetica"/>
          <w:color w:val="000000" w:themeColor="text1"/>
          <w:kern w:val="0"/>
          <w:sz w:val="18"/>
          <w:szCs w:val="18"/>
          <w:highlight w:val="none"/>
          <w:lang w:val="en-US" w:eastAsia="zh-CN"/>
          <w14:textFill>
            <w14:solidFill>
              <w14:schemeClr w14:val="tx1"/>
            </w14:solidFill>
          </w14:textFill>
        </w:rPr>
      </w:pPr>
      <w:r>
        <w:rPr>
          <w:rFonts w:hint="eastAsia" w:ascii="仿宋_GB2312" w:hAnsi="Helvetica" w:eastAsia="仿宋_GB2312" w:cs="Helvetica"/>
          <w:color w:val="000000" w:themeColor="text1"/>
          <w:kern w:val="0"/>
          <w:sz w:val="18"/>
          <w:szCs w:val="18"/>
          <w:highlight w:val="none"/>
          <w:lang w:val="en-US" w:eastAsia="zh-CN"/>
          <w14:textFill>
            <w14:solidFill>
              <w14:schemeClr w14:val="tx1"/>
            </w14:solidFill>
          </w14:textFill>
        </w:rPr>
        <w:t>备注：</w:t>
      </w:r>
    </w:p>
    <w:p>
      <w:pPr>
        <w:adjustRightInd w:val="0"/>
        <w:snapToGrid w:val="0"/>
        <w:spacing w:line="360" w:lineRule="auto"/>
        <w:ind w:firstLine="360" w:firstLineChars="200"/>
        <w:jc w:val="left"/>
        <w:rPr>
          <w:rFonts w:hint="eastAsia" w:ascii="仿宋_GB2312" w:hAnsi="Helvetica" w:eastAsia="仿宋_GB2312" w:cs="Helvetica"/>
          <w:color w:val="000000" w:themeColor="text1"/>
          <w:kern w:val="0"/>
          <w:sz w:val="18"/>
          <w:szCs w:val="18"/>
          <w:highlight w:val="none"/>
          <w:lang w:val="en-US" w:eastAsia="zh-CN"/>
          <w14:textFill>
            <w14:solidFill>
              <w14:schemeClr w14:val="tx1"/>
            </w14:solidFill>
          </w14:textFill>
        </w:rPr>
      </w:pPr>
      <w:r>
        <w:rPr>
          <w:rFonts w:hint="eastAsia" w:ascii="仿宋_GB2312" w:hAnsi="Helvetica" w:eastAsia="仿宋_GB2312" w:cs="Helvetica"/>
          <w:color w:val="000000" w:themeColor="text1"/>
          <w:kern w:val="0"/>
          <w:sz w:val="18"/>
          <w:szCs w:val="18"/>
          <w:highlight w:val="none"/>
          <w:lang w:val="en-US" w:eastAsia="zh-CN"/>
          <w14:textFill>
            <w14:solidFill>
              <w14:schemeClr w14:val="tx1"/>
            </w14:solidFill>
          </w14:textFill>
        </w:rPr>
        <w:t>1.供应商请填写上述表格，并上传至分级申报系统；</w:t>
      </w:r>
    </w:p>
    <w:p>
      <w:pPr>
        <w:adjustRightInd w:val="0"/>
        <w:snapToGrid w:val="0"/>
        <w:spacing w:line="360" w:lineRule="auto"/>
        <w:ind w:firstLine="360" w:firstLineChars="200"/>
        <w:jc w:val="left"/>
        <w:rPr>
          <w:rFonts w:ascii="仿宋_GB2312" w:eastAsia="仿宋_GB2312"/>
          <w:color w:val="000000" w:themeColor="text1"/>
          <w:szCs w:val="21"/>
          <w:highlight w:val="none"/>
          <w14:textFill>
            <w14:solidFill>
              <w14:schemeClr w14:val="tx1"/>
            </w14:solidFill>
          </w14:textFill>
        </w:rPr>
      </w:pPr>
      <w:r>
        <w:rPr>
          <w:rFonts w:hint="eastAsia" w:ascii="仿宋_GB2312" w:hAnsi="Helvetica" w:eastAsia="仿宋_GB2312" w:cs="Helvetica"/>
          <w:color w:val="000000" w:themeColor="text1"/>
          <w:kern w:val="0"/>
          <w:sz w:val="18"/>
          <w:szCs w:val="18"/>
          <w:highlight w:val="none"/>
          <w:lang w:val="en-US" w:eastAsia="zh-CN"/>
          <w14:textFill>
            <w14:solidFill>
              <w14:schemeClr w14:val="tx1"/>
            </w14:solidFill>
          </w14:textFill>
        </w:rPr>
        <w:t>2.相关数据保留小数点后两位小数。</w:t>
      </w:r>
    </w:p>
    <w:p>
      <w:pPr>
        <w:adjustRightInd w:val="0"/>
        <w:snapToGrid w:val="0"/>
        <w:jc w:val="left"/>
        <w:rPr>
          <w:rFonts w:ascii="仿宋_GB2312" w:eastAsia="仿宋_GB2312"/>
          <w:color w:val="000000" w:themeColor="text1"/>
          <w:szCs w:val="21"/>
          <w:highlight w:val="none"/>
          <w14:textFill>
            <w14:solidFill>
              <w14:schemeClr w14:val="tx1"/>
            </w14:solidFill>
          </w14:textFill>
        </w:rPr>
      </w:pPr>
    </w:p>
    <w:p>
      <w:pPr>
        <w:pStyle w:val="2"/>
        <w:rPr>
          <w:highlight w:val="none"/>
        </w:rPr>
        <w:sectPr>
          <w:pgSz w:w="23811" w:h="16838" w:orient="landscape"/>
          <w:pgMar w:top="1349" w:right="1684" w:bottom="1349" w:left="1440" w:header="720" w:footer="720" w:gutter="0"/>
          <w:cols w:space="0" w:num="1"/>
          <w:rtlGutter w:val="0"/>
          <w:docGrid w:linePitch="0" w:charSpace="0"/>
        </w:sectPr>
      </w:pPr>
    </w:p>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000000" w:themeColor="text1"/>
          <w:sz w:val="18"/>
          <w:szCs w:val="18"/>
          <w:highlight w:val="none"/>
          <w:lang w:val="en-US" w:eastAsia="zh-CN"/>
          <w14:textFill>
            <w14:solidFill>
              <w14:schemeClr w14:val="tx1"/>
            </w14:solidFill>
          </w14:textFill>
        </w:rPr>
      </w:pPr>
      <w:bookmarkStart w:id="17" w:name="OLE_LINK43"/>
      <w:r>
        <w:rPr>
          <w:rFonts w:hint="eastAsia" w:ascii="仿宋_GB2312" w:hAnsi="Helvetica" w:eastAsia="仿宋_GB2312" w:cs="Helvetica"/>
          <w:b/>
          <w:bCs/>
          <w:color w:val="000000" w:themeColor="text1"/>
          <w:kern w:val="0"/>
          <w:sz w:val="32"/>
          <w:szCs w:val="32"/>
          <w:highlight w:val="none"/>
          <w:lang w:val="en-US" w:eastAsia="zh-CN"/>
          <w14:textFill>
            <w14:solidFill>
              <w14:schemeClr w14:val="tx1"/>
            </w14:solidFill>
          </w14:textFill>
        </w:rPr>
        <w:t>附件3：</w:t>
      </w:r>
    </w:p>
    <w:p>
      <w:pPr>
        <w:jc w:val="center"/>
        <w:rPr>
          <w:rFonts w:hint="default"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6"/>
          <w:szCs w:val="36"/>
          <w:highlight w:val="none"/>
          <w:lang w:val="en-US" w:eastAsia="zh-CN"/>
          <w14:textFill>
            <w14:solidFill>
              <w14:schemeClr w14:val="tx1"/>
            </w14:solidFill>
          </w14:textFill>
        </w:rPr>
        <w:t>拟派管理团队评审表</w:t>
      </w:r>
    </w:p>
    <w:bookmarkEnd w:id="17"/>
    <w:tbl>
      <w:tblPr>
        <w:tblStyle w:val="6"/>
        <w:tblW w:w="50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6"/>
        <w:gridCol w:w="1162"/>
        <w:gridCol w:w="966"/>
        <w:gridCol w:w="3891"/>
        <w:gridCol w:w="4447"/>
        <w:gridCol w:w="974"/>
        <w:gridCol w:w="1087"/>
        <w:gridCol w:w="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blHeader/>
          <w:jc w:val="center"/>
        </w:trPr>
        <w:tc>
          <w:tcPr>
            <w:tcW w:w="223" w:type="pct"/>
            <w:shd w:val="clear" w:color="auto" w:fill="auto"/>
            <w:vAlign w:val="center"/>
          </w:tcPr>
          <w:p>
            <w:pPr>
              <w:widowControl w:val="0"/>
              <w:spacing w:afterLines="0" w:line="240" w:lineRule="auto"/>
              <w:jc w:val="center"/>
              <w:outlineLvl w:val="9"/>
              <w:rPr>
                <w:rFonts w:ascii="仿宋_GB2312" w:hAnsi="仿宋_GB2312" w:eastAsia="仿宋_GB2312"/>
                <w:b w:val="0"/>
                <w:bCs w:val="0"/>
                <w:color w:val="auto"/>
                <w:sz w:val="18"/>
                <w:szCs w:val="18"/>
                <w:highlight w:val="none"/>
              </w:rPr>
            </w:pPr>
            <w:r>
              <w:rPr>
                <w:rFonts w:hint="eastAsia" w:ascii="仿宋_GB2312" w:hAnsi="仿宋_GB2312" w:eastAsia="仿宋_GB2312"/>
                <w:b w:val="0"/>
                <w:bCs w:val="0"/>
                <w:color w:val="auto"/>
                <w:sz w:val="18"/>
                <w:szCs w:val="18"/>
                <w:highlight w:val="none"/>
              </w:rPr>
              <w:t>序号</w:t>
            </w:r>
          </w:p>
        </w:tc>
        <w:tc>
          <w:tcPr>
            <w:tcW w:w="414" w:type="pct"/>
            <w:shd w:val="clear" w:color="auto" w:fill="auto"/>
            <w:vAlign w:val="center"/>
          </w:tcPr>
          <w:p>
            <w:pPr>
              <w:widowControl w:val="0"/>
              <w:spacing w:afterLines="0" w:line="240" w:lineRule="auto"/>
              <w:jc w:val="center"/>
              <w:outlineLvl w:val="9"/>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工程类别</w:t>
            </w:r>
          </w:p>
        </w:tc>
        <w:tc>
          <w:tcPr>
            <w:tcW w:w="344" w:type="pct"/>
            <w:shd w:val="clear" w:color="auto" w:fill="auto"/>
            <w:vAlign w:val="center"/>
          </w:tcPr>
          <w:p>
            <w:pPr>
              <w:widowControl w:val="0"/>
              <w:spacing w:afterLines="0" w:line="240" w:lineRule="auto"/>
              <w:jc w:val="center"/>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拟派管理</w:t>
            </w:r>
          </w:p>
          <w:p>
            <w:pPr>
              <w:widowControl w:val="0"/>
              <w:spacing w:afterLines="0" w:line="240" w:lineRule="auto"/>
              <w:jc w:val="center"/>
              <w:outlineLvl w:val="9"/>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人员岗位</w:t>
            </w:r>
          </w:p>
        </w:tc>
        <w:tc>
          <w:tcPr>
            <w:tcW w:w="1386" w:type="pct"/>
            <w:shd w:val="clear" w:color="auto" w:fill="auto"/>
            <w:vAlign w:val="center"/>
          </w:tcPr>
          <w:p>
            <w:pPr>
              <w:widowControl w:val="0"/>
              <w:spacing w:afterLines="0" w:line="240" w:lineRule="auto"/>
              <w:jc w:val="center"/>
              <w:textAlignment w:val="center"/>
              <w:outlineLvl w:val="9"/>
              <w:rPr>
                <w:rFonts w:ascii="仿宋_GB2312" w:hAnsi="仿宋_GB2312" w:eastAsia="仿宋_GB2312"/>
                <w:b w:val="0"/>
                <w:bCs w:val="0"/>
                <w:color w:val="auto"/>
                <w:sz w:val="18"/>
                <w:szCs w:val="18"/>
                <w:highlight w:val="none"/>
              </w:rPr>
            </w:pPr>
            <w:r>
              <w:rPr>
                <w:rFonts w:hint="eastAsia" w:ascii="仿宋_GB2312" w:hAnsi="仿宋_GB2312" w:eastAsia="仿宋_GB2312" w:cs="仿宋_GB2312"/>
                <w:b w:val="0"/>
                <w:bCs w:val="0"/>
                <w:color w:val="auto"/>
                <w:kern w:val="0"/>
                <w:sz w:val="18"/>
                <w:szCs w:val="18"/>
                <w:highlight w:val="none"/>
                <w:lang w:val="en-US" w:eastAsia="zh-CN" w:bidi="ar"/>
              </w:rPr>
              <w:t>基本要求</w:t>
            </w:r>
          </w:p>
        </w:tc>
        <w:tc>
          <w:tcPr>
            <w:tcW w:w="1584" w:type="pct"/>
            <w:shd w:val="clear" w:color="auto" w:fill="auto"/>
            <w:vAlign w:val="center"/>
          </w:tcPr>
          <w:p>
            <w:pPr>
              <w:widowControl w:val="0"/>
              <w:spacing w:afterLines="0" w:line="240" w:lineRule="auto"/>
              <w:jc w:val="center"/>
              <w:outlineLvl w:val="9"/>
              <w:rPr>
                <w:rFonts w:ascii="仿宋_GB2312" w:hAnsi="仿宋_GB2312" w:eastAsia="仿宋_GB2312"/>
                <w:b w:val="0"/>
                <w:bCs w:val="0"/>
                <w:color w:val="auto"/>
                <w:sz w:val="18"/>
                <w:szCs w:val="18"/>
                <w:highlight w:val="none"/>
              </w:rPr>
            </w:pPr>
            <w:r>
              <w:rPr>
                <w:rFonts w:hint="eastAsia" w:ascii="仿宋_GB2312" w:hAnsi="仿宋_GB2312" w:eastAsia="仿宋_GB2312"/>
                <w:b w:val="0"/>
                <w:bCs w:val="0"/>
                <w:color w:val="auto"/>
                <w:sz w:val="18"/>
                <w:szCs w:val="18"/>
                <w:highlight w:val="none"/>
              </w:rPr>
              <w:t>证明材料要求</w:t>
            </w:r>
          </w:p>
        </w:tc>
        <w:tc>
          <w:tcPr>
            <w:tcW w:w="347" w:type="pct"/>
            <w:shd w:val="clear" w:color="auto" w:fill="auto"/>
            <w:vAlign w:val="center"/>
          </w:tcPr>
          <w:p>
            <w:pPr>
              <w:widowControl w:val="0"/>
              <w:spacing w:afterLines="0" w:line="240" w:lineRule="auto"/>
              <w:jc w:val="center"/>
              <w:textAlignment w:val="center"/>
              <w:outlineLvl w:val="9"/>
              <w:rPr>
                <w:rFonts w:hint="eastAsia" w:ascii="仿宋_GB2312" w:hAnsi="仿宋_GB2312" w:eastAsia="仿宋_GB2312" w:cs="仿宋_GB2312"/>
                <w:b w:val="0"/>
                <w:bCs w:val="0"/>
                <w:color w:val="auto"/>
                <w:kern w:val="0"/>
                <w:sz w:val="18"/>
                <w:szCs w:val="18"/>
                <w:highlight w:val="none"/>
                <w:lang w:val="en-US" w:eastAsia="zh-CN" w:bidi="ar"/>
              </w:rPr>
            </w:pPr>
            <w:r>
              <w:rPr>
                <w:rFonts w:hint="eastAsia" w:ascii="仿宋_GB2312" w:hAnsi="仿宋_GB2312" w:eastAsia="仿宋_GB2312" w:cs="仿宋_GB2312"/>
                <w:b w:val="0"/>
                <w:bCs w:val="0"/>
                <w:color w:val="auto"/>
                <w:kern w:val="0"/>
                <w:sz w:val="18"/>
                <w:szCs w:val="18"/>
                <w:highlight w:val="none"/>
                <w:lang w:val="en-US" w:eastAsia="zh-CN" w:bidi="ar"/>
              </w:rPr>
              <w:t>是否满足</w:t>
            </w:r>
          </w:p>
          <w:p>
            <w:pPr>
              <w:widowControl w:val="0"/>
              <w:spacing w:afterLines="0" w:line="240" w:lineRule="auto"/>
              <w:jc w:val="center"/>
              <w:textAlignment w:val="center"/>
              <w:outlineLvl w:val="9"/>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kern w:val="0"/>
                <w:sz w:val="18"/>
                <w:szCs w:val="18"/>
                <w:highlight w:val="none"/>
                <w:lang w:val="en-US" w:eastAsia="zh-CN" w:bidi="ar"/>
              </w:rPr>
              <w:t>基本要求</w:t>
            </w:r>
          </w:p>
        </w:tc>
        <w:tc>
          <w:tcPr>
            <w:tcW w:w="387" w:type="pct"/>
            <w:shd w:val="clear" w:color="auto" w:fill="auto"/>
            <w:vAlign w:val="center"/>
          </w:tcPr>
          <w:p>
            <w:pPr>
              <w:widowControl w:val="0"/>
              <w:spacing w:afterLines="0" w:line="240" w:lineRule="auto"/>
              <w:jc w:val="center"/>
              <w:textAlignment w:val="center"/>
              <w:outlineLvl w:val="9"/>
              <w:rPr>
                <w:rFonts w:hint="default" w:ascii="仿宋_GB2312" w:hAnsi="仿宋_GB2312" w:eastAsia="仿宋_GB2312" w:cs="仿宋_GB2312"/>
                <w:b w:val="0"/>
                <w:bCs w:val="0"/>
                <w:color w:val="auto"/>
                <w:kern w:val="0"/>
                <w:highlight w:val="none"/>
                <w:lang w:val="en-US" w:eastAsia="zh-CN" w:bidi="ar"/>
              </w:rPr>
            </w:pPr>
            <w:r>
              <w:rPr>
                <w:rFonts w:hint="eastAsia" w:ascii="仿宋_GB2312" w:hAnsi="仿宋_GB2312" w:eastAsia="仿宋_GB2312" w:cs="仿宋_GB2312"/>
                <w:b w:val="0"/>
                <w:bCs w:val="0"/>
                <w:color w:val="auto"/>
                <w:kern w:val="0"/>
                <w:highlight w:val="none"/>
                <w:lang w:val="en-US" w:eastAsia="zh-CN" w:bidi="ar"/>
              </w:rPr>
              <w:t>考察面试</w:t>
            </w:r>
            <w:r>
              <w:rPr>
                <w:rFonts w:hint="eastAsia" w:ascii="仿宋_GB2312" w:hAnsi="仿宋_GB2312" w:eastAsia="仿宋_GB2312" w:cs="仿宋_GB2312"/>
                <w:b w:val="0"/>
                <w:bCs w:val="0"/>
                <w:color w:val="auto"/>
                <w:kern w:val="0"/>
                <w:highlight w:val="none"/>
                <w:lang w:val="en-US" w:eastAsia="zh-CN" w:bidi="ar"/>
              </w:rPr>
              <w:br w:type="textWrapping"/>
            </w:r>
            <w:r>
              <w:rPr>
                <w:rFonts w:hint="eastAsia" w:ascii="仿宋_GB2312" w:hAnsi="仿宋_GB2312" w:eastAsia="仿宋_GB2312" w:cs="仿宋_GB2312"/>
                <w:b w:val="0"/>
                <w:bCs w:val="0"/>
                <w:color w:val="auto"/>
                <w:kern w:val="0"/>
                <w:highlight w:val="none"/>
                <w:lang w:val="en-US" w:eastAsia="zh-CN" w:bidi="ar"/>
              </w:rPr>
              <w:t>评价维度</w:t>
            </w:r>
          </w:p>
        </w:tc>
        <w:tc>
          <w:tcPr>
            <w:tcW w:w="313" w:type="pct"/>
            <w:shd w:val="clear" w:color="auto" w:fill="auto"/>
            <w:vAlign w:val="center"/>
          </w:tcPr>
          <w:p>
            <w:pPr>
              <w:widowControl w:val="0"/>
              <w:spacing w:afterLines="0" w:line="240" w:lineRule="auto"/>
              <w:jc w:val="center"/>
              <w:textAlignment w:val="center"/>
              <w:outlineLvl w:val="9"/>
              <w:rPr>
                <w:rFonts w:hint="default" w:ascii="仿宋_GB2312" w:hAnsi="仿宋_GB2312" w:eastAsia="仿宋_GB2312" w:cs="仿宋_GB2312"/>
                <w:b w:val="0"/>
                <w:bCs w:val="0"/>
                <w:color w:val="auto"/>
                <w:kern w:val="0"/>
                <w:highlight w:val="none"/>
                <w:lang w:val="en-US" w:eastAsia="zh-CN" w:bidi="ar"/>
              </w:rPr>
            </w:pPr>
            <w:r>
              <w:rPr>
                <w:rFonts w:hint="eastAsia" w:ascii="仿宋_GB2312" w:hAnsi="仿宋_GB2312" w:eastAsia="仿宋_GB2312" w:cs="仿宋_GB2312"/>
                <w:b w:val="0"/>
                <w:bCs w:val="0"/>
                <w:color w:val="auto"/>
                <w:kern w:val="0"/>
                <w:highlight w:val="none"/>
                <w:lang w:val="en-US" w:eastAsia="zh-CN" w:bidi="ar"/>
              </w:rPr>
              <w:t>面试结果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4" w:hRule="atLeast"/>
          <w:jc w:val="center"/>
        </w:trPr>
        <w:tc>
          <w:tcPr>
            <w:tcW w:w="223" w:type="pct"/>
            <w:shd w:val="clear" w:color="auto" w:fill="auto"/>
            <w:vAlign w:val="center"/>
          </w:tcPr>
          <w:p>
            <w:pPr>
              <w:widowControl w:val="0"/>
              <w:spacing w:afterLines="0" w:line="240" w:lineRule="auto"/>
              <w:jc w:val="center"/>
              <w:outlineLvl w:val="9"/>
              <w:rPr>
                <w:rFonts w:hint="default" w:ascii="仿宋_GB2312" w:hAnsi="仿宋_GB2312" w:eastAsia="仿宋_GB2312" w:cs="Times New Roman"/>
                <w:b w:val="0"/>
                <w:bCs w:val="0"/>
                <w:color w:val="auto"/>
                <w:kern w:val="2"/>
                <w:sz w:val="18"/>
                <w:szCs w:val="21"/>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1</w:t>
            </w:r>
          </w:p>
        </w:tc>
        <w:tc>
          <w:tcPr>
            <w:tcW w:w="414" w:type="pct"/>
            <w:vMerge w:val="restart"/>
            <w:shd w:val="clear" w:color="auto" w:fill="auto"/>
            <w:vAlign w:val="center"/>
          </w:tcPr>
          <w:p>
            <w:pPr>
              <w:widowControl w:val="0"/>
              <w:spacing w:afterLines="0" w:line="240" w:lineRule="auto"/>
              <w:jc w:val="center"/>
              <w:outlineLvl w:val="9"/>
              <w:rPr>
                <w:rFonts w:hint="default"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工程总承包</w:t>
            </w:r>
          </w:p>
        </w:tc>
        <w:tc>
          <w:tcPr>
            <w:tcW w:w="344" w:type="pct"/>
            <w:shd w:val="clear" w:color="auto" w:fill="auto"/>
            <w:vAlign w:val="center"/>
          </w:tcPr>
          <w:p>
            <w:pPr>
              <w:widowControl w:val="0"/>
              <w:spacing w:afterLines="0" w:line="240" w:lineRule="auto"/>
              <w:jc w:val="center"/>
              <w:outlineLvl w:val="9"/>
              <w:rPr>
                <w:rFonts w:hint="eastAsia" w:ascii="仿宋_GB2312" w:hAnsi="仿宋_GB2312" w:eastAsia="仿宋_GB2312" w:cs="Times New Roman"/>
                <w:b w:val="0"/>
                <w:bCs w:val="0"/>
                <w:color w:val="auto"/>
                <w:kern w:val="2"/>
                <w:sz w:val="18"/>
                <w:szCs w:val="21"/>
                <w:highlight w:val="none"/>
                <w:lang w:val="en-US" w:eastAsia="zh-CN" w:bidi="ar-SA"/>
              </w:rPr>
            </w:pPr>
            <w:r>
              <w:rPr>
                <w:rFonts w:hint="eastAsia" w:ascii="仿宋_GB2312" w:hAnsi="仿宋_GB2312" w:eastAsia="仿宋_GB2312"/>
                <w:b w:val="0"/>
                <w:bCs w:val="0"/>
                <w:color w:val="auto"/>
                <w:sz w:val="18"/>
                <w:szCs w:val="21"/>
                <w:highlight w:val="none"/>
              </w:rPr>
              <w:t>项目</w:t>
            </w:r>
            <w:r>
              <w:rPr>
                <w:rFonts w:hint="eastAsia" w:ascii="仿宋_GB2312" w:hAnsi="仿宋_GB2312" w:eastAsia="仿宋_GB2312"/>
                <w:b w:val="0"/>
                <w:bCs w:val="0"/>
                <w:color w:val="auto"/>
                <w:sz w:val="18"/>
                <w:szCs w:val="21"/>
                <w:highlight w:val="none"/>
                <w:lang w:val="en-US" w:eastAsia="zh-CN"/>
              </w:rPr>
              <w:t>经理</w:t>
            </w:r>
          </w:p>
        </w:tc>
        <w:tc>
          <w:tcPr>
            <w:tcW w:w="1386" w:type="pct"/>
            <w:shd w:val="clear" w:color="auto" w:fill="auto"/>
            <w:vAlign w:val="center"/>
          </w:tcPr>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拟派项目经理必须同时具备以下要求：</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1.具备一级建造师证书、中级及以上技术职称、项目经理安全生产考核合格证书；</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2.个人从事建筑行业工作年限≥10年；</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3.个人作为项目经理（或执行经理）全过程参与且项目累计总建筑面积10万平方米以上或参与2个以上高层项目。</w:t>
            </w:r>
          </w:p>
        </w:tc>
        <w:tc>
          <w:tcPr>
            <w:tcW w:w="1584" w:type="pct"/>
            <w:shd w:val="clear" w:color="auto" w:fill="auto"/>
            <w:vAlign w:val="center"/>
          </w:tcPr>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1.提供个人简历表、项目经理注册建造师证书（建筑工程专业）；</w:t>
            </w:r>
          </w:p>
          <w:p>
            <w:pPr>
              <w:widowControl w:val="0"/>
              <w:spacing w:afterLines="0" w:line="240" w:lineRule="auto"/>
              <w:jc w:val="left"/>
              <w:outlineLvl w:val="9"/>
              <w:rPr>
                <w:rFonts w:hint="default"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2.中级及以上相关专业技术职称证明；</w:t>
            </w:r>
          </w:p>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3.个人从事建筑行业的工作年限证明，例如工作单位开具的证明、参与业绩对应年限的证明等；</w:t>
            </w:r>
          </w:p>
          <w:p>
            <w:pPr>
              <w:pStyle w:val="2"/>
              <w:ind w:left="0" w:leftChars="0" w:firstLine="0" w:firstLineChars="0"/>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b w:val="0"/>
                <w:bCs w:val="0"/>
                <w:color w:val="auto"/>
                <w:sz w:val="18"/>
                <w:szCs w:val="21"/>
                <w:highlight w:val="none"/>
                <w:lang w:val="en-US" w:eastAsia="zh-CN"/>
              </w:rPr>
              <w:t>4.提供作为项目主要负责人所完成的</w:t>
            </w:r>
            <w:r>
              <w:rPr>
                <w:rFonts w:hint="eastAsia" w:ascii="仿宋_GB2312" w:hAnsi="仿宋_GB2312" w:eastAsia="仿宋_GB2312" w:cs="仿宋_GB2312"/>
                <w:b w:val="0"/>
                <w:bCs w:val="0"/>
                <w:color w:val="auto"/>
                <w:sz w:val="18"/>
                <w:szCs w:val="21"/>
                <w:highlight w:val="none"/>
                <w:lang w:val="en-US" w:eastAsia="zh-CN"/>
              </w:rPr>
              <w:t>业绩证明材料（</w:t>
            </w:r>
            <w:r>
              <w:rPr>
                <w:rFonts w:hint="eastAsia" w:ascii="仿宋_GB2312" w:hAnsi="仿宋_GB2312" w:eastAsia="仿宋_GB2312" w:cs="仿宋_GB2312"/>
                <w:b w:val="0"/>
                <w:bCs w:val="0"/>
                <w:color w:val="auto"/>
                <w:sz w:val="18"/>
                <w:szCs w:val="21"/>
                <w:highlight w:val="none"/>
              </w:rPr>
              <w:t>合同盖章关键页</w:t>
            </w:r>
            <w:r>
              <w:rPr>
                <w:rFonts w:hint="eastAsia" w:ascii="仿宋_GB2312" w:hAnsi="仿宋_GB2312" w:eastAsia="仿宋_GB2312" w:cs="仿宋_GB2312"/>
                <w:b w:val="0"/>
                <w:bCs w:val="0"/>
                <w:color w:val="auto"/>
                <w:sz w:val="18"/>
                <w:szCs w:val="21"/>
                <w:highlight w:val="none"/>
                <w:lang w:val="en-US" w:eastAsia="zh-CN"/>
              </w:rPr>
              <w:t>），若证明材料中无法体现项目任职等，需提供建设单位出具的相关证明</w:t>
            </w:r>
            <w:r>
              <w:rPr>
                <w:rFonts w:hint="eastAsia" w:ascii="仿宋_GB2312" w:hAnsi="仿宋_GB2312" w:eastAsia="仿宋_GB2312" w:cs="仿宋_GB2312"/>
                <w:b w:val="0"/>
                <w:bCs w:val="0"/>
                <w:color w:val="auto"/>
                <w:sz w:val="18"/>
                <w:szCs w:val="21"/>
                <w:highlight w:val="none"/>
              </w:rPr>
              <w:t>。</w:t>
            </w:r>
          </w:p>
        </w:tc>
        <w:tc>
          <w:tcPr>
            <w:tcW w:w="347" w:type="pct"/>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满足/</w:t>
            </w:r>
          </w:p>
          <w:p>
            <w:pPr>
              <w:widowControl w:val="0"/>
              <w:spacing w:afterLines="0" w:line="240" w:lineRule="auto"/>
              <w:jc w:val="center"/>
              <w:outlineLvl w:val="9"/>
              <w:rPr>
                <w:rFonts w:hint="default" w:ascii="仿宋_GB2312" w:hAnsi="仿宋_GB2312" w:eastAsia="仿宋_GB2312" w:cs="Times New Roman"/>
                <w:b w:val="0"/>
                <w:bCs w:val="0"/>
                <w:color w:val="auto"/>
                <w:kern w:val="2"/>
                <w:sz w:val="18"/>
                <w:szCs w:val="21"/>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不满足</w:t>
            </w:r>
          </w:p>
        </w:tc>
        <w:tc>
          <w:tcPr>
            <w:tcW w:w="387" w:type="pct"/>
            <w:vMerge w:val="restart"/>
            <w:shd w:val="clear" w:color="auto" w:fill="auto"/>
            <w:vAlign w:val="center"/>
          </w:tcPr>
          <w:p>
            <w:pPr>
              <w:widowControl w:val="0"/>
              <w:spacing w:afterLines="0" w:line="240" w:lineRule="auto"/>
              <w:jc w:val="center"/>
              <w:outlineLvl w:val="9"/>
              <w:rPr>
                <w:rFonts w:hint="eastAsia" w:ascii="仿宋_GB2312" w:hAnsi="仿宋_GB2312" w:eastAsia="仿宋_GB2312"/>
                <w:b w:val="0"/>
                <w:bCs w:val="0"/>
                <w:color w:val="auto"/>
                <w:sz w:val="18"/>
                <w:szCs w:val="18"/>
                <w:highlight w:val="none"/>
              </w:rPr>
            </w:pPr>
            <w:r>
              <w:rPr>
                <w:rFonts w:hint="eastAsia" w:ascii="仿宋_GB2312" w:hAnsi="仿宋_GB2312" w:eastAsia="仿宋_GB2312"/>
                <w:b w:val="0"/>
                <w:bCs w:val="0"/>
                <w:color w:val="auto"/>
                <w:sz w:val="18"/>
                <w:szCs w:val="18"/>
                <w:highlight w:val="none"/>
              </w:rPr>
              <w:t>面试环节将对沟通能力、专业能力、管理能力、职业素质、组织能力等方面进行考察。</w:t>
            </w:r>
          </w:p>
          <w:p>
            <w:pPr>
              <w:widowControl w:val="0"/>
              <w:spacing w:afterLines="0" w:line="240" w:lineRule="auto"/>
              <w:jc w:val="center"/>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eastAsia="zh-CN"/>
              </w:rPr>
              <w:t>（</w:t>
            </w:r>
            <w:r>
              <w:rPr>
                <w:rFonts w:hint="eastAsia" w:ascii="仿宋_GB2312" w:hAnsi="仿宋_GB2312" w:eastAsia="仿宋_GB2312"/>
                <w:b w:val="0"/>
                <w:bCs w:val="0"/>
                <w:color w:val="auto"/>
                <w:sz w:val="18"/>
                <w:szCs w:val="18"/>
                <w:highlight w:val="none"/>
                <w:lang w:val="en-US" w:eastAsia="zh-CN"/>
              </w:rPr>
              <w:t>1</w:t>
            </w:r>
            <w:r>
              <w:rPr>
                <w:rFonts w:hint="eastAsia" w:ascii="仿宋_GB2312" w:hAnsi="仿宋_GB2312" w:eastAsia="仿宋_GB2312"/>
                <w:b w:val="0"/>
                <w:bCs w:val="0"/>
                <w:color w:val="auto"/>
                <w:sz w:val="18"/>
                <w:szCs w:val="18"/>
                <w:highlight w:val="none"/>
                <w:lang w:eastAsia="zh-CN"/>
              </w:rPr>
              <w:t>）</w:t>
            </w:r>
            <w:r>
              <w:rPr>
                <w:rFonts w:hint="eastAsia" w:ascii="仿宋_GB2312" w:hAnsi="仿宋_GB2312" w:eastAsia="仿宋_GB2312"/>
                <w:b w:val="0"/>
                <w:bCs w:val="0"/>
                <w:color w:val="auto"/>
                <w:sz w:val="18"/>
                <w:szCs w:val="18"/>
                <w:highlight w:val="none"/>
                <w:lang w:val="en-US" w:eastAsia="zh-CN"/>
              </w:rPr>
              <w:t>面试得分≥80分，评价为合格。</w:t>
            </w:r>
          </w:p>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（2）面试得分＜80分，评价为不合格</w:t>
            </w:r>
          </w:p>
        </w:tc>
        <w:tc>
          <w:tcPr>
            <w:tcW w:w="313" w:type="pct"/>
            <w:vMerge w:val="restart"/>
            <w:shd w:val="clear" w:color="auto" w:fill="auto"/>
            <w:vAlign w:val="center"/>
          </w:tcPr>
          <w:p>
            <w:pPr>
              <w:widowControl w:val="0"/>
              <w:spacing w:afterLines="0" w:line="240" w:lineRule="auto"/>
              <w:jc w:val="center"/>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合格/</w:t>
            </w:r>
          </w:p>
          <w:p>
            <w:pPr>
              <w:widowControl w:val="0"/>
              <w:spacing w:afterLines="0" w:line="240" w:lineRule="auto"/>
              <w:jc w:val="center"/>
              <w:outlineLvl w:val="9"/>
              <w:rPr>
                <w:rFonts w:hint="eastAsia" w:ascii="仿宋_GB2312" w:hAnsi="仿宋_GB2312" w:eastAsia="仿宋_GB2312" w:cs="仿宋_GB2312"/>
                <w:b w:val="0"/>
                <w:bCs w:val="0"/>
                <w:color w:val="auto"/>
                <w:highlight w:val="none"/>
                <w:lang w:val="en-US" w:eastAsia="zh-CN"/>
              </w:rPr>
            </w:pPr>
            <w:r>
              <w:rPr>
                <w:rFonts w:hint="eastAsia" w:ascii="仿宋_GB2312" w:hAnsi="仿宋_GB2312" w:eastAsia="仿宋_GB2312"/>
                <w:b w:val="0"/>
                <w:bCs w:val="0"/>
                <w:color w:val="auto"/>
                <w:sz w:val="18"/>
                <w:szCs w:val="18"/>
                <w:highlight w:val="none"/>
                <w:lang w:val="en-US" w:eastAsia="zh-CN"/>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5" w:hRule="atLeast"/>
          <w:jc w:val="center"/>
        </w:trPr>
        <w:tc>
          <w:tcPr>
            <w:tcW w:w="223" w:type="pct"/>
            <w:shd w:val="clear" w:color="auto" w:fill="auto"/>
            <w:vAlign w:val="center"/>
          </w:tcPr>
          <w:p>
            <w:pPr>
              <w:widowControl w:val="0"/>
              <w:spacing w:afterLines="0" w:line="240" w:lineRule="auto"/>
              <w:jc w:val="center"/>
              <w:outlineLvl w:val="9"/>
              <w:rPr>
                <w:rFonts w:hint="eastAsia" w:ascii="仿宋_GB2312" w:hAnsi="仿宋_GB2312" w:eastAsia="仿宋_GB2312" w:cs="Times New Roman"/>
                <w:b w:val="0"/>
                <w:bCs w:val="0"/>
                <w:color w:val="auto"/>
                <w:kern w:val="2"/>
                <w:sz w:val="18"/>
                <w:szCs w:val="21"/>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2</w:t>
            </w:r>
          </w:p>
        </w:tc>
        <w:tc>
          <w:tcPr>
            <w:tcW w:w="414"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b w:val="0"/>
                <w:bCs w:val="0"/>
                <w:color w:val="auto"/>
                <w:sz w:val="18"/>
                <w:szCs w:val="21"/>
                <w:highlight w:val="none"/>
                <w:lang w:val="en-US" w:eastAsia="zh-CN"/>
              </w:rPr>
            </w:pPr>
          </w:p>
        </w:tc>
        <w:tc>
          <w:tcPr>
            <w:tcW w:w="344" w:type="pct"/>
            <w:shd w:val="clear" w:color="auto" w:fill="auto"/>
            <w:vAlign w:val="center"/>
          </w:tcPr>
          <w:p>
            <w:pPr>
              <w:widowControl w:val="0"/>
              <w:spacing w:afterLines="0" w:line="240" w:lineRule="auto"/>
              <w:jc w:val="center"/>
              <w:outlineLvl w:val="9"/>
              <w:rPr>
                <w:rFonts w:hint="eastAsia" w:ascii="仿宋_GB2312" w:hAnsi="仿宋_GB2312" w:eastAsia="仿宋_GB2312" w:cs="Times New Roman"/>
                <w:b w:val="0"/>
                <w:bCs w:val="0"/>
                <w:color w:val="auto"/>
                <w:kern w:val="2"/>
                <w:sz w:val="18"/>
                <w:szCs w:val="21"/>
                <w:highlight w:val="none"/>
                <w:lang w:val="en-US" w:eastAsia="zh-CN" w:bidi="ar-SA"/>
              </w:rPr>
            </w:pPr>
            <w:r>
              <w:rPr>
                <w:rFonts w:hint="eastAsia" w:ascii="仿宋_GB2312" w:hAnsi="仿宋_GB2312" w:eastAsia="仿宋_GB2312"/>
                <w:b w:val="0"/>
                <w:bCs w:val="0"/>
                <w:color w:val="auto"/>
                <w:sz w:val="18"/>
                <w:szCs w:val="21"/>
                <w:highlight w:val="none"/>
                <w:lang w:val="en-US" w:eastAsia="zh-CN"/>
              </w:rPr>
              <w:t>技术负责人</w:t>
            </w:r>
          </w:p>
        </w:tc>
        <w:tc>
          <w:tcPr>
            <w:tcW w:w="1386" w:type="pct"/>
            <w:shd w:val="clear" w:color="auto" w:fill="auto"/>
            <w:vAlign w:val="center"/>
          </w:tcPr>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拟派技术负责人必须同时具备以下要求：</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1.具备中级及以上相关专业技术职称；</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2.个人从事建筑行业工作年限≥5年；</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3.个人作为项目技术负责人全过程参与且项目累计总建筑面积10万平方米以上或参与2个以上高层项目。</w:t>
            </w:r>
          </w:p>
        </w:tc>
        <w:tc>
          <w:tcPr>
            <w:tcW w:w="1584" w:type="pct"/>
            <w:shd w:val="clear" w:color="auto" w:fill="auto"/>
            <w:vAlign w:val="center"/>
          </w:tcPr>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1.提供个人简历表；</w:t>
            </w:r>
          </w:p>
          <w:p>
            <w:pPr>
              <w:widowControl w:val="0"/>
              <w:spacing w:afterLines="0" w:line="240" w:lineRule="auto"/>
              <w:jc w:val="left"/>
              <w:outlineLvl w:val="9"/>
              <w:rPr>
                <w:rFonts w:hint="default"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2.中级及以上相关专业技术职称证明；</w:t>
            </w:r>
          </w:p>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3.个人从事建筑行业的工作年限证明，例如工作单位开具的证明、参与业绩对应年限的证明等；</w:t>
            </w:r>
          </w:p>
          <w:p>
            <w:pPr>
              <w:pStyle w:val="2"/>
              <w:ind w:left="0" w:leftChars="0" w:firstLine="0" w:firstLineChars="0"/>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b w:val="0"/>
                <w:bCs w:val="0"/>
                <w:color w:val="auto"/>
                <w:sz w:val="18"/>
                <w:szCs w:val="21"/>
                <w:highlight w:val="none"/>
                <w:lang w:val="en-US" w:eastAsia="zh-CN"/>
              </w:rPr>
              <w:t>4.提供作为项目主要负责人所完成的</w:t>
            </w:r>
            <w:r>
              <w:rPr>
                <w:rFonts w:hint="eastAsia" w:ascii="仿宋_GB2312" w:hAnsi="仿宋_GB2312" w:eastAsia="仿宋_GB2312" w:cs="仿宋_GB2312"/>
                <w:b w:val="0"/>
                <w:bCs w:val="0"/>
                <w:color w:val="auto"/>
                <w:sz w:val="18"/>
                <w:szCs w:val="21"/>
                <w:highlight w:val="none"/>
                <w:lang w:val="en-US" w:eastAsia="zh-CN"/>
              </w:rPr>
              <w:t>业绩证明材料（</w:t>
            </w:r>
            <w:r>
              <w:rPr>
                <w:rFonts w:hint="eastAsia" w:ascii="仿宋_GB2312" w:hAnsi="仿宋_GB2312" w:eastAsia="仿宋_GB2312" w:cs="仿宋_GB2312"/>
                <w:b w:val="0"/>
                <w:bCs w:val="0"/>
                <w:color w:val="auto"/>
                <w:sz w:val="18"/>
                <w:szCs w:val="21"/>
                <w:highlight w:val="none"/>
              </w:rPr>
              <w:t>合同盖章关键页</w:t>
            </w:r>
            <w:r>
              <w:rPr>
                <w:rFonts w:hint="eastAsia" w:ascii="仿宋_GB2312" w:hAnsi="仿宋_GB2312" w:eastAsia="仿宋_GB2312" w:cs="仿宋_GB2312"/>
                <w:b w:val="0"/>
                <w:bCs w:val="0"/>
                <w:color w:val="auto"/>
                <w:sz w:val="18"/>
                <w:szCs w:val="21"/>
                <w:highlight w:val="none"/>
                <w:lang w:val="en-US" w:eastAsia="zh-CN"/>
              </w:rPr>
              <w:t>），若证明材料中无法体现项目任职等，需提供建设单位出具的相关证明</w:t>
            </w:r>
            <w:r>
              <w:rPr>
                <w:rFonts w:hint="eastAsia" w:ascii="仿宋_GB2312" w:hAnsi="仿宋_GB2312" w:eastAsia="仿宋_GB2312" w:cs="仿宋_GB2312"/>
                <w:b w:val="0"/>
                <w:bCs w:val="0"/>
                <w:color w:val="auto"/>
                <w:sz w:val="18"/>
                <w:szCs w:val="21"/>
                <w:highlight w:val="none"/>
              </w:rPr>
              <w:t>。</w:t>
            </w:r>
          </w:p>
        </w:tc>
        <w:tc>
          <w:tcPr>
            <w:tcW w:w="347" w:type="pct"/>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满足/</w:t>
            </w:r>
          </w:p>
          <w:p>
            <w:pPr>
              <w:widowControl w:val="0"/>
              <w:spacing w:afterLines="0" w:line="240" w:lineRule="auto"/>
              <w:jc w:val="center"/>
              <w:outlineLvl w:val="9"/>
              <w:rPr>
                <w:rFonts w:hint="default" w:ascii="仿宋_GB2312" w:hAnsi="仿宋_GB2312" w:eastAsia="仿宋_GB2312" w:cs="Times New Roman"/>
                <w:b w:val="0"/>
                <w:bCs w:val="0"/>
                <w:color w:val="auto"/>
                <w:kern w:val="2"/>
                <w:sz w:val="18"/>
                <w:szCs w:val="21"/>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不满足</w:t>
            </w:r>
          </w:p>
        </w:tc>
        <w:tc>
          <w:tcPr>
            <w:tcW w:w="387"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highlight w:val="none"/>
                <w:lang w:val="en-US" w:eastAsia="zh-CN"/>
              </w:rPr>
            </w:pPr>
          </w:p>
        </w:tc>
        <w:tc>
          <w:tcPr>
            <w:tcW w:w="313"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b w:val="0"/>
                <w:bCs w:val="0"/>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4" w:hRule="atLeast"/>
          <w:jc w:val="center"/>
        </w:trPr>
        <w:tc>
          <w:tcPr>
            <w:tcW w:w="223" w:type="pct"/>
            <w:shd w:val="clear" w:color="auto" w:fill="auto"/>
            <w:vAlign w:val="center"/>
          </w:tcPr>
          <w:p>
            <w:pPr>
              <w:widowControl w:val="0"/>
              <w:spacing w:afterLines="0" w:line="240" w:lineRule="auto"/>
              <w:jc w:val="center"/>
              <w:outlineLvl w:val="9"/>
              <w:rPr>
                <w:rFonts w:hint="eastAsia" w:ascii="仿宋_GB2312" w:hAnsi="仿宋_GB2312" w:eastAsia="仿宋_GB2312" w:cs="Times New Roman"/>
                <w:b w:val="0"/>
                <w:bCs w:val="0"/>
                <w:color w:val="auto"/>
                <w:kern w:val="2"/>
                <w:sz w:val="18"/>
                <w:szCs w:val="21"/>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3</w:t>
            </w:r>
          </w:p>
        </w:tc>
        <w:tc>
          <w:tcPr>
            <w:tcW w:w="414"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b w:val="0"/>
                <w:bCs w:val="0"/>
                <w:color w:val="auto"/>
                <w:sz w:val="18"/>
                <w:szCs w:val="21"/>
                <w:highlight w:val="none"/>
                <w:lang w:val="en-US" w:eastAsia="zh-CN"/>
              </w:rPr>
            </w:pPr>
          </w:p>
        </w:tc>
        <w:tc>
          <w:tcPr>
            <w:tcW w:w="344" w:type="pct"/>
            <w:shd w:val="clear" w:color="auto" w:fill="auto"/>
            <w:vAlign w:val="center"/>
          </w:tcPr>
          <w:p>
            <w:pPr>
              <w:widowControl w:val="0"/>
              <w:spacing w:afterLines="0" w:line="240" w:lineRule="auto"/>
              <w:jc w:val="center"/>
              <w:outlineLvl w:val="9"/>
              <w:rPr>
                <w:rFonts w:hint="eastAsia" w:ascii="仿宋_GB2312" w:hAnsi="仿宋_GB2312" w:eastAsia="仿宋_GB2312" w:cs="Times New Roman"/>
                <w:b w:val="0"/>
                <w:bCs w:val="0"/>
                <w:color w:val="auto"/>
                <w:kern w:val="2"/>
                <w:sz w:val="18"/>
                <w:szCs w:val="21"/>
                <w:highlight w:val="none"/>
                <w:lang w:val="en-US" w:eastAsia="zh-CN" w:bidi="ar-SA"/>
              </w:rPr>
            </w:pPr>
            <w:r>
              <w:rPr>
                <w:rFonts w:hint="eastAsia" w:ascii="仿宋_GB2312" w:hAnsi="仿宋_GB2312" w:eastAsia="仿宋_GB2312"/>
                <w:b w:val="0"/>
                <w:bCs w:val="0"/>
                <w:color w:val="auto"/>
                <w:sz w:val="18"/>
                <w:szCs w:val="21"/>
                <w:highlight w:val="none"/>
                <w:lang w:val="en-US" w:eastAsia="zh-CN"/>
              </w:rPr>
              <w:t>生产经理</w:t>
            </w:r>
          </w:p>
        </w:tc>
        <w:tc>
          <w:tcPr>
            <w:tcW w:w="1386" w:type="pct"/>
            <w:shd w:val="clear" w:color="auto" w:fill="auto"/>
            <w:vAlign w:val="center"/>
          </w:tcPr>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拟派生产经理必须同时具备以下要求：</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1.具备中级及以上相关专业技术职称；</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2.个人从事建筑行业工作年限≥1年；</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3.个人作为项目生产经理全过程参与且项目累计总建筑面积10万平方米以上或参与2个以上高层项目。</w:t>
            </w:r>
          </w:p>
        </w:tc>
        <w:tc>
          <w:tcPr>
            <w:tcW w:w="1584" w:type="pct"/>
            <w:shd w:val="clear" w:color="auto" w:fill="auto"/>
            <w:vAlign w:val="center"/>
          </w:tcPr>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1.提供个人简历表；</w:t>
            </w:r>
          </w:p>
          <w:p>
            <w:pPr>
              <w:widowControl w:val="0"/>
              <w:spacing w:afterLines="0" w:line="240" w:lineRule="auto"/>
              <w:jc w:val="left"/>
              <w:outlineLvl w:val="9"/>
              <w:rPr>
                <w:rFonts w:hint="default"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2.中级及以上专业技术职称证明；</w:t>
            </w:r>
          </w:p>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3.个人从事建筑行业的工作年限证明，例如工作单位开具的证明、参与业绩对应年限的证明等；</w:t>
            </w:r>
          </w:p>
          <w:p>
            <w:pPr>
              <w:pStyle w:val="2"/>
              <w:ind w:left="0" w:leftChars="0" w:firstLine="0" w:firstLineChars="0"/>
              <w:rPr>
                <w:rFonts w:hint="eastAsia" w:ascii="仿宋_GB2312" w:hAnsi="仿宋_GB2312" w:eastAsia="仿宋_GB2312" w:cs="Times New Roman"/>
                <w:b w:val="0"/>
                <w:bCs w:val="0"/>
                <w:color w:val="auto"/>
                <w:kern w:val="2"/>
                <w:sz w:val="18"/>
                <w:szCs w:val="18"/>
                <w:highlight w:val="none"/>
                <w:lang w:val="en-US" w:eastAsia="zh-CN" w:bidi="ar-SA"/>
              </w:rPr>
            </w:pPr>
            <w:r>
              <w:rPr>
                <w:rFonts w:hint="eastAsia" w:ascii="仿宋_GB2312" w:hAnsi="仿宋_GB2312" w:eastAsia="仿宋_GB2312"/>
                <w:b w:val="0"/>
                <w:bCs w:val="0"/>
                <w:color w:val="auto"/>
                <w:sz w:val="18"/>
                <w:szCs w:val="21"/>
                <w:highlight w:val="none"/>
                <w:lang w:val="en-US" w:eastAsia="zh-CN"/>
              </w:rPr>
              <w:t>4.提供作为项目主要负责人所完成的</w:t>
            </w:r>
            <w:r>
              <w:rPr>
                <w:rFonts w:hint="eastAsia" w:ascii="仿宋_GB2312" w:hAnsi="仿宋_GB2312" w:eastAsia="仿宋_GB2312" w:cs="仿宋_GB2312"/>
                <w:b w:val="0"/>
                <w:bCs w:val="0"/>
                <w:color w:val="auto"/>
                <w:sz w:val="18"/>
                <w:szCs w:val="21"/>
                <w:highlight w:val="none"/>
                <w:lang w:val="en-US" w:eastAsia="zh-CN"/>
              </w:rPr>
              <w:t>业绩证明材料（</w:t>
            </w:r>
            <w:r>
              <w:rPr>
                <w:rFonts w:hint="eastAsia" w:ascii="仿宋_GB2312" w:hAnsi="仿宋_GB2312" w:eastAsia="仿宋_GB2312" w:cs="仿宋_GB2312"/>
                <w:b w:val="0"/>
                <w:bCs w:val="0"/>
                <w:color w:val="auto"/>
                <w:sz w:val="18"/>
                <w:szCs w:val="21"/>
                <w:highlight w:val="none"/>
              </w:rPr>
              <w:t>合同盖章关键页</w:t>
            </w:r>
            <w:r>
              <w:rPr>
                <w:rFonts w:hint="eastAsia" w:ascii="仿宋_GB2312" w:hAnsi="仿宋_GB2312" w:eastAsia="仿宋_GB2312" w:cs="仿宋_GB2312"/>
                <w:b w:val="0"/>
                <w:bCs w:val="0"/>
                <w:color w:val="auto"/>
                <w:sz w:val="18"/>
                <w:szCs w:val="21"/>
                <w:highlight w:val="none"/>
                <w:lang w:val="en-US" w:eastAsia="zh-CN"/>
              </w:rPr>
              <w:t>），若证明材料中无法体现项目任职等，需提供建设单位出具的相关证明</w:t>
            </w:r>
            <w:r>
              <w:rPr>
                <w:rFonts w:hint="eastAsia" w:ascii="仿宋_GB2312" w:hAnsi="仿宋_GB2312" w:eastAsia="仿宋_GB2312" w:cs="仿宋_GB2312"/>
                <w:b w:val="0"/>
                <w:bCs w:val="0"/>
                <w:color w:val="auto"/>
                <w:sz w:val="18"/>
                <w:szCs w:val="21"/>
                <w:highlight w:val="none"/>
              </w:rPr>
              <w:t>。</w:t>
            </w:r>
          </w:p>
        </w:tc>
        <w:tc>
          <w:tcPr>
            <w:tcW w:w="347" w:type="pct"/>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满足/</w:t>
            </w:r>
          </w:p>
          <w:p>
            <w:pPr>
              <w:widowControl w:val="0"/>
              <w:spacing w:afterLines="0" w:line="240" w:lineRule="auto"/>
              <w:jc w:val="center"/>
              <w:outlineLvl w:val="9"/>
              <w:rPr>
                <w:rFonts w:hint="eastAsia" w:ascii="仿宋_GB2312" w:hAnsi="仿宋_GB2312" w:eastAsia="仿宋_GB2312" w:cs="Times New Roman"/>
                <w:b w:val="0"/>
                <w:bCs w:val="0"/>
                <w:color w:val="auto"/>
                <w:kern w:val="2"/>
                <w:sz w:val="18"/>
                <w:szCs w:val="21"/>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不满足</w:t>
            </w:r>
          </w:p>
        </w:tc>
        <w:tc>
          <w:tcPr>
            <w:tcW w:w="387"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highlight w:val="none"/>
                <w:lang w:val="en-US" w:eastAsia="zh-CN"/>
              </w:rPr>
            </w:pPr>
          </w:p>
        </w:tc>
        <w:tc>
          <w:tcPr>
            <w:tcW w:w="313"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b w:val="0"/>
                <w:bCs w:val="0"/>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1" w:hRule="atLeast"/>
          <w:jc w:val="center"/>
        </w:trPr>
        <w:tc>
          <w:tcPr>
            <w:tcW w:w="223" w:type="pct"/>
            <w:shd w:val="clear" w:color="auto" w:fill="auto"/>
            <w:vAlign w:val="center"/>
          </w:tcPr>
          <w:p>
            <w:pPr>
              <w:widowControl w:val="0"/>
              <w:spacing w:afterLines="0" w:line="240" w:lineRule="auto"/>
              <w:jc w:val="center"/>
              <w:outlineLvl w:val="9"/>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4</w:t>
            </w:r>
          </w:p>
        </w:tc>
        <w:tc>
          <w:tcPr>
            <w:tcW w:w="414" w:type="pct"/>
            <w:shd w:val="clear" w:color="auto" w:fill="auto"/>
            <w:vAlign w:val="center"/>
          </w:tcPr>
          <w:p>
            <w:pPr>
              <w:widowControl w:val="0"/>
              <w:spacing w:afterLines="0"/>
              <w:ind w:left="0" w:leftChars="0" w:firstLine="0" w:firstLineChars="0"/>
              <w:jc w:val="center"/>
              <w:outlineLvl w:val="9"/>
              <w:rPr>
                <w:rFonts w:hint="default"/>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精装修工程</w:t>
            </w:r>
          </w:p>
        </w:tc>
        <w:tc>
          <w:tcPr>
            <w:tcW w:w="344" w:type="pct"/>
            <w:shd w:val="clear" w:color="auto" w:fill="auto"/>
            <w:vAlign w:val="center"/>
          </w:tcPr>
          <w:p>
            <w:pPr>
              <w:widowControl w:val="0"/>
              <w:spacing w:afterLines="0" w:line="240" w:lineRule="auto"/>
              <w:jc w:val="center"/>
              <w:outlineLvl w:val="9"/>
              <w:rPr>
                <w:rFonts w:hint="default"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rPr>
              <w:t>项目</w:t>
            </w:r>
            <w:r>
              <w:rPr>
                <w:rFonts w:hint="eastAsia" w:ascii="仿宋_GB2312" w:hAnsi="仿宋_GB2312" w:eastAsia="仿宋_GB2312"/>
                <w:b w:val="0"/>
                <w:bCs w:val="0"/>
                <w:color w:val="auto"/>
                <w:sz w:val="18"/>
                <w:szCs w:val="21"/>
                <w:highlight w:val="none"/>
                <w:lang w:val="en-US" w:eastAsia="zh-CN"/>
              </w:rPr>
              <w:t>经理</w:t>
            </w:r>
          </w:p>
        </w:tc>
        <w:tc>
          <w:tcPr>
            <w:tcW w:w="1386" w:type="pct"/>
            <w:shd w:val="clear" w:color="auto" w:fill="auto"/>
            <w:vAlign w:val="center"/>
          </w:tcPr>
          <w:p>
            <w:pPr>
              <w:widowControl w:val="0"/>
              <w:spacing w:afterLines="0" w:line="240" w:lineRule="auto"/>
              <w:jc w:val="left"/>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拟派</w:t>
            </w:r>
            <w:r>
              <w:rPr>
                <w:rFonts w:hint="eastAsia" w:ascii="仿宋_GB2312" w:hAnsi="仿宋_GB2312" w:eastAsia="仿宋_GB2312"/>
                <w:b w:val="0"/>
                <w:bCs w:val="0"/>
                <w:color w:val="auto"/>
                <w:sz w:val="18"/>
                <w:szCs w:val="21"/>
                <w:highlight w:val="none"/>
                <w:lang w:val="en-US" w:eastAsia="zh-CN"/>
              </w:rPr>
              <w:t>项目经理</w:t>
            </w:r>
            <w:r>
              <w:rPr>
                <w:rFonts w:hint="eastAsia" w:ascii="仿宋_GB2312" w:hAnsi="仿宋_GB2312" w:eastAsia="仿宋_GB2312"/>
                <w:b w:val="0"/>
                <w:bCs w:val="0"/>
                <w:color w:val="auto"/>
                <w:sz w:val="18"/>
                <w:szCs w:val="18"/>
                <w:highlight w:val="none"/>
                <w:lang w:val="en-US" w:eastAsia="zh-CN"/>
              </w:rPr>
              <w:t>必须同时具备以下要求：</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1.同时具备一级建造师、中级及以上职称、项目经理安全生产考核合格证书；</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2.个人从事建筑行业项目管理工作年限≥8年；</w:t>
            </w:r>
          </w:p>
          <w:p>
            <w:pPr>
              <w:widowControl w:val="0"/>
              <w:spacing w:afterLines="0" w:line="240" w:lineRule="auto"/>
              <w:jc w:val="left"/>
              <w:outlineLvl w:val="9"/>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3.担任项目经理年限≥3年；</w:t>
            </w:r>
          </w:p>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18"/>
                <w:highlight w:val="none"/>
                <w:lang w:val="en-US" w:eastAsia="zh-CN"/>
              </w:rPr>
              <w:t>4.个人作为项目经理（或执行经理）全过程参与的建筑装饰项目累计总合同金额1亿以上或建筑装饰单个合同金额5000万以上的。</w:t>
            </w:r>
          </w:p>
        </w:tc>
        <w:tc>
          <w:tcPr>
            <w:tcW w:w="1584" w:type="pct"/>
            <w:shd w:val="clear" w:color="auto" w:fill="auto"/>
            <w:vAlign w:val="center"/>
          </w:tcPr>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1.提供个人简历表、项目经理注册建造师证书（建筑工程专业）；</w:t>
            </w:r>
          </w:p>
          <w:p>
            <w:pPr>
              <w:widowControl w:val="0"/>
              <w:spacing w:afterLines="0" w:line="240" w:lineRule="auto"/>
              <w:jc w:val="left"/>
              <w:outlineLvl w:val="9"/>
              <w:rPr>
                <w:rFonts w:hint="default"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2.中级及以上相关专业技术职称证明；</w:t>
            </w:r>
          </w:p>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3.个人从事建筑行业的工作年限证明，例如工作单位开具的证明、参与业绩对应年限的证明等；</w:t>
            </w:r>
          </w:p>
          <w:p>
            <w:pPr>
              <w:widowControl w:val="0"/>
              <w:spacing w:afterLines="0" w:line="240" w:lineRule="auto"/>
              <w:jc w:val="left"/>
              <w:textAlignment w:val="center"/>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4.提供</w:t>
            </w:r>
            <w:r>
              <w:rPr>
                <w:rFonts w:hint="eastAsia" w:ascii="仿宋_GB2312" w:hAnsi="仿宋_GB2312" w:eastAsia="仿宋_GB2312"/>
                <w:b w:val="0"/>
                <w:bCs w:val="0"/>
                <w:color w:val="auto"/>
                <w:sz w:val="18"/>
                <w:szCs w:val="18"/>
                <w:highlight w:val="none"/>
                <w:lang w:val="en-US" w:eastAsia="zh-CN"/>
              </w:rPr>
              <w:t>作为项目主要负责人所完成的</w:t>
            </w:r>
            <w:r>
              <w:rPr>
                <w:rFonts w:hint="eastAsia" w:ascii="仿宋_GB2312" w:hAnsi="仿宋_GB2312" w:eastAsia="仿宋_GB2312" w:cs="仿宋_GB2312"/>
                <w:b w:val="0"/>
                <w:bCs w:val="0"/>
                <w:color w:val="auto"/>
                <w:sz w:val="18"/>
                <w:szCs w:val="18"/>
                <w:highlight w:val="none"/>
                <w:lang w:val="en-US" w:eastAsia="zh-CN"/>
              </w:rPr>
              <w:t>业绩证明材料（</w:t>
            </w:r>
            <w:r>
              <w:rPr>
                <w:rFonts w:hint="eastAsia" w:ascii="仿宋_GB2312" w:hAnsi="仿宋_GB2312" w:eastAsia="仿宋_GB2312" w:cs="仿宋_GB2312"/>
                <w:b w:val="0"/>
                <w:bCs w:val="0"/>
                <w:color w:val="auto"/>
                <w:sz w:val="18"/>
                <w:szCs w:val="18"/>
                <w:highlight w:val="none"/>
              </w:rPr>
              <w:t>合同盖章关键页</w:t>
            </w:r>
            <w:r>
              <w:rPr>
                <w:rFonts w:hint="eastAsia" w:ascii="仿宋_GB2312" w:hAnsi="仿宋_GB2312" w:eastAsia="仿宋_GB2312" w:cs="仿宋_GB2312"/>
                <w:b w:val="0"/>
                <w:bCs w:val="0"/>
                <w:color w:val="auto"/>
                <w:sz w:val="18"/>
                <w:szCs w:val="18"/>
                <w:highlight w:val="none"/>
                <w:lang w:val="en-US" w:eastAsia="zh-CN"/>
              </w:rPr>
              <w:t>），若证明材料中无法体现项目任职等，需提供建设单位出具的相关证明</w:t>
            </w:r>
            <w:r>
              <w:rPr>
                <w:rFonts w:hint="eastAsia" w:ascii="仿宋_GB2312" w:hAnsi="仿宋_GB2312" w:eastAsia="仿宋_GB2312" w:cs="仿宋_GB2312"/>
                <w:b w:val="0"/>
                <w:bCs w:val="0"/>
                <w:color w:val="auto"/>
                <w:sz w:val="18"/>
                <w:szCs w:val="18"/>
                <w:highlight w:val="none"/>
              </w:rPr>
              <w:t>。</w:t>
            </w:r>
          </w:p>
        </w:tc>
        <w:tc>
          <w:tcPr>
            <w:tcW w:w="347" w:type="pct"/>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满足/</w:t>
            </w:r>
          </w:p>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不满足</w:t>
            </w:r>
          </w:p>
        </w:tc>
        <w:tc>
          <w:tcPr>
            <w:tcW w:w="387"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highlight w:val="none"/>
                <w:lang w:val="en-US" w:eastAsia="zh-CN"/>
              </w:rPr>
            </w:pPr>
          </w:p>
        </w:tc>
        <w:tc>
          <w:tcPr>
            <w:tcW w:w="313"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0" w:hRule="atLeast"/>
          <w:jc w:val="center"/>
        </w:trPr>
        <w:tc>
          <w:tcPr>
            <w:tcW w:w="223" w:type="pct"/>
            <w:shd w:val="clear" w:color="auto" w:fill="auto"/>
            <w:vAlign w:val="center"/>
          </w:tcPr>
          <w:p>
            <w:pPr>
              <w:widowControl w:val="0"/>
              <w:spacing w:afterLines="0" w:line="240" w:lineRule="auto"/>
              <w:jc w:val="center"/>
              <w:outlineLvl w:val="9"/>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5</w:t>
            </w:r>
          </w:p>
        </w:tc>
        <w:tc>
          <w:tcPr>
            <w:tcW w:w="414" w:type="pct"/>
            <w:shd w:val="clear" w:color="auto" w:fill="auto"/>
            <w:vAlign w:val="center"/>
          </w:tcPr>
          <w:p>
            <w:pPr>
              <w:widowControl w:val="0"/>
              <w:spacing w:afterLines="0" w:line="240" w:lineRule="auto"/>
              <w:jc w:val="center"/>
              <w:outlineLvl w:val="9"/>
              <w:rPr>
                <w:rFonts w:hint="default"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园林景观工程</w:t>
            </w:r>
          </w:p>
        </w:tc>
        <w:tc>
          <w:tcPr>
            <w:tcW w:w="344" w:type="pct"/>
            <w:shd w:val="clear" w:color="auto" w:fill="auto"/>
            <w:vAlign w:val="center"/>
          </w:tcPr>
          <w:p>
            <w:pPr>
              <w:widowControl w:val="0"/>
              <w:spacing w:afterLines="0" w:line="240" w:lineRule="auto"/>
              <w:jc w:val="center"/>
              <w:outlineLvl w:val="9"/>
              <w:rPr>
                <w:rFonts w:hint="default"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项目负责人</w:t>
            </w:r>
          </w:p>
        </w:tc>
        <w:tc>
          <w:tcPr>
            <w:tcW w:w="1386" w:type="pct"/>
            <w:shd w:val="clear" w:color="auto" w:fill="auto"/>
            <w:vAlign w:val="center"/>
          </w:tcPr>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拟派</w:t>
            </w:r>
            <w:r>
              <w:rPr>
                <w:rFonts w:hint="eastAsia" w:ascii="仿宋_GB2312" w:hAnsi="仿宋_GB2312" w:eastAsia="仿宋_GB2312"/>
                <w:b w:val="0"/>
                <w:bCs w:val="0"/>
                <w:color w:val="auto"/>
                <w:sz w:val="18"/>
                <w:szCs w:val="21"/>
                <w:highlight w:val="none"/>
                <w:lang w:val="en-US" w:eastAsia="zh-CN"/>
              </w:rPr>
              <w:t>项目负责人</w:t>
            </w:r>
            <w:r>
              <w:rPr>
                <w:rFonts w:hint="eastAsia" w:ascii="仿宋_GB2312" w:hAnsi="仿宋_GB2312" w:eastAsia="仿宋_GB2312"/>
                <w:b w:val="0"/>
                <w:bCs w:val="0"/>
                <w:color w:val="auto"/>
                <w:sz w:val="18"/>
                <w:szCs w:val="18"/>
                <w:highlight w:val="none"/>
                <w:lang w:val="en-US" w:eastAsia="zh-CN"/>
              </w:rPr>
              <w:t>必须同时具备以下要求：</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1.具备中级及以上职称和项目经理安全生产考核合格证书；</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2.个人从事园林景观行业项目管理工作年限≥8年；</w:t>
            </w:r>
          </w:p>
          <w:p>
            <w:pPr>
              <w:widowControl w:val="0"/>
              <w:spacing w:afterLines="0" w:line="240" w:lineRule="auto"/>
              <w:jc w:val="left"/>
              <w:outlineLvl w:val="9"/>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3.担任项目经理年限≥3年；</w:t>
            </w:r>
          </w:p>
          <w:p>
            <w:pPr>
              <w:widowControl w:val="0"/>
              <w:spacing w:afterLines="0" w:line="240" w:lineRule="auto"/>
              <w:jc w:val="left"/>
              <w:outlineLvl w:val="9"/>
              <w:rPr>
                <w:rFonts w:hint="eastAsia" w:ascii="仿宋_GB2312" w:hAnsi="仿宋_GB2312" w:eastAsia="仿宋_GB2312" w:cs="Times New Roman"/>
                <w:b w:val="0"/>
                <w:bCs w:val="0"/>
                <w:color w:val="auto"/>
                <w:kern w:val="2"/>
                <w:sz w:val="18"/>
                <w:szCs w:val="21"/>
                <w:highlight w:val="none"/>
                <w:lang w:val="en-US" w:eastAsia="zh-CN" w:bidi="ar-SA"/>
              </w:rPr>
            </w:pPr>
            <w:r>
              <w:rPr>
                <w:rFonts w:hint="eastAsia" w:ascii="仿宋_GB2312" w:hAnsi="仿宋_GB2312" w:eastAsia="仿宋_GB2312"/>
                <w:b w:val="0"/>
                <w:bCs w:val="0"/>
                <w:color w:val="auto"/>
                <w:sz w:val="18"/>
                <w:szCs w:val="18"/>
                <w:highlight w:val="none"/>
                <w:lang w:val="en-US" w:eastAsia="zh-CN"/>
              </w:rPr>
              <w:t>4.个人作为项目经理（或执行经理）全过程参与的项目累计总合同金额5000万以上或园林景观单个合同金额1500万以上的。</w:t>
            </w:r>
          </w:p>
        </w:tc>
        <w:tc>
          <w:tcPr>
            <w:tcW w:w="1584" w:type="pct"/>
            <w:shd w:val="clear" w:color="auto" w:fill="auto"/>
            <w:vAlign w:val="center"/>
          </w:tcPr>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1.</w:t>
            </w:r>
            <w:r>
              <w:rPr>
                <w:rFonts w:hint="eastAsia" w:ascii="仿宋_GB2312" w:hAnsi="仿宋_GB2312" w:eastAsia="仿宋_GB2312" w:cs="仿宋_GB2312"/>
                <w:b w:val="0"/>
                <w:bCs w:val="0"/>
                <w:color w:val="auto"/>
                <w:sz w:val="18"/>
                <w:szCs w:val="18"/>
                <w:highlight w:val="none"/>
                <w:lang w:val="en-US" w:eastAsia="zh-CN"/>
              </w:rPr>
              <w:t>提供</w:t>
            </w:r>
            <w:r>
              <w:rPr>
                <w:rFonts w:hint="eastAsia" w:ascii="仿宋_GB2312" w:hAnsi="仿宋_GB2312" w:eastAsia="仿宋_GB2312"/>
                <w:b w:val="0"/>
                <w:bCs w:val="0"/>
                <w:color w:val="auto"/>
                <w:sz w:val="18"/>
                <w:szCs w:val="21"/>
                <w:highlight w:val="none"/>
                <w:lang w:val="en-US" w:eastAsia="zh-CN"/>
              </w:rPr>
              <w:t>个人简历表</w:t>
            </w:r>
            <w:r>
              <w:rPr>
                <w:rFonts w:hint="eastAsia" w:ascii="仿宋_GB2312" w:hAnsi="仿宋_GB2312" w:eastAsia="仿宋_GB2312" w:cs="仿宋_GB2312"/>
                <w:b w:val="0"/>
                <w:bCs w:val="0"/>
                <w:color w:val="auto"/>
                <w:sz w:val="18"/>
                <w:szCs w:val="18"/>
                <w:highlight w:val="none"/>
              </w:rPr>
              <w:t>（</w:t>
            </w:r>
            <w:r>
              <w:rPr>
                <w:rFonts w:hint="eastAsia" w:ascii="仿宋_GB2312" w:hAnsi="仿宋_GB2312" w:eastAsia="仿宋_GB2312" w:cs="仿宋_GB2312"/>
                <w:b w:val="0"/>
                <w:bCs w:val="0"/>
                <w:color w:val="auto"/>
                <w:sz w:val="18"/>
                <w:szCs w:val="18"/>
                <w:highlight w:val="none"/>
                <w:lang w:val="en-US" w:eastAsia="zh-CN"/>
              </w:rPr>
              <w:t>要求</w:t>
            </w:r>
            <w:r>
              <w:rPr>
                <w:rFonts w:hint="eastAsia" w:ascii="仿宋_GB2312" w:hAnsi="仿宋_GB2312" w:eastAsia="仿宋_GB2312" w:cs="仿宋_GB2312"/>
                <w:b w:val="0"/>
                <w:bCs w:val="0"/>
                <w:color w:val="auto"/>
                <w:sz w:val="18"/>
                <w:szCs w:val="18"/>
                <w:highlight w:val="none"/>
              </w:rPr>
              <w:t>拟</w:t>
            </w:r>
            <w:r>
              <w:rPr>
                <w:rFonts w:hint="eastAsia" w:ascii="仿宋_GB2312" w:hAnsi="仿宋_GB2312" w:eastAsia="仿宋_GB2312" w:cs="仿宋_GB2312"/>
                <w:b w:val="0"/>
                <w:bCs w:val="0"/>
                <w:color w:val="auto"/>
                <w:sz w:val="18"/>
                <w:szCs w:val="18"/>
                <w:highlight w:val="none"/>
                <w:lang w:eastAsia="zh-CN"/>
              </w:rPr>
              <w:t>项目</w:t>
            </w:r>
            <w:r>
              <w:rPr>
                <w:rFonts w:hint="eastAsia" w:ascii="仿宋_GB2312" w:hAnsi="仿宋_GB2312" w:eastAsia="仿宋_GB2312" w:cs="仿宋_GB2312"/>
                <w:b w:val="0"/>
                <w:bCs w:val="0"/>
                <w:color w:val="auto"/>
                <w:sz w:val="18"/>
                <w:szCs w:val="18"/>
                <w:highlight w:val="none"/>
                <w:lang w:val="en-US" w:eastAsia="zh-CN"/>
              </w:rPr>
              <w:t>负责人</w:t>
            </w:r>
            <w:r>
              <w:rPr>
                <w:rFonts w:hint="eastAsia" w:ascii="仿宋_GB2312" w:hAnsi="仿宋_GB2312" w:eastAsia="仿宋_GB2312" w:cs="仿宋_GB2312"/>
                <w:b w:val="0"/>
                <w:bCs w:val="0"/>
                <w:color w:val="auto"/>
                <w:sz w:val="18"/>
                <w:szCs w:val="18"/>
                <w:highlight w:val="none"/>
              </w:rPr>
              <w:t>未达到退休年龄）</w:t>
            </w:r>
            <w:r>
              <w:rPr>
                <w:rFonts w:hint="eastAsia" w:ascii="仿宋_GB2312" w:hAnsi="仿宋_GB2312" w:eastAsia="仿宋_GB2312"/>
                <w:b w:val="0"/>
                <w:bCs w:val="0"/>
                <w:color w:val="auto"/>
                <w:sz w:val="18"/>
                <w:szCs w:val="21"/>
                <w:highlight w:val="none"/>
                <w:lang w:val="en-US" w:eastAsia="zh-CN"/>
              </w:rPr>
              <w:t>；</w:t>
            </w:r>
          </w:p>
          <w:p>
            <w:pPr>
              <w:widowControl w:val="0"/>
              <w:spacing w:afterLines="0" w:line="240" w:lineRule="auto"/>
              <w:jc w:val="left"/>
              <w:outlineLvl w:val="9"/>
              <w:rPr>
                <w:rFonts w:hint="default"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2.中级及以上相关专业技术职称证明、</w:t>
            </w:r>
            <w:r>
              <w:rPr>
                <w:rFonts w:hint="eastAsia" w:ascii="仿宋_GB2312" w:hAnsi="仿宋_GB2312" w:eastAsia="仿宋_GB2312"/>
                <w:b w:val="0"/>
                <w:bCs w:val="0"/>
                <w:color w:val="auto"/>
                <w:sz w:val="18"/>
                <w:szCs w:val="18"/>
                <w:highlight w:val="none"/>
                <w:lang w:val="en-US" w:eastAsia="zh-CN"/>
              </w:rPr>
              <w:t>安全生产考核合格证书</w:t>
            </w:r>
            <w:r>
              <w:rPr>
                <w:rFonts w:hint="eastAsia" w:ascii="仿宋_GB2312" w:hAnsi="仿宋_GB2312" w:eastAsia="仿宋_GB2312"/>
                <w:b w:val="0"/>
                <w:bCs w:val="0"/>
                <w:color w:val="auto"/>
                <w:sz w:val="18"/>
                <w:szCs w:val="21"/>
                <w:highlight w:val="none"/>
                <w:lang w:val="en-US" w:eastAsia="zh-CN"/>
              </w:rPr>
              <w:t>；</w:t>
            </w:r>
          </w:p>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3.个人从事建筑行业的工作年限证明，例如工作单位开具的证明、参与业绩对应年限的证明等；</w:t>
            </w:r>
          </w:p>
          <w:p>
            <w:pPr>
              <w:widowControl w:val="0"/>
              <w:spacing w:afterLines="0" w:line="240" w:lineRule="auto"/>
              <w:jc w:val="left"/>
              <w:textAlignment w:val="center"/>
              <w:outlineLvl w:val="9"/>
              <w:rPr>
                <w:rFonts w:hint="eastAsia" w:ascii="仿宋_GB2312" w:hAnsi="仿宋_GB2312" w:eastAsia="仿宋_GB2312" w:cs="Times New Roman"/>
                <w:b w:val="0"/>
                <w:bCs w:val="0"/>
                <w:color w:val="auto"/>
                <w:kern w:val="2"/>
                <w:sz w:val="18"/>
                <w:szCs w:val="21"/>
                <w:highlight w:val="none"/>
                <w:lang w:val="en-US" w:eastAsia="zh-CN" w:bidi="ar-SA"/>
              </w:rPr>
            </w:pPr>
            <w:r>
              <w:rPr>
                <w:rFonts w:hint="eastAsia" w:ascii="仿宋_GB2312" w:hAnsi="仿宋_GB2312" w:eastAsia="仿宋_GB2312"/>
                <w:b w:val="0"/>
                <w:bCs w:val="0"/>
                <w:color w:val="auto"/>
                <w:sz w:val="18"/>
                <w:szCs w:val="21"/>
                <w:highlight w:val="none"/>
                <w:lang w:val="en-US" w:eastAsia="zh-CN"/>
              </w:rPr>
              <w:t>4.提供</w:t>
            </w:r>
            <w:r>
              <w:rPr>
                <w:rFonts w:hint="eastAsia" w:ascii="仿宋_GB2312" w:hAnsi="仿宋_GB2312" w:eastAsia="仿宋_GB2312"/>
                <w:b w:val="0"/>
                <w:bCs w:val="0"/>
                <w:color w:val="auto"/>
                <w:sz w:val="18"/>
                <w:szCs w:val="18"/>
                <w:highlight w:val="none"/>
                <w:lang w:val="en-US" w:eastAsia="zh-CN"/>
              </w:rPr>
              <w:t>作为项目主要负责人所完成的</w:t>
            </w:r>
            <w:r>
              <w:rPr>
                <w:rFonts w:hint="eastAsia" w:ascii="仿宋_GB2312" w:hAnsi="仿宋_GB2312" w:eastAsia="仿宋_GB2312" w:cs="仿宋_GB2312"/>
                <w:b w:val="0"/>
                <w:bCs w:val="0"/>
                <w:color w:val="auto"/>
                <w:sz w:val="18"/>
                <w:szCs w:val="18"/>
                <w:highlight w:val="none"/>
                <w:lang w:val="en-US" w:eastAsia="zh-CN"/>
              </w:rPr>
              <w:t>业绩证明材料（</w:t>
            </w:r>
            <w:r>
              <w:rPr>
                <w:rFonts w:hint="eastAsia" w:ascii="仿宋_GB2312" w:hAnsi="仿宋_GB2312" w:eastAsia="仿宋_GB2312" w:cs="仿宋_GB2312"/>
                <w:b w:val="0"/>
                <w:bCs w:val="0"/>
                <w:color w:val="auto"/>
                <w:sz w:val="18"/>
                <w:szCs w:val="18"/>
                <w:highlight w:val="none"/>
              </w:rPr>
              <w:t>合同盖章关键页</w:t>
            </w:r>
            <w:r>
              <w:rPr>
                <w:rFonts w:hint="eastAsia" w:ascii="仿宋_GB2312" w:hAnsi="仿宋_GB2312" w:eastAsia="仿宋_GB2312" w:cs="仿宋_GB2312"/>
                <w:b w:val="0"/>
                <w:bCs w:val="0"/>
                <w:color w:val="auto"/>
                <w:sz w:val="18"/>
                <w:szCs w:val="18"/>
                <w:highlight w:val="none"/>
                <w:lang w:val="en-US" w:eastAsia="zh-CN"/>
              </w:rPr>
              <w:t>），若证明材料中无法体现项目任职等，需提供建设单位出具的相关证明</w:t>
            </w:r>
            <w:r>
              <w:rPr>
                <w:rFonts w:hint="eastAsia" w:ascii="仿宋_GB2312" w:hAnsi="仿宋_GB2312" w:eastAsia="仿宋_GB2312" w:cs="仿宋_GB2312"/>
                <w:b w:val="0"/>
                <w:bCs w:val="0"/>
                <w:color w:val="auto"/>
                <w:sz w:val="18"/>
                <w:szCs w:val="18"/>
                <w:highlight w:val="none"/>
              </w:rPr>
              <w:t>。</w:t>
            </w:r>
          </w:p>
        </w:tc>
        <w:tc>
          <w:tcPr>
            <w:tcW w:w="347" w:type="pct"/>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满足/</w:t>
            </w:r>
          </w:p>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不满足</w:t>
            </w:r>
          </w:p>
        </w:tc>
        <w:tc>
          <w:tcPr>
            <w:tcW w:w="387"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highlight w:val="none"/>
                <w:lang w:val="en-US" w:eastAsia="zh-CN"/>
              </w:rPr>
            </w:pPr>
          </w:p>
        </w:tc>
        <w:tc>
          <w:tcPr>
            <w:tcW w:w="313"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0" w:hRule="atLeast"/>
          <w:jc w:val="center"/>
        </w:trPr>
        <w:tc>
          <w:tcPr>
            <w:tcW w:w="223" w:type="pct"/>
            <w:shd w:val="clear" w:color="auto" w:fill="auto"/>
            <w:vAlign w:val="center"/>
          </w:tcPr>
          <w:p>
            <w:pPr>
              <w:widowControl w:val="0"/>
              <w:spacing w:afterLines="0" w:line="240" w:lineRule="auto"/>
              <w:jc w:val="center"/>
              <w:outlineLvl w:val="9"/>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6</w:t>
            </w:r>
          </w:p>
        </w:tc>
        <w:tc>
          <w:tcPr>
            <w:tcW w:w="414" w:type="pct"/>
            <w:shd w:val="clear" w:color="auto" w:fill="auto"/>
            <w:vAlign w:val="center"/>
          </w:tcPr>
          <w:p>
            <w:pPr>
              <w:widowControl w:val="0"/>
              <w:spacing w:afterLines="0" w:line="240" w:lineRule="auto"/>
              <w:jc w:val="center"/>
              <w:outlineLvl w:val="9"/>
              <w:rPr>
                <w:rFonts w:hint="default"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地基基础工程</w:t>
            </w:r>
          </w:p>
        </w:tc>
        <w:tc>
          <w:tcPr>
            <w:tcW w:w="344" w:type="pct"/>
            <w:shd w:val="clear" w:color="auto" w:fill="auto"/>
            <w:vAlign w:val="center"/>
          </w:tcPr>
          <w:p>
            <w:pPr>
              <w:widowControl w:val="0"/>
              <w:spacing w:afterLines="0" w:line="240" w:lineRule="auto"/>
              <w:jc w:val="center"/>
              <w:outlineLvl w:val="9"/>
              <w:rPr>
                <w:rFonts w:hint="eastAsia" w:ascii="仿宋_GB2312" w:hAnsi="仿宋_GB2312" w:eastAsia="仿宋_GB2312" w:cs="Times New Roman"/>
                <w:b w:val="0"/>
                <w:bCs w:val="0"/>
                <w:color w:val="auto"/>
                <w:kern w:val="2"/>
                <w:sz w:val="18"/>
                <w:szCs w:val="21"/>
                <w:highlight w:val="none"/>
                <w:lang w:val="en-US" w:eastAsia="zh-CN" w:bidi="ar-SA"/>
              </w:rPr>
            </w:pPr>
            <w:r>
              <w:rPr>
                <w:rFonts w:hint="eastAsia" w:ascii="仿宋_GB2312" w:hAnsi="仿宋_GB2312" w:eastAsia="仿宋_GB2312"/>
                <w:b w:val="0"/>
                <w:bCs w:val="0"/>
                <w:color w:val="auto"/>
                <w:sz w:val="18"/>
                <w:szCs w:val="21"/>
                <w:highlight w:val="none"/>
              </w:rPr>
              <w:t>项目</w:t>
            </w:r>
            <w:r>
              <w:rPr>
                <w:rFonts w:hint="eastAsia" w:ascii="仿宋_GB2312" w:hAnsi="仿宋_GB2312" w:eastAsia="仿宋_GB2312"/>
                <w:b w:val="0"/>
                <w:bCs w:val="0"/>
                <w:color w:val="auto"/>
                <w:sz w:val="18"/>
                <w:szCs w:val="21"/>
                <w:highlight w:val="none"/>
                <w:lang w:val="en-US" w:eastAsia="zh-CN"/>
              </w:rPr>
              <w:t>经理</w:t>
            </w:r>
          </w:p>
        </w:tc>
        <w:tc>
          <w:tcPr>
            <w:tcW w:w="1386" w:type="pct"/>
            <w:shd w:val="clear" w:color="auto" w:fill="auto"/>
            <w:vAlign w:val="center"/>
          </w:tcPr>
          <w:p>
            <w:pPr>
              <w:widowControl w:val="0"/>
              <w:spacing w:afterLines="0" w:line="240" w:lineRule="auto"/>
              <w:jc w:val="left"/>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拟派</w:t>
            </w:r>
            <w:r>
              <w:rPr>
                <w:rFonts w:hint="eastAsia" w:ascii="仿宋_GB2312" w:hAnsi="仿宋_GB2312" w:eastAsia="仿宋_GB2312"/>
                <w:b w:val="0"/>
                <w:bCs w:val="0"/>
                <w:color w:val="auto"/>
                <w:sz w:val="18"/>
                <w:szCs w:val="21"/>
                <w:highlight w:val="none"/>
                <w:lang w:val="en-US" w:eastAsia="zh-CN"/>
              </w:rPr>
              <w:t>项目经理</w:t>
            </w:r>
            <w:r>
              <w:rPr>
                <w:rFonts w:hint="eastAsia" w:ascii="仿宋_GB2312" w:hAnsi="仿宋_GB2312" w:eastAsia="仿宋_GB2312"/>
                <w:b w:val="0"/>
                <w:bCs w:val="0"/>
                <w:color w:val="auto"/>
                <w:sz w:val="18"/>
                <w:szCs w:val="18"/>
                <w:highlight w:val="none"/>
                <w:lang w:val="en-US" w:eastAsia="zh-CN"/>
              </w:rPr>
              <w:t>必须同时具备以下要求：</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1.同时具备一级建造师、中级及以上职称、项目经理安全生产考核合格证书；</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2.个人从事建筑行业项目管理工作年限≥8年；</w:t>
            </w:r>
          </w:p>
          <w:p>
            <w:pPr>
              <w:widowControl w:val="0"/>
              <w:spacing w:afterLines="0" w:line="240" w:lineRule="auto"/>
              <w:jc w:val="left"/>
              <w:outlineLvl w:val="9"/>
              <w:rPr>
                <w:rFonts w:hint="default"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3.担任项目经理年限≥3年；</w:t>
            </w:r>
          </w:p>
          <w:p>
            <w:pPr>
              <w:widowControl w:val="0"/>
              <w:spacing w:afterLines="0" w:line="240" w:lineRule="auto"/>
              <w:jc w:val="left"/>
              <w:outlineLvl w:val="9"/>
              <w:rPr>
                <w:rFonts w:hint="eastAsia" w:ascii="仿宋_GB2312" w:hAnsi="仿宋_GB2312" w:eastAsia="仿宋_GB2312" w:cs="Times New Roman"/>
                <w:b w:val="0"/>
                <w:bCs w:val="0"/>
                <w:color w:val="auto"/>
                <w:kern w:val="2"/>
                <w:sz w:val="18"/>
                <w:szCs w:val="21"/>
                <w:highlight w:val="none"/>
                <w:lang w:val="en-US" w:eastAsia="zh-CN" w:bidi="ar-SA"/>
              </w:rPr>
            </w:pPr>
            <w:r>
              <w:rPr>
                <w:rFonts w:hint="eastAsia" w:ascii="仿宋_GB2312" w:hAnsi="仿宋_GB2312" w:eastAsia="仿宋_GB2312"/>
                <w:b w:val="0"/>
                <w:bCs w:val="0"/>
                <w:color w:val="auto"/>
                <w:sz w:val="18"/>
                <w:szCs w:val="18"/>
                <w:highlight w:val="none"/>
                <w:lang w:val="en-US" w:eastAsia="zh-CN"/>
              </w:rPr>
              <w:t>4.个人作为项目经理（或执行经理）全过程参与的地基基础项目累计总合同金额1亿以上或地基基础单个合同金额5000万以上的。</w:t>
            </w:r>
          </w:p>
        </w:tc>
        <w:tc>
          <w:tcPr>
            <w:tcW w:w="1584" w:type="pct"/>
            <w:shd w:val="clear" w:color="auto" w:fill="auto"/>
            <w:vAlign w:val="center"/>
          </w:tcPr>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1.提供个人简历表、项目经理注册建造师证书（建筑工程专业）；</w:t>
            </w:r>
          </w:p>
          <w:p>
            <w:pPr>
              <w:widowControl w:val="0"/>
              <w:spacing w:afterLines="0" w:line="240" w:lineRule="auto"/>
              <w:jc w:val="left"/>
              <w:outlineLvl w:val="9"/>
              <w:rPr>
                <w:rFonts w:hint="default"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2.中级及以上相关专业技术职称证明；</w:t>
            </w:r>
          </w:p>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3.个人从事建筑行业的工作年限证明，例如工作单位开具的证明、参与业绩对应年限的证明等；</w:t>
            </w:r>
          </w:p>
          <w:p>
            <w:pPr>
              <w:widowControl w:val="0"/>
              <w:spacing w:afterLines="0" w:line="240" w:lineRule="auto"/>
              <w:jc w:val="left"/>
              <w:textAlignment w:val="center"/>
              <w:outlineLvl w:val="9"/>
              <w:rPr>
                <w:rFonts w:hint="eastAsia" w:ascii="仿宋_GB2312" w:hAnsi="仿宋_GB2312" w:eastAsia="仿宋_GB2312" w:cs="Times New Roman"/>
                <w:b w:val="0"/>
                <w:bCs w:val="0"/>
                <w:color w:val="auto"/>
                <w:kern w:val="2"/>
                <w:sz w:val="18"/>
                <w:szCs w:val="21"/>
                <w:highlight w:val="none"/>
                <w:lang w:val="en-US" w:eastAsia="zh-CN" w:bidi="ar-SA"/>
              </w:rPr>
            </w:pPr>
            <w:r>
              <w:rPr>
                <w:rFonts w:hint="eastAsia" w:ascii="仿宋_GB2312" w:hAnsi="仿宋_GB2312" w:eastAsia="仿宋_GB2312"/>
                <w:b w:val="0"/>
                <w:bCs w:val="0"/>
                <w:color w:val="auto"/>
                <w:sz w:val="18"/>
                <w:szCs w:val="21"/>
                <w:highlight w:val="none"/>
                <w:lang w:val="en-US" w:eastAsia="zh-CN"/>
              </w:rPr>
              <w:t>4.提供</w:t>
            </w:r>
            <w:r>
              <w:rPr>
                <w:rFonts w:hint="eastAsia" w:ascii="仿宋_GB2312" w:hAnsi="仿宋_GB2312" w:eastAsia="仿宋_GB2312"/>
                <w:b w:val="0"/>
                <w:bCs w:val="0"/>
                <w:color w:val="auto"/>
                <w:sz w:val="18"/>
                <w:szCs w:val="18"/>
                <w:highlight w:val="none"/>
                <w:lang w:val="en-US" w:eastAsia="zh-CN"/>
              </w:rPr>
              <w:t>作为项目主要负责人所完成的</w:t>
            </w:r>
            <w:r>
              <w:rPr>
                <w:rFonts w:hint="eastAsia" w:ascii="仿宋_GB2312" w:hAnsi="仿宋_GB2312" w:eastAsia="仿宋_GB2312" w:cs="仿宋_GB2312"/>
                <w:b w:val="0"/>
                <w:bCs w:val="0"/>
                <w:color w:val="auto"/>
                <w:sz w:val="18"/>
                <w:szCs w:val="18"/>
                <w:highlight w:val="none"/>
                <w:lang w:val="en-US" w:eastAsia="zh-CN"/>
              </w:rPr>
              <w:t>业绩证明材料（</w:t>
            </w:r>
            <w:r>
              <w:rPr>
                <w:rFonts w:hint="eastAsia" w:ascii="仿宋_GB2312" w:hAnsi="仿宋_GB2312" w:eastAsia="仿宋_GB2312" w:cs="仿宋_GB2312"/>
                <w:b w:val="0"/>
                <w:bCs w:val="0"/>
                <w:color w:val="auto"/>
                <w:sz w:val="18"/>
                <w:szCs w:val="18"/>
                <w:highlight w:val="none"/>
              </w:rPr>
              <w:t>合同盖章关键页</w:t>
            </w:r>
            <w:r>
              <w:rPr>
                <w:rFonts w:hint="eastAsia" w:ascii="仿宋_GB2312" w:hAnsi="仿宋_GB2312" w:eastAsia="仿宋_GB2312" w:cs="仿宋_GB2312"/>
                <w:b w:val="0"/>
                <w:bCs w:val="0"/>
                <w:color w:val="auto"/>
                <w:sz w:val="18"/>
                <w:szCs w:val="18"/>
                <w:highlight w:val="none"/>
                <w:lang w:val="en-US" w:eastAsia="zh-CN"/>
              </w:rPr>
              <w:t>），若证明材料中无法体现项目任职等，需提供建设单位出具的相关证明</w:t>
            </w:r>
            <w:r>
              <w:rPr>
                <w:rFonts w:hint="eastAsia" w:ascii="仿宋_GB2312" w:hAnsi="仿宋_GB2312" w:eastAsia="仿宋_GB2312" w:cs="仿宋_GB2312"/>
                <w:b w:val="0"/>
                <w:bCs w:val="0"/>
                <w:color w:val="auto"/>
                <w:sz w:val="18"/>
                <w:szCs w:val="18"/>
                <w:highlight w:val="none"/>
              </w:rPr>
              <w:t>。</w:t>
            </w:r>
          </w:p>
        </w:tc>
        <w:tc>
          <w:tcPr>
            <w:tcW w:w="347" w:type="pct"/>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满足/</w:t>
            </w:r>
          </w:p>
          <w:p>
            <w:pPr>
              <w:widowControl w:val="0"/>
              <w:spacing w:afterLines="0" w:line="240" w:lineRule="auto"/>
              <w:jc w:val="center"/>
              <w:outlineLvl w:val="9"/>
              <w:rPr>
                <w:rFonts w:hint="eastAsia" w:ascii="仿宋_GB2312" w:hAnsi="仿宋_GB2312" w:eastAsia="仿宋_GB2312" w:cs="仿宋_GB2312"/>
                <w:b w:val="0"/>
                <w:bCs w:val="0"/>
                <w:color w:val="auto"/>
                <w:kern w:val="2"/>
                <w:sz w:val="18"/>
                <w:szCs w:val="18"/>
                <w:highlight w:val="none"/>
                <w:lang w:val="en-US" w:eastAsia="zh-CN" w:bidi="ar-SA"/>
              </w:rPr>
            </w:pPr>
            <w:r>
              <w:rPr>
                <w:rFonts w:hint="eastAsia" w:ascii="仿宋_GB2312" w:hAnsi="仿宋_GB2312" w:eastAsia="仿宋_GB2312" w:cs="仿宋_GB2312"/>
                <w:b w:val="0"/>
                <w:bCs w:val="0"/>
                <w:color w:val="auto"/>
                <w:sz w:val="18"/>
                <w:szCs w:val="18"/>
                <w:highlight w:val="none"/>
                <w:lang w:val="en-US" w:eastAsia="zh-CN"/>
              </w:rPr>
              <w:t>不满足</w:t>
            </w:r>
          </w:p>
        </w:tc>
        <w:tc>
          <w:tcPr>
            <w:tcW w:w="387"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highlight w:val="none"/>
                <w:lang w:val="en-US" w:eastAsia="zh-CN"/>
              </w:rPr>
            </w:pPr>
          </w:p>
        </w:tc>
        <w:tc>
          <w:tcPr>
            <w:tcW w:w="313"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jc w:val="center"/>
        </w:trPr>
        <w:tc>
          <w:tcPr>
            <w:tcW w:w="223" w:type="pct"/>
            <w:shd w:val="clear" w:color="auto" w:fill="auto"/>
            <w:vAlign w:val="center"/>
          </w:tcPr>
          <w:p>
            <w:pPr>
              <w:widowControl w:val="0"/>
              <w:spacing w:afterLines="0" w:line="240" w:lineRule="auto"/>
              <w:jc w:val="center"/>
              <w:outlineLvl w:val="9"/>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7</w:t>
            </w:r>
          </w:p>
        </w:tc>
        <w:tc>
          <w:tcPr>
            <w:tcW w:w="414" w:type="pct"/>
            <w:shd w:val="clear" w:color="auto" w:fill="auto"/>
            <w:vAlign w:val="center"/>
          </w:tcPr>
          <w:p>
            <w:pPr>
              <w:widowControl w:val="0"/>
              <w:spacing w:afterLines="0" w:line="240" w:lineRule="auto"/>
              <w:jc w:val="center"/>
              <w:outlineLvl w:val="9"/>
              <w:rPr>
                <w:rFonts w:hint="default"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工程监理</w:t>
            </w:r>
          </w:p>
        </w:tc>
        <w:tc>
          <w:tcPr>
            <w:tcW w:w="344" w:type="pct"/>
            <w:shd w:val="clear" w:color="auto" w:fill="auto"/>
            <w:vAlign w:val="center"/>
          </w:tcPr>
          <w:p>
            <w:pPr>
              <w:widowControl w:val="0"/>
              <w:spacing w:afterLines="0" w:line="240" w:lineRule="auto"/>
              <w:jc w:val="center"/>
              <w:outlineLvl w:val="9"/>
              <w:rPr>
                <w:rFonts w:hint="default"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项目总监</w:t>
            </w:r>
          </w:p>
        </w:tc>
        <w:tc>
          <w:tcPr>
            <w:tcW w:w="1386" w:type="pct"/>
            <w:shd w:val="clear" w:color="auto" w:fill="auto"/>
            <w:vAlign w:val="center"/>
          </w:tcPr>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1.具备注册监理工程师资格（房屋建筑工程专业），且在申报企业注册的；</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2.个人从事监理服务工作年限≥8年；</w:t>
            </w:r>
          </w:p>
          <w:p>
            <w:pPr>
              <w:widowControl w:val="0"/>
              <w:spacing w:afterLines="0" w:line="240" w:lineRule="auto"/>
              <w:jc w:val="left"/>
              <w:outlineLvl w:val="9"/>
              <w:rPr>
                <w:rFonts w:hint="eastAsia" w:ascii="仿宋_GB2312" w:hAnsi="仿宋_GB2312" w:eastAsia="仿宋_GB2312" w:cs="Times New Roman"/>
                <w:b w:val="0"/>
                <w:bCs w:val="0"/>
                <w:color w:val="auto"/>
                <w:kern w:val="2"/>
                <w:sz w:val="18"/>
                <w:szCs w:val="21"/>
                <w:highlight w:val="none"/>
                <w:lang w:val="en-US" w:eastAsia="zh-CN" w:bidi="ar-SA"/>
              </w:rPr>
            </w:pPr>
            <w:r>
              <w:rPr>
                <w:rFonts w:hint="eastAsia" w:ascii="仿宋_GB2312" w:hAnsi="仿宋_GB2312" w:eastAsia="仿宋_GB2312"/>
                <w:b w:val="0"/>
                <w:bCs w:val="0"/>
                <w:color w:val="auto"/>
                <w:sz w:val="18"/>
                <w:szCs w:val="18"/>
                <w:highlight w:val="none"/>
                <w:lang w:val="en-US" w:eastAsia="zh-CN"/>
              </w:rPr>
              <w:t>3.个人作为项目总监（总监代表或执行经理）全过程参与的项目总建筑面积（房屋建筑工程类）在5万平方米以上的。</w:t>
            </w:r>
          </w:p>
        </w:tc>
        <w:tc>
          <w:tcPr>
            <w:tcW w:w="1584" w:type="pct"/>
            <w:shd w:val="clear" w:color="auto" w:fill="auto"/>
            <w:vAlign w:val="center"/>
          </w:tcPr>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1.</w:t>
            </w:r>
            <w:r>
              <w:rPr>
                <w:rFonts w:hint="eastAsia" w:ascii="仿宋_GB2312" w:hAnsi="仿宋_GB2312" w:eastAsia="仿宋_GB2312" w:cs="仿宋_GB2312"/>
                <w:b w:val="0"/>
                <w:bCs w:val="0"/>
                <w:color w:val="auto"/>
                <w:sz w:val="18"/>
                <w:szCs w:val="18"/>
                <w:highlight w:val="none"/>
                <w:lang w:val="en-US" w:eastAsia="zh-CN"/>
              </w:rPr>
              <w:t>提供</w:t>
            </w:r>
            <w:r>
              <w:rPr>
                <w:rFonts w:hint="eastAsia" w:ascii="仿宋_GB2312" w:hAnsi="仿宋_GB2312" w:eastAsia="仿宋_GB2312"/>
                <w:b w:val="0"/>
                <w:bCs w:val="0"/>
                <w:color w:val="auto"/>
                <w:sz w:val="18"/>
                <w:szCs w:val="21"/>
                <w:highlight w:val="none"/>
                <w:lang w:val="en-US" w:eastAsia="zh-CN"/>
              </w:rPr>
              <w:t>个人简历表</w:t>
            </w:r>
            <w:r>
              <w:rPr>
                <w:rFonts w:hint="eastAsia" w:ascii="仿宋_GB2312" w:hAnsi="仿宋_GB2312" w:eastAsia="仿宋_GB2312" w:cs="仿宋_GB2312"/>
                <w:b w:val="0"/>
                <w:bCs w:val="0"/>
                <w:color w:val="auto"/>
                <w:sz w:val="18"/>
                <w:szCs w:val="18"/>
                <w:highlight w:val="none"/>
              </w:rPr>
              <w:t>（</w:t>
            </w:r>
            <w:r>
              <w:rPr>
                <w:rFonts w:hint="eastAsia" w:ascii="仿宋_GB2312" w:hAnsi="仿宋_GB2312" w:eastAsia="仿宋_GB2312" w:cs="仿宋_GB2312"/>
                <w:b w:val="0"/>
                <w:bCs w:val="0"/>
                <w:color w:val="auto"/>
                <w:sz w:val="18"/>
                <w:szCs w:val="18"/>
                <w:highlight w:val="none"/>
                <w:lang w:val="en-US" w:eastAsia="zh-CN"/>
              </w:rPr>
              <w:t>要求</w:t>
            </w:r>
            <w:r>
              <w:rPr>
                <w:rFonts w:hint="eastAsia" w:ascii="仿宋_GB2312" w:hAnsi="仿宋_GB2312" w:eastAsia="仿宋_GB2312" w:cs="仿宋_GB2312"/>
                <w:b w:val="0"/>
                <w:bCs w:val="0"/>
                <w:color w:val="auto"/>
                <w:sz w:val="18"/>
                <w:szCs w:val="18"/>
                <w:highlight w:val="none"/>
              </w:rPr>
              <w:t>拟</w:t>
            </w:r>
            <w:r>
              <w:rPr>
                <w:rFonts w:hint="eastAsia" w:ascii="仿宋_GB2312" w:hAnsi="仿宋_GB2312" w:eastAsia="仿宋_GB2312" w:cs="仿宋_GB2312"/>
                <w:b w:val="0"/>
                <w:bCs w:val="0"/>
                <w:color w:val="auto"/>
                <w:sz w:val="18"/>
                <w:szCs w:val="18"/>
                <w:highlight w:val="none"/>
                <w:lang w:eastAsia="zh-CN"/>
              </w:rPr>
              <w:t>项目</w:t>
            </w:r>
            <w:r>
              <w:rPr>
                <w:rFonts w:hint="eastAsia" w:ascii="仿宋_GB2312" w:hAnsi="仿宋_GB2312" w:eastAsia="仿宋_GB2312" w:cs="仿宋_GB2312"/>
                <w:b w:val="0"/>
                <w:bCs w:val="0"/>
                <w:color w:val="auto"/>
                <w:sz w:val="18"/>
                <w:szCs w:val="18"/>
                <w:highlight w:val="none"/>
                <w:lang w:val="en-US" w:eastAsia="zh-CN"/>
              </w:rPr>
              <w:t>总监人</w:t>
            </w:r>
            <w:r>
              <w:rPr>
                <w:rFonts w:hint="eastAsia" w:ascii="仿宋_GB2312" w:hAnsi="仿宋_GB2312" w:eastAsia="仿宋_GB2312" w:cs="仿宋_GB2312"/>
                <w:b w:val="0"/>
                <w:bCs w:val="0"/>
                <w:color w:val="auto"/>
                <w:sz w:val="18"/>
                <w:szCs w:val="18"/>
                <w:highlight w:val="none"/>
              </w:rPr>
              <w:t>未达到退休年龄）</w:t>
            </w:r>
            <w:r>
              <w:rPr>
                <w:rFonts w:hint="eastAsia" w:ascii="仿宋_GB2312" w:hAnsi="仿宋_GB2312" w:eastAsia="仿宋_GB2312"/>
                <w:b w:val="0"/>
                <w:bCs w:val="0"/>
                <w:color w:val="auto"/>
                <w:sz w:val="18"/>
                <w:szCs w:val="21"/>
                <w:highlight w:val="none"/>
                <w:lang w:val="en-US" w:eastAsia="zh-CN"/>
              </w:rPr>
              <w:t>、注册</w:t>
            </w:r>
            <w:r>
              <w:rPr>
                <w:rFonts w:hint="eastAsia" w:ascii="仿宋_GB2312" w:hAnsi="仿宋_GB2312" w:eastAsia="仿宋_GB2312"/>
                <w:b w:val="0"/>
                <w:bCs w:val="0"/>
                <w:color w:val="auto"/>
                <w:sz w:val="18"/>
                <w:szCs w:val="18"/>
                <w:highlight w:val="none"/>
                <w:lang w:val="en-US" w:eastAsia="zh-CN"/>
              </w:rPr>
              <w:t>监理工程师证书（房屋建筑工程专业）</w:t>
            </w:r>
            <w:r>
              <w:rPr>
                <w:rFonts w:hint="eastAsia" w:ascii="仿宋_GB2312" w:hAnsi="仿宋_GB2312" w:eastAsia="仿宋_GB2312"/>
                <w:b w:val="0"/>
                <w:bCs w:val="0"/>
                <w:color w:val="auto"/>
                <w:sz w:val="18"/>
                <w:szCs w:val="21"/>
                <w:highlight w:val="none"/>
                <w:lang w:val="en-US" w:eastAsia="zh-CN"/>
              </w:rPr>
              <w:t>；</w:t>
            </w:r>
          </w:p>
          <w:p>
            <w:pPr>
              <w:widowControl w:val="0"/>
              <w:spacing w:afterLines="0" w:line="240" w:lineRule="auto"/>
              <w:jc w:val="left"/>
              <w:outlineLvl w:val="9"/>
              <w:rPr>
                <w:rFonts w:hint="default"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2.中级及以上相关专业技术职称证明；</w:t>
            </w:r>
          </w:p>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3.个人从事建筑行业的工作年限证明，例如工作单位开具的证明、参与业绩对应年限的证明等；</w:t>
            </w:r>
          </w:p>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4.提供</w:t>
            </w:r>
            <w:r>
              <w:rPr>
                <w:rFonts w:hint="eastAsia" w:ascii="仿宋_GB2312" w:hAnsi="仿宋_GB2312" w:eastAsia="仿宋_GB2312"/>
                <w:b w:val="0"/>
                <w:bCs w:val="0"/>
                <w:color w:val="auto"/>
                <w:sz w:val="18"/>
                <w:szCs w:val="18"/>
                <w:highlight w:val="none"/>
                <w:lang w:val="en-US" w:eastAsia="zh-CN"/>
              </w:rPr>
              <w:t>作为项目主要负责人所完成的</w:t>
            </w:r>
            <w:r>
              <w:rPr>
                <w:rFonts w:hint="eastAsia" w:ascii="仿宋_GB2312" w:hAnsi="仿宋_GB2312" w:eastAsia="仿宋_GB2312" w:cs="仿宋_GB2312"/>
                <w:b w:val="0"/>
                <w:bCs w:val="0"/>
                <w:color w:val="auto"/>
                <w:sz w:val="18"/>
                <w:szCs w:val="18"/>
                <w:highlight w:val="none"/>
                <w:lang w:val="en-US" w:eastAsia="zh-CN"/>
              </w:rPr>
              <w:t>业绩证明材料（</w:t>
            </w:r>
            <w:r>
              <w:rPr>
                <w:rFonts w:hint="eastAsia" w:ascii="仿宋_GB2312" w:hAnsi="仿宋_GB2312" w:eastAsia="仿宋_GB2312" w:cs="仿宋_GB2312"/>
                <w:b w:val="0"/>
                <w:bCs w:val="0"/>
                <w:color w:val="auto"/>
                <w:sz w:val="18"/>
                <w:szCs w:val="18"/>
                <w:highlight w:val="none"/>
              </w:rPr>
              <w:t>合同盖章关键页</w:t>
            </w:r>
            <w:r>
              <w:rPr>
                <w:rFonts w:hint="eastAsia" w:ascii="仿宋_GB2312" w:hAnsi="仿宋_GB2312" w:eastAsia="仿宋_GB2312" w:cs="仿宋_GB2312"/>
                <w:b w:val="0"/>
                <w:bCs w:val="0"/>
                <w:color w:val="auto"/>
                <w:sz w:val="18"/>
                <w:szCs w:val="18"/>
                <w:highlight w:val="none"/>
                <w:lang w:val="en-US" w:eastAsia="zh-CN"/>
              </w:rPr>
              <w:t>），若证明材料中无法体现项目任职等，需提供建设单位出具的相关证明</w:t>
            </w:r>
            <w:r>
              <w:rPr>
                <w:rFonts w:hint="eastAsia" w:ascii="仿宋_GB2312" w:hAnsi="仿宋_GB2312" w:eastAsia="仿宋_GB2312" w:cs="仿宋_GB2312"/>
                <w:b w:val="0"/>
                <w:bCs w:val="0"/>
                <w:color w:val="auto"/>
                <w:sz w:val="18"/>
                <w:szCs w:val="18"/>
                <w:highlight w:val="none"/>
              </w:rPr>
              <w:t>。</w:t>
            </w:r>
          </w:p>
        </w:tc>
        <w:tc>
          <w:tcPr>
            <w:tcW w:w="347" w:type="pct"/>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满足/</w:t>
            </w:r>
          </w:p>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不满足</w:t>
            </w:r>
          </w:p>
        </w:tc>
        <w:tc>
          <w:tcPr>
            <w:tcW w:w="387"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highlight w:val="none"/>
                <w:lang w:val="en-US" w:eastAsia="zh-CN"/>
              </w:rPr>
            </w:pPr>
          </w:p>
        </w:tc>
        <w:tc>
          <w:tcPr>
            <w:tcW w:w="313"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9" w:hRule="atLeast"/>
          <w:jc w:val="center"/>
        </w:trPr>
        <w:tc>
          <w:tcPr>
            <w:tcW w:w="223" w:type="pct"/>
            <w:shd w:val="clear" w:color="auto" w:fill="auto"/>
            <w:vAlign w:val="center"/>
          </w:tcPr>
          <w:p>
            <w:pPr>
              <w:widowControl w:val="0"/>
              <w:spacing w:afterLines="0" w:line="240" w:lineRule="auto"/>
              <w:jc w:val="center"/>
              <w:outlineLvl w:val="9"/>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8</w:t>
            </w:r>
          </w:p>
        </w:tc>
        <w:tc>
          <w:tcPr>
            <w:tcW w:w="414" w:type="pct"/>
            <w:shd w:val="clear" w:color="auto" w:fill="auto"/>
            <w:vAlign w:val="center"/>
          </w:tcPr>
          <w:p>
            <w:pPr>
              <w:widowControl w:val="0"/>
              <w:spacing w:afterLines="0" w:line="240" w:lineRule="auto"/>
              <w:jc w:val="center"/>
              <w:outlineLvl w:val="9"/>
              <w:rPr>
                <w:rFonts w:hint="default"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造价咨询</w:t>
            </w:r>
          </w:p>
        </w:tc>
        <w:tc>
          <w:tcPr>
            <w:tcW w:w="344" w:type="pct"/>
            <w:shd w:val="clear" w:color="auto" w:fill="auto"/>
            <w:vAlign w:val="center"/>
          </w:tcPr>
          <w:p>
            <w:pPr>
              <w:widowControl w:val="0"/>
              <w:spacing w:afterLines="0" w:line="240" w:lineRule="auto"/>
              <w:jc w:val="center"/>
              <w:outlineLvl w:val="9"/>
              <w:rPr>
                <w:rFonts w:hint="default"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项目负责人</w:t>
            </w:r>
          </w:p>
        </w:tc>
        <w:tc>
          <w:tcPr>
            <w:tcW w:w="1386" w:type="pct"/>
            <w:shd w:val="clear" w:color="auto" w:fill="auto"/>
            <w:vAlign w:val="center"/>
          </w:tcPr>
          <w:p>
            <w:pPr>
              <w:widowControl/>
              <w:spacing w:afterLines="-2147483648" w:line="240" w:lineRule="auto"/>
              <w:ind w:left="0" w:leftChars="0" w:firstLine="0" w:firstLineChars="0"/>
              <w:jc w:val="left"/>
              <w:textAlignment w:val="auto"/>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1.具备注册造价工程师（一级）注册资格，且在申报企业注册的，土建或安装专业均可；</w:t>
            </w:r>
          </w:p>
          <w:p>
            <w:pPr>
              <w:widowControl/>
              <w:spacing w:afterLines="-2147483648" w:line="240" w:lineRule="auto"/>
              <w:ind w:left="0" w:leftChars="0" w:firstLine="0" w:firstLineChars="0"/>
              <w:jc w:val="left"/>
              <w:textAlignment w:val="auto"/>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2.个人从事造价工作年限≥10年，提供个人业绩证明资料包括合同盖章页、成果性文件等资料，需业务开展时间、项目任职；</w:t>
            </w:r>
          </w:p>
          <w:p>
            <w:pPr>
              <w:widowControl/>
              <w:spacing w:afterLines="-2147483648" w:line="240" w:lineRule="auto"/>
              <w:jc w:val="left"/>
              <w:textAlignment w:val="auto"/>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3.个人在申报企业内部担任造价业务部门组长或以上级别；</w:t>
            </w:r>
          </w:p>
          <w:p>
            <w:pPr>
              <w:widowControl/>
              <w:spacing w:afterLines="-2147483648" w:line="240" w:lineRule="auto"/>
              <w:jc w:val="left"/>
              <w:textAlignment w:val="auto"/>
              <w:outlineLvl w:val="9"/>
              <w:rPr>
                <w:rFonts w:hint="eastAsia" w:ascii="仿宋_GB2312" w:hAnsi="仿宋_GB2312" w:eastAsia="仿宋_GB2312"/>
                <w:b w:val="0"/>
                <w:bCs w:val="0"/>
                <w:color w:val="auto"/>
                <w:sz w:val="18"/>
                <w:szCs w:val="18"/>
                <w:highlight w:val="none"/>
              </w:rPr>
            </w:pPr>
            <w:r>
              <w:rPr>
                <w:rFonts w:hint="eastAsia" w:ascii="仿宋_GB2312" w:hAnsi="仿宋_GB2312" w:eastAsia="仿宋_GB2312"/>
                <w:b w:val="0"/>
                <w:bCs w:val="0"/>
                <w:color w:val="auto"/>
                <w:sz w:val="18"/>
                <w:szCs w:val="18"/>
                <w:highlight w:val="none"/>
                <w:lang w:val="en-US" w:eastAsia="zh-CN"/>
              </w:rPr>
              <w:t>4.缴纳社保至少6个月，且社保缴存单位为申报单位。</w:t>
            </w:r>
          </w:p>
        </w:tc>
        <w:tc>
          <w:tcPr>
            <w:tcW w:w="1584" w:type="pct"/>
            <w:shd w:val="clear" w:color="auto" w:fill="auto"/>
            <w:vAlign w:val="center"/>
          </w:tcPr>
          <w:p>
            <w:pPr>
              <w:widowControl w:val="0"/>
              <w:spacing w:afterLines="0" w:line="240" w:lineRule="auto"/>
              <w:jc w:val="left"/>
              <w:textAlignment w:val="center"/>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1.提供</w:t>
            </w:r>
            <w:r>
              <w:rPr>
                <w:rFonts w:hint="eastAsia" w:ascii="仿宋_GB2312" w:hAnsi="仿宋_GB2312" w:eastAsia="仿宋_GB2312"/>
                <w:b w:val="0"/>
                <w:bCs w:val="0"/>
                <w:color w:val="auto"/>
                <w:sz w:val="18"/>
                <w:szCs w:val="21"/>
                <w:highlight w:val="none"/>
                <w:lang w:val="en-US" w:eastAsia="zh-CN"/>
              </w:rPr>
              <w:t>个人简历表</w:t>
            </w:r>
            <w:r>
              <w:rPr>
                <w:rFonts w:hint="eastAsia" w:ascii="仿宋_GB2312" w:hAnsi="仿宋_GB2312" w:eastAsia="仿宋_GB2312" w:cs="仿宋_GB2312"/>
                <w:b w:val="0"/>
                <w:bCs w:val="0"/>
                <w:color w:val="auto"/>
                <w:sz w:val="18"/>
                <w:szCs w:val="18"/>
                <w:highlight w:val="none"/>
              </w:rPr>
              <w:t>（</w:t>
            </w:r>
            <w:r>
              <w:rPr>
                <w:rFonts w:hint="eastAsia" w:ascii="仿宋_GB2312" w:hAnsi="仿宋_GB2312" w:eastAsia="仿宋_GB2312" w:cs="仿宋_GB2312"/>
                <w:b w:val="0"/>
                <w:bCs w:val="0"/>
                <w:color w:val="auto"/>
                <w:sz w:val="18"/>
                <w:szCs w:val="18"/>
                <w:highlight w:val="none"/>
                <w:lang w:val="en-US" w:eastAsia="zh-CN"/>
              </w:rPr>
              <w:t>要求</w:t>
            </w:r>
            <w:r>
              <w:rPr>
                <w:rFonts w:hint="eastAsia" w:ascii="仿宋_GB2312" w:hAnsi="仿宋_GB2312" w:eastAsia="仿宋_GB2312" w:cs="仿宋_GB2312"/>
                <w:b w:val="0"/>
                <w:bCs w:val="0"/>
                <w:color w:val="auto"/>
                <w:sz w:val="18"/>
                <w:szCs w:val="18"/>
                <w:highlight w:val="none"/>
              </w:rPr>
              <w:t>拟</w:t>
            </w:r>
            <w:r>
              <w:rPr>
                <w:rFonts w:hint="eastAsia" w:ascii="仿宋_GB2312" w:hAnsi="仿宋_GB2312" w:eastAsia="仿宋_GB2312" w:cs="仿宋_GB2312"/>
                <w:b w:val="0"/>
                <w:bCs w:val="0"/>
                <w:color w:val="auto"/>
                <w:sz w:val="18"/>
                <w:szCs w:val="18"/>
                <w:highlight w:val="none"/>
                <w:lang w:eastAsia="zh-CN"/>
              </w:rPr>
              <w:t>项目</w:t>
            </w:r>
            <w:r>
              <w:rPr>
                <w:rFonts w:hint="eastAsia" w:ascii="仿宋_GB2312" w:hAnsi="仿宋_GB2312" w:eastAsia="仿宋_GB2312" w:cs="仿宋_GB2312"/>
                <w:b w:val="0"/>
                <w:bCs w:val="0"/>
                <w:color w:val="auto"/>
                <w:sz w:val="18"/>
                <w:szCs w:val="18"/>
                <w:highlight w:val="none"/>
                <w:lang w:val="en-US" w:eastAsia="zh-CN"/>
              </w:rPr>
              <w:t>负责人</w:t>
            </w:r>
            <w:r>
              <w:rPr>
                <w:rFonts w:hint="eastAsia" w:ascii="仿宋_GB2312" w:hAnsi="仿宋_GB2312" w:eastAsia="仿宋_GB2312" w:cs="仿宋_GB2312"/>
                <w:b w:val="0"/>
                <w:bCs w:val="0"/>
                <w:color w:val="auto"/>
                <w:sz w:val="18"/>
                <w:szCs w:val="18"/>
                <w:highlight w:val="none"/>
              </w:rPr>
              <w:t>未达到退休年龄）</w:t>
            </w:r>
            <w:r>
              <w:rPr>
                <w:rFonts w:hint="eastAsia" w:ascii="仿宋_GB2312" w:hAnsi="仿宋_GB2312" w:eastAsia="仿宋_GB2312" w:cs="仿宋_GB2312"/>
                <w:b w:val="0"/>
                <w:bCs w:val="0"/>
                <w:color w:val="auto"/>
                <w:sz w:val="18"/>
                <w:szCs w:val="18"/>
                <w:highlight w:val="none"/>
                <w:lang w:eastAsia="zh-CN"/>
              </w:rPr>
              <w:t>，</w:t>
            </w:r>
            <w:r>
              <w:rPr>
                <w:rFonts w:hint="eastAsia" w:ascii="仿宋_GB2312" w:hAnsi="仿宋_GB2312" w:eastAsia="仿宋_GB2312"/>
                <w:b w:val="0"/>
                <w:bCs w:val="0"/>
                <w:color w:val="auto"/>
                <w:sz w:val="18"/>
                <w:szCs w:val="21"/>
                <w:highlight w:val="none"/>
                <w:lang w:val="en-US" w:eastAsia="zh-CN"/>
              </w:rPr>
              <w:t>注册造价工程师(一级)</w:t>
            </w:r>
            <w:r>
              <w:rPr>
                <w:rFonts w:hint="eastAsia" w:ascii="仿宋_GB2312" w:hAnsi="仿宋_GB2312" w:eastAsia="仿宋_GB2312"/>
                <w:b w:val="0"/>
                <w:bCs w:val="0"/>
                <w:color w:val="auto"/>
                <w:sz w:val="18"/>
                <w:szCs w:val="18"/>
                <w:highlight w:val="none"/>
                <w:lang w:val="en-US" w:eastAsia="zh-CN"/>
              </w:rPr>
              <w:t>证书（土建或安装专业均可）；</w:t>
            </w:r>
          </w:p>
          <w:p>
            <w:pPr>
              <w:widowControl w:val="0"/>
              <w:spacing w:afterLines="0" w:line="240" w:lineRule="auto"/>
              <w:jc w:val="left"/>
              <w:textAlignment w:val="center"/>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2.个人从事造价工作年限，需提供个人最早期从事造价工作的业绩证明资料，需提供合同关键页、成果性文件等资料，必须体现需体现业务开展时间、项目任职，否则不予认可。</w:t>
            </w:r>
          </w:p>
          <w:p>
            <w:pPr>
              <w:widowControl w:val="0"/>
              <w:spacing w:afterLines="0" w:line="240" w:lineRule="auto"/>
              <w:jc w:val="left"/>
              <w:textAlignment w:val="center"/>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3.提供申报企业内部担任造价业务部门组长或以上级别的任职证明（董事会或班子会人事任命纪要、任职文件）；</w:t>
            </w:r>
          </w:p>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18"/>
                <w:highlight w:val="none"/>
                <w:lang w:val="en-US" w:eastAsia="zh-CN"/>
              </w:rPr>
              <w:t>4.社保机构出具的近6个月社保缴费证明文件，社保缴存单位为申报单位。</w:t>
            </w:r>
          </w:p>
        </w:tc>
        <w:tc>
          <w:tcPr>
            <w:tcW w:w="347" w:type="pct"/>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满足/</w:t>
            </w:r>
          </w:p>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不满足</w:t>
            </w:r>
          </w:p>
        </w:tc>
        <w:tc>
          <w:tcPr>
            <w:tcW w:w="387"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highlight w:val="none"/>
                <w:lang w:val="en-US" w:eastAsia="zh-CN"/>
              </w:rPr>
            </w:pPr>
          </w:p>
        </w:tc>
        <w:tc>
          <w:tcPr>
            <w:tcW w:w="313"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7" w:hRule="atLeast"/>
          <w:jc w:val="center"/>
        </w:trPr>
        <w:tc>
          <w:tcPr>
            <w:tcW w:w="223" w:type="pct"/>
            <w:shd w:val="clear" w:color="auto" w:fill="auto"/>
            <w:vAlign w:val="center"/>
          </w:tcPr>
          <w:p>
            <w:pPr>
              <w:widowControl w:val="0"/>
              <w:spacing w:afterLines="0" w:line="240" w:lineRule="auto"/>
              <w:jc w:val="center"/>
              <w:outlineLvl w:val="9"/>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9</w:t>
            </w:r>
          </w:p>
        </w:tc>
        <w:tc>
          <w:tcPr>
            <w:tcW w:w="414" w:type="pct"/>
            <w:vMerge w:val="restart"/>
            <w:shd w:val="clear" w:color="auto" w:fill="auto"/>
            <w:vAlign w:val="center"/>
          </w:tcPr>
          <w:p>
            <w:pPr>
              <w:pStyle w:val="2"/>
              <w:ind w:left="0" w:leftChars="0" w:firstLine="0" w:firstLineChars="0"/>
              <w:jc w:val="center"/>
              <w:rPr>
                <w:rFonts w:hint="eastAsia"/>
                <w:color w:val="auto"/>
                <w:highlight w:val="none"/>
                <w:lang w:val="en-US" w:eastAsia="zh-CN"/>
              </w:rPr>
            </w:pPr>
            <w:r>
              <w:rPr>
                <w:rFonts w:hint="eastAsia" w:ascii="仿宋_GB2312" w:hAnsi="仿宋_GB2312" w:eastAsia="仿宋_GB2312" w:cs="Times New Roman"/>
                <w:b w:val="0"/>
                <w:bCs w:val="0"/>
                <w:color w:val="auto"/>
                <w:kern w:val="2"/>
                <w:sz w:val="18"/>
                <w:szCs w:val="21"/>
                <w:highlight w:val="none"/>
                <w:lang w:val="en-US" w:eastAsia="zh-CN" w:bidi="ar-SA"/>
              </w:rPr>
              <w:t>建筑设计</w:t>
            </w:r>
          </w:p>
        </w:tc>
        <w:tc>
          <w:tcPr>
            <w:tcW w:w="344" w:type="pct"/>
            <w:shd w:val="clear" w:color="auto" w:fill="auto"/>
            <w:vAlign w:val="center"/>
          </w:tcPr>
          <w:p>
            <w:pPr>
              <w:widowControl w:val="0"/>
              <w:spacing w:afterLines="0" w:line="240" w:lineRule="auto"/>
              <w:jc w:val="center"/>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首席建筑师</w:t>
            </w:r>
          </w:p>
        </w:tc>
        <w:tc>
          <w:tcPr>
            <w:tcW w:w="1386" w:type="pct"/>
            <w:shd w:val="clear" w:color="auto" w:fill="auto"/>
            <w:vAlign w:val="center"/>
          </w:tcPr>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1.具备一级注册</w:t>
            </w:r>
            <w:r>
              <w:rPr>
                <w:rFonts w:hint="eastAsia" w:ascii="仿宋_GB2312" w:hAnsi="仿宋_GB2312" w:eastAsia="仿宋_GB2312"/>
                <w:b w:val="0"/>
                <w:bCs w:val="0"/>
                <w:color w:val="auto"/>
                <w:sz w:val="18"/>
                <w:szCs w:val="21"/>
                <w:highlight w:val="none"/>
                <w:lang w:val="en-US" w:eastAsia="zh-CN"/>
              </w:rPr>
              <w:t>建筑师</w:t>
            </w:r>
            <w:r>
              <w:rPr>
                <w:rFonts w:hint="eastAsia" w:ascii="仿宋_GB2312" w:hAnsi="仿宋_GB2312" w:eastAsia="仿宋_GB2312"/>
                <w:b w:val="0"/>
                <w:bCs w:val="0"/>
                <w:color w:val="auto"/>
                <w:sz w:val="18"/>
                <w:szCs w:val="18"/>
                <w:highlight w:val="none"/>
                <w:lang w:val="en-US" w:eastAsia="zh-CN"/>
              </w:rPr>
              <w:t>证书、高级及以上技术职称；</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2.个人从事建筑行业工作年限≥10年；</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3.个人作为项目首席或项目负责人全过程参与住宅项目累计总建筑面积20万平方米以上。</w:t>
            </w:r>
          </w:p>
        </w:tc>
        <w:tc>
          <w:tcPr>
            <w:tcW w:w="1584" w:type="pct"/>
            <w:shd w:val="clear" w:color="auto" w:fill="auto"/>
            <w:vAlign w:val="center"/>
          </w:tcPr>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1.提供个人简历表、注册建筑师证书（建筑工程专业）；</w:t>
            </w:r>
          </w:p>
          <w:p>
            <w:pPr>
              <w:widowControl w:val="0"/>
              <w:spacing w:afterLines="0" w:line="240" w:lineRule="auto"/>
              <w:jc w:val="left"/>
              <w:outlineLvl w:val="9"/>
              <w:rPr>
                <w:rFonts w:hint="default"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2.高级及以上相关专业技术职称证明；</w:t>
            </w:r>
          </w:p>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3.个人从事建筑行业的工作年限证明，例如工作单位开具的证明、参与业绩对应年限的证明等；</w:t>
            </w:r>
          </w:p>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4.提供作为项目首席或</w:t>
            </w:r>
            <w:r>
              <w:rPr>
                <w:rFonts w:hint="eastAsia" w:ascii="仿宋_GB2312" w:hAnsi="仿宋_GB2312" w:eastAsia="仿宋_GB2312"/>
                <w:b w:val="0"/>
                <w:bCs w:val="0"/>
                <w:color w:val="auto"/>
                <w:sz w:val="18"/>
                <w:szCs w:val="18"/>
                <w:highlight w:val="none"/>
                <w:lang w:val="en-US" w:eastAsia="zh-CN"/>
              </w:rPr>
              <w:t>项目</w:t>
            </w:r>
            <w:r>
              <w:rPr>
                <w:rFonts w:hint="eastAsia" w:ascii="仿宋_GB2312" w:hAnsi="仿宋_GB2312" w:eastAsia="仿宋_GB2312"/>
                <w:b w:val="0"/>
                <w:bCs w:val="0"/>
                <w:color w:val="auto"/>
                <w:sz w:val="18"/>
                <w:szCs w:val="21"/>
                <w:highlight w:val="none"/>
                <w:lang w:val="en-US" w:eastAsia="zh-CN"/>
              </w:rPr>
              <w:t>负责人所完成的业绩证明材料（合同盖章关键页），若证明材料中无法体现项目任职等，需提供建设单位出具的相关证明。</w:t>
            </w:r>
          </w:p>
        </w:tc>
        <w:tc>
          <w:tcPr>
            <w:tcW w:w="347" w:type="pct"/>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满足/</w:t>
            </w:r>
          </w:p>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不满足</w:t>
            </w:r>
          </w:p>
        </w:tc>
        <w:tc>
          <w:tcPr>
            <w:tcW w:w="387"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highlight w:val="none"/>
                <w:lang w:val="en-US" w:eastAsia="zh-CN"/>
              </w:rPr>
            </w:pPr>
          </w:p>
        </w:tc>
        <w:tc>
          <w:tcPr>
            <w:tcW w:w="313"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jc w:val="center"/>
        </w:trPr>
        <w:tc>
          <w:tcPr>
            <w:tcW w:w="223" w:type="pct"/>
            <w:shd w:val="clear" w:color="auto" w:fill="auto"/>
            <w:vAlign w:val="center"/>
          </w:tcPr>
          <w:p>
            <w:pPr>
              <w:widowControl w:val="0"/>
              <w:spacing w:afterLines="0" w:line="240" w:lineRule="auto"/>
              <w:jc w:val="center"/>
              <w:outlineLvl w:val="9"/>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10</w:t>
            </w:r>
          </w:p>
        </w:tc>
        <w:tc>
          <w:tcPr>
            <w:tcW w:w="414"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b w:val="0"/>
                <w:bCs w:val="0"/>
                <w:color w:val="auto"/>
                <w:sz w:val="18"/>
                <w:szCs w:val="21"/>
                <w:highlight w:val="none"/>
                <w:lang w:val="en-US" w:eastAsia="zh-CN"/>
              </w:rPr>
            </w:pPr>
          </w:p>
        </w:tc>
        <w:tc>
          <w:tcPr>
            <w:tcW w:w="344" w:type="pct"/>
            <w:shd w:val="clear" w:color="auto" w:fill="auto"/>
            <w:vAlign w:val="center"/>
          </w:tcPr>
          <w:p>
            <w:pPr>
              <w:widowControl w:val="0"/>
              <w:spacing w:afterLines="0" w:line="240" w:lineRule="auto"/>
              <w:jc w:val="center"/>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项目负责人</w:t>
            </w:r>
          </w:p>
        </w:tc>
        <w:tc>
          <w:tcPr>
            <w:tcW w:w="1386" w:type="pct"/>
            <w:shd w:val="clear" w:color="auto" w:fill="auto"/>
            <w:vAlign w:val="center"/>
          </w:tcPr>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1.具备一级注册</w:t>
            </w:r>
            <w:r>
              <w:rPr>
                <w:rFonts w:hint="eastAsia" w:ascii="仿宋_GB2312" w:hAnsi="仿宋_GB2312" w:eastAsia="仿宋_GB2312"/>
                <w:b w:val="0"/>
                <w:bCs w:val="0"/>
                <w:color w:val="auto"/>
                <w:sz w:val="18"/>
                <w:szCs w:val="21"/>
                <w:highlight w:val="none"/>
                <w:lang w:val="en-US" w:eastAsia="zh-CN"/>
              </w:rPr>
              <w:t>建筑师</w:t>
            </w:r>
            <w:r>
              <w:rPr>
                <w:rFonts w:hint="eastAsia" w:ascii="仿宋_GB2312" w:hAnsi="仿宋_GB2312" w:eastAsia="仿宋_GB2312"/>
                <w:b w:val="0"/>
                <w:bCs w:val="0"/>
                <w:color w:val="auto"/>
                <w:sz w:val="18"/>
                <w:szCs w:val="18"/>
                <w:highlight w:val="none"/>
                <w:lang w:val="en-US" w:eastAsia="zh-CN"/>
              </w:rPr>
              <w:t>证书、高级及以上技术职称；</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2.个人从事建筑行业工作年限≥10年；</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3.个人作为项目负责人全过程参与住宅项目累计总建筑面积5万平方米以上。</w:t>
            </w:r>
          </w:p>
        </w:tc>
        <w:tc>
          <w:tcPr>
            <w:tcW w:w="1584" w:type="pct"/>
            <w:shd w:val="clear" w:color="auto" w:fill="auto"/>
            <w:vAlign w:val="center"/>
          </w:tcPr>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1.提供个人简历表、注册建筑师证书（建筑工程专业）；</w:t>
            </w:r>
          </w:p>
          <w:p>
            <w:pPr>
              <w:widowControl w:val="0"/>
              <w:spacing w:afterLines="0" w:line="240" w:lineRule="auto"/>
              <w:jc w:val="left"/>
              <w:outlineLvl w:val="9"/>
              <w:rPr>
                <w:rFonts w:hint="default"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2.高级及以上相关专业技术职称证明；</w:t>
            </w:r>
          </w:p>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3.个人从事建筑行业的工作年限证明，例如工作单位开具的证明、参与业绩对应年限的证明等；</w:t>
            </w:r>
          </w:p>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4.提供作为项目负责人所完成的业绩证明材料（合同盖章关键页），若证明材料中无法体现项目任职等，需提供建设单位出具的相关证明。</w:t>
            </w:r>
          </w:p>
        </w:tc>
        <w:tc>
          <w:tcPr>
            <w:tcW w:w="347" w:type="pct"/>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满足/</w:t>
            </w:r>
          </w:p>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不满足</w:t>
            </w:r>
          </w:p>
        </w:tc>
        <w:tc>
          <w:tcPr>
            <w:tcW w:w="387"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highlight w:val="none"/>
                <w:lang w:val="en-US" w:eastAsia="zh-CN"/>
              </w:rPr>
            </w:pPr>
          </w:p>
        </w:tc>
        <w:tc>
          <w:tcPr>
            <w:tcW w:w="313"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4" w:hRule="atLeast"/>
          <w:jc w:val="center"/>
        </w:trPr>
        <w:tc>
          <w:tcPr>
            <w:tcW w:w="223" w:type="pct"/>
            <w:shd w:val="clear" w:color="auto" w:fill="auto"/>
            <w:vAlign w:val="center"/>
          </w:tcPr>
          <w:p>
            <w:pPr>
              <w:widowControl w:val="0"/>
              <w:spacing w:afterLines="0" w:line="240" w:lineRule="auto"/>
              <w:jc w:val="center"/>
              <w:outlineLvl w:val="9"/>
              <w:rPr>
                <w:rFonts w:hint="default"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11</w:t>
            </w:r>
          </w:p>
        </w:tc>
        <w:tc>
          <w:tcPr>
            <w:tcW w:w="414"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b w:val="0"/>
                <w:bCs w:val="0"/>
                <w:color w:val="auto"/>
                <w:sz w:val="18"/>
                <w:szCs w:val="21"/>
                <w:highlight w:val="none"/>
                <w:lang w:val="en-US" w:eastAsia="zh-CN"/>
              </w:rPr>
            </w:pPr>
          </w:p>
        </w:tc>
        <w:tc>
          <w:tcPr>
            <w:tcW w:w="344" w:type="pct"/>
            <w:shd w:val="clear" w:color="auto" w:fill="auto"/>
            <w:vAlign w:val="center"/>
          </w:tcPr>
          <w:p>
            <w:pPr>
              <w:widowControl w:val="0"/>
              <w:spacing w:afterLines="0" w:line="240" w:lineRule="auto"/>
              <w:jc w:val="center"/>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主创设计师</w:t>
            </w:r>
          </w:p>
        </w:tc>
        <w:tc>
          <w:tcPr>
            <w:tcW w:w="1386" w:type="pct"/>
            <w:shd w:val="clear" w:color="auto" w:fill="auto"/>
            <w:vAlign w:val="center"/>
          </w:tcPr>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1.具备一级注册</w:t>
            </w:r>
            <w:r>
              <w:rPr>
                <w:rFonts w:hint="eastAsia" w:ascii="仿宋_GB2312" w:hAnsi="仿宋_GB2312" w:eastAsia="仿宋_GB2312"/>
                <w:b w:val="0"/>
                <w:bCs w:val="0"/>
                <w:color w:val="auto"/>
                <w:sz w:val="18"/>
                <w:szCs w:val="21"/>
                <w:highlight w:val="none"/>
                <w:lang w:val="en-US" w:eastAsia="zh-CN"/>
              </w:rPr>
              <w:t>建筑师</w:t>
            </w:r>
            <w:r>
              <w:rPr>
                <w:rFonts w:hint="eastAsia" w:ascii="仿宋_GB2312" w:hAnsi="仿宋_GB2312" w:eastAsia="仿宋_GB2312"/>
                <w:b w:val="0"/>
                <w:bCs w:val="0"/>
                <w:color w:val="auto"/>
                <w:sz w:val="18"/>
                <w:szCs w:val="18"/>
                <w:highlight w:val="none"/>
                <w:lang w:val="en-US" w:eastAsia="zh-CN"/>
              </w:rPr>
              <w:t>证书或副高及以上技术职称；</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2.个人从事建筑行业工作年限≥7年；</w:t>
            </w:r>
          </w:p>
          <w:p>
            <w:pPr>
              <w:widowControl w:val="0"/>
              <w:spacing w:afterLines="0" w:line="240" w:lineRule="auto"/>
              <w:jc w:val="left"/>
              <w:outlineLvl w:val="9"/>
              <w:rPr>
                <w:rFonts w:hint="eastAsia" w:ascii="仿宋_GB2312" w:hAnsi="仿宋_GB2312" w:eastAsia="仿宋_GB2312"/>
                <w:b w:val="0"/>
                <w:bCs w:val="0"/>
                <w:color w:val="auto"/>
                <w:sz w:val="18"/>
                <w:szCs w:val="18"/>
                <w:highlight w:val="none"/>
                <w:lang w:val="en-US" w:eastAsia="zh-CN"/>
              </w:rPr>
            </w:pPr>
            <w:r>
              <w:rPr>
                <w:rFonts w:hint="eastAsia" w:ascii="仿宋_GB2312" w:hAnsi="仿宋_GB2312" w:eastAsia="仿宋_GB2312"/>
                <w:b w:val="0"/>
                <w:bCs w:val="0"/>
                <w:color w:val="auto"/>
                <w:sz w:val="18"/>
                <w:szCs w:val="18"/>
                <w:highlight w:val="none"/>
                <w:lang w:val="en-US" w:eastAsia="zh-CN"/>
              </w:rPr>
              <w:t>3.个人作为</w:t>
            </w:r>
            <w:r>
              <w:rPr>
                <w:rFonts w:hint="eastAsia" w:ascii="仿宋_GB2312" w:hAnsi="仿宋_GB2312" w:eastAsia="仿宋_GB2312"/>
                <w:color w:val="auto"/>
                <w:sz w:val="18"/>
                <w:szCs w:val="18"/>
                <w:highlight w:val="none"/>
              </w:rPr>
              <w:t>方案负责人、建筑方案负责人、主创负责人</w:t>
            </w:r>
            <w:r>
              <w:rPr>
                <w:rFonts w:hint="eastAsia" w:ascii="仿宋_GB2312" w:hAnsi="仿宋_GB2312" w:eastAsia="仿宋_GB2312"/>
                <w:b w:val="0"/>
                <w:bCs w:val="0"/>
                <w:color w:val="auto"/>
                <w:sz w:val="18"/>
                <w:szCs w:val="18"/>
                <w:highlight w:val="none"/>
                <w:lang w:val="en-US" w:eastAsia="zh-CN"/>
              </w:rPr>
              <w:t>全过程参与住宅项目累计总建筑面积10万平方米以上。</w:t>
            </w:r>
          </w:p>
        </w:tc>
        <w:tc>
          <w:tcPr>
            <w:tcW w:w="1584" w:type="pct"/>
            <w:shd w:val="clear" w:color="auto" w:fill="auto"/>
            <w:vAlign w:val="center"/>
          </w:tcPr>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1.提供个人简历表、注册建筑师证书（建筑工程专业）或技术职称证明；</w:t>
            </w:r>
          </w:p>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2.个人从事建筑行业的工作年限证明，例如工作单位开具的证明、参与业绩对应年限的证明等；</w:t>
            </w:r>
          </w:p>
          <w:p>
            <w:pPr>
              <w:widowControl w:val="0"/>
              <w:spacing w:afterLines="0" w:line="240" w:lineRule="auto"/>
              <w:jc w:val="left"/>
              <w:outlineLvl w:val="9"/>
              <w:rPr>
                <w:rFonts w:hint="eastAsia" w:ascii="仿宋_GB2312" w:hAnsi="仿宋_GB2312" w:eastAsia="仿宋_GB2312"/>
                <w:b w:val="0"/>
                <w:bCs w:val="0"/>
                <w:color w:val="auto"/>
                <w:sz w:val="18"/>
                <w:szCs w:val="21"/>
                <w:highlight w:val="none"/>
                <w:lang w:val="en-US" w:eastAsia="zh-CN"/>
              </w:rPr>
            </w:pPr>
            <w:r>
              <w:rPr>
                <w:rFonts w:hint="eastAsia" w:ascii="仿宋_GB2312" w:hAnsi="仿宋_GB2312" w:eastAsia="仿宋_GB2312"/>
                <w:b w:val="0"/>
                <w:bCs w:val="0"/>
                <w:color w:val="auto"/>
                <w:sz w:val="18"/>
                <w:szCs w:val="21"/>
                <w:highlight w:val="none"/>
                <w:lang w:val="en-US" w:eastAsia="zh-CN"/>
              </w:rPr>
              <w:t>3.提供作为</w:t>
            </w:r>
            <w:r>
              <w:rPr>
                <w:rFonts w:hint="eastAsia" w:ascii="仿宋_GB2312" w:hAnsi="仿宋_GB2312" w:eastAsia="仿宋_GB2312"/>
                <w:color w:val="auto"/>
                <w:sz w:val="18"/>
                <w:szCs w:val="18"/>
                <w:highlight w:val="none"/>
              </w:rPr>
              <w:t>方案负责人、建筑方案负责人、主创负责人</w:t>
            </w:r>
            <w:r>
              <w:rPr>
                <w:rFonts w:hint="eastAsia" w:ascii="仿宋_GB2312" w:hAnsi="仿宋_GB2312" w:eastAsia="仿宋_GB2312"/>
                <w:b w:val="0"/>
                <w:bCs w:val="0"/>
                <w:color w:val="auto"/>
                <w:sz w:val="18"/>
                <w:szCs w:val="21"/>
                <w:highlight w:val="none"/>
                <w:lang w:val="en-US" w:eastAsia="zh-CN"/>
              </w:rPr>
              <w:t>所完成的业绩证明材料（合同盖章关键页），若证明材料中无法体现项目任职等，需提供建设单位出具的相关证明。</w:t>
            </w:r>
          </w:p>
        </w:tc>
        <w:tc>
          <w:tcPr>
            <w:tcW w:w="347" w:type="pct"/>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满足/</w:t>
            </w:r>
          </w:p>
          <w:p>
            <w:pPr>
              <w:widowControl w:val="0"/>
              <w:spacing w:afterLines="0" w:line="240" w:lineRule="auto"/>
              <w:jc w:val="center"/>
              <w:outlineLvl w:val="9"/>
              <w:rPr>
                <w:rFonts w:hint="eastAsia" w:ascii="仿宋_GB2312" w:hAnsi="仿宋_GB2312" w:eastAsia="仿宋_GB2312" w:cs="仿宋_GB2312"/>
                <w:b w:val="0"/>
                <w:bCs w:val="0"/>
                <w:color w:val="auto"/>
                <w:sz w:val="18"/>
                <w:szCs w:val="18"/>
                <w:highlight w:val="none"/>
                <w:lang w:val="en-US" w:eastAsia="zh-CN"/>
              </w:rPr>
            </w:pPr>
            <w:r>
              <w:rPr>
                <w:rFonts w:hint="eastAsia" w:ascii="仿宋_GB2312" w:hAnsi="仿宋_GB2312" w:eastAsia="仿宋_GB2312" w:cs="仿宋_GB2312"/>
                <w:b w:val="0"/>
                <w:bCs w:val="0"/>
                <w:color w:val="auto"/>
                <w:sz w:val="18"/>
                <w:szCs w:val="18"/>
                <w:highlight w:val="none"/>
                <w:lang w:val="en-US" w:eastAsia="zh-CN"/>
              </w:rPr>
              <w:t>不满足</w:t>
            </w:r>
          </w:p>
        </w:tc>
        <w:tc>
          <w:tcPr>
            <w:tcW w:w="387"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highlight w:val="none"/>
                <w:lang w:val="en-US" w:eastAsia="zh-CN"/>
              </w:rPr>
            </w:pPr>
          </w:p>
        </w:tc>
        <w:tc>
          <w:tcPr>
            <w:tcW w:w="313" w:type="pct"/>
            <w:vMerge w:val="continue"/>
            <w:shd w:val="clear" w:color="auto" w:fill="auto"/>
            <w:vAlign w:val="center"/>
          </w:tcPr>
          <w:p>
            <w:pPr>
              <w:widowControl w:val="0"/>
              <w:spacing w:afterLines="0" w:line="240" w:lineRule="auto"/>
              <w:jc w:val="center"/>
              <w:outlineLvl w:val="9"/>
              <w:rPr>
                <w:rFonts w:hint="eastAsia" w:ascii="仿宋_GB2312" w:hAnsi="仿宋_GB2312" w:eastAsia="仿宋_GB2312" w:cs="仿宋_GB2312"/>
                <w:b w:val="0"/>
                <w:bCs w:val="0"/>
                <w:color w:val="auto"/>
                <w:highlight w:val="none"/>
                <w:lang w:val="en-US" w:eastAsia="zh-CN"/>
              </w:rPr>
            </w:pPr>
          </w:p>
        </w:tc>
      </w:tr>
      <w:bookmarkEnd w:id="15"/>
    </w:tbl>
    <w:p>
      <w:pPr>
        <w:adjustRightInd w:val="0"/>
        <w:snapToGrid w:val="0"/>
        <w:spacing w:line="360" w:lineRule="auto"/>
        <w:jc w:val="left"/>
        <w:rPr>
          <w:rFonts w:ascii="仿宋_GB2312" w:eastAsia="仿宋_GB2312"/>
          <w:color w:val="000000" w:themeColor="text1"/>
          <w:szCs w:val="21"/>
          <w:highlight w:val="none"/>
          <w14:textFill>
            <w14:solidFill>
              <w14:schemeClr w14:val="tx1"/>
            </w14:solidFill>
          </w14:textFill>
        </w:rPr>
      </w:pPr>
    </w:p>
    <w:sectPr>
      <w:pgSz w:w="16838" w:h="23811"/>
      <w:pgMar w:top="1684" w:right="1519"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641888928"/>
      <w:docPartObj>
        <w:docPartGallery w:val="autotext"/>
      </w:docPartObj>
    </w:sdtPr>
    <w:sdtEndPr>
      <w:rPr>
        <w:sz w:val="21"/>
        <w:szCs w:val="21"/>
      </w:rPr>
    </w:sdtEndPr>
    <w:sdtContent>
      <w:p>
        <w:pPr>
          <w:pStyle w:val="5"/>
          <w:jc w:val="center"/>
          <w:rPr>
            <w:sz w:val="21"/>
            <w:szCs w:val="21"/>
          </w:rPr>
        </w:pPr>
      </w:p>
    </w:sdtContent>
  </w:sdt>
  <w:p>
    <w:pPr>
      <w:pStyle w:val="5"/>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Fonts w:ascii="宋体"/>
        <w:sz w:val="28"/>
      </w:rPr>
    </w:pPr>
    <w:r>
      <w:rPr>
        <w:rStyle w:val="9"/>
        <w:rFonts w:hint="eastAsia" w:ascii="宋体"/>
        <w:sz w:val="28"/>
      </w:rPr>
      <w:t xml:space="preserve">— </w:t>
    </w:r>
    <w:r>
      <w:rPr>
        <w:rFonts w:ascii="宋体"/>
        <w:sz w:val="28"/>
      </w:rPr>
      <w:fldChar w:fldCharType="begin"/>
    </w:r>
    <w:r>
      <w:rPr>
        <w:rStyle w:val="9"/>
        <w:rFonts w:ascii="宋体"/>
        <w:sz w:val="28"/>
      </w:rPr>
      <w:instrText xml:space="preserve">PAGE  </w:instrText>
    </w:r>
    <w:r>
      <w:rPr>
        <w:rFonts w:ascii="宋体"/>
        <w:sz w:val="28"/>
      </w:rPr>
      <w:fldChar w:fldCharType="separate"/>
    </w:r>
    <w:r>
      <w:rPr>
        <w:rStyle w:val="9"/>
        <w:rFonts w:ascii="宋体"/>
        <w:sz w:val="28"/>
      </w:rPr>
      <w:t>2</w:t>
    </w:r>
    <w:r>
      <w:rPr>
        <w:rFonts w:ascii="宋体"/>
        <w:sz w:val="28"/>
      </w:rPr>
      <w:fldChar w:fldCharType="end"/>
    </w:r>
    <w:r>
      <w:rPr>
        <w:rStyle w:val="9"/>
        <w:rFonts w:hint="eastAsia" w:ascii="宋体"/>
        <w:sz w:val="28"/>
      </w:rPr>
      <w:t xml:space="preserve"> —</w:t>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jc w:val="both"/>
      <w:rPr>
        <w:rFonts w:hint="default" w:eastAsia="宋体"/>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2B7"/>
    <w:rsid w:val="00033637"/>
    <w:rsid w:val="00070CC3"/>
    <w:rsid w:val="0008308D"/>
    <w:rsid w:val="0009418A"/>
    <w:rsid w:val="000A1DF5"/>
    <w:rsid w:val="000D3A58"/>
    <w:rsid w:val="000E33BD"/>
    <w:rsid w:val="00100F17"/>
    <w:rsid w:val="00101FC9"/>
    <w:rsid w:val="00103B9E"/>
    <w:rsid w:val="00131E29"/>
    <w:rsid w:val="00156064"/>
    <w:rsid w:val="00160844"/>
    <w:rsid w:val="00163DE3"/>
    <w:rsid w:val="00165F86"/>
    <w:rsid w:val="00171590"/>
    <w:rsid w:val="00173F05"/>
    <w:rsid w:val="001975E6"/>
    <w:rsid w:val="001A6591"/>
    <w:rsid w:val="001B31F6"/>
    <w:rsid w:val="001C1170"/>
    <w:rsid w:val="001C3962"/>
    <w:rsid w:val="001D11D6"/>
    <w:rsid w:val="001D7082"/>
    <w:rsid w:val="001D7238"/>
    <w:rsid w:val="001E7453"/>
    <w:rsid w:val="001F193F"/>
    <w:rsid w:val="002338E6"/>
    <w:rsid w:val="0024477E"/>
    <w:rsid w:val="00247976"/>
    <w:rsid w:val="00252CAA"/>
    <w:rsid w:val="002867FE"/>
    <w:rsid w:val="00290D05"/>
    <w:rsid w:val="002A2F6F"/>
    <w:rsid w:val="002B5A8C"/>
    <w:rsid w:val="002C18C0"/>
    <w:rsid w:val="002D0CFB"/>
    <w:rsid w:val="002D5444"/>
    <w:rsid w:val="00301BD4"/>
    <w:rsid w:val="00311545"/>
    <w:rsid w:val="00314578"/>
    <w:rsid w:val="00324CF1"/>
    <w:rsid w:val="00361386"/>
    <w:rsid w:val="003819A5"/>
    <w:rsid w:val="003A3816"/>
    <w:rsid w:val="003B7492"/>
    <w:rsid w:val="003C0D26"/>
    <w:rsid w:val="003D2F67"/>
    <w:rsid w:val="003E3686"/>
    <w:rsid w:val="00416762"/>
    <w:rsid w:val="0042357C"/>
    <w:rsid w:val="00427DC1"/>
    <w:rsid w:val="00434182"/>
    <w:rsid w:val="0043469B"/>
    <w:rsid w:val="004443B9"/>
    <w:rsid w:val="00454D0C"/>
    <w:rsid w:val="00471906"/>
    <w:rsid w:val="00474BCD"/>
    <w:rsid w:val="004804DE"/>
    <w:rsid w:val="004B7F72"/>
    <w:rsid w:val="004D127A"/>
    <w:rsid w:val="004D17DA"/>
    <w:rsid w:val="005069E8"/>
    <w:rsid w:val="00507D3D"/>
    <w:rsid w:val="00512AE8"/>
    <w:rsid w:val="00516C94"/>
    <w:rsid w:val="005259C7"/>
    <w:rsid w:val="00546228"/>
    <w:rsid w:val="0054688A"/>
    <w:rsid w:val="005562F9"/>
    <w:rsid w:val="00571B27"/>
    <w:rsid w:val="00573961"/>
    <w:rsid w:val="00585ACC"/>
    <w:rsid w:val="005A2FA0"/>
    <w:rsid w:val="005C0E48"/>
    <w:rsid w:val="005C3C67"/>
    <w:rsid w:val="005E0235"/>
    <w:rsid w:val="005E2B18"/>
    <w:rsid w:val="005E723D"/>
    <w:rsid w:val="005F00A0"/>
    <w:rsid w:val="005F53B9"/>
    <w:rsid w:val="00603D2F"/>
    <w:rsid w:val="006128EB"/>
    <w:rsid w:val="006134A2"/>
    <w:rsid w:val="00617E4E"/>
    <w:rsid w:val="006222DD"/>
    <w:rsid w:val="00635F32"/>
    <w:rsid w:val="00662F48"/>
    <w:rsid w:val="00665F28"/>
    <w:rsid w:val="006D07B5"/>
    <w:rsid w:val="006E3A3C"/>
    <w:rsid w:val="007032F8"/>
    <w:rsid w:val="007240D7"/>
    <w:rsid w:val="0073080C"/>
    <w:rsid w:val="007370C9"/>
    <w:rsid w:val="00763C9E"/>
    <w:rsid w:val="00772CDB"/>
    <w:rsid w:val="007752B7"/>
    <w:rsid w:val="007961E9"/>
    <w:rsid w:val="00797D1D"/>
    <w:rsid w:val="007A5506"/>
    <w:rsid w:val="007B018D"/>
    <w:rsid w:val="007C2AF8"/>
    <w:rsid w:val="007D57A9"/>
    <w:rsid w:val="007D728F"/>
    <w:rsid w:val="007E37E6"/>
    <w:rsid w:val="007E4907"/>
    <w:rsid w:val="007E4CB5"/>
    <w:rsid w:val="007E62F4"/>
    <w:rsid w:val="007E6644"/>
    <w:rsid w:val="00807CBE"/>
    <w:rsid w:val="00823C34"/>
    <w:rsid w:val="0083071B"/>
    <w:rsid w:val="0084257A"/>
    <w:rsid w:val="00852269"/>
    <w:rsid w:val="00857652"/>
    <w:rsid w:val="00863692"/>
    <w:rsid w:val="0086785A"/>
    <w:rsid w:val="00880978"/>
    <w:rsid w:val="00892CDD"/>
    <w:rsid w:val="008933A4"/>
    <w:rsid w:val="008A1AF5"/>
    <w:rsid w:val="008A2C14"/>
    <w:rsid w:val="008A4942"/>
    <w:rsid w:val="008B0414"/>
    <w:rsid w:val="008C5BCA"/>
    <w:rsid w:val="008D0150"/>
    <w:rsid w:val="008D6AA3"/>
    <w:rsid w:val="008F1D26"/>
    <w:rsid w:val="009209B6"/>
    <w:rsid w:val="00924C27"/>
    <w:rsid w:val="00934A8A"/>
    <w:rsid w:val="0094381A"/>
    <w:rsid w:val="00974CAA"/>
    <w:rsid w:val="009A1488"/>
    <w:rsid w:val="009A2280"/>
    <w:rsid w:val="009B3C8B"/>
    <w:rsid w:val="009B7224"/>
    <w:rsid w:val="009C06A4"/>
    <w:rsid w:val="009D1381"/>
    <w:rsid w:val="009D50E2"/>
    <w:rsid w:val="009E7AE4"/>
    <w:rsid w:val="00A1013E"/>
    <w:rsid w:val="00A138E3"/>
    <w:rsid w:val="00A23581"/>
    <w:rsid w:val="00A40734"/>
    <w:rsid w:val="00A51E29"/>
    <w:rsid w:val="00A55452"/>
    <w:rsid w:val="00A5610E"/>
    <w:rsid w:val="00A66F3F"/>
    <w:rsid w:val="00AA1619"/>
    <w:rsid w:val="00AA5A31"/>
    <w:rsid w:val="00AB03A3"/>
    <w:rsid w:val="00AB2F62"/>
    <w:rsid w:val="00AC4E75"/>
    <w:rsid w:val="00AD0CD9"/>
    <w:rsid w:val="00AD7BC7"/>
    <w:rsid w:val="00AE0805"/>
    <w:rsid w:val="00B005D8"/>
    <w:rsid w:val="00B0700B"/>
    <w:rsid w:val="00B078CE"/>
    <w:rsid w:val="00B1002F"/>
    <w:rsid w:val="00B12F02"/>
    <w:rsid w:val="00B2288F"/>
    <w:rsid w:val="00B23B1B"/>
    <w:rsid w:val="00B30DEF"/>
    <w:rsid w:val="00B35912"/>
    <w:rsid w:val="00B42B59"/>
    <w:rsid w:val="00B65F87"/>
    <w:rsid w:val="00B73979"/>
    <w:rsid w:val="00B77EBD"/>
    <w:rsid w:val="00B93691"/>
    <w:rsid w:val="00BA764B"/>
    <w:rsid w:val="00BB770B"/>
    <w:rsid w:val="00BD3592"/>
    <w:rsid w:val="00BE736C"/>
    <w:rsid w:val="00C13395"/>
    <w:rsid w:val="00C23288"/>
    <w:rsid w:val="00C26906"/>
    <w:rsid w:val="00C319A4"/>
    <w:rsid w:val="00C32B4D"/>
    <w:rsid w:val="00C45BAD"/>
    <w:rsid w:val="00C53331"/>
    <w:rsid w:val="00C542F7"/>
    <w:rsid w:val="00C87875"/>
    <w:rsid w:val="00CA61F9"/>
    <w:rsid w:val="00CC3D05"/>
    <w:rsid w:val="00CD7AA6"/>
    <w:rsid w:val="00CD7E79"/>
    <w:rsid w:val="00CE0CD2"/>
    <w:rsid w:val="00CE7C2C"/>
    <w:rsid w:val="00CF412D"/>
    <w:rsid w:val="00D03BF7"/>
    <w:rsid w:val="00D04648"/>
    <w:rsid w:val="00D05EF2"/>
    <w:rsid w:val="00D13FF3"/>
    <w:rsid w:val="00D3050B"/>
    <w:rsid w:val="00D468BC"/>
    <w:rsid w:val="00D61876"/>
    <w:rsid w:val="00D67C99"/>
    <w:rsid w:val="00D72B67"/>
    <w:rsid w:val="00D855DD"/>
    <w:rsid w:val="00D91045"/>
    <w:rsid w:val="00DA1B2D"/>
    <w:rsid w:val="00DD220D"/>
    <w:rsid w:val="00DD2302"/>
    <w:rsid w:val="00DE0A8B"/>
    <w:rsid w:val="00DF4EB1"/>
    <w:rsid w:val="00E06F01"/>
    <w:rsid w:val="00E16F38"/>
    <w:rsid w:val="00E17088"/>
    <w:rsid w:val="00E3243D"/>
    <w:rsid w:val="00E40A9D"/>
    <w:rsid w:val="00E5068B"/>
    <w:rsid w:val="00E555CA"/>
    <w:rsid w:val="00E74E41"/>
    <w:rsid w:val="00E83005"/>
    <w:rsid w:val="00E9154A"/>
    <w:rsid w:val="00EA1E59"/>
    <w:rsid w:val="00EA2723"/>
    <w:rsid w:val="00EC4119"/>
    <w:rsid w:val="00EF08E7"/>
    <w:rsid w:val="00EF43BD"/>
    <w:rsid w:val="00F07100"/>
    <w:rsid w:val="00F114AB"/>
    <w:rsid w:val="00F37584"/>
    <w:rsid w:val="00F508CE"/>
    <w:rsid w:val="00F611FE"/>
    <w:rsid w:val="00F74D52"/>
    <w:rsid w:val="00F8556D"/>
    <w:rsid w:val="00F85743"/>
    <w:rsid w:val="00FA1033"/>
    <w:rsid w:val="00FA4CF5"/>
    <w:rsid w:val="00FD62B2"/>
    <w:rsid w:val="0204686C"/>
    <w:rsid w:val="06703058"/>
    <w:rsid w:val="072C4284"/>
    <w:rsid w:val="0B607A89"/>
    <w:rsid w:val="0B8D4EE8"/>
    <w:rsid w:val="0BB53E17"/>
    <w:rsid w:val="0CA513AD"/>
    <w:rsid w:val="0CDF11F0"/>
    <w:rsid w:val="0D736566"/>
    <w:rsid w:val="0FDE6EDD"/>
    <w:rsid w:val="10202C4A"/>
    <w:rsid w:val="12A3059B"/>
    <w:rsid w:val="1B9934BF"/>
    <w:rsid w:val="1CFC371F"/>
    <w:rsid w:val="1E885624"/>
    <w:rsid w:val="1EE705B4"/>
    <w:rsid w:val="20C8390C"/>
    <w:rsid w:val="2CE10EBA"/>
    <w:rsid w:val="2E2E15F9"/>
    <w:rsid w:val="2FDB0650"/>
    <w:rsid w:val="30E656B8"/>
    <w:rsid w:val="358F6692"/>
    <w:rsid w:val="37507A4D"/>
    <w:rsid w:val="37597B6E"/>
    <w:rsid w:val="38342020"/>
    <w:rsid w:val="3A197C2E"/>
    <w:rsid w:val="3C360954"/>
    <w:rsid w:val="3F2C37B8"/>
    <w:rsid w:val="424E0CF2"/>
    <w:rsid w:val="470A0BB8"/>
    <w:rsid w:val="4F036D32"/>
    <w:rsid w:val="51103FE1"/>
    <w:rsid w:val="5504607E"/>
    <w:rsid w:val="5A2911BD"/>
    <w:rsid w:val="5B265933"/>
    <w:rsid w:val="5D032927"/>
    <w:rsid w:val="5D7C41FA"/>
    <w:rsid w:val="68A83CB9"/>
    <w:rsid w:val="6A0F5699"/>
    <w:rsid w:val="6A2869EA"/>
    <w:rsid w:val="6AE24ACE"/>
    <w:rsid w:val="6F6A009B"/>
    <w:rsid w:val="6F7D365D"/>
    <w:rsid w:val="715245A1"/>
    <w:rsid w:val="799D40A6"/>
    <w:rsid w:val="7E194CEF"/>
    <w:rsid w:val="7F5B37C3"/>
    <w:rsid w:val="7FD85E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link w:val="15"/>
    <w:unhideWhenUsed/>
    <w:qFormat/>
    <w:uiPriority w:val="99"/>
    <w:pPr>
      <w:widowControl/>
      <w:ind w:firstLine="420"/>
    </w:pPr>
    <w:rPr>
      <w:rFonts w:ascii="宋体" w:hAnsi="Times New Roman" w:eastAsia="宋体" w:cs="Times New Roman"/>
      <w:szCs w:val="24"/>
    </w:rPr>
  </w:style>
  <w:style w:type="paragraph" w:styleId="3">
    <w:name w:val="Body Text Indent"/>
    <w:basedOn w:val="1"/>
    <w:next w:val="4"/>
    <w:link w:val="14"/>
    <w:semiHidden/>
    <w:unhideWhenUsed/>
    <w:qFormat/>
    <w:uiPriority w:val="99"/>
    <w:pPr>
      <w:spacing w:after="120"/>
      <w:ind w:left="420" w:leftChars="200"/>
    </w:pPr>
  </w:style>
  <w:style w:type="paragraph" w:styleId="4">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er"/>
    <w:basedOn w:val="1"/>
    <w:link w:val="20"/>
    <w:unhideWhenUsed/>
    <w:qFormat/>
    <w:uiPriority w:val="99"/>
    <w:pPr>
      <w:tabs>
        <w:tab w:val="center" w:pos="4153"/>
        <w:tab w:val="right" w:pos="8306"/>
      </w:tabs>
      <w:snapToGrid w:val="0"/>
      <w:jc w:val="left"/>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Emphasis"/>
    <w:basedOn w:val="8"/>
    <w:qFormat/>
    <w:uiPriority w:val="20"/>
    <w:rPr>
      <w:i/>
    </w:rPr>
  </w:style>
  <w:style w:type="character" w:styleId="11">
    <w:name w:val="Hyperlink"/>
    <w:basedOn w:val="8"/>
    <w:semiHidden/>
    <w:unhideWhenUsed/>
    <w:qFormat/>
    <w:uiPriority w:val="99"/>
    <w:rPr>
      <w:color w:val="0000FF"/>
      <w:u w:val="single"/>
    </w:rPr>
  </w:style>
  <w:style w:type="paragraph" w:customStyle="1" w:styleId="12">
    <w:name w:val="p"/>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3">
    <w:name w:val="List Paragraph"/>
    <w:basedOn w:val="1"/>
    <w:qFormat/>
    <w:uiPriority w:val="34"/>
    <w:pPr>
      <w:ind w:firstLine="420" w:firstLineChars="200"/>
    </w:pPr>
  </w:style>
  <w:style w:type="character" w:customStyle="1" w:styleId="14">
    <w:name w:val="正文文本缩进 字符"/>
    <w:basedOn w:val="8"/>
    <w:link w:val="3"/>
    <w:semiHidden/>
    <w:qFormat/>
    <w:uiPriority w:val="99"/>
  </w:style>
  <w:style w:type="character" w:customStyle="1" w:styleId="15">
    <w:name w:val="正文文本首行缩进 2 字符"/>
    <w:basedOn w:val="14"/>
    <w:link w:val="2"/>
    <w:qFormat/>
    <w:uiPriority w:val="99"/>
    <w:rPr>
      <w:rFonts w:ascii="宋体" w:hAnsi="Times New Roman" w:eastAsia="宋体" w:cs="Times New Roman"/>
      <w:szCs w:val="24"/>
    </w:rPr>
  </w:style>
  <w:style w:type="paragraph" w:customStyle="1" w:styleId="16">
    <w:name w:val="Table Paragraph"/>
    <w:basedOn w:val="1"/>
    <w:unhideWhenUsed/>
    <w:qFormat/>
    <w:uiPriority w:val="1"/>
    <w:pPr>
      <w:widowControl/>
    </w:pPr>
    <w:rPr>
      <w:rFonts w:ascii="宋体" w:hAnsi="宋体" w:eastAsia="宋体" w:cs="Times New Roman"/>
      <w:szCs w:val="24"/>
    </w:rPr>
  </w:style>
  <w:style w:type="paragraph" w:customStyle="1" w:styleId="17">
    <w:name w:val="CM3"/>
    <w:basedOn w:val="1"/>
    <w:next w:val="1"/>
    <w:unhideWhenUsed/>
    <w:qFormat/>
    <w:uiPriority w:val="99"/>
    <w:pPr>
      <w:autoSpaceDE w:val="0"/>
      <w:autoSpaceDN w:val="0"/>
      <w:adjustRightInd w:val="0"/>
      <w:spacing w:line="626" w:lineRule="atLeast"/>
      <w:jc w:val="left"/>
    </w:pPr>
    <w:rPr>
      <w:rFonts w:ascii="仿宋" w:hAnsi="仿宋" w:eastAsia="仿宋" w:cs="Times New Roman"/>
      <w:color w:val="000000"/>
      <w:kern w:val="0"/>
      <w:sz w:val="24"/>
      <w:szCs w:val="24"/>
    </w:rPr>
  </w:style>
  <w:style w:type="paragraph" w:customStyle="1" w:styleId="18">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9">
    <w:name w:val="页眉 字符"/>
    <w:basedOn w:val="8"/>
    <w:link w:val="4"/>
    <w:qFormat/>
    <w:uiPriority w:val="99"/>
    <w:rPr>
      <w:sz w:val="18"/>
      <w:szCs w:val="18"/>
    </w:rPr>
  </w:style>
  <w:style w:type="character" w:customStyle="1" w:styleId="20">
    <w:name w:val="页脚 字符"/>
    <w:basedOn w:val="8"/>
    <w:link w:val="5"/>
    <w:qFormat/>
    <w:uiPriority w:val="99"/>
    <w:rPr>
      <w:sz w:val="18"/>
      <w:szCs w:val="18"/>
    </w:rPr>
  </w:style>
  <w:style w:type="paragraph" w:customStyle="1" w:styleId="21">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2">
    <w:name w:val="修订3"/>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3">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4">
    <w:name w:val="CM1"/>
    <w:basedOn w:val="25"/>
    <w:next w:val="25"/>
    <w:unhideWhenUsed/>
    <w:qFormat/>
    <w:uiPriority w:val="99"/>
    <w:pPr>
      <w:spacing w:line="626" w:lineRule="atLeast"/>
    </w:pPr>
  </w:style>
  <w:style w:type="paragraph" w:customStyle="1" w:styleId="25">
    <w:name w:val="Default"/>
    <w:unhideWhenUsed/>
    <w:qFormat/>
    <w:uiPriority w:val="99"/>
    <w:pPr>
      <w:widowControl w:val="0"/>
      <w:autoSpaceDE w:val="0"/>
      <w:autoSpaceDN w:val="0"/>
      <w:adjustRightInd w:val="0"/>
    </w:pPr>
    <w:rPr>
      <w:rFonts w:ascii="仿宋" w:hAnsi="仿宋" w:eastAsia="仿宋" w:cs="Times New Roman"/>
      <w:color w:val="000000"/>
      <w:sz w:val="24"/>
      <w:szCs w:val="24"/>
      <w:lang w:val="en-US" w:eastAsia="zh-CN" w:bidi="ar-SA"/>
    </w:rPr>
  </w:style>
  <w:style w:type="paragraph" w:customStyle="1" w:styleId="26">
    <w:name w:val="非政府正文"/>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F800C4-9968-45B9-9DF2-B0395CFD576C}">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13217</Words>
  <Characters>14071</Characters>
  <Lines>62</Lines>
  <Paragraphs>17</Paragraphs>
  <TotalTime>5</TotalTime>
  <ScaleCrop>false</ScaleCrop>
  <LinksUpToDate>false</LinksUpToDate>
  <CharactersWithSpaces>14143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2022-01-14T10:52:00Z</dcterms:created>
  <dc:creator>rcaj rcaj</dc:creator>
  <cp:lastModifiedBy>官奕龙</cp:lastModifiedBy>
  <cp:lastPrinted>2025-04-02T01:10:00Z</cp:lastPrinted>
  <dcterms:modified xsi:type="dcterms:W3CDTF">2026-06-05T07:06:39Z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1647CCDC809F4117A1898FC663EFD70E</vt:lpwstr>
  </property>
  <property fmtid="{D5CDD505-2E9C-101B-9397-08002B2CF9AE}" pid="4" name="KSOTemplateDocerSaveRecord">
    <vt:lpwstr>eyJoZGlkIjoiMzk2ZGJkZmY3YjA0NTg3MmMyODA2NTU0MzVlODE5ZTMiLCJ1c2VySWQiOiIyMTM3NzI3ODEifQ==</vt:lpwstr>
  </property>
</Properties>
</file>