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8C166">
      <w:pPr>
        <w:widowControl w:val="0"/>
        <w:spacing w:before="0" w:beforeAutospacing="1" w:after="0" w:afterAutospacing="1"/>
        <w:ind w:left="0" w:right="0"/>
        <w:jc w:val="center"/>
        <w:outlineLvl w:val="1"/>
        <w:rPr>
          <w:rFonts w:ascii="黑体" w:hAnsi="黑体" w:eastAsia="黑体" w:cs="Times New Roman"/>
          <w:kern w:val="0"/>
          <w:sz w:val="40"/>
          <w:szCs w:val="40"/>
          <w:lang w:val="en-US" w:eastAsia="zh-CN" w:bidi="ar"/>
        </w:rPr>
      </w:pPr>
      <w:r>
        <w:rPr>
          <w:rFonts w:hint="eastAsia" w:ascii="黑体" w:hAnsi="黑体" w:eastAsia="黑体" w:cs="Times New Roman"/>
          <w:kern w:val="0"/>
          <w:sz w:val="40"/>
          <w:szCs w:val="40"/>
          <w:lang w:val="en-US" w:eastAsia="zh-CN" w:bidi="ar"/>
        </w:rPr>
        <w:t>评标信息</w:t>
      </w:r>
    </w:p>
    <w:tbl>
      <w:tblPr>
        <w:tblStyle w:val="4"/>
        <w:tblW w:w="913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68"/>
        <w:gridCol w:w="379"/>
        <w:gridCol w:w="446"/>
        <w:gridCol w:w="1794"/>
        <w:gridCol w:w="716"/>
        <w:gridCol w:w="751"/>
        <w:gridCol w:w="4759"/>
        <w:gridCol w:w="222"/>
      </w:tblGrid>
      <w:tr w14:paraId="38D3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gridBefore w:val="1"/>
          <w:wBefore w:w="63" w:type="dxa"/>
          <w:tblCellSpacing w:w="0" w:type="dxa"/>
          <w:jc w:val="center"/>
        </w:trPr>
        <w:tc>
          <w:tcPr>
            <w:tcW w:w="9072" w:type="dxa"/>
            <w:gridSpan w:val="7"/>
            <w:vAlign w:val="center"/>
          </w:tcPr>
          <w:p w14:paraId="639374F3">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eastAsia="宋体"/>
                <w:b/>
                <w:bCs/>
                <w:sz w:val="24"/>
              </w:rPr>
            </w:pPr>
            <w:r>
              <w:rPr>
                <w:rFonts w:hint="default" w:ascii="宋体" w:hAnsi="宋体" w:eastAsia="宋体"/>
                <w:b/>
                <w:bCs/>
                <w:sz w:val="21"/>
              </w:rPr>
              <w:t>评标方法：综合评分法</w:t>
            </w:r>
          </w:p>
        </w:tc>
      </w:tr>
      <w:tr w14:paraId="539D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gridBefore w:val="1"/>
          <w:wBefore w:w="63" w:type="dxa"/>
          <w:tblCellSpacing w:w="0" w:type="dxa"/>
          <w:jc w:val="center"/>
        </w:trPr>
        <w:tc>
          <w:tcPr>
            <w:tcW w:w="9072" w:type="dxa"/>
            <w:gridSpan w:val="7"/>
            <w:vAlign w:val="center"/>
          </w:tcPr>
          <w:p w14:paraId="07E14010">
            <w:pPr>
              <w:keepNext w:val="0"/>
              <w:keepLines w:val="0"/>
              <w:suppressLineNumbers w:val="0"/>
              <w:spacing w:before="0" w:beforeAutospacing="0" w:after="0" w:afterAutospacing="0" w:line="240" w:lineRule="auto"/>
              <w:ind w:left="0" w:right="0" w:firstLine="420" w:firstLineChars="0"/>
              <w:rPr>
                <w:rFonts w:hint="default" w:ascii="宋体" w:hAnsi="宋体" w:eastAsia="宋体"/>
                <w:sz w:val="21"/>
                <w:szCs w:val="21"/>
              </w:rPr>
            </w:pPr>
            <w:r>
              <w:rPr>
                <w:rFonts w:hint="default" w:ascii="宋体" w:hAnsi="宋体" w:eastAsia="宋体"/>
                <w:sz w:val="21"/>
                <w:szCs w:val="21"/>
              </w:rPr>
              <w:t>综合评分法，是指</w:t>
            </w:r>
            <w:r>
              <w:rPr>
                <w:rFonts w:hint="eastAsia" w:ascii="宋体" w:hAnsi="宋体" w:eastAsia="宋体"/>
                <w:kern w:val="0"/>
                <w:sz w:val="21"/>
                <w:szCs w:val="21"/>
              </w:rPr>
              <w:t>投标文件满足招标文件全部实质性要求</w:t>
            </w:r>
            <w:r>
              <w:rPr>
                <w:rFonts w:hint="default" w:ascii="宋体" w:hAnsi="宋体" w:eastAsia="宋体"/>
                <w:sz w:val="21"/>
                <w:szCs w:val="21"/>
              </w:rPr>
              <w:t>，且按照</w:t>
            </w:r>
            <w:r>
              <w:rPr>
                <w:rFonts w:hint="eastAsia" w:ascii="宋体" w:hAnsi="宋体" w:eastAsia="宋体"/>
                <w:sz w:val="21"/>
                <w:szCs w:val="21"/>
              </w:rPr>
              <w:t>招标文件规定的各项因素进行综合评审，评标总得分排名前列</w:t>
            </w:r>
            <w:r>
              <w:rPr>
                <w:rFonts w:hint="default" w:ascii="宋体" w:hAnsi="宋体" w:eastAsia="宋体"/>
                <w:sz w:val="21"/>
                <w:szCs w:val="21"/>
              </w:rPr>
              <w:t>的投标人为中标候选人的评标方法。</w:t>
            </w:r>
          </w:p>
          <w:p w14:paraId="12BEB7E5">
            <w:pPr>
              <w:keepNext w:val="0"/>
              <w:keepLines w:val="0"/>
              <w:suppressLineNumbers w:val="0"/>
              <w:spacing w:before="0" w:beforeAutospacing="0" w:after="0" w:afterAutospacing="0" w:line="240" w:lineRule="auto"/>
              <w:ind w:left="0" w:right="0" w:firstLine="420" w:firstLineChars="0"/>
              <w:rPr>
                <w:rFonts w:hint="default" w:ascii="宋体" w:hAnsi="宋体" w:eastAsia="宋体"/>
                <w:sz w:val="21"/>
                <w:szCs w:val="21"/>
              </w:rPr>
            </w:pPr>
          </w:p>
          <w:p w14:paraId="46A5D737">
            <w:pPr>
              <w:keepNext w:val="0"/>
              <w:keepLines w:val="0"/>
              <w:suppressLineNumbers w:val="0"/>
              <w:spacing w:before="0" w:beforeAutospacing="0" w:after="0" w:afterAutospacing="0" w:line="240" w:lineRule="auto"/>
              <w:ind w:left="0" w:right="0" w:firstLine="420" w:firstLineChars="0"/>
              <w:rPr>
                <w:rFonts w:hint="default" w:ascii="宋体" w:hAnsi="宋体" w:eastAsia="宋体"/>
                <w:sz w:val="21"/>
                <w:szCs w:val="21"/>
              </w:rPr>
            </w:pPr>
            <w:r>
              <w:rPr>
                <w:rFonts w:hint="default" w:ascii="宋体" w:hAnsi="宋体" w:eastAsia="宋体"/>
                <w:sz w:val="21"/>
                <w:szCs w:val="21"/>
              </w:rPr>
              <w:t>价格分计算方法：</w:t>
            </w:r>
          </w:p>
          <w:p w14:paraId="099EBC3A">
            <w:pPr>
              <w:keepNext w:val="0"/>
              <w:keepLines w:val="0"/>
              <w:widowControl/>
              <w:suppressLineNumbers w:val="0"/>
              <w:spacing w:before="0" w:beforeAutospacing="0" w:after="0" w:afterAutospacing="0" w:line="240" w:lineRule="auto"/>
              <w:ind w:left="420" w:right="0" w:firstLine="0" w:firstLineChars="0"/>
              <w:jc w:val="left"/>
              <w:rPr>
                <w:rFonts w:hint="default" w:ascii="宋体" w:hAnsi="宋体" w:eastAsia="宋体"/>
                <w:sz w:val="21"/>
                <w:szCs w:val="21"/>
              </w:rPr>
            </w:pPr>
            <w:r>
              <w:rPr>
                <w:rFonts w:hint="default" w:ascii="宋体" w:hAnsi="宋体" w:eastAsia="宋体"/>
                <w:sz w:val="21"/>
                <w:szCs w:val="21"/>
              </w:rPr>
              <w:t xml:space="preserve">采用低价优先法计算，即满足招标文件要求且投标价格最低的投标报价为评标基准价，其价格分为满分。其他投标人的价格分统一按照下列公式计算： </w:t>
            </w:r>
            <w:r>
              <w:rPr>
                <w:rFonts w:hint="default" w:ascii="宋体" w:hAnsi="宋体" w:eastAsia="宋体"/>
                <w:sz w:val="21"/>
                <w:szCs w:val="21"/>
              </w:rPr>
              <w:br w:type="textWrapping"/>
            </w:r>
            <w:r>
              <w:rPr>
                <w:rFonts w:hint="default" w:ascii="宋体" w:hAnsi="宋体" w:eastAsia="宋体"/>
                <w:sz w:val="21"/>
                <w:szCs w:val="21"/>
              </w:rPr>
              <w:t xml:space="preserve">投标报价得分=(评标基准价／投标报价)×100 </w:t>
            </w:r>
            <w:r>
              <w:rPr>
                <w:rFonts w:hint="default" w:ascii="宋体" w:hAnsi="宋体" w:eastAsia="宋体"/>
                <w:sz w:val="21"/>
                <w:szCs w:val="21"/>
              </w:rPr>
              <w:br w:type="textWrapping"/>
            </w:r>
            <w:r>
              <w:rPr>
                <w:rFonts w:hint="default" w:ascii="宋体" w:hAnsi="宋体" w:eastAsia="宋体"/>
                <w:sz w:val="21"/>
                <w:szCs w:val="21"/>
              </w:rPr>
              <w:t xml:space="preserve">评标总得分＝F1×A1＋F2×A2＋……＋Fn×An </w:t>
            </w:r>
            <w:r>
              <w:rPr>
                <w:rFonts w:hint="default" w:ascii="宋体" w:hAnsi="宋体" w:eastAsia="宋体"/>
                <w:sz w:val="21"/>
                <w:szCs w:val="21"/>
              </w:rPr>
              <w:br w:type="textWrapping"/>
            </w:r>
            <w:r>
              <w:rPr>
                <w:rFonts w:hint="default" w:ascii="宋体" w:hAnsi="宋体" w:eastAsia="宋体"/>
                <w:sz w:val="21"/>
                <w:szCs w:val="21"/>
              </w:rPr>
              <w:t xml:space="preserve">F1、F2……Fn分别为各项评审因素的得分； </w:t>
            </w:r>
            <w:r>
              <w:rPr>
                <w:rFonts w:hint="default" w:ascii="宋体" w:hAnsi="宋体" w:eastAsia="宋体"/>
                <w:sz w:val="21"/>
                <w:szCs w:val="21"/>
              </w:rPr>
              <w:br w:type="textWrapping"/>
            </w:r>
            <w:r>
              <w:rPr>
                <w:rFonts w:hint="default" w:ascii="宋体" w:hAnsi="宋体" w:eastAsia="宋体"/>
                <w:sz w:val="21"/>
                <w:szCs w:val="21"/>
              </w:rPr>
              <w:t xml:space="preserve">A1、A2、……An 分别为各项评审因素所占的权重(A1＋A2＋……＋An＝1)。 </w:t>
            </w:r>
            <w:r>
              <w:rPr>
                <w:rFonts w:hint="default" w:ascii="宋体" w:hAnsi="宋体" w:eastAsia="宋体"/>
                <w:sz w:val="21"/>
                <w:szCs w:val="21"/>
              </w:rPr>
              <w:br w:type="textWrapping"/>
            </w:r>
            <w:r>
              <w:rPr>
                <w:rFonts w:hint="default" w:ascii="宋体" w:hAnsi="宋体" w:eastAsia="宋体"/>
                <w:sz w:val="21"/>
                <w:szCs w:val="21"/>
              </w:rPr>
              <w:t>评标过程中，不得去掉报价中的最高报价和最低报价。</w:t>
            </w:r>
          </w:p>
          <w:p w14:paraId="2BF3F220">
            <w:pPr>
              <w:keepNext w:val="0"/>
              <w:keepLines w:val="0"/>
              <w:widowControl/>
              <w:suppressLineNumbers w:val="0"/>
              <w:spacing w:before="0" w:beforeAutospacing="0" w:after="0" w:afterAutospacing="0" w:line="240" w:lineRule="auto"/>
              <w:ind w:left="420" w:right="0" w:firstLine="0" w:firstLineChars="0"/>
              <w:jc w:val="left"/>
              <w:rPr>
                <w:rFonts w:hint="default" w:ascii="宋体" w:hAnsi="宋体" w:eastAsia="宋体"/>
                <w:sz w:val="21"/>
                <w:szCs w:val="21"/>
              </w:rPr>
            </w:pPr>
            <w:r>
              <w:rPr>
                <w:rFonts w:hint="eastAsia" w:ascii="宋体" w:hAnsi="宋体" w:eastAsia="宋体"/>
                <w:sz w:val="21"/>
                <w:szCs w:val="21"/>
              </w:rPr>
              <w:t>因落实政府采购政策进行价格调整的，以调整后的价格计算评标基准价和投标报价。</w:t>
            </w:r>
          </w:p>
          <w:p w14:paraId="1B1A9B68">
            <w:pPr>
              <w:keepNext w:val="0"/>
              <w:keepLines w:val="0"/>
              <w:widowControl/>
              <w:suppressLineNumbers w:val="0"/>
              <w:spacing w:before="0" w:beforeAutospacing="0" w:after="0" w:afterAutospacing="0" w:line="240" w:lineRule="auto"/>
              <w:ind w:left="420" w:right="0" w:firstLine="0" w:firstLineChars="0"/>
              <w:jc w:val="left"/>
              <w:rPr>
                <w:rFonts w:hint="default" w:ascii="宋体" w:hAnsi="宋体" w:eastAsia="宋体"/>
                <w:kern w:val="0"/>
                <w:sz w:val="24"/>
              </w:rPr>
            </w:pPr>
          </w:p>
          <w:p w14:paraId="22C8D604">
            <w:pPr>
              <w:keepNext w:val="0"/>
              <w:keepLines w:val="0"/>
              <w:widowControl w:val="0"/>
              <w:suppressLineNumbers w:val="0"/>
              <w:spacing w:before="0" w:beforeAutospacing="0" w:after="0" w:afterAutospacing="0" w:line="360" w:lineRule="auto"/>
              <w:ind w:left="0" w:right="0"/>
              <w:jc w:val="both"/>
              <w:rPr>
                <w:rFonts w:hint="default" w:ascii="宋体" w:hAnsi="宋体" w:eastAsia="宋体" w:cs="Times New Roman"/>
                <w:b/>
                <w:bCs/>
                <w:kern w:val="2"/>
                <w:sz w:val="24"/>
                <w:szCs w:val="24"/>
                <w:lang w:val="en-US" w:eastAsia="zh-CN" w:bidi="ar-SA"/>
              </w:rPr>
            </w:pPr>
            <w:r>
              <w:rPr>
                <w:rFonts w:hint="eastAsia" w:ascii="宋体" w:hAnsi="宋体" w:eastAsia="宋体" w:cs="Times New Roman"/>
                <w:b/>
                <w:bCs/>
                <w:kern w:val="2"/>
                <w:sz w:val="22"/>
                <w:szCs w:val="24"/>
                <w:lang w:val="en-US" w:eastAsia="zh-CN" w:bidi="ar-SA"/>
              </w:rPr>
              <w:t>注：投标人的“投标技术响应”“技术要求偏离表中偏离情况”等必须与客观实际保持一致，响应不实且情节严重的，经查实，将依法记入供应商诚信档案或受到行政处罚。</w:t>
            </w:r>
          </w:p>
        </w:tc>
      </w:tr>
      <w:tr w14:paraId="7CE4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Align w:val="center"/>
          </w:tcPr>
          <w:p w14:paraId="12A52C73">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序号</w:t>
            </w:r>
          </w:p>
        </w:tc>
        <w:tc>
          <w:tcPr>
            <w:tcW w:w="3705" w:type="dxa"/>
            <w:gridSpan w:val="4"/>
            <w:vAlign w:val="center"/>
          </w:tcPr>
          <w:p w14:paraId="5A3E71A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评分项</w:t>
            </w:r>
          </w:p>
        </w:tc>
        <w:tc>
          <w:tcPr>
            <w:tcW w:w="4788" w:type="dxa"/>
            <w:vAlign w:val="center"/>
          </w:tcPr>
          <w:p w14:paraId="65FE605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权重</w:t>
            </w:r>
          </w:p>
        </w:tc>
      </w:tr>
      <w:tr w14:paraId="5C03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Align w:val="center"/>
          </w:tcPr>
          <w:p w14:paraId="2F5F59A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1</w:t>
            </w:r>
          </w:p>
        </w:tc>
        <w:tc>
          <w:tcPr>
            <w:tcW w:w="3705" w:type="dxa"/>
            <w:gridSpan w:val="4"/>
            <w:vAlign w:val="center"/>
          </w:tcPr>
          <w:p w14:paraId="749EFD1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价格</w:t>
            </w:r>
          </w:p>
        </w:tc>
        <w:tc>
          <w:tcPr>
            <w:tcW w:w="4788" w:type="dxa"/>
            <w:vAlign w:val="center"/>
          </w:tcPr>
          <w:p w14:paraId="608349D3">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30</w:t>
            </w:r>
          </w:p>
        </w:tc>
      </w:tr>
      <w:tr w14:paraId="0F53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Align w:val="center"/>
          </w:tcPr>
          <w:p w14:paraId="0E1ECD95">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2</w:t>
            </w:r>
          </w:p>
        </w:tc>
        <w:tc>
          <w:tcPr>
            <w:tcW w:w="3705" w:type="dxa"/>
            <w:gridSpan w:val="4"/>
            <w:vAlign w:val="center"/>
          </w:tcPr>
          <w:p w14:paraId="6D1BD964">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技术部分</w:t>
            </w:r>
          </w:p>
        </w:tc>
        <w:tc>
          <w:tcPr>
            <w:tcW w:w="4788" w:type="dxa"/>
            <w:vAlign w:val="center"/>
          </w:tcPr>
          <w:p w14:paraId="1FEE559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lang w:val="en-GB" w:eastAsia="zh-CN"/>
              </w:rPr>
            </w:pPr>
            <w:r>
              <w:rPr>
                <w:rFonts w:hint="default" w:ascii="宋体" w:hAnsi="宋体" w:eastAsia="宋体" w:cs="Times New Roman"/>
                <w:b/>
                <w:bCs/>
                <w:sz w:val="21"/>
                <w:szCs w:val="21"/>
                <w:highlight w:val="none"/>
                <w:lang w:val="en-GB" w:eastAsia="zh-CN"/>
              </w:rPr>
              <w:t>60</w:t>
            </w:r>
          </w:p>
        </w:tc>
      </w:tr>
      <w:tr w14:paraId="359D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Merge w:val="restart"/>
            <w:vAlign w:val="center"/>
          </w:tcPr>
          <w:p w14:paraId="7B53B413">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p>
        </w:tc>
        <w:tc>
          <w:tcPr>
            <w:tcW w:w="416" w:type="dxa"/>
            <w:vAlign w:val="center"/>
          </w:tcPr>
          <w:p w14:paraId="79794F9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52E90364">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2E60F0A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03B7EF3B">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37F10E8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753A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Merge w:val="continue"/>
            <w:vAlign w:val="center"/>
          </w:tcPr>
          <w:p w14:paraId="214629BB">
            <w:pPr>
              <w:keepNext/>
              <w:keepLines/>
              <w:suppressLineNumbers w:val="0"/>
              <w:spacing w:before="260" w:beforeAutospacing="0" w:after="260" w:afterAutospacing="0" w:line="240" w:lineRule="exact"/>
              <w:ind w:left="0" w:right="0" w:firstLine="0" w:firstLineChars="0"/>
              <w:jc w:val="center"/>
              <w:outlineLvl w:val="2"/>
              <w:rPr>
                <w:rFonts w:hint="default" w:ascii="宋体" w:hAnsi="宋体" w:eastAsia="宋体" w:cs="Times New Roman"/>
                <w:sz w:val="21"/>
                <w:szCs w:val="21"/>
                <w:highlight w:val="none"/>
              </w:rPr>
            </w:pPr>
          </w:p>
        </w:tc>
        <w:tc>
          <w:tcPr>
            <w:tcW w:w="416" w:type="dxa"/>
            <w:vAlign w:val="center"/>
          </w:tcPr>
          <w:p w14:paraId="533A7E84">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1</w:t>
            </w:r>
          </w:p>
        </w:tc>
        <w:tc>
          <w:tcPr>
            <w:tcW w:w="1814" w:type="dxa"/>
            <w:vAlign w:val="center"/>
          </w:tcPr>
          <w:p w14:paraId="0F3C7E0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宋体"/>
                <w:kern w:val="0"/>
                <w:sz w:val="21"/>
                <w:szCs w:val="21"/>
                <w:highlight w:val="none"/>
              </w:rPr>
              <w:t>技术要求偏离情况</w:t>
            </w:r>
          </w:p>
        </w:tc>
        <w:tc>
          <w:tcPr>
            <w:tcW w:w="720" w:type="dxa"/>
            <w:vAlign w:val="center"/>
          </w:tcPr>
          <w:p w14:paraId="779DCC6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lang w:val="en-US"/>
              </w:rPr>
            </w:pPr>
            <w:r>
              <w:rPr>
                <w:rFonts w:hint="eastAsia" w:ascii="宋体" w:hAnsi="宋体" w:eastAsia="宋体" w:cs="宋体"/>
                <w:sz w:val="21"/>
                <w:szCs w:val="21"/>
                <w:highlight w:val="none"/>
                <w:lang w:val="en-US" w:eastAsia="zh-CN"/>
              </w:rPr>
              <w:t>60</w:t>
            </w:r>
          </w:p>
        </w:tc>
        <w:tc>
          <w:tcPr>
            <w:tcW w:w="755" w:type="dxa"/>
            <w:vAlign w:val="center"/>
          </w:tcPr>
          <w:p w14:paraId="26A5BA0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专家打分</w:t>
            </w:r>
          </w:p>
        </w:tc>
        <w:tc>
          <w:tcPr>
            <w:tcW w:w="4788" w:type="dxa"/>
            <w:vAlign w:val="center"/>
          </w:tcPr>
          <w:p w14:paraId="737DAB6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宋体" w:cs="宋体"/>
                <w:sz w:val="21"/>
                <w:szCs w:val="21"/>
                <w:highlight w:val="none"/>
              </w:rPr>
            </w:pPr>
            <w:r>
              <w:rPr>
                <w:rFonts w:hint="eastAsia" w:ascii="宋体" w:hAnsi="宋体" w:eastAsia="宋体" w:cs="宋体"/>
                <w:kern w:val="0"/>
                <w:sz w:val="21"/>
                <w:szCs w:val="21"/>
                <w:highlight w:val="none"/>
                <w:lang w:eastAsia="zh-CN"/>
              </w:rPr>
              <w:t>（一）评分内容</w:t>
            </w:r>
            <w:r>
              <w:rPr>
                <w:rFonts w:hint="eastAsia" w:ascii="宋体" w:hAnsi="宋体" w:eastAsia="宋体" w:cs="宋体"/>
                <w:kern w:val="0"/>
                <w:sz w:val="21"/>
                <w:szCs w:val="21"/>
                <w:highlight w:val="none"/>
              </w:rPr>
              <w:t>：投标人应如实填写《技术要求偏离表》，评审委员会根据技术需求参数响应情况进行打分，各项技术参数指标及要求全部满足的得100分，所有标注“▲”的重要参数每项负偏离扣</w:t>
            </w:r>
            <w:r>
              <w:rPr>
                <w:rFonts w:hint="eastAsia" w:ascii="宋体" w:hAnsi="宋体" w:eastAsia="宋体" w:cs="宋体"/>
                <w:kern w:val="0"/>
                <w:sz w:val="21"/>
                <w:szCs w:val="21"/>
                <w:highlight w:val="yellow"/>
                <w:lang w:val="en-US" w:eastAsia="zh-CN"/>
              </w:rPr>
              <w:t>12</w:t>
            </w:r>
            <w:r>
              <w:rPr>
                <w:rFonts w:hint="eastAsia" w:ascii="宋体" w:hAnsi="宋体" w:eastAsia="宋体" w:cs="宋体"/>
                <w:kern w:val="0"/>
                <w:sz w:val="21"/>
                <w:szCs w:val="21"/>
                <w:highlight w:val="none"/>
              </w:rPr>
              <w:t>分，一般参数每负偏离一条扣</w:t>
            </w:r>
            <w:r>
              <w:rPr>
                <w:rFonts w:hint="eastAsia" w:ascii="宋体" w:hAnsi="宋体" w:eastAsia="宋体" w:cs="宋体"/>
                <w:kern w:val="0"/>
                <w:sz w:val="21"/>
                <w:szCs w:val="21"/>
                <w:highlight w:val="yellow"/>
                <w:lang w:val="en-US" w:eastAsia="zh-CN"/>
              </w:rPr>
              <w:t>1</w:t>
            </w:r>
            <w:r>
              <w:rPr>
                <w:rFonts w:hint="eastAsia" w:ascii="宋体" w:hAnsi="宋体" w:eastAsia="宋体" w:cs="宋体"/>
                <w:kern w:val="0"/>
                <w:sz w:val="21"/>
                <w:szCs w:val="21"/>
                <w:highlight w:val="none"/>
              </w:rPr>
              <w:t>分，扣完为止。</w:t>
            </w:r>
          </w:p>
        </w:tc>
      </w:tr>
      <w:tr w14:paraId="0B5F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226" w:hRule="atLeast"/>
          <w:tblCellSpacing w:w="0" w:type="dxa"/>
          <w:jc w:val="center"/>
        </w:trPr>
        <w:tc>
          <w:tcPr>
            <w:tcW w:w="417" w:type="dxa"/>
            <w:gridSpan w:val="2"/>
            <w:vAlign w:val="center"/>
          </w:tcPr>
          <w:p w14:paraId="611040E2">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default" w:ascii="宋体" w:hAnsi="宋体" w:eastAsia="宋体" w:cs="Times New Roman"/>
                <w:b/>
                <w:bCs/>
                <w:sz w:val="21"/>
                <w:szCs w:val="21"/>
                <w:highlight w:val="none"/>
              </w:rPr>
              <w:t>3</w:t>
            </w:r>
          </w:p>
        </w:tc>
        <w:tc>
          <w:tcPr>
            <w:tcW w:w="3705" w:type="dxa"/>
            <w:gridSpan w:val="4"/>
            <w:vAlign w:val="center"/>
          </w:tcPr>
          <w:p w14:paraId="4165469B">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商务部分</w:t>
            </w:r>
          </w:p>
        </w:tc>
        <w:tc>
          <w:tcPr>
            <w:tcW w:w="4788" w:type="dxa"/>
            <w:vAlign w:val="center"/>
          </w:tcPr>
          <w:p w14:paraId="53D87ABA">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lang w:val="en-US" w:eastAsia="zh-CN"/>
              </w:rPr>
              <w:t>5</w:t>
            </w:r>
          </w:p>
        </w:tc>
      </w:tr>
      <w:tr w14:paraId="21A8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90" w:hRule="atLeast"/>
          <w:tblCellSpacing w:w="0" w:type="dxa"/>
          <w:jc w:val="center"/>
        </w:trPr>
        <w:tc>
          <w:tcPr>
            <w:tcW w:w="417" w:type="dxa"/>
            <w:gridSpan w:val="2"/>
            <w:vMerge w:val="restart"/>
            <w:vAlign w:val="center"/>
          </w:tcPr>
          <w:p w14:paraId="4D0D77CF">
            <w:pPr>
              <w:keepNext/>
              <w:keepLines/>
              <w:suppressLineNumbers w:val="0"/>
              <w:spacing w:before="340" w:beforeAutospacing="0" w:after="330" w:afterAutospacing="0" w:line="240" w:lineRule="exact"/>
              <w:ind w:left="0" w:right="0" w:firstLine="0" w:firstLineChars="0"/>
              <w:jc w:val="center"/>
              <w:outlineLvl w:val="0"/>
              <w:rPr>
                <w:rFonts w:hint="default" w:ascii="宋体" w:hAnsi="宋体" w:eastAsia="宋体" w:cs="Times New Roman"/>
                <w:sz w:val="21"/>
                <w:szCs w:val="21"/>
                <w:highlight w:val="none"/>
              </w:rPr>
            </w:pPr>
          </w:p>
        </w:tc>
        <w:tc>
          <w:tcPr>
            <w:tcW w:w="416" w:type="dxa"/>
            <w:vAlign w:val="center"/>
          </w:tcPr>
          <w:p w14:paraId="6898278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26806E6B">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6666648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764DB15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3DC834C4">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48D1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Merge w:val="continue"/>
            <w:vAlign w:val="center"/>
          </w:tcPr>
          <w:p w14:paraId="743F2125">
            <w:pPr>
              <w:keepNext/>
              <w:keepLines/>
              <w:suppressLineNumbers w:val="0"/>
              <w:spacing w:before="340" w:beforeAutospacing="0" w:after="330" w:afterAutospacing="0" w:line="240" w:lineRule="exact"/>
              <w:ind w:left="0" w:right="0" w:firstLine="0" w:firstLineChars="0"/>
              <w:jc w:val="center"/>
              <w:outlineLvl w:val="0"/>
              <w:rPr>
                <w:rFonts w:hint="default" w:ascii="宋体" w:hAnsi="宋体" w:eastAsia="宋体" w:cs="Times New Roman"/>
                <w:sz w:val="21"/>
                <w:szCs w:val="21"/>
                <w:highlight w:val="none"/>
              </w:rPr>
            </w:pPr>
          </w:p>
        </w:tc>
        <w:tc>
          <w:tcPr>
            <w:tcW w:w="416" w:type="dxa"/>
            <w:vAlign w:val="center"/>
          </w:tcPr>
          <w:p w14:paraId="44555F9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default" w:ascii="宋体" w:hAnsi="宋体" w:eastAsia="宋体" w:cs="Times New Roman"/>
                <w:sz w:val="21"/>
                <w:szCs w:val="21"/>
                <w:highlight w:val="none"/>
              </w:rPr>
              <w:t>1</w:t>
            </w:r>
          </w:p>
        </w:tc>
        <w:tc>
          <w:tcPr>
            <w:tcW w:w="1814" w:type="dxa"/>
            <w:vAlign w:val="center"/>
          </w:tcPr>
          <w:p w14:paraId="5FB841B3">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宋体"/>
                <w:sz w:val="21"/>
                <w:szCs w:val="21"/>
                <w:highlight w:val="none"/>
              </w:rPr>
              <w:t>商务条款偏离情况</w:t>
            </w:r>
          </w:p>
        </w:tc>
        <w:tc>
          <w:tcPr>
            <w:tcW w:w="720" w:type="dxa"/>
            <w:vAlign w:val="center"/>
          </w:tcPr>
          <w:p w14:paraId="60C99561">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lang w:val="en-US" w:eastAsia="zh-CN"/>
              </w:rPr>
            </w:pPr>
            <w:r>
              <w:rPr>
                <w:rFonts w:hint="eastAsia" w:ascii="宋体" w:hAnsi="宋体" w:eastAsia="宋体" w:cs="宋体"/>
                <w:sz w:val="21"/>
                <w:szCs w:val="21"/>
                <w:highlight w:val="none"/>
                <w:lang w:val="en-US" w:eastAsia="zh-CN"/>
              </w:rPr>
              <w:t>5</w:t>
            </w:r>
          </w:p>
        </w:tc>
        <w:tc>
          <w:tcPr>
            <w:tcW w:w="755" w:type="dxa"/>
            <w:vAlign w:val="center"/>
          </w:tcPr>
          <w:p w14:paraId="4B5B967E">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专家评分</w:t>
            </w:r>
          </w:p>
        </w:tc>
        <w:tc>
          <w:tcPr>
            <w:tcW w:w="4788" w:type="dxa"/>
            <w:vAlign w:val="center"/>
          </w:tcPr>
          <w:p w14:paraId="22D12E3B">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宋体"/>
                <w:sz w:val="21"/>
                <w:szCs w:val="21"/>
                <w:highlight w:val="none"/>
              </w:rPr>
            </w:pPr>
            <w:r>
              <w:rPr>
                <w:rFonts w:hint="eastAsia" w:ascii="Times New Roman" w:hAnsi="Times New Roman" w:eastAsia="宋体" w:cs="宋体"/>
                <w:sz w:val="21"/>
                <w:szCs w:val="21"/>
                <w:highlight w:val="none"/>
                <w:lang w:eastAsia="zh-CN"/>
              </w:rPr>
              <w:t>（一）评分内容</w:t>
            </w:r>
            <w:r>
              <w:rPr>
                <w:rFonts w:hint="eastAsia" w:ascii="Times New Roman" w:hAnsi="Times New Roman" w:eastAsia="宋体" w:cs="宋体"/>
                <w:sz w:val="21"/>
                <w:szCs w:val="21"/>
                <w:highlight w:val="none"/>
              </w:rPr>
              <w:t>：投标人应如实填写《商务要求偏离表》，评审委员会根据响应情况进行打分，全部满足要求的得</w:t>
            </w:r>
            <w:r>
              <w:rPr>
                <w:rFonts w:hint="default" w:ascii="Times New Roman" w:hAnsi="Times New Roman" w:eastAsia="宋体" w:cs="Times New Roman"/>
                <w:sz w:val="21"/>
                <w:szCs w:val="21"/>
                <w:highlight w:val="none"/>
              </w:rPr>
              <w:t>100</w:t>
            </w:r>
            <w:r>
              <w:rPr>
                <w:rFonts w:hint="eastAsia" w:ascii="Times New Roman" w:hAnsi="Times New Roman" w:eastAsia="宋体" w:cs="宋体"/>
                <w:sz w:val="21"/>
                <w:szCs w:val="21"/>
                <w:highlight w:val="none"/>
              </w:rPr>
              <w:t>分，每负偏离一项扣</w:t>
            </w:r>
            <w:r>
              <w:rPr>
                <w:rFonts w:hint="eastAsia" w:ascii="Times New Roman" w:hAnsi="Times New Roman" w:eastAsia="宋体" w:cs="Times New Roman"/>
                <w:sz w:val="21"/>
                <w:szCs w:val="21"/>
                <w:highlight w:val="none"/>
                <w:lang w:val="en-US" w:eastAsia="zh-CN"/>
              </w:rPr>
              <w:t>20</w:t>
            </w:r>
            <w:r>
              <w:rPr>
                <w:rFonts w:hint="eastAsia" w:ascii="Times New Roman" w:hAnsi="Times New Roman" w:eastAsia="宋体" w:cs="宋体"/>
                <w:sz w:val="21"/>
                <w:szCs w:val="21"/>
                <w:highlight w:val="none"/>
              </w:rPr>
              <w:t>分，扣完为止。</w:t>
            </w:r>
          </w:p>
        </w:tc>
      </w:tr>
      <w:tr w14:paraId="4DD1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Align w:val="center"/>
          </w:tcPr>
          <w:p w14:paraId="15608B3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4</w:t>
            </w:r>
          </w:p>
        </w:tc>
        <w:tc>
          <w:tcPr>
            <w:tcW w:w="3705" w:type="dxa"/>
            <w:gridSpan w:val="4"/>
            <w:vAlign w:val="center"/>
          </w:tcPr>
          <w:p w14:paraId="38D892F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诚信情况</w:t>
            </w:r>
          </w:p>
        </w:tc>
        <w:tc>
          <w:tcPr>
            <w:tcW w:w="4788" w:type="dxa"/>
            <w:vAlign w:val="center"/>
          </w:tcPr>
          <w:p w14:paraId="629CD783">
            <w:pPr>
              <w:keepNext w:val="0"/>
              <w:keepLines w:val="0"/>
              <w:widowControl w:val="0"/>
              <w:suppressLineNumbers w:val="0"/>
              <w:pBdr>
                <w:bottom w:val="none" w:color="auto" w:sz="0" w:space="0"/>
              </w:pBdr>
              <w:snapToGrid w:val="0"/>
              <w:spacing w:before="0" w:beforeAutospacing="0" w:after="0" w:afterAutospacing="0" w:line="300" w:lineRule="auto"/>
              <w:ind w:left="0" w:right="0" w:firstLine="0" w:firstLineChars="0"/>
              <w:jc w:val="center"/>
              <w:rPr>
                <w:rFonts w:hint="default" w:ascii="宋体" w:hAnsi="宋体" w:eastAsia="宋体" w:cs="Times New Roman"/>
                <w:b/>
                <w:bCs/>
                <w:kern w:val="2"/>
                <w:sz w:val="21"/>
                <w:szCs w:val="21"/>
                <w:highlight w:val="none"/>
                <w:lang w:val="en-US" w:eastAsia="zh-CN" w:bidi="ar-SA"/>
              </w:rPr>
            </w:pPr>
            <w:r>
              <w:rPr>
                <w:rFonts w:hint="eastAsia" w:ascii="宋体" w:hAnsi="宋体" w:eastAsia="宋体" w:cs="Times New Roman"/>
                <w:b/>
                <w:bCs/>
                <w:kern w:val="2"/>
                <w:sz w:val="21"/>
                <w:szCs w:val="21"/>
                <w:highlight w:val="none"/>
                <w:lang w:val="en-US" w:eastAsia="zh-CN" w:bidi="ar-SA"/>
              </w:rPr>
              <w:t>2</w:t>
            </w:r>
          </w:p>
        </w:tc>
      </w:tr>
      <w:tr w14:paraId="7592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Merge w:val="restart"/>
            <w:vAlign w:val="center"/>
          </w:tcPr>
          <w:p w14:paraId="06C84D6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p>
        </w:tc>
        <w:tc>
          <w:tcPr>
            <w:tcW w:w="416" w:type="dxa"/>
            <w:vAlign w:val="center"/>
          </w:tcPr>
          <w:p w14:paraId="63C1D8DB">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241802F8">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4ADE5B1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26421EE9">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6E85A2C6">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0915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90" w:hRule="atLeast"/>
          <w:tblCellSpacing w:w="0" w:type="dxa"/>
          <w:jc w:val="center"/>
        </w:trPr>
        <w:tc>
          <w:tcPr>
            <w:tcW w:w="417" w:type="dxa"/>
            <w:gridSpan w:val="2"/>
            <w:vMerge w:val="continue"/>
            <w:vAlign w:val="center"/>
          </w:tcPr>
          <w:p w14:paraId="24DA5E5C">
            <w:pPr>
              <w:keepNext/>
              <w:keepLines/>
              <w:suppressLineNumbers w:val="0"/>
              <w:spacing w:before="340" w:beforeAutospacing="0" w:after="330" w:afterAutospacing="0" w:line="240" w:lineRule="exact"/>
              <w:ind w:left="0" w:right="0" w:firstLine="0" w:firstLineChars="0"/>
              <w:jc w:val="center"/>
              <w:outlineLvl w:val="0"/>
              <w:rPr>
                <w:rFonts w:hint="default" w:ascii="宋体" w:hAnsi="宋体" w:eastAsia="宋体" w:cs="Times New Roman"/>
                <w:sz w:val="21"/>
                <w:szCs w:val="21"/>
                <w:highlight w:val="none"/>
              </w:rPr>
            </w:pPr>
          </w:p>
        </w:tc>
        <w:tc>
          <w:tcPr>
            <w:tcW w:w="416" w:type="dxa"/>
            <w:vAlign w:val="center"/>
          </w:tcPr>
          <w:p w14:paraId="7ECE718F">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default" w:ascii="宋体" w:hAnsi="宋体" w:eastAsia="宋体" w:cs="Times New Roman"/>
                <w:sz w:val="21"/>
                <w:szCs w:val="21"/>
                <w:highlight w:val="none"/>
              </w:rPr>
              <w:t>1</w:t>
            </w:r>
          </w:p>
        </w:tc>
        <w:tc>
          <w:tcPr>
            <w:tcW w:w="1814" w:type="dxa"/>
            <w:vAlign w:val="center"/>
          </w:tcPr>
          <w:p w14:paraId="54217EF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诚信</w:t>
            </w:r>
          </w:p>
        </w:tc>
        <w:tc>
          <w:tcPr>
            <w:tcW w:w="720" w:type="dxa"/>
            <w:vAlign w:val="center"/>
          </w:tcPr>
          <w:p w14:paraId="71F08814">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2</w:t>
            </w:r>
          </w:p>
        </w:tc>
        <w:tc>
          <w:tcPr>
            <w:tcW w:w="755" w:type="dxa"/>
            <w:vAlign w:val="center"/>
          </w:tcPr>
          <w:p w14:paraId="0D7E570C">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专家评分</w:t>
            </w:r>
          </w:p>
        </w:tc>
        <w:tc>
          <w:tcPr>
            <w:tcW w:w="4788" w:type="dxa"/>
          </w:tcPr>
          <w:p w14:paraId="7F9914BB">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（一）评分内容：</w:t>
            </w:r>
          </w:p>
          <w:p w14:paraId="27B7BF3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14:paraId="08B1FABB">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（二）评分依据：</w:t>
            </w:r>
          </w:p>
          <w:p w14:paraId="5D56ADB7">
            <w:pPr>
              <w:keepNext w:val="0"/>
              <w:keepLines w:val="0"/>
              <w:suppressLineNumbers w:val="0"/>
              <w:spacing w:before="0" w:beforeAutospacing="0" w:after="0" w:afterAutospacing="0" w:line="240" w:lineRule="auto"/>
              <w:ind w:left="0" w:right="0" w:firstLine="0" w:firstLineChars="0"/>
              <w:rPr>
                <w:rFonts w:hint="default" w:ascii="宋体" w:hAnsi="宋体" w:eastAsia="宋体" w:cs="Times New Roman"/>
                <w:sz w:val="21"/>
                <w:szCs w:val="21"/>
                <w:highlight w:val="none"/>
              </w:rPr>
            </w:pPr>
            <w:r>
              <w:rPr>
                <w:rFonts w:hint="eastAsia" w:ascii="Times New Roman" w:hAnsi="Times New Roman" w:eastAsia="宋体" w:cs="Times New Roman"/>
                <w:kern w:val="2"/>
                <w:sz w:val="21"/>
                <w:szCs w:val="21"/>
                <w:highlight w:val="none"/>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tr w14:paraId="1759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Align w:val="center"/>
          </w:tcPr>
          <w:p w14:paraId="7F4FD1BE">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5</w:t>
            </w:r>
          </w:p>
        </w:tc>
        <w:tc>
          <w:tcPr>
            <w:tcW w:w="3705" w:type="dxa"/>
            <w:gridSpan w:val="4"/>
            <w:vAlign w:val="center"/>
          </w:tcPr>
          <w:p w14:paraId="5392F75A">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b/>
                <w:bCs/>
                <w:sz w:val="21"/>
                <w:szCs w:val="21"/>
                <w:highlight w:val="none"/>
              </w:rPr>
            </w:pPr>
            <w:r>
              <w:rPr>
                <w:rFonts w:hint="eastAsia" w:ascii="宋体" w:hAnsi="宋体" w:eastAsia="宋体" w:cs="Times New Roman"/>
                <w:b/>
                <w:bCs/>
                <w:sz w:val="21"/>
                <w:szCs w:val="21"/>
                <w:highlight w:val="none"/>
              </w:rPr>
              <w:t>综合实力</w:t>
            </w:r>
          </w:p>
        </w:tc>
        <w:tc>
          <w:tcPr>
            <w:tcW w:w="4788" w:type="dxa"/>
            <w:vAlign w:val="center"/>
          </w:tcPr>
          <w:p w14:paraId="473F32BD">
            <w:pPr>
              <w:keepNext w:val="0"/>
              <w:keepLines w:val="0"/>
              <w:widowControl w:val="0"/>
              <w:suppressLineNumbers w:val="0"/>
              <w:pBdr>
                <w:bottom w:val="none" w:color="auto" w:sz="0" w:space="0"/>
              </w:pBdr>
              <w:snapToGrid w:val="0"/>
              <w:spacing w:before="0" w:beforeAutospacing="0" w:after="0" w:afterAutospacing="0" w:line="300" w:lineRule="auto"/>
              <w:ind w:left="0" w:right="0" w:firstLine="0" w:firstLineChars="0"/>
              <w:jc w:val="center"/>
              <w:rPr>
                <w:rFonts w:hint="default" w:ascii="宋体" w:hAnsi="宋体" w:eastAsia="宋体" w:cs="Times New Roman"/>
                <w:b/>
                <w:bCs/>
                <w:kern w:val="2"/>
                <w:sz w:val="21"/>
                <w:szCs w:val="21"/>
                <w:highlight w:val="none"/>
                <w:lang w:val="en-US" w:eastAsia="zh-CN" w:bidi="ar-SA"/>
              </w:rPr>
            </w:pPr>
            <w:r>
              <w:rPr>
                <w:rFonts w:hint="eastAsia" w:ascii="宋体" w:hAnsi="宋体" w:eastAsia="宋体" w:cs="Times New Roman"/>
                <w:b/>
                <w:bCs/>
                <w:kern w:val="2"/>
                <w:sz w:val="21"/>
                <w:szCs w:val="21"/>
                <w:highlight w:val="none"/>
                <w:lang w:val="en-US" w:eastAsia="zh-CN" w:bidi="ar-SA"/>
              </w:rPr>
              <w:t>3</w:t>
            </w:r>
          </w:p>
        </w:tc>
      </w:tr>
      <w:tr w14:paraId="3D14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57" w:hRule="atLeast"/>
          <w:tblCellSpacing w:w="0" w:type="dxa"/>
          <w:jc w:val="center"/>
        </w:trPr>
        <w:tc>
          <w:tcPr>
            <w:tcW w:w="417" w:type="dxa"/>
            <w:gridSpan w:val="2"/>
            <w:vMerge w:val="restart"/>
            <w:vAlign w:val="center"/>
          </w:tcPr>
          <w:p w14:paraId="65BB8B06">
            <w:pPr>
              <w:keepNext/>
              <w:keepLines/>
              <w:suppressLineNumbers w:val="0"/>
              <w:spacing w:before="260" w:beforeAutospacing="0" w:after="260" w:afterAutospacing="0" w:line="240" w:lineRule="exact"/>
              <w:ind w:left="0" w:right="0" w:firstLine="0" w:firstLineChars="0"/>
              <w:jc w:val="center"/>
              <w:outlineLvl w:val="2"/>
              <w:rPr>
                <w:rFonts w:hint="default" w:ascii="宋体" w:hAnsi="宋体" w:eastAsia="宋体" w:cs="Times New Roman"/>
                <w:sz w:val="21"/>
                <w:szCs w:val="21"/>
                <w:highlight w:val="none"/>
              </w:rPr>
            </w:pPr>
          </w:p>
        </w:tc>
        <w:tc>
          <w:tcPr>
            <w:tcW w:w="416" w:type="dxa"/>
            <w:vAlign w:val="center"/>
          </w:tcPr>
          <w:p w14:paraId="3245D8DA">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序号</w:t>
            </w:r>
          </w:p>
        </w:tc>
        <w:tc>
          <w:tcPr>
            <w:tcW w:w="1814" w:type="dxa"/>
            <w:vAlign w:val="center"/>
          </w:tcPr>
          <w:p w14:paraId="4DC085ED">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评审因素</w:t>
            </w:r>
          </w:p>
        </w:tc>
        <w:tc>
          <w:tcPr>
            <w:tcW w:w="720" w:type="dxa"/>
            <w:vAlign w:val="center"/>
          </w:tcPr>
          <w:p w14:paraId="2D4C61FE">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宋体"/>
                <w:sz w:val="21"/>
                <w:szCs w:val="21"/>
                <w:highlight w:val="none"/>
              </w:rPr>
            </w:pPr>
            <w:r>
              <w:rPr>
                <w:rFonts w:hint="eastAsia" w:ascii="宋体" w:hAnsi="宋体" w:eastAsia="宋体" w:cs="Times New Roman"/>
                <w:sz w:val="21"/>
                <w:szCs w:val="21"/>
                <w:highlight w:val="none"/>
              </w:rPr>
              <w:t>权重</w:t>
            </w:r>
          </w:p>
        </w:tc>
        <w:tc>
          <w:tcPr>
            <w:tcW w:w="755" w:type="dxa"/>
            <w:vAlign w:val="center"/>
          </w:tcPr>
          <w:p w14:paraId="79F2AE62">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评分方式</w:t>
            </w:r>
          </w:p>
        </w:tc>
        <w:tc>
          <w:tcPr>
            <w:tcW w:w="4788" w:type="dxa"/>
            <w:vAlign w:val="center"/>
          </w:tcPr>
          <w:p w14:paraId="0DE7E190">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评分准则</w:t>
            </w:r>
          </w:p>
        </w:tc>
      </w:tr>
      <w:tr w14:paraId="3CA8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5" w:type="dxa"/>
          <w:trHeight w:val="1923" w:hRule="atLeast"/>
          <w:tblCellSpacing w:w="0" w:type="dxa"/>
          <w:jc w:val="center"/>
        </w:trPr>
        <w:tc>
          <w:tcPr>
            <w:tcW w:w="417" w:type="dxa"/>
            <w:gridSpan w:val="2"/>
            <w:vMerge w:val="continue"/>
            <w:vAlign w:val="center"/>
          </w:tcPr>
          <w:p w14:paraId="3FEBE958">
            <w:pPr>
              <w:keepNext/>
              <w:keepLines/>
              <w:suppressLineNumbers w:val="0"/>
              <w:spacing w:before="260" w:beforeAutospacing="0" w:after="260" w:afterAutospacing="0" w:line="240" w:lineRule="exact"/>
              <w:ind w:left="0" w:right="0" w:firstLine="0" w:firstLineChars="0"/>
              <w:jc w:val="center"/>
              <w:outlineLvl w:val="2"/>
              <w:rPr>
                <w:rFonts w:hint="default" w:ascii="宋体" w:hAnsi="宋体" w:eastAsia="宋体" w:cs="Times New Roman"/>
                <w:sz w:val="21"/>
                <w:szCs w:val="21"/>
                <w:highlight w:val="none"/>
              </w:rPr>
            </w:pPr>
          </w:p>
        </w:tc>
        <w:tc>
          <w:tcPr>
            <w:tcW w:w="416" w:type="dxa"/>
            <w:vAlign w:val="center"/>
          </w:tcPr>
          <w:p w14:paraId="4EB9B917">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1</w:t>
            </w:r>
          </w:p>
        </w:tc>
        <w:tc>
          <w:tcPr>
            <w:tcW w:w="1814" w:type="dxa"/>
            <w:vAlign w:val="center"/>
          </w:tcPr>
          <w:p w14:paraId="23857E00">
            <w:pPr>
              <w:keepNext w:val="0"/>
              <w:keepLines w:val="0"/>
              <w:widowControl w:val="0"/>
              <w:suppressLineNumbers w:val="0"/>
              <w:pBdr>
                <w:bottom w:val="none" w:color="auto" w:sz="0" w:space="0"/>
              </w:pBdr>
              <w:snapToGrid w:val="0"/>
              <w:spacing w:before="0" w:beforeAutospacing="0" w:after="0" w:afterAutospacing="0" w:line="300" w:lineRule="auto"/>
              <w:ind w:left="0" w:right="0" w:firstLine="0" w:firstLineChars="0"/>
              <w:jc w:val="center"/>
              <w:rPr>
                <w:rFonts w:hint="default"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同类业绩</w:t>
            </w:r>
          </w:p>
        </w:tc>
        <w:tc>
          <w:tcPr>
            <w:tcW w:w="720" w:type="dxa"/>
            <w:vAlign w:val="center"/>
          </w:tcPr>
          <w:p w14:paraId="69CEA1EA">
            <w:pPr>
              <w:keepNext w:val="0"/>
              <w:keepLines w:val="0"/>
              <w:suppressLineNumbers w:val="0"/>
              <w:spacing w:before="0" w:beforeAutospacing="0" w:after="0" w:afterAutospacing="0" w:line="240" w:lineRule="exact"/>
              <w:ind w:left="0" w:right="0" w:firstLine="0" w:firstLineChars="0"/>
              <w:jc w:val="center"/>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val="en-US" w:eastAsia="zh-CN"/>
              </w:rPr>
              <w:t>3</w:t>
            </w:r>
          </w:p>
        </w:tc>
        <w:tc>
          <w:tcPr>
            <w:tcW w:w="755" w:type="dxa"/>
            <w:vAlign w:val="center"/>
          </w:tcPr>
          <w:p w14:paraId="118DEA97">
            <w:pPr>
              <w:keepNext w:val="0"/>
              <w:keepLines w:val="0"/>
              <w:suppressLineNumbers w:val="0"/>
              <w:spacing w:before="0" w:beforeAutospacing="0" w:after="0" w:afterAutospacing="0" w:line="240" w:lineRule="exact"/>
              <w:ind w:left="0" w:right="0" w:firstLine="0" w:firstLineChars="0"/>
              <w:jc w:val="center"/>
              <w:rPr>
                <w:rFonts w:hint="default" w:ascii="宋体" w:hAnsi="宋体" w:eastAsia="宋体" w:cs="Times New Roman"/>
                <w:sz w:val="21"/>
                <w:szCs w:val="21"/>
                <w:highlight w:val="none"/>
              </w:rPr>
            </w:pPr>
            <w:r>
              <w:rPr>
                <w:rFonts w:hint="eastAsia" w:ascii="宋体" w:hAnsi="宋体" w:eastAsia="宋体" w:cs="Times New Roman"/>
                <w:sz w:val="21"/>
                <w:szCs w:val="21"/>
                <w:highlight w:val="none"/>
              </w:rPr>
              <w:t>专家打分</w:t>
            </w:r>
          </w:p>
        </w:tc>
        <w:tc>
          <w:tcPr>
            <w:tcW w:w="4788" w:type="dxa"/>
          </w:tcPr>
          <w:p w14:paraId="5A0C2652">
            <w:pPr>
              <w:keepNext w:val="0"/>
              <w:keepLines w:val="0"/>
              <w:suppressLineNumbers w:val="0"/>
              <w:wordWrap w:val="0"/>
              <w:spacing w:before="0" w:beforeAutospacing="0" w:after="0" w:afterAutospacing="0" w:line="240" w:lineRule="auto"/>
              <w:ind w:left="0" w:right="0" w:firstLine="0" w:firstLineChars="0"/>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（一）评分内容</w:t>
            </w:r>
            <w:r>
              <w:rPr>
                <w:rFonts w:hint="eastAsia" w:ascii="宋体" w:hAnsi="宋体" w:eastAsia="宋体" w:cs="宋体"/>
                <w:sz w:val="21"/>
                <w:szCs w:val="21"/>
                <w:highlight w:val="none"/>
              </w:rPr>
              <w:t>：投标人或制造商2023年7月1日至本项目投标截止之日止（以合同签订时间为准）的同类（同类指的是与所投核心产品同品牌、同型号的产品业绩情况：提供3个（或以上）得100分，提供2个得60分，提供1个得30分，未提供的不得分。</w:t>
            </w:r>
          </w:p>
          <w:p w14:paraId="09AD4DF2">
            <w:pPr>
              <w:keepNext w:val="0"/>
              <w:keepLines w:val="0"/>
              <w:suppressLineNumbers w:val="0"/>
              <w:wordWrap w:val="0"/>
              <w:spacing w:before="0" w:beforeAutospacing="0" w:after="0" w:afterAutospacing="0" w:line="240" w:lineRule="auto"/>
              <w:ind w:left="0" w:right="0" w:firstLine="0" w:firstLineChars="0"/>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（二）评分依据</w:t>
            </w:r>
            <w:r>
              <w:rPr>
                <w:rFonts w:hint="eastAsia" w:ascii="宋体" w:hAnsi="宋体" w:eastAsia="宋体" w:cs="宋体"/>
                <w:sz w:val="21"/>
                <w:szCs w:val="21"/>
                <w:highlight w:val="none"/>
              </w:rPr>
              <w:t>：1.同时提供合同关键信息页证明文件（含签订合同双方的单位名称、合同项目名称与含签订合同双方的落款盖章、签订日期的关键页）、发票（包含全部合同金额）和履约验收报告三个文件作为得分依据。</w:t>
            </w:r>
          </w:p>
          <w:p w14:paraId="34F2B45E">
            <w:pPr>
              <w:keepNext w:val="0"/>
              <w:keepLines w:val="0"/>
              <w:suppressLineNumbers w:val="0"/>
              <w:wordWrap w:val="0"/>
              <w:spacing w:before="0" w:beforeAutospacing="0" w:after="0" w:afterAutospacing="0" w:line="240" w:lineRule="auto"/>
              <w:ind w:left="0" w:right="0" w:firstLine="0" w:firstLineChars="0"/>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2.提供项目完成验收结果为合格（或相当于合格的同等评价）及以上的证明材料【项目验收评价方需与合同甲方（采购方）一致。若合同甲方（采购方）有名称变更的，投标人还需提供说明函】扫描件。</w:t>
            </w:r>
          </w:p>
          <w:p w14:paraId="00D67D2A">
            <w:pPr>
              <w:keepNext w:val="0"/>
              <w:keepLines w:val="0"/>
              <w:suppressLineNumbers w:val="0"/>
              <w:wordWrap w:val="0"/>
              <w:spacing w:before="0" w:beforeAutospacing="0" w:after="0" w:afterAutospacing="0" w:line="240" w:lineRule="auto"/>
              <w:ind w:left="0" w:right="0" w:firstLine="0" w:firstLineChars="0"/>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3.以上资料均要求提供复印件且不得进行涂改。评分中出现无证明资料或评审委员会无法凭所提供资料判断是否得分的情况，一律作不得分处理。</w:t>
            </w:r>
          </w:p>
        </w:tc>
      </w:tr>
    </w:tbl>
    <w:p w14:paraId="1D302BFA">
      <w:pPr>
        <w:spacing w:line="240" w:lineRule="auto"/>
        <w:ind w:firstLine="0" w:firstLineChars="0"/>
        <w:jc w:val="center"/>
        <w:rPr>
          <w:rFonts w:ascii="Times New Roman" w:hAnsi="Times New Roman" w:eastAsia="宋体" w:cs="Times New Roman"/>
          <w:b/>
          <w:sz w:val="120"/>
          <w:szCs w:val="120"/>
        </w:rPr>
      </w:pPr>
    </w:p>
    <w:p w14:paraId="11C33B92">
      <w:pPr>
        <w:spacing w:line="240" w:lineRule="auto"/>
        <w:ind w:firstLine="0" w:firstLineChars="0"/>
        <w:jc w:val="left"/>
        <w:rPr>
          <w:rFonts w:ascii="Times New Roman" w:hAnsi="Times New Roman" w:eastAsia="宋体" w:cs="Times New Roman"/>
          <w:b/>
          <w:sz w:val="120"/>
          <w:szCs w:val="120"/>
        </w:rPr>
      </w:pPr>
      <w:r>
        <w:rPr>
          <w:rFonts w:ascii="Times New Roman" w:hAnsi="Times New Roman" w:eastAsia="宋体" w:cs="Times New Roman"/>
          <w:b/>
          <w:sz w:val="120"/>
          <w:szCs w:val="120"/>
        </w:rPr>
        <w:br w:type="page"/>
      </w:r>
    </w:p>
    <w:p w14:paraId="67111220">
      <w:pPr>
        <w:spacing w:line="240" w:lineRule="auto"/>
        <w:ind w:firstLine="0" w:firstLineChars="0"/>
        <w:rPr>
          <w:rFonts w:ascii="宋体" w:hAnsi="宋体" w:eastAsia="宋体" w:cs="宋体"/>
          <w:b/>
          <w:bCs/>
          <w:kern w:val="0"/>
          <w:sz w:val="21"/>
          <w:szCs w:val="21"/>
        </w:rPr>
      </w:pPr>
      <w:r>
        <w:rPr>
          <w:rFonts w:hint="eastAsia" w:ascii="宋体" w:hAnsi="宋体" w:eastAsia="宋体" w:cs="宋体"/>
          <w:b/>
          <w:bCs/>
          <w:kern w:val="0"/>
          <w:sz w:val="21"/>
          <w:szCs w:val="21"/>
        </w:rPr>
        <w:t>投标人的资格要求：</w:t>
      </w:r>
    </w:p>
    <w:p w14:paraId="4E56E9A6">
      <w:pPr>
        <w:spacing w:line="240" w:lineRule="auto"/>
        <w:ind w:firstLine="420" w:firstLineChars="200"/>
        <w:rPr>
          <w:rFonts w:ascii="宋体" w:hAnsi="宋体" w:eastAsia="宋体" w:cs="宋体"/>
          <w:color w:val="FF0000"/>
          <w:kern w:val="0"/>
          <w:sz w:val="21"/>
          <w:szCs w:val="21"/>
        </w:rPr>
      </w:pPr>
      <w:bookmarkStart w:id="0" w:name="bt本工程承诺书"/>
      <w:bookmarkEnd w:id="0"/>
      <w:bookmarkStart w:id="1" w:name="bt投标报价汇总表"/>
      <w:bookmarkEnd w:id="1"/>
      <w:bookmarkStart w:id="2" w:name="bt开标一览表"/>
      <w:bookmarkEnd w:id="2"/>
      <w:bookmarkStart w:id="3" w:name="bt说明"/>
      <w:bookmarkEnd w:id="3"/>
      <w:bookmarkStart w:id="4" w:name="bt合同条款"/>
      <w:bookmarkEnd w:id="4"/>
      <w:bookmarkStart w:id="5" w:name="bt项目管理班子配备情况"/>
      <w:bookmarkEnd w:id="5"/>
      <w:bookmarkStart w:id="6" w:name="bt合同条款及格式"/>
      <w:bookmarkEnd w:id="6"/>
      <w:bookmarkStart w:id="7" w:name="bt投标文件签署授权委托书"/>
      <w:bookmarkEnd w:id="7"/>
      <w:bookmarkStart w:id="8" w:name="bt投标人情况介绍"/>
      <w:bookmarkEnd w:id="8"/>
      <w:bookmarkStart w:id="9" w:name="bt投标函"/>
      <w:bookmarkEnd w:id="9"/>
      <w:bookmarkStart w:id="10" w:name="bt商务标投标文件格式"/>
      <w:bookmarkEnd w:id="10"/>
      <w:bookmarkStart w:id="11" w:name="bt投标人须知"/>
      <w:bookmarkEnd w:id="11"/>
      <w:bookmarkStart w:id="12" w:name="合同格式"/>
      <w:bookmarkEnd w:id="12"/>
      <w:bookmarkStart w:id="13" w:name="bt合同格式"/>
      <w:bookmarkEnd w:id="13"/>
      <w:bookmarkStart w:id="14" w:name="bt其他资料由投标人自定"/>
      <w:bookmarkEnd w:id="14"/>
      <w:bookmarkStart w:id="15" w:name="bt其他资料2"/>
      <w:bookmarkEnd w:id="15"/>
      <w:bookmarkStart w:id="16" w:name="bt技术标投标文件格式"/>
      <w:bookmarkEnd w:id="16"/>
      <w:r>
        <w:rPr>
          <w:rFonts w:hint="eastAsia" w:ascii="宋体" w:hAnsi="宋体" w:eastAsia="宋体" w:cs="宋体"/>
          <w:kern w:val="0"/>
          <w:sz w:val="21"/>
          <w:szCs w:val="21"/>
        </w:rPr>
        <w:t>1</w:t>
      </w:r>
      <w:r>
        <w:rPr>
          <w:rFonts w:ascii="宋体" w:hAnsi="宋体" w:eastAsia="宋体" w:cs="宋体"/>
          <w:kern w:val="0"/>
          <w:sz w:val="21"/>
          <w:szCs w:val="21"/>
        </w:rPr>
        <w:t>.</w:t>
      </w:r>
      <w:bookmarkStart w:id="17" w:name="_Hlk72162904"/>
      <w:r>
        <w:rPr>
          <w:rFonts w:hint="eastAsia" w:ascii="宋体" w:hAnsi="宋体" w:eastAsia="宋体" w:cs="宋体"/>
          <w:kern w:val="0"/>
          <w:sz w:val="21"/>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17"/>
    </w:p>
    <w:p w14:paraId="217C22D7">
      <w:pPr>
        <w:spacing w:line="240" w:lineRule="auto"/>
        <w:ind w:firstLine="420" w:firstLineChars="200"/>
        <w:rPr>
          <w:rFonts w:ascii="宋体" w:hAnsi="宋体" w:eastAsia="宋体" w:cs="宋体"/>
          <w:color w:val="FF0000"/>
          <w:kern w:val="0"/>
          <w:sz w:val="21"/>
          <w:szCs w:val="21"/>
        </w:rPr>
      </w:pPr>
      <w:r>
        <w:rPr>
          <w:rFonts w:hint="eastAsia" w:ascii="宋体" w:hAnsi="宋体" w:eastAsia="宋体" w:cs="宋体"/>
          <w:color w:val="FF0000"/>
          <w:kern w:val="0"/>
          <w:sz w:val="21"/>
          <w:szCs w:val="21"/>
        </w:rPr>
        <w:t>2.本项目不接受联合体投标，是否允许投标人选用进口产品参与投标以招标文件“第三章 用户需求书”为准（由供应商在《政府采购投标及履约承诺函》中作出声明）；</w:t>
      </w:r>
    </w:p>
    <w:p w14:paraId="72EB05DA">
      <w:pPr>
        <w:spacing w:line="240" w:lineRule="auto"/>
        <w:ind w:firstLine="420" w:firstLineChars="200"/>
        <w:rPr>
          <w:rFonts w:ascii="宋体" w:hAnsi="宋体" w:eastAsia="宋体" w:cs="宋体"/>
          <w:kern w:val="0"/>
          <w:sz w:val="21"/>
          <w:szCs w:val="21"/>
        </w:rPr>
      </w:pPr>
      <w:r>
        <w:rPr>
          <w:rFonts w:hint="eastAsia" w:ascii="宋体" w:hAnsi="宋体" w:eastAsia="宋体" w:cs="宋体"/>
          <w:kern w:val="0"/>
          <w:sz w:val="21"/>
          <w:szCs w:val="21"/>
        </w:rPr>
        <w:t>3</w:t>
      </w:r>
      <w:r>
        <w:rPr>
          <w:rFonts w:ascii="宋体" w:hAnsi="宋体" w:eastAsia="宋体" w:cs="宋体"/>
          <w:kern w:val="0"/>
          <w:sz w:val="21"/>
          <w:szCs w:val="21"/>
        </w:rPr>
        <w:t>.</w:t>
      </w:r>
      <w:r>
        <w:rPr>
          <w:rFonts w:hint="eastAsia" w:ascii="宋体" w:hAnsi="宋体" w:eastAsia="宋体" w:cs="宋体"/>
          <w:kern w:val="0"/>
          <w:sz w:val="21"/>
          <w:szCs w:val="21"/>
        </w:rPr>
        <w:t>参与本项目政府采购活动时不存在被有关部门禁止参与政府采购活动且在有效期内的情况（由供应商在《政府采购投标及履约承诺函》中作出声明）；</w:t>
      </w:r>
    </w:p>
    <w:p w14:paraId="7EA9C319">
      <w:pPr>
        <w:spacing w:line="240" w:lineRule="auto"/>
        <w:ind w:firstLine="420" w:firstLineChars="200"/>
        <w:rPr>
          <w:rFonts w:ascii="宋体" w:hAnsi="宋体" w:eastAsia="宋体" w:cs="宋体"/>
          <w:kern w:val="0"/>
          <w:sz w:val="21"/>
          <w:szCs w:val="21"/>
        </w:rPr>
      </w:pPr>
      <w:r>
        <w:rPr>
          <w:rFonts w:hint="eastAsia" w:ascii="宋体" w:hAnsi="宋体" w:eastAsia="宋体" w:cs="宋体"/>
          <w:kern w:val="0"/>
          <w:sz w:val="21"/>
          <w:szCs w:val="21"/>
        </w:rPr>
        <w:t>4</w:t>
      </w:r>
      <w:r>
        <w:rPr>
          <w:rFonts w:ascii="宋体" w:hAnsi="宋体" w:eastAsia="宋体" w:cs="宋体"/>
          <w:kern w:val="0"/>
          <w:sz w:val="21"/>
          <w:szCs w:val="21"/>
        </w:rPr>
        <w:t>.</w:t>
      </w:r>
      <w:r>
        <w:rPr>
          <w:rFonts w:hint="eastAsia" w:ascii="宋体" w:hAnsi="宋体" w:eastAsia="宋体" w:cs="宋体"/>
          <w:kern w:val="0"/>
          <w:sz w:val="21"/>
          <w:szCs w:val="21"/>
        </w:rPr>
        <w:t>具备《中华人民共和国政府采购法》第二十二条第一款的条件（由供应商在《政府采购投标及履约承诺函》中作出声明）；</w:t>
      </w:r>
    </w:p>
    <w:p w14:paraId="1A7DDED0">
      <w:pPr>
        <w:spacing w:line="240" w:lineRule="auto"/>
        <w:ind w:firstLine="420" w:firstLineChars="200"/>
        <w:rPr>
          <w:rFonts w:ascii="宋体" w:hAnsi="宋体" w:eastAsia="宋体" w:cs="宋体"/>
          <w:kern w:val="0"/>
          <w:sz w:val="21"/>
          <w:szCs w:val="21"/>
        </w:rPr>
      </w:pPr>
      <w:r>
        <w:rPr>
          <w:rFonts w:hint="eastAsia" w:ascii="宋体" w:hAnsi="宋体" w:eastAsia="宋体" w:cs="宋体"/>
          <w:kern w:val="0"/>
          <w:sz w:val="21"/>
          <w:szCs w:val="21"/>
        </w:rPr>
        <w:t>5</w:t>
      </w:r>
      <w:r>
        <w:rPr>
          <w:rFonts w:ascii="宋体" w:hAnsi="宋体" w:eastAsia="宋体" w:cs="宋体"/>
          <w:kern w:val="0"/>
          <w:sz w:val="21"/>
          <w:szCs w:val="21"/>
        </w:rPr>
        <w:t>.</w:t>
      </w:r>
      <w:r>
        <w:rPr>
          <w:rFonts w:hint="eastAsia" w:ascii="宋体" w:hAnsi="宋体" w:eastAsia="宋体" w:cs="宋体"/>
          <w:kern w:val="0"/>
          <w:sz w:val="21"/>
          <w:szCs w:val="21"/>
        </w:rPr>
        <w:t>未被列入失信被执行人、重大税收违法案件当事人名单、政府采购严重违法失信行为记录名单（由供应商在《政府采购投标及履约承诺函》中作出声明）；</w:t>
      </w:r>
    </w:p>
    <w:p w14:paraId="7C9EF8DF">
      <w:pPr>
        <w:spacing w:line="240" w:lineRule="auto"/>
        <w:ind w:firstLine="420" w:firstLineChars="200"/>
        <w:rPr>
          <w:rFonts w:ascii="宋体" w:hAnsi="宋体" w:eastAsia="宋体" w:cs="宋体"/>
          <w:color w:val="FF0000"/>
          <w:kern w:val="0"/>
          <w:sz w:val="21"/>
          <w:szCs w:val="21"/>
        </w:rPr>
      </w:pPr>
      <w:r>
        <w:rPr>
          <w:rFonts w:hint="eastAsia" w:ascii="宋体" w:hAnsi="宋体" w:eastAsia="宋体" w:cs="宋体"/>
          <w:color w:val="FF0000"/>
          <w:kern w:val="0"/>
          <w:sz w:val="21"/>
          <w:szCs w:val="21"/>
        </w:rPr>
        <w:t>6.不存在《深圳市财政局政府采购供应商信用信息管理办法》（深财规〔2023〕3号）列明的严重违法失信行为（由供应商在《政府采购投标及履约承诺函》中作出声明）；</w:t>
      </w:r>
    </w:p>
    <w:p w14:paraId="046D2EAB">
      <w:pPr>
        <w:spacing w:line="240" w:lineRule="auto"/>
        <w:ind w:firstLine="420" w:firstLineChars="200"/>
        <w:rPr>
          <w:rFonts w:ascii="宋体" w:hAnsi="宋体" w:eastAsia="宋体" w:cs="宋体"/>
          <w:kern w:val="0"/>
          <w:sz w:val="21"/>
          <w:szCs w:val="21"/>
        </w:rPr>
      </w:pPr>
      <w:r>
        <w:rPr>
          <w:rFonts w:hint="eastAsia" w:ascii="宋体" w:hAnsi="宋体" w:eastAsia="宋体" w:cs="宋体"/>
          <w:kern w:val="0"/>
          <w:sz w:val="21"/>
          <w:szCs w:val="21"/>
        </w:rPr>
        <w:t>7.为采购项目提供整体设计、规范编制或者项目管理、监理、检测等服务的供应商，不得再参加该采购项目的其他采购活动（由供应商在《政府采购投标及履约承诺函》中作出声明）；</w:t>
      </w:r>
    </w:p>
    <w:p w14:paraId="5FD2F148">
      <w:pPr>
        <w:widowControl w:val="0"/>
        <w:spacing w:line="240" w:lineRule="auto"/>
        <w:ind w:firstLine="420" w:firstLineChars="200"/>
        <w:jc w:val="both"/>
        <w:rPr>
          <w:rFonts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0D979E5">
      <w:pPr>
        <w:spacing w:line="240" w:lineRule="auto"/>
        <w:ind w:firstLine="420" w:firstLineChars="200"/>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9</w:t>
      </w:r>
      <w:r>
        <w:rPr>
          <w:rFonts w:hint="eastAsia" w:ascii="宋体" w:hAnsi="宋体" w:eastAsia="宋体" w:cs="宋体"/>
          <w:kern w:val="0"/>
          <w:sz w:val="21"/>
          <w:szCs w:val="21"/>
        </w:rPr>
        <w:t>.本项目</w:t>
      </w:r>
      <w:r>
        <w:rPr>
          <w:rFonts w:hint="eastAsia" w:ascii="宋体" w:hAnsi="宋体" w:eastAsia="宋体" w:cs="宋体"/>
          <w:kern w:val="0"/>
          <w:sz w:val="21"/>
          <w:szCs w:val="21"/>
          <w:lang w:val="en-US" w:eastAsia="zh-CN"/>
        </w:rPr>
        <w:t>为非</w:t>
      </w:r>
      <w:r>
        <w:rPr>
          <w:rFonts w:hint="eastAsia" w:ascii="宋体" w:hAnsi="宋体" w:eastAsia="宋体" w:cs="宋体"/>
          <w:kern w:val="0"/>
          <w:sz w:val="21"/>
          <w:szCs w:val="21"/>
        </w:rPr>
        <w:t>专门面向中小企业采购</w:t>
      </w:r>
      <w:r>
        <w:rPr>
          <w:rFonts w:hint="eastAsia" w:ascii="宋体" w:hAnsi="宋体" w:eastAsia="宋体" w:cs="宋体"/>
          <w:kern w:val="0"/>
          <w:sz w:val="21"/>
          <w:szCs w:val="21"/>
          <w:lang w:eastAsia="zh-CN"/>
        </w:rPr>
        <w:t>。</w:t>
      </w:r>
    </w:p>
    <w:p w14:paraId="3BD5F41E">
      <w:pPr>
        <w:widowControl w:val="0"/>
        <w:spacing w:line="240" w:lineRule="auto"/>
        <w:ind w:firstLine="420" w:firstLineChars="200"/>
        <w:jc w:val="both"/>
        <w:rPr>
          <w:rFonts w:hint="default" w:ascii="Calibri" w:hAnsi="Calibri" w:eastAsia="宋体" w:cs="Times New Roman"/>
          <w:b w:val="0"/>
          <w:bCs w:val="0"/>
          <w:color w:val="FF0000"/>
          <w:kern w:val="2"/>
          <w:sz w:val="21"/>
          <w:szCs w:val="22"/>
          <w:lang w:val="en-US" w:eastAsia="zh-CN" w:bidi="ar-SA"/>
        </w:rPr>
      </w:pPr>
      <w:r>
        <w:rPr>
          <w:rFonts w:hint="eastAsia" w:ascii="Calibri" w:hAnsi="Calibri" w:eastAsia="宋体" w:cs="Times New Roman"/>
          <w:b w:val="0"/>
          <w:bCs w:val="0"/>
          <w:color w:val="FF0000"/>
          <w:kern w:val="2"/>
          <w:sz w:val="21"/>
          <w:szCs w:val="22"/>
          <w:lang w:val="en-US" w:eastAsia="zh-CN" w:bidi="ar-SA"/>
        </w:rPr>
        <w:t>10.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6A3CB77A">
      <w:pPr>
        <w:numPr>
          <w:ilvl w:val="0"/>
          <w:numId w:val="0"/>
        </w:numPr>
        <w:spacing w:line="240" w:lineRule="auto"/>
        <w:ind w:firstLine="0" w:firstLineChars="0"/>
        <w:rPr>
          <w:rFonts w:hint="eastAsia" w:ascii="宋体" w:hAnsi="宋体" w:eastAsia="宋体" w:cs="Times New Roman"/>
          <w:sz w:val="21"/>
        </w:rPr>
      </w:pPr>
    </w:p>
    <w:p w14:paraId="225D865C">
      <w:pPr>
        <w:rPr>
          <w:rFonts w:hint="eastAsia" w:ascii="宋体" w:hAnsi="宋体" w:eastAsia="宋体" w:cs="Times New Roman"/>
          <w:b/>
          <w:bCs/>
          <w:kern w:val="0"/>
          <w:sz w:val="28"/>
          <w:szCs w:val="28"/>
          <w:lang w:val="en-US" w:eastAsia="zh-CN" w:bidi="ar-SA"/>
        </w:rPr>
      </w:pPr>
      <w:bookmarkStart w:id="18" w:name="_Toc128884461"/>
      <w:r>
        <w:rPr>
          <w:rFonts w:hint="eastAsia" w:ascii="宋体" w:hAnsi="宋体" w:eastAsia="宋体" w:cs="Times New Roman"/>
          <w:b/>
          <w:bCs/>
          <w:kern w:val="0"/>
          <w:sz w:val="28"/>
          <w:szCs w:val="28"/>
          <w:lang w:val="en-US" w:eastAsia="zh-CN" w:bidi="ar-SA"/>
        </w:rPr>
        <w:br w:type="page"/>
      </w:r>
    </w:p>
    <w:bookmarkEnd w:id="18"/>
    <w:p w14:paraId="6ABE990A">
      <w:pPr>
        <w:keepNext/>
        <w:keepLines/>
        <w:widowControl w:val="0"/>
        <w:adjustRightInd w:val="0"/>
        <w:spacing w:before="260" w:after="260" w:line="240" w:lineRule="auto"/>
        <w:jc w:val="center"/>
        <w:textAlignment w:val="baseline"/>
        <w:outlineLvl w:val="1"/>
        <w:rPr>
          <w:rFonts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第三章 用户需求书</w:t>
      </w:r>
    </w:p>
    <w:p w14:paraId="6E06B3DA">
      <w:pPr>
        <w:keepNext/>
        <w:keepLines/>
        <w:widowControl w:val="0"/>
        <w:adjustRightInd w:val="0"/>
        <w:spacing w:before="156" w:beforeLines="50" w:after="156" w:afterLines="50" w:line="240" w:lineRule="auto"/>
        <w:jc w:val="center"/>
        <w:textAlignment w:val="baseline"/>
        <w:outlineLvl w:val="1"/>
        <w:rPr>
          <w:rFonts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一、项目基本信息</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4921"/>
        <w:gridCol w:w="1582"/>
        <w:gridCol w:w="1742"/>
      </w:tblGrid>
      <w:tr w14:paraId="2D13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49" w:type="pct"/>
            <w:vAlign w:val="center"/>
          </w:tcPr>
          <w:p w14:paraId="1A6B3E8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序号</w:t>
            </w:r>
          </w:p>
        </w:tc>
        <w:tc>
          <w:tcPr>
            <w:tcW w:w="2715" w:type="pct"/>
            <w:vAlign w:val="center"/>
          </w:tcPr>
          <w:p w14:paraId="6537867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采购项目名称</w:t>
            </w:r>
          </w:p>
        </w:tc>
        <w:tc>
          <w:tcPr>
            <w:tcW w:w="873" w:type="pct"/>
            <w:vAlign w:val="center"/>
          </w:tcPr>
          <w:p w14:paraId="5E9F8B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FF0000"/>
                <w:sz w:val="21"/>
                <w:szCs w:val="21"/>
              </w:rPr>
            </w:pPr>
            <w:r>
              <w:rPr>
                <w:rFonts w:hint="eastAsia" w:ascii="Times New Roman" w:hAnsi="Times New Roman" w:eastAsia="宋体"/>
                <w:b/>
                <w:bCs/>
                <w:color w:val="FF0000"/>
                <w:sz w:val="21"/>
                <w:szCs w:val="21"/>
              </w:rPr>
              <w:t>预算金额（元）</w:t>
            </w:r>
          </w:p>
        </w:tc>
        <w:tc>
          <w:tcPr>
            <w:tcW w:w="961" w:type="pct"/>
            <w:vAlign w:val="center"/>
          </w:tcPr>
          <w:p w14:paraId="5F7CFE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FF0000"/>
                <w:sz w:val="21"/>
                <w:szCs w:val="21"/>
              </w:rPr>
            </w:pPr>
            <w:r>
              <w:rPr>
                <w:rFonts w:hint="eastAsia" w:ascii="Times New Roman" w:hAnsi="Times New Roman" w:eastAsia="宋体"/>
                <w:b/>
                <w:bCs/>
                <w:color w:val="FF0000"/>
                <w:sz w:val="21"/>
                <w:szCs w:val="21"/>
                <w:lang w:bidi="ar"/>
              </w:rPr>
              <w:t>最高限价（元）</w:t>
            </w:r>
          </w:p>
        </w:tc>
      </w:tr>
      <w:tr w14:paraId="212F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49" w:type="pct"/>
            <w:vAlign w:val="center"/>
          </w:tcPr>
          <w:p w14:paraId="5A9B55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1</w:t>
            </w:r>
          </w:p>
        </w:tc>
        <w:tc>
          <w:tcPr>
            <w:tcW w:w="2715" w:type="pct"/>
            <w:vAlign w:val="center"/>
          </w:tcPr>
          <w:p w14:paraId="1F34ECA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default" w:ascii="Times New Roman" w:hAnsi="Times New Roman" w:eastAsia="宋体"/>
                <w:bCs/>
                <w:sz w:val="21"/>
                <w:szCs w:val="21"/>
              </w:rPr>
              <w:t>深圳市第三人民医院液相色谱分析仪采购</w:t>
            </w:r>
          </w:p>
        </w:tc>
        <w:tc>
          <w:tcPr>
            <w:tcW w:w="873" w:type="pct"/>
            <w:vAlign w:val="center"/>
          </w:tcPr>
          <w:p w14:paraId="532A6D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color w:val="FF0000"/>
                <w:sz w:val="21"/>
                <w:szCs w:val="21"/>
                <w:lang w:val="en-US" w:eastAsia="zh-CN"/>
              </w:rPr>
            </w:pPr>
            <w:r>
              <w:rPr>
                <w:rFonts w:hint="eastAsia" w:ascii="Times New Roman" w:hAnsi="Times New Roman" w:eastAsia="宋体"/>
                <w:bCs/>
                <w:color w:val="FF0000"/>
                <w:sz w:val="21"/>
                <w:szCs w:val="21"/>
                <w:lang w:val="en-US" w:eastAsia="zh-CN"/>
              </w:rPr>
              <w:t>500000</w:t>
            </w:r>
          </w:p>
        </w:tc>
        <w:tc>
          <w:tcPr>
            <w:tcW w:w="961" w:type="pct"/>
            <w:vAlign w:val="center"/>
          </w:tcPr>
          <w:p w14:paraId="48F93B5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color w:val="FF0000"/>
                <w:sz w:val="21"/>
                <w:szCs w:val="21"/>
                <w:lang w:val="en-US" w:eastAsia="zh-CN"/>
              </w:rPr>
            </w:pPr>
            <w:r>
              <w:rPr>
                <w:rFonts w:hint="eastAsia" w:ascii="Times New Roman" w:hAnsi="Times New Roman" w:eastAsia="宋体"/>
                <w:bCs/>
                <w:color w:val="FF0000"/>
                <w:sz w:val="21"/>
                <w:szCs w:val="21"/>
                <w:lang w:val="en-US" w:eastAsia="zh-CN"/>
              </w:rPr>
              <w:t>450000</w:t>
            </w:r>
          </w:p>
        </w:tc>
      </w:tr>
    </w:tbl>
    <w:p w14:paraId="14706C57">
      <w:pPr>
        <w:spacing w:line="240" w:lineRule="auto"/>
        <w:ind w:firstLine="422" w:firstLineChars="200"/>
        <w:rPr>
          <w:rFonts w:hint="eastAsia" w:ascii="宋体" w:hAnsi="宋体" w:eastAsia="宋体" w:cs="Times New Roman"/>
          <w:b/>
          <w:color w:val="FF0000"/>
          <w:sz w:val="21"/>
          <w:szCs w:val="21"/>
        </w:rPr>
      </w:pPr>
      <w:bookmarkStart w:id="19" w:name="_Hlk72258617"/>
      <w:r>
        <w:rPr>
          <w:rFonts w:hint="eastAsia" w:ascii="宋体" w:hAnsi="宋体" w:eastAsia="宋体" w:cs="Times New Roman"/>
          <w:b/>
          <w:color w:val="FF0000"/>
          <w:sz w:val="21"/>
          <w:szCs w:val="21"/>
          <w:lang w:val="en-US" w:eastAsia="zh-CN"/>
        </w:rPr>
        <w:t>注：</w:t>
      </w:r>
      <w:r>
        <w:rPr>
          <w:rFonts w:hint="eastAsia" w:ascii="宋体" w:hAnsi="宋体" w:eastAsia="宋体" w:cs="Times New Roman"/>
          <w:b/>
          <w:color w:val="FF0000"/>
          <w:sz w:val="21"/>
          <w:szCs w:val="21"/>
        </w:rPr>
        <w:t>本项目在预算金额下设定最高限价，如投标人的投标报价超过最高限价，将按照符合性审查要求作投标无效处理。</w:t>
      </w:r>
    </w:p>
    <w:p w14:paraId="27283476">
      <w:pPr>
        <w:keepNext/>
        <w:keepLines/>
        <w:widowControl w:val="0"/>
        <w:spacing w:before="280" w:after="290" w:line="376" w:lineRule="auto"/>
        <w:jc w:val="both"/>
        <w:outlineLvl w:val="3"/>
        <w:rPr>
          <w:rFonts w:hint="eastAsia" w:ascii="Arial" w:hAnsi="Arial" w:eastAsia="黑体" w:cs="Times New Roman"/>
          <w:b/>
          <w:bCs/>
          <w:kern w:val="2"/>
          <w:sz w:val="28"/>
          <w:szCs w:val="28"/>
          <w:lang w:val="en-US" w:eastAsia="zh-CN" w:bidi="ar-SA"/>
        </w:rPr>
      </w:pPr>
    </w:p>
    <w:p w14:paraId="6F86D99C">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二、货物清单明细</w:t>
      </w:r>
    </w:p>
    <w:bookmarkEnd w:id="19"/>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483"/>
        <w:gridCol w:w="595"/>
        <w:gridCol w:w="595"/>
        <w:gridCol w:w="1278"/>
        <w:gridCol w:w="1448"/>
        <w:gridCol w:w="1788"/>
        <w:gridCol w:w="1279"/>
      </w:tblGrid>
      <w:tr w14:paraId="3EA6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52EF7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序号</w:t>
            </w:r>
          </w:p>
        </w:tc>
        <w:tc>
          <w:tcPr>
            <w:tcW w:w="0" w:type="auto"/>
            <w:vAlign w:val="center"/>
          </w:tcPr>
          <w:p w14:paraId="1F118C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货物名称</w:t>
            </w:r>
          </w:p>
          <w:p w14:paraId="238918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（标的名称）</w:t>
            </w:r>
          </w:p>
        </w:tc>
        <w:tc>
          <w:tcPr>
            <w:tcW w:w="0" w:type="auto"/>
            <w:vAlign w:val="center"/>
          </w:tcPr>
          <w:p w14:paraId="1A454F9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数量</w:t>
            </w:r>
          </w:p>
        </w:tc>
        <w:tc>
          <w:tcPr>
            <w:tcW w:w="0" w:type="auto"/>
            <w:vAlign w:val="center"/>
          </w:tcPr>
          <w:p w14:paraId="709F32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单位</w:t>
            </w:r>
          </w:p>
        </w:tc>
        <w:tc>
          <w:tcPr>
            <w:tcW w:w="0" w:type="auto"/>
            <w:vAlign w:val="center"/>
          </w:tcPr>
          <w:p w14:paraId="2AD4D6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FF0000"/>
                <w:sz w:val="21"/>
                <w:szCs w:val="21"/>
              </w:rPr>
            </w:pPr>
            <w:r>
              <w:rPr>
                <w:rFonts w:hint="eastAsia" w:ascii="Times New Roman" w:hAnsi="Times New Roman" w:eastAsia="宋体"/>
                <w:b/>
                <w:bCs/>
                <w:color w:val="FF0000"/>
                <w:sz w:val="21"/>
                <w:szCs w:val="21"/>
              </w:rPr>
              <w:t>是否接受进口</w:t>
            </w:r>
          </w:p>
        </w:tc>
        <w:tc>
          <w:tcPr>
            <w:tcW w:w="0" w:type="auto"/>
            <w:vAlign w:val="center"/>
          </w:tcPr>
          <w:p w14:paraId="29C70DD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FF0000"/>
                <w:sz w:val="21"/>
                <w:szCs w:val="21"/>
              </w:rPr>
            </w:pPr>
            <w:r>
              <w:rPr>
                <w:rFonts w:hint="eastAsia" w:ascii="Times New Roman" w:hAnsi="Times New Roman" w:eastAsia="宋体"/>
                <w:b/>
                <w:bCs/>
                <w:color w:val="FF0000"/>
                <w:sz w:val="21"/>
                <w:szCs w:val="21"/>
              </w:rPr>
              <w:t>是否为节能产品</w:t>
            </w:r>
          </w:p>
        </w:tc>
        <w:tc>
          <w:tcPr>
            <w:tcW w:w="0" w:type="auto"/>
            <w:vAlign w:val="center"/>
          </w:tcPr>
          <w:p w14:paraId="6951A93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FF0000"/>
                <w:sz w:val="21"/>
                <w:szCs w:val="21"/>
              </w:rPr>
            </w:pPr>
            <w:r>
              <w:rPr>
                <w:rFonts w:hint="eastAsia" w:ascii="Times New Roman" w:hAnsi="Times New Roman" w:eastAsia="宋体"/>
                <w:b/>
                <w:bCs/>
                <w:color w:val="FF0000"/>
                <w:sz w:val="21"/>
                <w:szCs w:val="21"/>
              </w:rPr>
              <w:t>是否为环境标志产品</w:t>
            </w:r>
          </w:p>
        </w:tc>
        <w:tc>
          <w:tcPr>
            <w:tcW w:w="0" w:type="auto"/>
            <w:vAlign w:val="center"/>
          </w:tcPr>
          <w:p w14:paraId="3FD9249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
                <w:bCs/>
                <w:color w:val="FF0000"/>
                <w:sz w:val="21"/>
                <w:szCs w:val="21"/>
              </w:rPr>
            </w:pPr>
            <w:r>
              <w:rPr>
                <w:rFonts w:hint="eastAsia" w:ascii="Times New Roman" w:hAnsi="Times New Roman" w:eastAsia="宋体"/>
                <w:b/>
                <w:bCs/>
                <w:color w:val="FF0000"/>
                <w:sz w:val="21"/>
                <w:szCs w:val="21"/>
              </w:rPr>
              <w:t>标的所属行业</w:t>
            </w:r>
          </w:p>
        </w:tc>
      </w:tr>
      <w:tr w14:paraId="655B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8B0FF2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1</w:t>
            </w:r>
          </w:p>
        </w:tc>
        <w:tc>
          <w:tcPr>
            <w:tcW w:w="0" w:type="auto"/>
            <w:vAlign w:val="center"/>
          </w:tcPr>
          <w:p w14:paraId="494228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bCs/>
                <w:sz w:val="21"/>
                <w:szCs w:val="21"/>
              </w:rPr>
            </w:pPr>
            <w:r>
              <w:rPr>
                <w:rFonts w:hint="eastAsia" w:ascii="Times New Roman" w:hAnsi="Times New Roman" w:eastAsia="宋体"/>
                <w:bCs/>
                <w:sz w:val="21"/>
                <w:szCs w:val="21"/>
              </w:rPr>
              <w:t>液相色谱分析仪</w:t>
            </w:r>
          </w:p>
        </w:tc>
        <w:tc>
          <w:tcPr>
            <w:tcW w:w="0" w:type="auto"/>
            <w:vAlign w:val="center"/>
          </w:tcPr>
          <w:p w14:paraId="29678ABF">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Cs/>
                <w:sz w:val="21"/>
                <w:szCs w:val="21"/>
                <w:lang w:val="en-US" w:eastAsia="zh-CN"/>
              </w:rPr>
            </w:pPr>
            <w:r>
              <w:rPr>
                <w:rFonts w:hint="eastAsia" w:ascii="Times New Roman" w:hAnsi="Times New Roman" w:eastAsia="宋体"/>
                <w:sz w:val="21"/>
                <w:lang w:val="en-US" w:eastAsia="zh-CN"/>
              </w:rPr>
              <w:t>1</w:t>
            </w:r>
          </w:p>
        </w:tc>
        <w:tc>
          <w:tcPr>
            <w:tcW w:w="0" w:type="auto"/>
            <w:vAlign w:val="center"/>
          </w:tcPr>
          <w:p w14:paraId="4B4DD5E6">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套</w:t>
            </w:r>
          </w:p>
        </w:tc>
        <w:tc>
          <w:tcPr>
            <w:tcW w:w="0" w:type="auto"/>
            <w:vAlign w:val="center"/>
          </w:tcPr>
          <w:p w14:paraId="423F2CD7">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FF0000"/>
                <w:sz w:val="21"/>
                <w:szCs w:val="21"/>
                <w:lang w:eastAsia="zh-CN"/>
              </w:rPr>
            </w:pPr>
            <w:r>
              <w:rPr>
                <w:rFonts w:hint="eastAsia" w:ascii="Times New Roman" w:hAnsi="Times New Roman" w:eastAsia="宋体"/>
                <w:sz w:val="21"/>
                <w:lang w:val="en-US" w:eastAsia="zh-CN"/>
              </w:rPr>
              <w:t>否</w:t>
            </w:r>
          </w:p>
        </w:tc>
        <w:tc>
          <w:tcPr>
            <w:tcW w:w="0" w:type="auto"/>
            <w:vAlign w:val="center"/>
          </w:tcPr>
          <w:p w14:paraId="477F533C">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FF0000"/>
                <w:sz w:val="21"/>
                <w:szCs w:val="21"/>
                <w:lang w:eastAsia="zh-CN"/>
              </w:rPr>
            </w:pPr>
            <w:r>
              <w:rPr>
                <w:rFonts w:hint="eastAsia" w:ascii="Times New Roman" w:hAnsi="Times New Roman" w:eastAsia="宋体"/>
                <w:sz w:val="21"/>
                <w:lang w:val="en-US" w:eastAsia="zh-CN"/>
              </w:rPr>
              <w:t>否</w:t>
            </w:r>
          </w:p>
        </w:tc>
        <w:tc>
          <w:tcPr>
            <w:tcW w:w="0" w:type="auto"/>
            <w:vAlign w:val="center"/>
          </w:tcPr>
          <w:p w14:paraId="776D4DD8">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FF0000"/>
                <w:sz w:val="21"/>
                <w:szCs w:val="21"/>
                <w:lang w:eastAsia="zh-CN"/>
              </w:rPr>
            </w:pPr>
            <w:r>
              <w:rPr>
                <w:rFonts w:hint="eastAsia" w:ascii="Times New Roman" w:hAnsi="Times New Roman" w:eastAsia="宋体"/>
                <w:sz w:val="21"/>
                <w:lang w:val="en-US" w:eastAsia="zh-CN"/>
              </w:rPr>
              <w:t>否</w:t>
            </w:r>
          </w:p>
        </w:tc>
        <w:tc>
          <w:tcPr>
            <w:tcW w:w="0" w:type="auto"/>
            <w:vAlign w:val="center"/>
          </w:tcPr>
          <w:p w14:paraId="71BDEDC3">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b/>
                <w:bCs/>
                <w:color w:val="FF0000"/>
                <w:sz w:val="21"/>
                <w:szCs w:val="21"/>
                <w:lang w:eastAsia="zh-CN"/>
              </w:rPr>
            </w:pPr>
            <w:r>
              <w:rPr>
                <w:rFonts w:hint="eastAsia" w:ascii="Times New Roman" w:hAnsi="Times New Roman" w:eastAsia="宋体"/>
                <w:sz w:val="21"/>
                <w:lang w:val="en-US" w:eastAsia="zh-CN"/>
              </w:rPr>
              <w:t>工业</w:t>
            </w:r>
          </w:p>
        </w:tc>
      </w:tr>
    </w:tbl>
    <w:p w14:paraId="6048487B">
      <w:pPr>
        <w:spacing w:line="240" w:lineRule="auto"/>
        <w:ind w:firstLine="0" w:firstLineChars="0"/>
        <w:rPr>
          <w:rFonts w:ascii="宋体" w:hAnsi="宋体" w:eastAsia="宋体"/>
          <w:b/>
          <w:color w:val="FF0000"/>
          <w:sz w:val="21"/>
          <w:szCs w:val="21"/>
        </w:rPr>
      </w:pPr>
      <w:r>
        <w:rPr>
          <w:rFonts w:hint="eastAsia" w:ascii="宋体" w:hAnsi="宋体" w:eastAsia="宋体"/>
          <w:b/>
          <w:color w:val="FF0000"/>
          <w:sz w:val="21"/>
          <w:szCs w:val="21"/>
        </w:rPr>
        <w:t>备注：1、“是否接受进口”栏注明“拒绝进口”的产品不接受投标人选用进口产品参与投标；注明“接受进口”的产品允许投标人选用进口产品</w:t>
      </w:r>
      <w:r>
        <w:rPr>
          <w:rFonts w:hint="eastAsia" w:ascii="宋体" w:hAnsi="宋体" w:eastAsia="宋体" w:cs="Times New Roman"/>
          <w:b/>
          <w:color w:val="FF0000"/>
          <w:sz w:val="21"/>
          <w:szCs w:val="21"/>
        </w:rPr>
        <w:t>参与</w:t>
      </w:r>
      <w:r>
        <w:rPr>
          <w:rFonts w:hint="eastAsia" w:ascii="宋体" w:hAnsi="宋体" w:eastAsia="宋体"/>
          <w:b/>
          <w:color w:val="FF0000"/>
          <w:sz w:val="21"/>
          <w:szCs w:val="21"/>
        </w:rPr>
        <w:t>投标，但不排斥国内产品。</w:t>
      </w:r>
    </w:p>
    <w:p w14:paraId="50C34A37">
      <w:pPr>
        <w:spacing w:line="240" w:lineRule="auto"/>
        <w:ind w:firstLine="422" w:firstLineChars="200"/>
        <w:rPr>
          <w:rFonts w:ascii="宋体" w:hAnsi="宋体" w:eastAsia="宋体"/>
          <w:b/>
          <w:color w:val="FF0000"/>
          <w:sz w:val="21"/>
          <w:szCs w:val="21"/>
        </w:rPr>
      </w:pPr>
      <w:r>
        <w:rPr>
          <w:rFonts w:hint="eastAsia" w:ascii="宋体" w:hAnsi="宋体" w:eastAsia="宋体"/>
          <w:b/>
          <w:color w:val="FF0000"/>
          <w:sz w:val="21"/>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0E12DE0D">
      <w:pPr>
        <w:spacing w:line="240" w:lineRule="auto"/>
        <w:ind w:firstLine="422" w:firstLineChars="200"/>
        <w:rPr>
          <w:rFonts w:ascii="宋体" w:hAnsi="宋体" w:eastAsia="宋体"/>
          <w:b/>
          <w:color w:val="FF0000"/>
          <w:sz w:val="21"/>
          <w:szCs w:val="21"/>
        </w:rPr>
      </w:pPr>
      <w:r>
        <w:rPr>
          <w:rFonts w:hint="eastAsia" w:ascii="宋体" w:hAnsi="宋体" w:eastAsia="宋体"/>
          <w:b/>
          <w:color w:val="FF0000"/>
          <w:sz w:val="21"/>
          <w:szCs w:val="21"/>
        </w:rPr>
        <w:t>3、“是否为节能产品”一栏，由采购人根据《关于印发节能产品政府采购品目清单的通知》（财库〔2019〕19号）的品目清单填写，填写为“优先采购”则给与相应评审加分，填写为“★强制采购”则要求供应商必须提供符合规定的节能产品，否则投标无效。</w:t>
      </w:r>
    </w:p>
    <w:p w14:paraId="039EE5BC">
      <w:pPr>
        <w:widowControl w:val="0"/>
        <w:ind w:firstLine="422" w:firstLineChars="200"/>
        <w:jc w:val="both"/>
        <w:rPr>
          <w:rFonts w:ascii="Calibri" w:hAnsi="Calibri" w:eastAsia="宋体" w:cs="Times New Roman"/>
          <w:kern w:val="2"/>
          <w:sz w:val="21"/>
          <w:szCs w:val="22"/>
          <w:lang w:val="en-US" w:eastAsia="zh-CN" w:bidi="ar-SA"/>
        </w:rPr>
      </w:pPr>
      <w:r>
        <w:rPr>
          <w:rFonts w:hint="eastAsia" w:ascii="宋体" w:hAnsi="宋体" w:eastAsia="宋体" w:cs="Times New Roman"/>
          <w:b/>
          <w:color w:val="FF0000"/>
          <w:kern w:val="2"/>
          <w:sz w:val="21"/>
          <w:szCs w:val="21"/>
          <w:lang w:val="en-US" w:eastAsia="zh-CN" w:bidi="ar-SA"/>
        </w:rPr>
        <w:t>4、“是否为环境标志产品”一栏，由采购人根据《关于印发环境标志产品政府采购品目清单的通知》（财库〔2019〕18号）的品目清单填写，填写为“优先采购”则给与相应评审加分。</w:t>
      </w:r>
    </w:p>
    <w:p w14:paraId="61BFF762">
      <w:pPr>
        <w:spacing w:line="240" w:lineRule="auto"/>
        <w:ind w:firstLine="422" w:firstLineChars="200"/>
        <w:rPr>
          <w:rFonts w:ascii="宋体" w:hAnsi="宋体" w:eastAsia="宋体"/>
          <w:b/>
          <w:color w:val="FF0000"/>
          <w:sz w:val="21"/>
          <w:szCs w:val="21"/>
        </w:rPr>
      </w:pPr>
      <w:r>
        <w:rPr>
          <w:rFonts w:hint="eastAsia" w:ascii="宋体" w:hAnsi="宋体" w:eastAsia="宋体"/>
          <w:b/>
          <w:color w:val="FF0000"/>
          <w:sz w:val="21"/>
          <w:szCs w:val="21"/>
          <w:lang w:val="en-US" w:eastAsia="zh-CN"/>
        </w:rPr>
        <w:t>5</w:t>
      </w:r>
      <w:r>
        <w:rPr>
          <w:rFonts w:hint="eastAsia" w:ascii="宋体" w:hAnsi="宋体" w:eastAsia="宋体"/>
          <w:b/>
          <w:color w:val="FF0000"/>
          <w:sz w:val="21"/>
          <w:szCs w:val="21"/>
        </w:rPr>
        <w:t>、本项目核心产品为：</w:t>
      </w:r>
      <w:r>
        <w:rPr>
          <w:rFonts w:hint="eastAsia" w:ascii="宋体" w:hAnsi="宋体" w:eastAsia="宋体"/>
          <w:b/>
          <w:color w:val="FF0000"/>
          <w:sz w:val="21"/>
          <w:szCs w:val="21"/>
          <w:u w:val="single"/>
        </w:rPr>
        <w:t xml:space="preserve">   本项目为单一产品采购，不设置核心产品。</w:t>
      </w:r>
    </w:p>
    <w:p w14:paraId="602ED6FE">
      <w:pPr>
        <w:spacing w:line="240" w:lineRule="auto"/>
        <w:ind w:firstLine="0" w:firstLineChars="0"/>
        <w:rPr>
          <w:rFonts w:ascii="宋体" w:hAnsi="宋体" w:eastAsia="宋体"/>
          <w:b/>
          <w:color w:val="FF0000"/>
          <w:sz w:val="21"/>
          <w:szCs w:val="21"/>
        </w:rPr>
      </w:pPr>
    </w:p>
    <w:p w14:paraId="43078FC8">
      <w:pPr>
        <w:keepNext/>
        <w:keepLines/>
        <w:widowControl w:val="0"/>
        <w:adjustRightInd w:val="0"/>
        <w:spacing w:before="120" w:beforeLines="50" w:after="120" w:afterLines="50" w:line="240" w:lineRule="auto"/>
        <w:jc w:val="center"/>
        <w:textAlignment w:val="baseline"/>
        <w:outlineLvl w:val="1"/>
        <w:rPr>
          <w:rFonts w:ascii="宋体" w:hAnsi="宋体" w:eastAsia="宋体" w:cs="Times New Roman"/>
          <w:b/>
          <w:bCs/>
          <w:kern w:val="0"/>
          <w:sz w:val="28"/>
          <w:szCs w:val="28"/>
          <w:lang w:val="en-US" w:eastAsia="zh-CN" w:bidi="ar-SA"/>
        </w:rPr>
      </w:pPr>
      <w:r>
        <w:rPr>
          <w:rFonts w:hint="eastAsia" w:ascii="宋体" w:hAnsi="宋体" w:eastAsia="宋体" w:cs="Times New Roman"/>
          <w:b/>
          <w:bCs/>
          <w:kern w:val="0"/>
          <w:sz w:val="24"/>
          <w:szCs w:val="24"/>
          <w:lang w:val="en-US" w:eastAsia="zh-CN" w:bidi="ar-SA"/>
        </w:rPr>
        <w:t>三、实质性条款</w:t>
      </w:r>
    </w:p>
    <w:tbl>
      <w:tblPr>
        <w:tblStyle w:val="4"/>
        <w:tblW w:w="8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903"/>
      </w:tblGrid>
      <w:tr w14:paraId="39A5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4BE4C2F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宋体" w:eastAsia="宋体"/>
                <w:kern w:val="0"/>
                <w:sz w:val="21"/>
                <w:szCs w:val="21"/>
              </w:rPr>
            </w:pPr>
            <w:r>
              <w:rPr>
                <w:rFonts w:hint="eastAsia" w:ascii="宋体" w:hAnsi="宋体" w:eastAsia="宋体"/>
                <w:kern w:val="0"/>
                <w:sz w:val="21"/>
                <w:szCs w:val="21"/>
              </w:rPr>
              <w:t>序号</w:t>
            </w:r>
          </w:p>
        </w:tc>
        <w:tc>
          <w:tcPr>
            <w:tcW w:w="7903" w:type="dxa"/>
            <w:vAlign w:val="center"/>
          </w:tcPr>
          <w:p w14:paraId="663AD6B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宋体" w:eastAsia="宋体"/>
                <w:kern w:val="0"/>
                <w:sz w:val="21"/>
                <w:szCs w:val="21"/>
              </w:rPr>
            </w:pPr>
            <w:r>
              <w:rPr>
                <w:rFonts w:hint="eastAsia" w:ascii="宋体" w:hAnsi="宋体" w:eastAsia="宋体"/>
                <w:kern w:val="0"/>
                <w:sz w:val="21"/>
                <w:szCs w:val="21"/>
              </w:rPr>
              <w:t>实质性条款具体内容</w:t>
            </w:r>
          </w:p>
        </w:tc>
      </w:tr>
      <w:tr w14:paraId="4F6A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 w:type="dxa"/>
            <w:vAlign w:val="center"/>
          </w:tcPr>
          <w:p w14:paraId="79F07C9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宋体" w:hAnsi="宋体" w:eastAsia="宋体"/>
                <w:kern w:val="0"/>
                <w:sz w:val="21"/>
                <w:szCs w:val="21"/>
              </w:rPr>
            </w:pPr>
            <w:r>
              <w:rPr>
                <w:rFonts w:hint="eastAsia" w:ascii="宋体" w:hAnsi="宋体" w:eastAsia="宋体"/>
                <w:kern w:val="0"/>
                <w:sz w:val="21"/>
                <w:szCs w:val="21"/>
              </w:rPr>
              <w:t>1</w:t>
            </w:r>
          </w:p>
        </w:tc>
        <w:tc>
          <w:tcPr>
            <w:tcW w:w="7903" w:type="dxa"/>
            <w:vAlign w:val="center"/>
          </w:tcPr>
          <w:p w14:paraId="4C5BF8A6">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宋体" w:eastAsia="宋体"/>
                <w:kern w:val="0"/>
                <w:sz w:val="21"/>
                <w:szCs w:val="21"/>
              </w:rPr>
            </w:pPr>
            <w:r>
              <w:rPr>
                <w:rFonts w:hint="eastAsia" w:ascii="宋体" w:hAnsi="宋体" w:eastAsia="宋体"/>
                <w:kern w:val="0"/>
                <w:sz w:val="21"/>
                <w:szCs w:val="21"/>
              </w:rPr>
              <w:t>具体以采购文件第三章 用户需求书中带“★”的需求项为准。</w:t>
            </w:r>
          </w:p>
        </w:tc>
      </w:tr>
    </w:tbl>
    <w:p w14:paraId="17EEA3B2">
      <w:pPr>
        <w:spacing w:line="240" w:lineRule="auto"/>
        <w:ind w:firstLine="0" w:firstLineChars="0"/>
        <w:rPr>
          <w:rFonts w:ascii="Times New Roman" w:hAnsi="Times New Roman" w:eastAsia="宋体"/>
          <w:b/>
          <w:sz w:val="21"/>
        </w:rPr>
      </w:pPr>
      <w:r>
        <w:rPr>
          <w:rFonts w:hint="eastAsia" w:ascii="Times New Roman" w:hAnsi="Times New Roman" w:eastAsia="宋体"/>
          <w:b/>
          <w:sz w:val="21"/>
        </w:rPr>
        <w:t>注：上表所列内容为不可负偏离条款，负偏离将视为未实质性满足招标文件要求作投标无效处理。</w:t>
      </w:r>
    </w:p>
    <w:p w14:paraId="3E00904A">
      <w:pPr>
        <w:widowControl w:val="0"/>
        <w:spacing w:line="360" w:lineRule="auto"/>
        <w:jc w:val="both"/>
        <w:rPr>
          <w:rFonts w:ascii="Times New Roman" w:hAnsi="Times New Roman" w:eastAsia="宋体" w:cs="Times New Roman"/>
          <w:kern w:val="2"/>
          <w:sz w:val="24"/>
          <w:szCs w:val="24"/>
          <w:lang w:val="en-US" w:eastAsia="zh-CN" w:bidi="ar-SA"/>
        </w:rPr>
      </w:pPr>
    </w:p>
    <w:p w14:paraId="6A5CF63C">
      <w:pPr>
        <w:keepNext/>
        <w:keepLines/>
        <w:widowControl w:val="0"/>
        <w:adjustRightInd w:val="0"/>
        <w:spacing w:before="120" w:beforeLines="50" w:after="120" w:afterLines="50" w:line="240" w:lineRule="auto"/>
        <w:jc w:val="center"/>
        <w:textAlignment w:val="baseline"/>
        <w:outlineLvl w:val="1"/>
        <w:rPr>
          <w:rFonts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四、技术要求</w:t>
      </w:r>
    </w:p>
    <w:p w14:paraId="4849804F">
      <w:pPr>
        <w:spacing w:line="240" w:lineRule="auto"/>
        <w:ind w:firstLine="422" w:firstLineChars="200"/>
        <w:rPr>
          <w:rFonts w:ascii="Times New Roman" w:hAnsi="Times New Roman" w:eastAsia="宋体"/>
          <w:b/>
          <w:sz w:val="21"/>
          <w:szCs w:val="21"/>
        </w:rPr>
      </w:pPr>
      <w:r>
        <w:rPr>
          <w:rFonts w:hint="eastAsia" w:ascii="Times New Roman" w:hAnsi="Times New Roman" w:eastAsia="宋体"/>
          <w:b/>
          <w:sz w:val="21"/>
          <w:szCs w:val="21"/>
        </w:rPr>
        <w:t>说明：</w:t>
      </w:r>
      <w:r>
        <w:rPr>
          <w:rFonts w:ascii="Times New Roman" w:hAnsi="Times New Roman" w:eastAsia="宋体"/>
          <w:b/>
          <w:sz w:val="21"/>
          <w:szCs w:val="21"/>
        </w:rPr>
        <w:t>1</w:t>
      </w:r>
      <w:r>
        <w:rPr>
          <w:rFonts w:hint="eastAsia" w:ascii="Times New Roman" w:hAnsi="Times New Roman" w:eastAsia="宋体"/>
          <w:b/>
          <w:sz w:val="21"/>
          <w:szCs w:val="21"/>
        </w:rPr>
        <w:t>、评分时，如对一项招标技术要求（以划分框为准）中的内容存在两处（或以上）负偏离的，在评分时只作一项负偏离扣分。</w:t>
      </w:r>
    </w:p>
    <w:p w14:paraId="4B438723">
      <w:pPr>
        <w:spacing w:line="240" w:lineRule="auto"/>
        <w:ind w:firstLine="422" w:firstLineChars="200"/>
        <w:rPr>
          <w:rFonts w:ascii="Times New Roman" w:hAnsi="Times New Roman" w:eastAsia="宋体"/>
          <w:b/>
          <w:sz w:val="21"/>
          <w:szCs w:val="21"/>
        </w:rPr>
      </w:pPr>
      <w:r>
        <w:rPr>
          <w:rFonts w:ascii="Times New Roman" w:hAnsi="Times New Roman" w:eastAsia="宋体"/>
          <w:b/>
          <w:sz w:val="21"/>
          <w:szCs w:val="21"/>
        </w:rPr>
        <w:t>2</w:t>
      </w:r>
      <w:r>
        <w:rPr>
          <w:rFonts w:hint="eastAsia" w:ascii="Times New Roman" w:hAnsi="Times New Roman" w:eastAsia="宋体"/>
          <w:b/>
          <w:sz w:val="21"/>
          <w:szCs w:val="21"/>
        </w:rPr>
        <w:t>、带★号条款为不可</w:t>
      </w:r>
      <w:r>
        <w:rPr>
          <w:rFonts w:hint="eastAsia" w:ascii="Times New Roman" w:hAnsi="Times New Roman" w:eastAsia="宋体"/>
          <w:b/>
          <w:sz w:val="21"/>
          <w:szCs w:val="21"/>
          <w:lang w:val="en-US" w:eastAsia="zh-CN"/>
        </w:rPr>
        <w:t>负</w:t>
      </w:r>
      <w:r>
        <w:rPr>
          <w:rFonts w:hint="eastAsia" w:ascii="Times New Roman" w:hAnsi="Times New Roman" w:eastAsia="宋体"/>
          <w:b/>
          <w:sz w:val="21"/>
          <w:szCs w:val="21"/>
        </w:rPr>
        <w:t>偏离条款，不作为评分准则中的评分内容</w:t>
      </w:r>
      <w:r>
        <w:rPr>
          <w:rFonts w:hint="eastAsia" w:ascii="Times New Roman" w:hAnsi="Times New Roman" w:eastAsia="宋体"/>
          <w:b/>
          <w:sz w:val="21"/>
          <w:szCs w:val="21"/>
          <w:lang w:eastAsia="zh-CN"/>
        </w:rPr>
        <w:t>，</w:t>
      </w:r>
      <w:r>
        <w:rPr>
          <w:rFonts w:hint="eastAsia" w:ascii="Times New Roman" w:hAnsi="Times New Roman" w:eastAsia="宋体"/>
          <w:b/>
          <w:sz w:val="21"/>
          <w:szCs w:val="21"/>
        </w:rPr>
        <w:t>如未响应或出现负偏离的，将作投标无效处理；带“</w:t>
      </w:r>
      <w:r>
        <w:rPr>
          <w:rFonts w:ascii="Times New Roman" w:hAnsi="Times New Roman" w:eastAsia="宋体"/>
          <w:sz w:val="21"/>
          <w:szCs w:val="21"/>
        </w:rPr>
        <w:t>▲</w:t>
      </w:r>
      <w:r>
        <w:rPr>
          <w:rFonts w:hint="eastAsia" w:ascii="Times New Roman" w:hAnsi="Times New Roman" w:eastAsia="宋体"/>
          <w:b/>
          <w:sz w:val="21"/>
          <w:szCs w:val="21"/>
        </w:rPr>
        <w:t>”指标项为重要参数条款，负偏离时依相关评分准则内容作重点扣分处理。</w:t>
      </w:r>
    </w:p>
    <w:p w14:paraId="5A8EEA4D">
      <w:pPr>
        <w:spacing w:line="240" w:lineRule="auto"/>
        <w:ind w:firstLine="422" w:firstLineChars="200"/>
        <w:rPr>
          <w:rFonts w:hint="eastAsia" w:ascii="Times New Roman" w:hAnsi="Times New Roman" w:eastAsia="宋体"/>
          <w:b/>
          <w:sz w:val="21"/>
          <w:szCs w:val="21"/>
        </w:rPr>
      </w:pPr>
      <w:r>
        <w:rPr>
          <w:rFonts w:ascii="Times New Roman" w:hAnsi="Times New Roman" w:eastAsia="宋体"/>
          <w:b/>
          <w:sz w:val="21"/>
          <w:szCs w:val="21"/>
        </w:rPr>
        <w:t>3</w:t>
      </w:r>
      <w:r>
        <w:rPr>
          <w:rFonts w:hint="eastAsia" w:ascii="Times New Roman" w:hAnsi="Times New Roman" w:eastAsia="宋体"/>
          <w:b/>
          <w:sz w:val="21"/>
          <w:szCs w:val="21"/>
        </w:rPr>
        <w:t>、</w:t>
      </w:r>
      <w:bookmarkStart w:id="20" w:name="_Hlk72585069"/>
      <w:r>
        <w:rPr>
          <w:rFonts w:hint="eastAsia" w:ascii="Times New Roman" w:hAnsi="Times New Roman" w:eastAsia="宋体"/>
          <w:b/>
          <w:sz w:val="21"/>
          <w:szCs w:val="21"/>
        </w:rPr>
        <w:t>招标技术要求中，用</w:t>
      </w:r>
      <w:r>
        <w:rPr>
          <w:rFonts w:hint="eastAsia" w:ascii="Times New Roman" w:hAnsi="Times New Roman" w:eastAsia="宋体"/>
          <w:b/>
          <w:color w:val="FF0000"/>
          <w:sz w:val="21"/>
          <w:szCs w:val="21"/>
        </w:rPr>
        <w:t>红色加粗字体标注</w:t>
      </w:r>
      <w:r>
        <w:rPr>
          <w:rFonts w:hint="eastAsia" w:ascii="Times New Roman" w:hAnsi="Times New Roman" w:eastAsia="宋体"/>
          <w:b/>
          <w:sz w:val="21"/>
          <w:szCs w:val="21"/>
        </w:rPr>
        <w:t>的指标项均要求提供证明资料；其余指标项未要求提供证明资料，无需提供相关证明资料。</w:t>
      </w:r>
    </w:p>
    <w:p w14:paraId="211BBAB2">
      <w:pPr>
        <w:spacing w:line="240" w:lineRule="auto"/>
        <w:ind w:firstLine="422" w:firstLineChars="200"/>
        <w:rPr>
          <w:rFonts w:hint="eastAsia" w:ascii="Times New Roman" w:hAnsi="Times New Roman" w:eastAsia="宋体" w:cs="Times New Roman"/>
          <w:b/>
          <w:sz w:val="21"/>
          <w:szCs w:val="21"/>
        </w:rPr>
      </w:pPr>
      <w:r>
        <w:rPr>
          <w:rFonts w:hint="eastAsia" w:ascii="Times New Roman" w:hAnsi="Times New Roman" w:eastAsia="宋体" w:cs="Times New Roman"/>
          <w:b/>
          <w:color w:val="FF0000"/>
          <w:sz w:val="21"/>
          <w:szCs w:val="21"/>
        </w:rPr>
        <w:t>4、涉及区间的参数，除特别注明以外，</w:t>
      </w:r>
      <w:bookmarkStart w:id="21" w:name="_Hlk75447406"/>
      <w:r>
        <w:rPr>
          <w:rFonts w:hint="eastAsia" w:ascii="Times New Roman" w:hAnsi="Times New Roman" w:eastAsia="宋体" w:cs="Times New Roman"/>
          <w:b/>
          <w:color w:val="FF0000"/>
          <w:sz w:val="21"/>
          <w:szCs w:val="21"/>
        </w:rPr>
        <w:t>产品参数区间与招标要求不一致的均视为负偏离。</w:t>
      </w:r>
      <w:bookmarkEnd w:id="21"/>
      <w:r>
        <w:rPr>
          <w:rFonts w:hint="eastAsia" w:ascii="Times New Roman" w:hAnsi="Times New Roman" w:eastAsia="宋体" w:cs="Times New Roman"/>
          <w:b/>
          <w:color w:val="FF0000"/>
          <w:sz w:val="21"/>
          <w:szCs w:val="21"/>
        </w:rPr>
        <w:t>例：区间要求为0-20ML,只要响应的不是“0-20ML”，如投标文件响应为 0-15ML 、0-21ML 、1-12ML 、 9-20ML 、6-21ML 、9ML等情形均视为负偏离。</w:t>
      </w:r>
    </w:p>
    <w:bookmarkEnd w:id="20"/>
    <w:p w14:paraId="5E397DC5">
      <w:pPr>
        <w:spacing w:line="240" w:lineRule="auto"/>
        <w:ind w:firstLine="0" w:firstLineChars="0"/>
        <w:rPr>
          <w:rFonts w:ascii="Times New Roman" w:hAnsi="Times New Roman" w:eastAsia="宋体"/>
          <w:b/>
          <w:sz w:val="21"/>
          <w:szCs w:val="21"/>
        </w:rPr>
      </w:pPr>
    </w:p>
    <w:tbl>
      <w:tblPr>
        <w:tblStyle w:val="4"/>
        <w:tblpPr w:leftFromText="180" w:rightFromText="180" w:vertAnchor="text" w:horzAnchor="page" w:tblpX="1678" w:tblpY="149"/>
        <w:tblOverlap w:val="never"/>
        <w:tblW w:w="8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7093"/>
      </w:tblGrid>
      <w:tr w14:paraId="6107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26" w:type="dxa"/>
            <w:tcBorders>
              <w:top w:val="single" w:color="auto" w:sz="4" w:space="0"/>
              <w:left w:val="single" w:color="auto" w:sz="4" w:space="0"/>
              <w:bottom w:val="single" w:color="auto" w:sz="4" w:space="0"/>
              <w:right w:val="single" w:color="auto" w:sz="4" w:space="0"/>
            </w:tcBorders>
            <w:vAlign w:val="center"/>
          </w:tcPr>
          <w:p w14:paraId="299DEFCA">
            <w:pPr>
              <w:keepNext w:val="0"/>
              <w:keepLines w:val="0"/>
              <w:widowControl/>
              <w:suppressLineNumbers w:val="0"/>
              <w:spacing w:before="100" w:beforeAutospacing="1" w:after="100" w:afterAutospacing="1" w:line="240" w:lineRule="auto"/>
              <w:ind w:left="0" w:right="0" w:firstLine="0" w:firstLineChars="0"/>
              <w:jc w:val="center"/>
              <w:rPr>
                <w:rFonts w:hint="default" w:ascii="宋体" w:hAnsi="宋体" w:eastAsia="宋体" w:cs="宋体"/>
                <w:color w:val="auto"/>
                <w:kern w:val="0"/>
                <w:sz w:val="21"/>
                <w:szCs w:val="21"/>
                <w:highlight w:val="none"/>
              </w:rPr>
            </w:pPr>
            <w:r>
              <w:rPr>
                <w:rFonts w:hint="eastAsia" w:ascii="Times New Roman" w:hAnsi="Times New Roman" w:eastAsia="宋体" w:cs="宋体"/>
                <w:color w:val="auto"/>
                <w:kern w:val="0"/>
                <w:sz w:val="21"/>
                <w:szCs w:val="21"/>
                <w:highlight w:val="none"/>
                <w:lang w:eastAsia="zh-CN"/>
              </w:rPr>
              <w:t>设备</w:t>
            </w:r>
            <w:r>
              <w:rPr>
                <w:rFonts w:hint="eastAsia" w:ascii="Times New Roman" w:hAnsi="Times New Roman" w:eastAsia="宋体" w:cs="宋体"/>
                <w:color w:val="auto"/>
                <w:kern w:val="0"/>
                <w:sz w:val="21"/>
                <w:szCs w:val="21"/>
                <w:highlight w:val="none"/>
              </w:rPr>
              <w:t>名称</w:t>
            </w:r>
          </w:p>
        </w:tc>
        <w:tc>
          <w:tcPr>
            <w:tcW w:w="7093" w:type="dxa"/>
            <w:tcBorders>
              <w:top w:val="single" w:color="auto" w:sz="4" w:space="0"/>
              <w:left w:val="single" w:color="auto" w:sz="4" w:space="0"/>
              <w:bottom w:val="single" w:color="auto" w:sz="4" w:space="0"/>
              <w:right w:val="single" w:color="auto" w:sz="4" w:space="0"/>
            </w:tcBorders>
            <w:vAlign w:val="center"/>
          </w:tcPr>
          <w:p w14:paraId="6A68BC27">
            <w:pPr>
              <w:keepNext w:val="0"/>
              <w:keepLines w:val="0"/>
              <w:widowControl/>
              <w:suppressLineNumbers w:val="0"/>
              <w:spacing w:before="100" w:beforeAutospacing="1" w:after="100" w:afterAutospacing="1" w:line="240" w:lineRule="auto"/>
              <w:ind w:left="0" w:right="0" w:firstLine="0" w:firstLineChars="0"/>
              <w:jc w:val="center"/>
              <w:rPr>
                <w:rFonts w:hint="default" w:ascii="宋体" w:hAnsi="宋体" w:eastAsia="宋体" w:cs="宋体"/>
                <w:color w:val="auto"/>
                <w:kern w:val="0"/>
                <w:sz w:val="21"/>
                <w:szCs w:val="21"/>
                <w:highlight w:val="none"/>
              </w:rPr>
            </w:pPr>
            <w:r>
              <w:rPr>
                <w:rFonts w:hint="eastAsia" w:ascii="Times New Roman" w:hAnsi="Times New Roman" w:eastAsia="宋体" w:cs="宋体"/>
                <w:color w:val="auto"/>
                <w:kern w:val="0"/>
                <w:sz w:val="21"/>
                <w:szCs w:val="21"/>
                <w:highlight w:val="none"/>
              </w:rPr>
              <w:t>招标技术要求</w:t>
            </w:r>
          </w:p>
        </w:tc>
      </w:tr>
      <w:tr w14:paraId="5B3F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26" w:type="dxa"/>
            <w:vMerge w:val="restart"/>
            <w:tcBorders>
              <w:top w:val="single" w:color="auto" w:sz="4" w:space="0"/>
              <w:left w:val="single" w:color="auto" w:sz="4" w:space="0"/>
              <w:right w:val="single" w:color="auto" w:sz="4" w:space="0"/>
            </w:tcBorders>
            <w:vAlign w:val="center"/>
          </w:tcPr>
          <w:p w14:paraId="60E08E8F">
            <w:pPr>
              <w:keepNext w:val="0"/>
              <w:keepLines w:val="0"/>
              <w:suppressLineNumbers w:val="0"/>
              <w:spacing w:before="0" w:beforeAutospacing="0" w:after="0" w:afterAutospacing="0" w:line="240" w:lineRule="auto"/>
              <w:ind w:left="0" w:right="0" w:firstLine="0" w:firstLineChars="0"/>
              <w:jc w:val="left"/>
              <w:rPr>
                <w:rFonts w:hint="default" w:ascii="宋体" w:hAnsi="宋体" w:eastAsia="宋体" w:cs="宋体"/>
                <w:color w:val="auto"/>
                <w:kern w:val="0"/>
                <w:sz w:val="21"/>
                <w:szCs w:val="21"/>
                <w:highlight w:val="none"/>
              </w:rPr>
            </w:pPr>
            <w:r>
              <w:rPr>
                <w:rFonts w:hint="eastAsia" w:ascii="宋体" w:hAnsi="宋体" w:eastAsia="宋体" w:cs="Times New Roman"/>
                <w:color w:val="auto"/>
                <w:kern w:val="0"/>
                <w:sz w:val="21"/>
                <w:szCs w:val="21"/>
                <w:highlight w:val="none"/>
                <w:lang w:val="en-US" w:eastAsia="zh-CN"/>
              </w:rPr>
              <w:t>液相色谱分析仪</w:t>
            </w:r>
          </w:p>
        </w:tc>
        <w:tc>
          <w:tcPr>
            <w:tcW w:w="7093" w:type="dxa"/>
            <w:tcBorders>
              <w:top w:val="single" w:color="auto" w:sz="4" w:space="0"/>
              <w:left w:val="single" w:color="auto" w:sz="4" w:space="0"/>
              <w:bottom w:val="single" w:color="auto" w:sz="4" w:space="0"/>
              <w:right w:val="single" w:color="auto" w:sz="4" w:space="0"/>
            </w:tcBorders>
          </w:tcPr>
          <w:p w14:paraId="061FF072">
            <w:pPr>
              <w:keepNext w:val="0"/>
              <w:keepLines w:val="0"/>
              <w:numPr>
                <w:ilvl w:val="0"/>
                <w:numId w:val="0"/>
              </w:numPr>
              <w:suppressLineNumbers w:val="0"/>
              <w:spacing w:before="0" w:beforeAutospacing="0" w:after="0" w:afterAutospacing="0" w:line="240" w:lineRule="auto"/>
              <w:ind w:left="0" w:right="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1.泵系统</w:t>
            </w:r>
          </w:p>
          <w:p w14:paraId="019A6A37">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i w:val="0"/>
                <w:iCs w:val="0"/>
                <w:caps w:val="0"/>
                <w:color w:val="auto"/>
                <w:spacing w:val="0"/>
                <w:sz w:val="21"/>
                <w:szCs w:val="21"/>
                <w:highlight w:val="none"/>
                <w:shd w:val="clear"/>
              </w:rPr>
              <w:t>溶剂通道数：≥4 通道，支持梯度洗脱</w:t>
            </w:r>
            <w:r>
              <w:rPr>
                <w:rFonts w:hint="eastAsia" w:ascii="宋体" w:hAnsi="宋体" w:eastAsia="宋体" w:cs="宋体"/>
                <w:color w:val="auto"/>
                <w:sz w:val="21"/>
                <w:szCs w:val="21"/>
                <w:highlight w:val="none"/>
                <w:lang w:eastAsia="zh-CN"/>
              </w:rPr>
              <w:t>。</w:t>
            </w:r>
          </w:p>
        </w:tc>
      </w:tr>
      <w:tr w14:paraId="7AA8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326" w:type="dxa"/>
            <w:vMerge w:val="continue"/>
            <w:tcBorders>
              <w:top w:val="single" w:color="auto" w:sz="4" w:space="0"/>
              <w:left w:val="single" w:color="auto" w:sz="4" w:space="0"/>
              <w:right w:val="single" w:color="auto" w:sz="4" w:space="0"/>
            </w:tcBorders>
            <w:vAlign w:val="center"/>
          </w:tcPr>
          <w:p w14:paraId="6432EDAC">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415594D9">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系统延迟体积：</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500μL，并不随反压变化</w:t>
            </w:r>
            <w:r>
              <w:rPr>
                <w:rFonts w:hint="eastAsia" w:ascii="宋体" w:hAnsi="宋体" w:eastAsia="宋体" w:cs="宋体"/>
                <w:i w:val="0"/>
                <w:iCs w:val="0"/>
                <w:caps w:val="0"/>
                <w:color w:val="auto"/>
                <w:spacing w:val="0"/>
                <w:sz w:val="21"/>
                <w:szCs w:val="21"/>
                <w:highlight w:val="none"/>
                <w:shd w:val="clear"/>
              </w:rPr>
              <w:t>。</w:t>
            </w:r>
          </w:p>
        </w:tc>
      </w:tr>
      <w:tr w14:paraId="0ED2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0B4D324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2256BC85">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FF0000"/>
                <w:sz w:val="21"/>
                <w:szCs w:val="21"/>
                <w:highlight w:val="none"/>
              </w:rPr>
              <w:t>▲1.3最大输液压力：≥</w:t>
            </w:r>
            <w:r>
              <w:rPr>
                <w:rFonts w:hint="eastAsia" w:ascii="宋体" w:hAnsi="宋体" w:eastAsia="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0MPa（投标时需提供厂家参数确认函，或产品彩页，或产品技术说明或出厂检验证明佐证）</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lang w:val="en-US" w:eastAsia="zh-CN"/>
              </w:rPr>
              <w:t xml:space="preserve"> </w:t>
            </w:r>
          </w:p>
        </w:tc>
      </w:tr>
      <w:tr w14:paraId="268F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2D1DBBE5">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19EFDA57">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流速范围：</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包含0.001～10.000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m</w:t>
            </w:r>
            <w:r>
              <w:rPr>
                <w:rFonts w:hint="eastAsia" w:ascii="宋体" w:hAnsi="宋体" w:eastAsia="宋体" w:cs="宋体"/>
                <w:color w:val="auto"/>
                <w:sz w:val="21"/>
                <w:szCs w:val="21"/>
                <w:highlight w:val="none"/>
                <w:lang w:val="en-US" w:eastAsia="zh-CN"/>
              </w:rPr>
              <w:t>L</w:t>
            </w:r>
            <w:r>
              <w:rPr>
                <w:rFonts w:hint="eastAsia" w:ascii="宋体" w:hAnsi="宋体" w:eastAsia="宋体" w:cs="宋体"/>
                <w:color w:val="auto"/>
                <w:sz w:val="21"/>
                <w:szCs w:val="21"/>
                <w:highlight w:val="none"/>
              </w:rPr>
              <w:t>/min</w:t>
            </w:r>
            <w:r>
              <w:rPr>
                <w:rFonts w:hint="eastAsia" w:ascii="宋体" w:hAnsi="宋体" w:eastAsia="宋体" w:cs="宋体"/>
                <w:color w:val="auto"/>
                <w:sz w:val="21"/>
                <w:szCs w:val="21"/>
                <w:highlight w:val="none"/>
                <w:lang w:eastAsia="zh-CN"/>
              </w:rPr>
              <w:t>，即</w:t>
            </w:r>
            <w:r>
              <w:rPr>
                <w:rFonts w:hint="eastAsia" w:ascii="宋体" w:hAnsi="宋体" w:eastAsia="宋体" w:cs="宋体"/>
                <w:color w:val="auto"/>
                <w:sz w:val="21"/>
                <w:szCs w:val="21"/>
                <w:highlight w:val="none"/>
                <w:lang w:val="en-US" w:eastAsia="zh-CN"/>
              </w:rPr>
              <w:t>流速</w:t>
            </w:r>
            <w:r>
              <w:rPr>
                <w:rFonts w:hint="eastAsia" w:ascii="宋体" w:hAnsi="宋体" w:eastAsia="宋体" w:cs="宋体"/>
                <w:color w:val="auto"/>
                <w:sz w:val="21"/>
                <w:szCs w:val="21"/>
                <w:highlight w:val="none"/>
                <w:lang w:eastAsia="zh-CN"/>
              </w:rPr>
              <w:t>最小值≤</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m</w:t>
            </w:r>
            <w:r>
              <w:rPr>
                <w:rFonts w:hint="eastAsia" w:ascii="宋体" w:hAnsi="宋体" w:eastAsia="宋体" w:cs="宋体"/>
                <w:color w:val="auto"/>
                <w:sz w:val="21"/>
                <w:szCs w:val="21"/>
                <w:highlight w:val="none"/>
                <w:lang w:val="en-US" w:eastAsia="zh-CN"/>
              </w:rPr>
              <w:t>L</w:t>
            </w:r>
            <w:r>
              <w:rPr>
                <w:rFonts w:hint="eastAsia" w:ascii="宋体" w:hAnsi="宋体" w:eastAsia="宋体" w:cs="宋体"/>
                <w:color w:val="auto"/>
                <w:sz w:val="21"/>
                <w:szCs w:val="21"/>
                <w:highlight w:val="none"/>
              </w:rPr>
              <w:t>/min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流速最</w:t>
            </w:r>
            <w:r>
              <w:rPr>
                <w:rFonts w:hint="eastAsia" w:ascii="宋体" w:hAnsi="宋体" w:eastAsia="宋体" w:cs="宋体"/>
                <w:color w:val="auto"/>
                <w:sz w:val="21"/>
                <w:szCs w:val="21"/>
                <w:highlight w:val="none"/>
                <w:lang w:val="en-US" w:eastAsia="zh-CN"/>
              </w:rPr>
              <w:t>大</w:t>
            </w:r>
            <w:r>
              <w:rPr>
                <w:rFonts w:hint="eastAsia" w:ascii="宋体" w:hAnsi="宋体" w:eastAsia="宋体" w:cs="宋体"/>
                <w:color w:val="auto"/>
                <w:sz w:val="21"/>
                <w:szCs w:val="21"/>
                <w:highlight w:val="none"/>
              </w:rPr>
              <w:t>值≥</w:t>
            </w: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.00</w:t>
            </w:r>
            <w:r>
              <w:rPr>
                <w:rFonts w:hint="eastAsia" w:ascii="宋体" w:hAnsi="宋体" w:eastAsia="宋体" w:cs="宋体"/>
                <w:color w:val="auto"/>
                <w:sz w:val="21"/>
                <w:szCs w:val="21"/>
                <w:highlight w:val="none"/>
                <w:lang w:val="en-US" w:eastAsia="zh-CN"/>
              </w:rPr>
              <w:t xml:space="preserve">0 </w:t>
            </w:r>
            <w:r>
              <w:rPr>
                <w:rFonts w:hint="eastAsia" w:ascii="宋体" w:hAnsi="宋体" w:eastAsia="宋体" w:cs="宋体"/>
                <w:color w:val="auto"/>
                <w:sz w:val="21"/>
                <w:szCs w:val="21"/>
                <w:highlight w:val="none"/>
              </w:rPr>
              <w:t>mL/min</w:t>
            </w:r>
            <w:r>
              <w:rPr>
                <w:rFonts w:hint="eastAsia" w:ascii="宋体" w:hAnsi="宋体" w:eastAsia="宋体" w:cs="宋体"/>
                <w:color w:val="auto"/>
                <w:sz w:val="21"/>
                <w:szCs w:val="21"/>
                <w:highlight w:val="none"/>
                <w:lang w:eastAsia="zh-CN"/>
              </w:rPr>
              <w:t>。</w:t>
            </w:r>
          </w:p>
        </w:tc>
      </w:tr>
      <w:tr w14:paraId="3389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41D4C63C">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0FCB8A55">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流量准确度误差在-1%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1%之间。</w:t>
            </w:r>
          </w:p>
        </w:tc>
      </w:tr>
      <w:tr w14:paraId="7251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3748267A">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6ED7106C">
            <w:pPr>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1.6梯度误差</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%之间。</w:t>
            </w:r>
          </w:p>
        </w:tc>
      </w:tr>
      <w:tr w14:paraId="28A0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6" w:type="dxa"/>
            <w:vMerge w:val="continue"/>
            <w:tcBorders>
              <w:top w:val="single" w:color="auto" w:sz="4" w:space="0"/>
              <w:left w:val="single" w:color="auto" w:sz="4" w:space="0"/>
              <w:right w:val="single" w:color="auto" w:sz="4" w:space="0"/>
            </w:tcBorders>
            <w:vAlign w:val="center"/>
          </w:tcPr>
          <w:p w14:paraId="6BC4D48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5B3E7301">
            <w:pPr>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1.7流速精密度：≤0.06%RSD</w:t>
            </w:r>
            <w:r>
              <w:rPr>
                <w:rFonts w:hint="eastAsia" w:ascii="宋体" w:hAnsi="宋体" w:eastAsia="宋体" w:cs="宋体"/>
                <w:b w:val="0"/>
                <w:bCs w:val="0"/>
                <w:color w:val="auto"/>
                <w:kern w:val="2"/>
                <w:sz w:val="21"/>
                <w:szCs w:val="21"/>
                <w:highlight w:val="none"/>
                <w:lang w:val="en-US" w:eastAsia="zh-CN" w:bidi="ar-SA"/>
              </w:rPr>
              <w:t>。</w:t>
            </w:r>
          </w:p>
        </w:tc>
      </w:tr>
      <w:tr w14:paraId="20CD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6" w:type="dxa"/>
            <w:vMerge w:val="continue"/>
            <w:tcBorders>
              <w:top w:val="single" w:color="auto" w:sz="4" w:space="0"/>
              <w:left w:val="single" w:color="auto" w:sz="4" w:space="0"/>
              <w:right w:val="single" w:color="auto" w:sz="4" w:space="0"/>
            </w:tcBorders>
            <w:vAlign w:val="center"/>
          </w:tcPr>
          <w:p w14:paraId="6F6B411D">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23A960C3">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FF0000"/>
                <w:sz w:val="21"/>
                <w:szCs w:val="21"/>
                <w:highlight w:val="none"/>
                <w:lang w:val="en-US" w:eastAsia="zh-CN"/>
              </w:rPr>
              <w:t>▲1.8脱气装置：≥5个独立通道</w:t>
            </w:r>
            <w:r>
              <w:rPr>
                <w:rFonts w:hint="eastAsia" w:ascii="宋体" w:hAnsi="宋体" w:eastAsia="宋体" w:cs="宋体"/>
                <w:b/>
                <w:bCs/>
                <w:color w:val="FF0000"/>
                <w:sz w:val="21"/>
                <w:szCs w:val="21"/>
                <w:highlight w:val="none"/>
              </w:rPr>
              <w:t>（投标时需提供厂家参数确认函，或产品彩页，或产品技术说明或出厂检验证明佐证）</w:t>
            </w:r>
            <w:r>
              <w:rPr>
                <w:rFonts w:hint="eastAsia" w:ascii="宋体" w:hAnsi="宋体" w:eastAsia="宋体" w:cs="宋体"/>
                <w:b/>
                <w:bCs/>
                <w:color w:val="FF0000"/>
                <w:sz w:val="21"/>
                <w:szCs w:val="21"/>
                <w:highlight w:val="none"/>
                <w:lang w:val="en-US" w:eastAsia="zh-CN"/>
              </w:rPr>
              <w:t>。</w:t>
            </w:r>
          </w:p>
        </w:tc>
      </w:tr>
      <w:tr w14:paraId="6CFF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639BAE74">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0E3EDC00">
            <w:pPr>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1.9具备超压保护功能。</w:t>
            </w:r>
          </w:p>
        </w:tc>
      </w:tr>
      <w:tr w14:paraId="09A5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26" w:type="dxa"/>
            <w:vMerge w:val="continue"/>
            <w:tcBorders>
              <w:top w:val="single" w:color="auto" w:sz="4" w:space="0"/>
              <w:left w:val="single" w:color="auto" w:sz="4" w:space="0"/>
              <w:right w:val="single" w:color="auto" w:sz="4" w:space="0"/>
            </w:tcBorders>
            <w:vAlign w:val="center"/>
          </w:tcPr>
          <w:p w14:paraId="0EF3BAB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7AD62EFA">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2.自动进样器</w:t>
            </w:r>
          </w:p>
          <w:p w14:paraId="3FEE29DC">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2.1进样方式 ：直接进样。</w:t>
            </w:r>
          </w:p>
        </w:tc>
      </w:tr>
      <w:tr w14:paraId="4DDC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041FC23C">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411AD605">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2.2标准进样体积 ：</w:t>
            </w:r>
            <w:r>
              <w:rPr>
                <w:rFonts w:hint="eastAsia" w:ascii="宋体" w:hAnsi="宋体" w:eastAsia="宋体" w:cs="宋体"/>
                <w:color w:val="auto"/>
                <w:sz w:val="21"/>
                <w:szCs w:val="21"/>
                <w:highlight w:val="none"/>
                <w:lang w:eastAsia="zh-CN"/>
              </w:rPr>
              <w:t>需包含</w:t>
            </w:r>
            <w:r>
              <w:rPr>
                <w:rFonts w:hint="eastAsia" w:ascii="宋体" w:hAnsi="宋体" w:eastAsia="宋体" w:cs="宋体"/>
                <w:color w:val="auto"/>
                <w:sz w:val="21"/>
                <w:szCs w:val="21"/>
                <w:highlight w:val="none"/>
              </w:rPr>
              <w:t xml:space="preserve">0.1～100μL </w:t>
            </w:r>
            <w:r>
              <w:rPr>
                <w:rFonts w:hint="eastAsia" w:ascii="宋体" w:hAnsi="宋体" w:eastAsia="宋体" w:cs="宋体"/>
                <w:color w:val="auto"/>
                <w:sz w:val="21"/>
                <w:szCs w:val="21"/>
                <w:highlight w:val="none"/>
                <w:lang w:eastAsia="zh-CN"/>
              </w:rPr>
              <w:t>，即</w:t>
            </w:r>
            <w:r>
              <w:rPr>
                <w:rFonts w:hint="eastAsia" w:ascii="宋体" w:hAnsi="宋体" w:eastAsia="宋体" w:cs="宋体"/>
                <w:color w:val="auto"/>
                <w:sz w:val="21"/>
                <w:szCs w:val="21"/>
                <w:highlight w:val="none"/>
                <w:lang w:val="en-US" w:eastAsia="zh-CN"/>
              </w:rPr>
              <w:t>进样体积</w:t>
            </w:r>
            <w:r>
              <w:rPr>
                <w:rFonts w:hint="eastAsia" w:ascii="宋体" w:hAnsi="宋体" w:eastAsia="宋体" w:cs="宋体"/>
                <w:color w:val="auto"/>
                <w:sz w:val="21"/>
                <w:szCs w:val="21"/>
                <w:highlight w:val="none"/>
                <w:lang w:eastAsia="zh-CN"/>
              </w:rPr>
              <w:t>最小值≤</w:t>
            </w:r>
            <w:r>
              <w:rPr>
                <w:rFonts w:hint="eastAsia" w:ascii="宋体" w:hAnsi="宋体" w:eastAsia="宋体" w:cs="宋体"/>
                <w:color w:val="auto"/>
                <w:sz w:val="21"/>
                <w:szCs w:val="21"/>
                <w:highlight w:val="none"/>
                <w:lang w:val="en-US" w:eastAsia="zh-CN"/>
              </w:rPr>
              <w:t>0.1μL</w:t>
            </w:r>
            <w:r>
              <w:rPr>
                <w:rFonts w:hint="eastAsia" w:ascii="宋体" w:hAnsi="宋体" w:eastAsia="宋体" w:cs="宋体"/>
                <w:color w:val="auto"/>
                <w:sz w:val="21"/>
                <w:szCs w:val="21"/>
                <w:highlight w:val="none"/>
                <w:lang w:eastAsia="zh-CN"/>
              </w:rPr>
              <w:t>，进样体积最大值≥</w:t>
            </w:r>
            <w:r>
              <w:rPr>
                <w:rFonts w:hint="eastAsia" w:ascii="宋体" w:hAnsi="宋体" w:eastAsia="宋体" w:cs="宋体"/>
                <w:color w:val="auto"/>
                <w:sz w:val="21"/>
                <w:szCs w:val="21"/>
                <w:highlight w:val="none"/>
                <w:lang w:val="en-US" w:eastAsia="zh-CN"/>
              </w:rPr>
              <w:t>100</w:t>
            </w:r>
            <w:r>
              <w:rPr>
                <w:rFonts w:hint="eastAsia" w:ascii="宋体" w:hAnsi="宋体" w:eastAsia="宋体" w:cs="宋体"/>
                <w:color w:val="auto"/>
                <w:sz w:val="21"/>
                <w:szCs w:val="21"/>
                <w:highlight w:val="none"/>
                <w:lang w:eastAsia="zh-CN"/>
              </w:rPr>
              <w:t>μL。</w:t>
            </w:r>
          </w:p>
        </w:tc>
      </w:tr>
      <w:tr w14:paraId="6A82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09911766">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5672177C">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2.3进样准确度误差在-1%～1%之间。</w:t>
            </w:r>
          </w:p>
        </w:tc>
      </w:tr>
      <w:tr w14:paraId="5B53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4F6E1EC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58D80986">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2.4进样重复性误差在-1%～1%</w:t>
            </w:r>
            <w:r>
              <w:rPr>
                <w:rFonts w:hint="eastAsia" w:ascii="宋体" w:hAnsi="宋体" w:eastAsia="宋体" w:cs="宋体"/>
                <w:color w:val="auto"/>
                <w:sz w:val="21"/>
                <w:szCs w:val="21"/>
                <w:highlight w:val="none"/>
                <w:lang w:val="en-US" w:eastAsia="zh-CN"/>
              </w:rPr>
              <w:t>RSD</w:t>
            </w:r>
            <w:r>
              <w:rPr>
                <w:rFonts w:hint="eastAsia" w:ascii="宋体" w:hAnsi="宋体" w:eastAsia="宋体" w:cs="宋体"/>
                <w:color w:val="auto"/>
                <w:sz w:val="21"/>
                <w:szCs w:val="21"/>
                <w:highlight w:val="none"/>
              </w:rPr>
              <w:t>之间。</w:t>
            </w:r>
            <w:r>
              <w:rPr>
                <w:rFonts w:hint="eastAsia" w:ascii="宋体" w:hAnsi="宋体" w:eastAsia="宋体" w:cs="宋体"/>
                <w:color w:val="auto"/>
                <w:sz w:val="21"/>
                <w:szCs w:val="21"/>
                <w:highlight w:val="none"/>
                <w:lang w:eastAsia="zh-CN"/>
              </w:rPr>
              <w:t>。</w:t>
            </w:r>
          </w:p>
        </w:tc>
      </w:tr>
      <w:tr w14:paraId="6B51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5215B60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18E33518">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lang w:val="en-US" w:eastAsia="zh-CN"/>
              </w:rPr>
              <w:t>样品数：≥100个（标准样品瓶）。</w:t>
            </w:r>
          </w:p>
        </w:tc>
      </w:tr>
      <w:tr w14:paraId="6A85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2BFD4E8F">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2D1A3B5B">
            <w:pPr>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2.6样品残留量：≤0.003% 。</w:t>
            </w:r>
          </w:p>
        </w:tc>
      </w:tr>
      <w:tr w14:paraId="2904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7DAB85DD">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auto"/>
          </w:tcPr>
          <w:p w14:paraId="625CA582">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2.7</w:t>
            </w:r>
            <w:r>
              <w:rPr>
                <w:rFonts w:hint="eastAsia" w:ascii="宋体" w:hAnsi="宋体" w:eastAsia="宋体" w:cs="宋体"/>
                <w:color w:val="auto"/>
                <w:sz w:val="21"/>
                <w:szCs w:val="21"/>
                <w:highlight w:val="none"/>
              </w:rPr>
              <w:t>具备漏液报警</w:t>
            </w:r>
            <w:r>
              <w:rPr>
                <w:rFonts w:hint="eastAsia" w:ascii="宋体" w:hAnsi="宋体" w:eastAsia="宋体" w:cs="宋体"/>
                <w:color w:val="auto"/>
                <w:sz w:val="21"/>
                <w:szCs w:val="21"/>
                <w:highlight w:val="none"/>
                <w:lang w:val="en-US" w:eastAsia="zh-CN"/>
              </w:rPr>
              <w:t>功能。</w:t>
            </w:r>
          </w:p>
        </w:tc>
      </w:tr>
      <w:tr w14:paraId="1E22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26" w:type="dxa"/>
            <w:vMerge w:val="continue"/>
            <w:tcBorders>
              <w:top w:val="single" w:color="auto" w:sz="4" w:space="0"/>
              <w:left w:val="single" w:color="auto" w:sz="4" w:space="0"/>
              <w:right w:val="single" w:color="auto" w:sz="4" w:space="0"/>
            </w:tcBorders>
            <w:vAlign w:val="center"/>
          </w:tcPr>
          <w:p w14:paraId="4CE05A0C">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auto"/>
          </w:tcPr>
          <w:p w14:paraId="3DE49797">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具备样品盘检测功能</w:t>
            </w:r>
            <w:r>
              <w:rPr>
                <w:rFonts w:hint="eastAsia" w:ascii="宋体" w:hAnsi="宋体" w:eastAsia="宋体" w:cs="宋体"/>
                <w:color w:val="auto"/>
                <w:sz w:val="21"/>
                <w:szCs w:val="21"/>
                <w:highlight w:val="none"/>
                <w:lang w:eastAsia="zh-CN"/>
              </w:rPr>
              <w:t>。</w:t>
            </w:r>
          </w:p>
        </w:tc>
      </w:tr>
      <w:tr w14:paraId="54CD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326" w:type="dxa"/>
            <w:vMerge w:val="continue"/>
            <w:tcBorders>
              <w:top w:val="single" w:color="auto" w:sz="4" w:space="0"/>
              <w:left w:val="single" w:color="auto" w:sz="4" w:space="0"/>
              <w:right w:val="single" w:color="auto" w:sz="4" w:space="0"/>
            </w:tcBorders>
            <w:vAlign w:val="center"/>
          </w:tcPr>
          <w:p w14:paraId="78FACCD3">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01365FE8">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3.柱温箱</w:t>
            </w:r>
          </w:p>
          <w:p w14:paraId="32695C1F">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3.1控温方式：带有快速加热和冷却模块＋空气循环。</w:t>
            </w:r>
          </w:p>
        </w:tc>
      </w:tr>
      <w:tr w14:paraId="6D3D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46C9CB0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1D9A3927">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3.2带有流动相预加热功能，温度设定范围：需包含1℃～90℃（1℃步进），即温度最小值≤1℃，温度最大值≥90℃。</w:t>
            </w:r>
          </w:p>
        </w:tc>
      </w:tr>
      <w:tr w14:paraId="0B79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24BFB07E">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619CADFB">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 温度准确度</w:t>
            </w:r>
            <w:r>
              <w:rPr>
                <w:rFonts w:hint="eastAsia" w:ascii="宋体" w:hAnsi="宋体" w:eastAsia="宋体" w:cs="宋体"/>
                <w:color w:val="auto"/>
                <w:sz w:val="21"/>
                <w:szCs w:val="21"/>
                <w:highlight w:val="none"/>
              </w:rPr>
              <w:t>误差在-1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之间。</w:t>
            </w:r>
          </w:p>
        </w:tc>
      </w:tr>
      <w:tr w14:paraId="1363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379C6FC0">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46933C91">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val="en-US" w:eastAsia="zh-CN"/>
              </w:rPr>
              <w:t>3.4 色谱柱容量：≥3根</w:t>
            </w:r>
            <w:r>
              <w:rPr>
                <w:rFonts w:hint="eastAsia" w:ascii="宋体" w:hAnsi="宋体" w:eastAsia="宋体" w:cs="宋体"/>
                <w:b/>
                <w:bCs/>
                <w:color w:val="FF0000"/>
                <w:sz w:val="21"/>
                <w:szCs w:val="21"/>
                <w:highlight w:val="none"/>
              </w:rPr>
              <w:t>（投标时需提供厂家参数确认函，或产品彩页，或产品技术说明或出厂检验证明佐证）</w:t>
            </w:r>
            <w:r>
              <w:rPr>
                <w:rFonts w:hint="eastAsia" w:ascii="宋体" w:hAnsi="宋体" w:eastAsia="宋体" w:cs="宋体"/>
                <w:b/>
                <w:bCs/>
                <w:color w:val="FF0000"/>
                <w:sz w:val="21"/>
                <w:szCs w:val="21"/>
                <w:highlight w:val="none"/>
                <w:lang w:eastAsia="zh-CN"/>
              </w:rPr>
              <w:t>。</w:t>
            </w:r>
          </w:p>
        </w:tc>
      </w:tr>
      <w:tr w14:paraId="614F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73477E61">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auto"/>
          </w:tcPr>
          <w:p w14:paraId="3B534AF5">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具备漏液报警功能</w:t>
            </w:r>
            <w:r>
              <w:rPr>
                <w:rFonts w:hint="eastAsia" w:ascii="宋体" w:hAnsi="宋体" w:eastAsia="宋体" w:cs="宋体"/>
                <w:color w:val="auto"/>
                <w:sz w:val="21"/>
                <w:szCs w:val="21"/>
                <w:highlight w:val="none"/>
                <w:lang w:eastAsia="zh-CN"/>
              </w:rPr>
              <w:t>。</w:t>
            </w:r>
          </w:p>
        </w:tc>
      </w:tr>
      <w:tr w14:paraId="30F8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479C891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auto"/>
          </w:tcPr>
          <w:p w14:paraId="4252C6F5">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3.6</w:t>
            </w:r>
            <w:r>
              <w:rPr>
                <w:rFonts w:hint="eastAsia" w:ascii="宋体" w:hAnsi="宋体" w:eastAsia="宋体" w:cs="宋体"/>
                <w:color w:val="auto"/>
                <w:sz w:val="21"/>
                <w:szCs w:val="21"/>
                <w:highlight w:val="none"/>
              </w:rPr>
              <w:t>具备过热保护功能</w:t>
            </w:r>
            <w:r>
              <w:rPr>
                <w:rFonts w:hint="eastAsia" w:ascii="宋体" w:hAnsi="宋体" w:eastAsia="宋体" w:cs="宋体"/>
                <w:color w:val="auto"/>
                <w:sz w:val="21"/>
                <w:szCs w:val="21"/>
                <w:highlight w:val="none"/>
                <w:lang w:eastAsia="zh-CN"/>
              </w:rPr>
              <w:t>。</w:t>
            </w:r>
          </w:p>
        </w:tc>
      </w:tr>
      <w:tr w14:paraId="1A70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26" w:type="dxa"/>
            <w:vMerge w:val="continue"/>
            <w:tcBorders>
              <w:top w:val="single" w:color="auto" w:sz="4" w:space="0"/>
              <w:left w:val="single" w:color="auto" w:sz="4" w:space="0"/>
              <w:right w:val="single" w:color="auto" w:sz="4" w:space="0"/>
            </w:tcBorders>
            <w:vAlign w:val="center"/>
          </w:tcPr>
          <w:p w14:paraId="5D739E7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5CB7531D">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4.紫外检测器</w:t>
            </w:r>
          </w:p>
          <w:p w14:paraId="087140E9">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4.1检测光源：氘灯。</w:t>
            </w:r>
          </w:p>
        </w:tc>
      </w:tr>
      <w:tr w14:paraId="76C6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326" w:type="dxa"/>
            <w:vMerge w:val="continue"/>
            <w:tcBorders>
              <w:top w:val="single" w:color="auto" w:sz="4" w:space="0"/>
              <w:left w:val="single" w:color="auto" w:sz="4" w:space="0"/>
              <w:right w:val="single" w:color="auto" w:sz="4" w:space="0"/>
            </w:tcBorders>
            <w:vAlign w:val="center"/>
          </w:tcPr>
          <w:p w14:paraId="65362855">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4129DB3D">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 波长范围需包含：190～700nm，即波长最小值≤190nm，波长最大值≥700nm</w:t>
            </w:r>
            <w:r>
              <w:rPr>
                <w:rFonts w:hint="eastAsia" w:ascii="宋体" w:hAnsi="宋体" w:eastAsia="宋体" w:cs="宋体"/>
                <w:color w:val="auto"/>
                <w:sz w:val="21"/>
                <w:szCs w:val="21"/>
                <w:highlight w:val="none"/>
                <w:lang w:eastAsia="zh-CN"/>
              </w:rPr>
              <w:t>。</w:t>
            </w:r>
          </w:p>
        </w:tc>
      </w:tr>
      <w:tr w14:paraId="49B1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5695D34E">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13E477DC">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 波长准确度</w:t>
            </w:r>
            <w:r>
              <w:rPr>
                <w:rFonts w:hint="eastAsia" w:ascii="宋体" w:hAnsi="宋体" w:eastAsia="宋体" w:cs="宋体"/>
                <w:color w:val="auto"/>
                <w:sz w:val="21"/>
                <w:szCs w:val="21"/>
                <w:highlight w:val="none"/>
              </w:rPr>
              <w:t>误差在</w:t>
            </w:r>
            <w:r>
              <w:rPr>
                <w:rFonts w:hint="eastAsia" w:ascii="宋体" w:hAnsi="宋体" w:eastAsia="宋体" w:cs="宋体"/>
                <w:color w:val="auto"/>
                <w:sz w:val="21"/>
                <w:szCs w:val="21"/>
                <w:highlight w:val="none"/>
                <w:lang w:val="en-US" w:eastAsia="zh-CN"/>
              </w:rPr>
              <w:t>-1nm</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1nm</w:t>
            </w:r>
            <w:r>
              <w:rPr>
                <w:rFonts w:hint="eastAsia" w:ascii="宋体" w:hAnsi="宋体" w:eastAsia="宋体" w:cs="宋体"/>
                <w:color w:val="auto"/>
                <w:sz w:val="21"/>
                <w:szCs w:val="21"/>
                <w:highlight w:val="none"/>
              </w:rPr>
              <w:t>之间。</w:t>
            </w:r>
          </w:p>
        </w:tc>
      </w:tr>
      <w:tr w14:paraId="0BA7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48BB6277">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2E346FBA">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FF0000"/>
                <w:sz w:val="21"/>
                <w:szCs w:val="21"/>
                <w:highlight w:val="none"/>
                <w:lang w:val="en-US" w:eastAsia="zh-CN"/>
              </w:rPr>
              <w:t>▲4.4波长校验：利用内置汞（Hg）灯自动校验</w:t>
            </w:r>
            <w:r>
              <w:rPr>
                <w:rFonts w:hint="eastAsia" w:ascii="宋体" w:hAnsi="宋体" w:eastAsia="宋体" w:cs="宋体"/>
                <w:b/>
                <w:bCs/>
                <w:color w:val="FF0000"/>
                <w:sz w:val="21"/>
                <w:szCs w:val="21"/>
                <w:highlight w:val="none"/>
              </w:rPr>
              <w:t>（投标时需提供厂家参数确认函，或产品彩页，或产品技术说明或出厂检验证明佐证）</w:t>
            </w:r>
            <w:r>
              <w:rPr>
                <w:rFonts w:hint="eastAsia" w:ascii="宋体" w:hAnsi="宋体" w:eastAsia="宋体" w:cs="宋体"/>
                <w:b/>
                <w:bCs/>
                <w:color w:val="FF0000"/>
                <w:sz w:val="21"/>
                <w:szCs w:val="21"/>
                <w:highlight w:val="none"/>
                <w:lang w:val="en-US" w:eastAsia="zh-CN"/>
              </w:rPr>
              <w:t>。</w:t>
            </w:r>
          </w:p>
        </w:tc>
      </w:tr>
      <w:tr w14:paraId="679C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26" w:type="dxa"/>
            <w:vMerge w:val="continue"/>
            <w:tcBorders>
              <w:top w:val="single" w:color="auto" w:sz="4" w:space="0"/>
              <w:left w:val="single" w:color="auto" w:sz="4" w:space="0"/>
              <w:right w:val="single" w:color="auto" w:sz="4" w:space="0"/>
            </w:tcBorders>
            <w:vAlign w:val="center"/>
          </w:tcPr>
          <w:p w14:paraId="075E05AD">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1D2C1C90">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5.数据管理系统</w:t>
            </w:r>
          </w:p>
          <w:p w14:paraId="6AA9FCDB">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5.1数据管理系统为中文版，包括操作界面、数据分析、在线帮助。</w:t>
            </w:r>
          </w:p>
        </w:tc>
      </w:tr>
      <w:tr w14:paraId="5B92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090C7267">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433BB317">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5.2具备数据安全性设计，具有电子记录、电子签名等功能，包括审计追踪、权限分配。</w:t>
            </w:r>
          </w:p>
        </w:tc>
      </w:tr>
      <w:tr w14:paraId="122F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65254CED">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2F97416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FF0000"/>
                <w:sz w:val="21"/>
                <w:szCs w:val="21"/>
                <w:highlight w:val="none"/>
                <w:lang w:val="en-US" w:eastAsia="zh-CN"/>
              </w:rPr>
              <w:t>5.3批处理方法可在不同项目之间执行（投标时提供厂家参数确认函，或产品彩页，或产品技术说明或出厂检验证明佐证）。</w:t>
            </w:r>
          </w:p>
        </w:tc>
      </w:tr>
      <w:tr w14:paraId="1508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right w:val="single" w:color="auto" w:sz="4" w:space="0"/>
            </w:tcBorders>
            <w:vAlign w:val="center"/>
          </w:tcPr>
          <w:p w14:paraId="425E7132">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4788FA80">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FF0000"/>
                <w:sz w:val="21"/>
                <w:szCs w:val="21"/>
                <w:highlight w:val="none"/>
                <w:lang w:val="en-US" w:eastAsia="zh-CN"/>
              </w:rPr>
              <w:t>5.4积分功能全面，可设定最小面积、最小高度、峰谷到峰谷、强迫垂线、按时间需求积分（</w:t>
            </w:r>
            <w:r>
              <w:rPr>
                <w:rFonts w:hint="eastAsia" w:ascii="宋体" w:hAnsi="宋体" w:eastAsia="宋体" w:cs="宋体"/>
                <w:b/>
                <w:bCs/>
                <w:color w:val="FF0000"/>
                <w:sz w:val="21"/>
                <w:szCs w:val="21"/>
                <w:highlight w:val="none"/>
              </w:rPr>
              <w:t>投标时需提供软件截图</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rPr>
              <w:t>或软件操作手册</w:t>
            </w:r>
            <w:r>
              <w:rPr>
                <w:rFonts w:hint="eastAsia" w:ascii="宋体" w:hAnsi="宋体" w:eastAsia="宋体" w:cs="宋体"/>
                <w:b/>
                <w:bCs/>
                <w:color w:val="FF0000"/>
                <w:sz w:val="21"/>
                <w:szCs w:val="21"/>
                <w:highlight w:val="none"/>
                <w:lang w:val="en-US" w:eastAsia="zh-CN"/>
              </w:rPr>
              <w:t>佐证</w:t>
            </w:r>
            <w:r>
              <w:rPr>
                <w:rFonts w:hint="eastAsia" w:ascii="宋体" w:hAnsi="宋体" w:eastAsia="宋体" w:cs="宋体"/>
                <w:b/>
                <w:bCs/>
                <w:color w:val="FF0000"/>
                <w:sz w:val="21"/>
                <w:szCs w:val="21"/>
                <w:highlight w:val="none"/>
              </w:rPr>
              <w:t>）。</w:t>
            </w:r>
          </w:p>
        </w:tc>
      </w:tr>
      <w:tr w14:paraId="7299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326" w:type="dxa"/>
            <w:vMerge w:val="continue"/>
            <w:tcBorders>
              <w:top w:val="single" w:color="auto" w:sz="4" w:space="0"/>
              <w:left w:val="single" w:color="auto" w:sz="4" w:space="0"/>
              <w:right w:val="single" w:color="auto" w:sz="4" w:space="0"/>
            </w:tcBorders>
            <w:vAlign w:val="center"/>
          </w:tcPr>
          <w:p w14:paraId="6F1B3C35">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5689E163">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6.应用要求</w:t>
            </w:r>
          </w:p>
          <w:p w14:paraId="07EC9C99">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FF0000"/>
                <w:sz w:val="21"/>
                <w:szCs w:val="21"/>
                <w:highlight w:val="none"/>
                <w:lang w:val="en-US" w:eastAsia="zh-CN"/>
              </w:rPr>
              <w:t>▲6.1可测定包括利福平、异烟肼、德拉玛尼、吡嗪酰胺、贝达喹啉、利奈唑胺、莫西沙星、左氧氟沙星在内的抗结核药物。(投标时需</w:t>
            </w:r>
            <w:r>
              <w:rPr>
                <w:rFonts w:hint="eastAsia" w:ascii="宋体" w:hAnsi="宋体" w:eastAsia="宋体" w:cs="宋体"/>
                <w:b/>
                <w:bCs/>
                <w:color w:val="FF0000"/>
                <w:sz w:val="21"/>
                <w:szCs w:val="21"/>
                <w:highlight w:val="none"/>
              </w:rPr>
              <w:t>提供色谱图、应用方法学资料、产品说明书、应用报告等能够证明参数满足要求的材料之一或多项，并标注化合物信息</w:t>
            </w:r>
            <w:r>
              <w:rPr>
                <w:rFonts w:hint="eastAsia" w:ascii="宋体" w:hAnsi="宋体" w:eastAsia="宋体" w:cs="宋体"/>
                <w:b/>
                <w:bCs/>
                <w:color w:val="FF0000"/>
                <w:sz w:val="21"/>
                <w:szCs w:val="21"/>
                <w:highlight w:val="none"/>
                <w:lang w:val="en-US" w:eastAsia="zh-CN"/>
              </w:rPr>
              <w:t>)。</w:t>
            </w:r>
          </w:p>
        </w:tc>
      </w:tr>
      <w:tr w14:paraId="3A4D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6" w:type="dxa"/>
            <w:vMerge w:val="continue"/>
            <w:tcBorders>
              <w:top w:val="single" w:color="auto" w:sz="4" w:space="0"/>
              <w:left w:val="single" w:color="auto" w:sz="4" w:space="0"/>
              <w:right w:val="single" w:color="auto" w:sz="4" w:space="0"/>
            </w:tcBorders>
            <w:vAlign w:val="center"/>
          </w:tcPr>
          <w:p w14:paraId="44EFBAF9">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1EED22DC">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6.2检测过程无需衍生化。</w:t>
            </w:r>
          </w:p>
        </w:tc>
      </w:tr>
      <w:tr w14:paraId="4204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326" w:type="dxa"/>
            <w:vMerge w:val="continue"/>
            <w:tcBorders>
              <w:top w:val="single" w:color="auto" w:sz="4" w:space="0"/>
              <w:left w:val="single" w:color="auto" w:sz="4" w:space="0"/>
              <w:bottom w:val="single" w:color="auto" w:sz="4" w:space="0"/>
              <w:right w:val="single" w:color="auto" w:sz="4" w:space="0"/>
            </w:tcBorders>
            <w:vAlign w:val="center"/>
          </w:tcPr>
          <w:p w14:paraId="4A9E9930">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sz w:val="21"/>
                <w:szCs w:val="21"/>
                <w:highlight w:val="none"/>
              </w:rPr>
            </w:pPr>
          </w:p>
        </w:tc>
        <w:tc>
          <w:tcPr>
            <w:tcW w:w="7093" w:type="dxa"/>
            <w:tcBorders>
              <w:top w:val="single" w:color="auto" w:sz="4" w:space="0"/>
              <w:left w:val="single" w:color="auto" w:sz="4" w:space="0"/>
              <w:bottom w:val="single" w:color="auto" w:sz="4" w:space="0"/>
              <w:right w:val="single" w:color="auto" w:sz="4" w:space="0"/>
            </w:tcBorders>
          </w:tcPr>
          <w:p w14:paraId="23E5C41F">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FF0000"/>
                <w:sz w:val="21"/>
                <w:szCs w:val="21"/>
                <w:highlight w:val="none"/>
                <w:lang w:val="en-US" w:eastAsia="zh-CN"/>
              </w:rPr>
              <w:t>▲6.3单次采样可检测抗结核药物种类≥6种（投标时需</w:t>
            </w:r>
            <w:r>
              <w:rPr>
                <w:rFonts w:hint="eastAsia" w:ascii="宋体" w:hAnsi="宋体" w:eastAsia="宋体" w:cs="宋体"/>
                <w:b/>
                <w:bCs/>
                <w:color w:val="FF0000"/>
                <w:sz w:val="21"/>
                <w:szCs w:val="21"/>
                <w:highlight w:val="none"/>
              </w:rPr>
              <w:t>提供软件截图、色谱图、应用方法学资料、产品说明书、应用报告等能够证明参数满足要求的材料</w:t>
            </w:r>
            <w:r>
              <w:rPr>
                <w:rFonts w:hint="eastAsia" w:ascii="宋体" w:hAnsi="宋体" w:eastAsia="宋体" w:cs="宋体"/>
                <w:b/>
                <w:bCs/>
                <w:color w:val="FF0000"/>
                <w:sz w:val="21"/>
                <w:szCs w:val="21"/>
                <w:highlight w:val="none"/>
                <w:lang w:val="en-US" w:eastAsia="zh-CN"/>
              </w:rPr>
              <w:t>佐证）。</w:t>
            </w:r>
          </w:p>
        </w:tc>
      </w:tr>
    </w:tbl>
    <w:p w14:paraId="43DF30FC">
      <w:pPr>
        <w:spacing w:line="240" w:lineRule="auto"/>
        <w:ind w:firstLine="0" w:firstLineChars="0"/>
        <w:rPr>
          <w:rFonts w:hint="eastAsia" w:ascii="Times New Roman" w:hAnsi="Times New Roman" w:eastAsia="宋体"/>
          <w:sz w:val="28"/>
          <w:szCs w:val="28"/>
        </w:rPr>
      </w:pPr>
      <w:r>
        <w:rPr>
          <w:rFonts w:hint="eastAsia" w:ascii="Times New Roman" w:hAnsi="Times New Roman" w:eastAsia="宋体"/>
          <w:sz w:val="28"/>
          <w:szCs w:val="28"/>
        </w:rPr>
        <w:br w:type="page"/>
      </w:r>
    </w:p>
    <w:p w14:paraId="2FD69D73">
      <w:pPr>
        <w:keepNext/>
        <w:keepLines/>
        <w:widowControl w:val="0"/>
        <w:adjustRightInd w:val="0"/>
        <w:spacing w:before="120" w:beforeLines="50" w:after="120" w:afterLines="50" w:line="240" w:lineRule="auto"/>
        <w:jc w:val="center"/>
        <w:textAlignment w:val="baseline"/>
        <w:outlineLvl w:val="1"/>
        <w:rPr>
          <w:rFonts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五、商务要求</w:t>
      </w:r>
    </w:p>
    <w:p w14:paraId="5FFDC5EF">
      <w:pPr>
        <w:spacing w:line="240" w:lineRule="auto"/>
        <w:ind w:firstLine="422" w:firstLineChars="200"/>
        <w:rPr>
          <w:rFonts w:ascii="Times New Roman" w:hAnsi="Times New Roman" w:eastAsia="宋体"/>
          <w:b/>
          <w:sz w:val="21"/>
        </w:rPr>
      </w:pPr>
      <w:r>
        <w:rPr>
          <w:rFonts w:hint="eastAsia" w:ascii="Times New Roman" w:hAnsi="Times New Roman" w:eastAsia="宋体"/>
          <w:b/>
          <w:sz w:val="21"/>
          <w:szCs w:val="21"/>
        </w:rPr>
        <w:t>说明：</w:t>
      </w:r>
      <w:r>
        <w:rPr>
          <w:rFonts w:ascii="Times New Roman" w:hAnsi="Times New Roman" w:eastAsia="宋体"/>
          <w:b/>
          <w:sz w:val="21"/>
        </w:rPr>
        <w:t>1</w:t>
      </w:r>
      <w:r>
        <w:rPr>
          <w:rFonts w:hint="eastAsia" w:ascii="Times New Roman" w:hAnsi="Times New Roman" w:eastAsia="宋体"/>
          <w:b/>
          <w:sz w:val="21"/>
        </w:rPr>
        <w:t>、评分时，如对一项招标商务要求（以划分框为准）中的内容存在两处（或以上）负偏离的，在评分时只作一项负偏离扣分。</w:t>
      </w:r>
    </w:p>
    <w:p w14:paraId="1B9CEFD7">
      <w:pPr>
        <w:spacing w:line="240" w:lineRule="auto"/>
        <w:ind w:firstLine="422" w:firstLineChars="200"/>
        <w:rPr>
          <w:rFonts w:ascii="Times New Roman" w:hAnsi="Times New Roman" w:eastAsia="宋体"/>
          <w:b/>
          <w:sz w:val="21"/>
          <w:szCs w:val="21"/>
        </w:rPr>
      </w:pPr>
      <w:r>
        <w:rPr>
          <w:rFonts w:ascii="Times New Roman" w:hAnsi="Times New Roman" w:eastAsia="宋体"/>
          <w:b/>
          <w:sz w:val="21"/>
          <w:szCs w:val="21"/>
        </w:rPr>
        <w:t>2</w:t>
      </w:r>
      <w:r>
        <w:rPr>
          <w:rFonts w:hint="eastAsia" w:ascii="Times New Roman" w:hAnsi="Times New Roman" w:eastAsia="宋体"/>
          <w:b/>
          <w:sz w:val="21"/>
          <w:szCs w:val="21"/>
        </w:rPr>
        <w:t>、带★号条款为不可偏离条款，不作为评分准则中的评分内容</w:t>
      </w:r>
      <w:r>
        <w:rPr>
          <w:rFonts w:hint="eastAsia" w:ascii="Times New Roman" w:hAnsi="Times New Roman" w:eastAsia="宋体"/>
          <w:b/>
          <w:sz w:val="21"/>
          <w:szCs w:val="21"/>
          <w:lang w:eastAsia="zh-CN"/>
        </w:rPr>
        <w:t>，</w:t>
      </w:r>
      <w:r>
        <w:rPr>
          <w:rFonts w:hint="eastAsia" w:ascii="Times New Roman" w:hAnsi="Times New Roman" w:eastAsia="宋体"/>
          <w:b/>
          <w:sz w:val="21"/>
          <w:szCs w:val="21"/>
        </w:rPr>
        <w:t>如未响应或出现负偏离的，将作投标无效处理；带“</w:t>
      </w:r>
      <w:r>
        <w:rPr>
          <w:rFonts w:ascii="Times New Roman" w:hAnsi="Times New Roman" w:eastAsia="宋体"/>
          <w:sz w:val="21"/>
        </w:rPr>
        <w:t>▲</w:t>
      </w:r>
      <w:r>
        <w:rPr>
          <w:rFonts w:hint="eastAsia" w:ascii="Times New Roman" w:hAnsi="Times New Roman" w:eastAsia="宋体"/>
          <w:b/>
          <w:sz w:val="21"/>
          <w:szCs w:val="21"/>
        </w:rPr>
        <w:t>”指标项为重要参数，负偏离时依相关评分准则内容作重点扣分处理。</w:t>
      </w:r>
    </w:p>
    <w:tbl>
      <w:tblPr>
        <w:tblStyle w:val="4"/>
        <w:tblW w:w="4790"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064"/>
        <w:gridCol w:w="6571"/>
      </w:tblGrid>
      <w:tr w14:paraId="26A6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4CCD70C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613" w:type="pct"/>
            <w:vAlign w:val="center"/>
          </w:tcPr>
          <w:p w14:paraId="6EAEE37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目录</w:t>
            </w:r>
          </w:p>
        </w:tc>
        <w:tc>
          <w:tcPr>
            <w:tcW w:w="3784" w:type="pct"/>
            <w:vAlign w:val="center"/>
          </w:tcPr>
          <w:p w14:paraId="2261E3E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招标商务需求</w:t>
            </w:r>
          </w:p>
        </w:tc>
      </w:tr>
      <w:tr w14:paraId="5792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Pr>
          <w:p w14:paraId="2352757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bCs w:val="0"/>
                <w:color w:val="auto"/>
                <w:sz w:val="21"/>
                <w:szCs w:val="21"/>
                <w:highlight w:val="none"/>
              </w:rPr>
              <w:t>（一）保修期内售后服务要求</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lang w:val="en-US" w:eastAsia="zh-CN"/>
              </w:rPr>
              <w:t>期间产生的费用均包含在本次投标报价中</w:t>
            </w:r>
            <w:r>
              <w:rPr>
                <w:rFonts w:hint="eastAsia" w:ascii="宋体" w:hAnsi="宋体" w:eastAsia="宋体" w:cs="宋体"/>
                <w:b/>
                <w:bCs w:val="0"/>
                <w:color w:val="auto"/>
                <w:sz w:val="21"/>
                <w:szCs w:val="21"/>
                <w:highlight w:val="none"/>
                <w:lang w:eastAsia="zh-CN"/>
              </w:rPr>
              <w:t>）</w:t>
            </w:r>
          </w:p>
        </w:tc>
      </w:tr>
      <w:tr w14:paraId="5387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3FFD3B8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w:t>
            </w:r>
          </w:p>
        </w:tc>
        <w:tc>
          <w:tcPr>
            <w:tcW w:w="613" w:type="pct"/>
            <w:vAlign w:val="center"/>
          </w:tcPr>
          <w:p w14:paraId="118F50A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关于保修期</w:t>
            </w:r>
          </w:p>
        </w:tc>
        <w:tc>
          <w:tcPr>
            <w:tcW w:w="3784" w:type="pct"/>
          </w:tcPr>
          <w:p w14:paraId="5D63044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货物保修期</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5</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lang w:eastAsia="zh-CN"/>
              </w:rPr>
              <w:t>（包含所有零配件）</w:t>
            </w:r>
            <w:r>
              <w:rPr>
                <w:rFonts w:hint="eastAsia" w:ascii="宋体" w:hAnsi="宋体" w:eastAsia="宋体" w:cs="宋体"/>
                <w:b w:val="0"/>
                <w:bCs/>
                <w:color w:val="auto"/>
                <w:kern w:val="2"/>
                <w:sz w:val="21"/>
                <w:szCs w:val="21"/>
                <w:highlight w:val="none"/>
                <w:lang w:val="en-US" w:eastAsia="zh-CN" w:bidi="ar-SA"/>
              </w:rPr>
              <w:t>，</w:t>
            </w:r>
            <w:r>
              <w:rPr>
                <w:rFonts w:hint="eastAsia" w:ascii="宋体" w:hAnsi="宋体" w:eastAsia="宋体" w:cs="宋体"/>
                <w:b w:val="0"/>
                <w:bCs/>
                <w:color w:val="auto"/>
                <w:sz w:val="21"/>
                <w:szCs w:val="21"/>
                <w:highlight w:val="none"/>
              </w:rPr>
              <w:t>时间自最终验收合格并交付使用之日起计算</w:t>
            </w:r>
            <w:r>
              <w:rPr>
                <w:rFonts w:hint="eastAsia" w:ascii="宋体" w:hAnsi="宋体" w:eastAsia="宋体" w:cs="宋体"/>
                <w:b w:val="0"/>
                <w:bCs/>
                <w:color w:val="auto"/>
                <w:sz w:val="21"/>
                <w:szCs w:val="21"/>
                <w:highlight w:val="none"/>
                <w:lang w:eastAsia="zh-CN"/>
              </w:rPr>
              <w:t>。</w:t>
            </w:r>
          </w:p>
        </w:tc>
      </w:tr>
      <w:tr w14:paraId="1B3F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0D7C45E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w:t>
            </w:r>
          </w:p>
        </w:tc>
        <w:tc>
          <w:tcPr>
            <w:tcW w:w="613" w:type="pct"/>
            <w:vAlign w:val="center"/>
          </w:tcPr>
          <w:p w14:paraId="6E98531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关于保修期</w:t>
            </w:r>
            <w:r>
              <w:rPr>
                <w:rFonts w:hint="eastAsia" w:ascii="宋体" w:hAnsi="宋体" w:eastAsia="宋体" w:cs="宋体"/>
                <w:b w:val="0"/>
                <w:bCs/>
                <w:color w:val="auto"/>
                <w:sz w:val="21"/>
                <w:szCs w:val="21"/>
                <w:highlight w:val="none"/>
                <w:lang w:eastAsia="zh-CN"/>
              </w:rPr>
              <w:t>内服务</w:t>
            </w:r>
          </w:p>
        </w:tc>
        <w:tc>
          <w:tcPr>
            <w:tcW w:w="3784" w:type="pct"/>
          </w:tcPr>
          <w:p w14:paraId="6B70A35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保修期内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年度定期预防性维护保养次数应不少于</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次。</w:t>
            </w:r>
            <w:r>
              <w:rPr>
                <w:rFonts w:hint="eastAsia" w:ascii="宋体" w:hAnsi="宋体" w:eastAsia="宋体" w:cs="宋体"/>
                <w:b w:val="0"/>
                <w:bCs/>
                <w:color w:val="auto"/>
                <w:spacing w:val="-4"/>
                <w:sz w:val="21"/>
                <w:highlight w:val="none"/>
              </w:rPr>
              <w:t>设备在保修期内需由</w:t>
            </w:r>
            <w:r>
              <w:rPr>
                <w:rFonts w:hint="eastAsia" w:ascii="宋体" w:hAnsi="宋体" w:eastAsia="宋体" w:cs="宋体"/>
                <w:b w:val="0"/>
                <w:bCs/>
                <w:color w:val="auto"/>
                <w:sz w:val="21"/>
                <w:szCs w:val="21"/>
                <w:highlight w:val="none"/>
              </w:rPr>
              <w:t>设备制造商</w:t>
            </w:r>
            <w:r>
              <w:rPr>
                <w:rFonts w:hint="eastAsia" w:ascii="宋体" w:hAnsi="宋体" w:eastAsia="宋体" w:cs="宋体"/>
                <w:b w:val="0"/>
                <w:bCs/>
                <w:color w:val="auto"/>
                <w:sz w:val="21"/>
                <w:szCs w:val="21"/>
                <w:highlight w:val="none"/>
                <w:lang w:eastAsia="zh-CN"/>
              </w:rPr>
              <w:t>或制造商授权认可的代理商</w:t>
            </w:r>
            <w:r>
              <w:rPr>
                <w:rFonts w:hint="eastAsia" w:ascii="宋体" w:hAnsi="宋体" w:eastAsia="宋体" w:cs="宋体"/>
                <w:b w:val="0"/>
                <w:bCs/>
                <w:color w:val="auto"/>
                <w:sz w:val="21"/>
                <w:szCs w:val="21"/>
                <w:highlight w:val="none"/>
              </w:rPr>
              <w:t>提供售后服务</w:t>
            </w:r>
            <w:r>
              <w:rPr>
                <w:rFonts w:hint="eastAsia" w:ascii="宋体" w:hAnsi="宋体" w:eastAsia="宋体" w:cs="宋体"/>
                <w:b w:val="0"/>
                <w:bCs/>
                <w:color w:val="auto"/>
                <w:spacing w:val="-4"/>
                <w:sz w:val="21"/>
                <w:highlight w:val="none"/>
              </w:rPr>
              <w:t>，</w:t>
            </w:r>
            <w:r>
              <w:rPr>
                <w:rFonts w:hint="eastAsia" w:ascii="宋体" w:hAnsi="宋体" w:eastAsia="宋体" w:cs="宋体"/>
                <w:b w:val="0"/>
                <w:bCs/>
                <w:color w:val="auto"/>
                <w:spacing w:val="-4"/>
                <w:sz w:val="21"/>
                <w:highlight w:val="none"/>
                <w:lang w:eastAsia="zh-CN"/>
              </w:rPr>
              <w:t>并出具</w:t>
            </w:r>
            <w:r>
              <w:rPr>
                <w:rFonts w:hint="eastAsia" w:ascii="宋体" w:hAnsi="宋体" w:eastAsia="宋体" w:cs="宋体"/>
                <w:b w:val="0"/>
                <w:bCs/>
                <w:color w:val="auto"/>
                <w:spacing w:val="-4"/>
                <w:sz w:val="21"/>
                <w:highlight w:val="none"/>
              </w:rPr>
              <w:t>维修报告。包含维修人工及所有配件</w:t>
            </w:r>
            <w:r>
              <w:rPr>
                <w:rFonts w:hint="eastAsia" w:ascii="宋体" w:hAnsi="宋体" w:eastAsia="宋体" w:cs="宋体"/>
                <w:b w:val="0"/>
                <w:bCs/>
                <w:color w:val="auto"/>
                <w:spacing w:val="-3"/>
                <w:sz w:val="21"/>
                <w:highlight w:val="none"/>
              </w:rPr>
              <w:t>及零备件费用</w:t>
            </w:r>
            <w:r>
              <w:rPr>
                <w:rFonts w:hint="eastAsia" w:ascii="宋体" w:hAnsi="宋体" w:eastAsia="宋体" w:cs="宋体"/>
                <w:b w:val="0"/>
                <w:bCs/>
                <w:color w:val="auto"/>
                <w:spacing w:val="-3"/>
                <w:sz w:val="21"/>
                <w:highlight w:val="none"/>
                <w:lang w:eastAsia="zh-CN"/>
              </w:rPr>
              <w:t>，</w:t>
            </w:r>
            <w:r>
              <w:rPr>
                <w:rFonts w:hint="eastAsia" w:ascii="宋体" w:hAnsi="宋体" w:eastAsia="宋体" w:cs="宋体"/>
                <w:b w:val="0"/>
                <w:bCs/>
                <w:color w:val="auto"/>
                <w:spacing w:val="-3"/>
                <w:sz w:val="21"/>
                <w:highlight w:val="none"/>
              </w:rPr>
              <w:t>安装、调试、定期校准及</w:t>
            </w:r>
            <w:r>
              <w:rPr>
                <w:rFonts w:hint="eastAsia" w:ascii="宋体" w:hAnsi="宋体" w:eastAsia="宋体" w:cs="宋体"/>
                <w:b w:val="0"/>
                <w:bCs/>
                <w:color w:val="auto"/>
                <w:spacing w:val="-4"/>
                <w:sz w:val="21"/>
                <w:highlight w:val="none"/>
              </w:rPr>
              <w:t>保</w:t>
            </w:r>
            <w:r>
              <w:rPr>
                <w:rFonts w:hint="eastAsia" w:ascii="宋体" w:hAnsi="宋体" w:eastAsia="宋体" w:cs="宋体"/>
                <w:b w:val="0"/>
                <w:bCs/>
                <w:color w:val="auto"/>
                <w:spacing w:val="-4"/>
                <w:sz w:val="21"/>
                <w:highlight w:val="none"/>
                <w:lang w:val="en-US" w:eastAsia="zh-CN"/>
              </w:rPr>
              <w:t>养</w:t>
            </w:r>
            <w:r>
              <w:rPr>
                <w:rFonts w:hint="eastAsia" w:ascii="宋体" w:hAnsi="宋体" w:eastAsia="宋体" w:cs="宋体"/>
                <w:b w:val="0"/>
                <w:bCs/>
                <w:color w:val="auto"/>
                <w:spacing w:val="-4"/>
                <w:sz w:val="21"/>
                <w:highlight w:val="none"/>
              </w:rPr>
              <w:t>服务全由</w:t>
            </w:r>
            <w:r>
              <w:rPr>
                <w:rFonts w:hint="eastAsia" w:ascii="宋体" w:hAnsi="宋体" w:eastAsia="宋体" w:cs="宋体"/>
                <w:b w:val="0"/>
                <w:bCs/>
                <w:color w:val="auto"/>
                <w:spacing w:val="-4"/>
                <w:sz w:val="21"/>
                <w:highlight w:val="none"/>
                <w:lang w:eastAsia="zh-CN"/>
              </w:rPr>
              <w:t>厂家授权认可的</w:t>
            </w:r>
            <w:r>
              <w:rPr>
                <w:rFonts w:hint="eastAsia" w:ascii="宋体" w:hAnsi="宋体" w:eastAsia="宋体" w:cs="宋体"/>
                <w:b w:val="0"/>
                <w:bCs/>
                <w:color w:val="auto"/>
                <w:spacing w:val="-4"/>
                <w:sz w:val="21"/>
                <w:highlight w:val="none"/>
              </w:rPr>
              <w:t>工程师</w:t>
            </w:r>
            <w:r>
              <w:rPr>
                <w:rFonts w:hint="eastAsia" w:ascii="宋体" w:hAnsi="宋体" w:eastAsia="宋体" w:cs="宋体"/>
                <w:b w:val="0"/>
                <w:bCs/>
                <w:color w:val="auto"/>
                <w:spacing w:val="-1"/>
                <w:sz w:val="21"/>
                <w:highlight w:val="none"/>
              </w:rPr>
              <w:t>负责。</w:t>
            </w:r>
          </w:p>
        </w:tc>
      </w:tr>
      <w:tr w14:paraId="63D2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785F03F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w:t>
            </w:r>
          </w:p>
        </w:tc>
        <w:tc>
          <w:tcPr>
            <w:tcW w:w="613" w:type="pct"/>
            <w:vAlign w:val="center"/>
          </w:tcPr>
          <w:p w14:paraId="614FBC3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关于维修配件及软件升级</w:t>
            </w:r>
          </w:p>
        </w:tc>
        <w:tc>
          <w:tcPr>
            <w:tcW w:w="3784" w:type="pct"/>
          </w:tcPr>
          <w:p w14:paraId="05C597F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投标人负责货物的终身维修，保证</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年</w:t>
            </w:r>
            <w:r>
              <w:rPr>
                <w:rFonts w:hint="eastAsia" w:ascii="宋体" w:hAnsi="宋体" w:eastAsia="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rPr>
              <w:t>以上供应维修配件，5年内提供软件升级服务。</w:t>
            </w:r>
            <w:r>
              <w:rPr>
                <w:rFonts w:hint="eastAsia" w:ascii="宋体" w:hAnsi="宋体" w:eastAsia="宋体" w:cs="宋体"/>
                <w:b w:val="0"/>
                <w:bCs/>
                <w:color w:val="auto"/>
                <w:spacing w:val="-2"/>
                <w:sz w:val="21"/>
                <w:highlight w:val="none"/>
              </w:rPr>
              <w:t>在设备保修期内，需提供该</w:t>
            </w:r>
            <w:r>
              <w:rPr>
                <w:rFonts w:hint="eastAsia" w:ascii="宋体" w:hAnsi="宋体" w:eastAsia="宋体" w:cs="宋体"/>
                <w:b w:val="0"/>
                <w:bCs/>
                <w:color w:val="auto"/>
                <w:spacing w:val="-3"/>
                <w:sz w:val="21"/>
                <w:highlight w:val="none"/>
              </w:rPr>
              <w:t>设备与医院信息系统连接的接</w:t>
            </w:r>
            <w:r>
              <w:rPr>
                <w:rFonts w:hint="eastAsia" w:ascii="宋体" w:hAnsi="宋体" w:eastAsia="宋体" w:cs="宋体"/>
                <w:b w:val="0"/>
                <w:bCs/>
                <w:color w:val="auto"/>
                <w:spacing w:val="-4"/>
                <w:sz w:val="21"/>
                <w:highlight w:val="none"/>
              </w:rPr>
              <w:t>口软件及接口软件的修改与开发服务，开放设备接口参数，派人配合与医院信息系统的连接工作，直至该设备与医院信息系统可进行完整的</w:t>
            </w:r>
            <w:r>
              <w:rPr>
                <w:rFonts w:hint="eastAsia" w:ascii="宋体" w:hAnsi="宋体" w:eastAsia="宋体" w:cs="宋体"/>
                <w:b w:val="0"/>
                <w:bCs/>
                <w:color w:val="auto"/>
                <w:spacing w:val="-4"/>
                <w:sz w:val="21"/>
                <w:highlight w:val="none"/>
                <w:lang w:eastAsia="zh-CN"/>
              </w:rPr>
              <w:t>数据交换</w:t>
            </w:r>
            <w:r>
              <w:rPr>
                <w:rFonts w:hint="eastAsia" w:ascii="宋体" w:hAnsi="宋体" w:eastAsia="宋体" w:cs="宋体"/>
                <w:b w:val="0"/>
                <w:bCs/>
                <w:color w:val="auto"/>
                <w:spacing w:val="-4"/>
                <w:sz w:val="21"/>
                <w:highlight w:val="none"/>
              </w:rPr>
              <w:t>；在设备保修期内，当采购人信息系统变更并需要与该设备连接时，需派人配合直至该设备与采购人信息系统可进行完整的</w:t>
            </w:r>
            <w:r>
              <w:rPr>
                <w:rFonts w:hint="eastAsia" w:ascii="宋体" w:hAnsi="宋体" w:eastAsia="宋体" w:cs="宋体"/>
                <w:b w:val="0"/>
                <w:bCs/>
                <w:color w:val="auto"/>
                <w:spacing w:val="-5"/>
                <w:sz w:val="21"/>
                <w:highlight w:val="none"/>
              </w:rPr>
              <w:t>数据交换。</w:t>
            </w:r>
          </w:p>
        </w:tc>
      </w:tr>
      <w:tr w14:paraId="1DC1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1CD34A0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4</w:t>
            </w:r>
          </w:p>
        </w:tc>
        <w:tc>
          <w:tcPr>
            <w:tcW w:w="613" w:type="pct"/>
            <w:vAlign w:val="center"/>
          </w:tcPr>
          <w:p w14:paraId="584B6F1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关于设备设计使用年限</w:t>
            </w:r>
          </w:p>
        </w:tc>
        <w:tc>
          <w:tcPr>
            <w:tcW w:w="3784" w:type="pct"/>
          </w:tcPr>
          <w:p w14:paraId="73A684C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FF0000"/>
                <w:sz w:val="21"/>
                <w:szCs w:val="21"/>
                <w:highlight w:val="none"/>
                <w:lang w:eastAsia="zh-CN"/>
              </w:rPr>
            </w:pPr>
            <w:r>
              <w:rPr>
                <w:rFonts w:hint="eastAsia" w:ascii="宋体" w:hAnsi="宋体" w:eastAsia="宋体" w:cs="宋体"/>
                <w:b/>
                <w:bCs w:val="0"/>
                <w:color w:val="FF0000"/>
                <w:sz w:val="21"/>
                <w:szCs w:val="21"/>
                <w:highlight w:val="none"/>
              </w:rPr>
              <w:t>投标人提供的仪器设备</w:t>
            </w:r>
            <w:r>
              <w:rPr>
                <w:rFonts w:hint="eastAsia" w:ascii="宋体" w:hAnsi="宋体" w:eastAsia="宋体" w:cs="宋体"/>
                <w:b/>
                <w:bCs w:val="0"/>
                <w:color w:val="FF0000"/>
                <w:sz w:val="21"/>
                <w:szCs w:val="21"/>
                <w:highlight w:val="none"/>
                <w:lang w:eastAsia="zh-CN"/>
              </w:rPr>
              <w:t>若属于医疗器械，其</w:t>
            </w:r>
            <w:r>
              <w:rPr>
                <w:rFonts w:hint="eastAsia" w:ascii="宋体" w:hAnsi="宋体" w:eastAsia="宋体" w:cs="宋体"/>
                <w:b/>
                <w:bCs w:val="0"/>
                <w:color w:val="FF0000"/>
                <w:sz w:val="21"/>
                <w:szCs w:val="21"/>
                <w:highlight w:val="none"/>
              </w:rPr>
              <w:t>设计使用年限≥</w:t>
            </w:r>
            <w:r>
              <w:rPr>
                <w:rFonts w:hint="eastAsia" w:ascii="宋体" w:hAnsi="宋体" w:eastAsia="宋体" w:cs="宋体"/>
                <w:b/>
                <w:bCs w:val="0"/>
                <w:color w:val="FF0000"/>
                <w:sz w:val="21"/>
                <w:szCs w:val="21"/>
                <w:highlight w:val="none"/>
                <w:lang w:val="en-US" w:eastAsia="zh-CN"/>
              </w:rPr>
              <w:t>5</w:t>
            </w:r>
            <w:r>
              <w:rPr>
                <w:rFonts w:hint="eastAsia" w:ascii="宋体" w:hAnsi="宋体" w:eastAsia="宋体" w:cs="宋体"/>
                <w:b/>
                <w:bCs w:val="0"/>
                <w:color w:val="FF0000"/>
                <w:sz w:val="21"/>
                <w:szCs w:val="21"/>
                <w:highlight w:val="none"/>
              </w:rPr>
              <w:t>年。</w:t>
            </w:r>
            <w:r>
              <w:rPr>
                <w:rFonts w:hint="eastAsia" w:ascii="宋体" w:hAnsi="宋体" w:eastAsia="宋体" w:cs="宋体"/>
                <w:b/>
                <w:bCs w:val="0"/>
                <w:color w:val="FF0000"/>
                <w:sz w:val="21"/>
                <w:szCs w:val="21"/>
                <w:highlight w:val="none"/>
                <w:lang w:eastAsia="zh-CN"/>
              </w:rPr>
              <w:t>；非医疗器械则无需提供。（设计年限需提供设备说明书或设备铭牌照片）</w:t>
            </w:r>
          </w:p>
        </w:tc>
      </w:tr>
      <w:tr w14:paraId="3E7D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522C536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5</w:t>
            </w:r>
          </w:p>
        </w:tc>
        <w:tc>
          <w:tcPr>
            <w:tcW w:w="613" w:type="pct"/>
            <w:vAlign w:val="center"/>
          </w:tcPr>
          <w:p w14:paraId="2E0C7CA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关于设备生产日期</w:t>
            </w:r>
          </w:p>
        </w:tc>
        <w:tc>
          <w:tcPr>
            <w:tcW w:w="3784" w:type="pct"/>
          </w:tcPr>
          <w:p w14:paraId="5C604D8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FF0000"/>
                <w:sz w:val="21"/>
                <w:szCs w:val="21"/>
                <w:highlight w:val="none"/>
              </w:rPr>
            </w:pPr>
            <w:r>
              <w:rPr>
                <w:rFonts w:hint="eastAsia" w:ascii="宋体" w:hAnsi="宋体" w:eastAsia="宋体" w:cs="宋体"/>
                <w:b/>
                <w:bCs w:val="0"/>
                <w:color w:val="FF0000"/>
                <w:sz w:val="21"/>
                <w:szCs w:val="21"/>
                <w:highlight w:val="none"/>
              </w:rPr>
              <w:t>投标人提供的仪器设备的生产日期必须在</w:t>
            </w:r>
            <w:r>
              <w:rPr>
                <w:rFonts w:hint="eastAsia" w:ascii="宋体" w:hAnsi="宋体" w:eastAsia="宋体" w:cs="宋体"/>
                <w:b/>
                <w:bCs w:val="0"/>
                <w:color w:val="FF0000"/>
                <w:sz w:val="21"/>
                <w:szCs w:val="21"/>
                <w:highlight w:val="none"/>
                <w:lang w:val="en-US" w:eastAsia="zh-CN"/>
              </w:rPr>
              <w:t>1年内</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b/>
                <w:bCs w:val="0"/>
                <w:color w:val="FF0000"/>
                <w:sz w:val="21"/>
                <w:szCs w:val="21"/>
                <w:highlight w:val="none"/>
              </w:rPr>
              <w:t>时间自</w:t>
            </w:r>
            <w:r>
              <w:rPr>
                <w:rFonts w:hint="eastAsia" w:ascii="宋体" w:hAnsi="宋体" w:eastAsia="宋体" w:cs="宋体"/>
                <w:b/>
                <w:bCs w:val="0"/>
                <w:color w:val="FF0000"/>
                <w:sz w:val="21"/>
                <w:szCs w:val="21"/>
                <w:highlight w:val="none"/>
                <w:lang w:eastAsia="zh-CN"/>
              </w:rPr>
              <w:t>设备到货日期起算。（生产日期需提供承诺书（格式自拟））</w:t>
            </w:r>
          </w:p>
        </w:tc>
      </w:tr>
      <w:tr w14:paraId="6EDD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4AA644E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6</w:t>
            </w:r>
          </w:p>
        </w:tc>
        <w:tc>
          <w:tcPr>
            <w:tcW w:w="613" w:type="pct"/>
            <w:vAlign w:val="center"/>
          </w:tcPr>
          <w:p w14:paraId="6268556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关于配套试剂及耗材</w:t>
            </w:r>
          </w:p>
        </w:tc>
        <w:tc>
          <w:tcPr>
            <w:tcW w:w="3784" w:type="pct"/>
          </w:tcPr>
          <w:p w14:paraId="0D835EA9">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承诺</w:t>
            </w:r>
            <w:r>
              <w:rPr>
                <w:rFonts w:hint="eastAsia" w:ascii="宋体" w:hAnsi="宋体" w:eastAsia="宋体" w:cs="宋体"/>
                <w:b/>
                <w:bCs w:val="0"/>
                <w:color w:val="FF0000"/>
                <w:sz w:val="21"/>
                <w:szCs w:val="21"/>
                <w:highlight w:val="none"/>
                <w:lang w:eastAsia="zh-CN"/>
              </w:rPr>
              <w:t>可</w:t>
            </w:r>
            <w:r>
              <w:rPr>
                <w:rFonts w:hint="eastAsia" w:ascii="宋体" w:hAnsi="宋体" w:eastAsia="宋体" w:cs="宋体"/>
                <w:b/>
                <w:bCs w:val="0"/>
                <w:color w:val="FF0000"/>
                <w:sz w:val="21"/>
                <w:szCs w:val="21"/>
                <w:highlight w:val="none"/>
              </w:rPr>
              <w:t>在深圳医用耗材阳光交易和监管平台上采购仪器配套封闭试剂及耗材</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b/>
                <w:bCs w:val="0"/>
                <w:color w:val="FF0000"/>
                <w:sz w:val="21"/>
                <w:szCs w:val="21"/>
                <w:highlight w:val="none"/>
              </w:rPr>
              <w:t>注册为限价目录产品</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b/>
                <w:bCs w:val="0"/>
                <w:color w:val="FF0000"/>
                <w:sz w:val="21"/>
                <w:szCs w:val="21"/>
                <w:highlight w:val="none"/>
              </w:rPr>
              <w:t>专用配套试剂和耗材产品价格按照深圳医用耗材阳光交易和监管平台三色九段线实时的最低价或以下价格供货</w:t>
            </w:r>
            <w:r>
              <w:rPr>
                <w:rFonts w:hint="eastAsia" w:ascii="宋体" w:hAnsi="宋体" w:eastAsia="宋体" w:cs="宋体"/>
                <w:b/>
                <w:bCs w:val="0"/>
                <w:color w:val="FF0000"/>
                <w:sz w:val="21"/>
                <w:szCs w:val="21"/>
                <w:highlight w:val="none"/>
                <w:lang w:eastAsia="zh-CN"/>
              </w:rPr>
              <w:t>，相关配套试剂及耗材明细必须填写在《配套试剂及耗材报价明细清单》中（</w:t>
            </w:r>
            <w:r>
              <w:rPr>
                <w:rFonts w:hint="eastAsia" w:ascii="宋体" w:hAnsi="宋体" w:eastAsia="宋体" w:cs="宋体"/>
                <w:b/>
                <w:bCs w:val="0"/>
                <w:color w:val="FF0000"/>
                <w:sz w:val="21"/>
                <w:szCs w:val="21"/>
                <w:highlight w:val="none"/>
              </w:rPr>
              <w:t>提供承诺函（格式自拟）</w:t>
            </w:r>
            <w:r>
              <w:rPr>
                <w:rFonts w:hint="eastAsia" w:ascii="宋体" w:hAnsi="宋体" w:eastAsia="宋体" w:cs="宋体"/>
                <w:b/>
                <w:bCs w:val="0"/>
                <w:color w:val="FF0000"/>
                <w:sz w:val="21"/>
                <w:szCs w:val="21"/>
                <w:highlight w:val="none"/>
                <w:lang w:eastAsia="zh-CN"/>
              </w:rPr>
              <w:t>）</w:t>
            </w:r>
            <w:r>
              <w:rPr>
                <w:rFonts w:hint="eastAsia" w:ascii="宋体" w:hAnsi="宋体" w:eastAsia="宋体" w:cs="宋体"/>
                <w:b/>
                <w:bCs w:val="0"/>
                <w:color w:val="FF0000"/>
                <w:sz w:val="21"/>
                <w:szCs w:val="21"/>
                <w:highlight w:val="none"/>
              </w:rPr>
              <w:t>。</w:t>
            </w:r>
          </w:p>
          <w:tbl>
            <w:tblPr>
              <w:tblStyle w:val="4"/>
              <w:tblW w:w="59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86"/>
              <w:gridCol w:w="648"/>
              <w:gridCol w:w="690"/>
              <w:gridCol w:w="674"/>
              <w:gridCol w:w="500"/>
              <w:gridCol w:w="511"/>
              <w:gridCol w:w="697"/>
              <w:gridCol w:w="466"/>
              <w:gridCol w:w="694"/>
              <w:gridCol w:w="502"/>
            </w:tblGrid>
            <w:tr w14:paraId="3376E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68" w:hRule="atLeast"/>
                <w:jc w:val="center"/>
              </w:trPr>
              <w:tc>
                <w:tcPr>
                  <w:tcW w:w="58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5B7B135">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序号</w:t>
                  </w:r>
                </w:p>
              </w:tc>
              <w:tc>
                <w:tcPr>
                  <w:tcW w:w="648"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6D34C28">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名称</w:t>
                  </w:r>
                </w:p>
              </w:tc>
              <w:tc>
                <w:tcPr>
                  <w:tcW w:w="69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023B4D3">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品牌</w:t>
                  </w:r>
                </w:p>
              </w:tc>
              <w:tc>
                <w:tcPr>
                  <w:tcW w:w="67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7F6347F">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型号</w:t>
                  </w:r>
                </w:p>
              </w:tc>
              <w:tc>
                <w:tcPr>
                  <w:tcW w:w="50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4CA76CA">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规格</w:t>
                  </w:r>
                </w:p>
              </w:tc>
              <w:tc>
                <w:tcPr>
                  <w:tcW w:w="511"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FD8793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产地</w:t>
                  </w:r>
                </w:p>
              </w:tc>
              <w:tc>
                <w:tcPr>
                  <w:tcW w:w="69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24C3A67">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平台最低价</w:t>
                  </w:r>
                </w:p>
              </w:tc>
              <w:tc>
                <w:tcPr>
                  <w:tcW w:w="4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F1F943C">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报价</w:t>
                  </w:r>
                </w:p>
              </w:tc>
              <w:tc>
                <w:tcPr>
                  <w:tcW w:w="69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8AFCEC2">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平台交易产品代码</w:t>
                  </w:r>
                </w:p>
              </w:tc>
              <w:tc>
                <w:tcPr>
                  <w:tcW w:w="50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85E9A4B">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专用/</w:t>
                  </w:r>
                </w:p>
                <w:p w14:paraId="735D5027">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通用</w:t>
                  </w:r>
                </w:p>
              </w:tc>
            </w:tr>
            <w:tr w14:paraId="3E4D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jc w:val="center"/>
              </w:trPr>
              <w:tc>
                <w:tcPr>
                  <w:tcW w:w="58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533750B">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1</w:t>
                  </w:r>
                </w:p>
              </w:tc>
              <w:tc>
                <w:tcPr>
                  <w:tcW w:w="648"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1503D0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D7DA9E6">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7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9F25FAD">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AFFA378">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511"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101E555">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A4F6362">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4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63A84ED7">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13A94CA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50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3C51A6F1">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r>
            <w:tr w14:paraId="2930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atLeast"/>
                <w:jc w:val="center"/>
              </w:trPr>
              <w:tc>
                <w:tcPr>
                  <w:tcW w:w="58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C3D9A51">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2</w:t>
                  </w:r>
                </w:p>
              </w:tc>
              <w:tc>
                <w:tcPr>
                  <w:tcW w:w="648"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6F5F9332">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25E94EE">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7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FAADA8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5A443F5">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511"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4E5812F">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1C4D77C">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4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71A4602B">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4C9A20F3">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50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6DA20E37">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r>
            <w:tr w14:paraId="34633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jc w:val="center"/>
              </w:trPr>
              <w:tc>
                <w:tcPr>
                  <w:tcW w:w="5968" w:type="dxa"/>
                  <w:gridSpan w:val="10"/>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C37119D">
                  <w:pPr>
                    <w:keepNext w:val="0"/>
                    <w:keepLines w:val="0"/>
                    <w:widowControl/>
                    <w:suppressLineNumbers w:val="0"/>
                    <w:spacing w:before="0" w:beforeAutospacing="0" w:after="0" w:afterAutospacing="0" w:line="240" w:lineRule="auto"/>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由投标人自行填写。</w:t>
                  </w:r>
                </w:p>
              </w:tc>
            </w:tr>
          </w:tbl>
          <w:p w14:paraId="485B6F5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p>
        </w:tc>
      </w:tr>
      <w:tr w14:paraId="6EE7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602" w:type="pct"/>
            <w:shd w:val="clear" w:color="auto" w:fill="auto"/>
            <w:vAlign w:val="center"/>
          </w:tcPr>
          <w:p w14:paraId="39C9CEE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613" w:type="pct"/>
            <w:shd w:val="clear" w:color="auto" w:fill="auto"/>
            <w:vAlign w:val="center"/>
          </w:tcPr>
          <w:p w14:paraId="5C7C2C7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rPr>
              <w:t>维修响应及故障解决时间</w:t>
            </w:r>
          </w:p>
        </w:tc>
        <w:tc>
          <w:tcPr>
            <w:tcW w:w="3784" w:type="pct"/>
            <w:shd w:val="clear" w:color="auto" w:fill="auto"/>
            <w:vAlign w:val="top"/>
          </w:tcPr>
          <w:p w14:paraId="3B66C08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rPr>
              <w:t>由设备制造商</w:t>
            </w:r>
            <w:bookmarkStart w:id="22" w:name="_GoBack"/>
            <w:bookmarkEnd w:id="22"/>
            <w:r>
              <w:rPr>
                <w:rFonts w:hint="eastAsia" w:ascii="宋体" w:hAnsi="宋体" w:eastAsia="宋体" w:cs="宋体"/>
                <w:b w:val="0"/>
                <w:bCs/>
                <w:color w:val="auto"/>
                <w:sz w:val="21"/>
                <w:szCs w:val="21"/>
                <w:highlight w:val="none"/>
                <w:lang w:eastAsia="zh-CN"/>
              </w:rPr>
              <w:t>或制造商授权认可的代理商</w:t>
            </w:r>
            <w:r>
              <w:rPr>
                <w:rFonts w:hint="eastAsia" w:ascii="宋体" w:hAnsi="宋体" w:eastAsia="宋体" w:cs="宋体"/>
                <w:b w:val="0"/>
                <w:bCs/>
                <w:color w:val="auto"/>
                <w:sz w:val="21"/>
                <w:szCs w:val="21"/>
                <w:highlight w:val="none"/>
              </w:rPr>
              <w:t>提供售后服务</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在保修期内，一旦发生质量问题，投标人保证在接到通知</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小时内响应，24小时维修到位（不可抗力情况除外）。消耗品和零配件供应及时。</w:t>
            </w:r>
          </w:p>
        </w:tc>
      </w:tr>
      <w:tr w14:paraId="3E0E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43E7299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w:t>
            </w:r>
          </w:p>
        </w:tc>
        <w:tc>
          <w:tcPr>
            <w:tcW w:w="613" w:type="pct"/>
            <w:vAlign w:val="center"/>
          </w:tcPr>
          <w:p w14:paraId="35CEB7B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w:t>
            </w:r>
            <w:r>
              <w:rPr>
                <w:rFonts w:hint="eastAsia" w:ascii="宋体" w:hAnsi="宋体" w:eastAsia="宋体" w:cs="宋体"/>
                <w:b w:val="0"/>
                <w:bCs/>
                <w:color w:val="auto"/>
                <w:sz w:val="21"/>
                <w:szCs w:val="21"/>
                <w:highlight w:val="none"/>
              </w:rPr>
              <w:t>零配件、消耗品和延续保修</w:t>
            </w:r>
          </w:p>
        </w:tc>
        <w:tc>
          <w:tcPr>
            <w:tcW w:w="3784" w:type="pct"/>
          </w:tcPr>
          <w:p w14:paraId="5C2DACD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bCs w:val="0"/>
                <w:color w:val="FF0000"/>
                <w:sz w:val="21"/>
                <w:szCs w:val="21"/>
                <w:highlight w:val="none"/>
              </w:rPr>
            </w:pPr>
            <w:r>
              <w:rPr>
                <w:rFonts w:hint="eastAsia" w:ascii="宋体" w:hAnsi="宋体" w:eastAsia="宋体" w:cs="宋体"/>
                <w:b/>
                <w:bCs w:val="0"/>
                <w:color w:val="FF0000"/>
                <w:sz w:val="21"/>
                <w:szCs w:val="21"/>
                <w:highlight w:val="none"/>
              </w:rPr>
              <w:t>投标人应</w:t>
            </w:r>
            <w:r>
              <w:rPr>
                <w:rFonts w:hint="eastAsia" w:ascii="宋体" w:hAnsi="宋体" w:eastAsia="宋体" w:cs="宋体"/>
                <w:b/>
                <w:bCs w:val="0"/>
                <w:color w:val="FF0000"/>
                <w:sz w:val="21"/>
                <w:szCs w:val="21"/>
                <w:highlight w:val="none"/>
                <w:lang w:eastAsia="zh-CN"/>
              </w:rPr>
              <w:t>提供</w:t>
            </w:r>
            <w:r>
              <w:rPr>
                <w:rFonts w:hint="eastAsia" w:ascii="宋体" w:hAnsi="宋体" w:eastAsia="宋体" w:cs="宋体"/>
                <w:b/>
                <w:bCs w:val="0"/>
                <w:color w:val="FF0000"/>
                <w:sz w:val="21"/>
                <w:szCs w:val="21"/>
                <w:highlight w:val="none"/>
              </w:rPr>
              <w:t>维修零配件、消耗品和延续保修</w:t>
            </w:r>
            <w:r>
              <w:rPr>
                <w:rFonts w:hint="eastAsia" w:ascii="宋体" w:hAnsi="宋体" w:eastAsia="宋体" w:cs="宋体"/>
                <w:b/>
                <w:bCs w:val="0"/>
                <w:color w:val="FF0000"/>
                <w:sz w:val="21"/>
                <w:szCs w:val="21"/>
                <w:highlight w:val="none"/>
                <w:lang w:eastAsia="zh-CN"/>
              </w:rPr>
              <w:t>的报价单</w:t>
            </w:r>
            <w:r>
              <w:rPr>
                <w:rFonts w:hint="eastAsia" w:ascii="宋体" w:hAnsi="宋体" w:eastAsia="宋体" w:cs="宋体"/>
                <w:b/>
                <w:bCs w:val="0"/>
                <w:color w:val="FF0000"/>
                <w:sz w:val="21"/>
                <w:szCs w:val="21"/>
                <w:highlight w:val="none"/>
              </w:rPr>
              <w:t>。价格最高的前</w:t>
            </w:r>
            <w:r>
              <w:rPr>
                <w:rFonts w:hint="eastAsia" w:ascii="宋体" w:hAnsi="宋体" w:eastAsia="宋体" w:cs="宋体"/>
                <w:b/>
                <w:bCs w:val="0"/>
                <w:color w:val="FF0000"/>
                <w:sz w:val="21"/>
                <w:szCs w:val="21"/>
                <w:highlight w:val="none"/>
                <w:u w:val="single"/>
              </w:rPr>
              <w:t xml:space="preserve"> 5</w:t>
            </w:r>
            <w:r>
              <w:rPr>
                <w:rFonts w:hint="eastAsia" w:ascii="宋体" w:hAnsi="宋体" w:eastAsia="宋体" w:cs="宋体"/>
                <w:b/>
                <w:bCs w:val="0"/>
                <w:color w:val="FF0000"/>
                <w:sz w:val="21"/>
                <w:szCs w:val="21"/>
                <w:highlight w:val="none"/>
              </w:rPr>
              <w:t>项零配件、消耗品和延续保修的报价明细必须填写</w:t>
            </w:r>
            <w:r>
              <w:rPr>
                <w:rFonts w:hint="eastAsia" w:ascii="宋体" w:hAnsi="宋体" w:eastAsia="宋体" w:cs="宋体"/>
                <w:b/>
                <w:bCs w:val="0"/>
                <w:color w:val="FF0000"/>
                <w:sz w:val="21"/>
                <w:szCs w:val="21"/>
                <w:highlight w:val="none"/>
                <w:lang w:eastAsia="zh-CN"/>
              </w:rPr>
              <w:t>在</w:t>
            </w:r>
            <w:r>
              <w:rPr>
                <w:rFonts w:hint="eastAsia" w:ascii="宋体" w:hAnsi="宋体" w:eastAsia="宋体" w:cs="宋体"/>
                <w:b/>
                <w:bCs w:val="0"/>
                <w:color w:val="FF0000"/>
                <w:sz w:val="21"/>
                <w:szCs w:val="21"/>
                <w:highlight w:val="none"/>
              </w:rPr>
              <w:t>《零配件、消耗品和延续保修报价明细清单》中。</w:t>
            </w:r>
          </w:p>
          <w:tbl>
            <w:tblPr>
              <w:tblStyle w:val="4"/>
              <w:tblW w:w="57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54"/>
              <w:gridCol w:w="654"/>
              <w:gridCol w:w="666"/>
              <w:gridCol w:w="654"/>
              <w:gridCol w:w="653"/>
              <w:gridCol w:w="693"/>
              <w:gridCol w:w="867"/>
              <w:gridCol w:w="942"/>
            </w:tblGrid>
            <w:tr w14:paraId="2DAF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8"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2CB9F1C">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序号</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2664939A">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名称</w:t>
                  </w:r>
                </w:p>
              </w:tc>
              <w:tc>
                <w:tcPr>
                  <w:tcW w:w="6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16B946A">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品牌</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0455BB48">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型号</w:t>
                  </w:r>
                </w:p>
              </w:tc>
              <w:tc>
                <w:tcPr>
                  <w:tcW w:w="65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CFE222E">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规格</w:t>
                  </w:r>
                </w:p>
              </w:tc>
              <w:tc>
                <w:tcPr>
                  <w:tcW w:w="69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3FB1D6A">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产地</w:t>
                  </w:r>
                </w:p>
              </w:tc>
              <w:tc>
                <w:tcPr>
                  <w:tcW w:w="86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93B39B5">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报价</w:t>
                  </w:r>
                </w:p>
              </w:tc>
              <w:tc>
                <w:tcPr>
                  <w:tcW w:w="94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3AB10D6">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专用/</w:t>
                  </w:r>
                </w:p>
                <w:p w14:paraId="2948D3D9">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通用</w:t>
                  </w:r>
                </w:p>
              </w:tc>
            </w:tr>
            <w:tr w14:paraId="62E9D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3"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D000B78">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1</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C8290E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61F1371">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73847075">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5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3D923DFF">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2952E7B">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86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A3A40C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94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48728A3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r>
            <w:tr w14:paraId="369F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5" w:hRule="atLeast"/>
                <w:jc w:val="center"/>
              </w:trPr>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9C1FCF3">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2</w:t>
                  </w: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F92D4D3">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66"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9E1A23B">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54"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47813A81">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5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D17BC82">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693"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A78CD64">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867"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5292CE00">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c>
                <w:tcPr>
                  <w:tcW w:w="942"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top"/>
                </w:tcPr>
                <w:p w14:paraId="5DC50FB4">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p>
              </w:tc>
            </w:tr>
            <w:tr w14:paraId="0669D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5" w:hRule="atLeast"/>
                <w:jc w:val="center"/>
              </w:trPr>
              <w:tc>
                <w:tcPr>
                  <w:tcW w:w="5783" w:type="dxa"/>
                  <w:gridSpan w:val="8"/>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vAlign w:val="center"/>
                </w:tcPr>
                <w:p w14:paraId="19636D4C">
                  <w:pPr>
                    <w:keepNext w:val="0"/>
                    <w:keepLines w:val="0"/>
                    <w:widowControl/>
                    <w:suppressLineNumbers w:val="0"/>
                    <w:spacing w:before="0" w:beforeAutospacing="0" w:after="0" w:afterAutospacing="0" w:line="240" w:lineRule="exact"/>
                    <w:ind w:left="0" w:right="0" w:firstLine="0" w:firstLineChars="0"/>
                    <w:jc w:val="both"/>
                    <w:rPr>
                      <w:rFonts w:hint="eastAsia" w:ascii="宋体" w:hAnsi="宋体" w:eastAsia="宋体" w:cs="宋体"/>
                      <w:b/>
                      <w:bCs w:val="0"/>
                      <w:color w:val="FF0000"/>
                      <w:kern w:val="0"/>
                      <w:sz w:val="24"/>
                      <w:szCs w:val="24"/>
                      <w:highlight w:val="none"/>
                      <w:lang w:val="en-US" w:eastAsia="zh-CN" w:bidi="ar"/>
                    </w:rPr>
                  </w:pPr>
                  <w:r>
                    <w:rPr>
                      <w:rFonts w:hint="eastAsia" w:ascii="宋体" w:hAnsi="宋体" w:eastAsia="宋体" w:cs="宋体"/>
                      <w:b/>
                      <w:bCs w:val="0"/>
                      <w:i w:val="0"/>
                      <w:iCs w:val="0"/>
                      <w:color w:val="FF0000"/>
                      <w:spacing w:val="0"/>
                      <w:w w:val="100"/>
                      <w:kern w:val="0"/>
                      <w:sz w:val="21"/>
                      <w:szCs w:val="21"/>
                      <w:highlight w:val="none"/>
                      <w:vertAlign w:val="baseline"/>
                      <w:lang w:val="en-US" w:eastAsia="zh-CN" w:bidi="ar"/>
                    </w:rPr>
                    <w:t>由投标人自行填写。</w:t>
                  </w:r>
                </w:p>
              </w:tc>
            </w:tr>
          </w:tbl>
          <w:p w14:paraId="10B96401">
            <w:pPr>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b w:val="0"/>
                <w:bCs/>
                <w:kern w:val="2"/>
                <w:sz w:val="24"/>
                <w:szCs w:val="24"/>
                <w:highlight w:val="none"/>
                <w:lang w:val="en-US" w:eastAsia="zh-CN" w:bidi="ar-SA"/>
              </w:rPr>
            </w:pPr>
          </w:p>
        </w:tc>
      </w:tr>
      <w:tr w14:paraId="7FFA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4CD331D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w:t>
            </w:r>
          </w:p>
        </w:tc>
        <w:tc>
          <w:tcPr>
            <w:tcW w:w="613" w:type="pct"/>
            <w:vAlign w:val="center"/>
          </w:tcPr>
          <w:p w14:paraId="657ED5D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关于设备开机率</w:t>
            </w:r>
          </w:p>
        </w:tc>
        <w:tc>
          <w:tcPr>
            <w:tcW w:w="3784" w:type="pct"/>
          </w:tcPr>
          <w:p w14:paraId="529BE1A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u w:val="none"/>
              </w:rPr>
            </w:pPr>
            <w:r>
              <w:rPr>
                <w:rFonts w:hint="eastAsia" w:ascii="宋体" w:hAnsi="宋体" w:eastAsia="宋体" w:cs="宋体"/>
                <w:b w:val="0"/>
                <w:bCs/>
                <w:color w:val="auto"/>
                <w:sz w:val="21"/>
                <w:szCs w:val="21"/>
                <w:highlight w:val="none"/>
              </w:rPr>
              <w:t>在保修期内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 xml:space="preserve"> 投标人应确保年开机率在95%</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含</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以上</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若不能达到此开机率，将作以下处理：</w:t>
            </w:r>
          </w:p>
          <w:p w14:paraId="65EC1CB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u w:val="none"/>
              </w:rPr>
            </w:pPr>
            <w:r>
              <w:rPr>
                <w:rFonts w:hint="eastAsia" w:ascii="宋体" w:hAnsi="宋体" w:eastAsia="宋体" w:cs="宋体"/>
                <w:b w:val="0"/>
                <w:bCs/>
                <w:color w:val="auto"/>
                <w:sz w:val="21"/>
                <w:szCs w:val="21"/>
                <w:highlight w:val="none"/>
                <w:u w:val="none"/>
                <w:lang w:val="en-US" w:eastAsia="zh-CN"/>
              </w:rPr>
              <w:t>1.</w:t>
            </w:r>
            <w:r>
              <w:rPr>
                <w:rFonts w:hint="eastAsia" w:ascii="宋体" w:hAnsi="宋体" w:eastAsia="宋体" w:cs="宋体"/>
                <w:b w:val="0"/>
                <w:bCs/>
                <w:color w:val="auto"/>
                <w:sz w:val="21"/>
                <w:szCs w:val="21"/>
                <w:highlight w:val="none"/>
                <w:u w:val="none"/>
              </w:rPr>
              <w:t>年开机率在90</w:t>
            </w:r>
            <w:r>
              <w:rPr>
                <w:rFonts w:hint="eastAsia" w:ascii="宋体" w:hAnsi="宋体" w:eastAsia="宋体" w:cs="宋体"/>
                <w:b w:val="0"/>
                <w:bCs/>
                <w:color w:val="auto"/>
                <w:sz w:val="21"/>
                <w:szCs w:val="21"/>
                <w:highlight w:val="none"/>
                <w:u w:val="none"/>
                <w:lang w:eastAsia="zh-CN"/>
              </w:rPr>
              <w:t>%（</w:t>
            </w:r>
            <w:r>
              <w:rPr>
                <w:rFonts w:hint="eastAsia" w:ascii="宋体" w:hAnsi="宋体" w:eastAsia="宋体" w:cs="宋体"/>
                <w:b w:val="0"/>
                <w:bCs/>
                <w:color w:val="auto"/>
                <w:sz w:val="21"/>
                <w:szCs w:val="21"/>
                <w:highlight w:val="none"/>
                <w:u w:val="none"/>
              </w:rPr>
              <w:t>含）-95%（不含）之间</w:t>
            </w:r>
            <w:r>
              <w:rPr>
                <w:rFonts w:hint="eastAsia" w:ascii="宋体" w:hAnsi="宋体" w:eastAsia="宋体" w:cs="宋体"/>
                <w:b w:val="0"/>
                <w:bCs/>
                <w:color w:val="auto"/>
                <w:sz w:val="21"/>
                <w:szCs w:val="21"/>
                <w:highlight w:val="none"/>
                <w:u w:val="none"/>
                <w:lang w:eastAsia="zh-CN"/>
              </w:rPr>
              <w:t>，按</w:t>
            </w:r>
            <w:r>
              <w:rPr>
                <w:rFonts w:hint="eastAsia" w:ascii="宋体" w:hAnsi="宋体" w:eastAsia="宋体" w:cs="宋体"/>
                <w:b w:val="0"/>
                <w:bCs/>
                <w:color w:val="auto"/>
                <w:sz w:val="21"/>
                <w:szCs w:val="21"/>
                <w:highlight w:val="none"/>
                <w:u w:val="none"/>
              </w:rPr>
              <w:t>一赔二延长保修期</w:t>
            </w:r>
            <w:r>
              <w:rPr>
                <w:rFonts w:hint="eastAsia" w:ascii="宋体" w:hAnsi="宋体" w:eastAsia="宋体" w:cs="宋体"/>
                <w:b w:val="0"/>
                <w:bCs/>
                <w:color w:val="auto"/>
                <w:sz w:val="21"/>
                <w:szCs w:val="21"/>
                <w:highlight w:val="none"/>
                <w:u w:val="none"/>
                <w:lang w:eastAsia="zh-CN"/>
              </w:rPr>
              <w:t>。</w:t>
            </w:r>
          </w:p>
          <w:p w14:paraId="1C8209F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u w:val="none"/>
                <w:lang w:val="en-US" w:eastAsia="zh-CN"/>
              </w:rPr>
              <w:t>2.</w:t>
            </w:r>
            <w:r>
              <w:rPr>
                <w:rFonts w:hint="eastAsia" w:ascii="宋体" w:hAnsi="宋体" w:eastAsia="宋体" w:cs="宋体"/>
                <w:b w:val="0"/>
                <w:bCs/>
                <w:color w:val="auto"/>
                <w:sz w:val="21"/>
                <w:szCs w:val="21"/>
                <w:highlight w:val="none"/>
                <w:u w:val="none"/>
              </w:rPr>
              <w:t>年开机率在85</w:t>
            </w:r>
            <w:r>
              <w:rPr>
                <w:rFonts w:hint="eastAsia" w:ascii="宋体" w:hAnsi="宋体" w:eastAsia="宋体" w:cs="宋体"/>
                <w:b w:val="0"/>
                <w:bCs/>
                <w:color w:val="auto"/>
                <w:sz w:val="21"/>
                <w:szCs w:val="21"/>
                <w:highlight w:val="none"/>
                <w:u w:val="none"/>
                <w:lang w:eastAsia="zh-CN"/>
              </w:rPr>
              <w:t>%（</w:t>
            </w:r>
            <w:r>
              <w:rPr>
                <w:rFonts w:hint="eastAsia" w:ascii="宋体" w:hAnsi="宋体" w:eastAsia="宋体" w:cs="宋体"/>
                <w:b w:val="0"/>
                <w:bCs/>
                <w:color w:val="auto"/>
                <w:sz w:val="21"/>
                <w:szCs w:val="21"/>
                <w:highlight w:val="none"/>
                <w:u w:val="none"/>
              </w:rPr>
              <w:t>含）-90%（不含）之间</w:t>
            </w:r>
            <w:r>
              <w:rPr>
                <w:rFonts w:hint="eastAsia" w:ascii="宋体" w:hAnsi="宋体" w:eastAsia="宋体" w:cs="宋体"/>
                <w:b w:val="0"/>
                <w:bCs/>
                <w:color w:val="auto"/>
                <w:sz w:val="21"/>
                <w:szCs w:val="21"/>
                <w:highlight w:val="none"/>
                <w:u w:val="none"/>
                <w:lang w:eastAsia="zh-CN"/>
              </w:rPr>
              <w:t>，按</w:t>
            </w:r>
            <w:r>
              <w:rPr>
                <w:rFonts w:hint="eastAsia" w:ascii="宋体" w:hAnsi="宋体" w:eastAsia="宋体" w:cs="宋体"/>
                <w:b w:val="0"/>
                <w:bCs/>
                <w:color w:val="auto"/>
                <w:sz w:val="21"/>
                <w:szCs w:val="21"/>
                <w:highlight w:val="none"/>
                <w:u w:val="none"/>
              </w:rPr>
              <w:t>一赔五延长</w:t>
            </w:r>
            <w:r>
              <w:rPr>
                <w:rFonts w:hint="eastAsia" w:ascii="宋体" w:hAnsi="宋体" w:eastAsia="宋体" w:cs="宋体"/>
                <w:b w:val="0"/>
                <w:bCs/>
                <w:color w:val="auto"/>
                <w:sz w:val="21"/>
                <w:szCs w:val="21"/>
                <w:highlight w:val="none"/>
                <w:u w:val="none"/>
                <w:lang w:eastAsia="zh-CN"/>
              </w:rPr>
              <w:t>保修期。</w:t>
            </w:r>
          </w:p>
          <w:p w14:paraId="3DBB4A8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年开机率低于85%（</w:t>
            </w:r>
            <w:r>
              <w:rPr>
                <w:rFonts w:hint="eastAsia" w:ascii="宋体" w:hAnsi="宋体" w:eastAsia="宋体" w:cs="宋体"/>
                <w:b w:val="0"/>
                <w:bCs/>
                <w:color w:val="auto"/>
                <w:sz w:val="21"/>
                <w:szCs w:val="21"/>
                <w:highlight w:val="none"/>
                <w:lang w:val="en-US" w:eastAsia="zh-CN"/>
              </w:rPr>
              <w:t>不</w:t>
            </w:r>
            <w:r>
              <w:rPr>
                <w:rFonts w:hint="eastAsia" w:ascii="宋体" w:hAnsi="宋体" w:eastAsia="宋体" w:cs="宋体"/>
                <w:b w:val="0"/>
                <w:bCs/>
                <w:color w:val="auto"/>
                <w:sz w:val="21"/>
                <w:szCs w:val="21"/>
                <w:highlight w:val="none"/>
              </w:rPr>
              <w:t>含），投标人须无条件更换新机，并重新计算保修期，以及赔偿用户的直接经济损失和间接经济损失。</w:t>
            </w:r>
          </w:p>
          <w:p w14:paraId="5529D92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注：年开机率</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（实际开机天数/</w:t>
            </w:r>
            <w:r>
              <w:rPr>
                <w:rFonts w:hint="eastAsia" w:ascii="宋体" w:hAnsi="宋体" w:eastAsia="宋体" w:cs="宋体"/>
                <w:b w:val="0"/>
                <w:bCs/>
                <w:color w:val="auto"/>
                <w:sz w:val="21"/>
                <w:highlight w:val="none"/>
                <w:lang w:val="en-US" w:eastAsia="zh-CN"/>
              </w:rPr>
              <w:t>365天</w:t>
            </w:r>
            <w:r>
              <w:rPr>
                <w:rFonts w:hint="eastAsia" w:ascii="宋体" w:hAnsi="宋体" w:eastAsia="宋体" w:cs="宋体"/>
                <w:b w:val="0"/>
                <w:bCs/>
                <w:color w:val="auto"/>
                <w:sz w:val="21"/>
                <w:szCs w:val="21"/>
                <w:highlight w:val="none"/>
              </w:rPr>
              <w:t>*100%）</w:t>
            </w:r>
          </w:p>
        </w:tc>
      </w:tr>
      <w:tr w14:paraId="0722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7675574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w:t>
            </w:r>
          </w:p>
        </w:tc>
        <w:tc>
          <w:tcPr>
            <w:tcW w:w="613" w:type="pct"/>
            <w:vAlign w:val="center"/>
          </w:tcPr>
          <w:p w14:paraId="565D5BC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设备维护保养方案</w:t>
            </w:r>
          </w:p>
        </w:tc>
        <w:tc>
          <w:tcPr>
            <w:tcW w:w="3784" w:type="pct"/>
            <w:vAlign w:val="center"/>
          </w:tcPr>
          <w:p w14:paraId="3609732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提供设备保养方案，包括但不限于：</w:t>
            </w:r>
          </w:p>
          <w:p w14:paraId="5BB3DDA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1.整机及关键位置、指定部件的清洁、消毒方案。</w:t>
            </w:r>
          </w:p>
          <w:p w14:paraId="0E5EF973">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2.整机及关键位置、指定部件的维护保养方案。</w:t>
            </w:r>
          </w:p>
          <w:p w14:paraId="4AAAAADC">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3.维保方案要按照时间频率阐述：</w:t>
            </w:r>
          </w:p>
          <w:p w14:paraId="4ADE7A9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3.1使用前后、每天、每周、每月、每年或其他时间段（如夏季、冬季）、使用次数、使用累计时间等提供设备的保养方案。</w:t>
            </w:r>
          </w:p>
          <w:p w14:paraId="6B9325A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sz w:val="21"/>
                <w:szCs w:val="21"/>
                <w:highlight w:val="none"/>
                <w:lang w:val="en-US" w:eastAsia="zh-CN"/>
              </w:rPr>
              <w:t>3.2提供保养人员身份建议：包括使用人员、医疗装备运维服务人员、厂家或第三方质控人员、国家授权的计量质控机构。</w:t>
            </w:r>
          </w:p>
        </w:tc>
      </w:tr>
      <w:tr w14:paraId="73CF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Pr>
          <w:p w14:paraId="5E1B4F0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bCs w:val="0"/>
                <w:color w:val="auto"/>
                <w:sz w:val="21"/>
                <w:szCs w:val="21"/>
                <w:highlight w:val="none"/>
              </w:rPr>
              <w:t>（二）保修期外售后服务要求</w:t>
            </w:r>
          </w:p>
        </w:tc>
      </w:tr>
      <w:tr w14:paraId="2950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577A53E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613" w:type="pct"/>
          </w:tcPr>
          <w:p w14:paraId="2DAA869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售后服务</w:t>
            </w:r>
          </w:p>
        </w:tc>
        <w:tc>
          <w:tcPr>
            <w:tcW w:w="3784" w:type="pct"/>
          </w:tcPr>
          <w:p w14:paraId="1CE6673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由设备制造商</w:t>
            </w:r>
            <w:r>
              <w:rPr>
                <w:rFonts w:hint="eastAsia" w:ascii="宋体" w:hAnsi="宋体" w:eastAsia="宋体" w:cs="宋体"/>
                <w:b w:val="0"/>
                <w:bCs/>
                <w:color w:val="auto"/>
                <w:sz w:val="21"/>
                <w:szCs w:val="21"/>
                <w:highlight w:val="none"/>
                <w:lang w:eastAsia="zh-CN"/>
              </w:rPr>
              <w:t>或制造商授权认可的代理商</w:t>
            </w:r>
            <w:r>
              <w:rPr>
                <w:rFonts w:hint="eastAsia" w:ascii="宋体" w:hAnsi="宋体" w:eastAsia="宋体" w:cs="宋体"/>
                <w:b w:val="0"/>
                <w:bCs/>
                <w:color w:val="auto"/>
                <w:sz w:val="21"/>
                <w:szCs w:val="21"/>
                <w:highlight w:val="none"/>
              </w:rPr>
              <w:t>提供售后服务</w:t>
            </w:r>
            <w:r>
              <w:rPr>
                <w:rFonts w:hint="eastAsia" w:ascii="宋体" w:hAnsi="宋体" w:eastAsia="宋体" w:cs="宋体"/>
                <w:b w:val="0"/>
                <w:bCs/>
                <w:color w:val="auto"/>
                <w:sz w:val="21"/>
                <w:szCs w:val="21"/>
                <w:highlight w:val="none"/>
                <w:lang w:eastAsia="zh-CN"/>
              </w:rPr>
              <w:t>。</w:t>
            </w:r>
          </w:p>
        </w:tc>
      </w:tr>
      <w:tr w14:paraId="79D0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Pr>
          <w:p w14:paraId="29442BA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bCs w:val="0"/>
                <w:color w:val="auto"/>
                <w:sz w:val="21"/>
                <w:szCs w:val="21"/>
                <w:highlight w:val="none"/>
              </w:rPr>
              <w:t>（三）其他商务要求</w:t>
            </w:r>
          </w:p>
        </w:tc>
      </w:tr>
      <w:tr w14:paraId="62D2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restart"/>
            <w:vAlign w:val="center"/>
          </w:tcPr>
          <w:p w14:paraId="2AA9B3D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613" w:type="pct"/>
            <w:vMerge w:val="restart"/>
            <w:vAlign w:val="center"/>
          </w:tcPr>
          <w:p w14:paraId="15C2C50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关于交货</w:t>
            </w:r>
          </w:p>
        </w:tc>
        <w:tc>
          <w:tcPr>
            <w:tcW w:w="3784" w:type="pct"/>
          </w:tcPr>
          <w:p w14:paraId="2E77BE7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1.1</w:t>
            </w:r>
            <w:r>
              <w:rPr>
                <w:rFonts w:hint="eastAsia" w:ascii="宋体" w:hAnsi="宋体" w:eastAsia="宋体" w:cs="宋体"/>
                <w:b w:val="0"/>
                <w:bCs/>
                <w:color w:val="auto"/>
                <w:sz w:val="21"/>
                <w:highlight w:val="none"/>
              </w:rPr>
              <w:t xml:space="preserve">签订合同后  </w:t>
            </w:r>
            <w:r>
              <w:rPr>
                <w:rFonts w:hint="eastAsia" w:ascii="宋体" w:hAnsi="宋体" w:eastAsia="宋体" w:cs="宋体"/>
                <w:b w:val="0"/>
                <w:bCs/>
                <w:color w:val="auto"/>
                <w:sz w:val="21"/>
                <w:highlight w:val="none"/>
                <w:u w:val="single"/>
              </w:rPr>
              <w:t xml:space="preserve"> </w:t>
            </w:r>
            <w:r>
              <w:rPr>
                <w:rFonts w:hint="eastAsia" w:ascii="宋体" w:hAnsi="宋体" w:eastAsia="宋体" w:cs="宋体"/>
                <w:b w:val="0"/>
                <w:bCs/>
                <w:color w:val="auto"/>
                <w:sz w:val="21"/>
                <w:highlight w:val="none"/>
                <w:u w:val="single"/>
                <w:lang w:val="en-US" w:eastAsia="zh-CN"/>
              </w:rPr>
              <w:t>30</w:t>
            </w:r>
            <w:r>
              <w:rPr>
                <w:rFonts w:hint="eastAsia" w:ascii="宋体" w:hAnsi="宋体" w:eastAsia="宋体" w:cs="宋体"/>
                <w:b w:val="0"/>
                <w:bCs/>
                <w:color w:val="auto"/>
                <w:sz w:val="21"/>
                <w:highlight w:val="none"/>
                <w:u w:val="single"/>
              </w:rPr>
              <w:t xml:space="preserve"> </w:t>
            </w:r>
            <w:r>
              <w:rPr>
                <w:rFonts w:hint="eastAsia" w:ascii="宋体" w:hAnsi="宋体" w:eastAsia="宋体" w:cs="宋体"/>
                <w:b w:val="0"/>
                <w:bCs/>
                <w:color w:val="auto"/>
                <w:sz w:val="21"/>
                <w:highlight w:val="none"/>
              </w:rPr>
              <w:t xml:space="preserve"> 天（日历日）内交货。</w:t>
            </w:r>
          </w:p>
        </w:tc>
      </w:tr>
      <w:tr w14:paraId="48D4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03E5ED0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0EA73E3B">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0A9B5B5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rPr>
              <w:t>交货地点：中标人负责将货物安全无损运抵采购人指定地点</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并承担设备的包装、运输、保险、装卸、安装调试、培训、商检及计量检测等费用。</w:t>
            </w:r>
          </w:p>
        </w:tc>
      </w:tr>
      <w:tr w14:paraId="3D08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02" w:type="pct"/>
            <w:vMerge w:val="continue"/>
            <w:vAlign w:val="center"/>
          </w:tcPr>
          <w:p w14:paraId="04A7B05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3EC2BB7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6C99E03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中标人应提供货物的技术文件，包括但不限于设备配置清单、产品说明书、图纸、操作手册等，所有外文资料</w:t>
            </w:r>
            <w:r>
              <w:rPr>
                <w:rFonts w:hint="eastAsia" w:ascii="宋体" w:hAnsi="宋体" w:eastAsia="宋体" w:cs="宋体"/>
                <w:b w:val="0"/>
                <w:bCs/>
                <w:color w:val="auto"/>
                <w:sz w:val="21"/>
                <w:szCs w:val="21"/>
                <w:highlight w:val="none"/>
                <w:lang w:val="en-US" w:eastAsia="zh-CN"/>
              </w:rPr>
              <w:t>需</w:t>
            </w:r>
            <w:r>
              <w:rPr>
                <w:rFonts w:hint="eastAsia" w:ascii="宋体" w:hAnsi="宋体" w:eastAsia="宋体" w:cs="宋体"/>
                <w:b w:val="0"/>
                <w:bCs/>
                <w:color w:val="auto"/>
                <w:sz w:val="21"/>
                <w:szCs w:val="21"/>
                <w:highlight w:val="none"/>
              </w:rPr>
              <w:t>提供中文译本。文件应随货物一并交付至采购人指定地点。</w:t>
            </w:r>
          </w:p>
        </w:tc>
      </w:tr>
      <w:tr w14:paraId="3AF6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3BAB2C2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4B9EA81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5D03E87E">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1.4</w:t>
            </w:r>
            <w:r>
              <w:rPr>
                <w:rFonts w:hint="eastAsia" w:ascii="宋体" w:hAnsi="宋体" w:eastAsia="宋体" w:cs="宋体"/>
                <w:b w:val="0"/>
                <w:bCs/>
                <w:color w:val="auto"/>
                <w:sz w:val="21"/>
                <w:szCs w:val="21"/>
                <w:highlight w:val="none"/>
              </w:rPr>
              <w:t>中标人提供的货物</w:t>
            </w:r>
            <w:r>
              <w:rPr>
                <w:rFonts w:hint="eastAsia" w:ascii="宋体" w:hAnsi="宋体" w:eastAsia="宋体" w:cs="宋体"/>
                <w:b w:val="0"/>
                <w:bCs/>
                <w:color w:val="auto"/>
                <w:sz w:val="21"/>
                <w:szCs w:val="21"/>
                <w:highlight w:val="none"/>
                <w:lang w:val="en-US" w:eastAsia="zh-CN"/>
              </w:rPr>
              <w:t>需</w:t>
            </w:r>
            <w:r>
              <w:rPr>
                <w:rFonts w:hint="eastAsia" w:ascii="宋体" w:hAnsi="宋体" w:eastAsia="宋体" w:cs="宋体"/>
                <w:b w:val="0"/>
                <w:bCs/>
                <w:color w:val="auto"/>
                <w:sz w:val="21"/>
                <w:szCs w:val="21"/>
                <w:highlight w:val="none"/>
              </w:rPr>
              <w:t>为全新、经检验合格的产品。产品如需要计量检定的应提供相关计量检定部门出具的合法检定报告。（免检设备</w:t>
            </w:r>
            <w:r>
              <w:rPr>
                <w:rFonts w:hint="eastAsia" w:ascii="宋体" w:hAnsi="宋体" w:eastAsia="宋体" w:cs="宋体"/>
                <w:b w:val="0"/>
                <w:bCs/>
                <w:color w:val="auto"/>
                <w:sz w:val="21"/>
                <w:szCs w:val="21"/>
                <w:highlight w:val="none"/>
                <w:lang w:eastAsia="zh-CN"/>
              </w:rPr>
              <w:t>提供免检证明</w:t>
            </w:r>
            <w:r>
              <w:rPr>
                <w:rFonts w:hint="eastAsia" w:ascii="宋体" w:hAnsi="宋体" w:eastAsia="宋体" w:cs="宋体"/>
                <w:b w:val="0"/>
                <w:bCs/>
                <w:color w:val="auto"/>
                <w:sz w:val="21"/>
                <w:szCs w:val="21"/>
                <w:highlight w:val="none"/>
              </w:rPr>
              <w:t>）。</w:t>
            </w:r>
          </w:p>
        </w:tc>
      </w:tr>
      <w:tr w14:paraId="7DCE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0A5A36F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7A2D8B2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070C929B">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highlight w:val="none"/>
                <w:lang w:eastAsia="zh-CN"/>
              </w:rPr>
            </w:pP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采购人有权检验或测试货物，以确认货物是否符合合同规格的要求。如果发现所交货物与投标文件中所承诺的不符或存在质量、技术缺陷等</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采购人可以拒绝接收该货物</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spacing w:val="-2"/>
                <w:sz w:val="21"/>
                <w:highlight w:val="none"/>
                <w:lang w:val="en-US" w:eastAsia="zh-CN"/>
              </w:rPr>
              <w:t>中标人</w:t>
            </w:r>
            <w:r>
              <w:rPr>
                <w:rFonts w:hint="eastAsia" w:ascii="宋体" w:hAnsi="宋体" w:eastAsia="宋体" w:cs="宋体"/>
                <w:b w:val="0"/>
                <w:bCs/>
                <w:spacing w:val="-2"/>
                <w:sz w:val="21"/>
                <w:highlight w:val="none"/>
              </w:rPr>
              <w:t>应在</w:t>
            </w:r>
            <w:r>
              <w:rPr>
                <w:rFonts w:hint="eastAsia" w:ascii="宋体" w:hAnsi="宋体" w:eastAsia="宋体" w:cs="宋体"/>
                <w:b w:val="0"/>
                <w:bCs/>
                <w:spacing w:val="-2"/>
                <w:sz w:val="21"/>
                <w:highlight w:val="none"/>
                <w:u w:val="none" w:color="auto"/>
              </w:rPr>
              <w:t>7</w:t>
            </w:r>
            <w:r>
              <w:rPr>
                <w:rFonts w:hint="eastAsia" w:ascii="宋体" w:hAnsi="宋体" w:eastAsia="宋体" w:cs="宋体"/>
                <w:b w:val="0"/>
                <w:bCs/>
                <w:spacing w:val="-3"/>
                <w:sz w:val="21"/>
                <w:highlight w:val="none"/>
                <w:u w:color="auto"/>
              </w:rPr>
              <w:t>天</w:t>
            </w:r>
            <w:r>
              <w:rPr>
                <w:rFonts w:hint="eastAsia" w:ascii="宋体" w:hAnsi="宋体" w:eastAsia="宋体" w:cs="宋体"/>
                <w:b w:val="0"/>
                <w:bCs/>
                <w:spacing w:val="-3"/>
                <w:sz w:val="21"/>
                <w:highlight w:val="none"/>
              </w:rPr>
              <w:t>内采</w:t>
            </w:r>
            <w:r>
              <w:rPr>
                <w:rFonts w:hint="eastAsia" w:ascii="宋体" w:hAnsi="宋体" w:eastAsia="宋体" w:cs="宋体"/>
                <w:b w:val="0"/>
                <w:bCs/>
                <w:sz w:val="21"/>
                <w:highlight w:val="none"/>
              </w:rPr>
              <w:t>取补足、更换或退货等措施</w:t>
            </w:r>
            <w:r>
              <w:rPr>
                <w:rFonts w:hint="eastAsia" w:ascii="宋体" w:hAnsi="宋体" w:eastAsia="宋体" w:cs="宋体"/>
                <w:b w:val="0"/>
                <w:bCs/>
                <w:sz w:val="21"/>
                <w:highlight w:val="none"/>
                <w:lang w:eastAsia="zh-CN"/>
              </w:rPr>
              <w:t>，</w:t>
            </w:r>
            <w:r>
              <w:rPr>
                <w:rFonts w:hint="eastAsia" w:ascii="宋体" w:hAnsi="宋体" w:eastAsia="宋体" w:cs="宋体"/>
                <w:b w:val="0"/>
                <w:bCs/>
                <w:sz w:val="21"/>
                <w:highlight w:val="none"/>
              </w:rPr>
              <w:t>以满足规格的要求，由此发生的</w:t>
            </w:r>
            <w:r>
              <w:rPr>
                <w:rFonts w:hint="eastAsia" w:ascii="宋体" w:hAnsi="宋体" w:eastAsia="宋体" w:cs="宋体"/>
                <w:b w:val="0"/>
                <w:bCs/>
                <w:spacing w:val="-1"/>
                <w:sz w:val="21"/>
                <w:highlight w:val="none"/>
              </w:rPr>
              <w:t>一切损失</w:t>
            </w:r>
            <w:r>
              <w:rPr>
                <w:rFonts w:hint="eastAsia" w:ascii="宋体" w:hAnsi="宋体" w:eastAsia="宋体" w:cs="宋体"/>
                <w:b w:val="0"/>
                <w:bCs/>
                <w:spacing w:val="-2"/>
                <w:sz w:val="21"/>
                <w:highlight w:val="none"/>
              </w:rPr>
              <w:t>和费用由</w:t>
            </w:r>
            <w:r>
              <w:rPr>
                <w:rFonts w:hint="eastAsia" w:ascii="宋体" w:hAnsi="宋体" w:eastAsia="宋体" w:cs="宋体"/>
                <w:b w:val="0"/>
                <w:bCs/>
                <w:spacing w:val="-2"/>
                <w:sz w:val="21"/>
                <w:highlight w:val="none"/>
                <w:lang w:val="en-US" w:eastAsia="zh-CN"/>
              </w:rPr>
              <w:t>中标人</w:t>
            </w:r>
            <w:r>
              <w:rPr>
                <w:rFonts w:hint="eastAsia" w:ascii="宋体" w:hAnsi="宋体" w:eastAsia="宋体" w:cs="宋体"/>
                <w:b w:val="0"/>
                <w:bCs/>
                <w:spacing w:val="-2"/>
                <w:sz w:val="21"/>
                <w:highlight w:val="none"/>
              </w:rPr>
              <w:t>承担。</w:t>
            </w:r>
          </w:p>
        </w:tc>
      </w:tr>
      <w:tr w14:paraId="341C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79FFBB6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6F92265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6D002EE4">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highlight w:val="none"/>
                <w:lang w:val="en-US" w:eastAsia="zh-CN"/>
              </w:rPr>
            </w:pPr>
            <w:r>
              <w:rPr>
                <w:rFonts w:hint="eastAsia" w:ascii="宋体" w:hAnsi="宋体" w:eastAsia="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rPr>
              <w:t>中标人负责货物的现场安装和调试</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提供货物安装、调试和维修所需的专用工具和辅助材料。中标人应在货物运至指定地点后</w:t>
            </w:r>
            <w:r>
              <w:rPr>
                <w:rFonts w:hint="eastAsia" w:ascii="宋体" w:hAnsi="宋体" w:eastAsia="宋体" w:cs="宋体"/>
                <w:b w:val="0"/>
                <w:bCs/>
                <w:color w:val="auto"/>
                <w:sz w:val="21"/>
                <w:szCs w:val="21"/>
                <w:highlight w:val="none"/>
                <w:u w:val="single"/>
                <w:lang w:val="en-US" w:eastAsia="zh-CN"/>
              </w:rPr>
              <w:t xml:space="preserve"> 5 </w:t>
            </w:r>
            <w:r>
              <w:rPr>
                <w:rFonts w:hint="eastAsia" w:ascii="宋体" w:hAnsi="宋体" w:eastAsia="宋体" w:cs="宋体"/>
                <w:b w:val="0"/>
                <w:bCs/>
                <w:color w:val="auto"/>
                <w:sz w:val="21"/>
                <w:szCs w:val="21"/>
                <w:highlight w:val="none"/>
                <w:lang w:val="en-US" w:eastAsia="zh-CN"/>
              </w:rPr>
              <w:t>天</w:t>
            </w:r>
            <w:r>
              <w:rPr>
                <w:rFonts w:hint="eastAsia" w:ascii="宋体" w:hAnsi="宋体" w:eastAsia="宋体" w:cs="宋体"/>
                <w:b w:val="0"/>
                <w:bCs/>
                <w:color w:val="auto"/>
                <w:sz w:val="21"/>
                <w:szCs w:val="21"/>
                <w:highlight w:val="none"/>
              </w:rPr>
              <w:t>内开始安装调试</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并在</w:t>
            </w:r>
            <w:r>
              <w:rPr>
                <w:rFonts w:hint="eastAsia" w:ascii="宋体" w:hAnsi="宋体" w:eastAsia="宋体" w:cs="宋体"/>
                <w:b w:val="0"/>
                <w:bCs/>
                <w:color w:val="auto"/>
                <w:sz w:val="21"/>
                <w:szCs w:val="21"/>
                <w:highlight w:val="none"/>
                <w:u w:val="single"/>
              </w:rPr>
              <w:t xml:space="preserve"> 5 </w:t>
            </w:r>
            <w:r>
              <w:rPr>
                <w:rFonts w:hint="eastAsia" w:ascii="宋体" w:hAnsi="宋体" w:eastAsia="宋体" w:cs="宋体"/>
                <w:b w:val="0"/>
                <w:bCs/>
                <w:color w:val="auto"/>
                <w:sz w:val="21"/>
                <w:szCs w:val="21"/>
                <w:highlight w:val="none"/>
              </w:rPr>
              <w:t>天内安装调试完毕。</w:t>
            </w:r>
          </w:p>
        </w:tc>
      </w:tr>
      <w:tr w14:paraId="4AF0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restart"/>
            <w:vAlign w:val="center"/>
          </w:tcPr>
          <w:p w14:paraId="0443116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p>
        </w:tc>
        <w:tc>
          <w:tcPr>
            <w:tcW w:w="613" w:type="pct"/>
            <w:vMerge w:val="restart"/>
            <w:vAlign w:val="center"/>
          </w:tcPr>
          <w:p w14:paraId="324ED9B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关于验收</w:t>
            </w:r>
          </w:p>
        </w:tc>
        <w:tc>
          <w:tcPr>
            <w:tcW w:w="3784" w:type="pct"/>
          </w:tcPr>
          <w:p w14:paraId="74C3B1B5">
            <w:pPr>
              <w:keepNext w:val="0"/>
              <w:keepLines w:val="0"/>
              <w:suppressLineNumbers w:val="0"/>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2.1中标人货物经过双方检验认可后，签署验收报告，产品保修期自验收合格之日起算，由</w:t>
            </w:r>
            <w:r>
              <w:rPr>
                <w:rFonts w:hint="eastAsia" w:ascii="宋体" w:hAnsi="宋体" w:eastAsia="宋体" w:cs="宋体"/>
                <w:b w:val="0"/>
                <w:bCs/>
                <w:color w:val="auto"/>
                <w:sz w:val="21"/>
                <w:szCs w:val="21"/>
                <w:highlight w:val="none"/>
                <w:lang w:val="en-US" w:eastAsia="zh-CN"/>
              </w:rPr>
              <w:t>中标人</w:t>
            </w:r>
            <w:r>
              <w:rPr>
                <w:rFonts w:hint="eastAsia" w:ascii="宋体" w:hAnsi="宋体" w:eastAsia="宋体" w:cs="宋体"/>
                <w:b w:val="0"/>
                <w:bCs/>
                <w:color w:val="auto"/>
                <w:sz w:val="21"/>
                <w:szCs w:val="21"/>
                <w:highlight w:val="none"/>
              </w:rPr>
              <w:t>提供产品保修文件。</w:t>
            </w:r>
          </w:p>
        </w:tc>
      </w:tr>
      <w:tr w14:paraId="7696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4D08C88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28B1EB49">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2022673F">
            <w:pPr>
              <w:keepNext w:val="0"/>
              <w:keepLines w:val="0"/>
              <w:suppressLineNumbers w:val="0"/>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2.2当满足以下条件时，采购人才向中标人签发货物验收报告：</w:t>
            </w:r>
          </w:p>
          <w:p w14:paraId="606B99E6">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a.</w:t>
            </w:r>
            <w:r>
              <w:rPr>
                <w:rFonts w:hint="eastAsia" w:ascii="宋体" w:hAnsi="宋体" w:eastAsia="宋体" w:cs="宋体"/>
                <w:b w:val="0"/>
                <w:bCs/>
                <w:color w:val="auto"/>
                <w:sz w:val="21"/>
                <w:szCs w:val="21"/>
                <w:highlight w:val="none"/>
              </w:rPr>
              <w:t>中标人已按照合同规定提供了全部产品及完整的技术资料。</w:t>
            </w:r>
          </w:p>
          <w:p w14:paraId="33C39E6C">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b.</w:t>
            </w:r>
            <w:r>
              <w:rPr>
                <w:rFonts w:hint="eastAsia" w:ascii="宋体" w:hAnsi="宋体" w:eastAsia="宋体" w:cs="宋体"/>
                <w:b w:val="0"/>
                <w:bCs/>
                <w:color w:val="auto"/>
                <w:sz w:val="21"/>
                <w:szCs w:val="21"/>
                <w:highlight w:val="none"/>
              </w:rPr>
              <w:t>货物符合招标文件技术规格书的要求，性能满足要求。</w:t>
            </w:r>
          </w:p>
          <w:p w14:paraId="4FAC05F3">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c.</w:t>
            </w:r>
            <w:r>
              <w:rPr>
                <w:rFonts w:hint="eastAsia" w:ascii="宋体" w:hAnsi="宋体" w:eastAsia="宋体" w:cs="宋体"/>
                <w:b w:val="0"/>
                <w:bCs/>
                <w:color w:val="auto"/>
                <w:sz w:val="21"/>
                <w:szCs w:val="21"/>
                <w:highlight w:val="none"/>
                <w:lang w:eastAsia="zh-CN"/>
              </w:rPr>
              <w:t>货物如果是特种设备，中标人负责办理特种设备使用登记证，并提供</w:t>
            </w:r>
            <w:r>
              <w:rPr>
                <w:rFonts w:hint="eastAsia" w:ascii="宋体" w:hAnsi="宋体" w:eastAsia="宋体" w:cs="宋体"/>
                <w:b w:val="0"/>
                <w:bCs/>
                <w:color w:val="auto"/>
                <w:sz w:val="21"/>
                <w:szCs w:val="21"/>
                <w:highlight w:val="none"/>
                <w:lang w:val="en-US" w:eastAsia="zh-CN"/>
              </w:rPr>
              <w:t>两</w:t>
            </w:r>
            <w:r>
              <w:rPr>
                <w:rFonts w:hint="eastAsia" w:ascii="宋体" w:hAnsi="宋体" w:eastAsia="宋体" w:cs="宋体"/>
                <w:b w:val="0"/>
                <w:bCs/>
                <w:color w:val="auto"/>
                <w:sz w:val="21"/>
                <w:szCs w:val="21"/>
                <w:highlight w:val="none"/>
                <w:lang w:eastAsia="zh-CN"/>
              </w:rPr>
              <w:t>套特种设备附件（压力表、安全阀）给</w:t>
            </w:r>
            <w:r>
              <w:rPr>
                <w:rFonts w:hint="eastAsia" w:ascii="宋体" w:hAnsi="宋体" w:eastAsia="宋体" w:cs="宋体"/>
                <w:b w:val="0"/>
                <w:bCs/>
                <w:color w:val="auto"/>
                <w:sz w:val="21"/>
                <w:szCs w:val="21"/>
                <w:highlight w:val="none"/>
                <w:lang w:val="en-US" w:eastAsia="zh-CN"/>
              </w:rPr>
              <w:t>采购人</w:t>
            </w:r>
            <w:r>
              <w:rPr>
                <w:rFonts w:hint="eastAsia" w:ascii="宋体" w:hAnsi="宋体" w:eastAsia="宋体" w:cs="宋体"/>
                <w:b w:val="0"/>
                <w:bCs/>
                <w:color w:val="auto"/>
                <w:sz w:val="21"/>
                <w:szCs w:val="21"/>
                <w:highlight w:val="none"/>
                <w:lang w:eastAsia="zh-CN"/>
              </w:rPr>
              <w:t>备用。</w:t>
            </w:r>
          </w:p>
          <w:p w14:paraId="0D597EC6">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spacing w:val="-6"/>
                <w:sz w:val="21"/>
                <w:highlight w:val="none"/>
              </w:rPr>
            </w:pPr>
            <w:r>
              <w:rPr>
                <w:rFonts w:hint="eastAsia" w:ascii="宋体" w:hAnsi="宋体" w:eastAsia="宋体" w:cs="宋体"/>
                <w:b w:val="0"/>
                <w:bCs/>
                <w:color w:val="auto"/>
                <w:sz w:val="21"/>
                <w:szCs w:val="21"/>
                <w:highlight w:val="none"/>
                <w:lang w:val="en-US" w:eastAsia="zh-CN"/>
              </w:rPr>
              <w:t>d.</w:t>
            </w:r>
            <w:r>
              <w:rPr>
                <w:rFonts w:hint="eastAsia" w:ascii="宋体" w:hAnsi="宋体" w:eastAsia="宋体" w:cs="宋体"/>
                <w:b w:val="0"/>
                <w:bCs/>
                <w:spacing w:val="-5"/>
                <w:sz w:val="21"/>
                <w:highlight w:val="none"/>
              </w:rPr>
              <w:t>医疗设备的包装箱使用后由</w:t>
            </w:r>
            <w:r>
              <w:rPr>
                <w:rFonts w:hint="eastAsia" w:ascii="宋体" w:hAnsi="宋体" w:eastAsia="宋体" w:cs="宋体"/>
                <w:b w:val="0"/>
                <w:bCs/>
                <w:spacing w:val="-5"/>
                <w:sz w:val="21"/>
                <w:highlight w:val="none"/>
                <w:lang w:val="en-US" w:eastAsia="zh-CN"/>
              </w:rPr>
              <w:t>中标人</w:t>
            </w:r>
            <w:r>
              <w:rPr>
                <w:rFonts w:hint="eastAsia" w:ascii="宋体" w:hAnsi="宋体" w:eastAsia="宋体" w:cs="宋体"/>
                <w:b w:val="0"/>
                <w:bCs/>
                <w:spacing w:val="-5"/>
                <w:sz w:val="21"/>
                <w:highlight w:val="none"/>
              </w:rPr>
              <w:t>负责处</w:t>
            </w:r>
            <w:r>
              <w:rPr>
                <w:rFonts w:hint="eastAsia" w:ascii="宋体" w:hAnsi="宋体" w:eastAsia="宋体" w:cs="宋体"/>
                <w:b w:val="0"/>
                <w:bCs/>
                <w:spacing w:val="-6"/>
                <w:sz w:val="21"/>
                <w:highlight w:val="none"/>
              </w:rPr>
              <w:t>理。</w:t>
            </w:r>
          </w:p>
          <w:p w14:paraId="54ACE3EE">
            <w:pPr>
              <w:keepNext w:val="0"/>
              <w:keepLines w:val="0"/>
              <w:suppressLineNumbers w:val="0"/>
              <w:tabs>
                <w:tab w:val="left" w:pos="1260"/>
              </w:tabs>
              <w:spacing w:before="0" w:beforeAutospacing="0" w:after="0" w:afterAutospacing="0" w:line="340" w:lineRule="exact"/>
              <w:ind w:left="0" w:right="0" w:firstLine="0" w:firstLineChars="0"/>
              <w:rPr>
                <w:rFonts w:hint="eastAsia" w:ascii="宋体" w:hAnsi="宋体" w:eastAsia="宋体" w:cs="宋体"/>
                <w:b w:val="0"/>
                <w:bCs/>
                <w:spacing w:val="-6"/>
                <w:sz w:val="21"/>
                <w:highlight w:val="none"/>
                <w:lang w:val="en-US" w:eastAsia="zh-CN"/>
              </w:rPr>
            </w:pPr>
            <w:r>
              <w:rPr>
                <w:rFonts w:hint="eastAsia" w:ascii="宋体" w:hAnsi="宋体" w:eastAsia="宋体" w:cs="宋体"/>
                <w:b w:val="0"/>
                <w:bCs/>
                <w:spacing w:val="-6"/>
                <w:sz w:val="21"/>
                <w:highlight w:val="none"/>
                <w:lang w:val="en-US" w:eastAsia="zh-CN"/>
              </w:rPr>
              <w:t>e.</w:t>
            </w:r>
            <w:r>
              <w:rPr>
                <w:rFonts w:hint="eastAsia" w:ascii="宋体" w:hAnsi="宋体" w:eastAsia="宋体" w:cs="宋体"/>
                <w:b w:val="0"/>
                <w:bCs/>
                <w:spacing w:val="-47"/>
                <w:sz w:val="21"/>
                <w:highlight w:val="none"/>
              </w:rPr>
              <w:t xml:space="preserve"> </w:t>
            </w:r>
            <w:r>
              <w:rPr>
                <w:rFonts w:hint="eastAsia" w:ascii="宋体" w:hAnsi="宋体" w:eastAsia="宋体" w:cs="宋体"/>
                <w:b w:val="0"/>
                <w:bCs/>
                <w:spacing w:val="-8"/>
                <w:sz w:val="21"/>
                <w:highlight w:val="none"/>
              </w:rPr>
              <w:t>设备安装过程中不得破坏已有设备、器具和装修，如有</w:t>
            </w:r>
            <w:r>
              <w:rPr>
                <w:rFonts w:hint="eastAsia" w:ascii="宋体" w:hAnsi="宋体" w:eastAsia="宋体" w:cs="宋体"/>
                <w:b w:val="0"/>
                <w:bCs/>
                <w:spacing w:val="-9"/>
                <w:sz w:val="21"/>
                <w:highlight w:val="none"/>
              </w:rPr>
              <w:t>损坏，需无条</w:t>
            </w:r>
            <w:r>
              <w:rPr>
                <w:rFonts w:hint="eastAsia" w:ascii="宋体" w:hAnsi="宋体" w:eastAsia="宋体" w:cs="宋体"/>
                <w:b w:val="0"/>
                <w:bCs/>
                <w:sz w:val="21"/>
                <w:highlight w:val="none"/>
              </w:rPr>
              <w:t xml:space="preserve"> </w:t>
            </w:r>
            <w:r>
              <w:rPr>
                <w:rFonts w:hint="eastAsia" w:ascii="宋体" w:hAnsi="宋体" w:eastAsia="宋体" w:cs="宋体"/>
                <w:b w:val="0"/>
                <w:bCs/>
                <w:spacing w:val="-10"/>
                <w:sz w:val="21"/>
                <w:highlight w:val="none"/>
              </w:rPr>
              <w:t>件恢复原状。</w:t>
            </w:r>
          </w:p>
        </w:tc>
      </w:tr>
      <w:tr w14:paraId="2451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3EBAA7D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645580B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310C1D6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2.3由中标人代表和采购人组成验收小组对产品进行验收</w:t>
            </w:r>
            <w:r>
              <w:rPr>
                <w:rFonts w:hint="eastAsia" w:ascii="宋体" w:hAnsi="宋体" w:eastAsia="宋体" w:cs="宋体"/>
                <w:b w:val="0"/>
                <w:bCs/>
                <w:color w:val="auto"/>
                <w:sz w:val="21"/>
                <w:szCs w:val="21"/>
                <w:highlight w:val="none"/>
                <w:lang w:eastAsia="zh-CN"/>
              </w:rPr>
              <w:t>，必要时采购人有权邀请第三方机构及本单位以外专家参与验收，相关验收意见作为验收参考资料</w:t>
            </w:r>
            <w:r>
              <w:rPr>
                <w:rFonts w:hint="eastAsia" w:ascii="宋体" w:hAnsi="宋体" w:eastAsia="宋体" w:cs="宋体"/>
                <w:b w:val="0"/>
                <w:bCs/>
                <w:color w:val="auto"/>
                <w:sz w:val="21"/>
                <w:szCs w:val="21"/>
                <w:highlight w:val="none"/>
              </w:rPr>
              <w:t>。验收标准按照国家规定标准执行。经检验设备正常运作后签署验收报告</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产品保修期自验收合格之日起算。</w:t>
            </w:r>
          </w:p>
        </w:tc>
      </w:tr>
      <w:tr w14:paraId="3957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restart"/>
            <w:vAlign w:val="center"/>
          </w:tcPr>
          <w:p w14:paraId="763B0ED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p>
        </w:tc>
        <w:tc>
          <w:tcPr>
            <w:tcW w:w="613" w:type="pct"/>
            <w:vMerge w:val="restart"/>
            <w:vAlign w:val="center"/>
          </w:tcPr>
          <w:p w14:paraId="79945D7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关于违约</w:t>
            </w:r>
          </w:p>
        </w:tc>
        <w:tc>
          <w:tcPr>
            <w:tcW w:w="3784" w:type="pct"/>
          </w:tcPr>
          <w:p w14:paraId="625E16F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3.1中标人未按照投标文件中承诺的时间交货或提供服务，投标人应承担延期交货和延期服务的违约责任，并赔偿采购人因此造成的实际经济损失。实际经济损失超出履约保证金额，采购人有权终止合同。</w:t>
            </w:r>
          </w:p>
        </w:tc>
      </w:tr>
      <w:tr w14:paraId="7872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4BBC09D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10825B4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525B7B6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3.2</w:t>
            </w:r>
            <w:r>
              <w:rPr>
                <w:rFonts w:hint="eastAsia" w:ascii="宋体" w:hAnsi="宋体" w:eastAsia="宋体" w:cs="宋体"/>
                <w:b w:val="0"/>
                <w:bCs/>
                <w:color w:val="auto"/>
                <w:sz w:val="21"/>
                <w:szCs w:val="21"/>
                <w:highlight w:val="none"/>
              </w:rPr>
              <w:t>中标人所交设备的品种、型号、规格、质量、功能、技术参数等方面不能实质性满足招标文件</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b w:val="0"/>
                <w:bCs/>
                <w:color w:val="auto"/>
                <w:sz w:val="21"/>
                <w:szCs w:val="21"/>
                <w:highlight w:val="none"/>
              </w:rPr>
              <w:t>的，采购人有权拒绝收货</w:t>
            </w:r>
            <w:r>
              <w:rPr>
                <w:rFonts w:hint="eastAsia" w:ascii="宋体" w:hAnsi="宋体" w:eastAsia="宋体" w:cs="宋体"/>
                <w:b w:val="0"/>
                <w:bCs/>
                <w:color w:val="auto"/>
                <w:sz w:val="21"/>
                <w:szCs w:val="21"/>
                <w:highlight w:val="none"/>
                <w:lang w:eastAsia="zh-CN"/>
              </w:rPr>
              <w:t>，由</w:t>
            </w:r>
            <w:r>
              <w:rPr>
                <w:rFonts w:hint="eastAsia" w:ascii="宋体" w:hAnsi="宋体" w:eastAsia="宋体" w:cs="宋体"/>
                <w:b w:val="0"/>
                <w:bCs/>
                <w:color w:val="auto"/>
                <w:sz w:val="21"/>
                <w:szCs w:val="21"/>
                <w:highlight w:val="none"/>
              </w:rPr>
              <w:t>中标人向采购人偿付项目采购金额千分之</w:t>
            </w:r>
            <w:r>
              <w:rPr>
                <w:rFonts w:hint="eastAsia" w:ascii="宋体" w:hAnsi="宋体" w:eastAsia="宋体" w:cs="宋体"/>
                <w:b w:val="0"/>
                <w:bCs/>
                <w:color w:val="auto"/>
                <w:sz w:val="21"/>
                <w:szCs w:val="21"/>
                <w:highlight w:val="none"/>
                <w:u w:val="single"/>
              </w:rPr>
              <w:t xml:space="preserve"> 10 </w:t>
            </w:r>
            <w:r>
              <w:rPr>
                <w:rFonts w:hint="eastAsia" w:ascii="宋体" w:hAnsi="宋体" w:eastAsia="宋体" w:cs="宋体"/>
                <w:b w:val="0"/>
                <w:bCs/>
                <w:color w:val="auto"/>
                <w:sz w:val="21"/>
                <w:szCs w:val="21"/>
                <w:highlight w:val="none"/>
              </w:rPr>
              <w:t>的违约金；造成严重后果的，根据《深圳经济特区政府采购条例》第五十七条第（二）款规定，由主管部门对投标人进行处罚。</w:t>
            </w:r>
          </w:p>
        </w:tc>
      </w:tr>
      <w:tr w14:paraId="5A1E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0EE516FC">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29DFB13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1C91F1B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3.3</w:t>
            </w:r>
            <w:r>
              <w:rPr>
                <w:rFonts w:hint="eastAsia" w:ascii="宋体" w:hAnsi="宋体" w:eastAsia="宋体" w:cs="宋体"/>
                <w:b w:val="0"/>
                <w:bCs/>
                <w:color w:val="auto"/>
                <w:sz w:val="21"/>
                <w:szCs w:val="21"/>
                <w:highlight w:val="none"/>
              </w:rPr>
              <w:t>中标人不能交付设备的，投标人向采购人偿付项目采购金额百分之</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5</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的违约金；造成严重后果的，根据《深圳经济特区政府采购条例》第五十七条第（二）款规定，由主管部门对投标人进行处罚。</w:t>
            </w:r>
          </w:p>
        </w:tc>
      </w:tr>
      <w:tr w14:paraId="58D5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02" w:type="pct"/>
            <w:vMerge w:val="continue"/>
            <w:vAlign w:val="center"/>
          </w:tcPr>
          <w:p w14:paraId="2322C19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58FC28C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71B565B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3.4</w:t>
            </w:r>
            <w:r>
              <w:rPr>
                <w:rFonts w:hint="eastAsia" w:ascii="宋体" w:hAnsi="宋体" w:eastAsia="宋体" w:cs="宋体"/>
                <w:b w:val="0"/>
                <w:bCs/>
                <w:color w:val="auto"/>
                <w:sz w:val="21"/>
                <w:szCs w:val="21"/>
                <w:highlight w:val="none"/>
              </w:rPr>
              <w:t>中标人逾期未交设备的，中标人向采购人每日偿付设备款千分之</w:t>
            </w:r>
            <w:r>
              <w:rPr>
                <w:rFonts w:hint="eastAsia" w:ascii="宋体" w:hAnsi="宋体" w:eastAsia="宋体" w:cs="宋体"/>
                <w:b w:val="0"/>
                <w:bCs/>
                <w:color w:val="auto"/>
                <w:sz w:val="21"/>
                <w:szCs w:val="21"/>
                <w:highlight w:val="none"/>
                <w:u w:val="single"/>
              </w:rPr>
              <w:t xml:space="preserve"> 1</w:t>
            </w:r>
            <w:r>
              <w:rPr>
                <w:rFonts w:hint="eastAsia" w:ascii="宋体" w:hAnsi="宋体" w:eastAsia="宋体" w:cs="宋体"/>
                <w:b w:val="0"/>
                <w:bCs/>
                <w:color w:val="auto"/>
                <w:sz w:val="21"/>
                <w:szCs w:val="21"/>
                <w:highlight w:val="none"/>
              </w:rPr>
              <w:t>的违约金。中标人超过交货期限</w:t>
            </w:r>
            <w:r>
              <w:rPr>
                <w:rFonts w:hint="eastAsia" w:ascii="宋体" w:hAnsi="宋体" w:eastAsia="宋体" w:cs="宋体"/>
                <w:b w:val="0"/>
                <w:bCs/>
                <w:color w:val="auto"/>
                <w:sz w:val="21"/>
                <w:szCs w:val="21"/>
                <w:highlight w:val="none"/>
                <w:u w:val="single"/>
              </w:rPr>
              <w:t xml:space="preserve"> 10 </w:t>
            </w:r>
            <w:r>
              <w:rPr>
                <w:rFonts w:hint="eastAsia" w:ascii="宋体" w:hAnsi="宋体" w:eastAsia="宋体" w:cs="宋体"/>
                <w:b w:val="0"/>
                <w:bCs/>
                <w:color w:val="auto"/>
                <w:sz w:val="21"/>
                <w:szCs w:val="21"/>
                <w:highlight w:val="none"/>
              </w:rPr>
              <w:t>日仍未交货，采购人有权解除合同</w:t>
            </w:r>
          </w:p>
        </w:tc>
      </w:tr>
      <w:tr w14:paraId="45EB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7653D5A0">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4F7D2D77">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53C9F1E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3.5</w:t>
            </w:r>
            <w:r>
              <w:rPr>
                <w:rFonts w:hint="eastAsia" w:ascii="宋体" w:hAnsi="宋体" w:eastAsia="宋体" w:cs="宋体"/>
                <w:b w:val="0"/>
                <w:bCs/>
                <w:color w:val="auto"/>
                <w:sz w:val="21"/>
                <w:szCs w:val="21"/>
                <w:highlight w:val="none"/>
              </w:rPr>
              <w:t>中标人逾期交货的，将被没收履约保证金并按主管部门相关规定处理</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违约金先</w:t>
            </w:r>
            <w:r>
              <w:rPr>
                <w:rFonts w:hint="eastAsia" w:ascii="宋体" w:hAnsi="宋体" w:eastAsia="宋体" w:cs="宋体"/>
                <w:b w:val="0"/>
                <w:bCs/>
                <w:color w:val="auto"/>
                <w:sz w:val="21"/>
                <w:szCs w:val="21"/>
                <w:highlight w:val="none"/>
                <w:lang w:eastAsia="zh-CN"/>
              </w:rPr>
              <w:t>从</w:t>
            </w:r>
            <w:r>
              <w:rPr>
                <w:rFonts w:hint="eastAsia" w:ascii="宋体" w:hAnsi="宋体" w:eastAsia="宋体" w:cs="宋体"/>
                <w:b w:val="0"/>
                <w:bCs/>
                <w:color w:val="auto"/>
                <w:sz w:val="21"/>
                <w:szCs w:val="21"/>
                <w:highlight w:val="none"/>
              </w:rPr>
              <w:t>投标人履约保证金中扣除，若有不足部分则由中标人补齐。</w:t>
            </w:r>
          </w:p>
        </w:tc>
      </w:tr>
      <w:tr w14:paraId="7D54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Merge w:val="continue"/>
            <w:vAlign w:val="center"/>
          </w:tcPr>
          <w:p w14:paraId="4B9A6D66">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613" w:type="pct"/>
            <w:vMerge w:val="continue"/>
            <w:vAlign w:val="center"/>
          </w:tcPr>
          <w:p w14:paraId="3CFF8BB5">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color w:val="auto"/>
                <w:sz w:val="21"/>
                <w:szCs w:val="21"/>
                <w:highlight w:val="none"/>
              </w:rPr>
            </w:pPr>
          </w:p>
        </w:tc>
        <w:tc>
          <w:tcPr>
            <w:tcW w:w="3784" w:type="pct"/>
          </w:tcPr>
          <w:p w14:paraId="3F7D602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中标人所交付产品、工程或服务不符合其投标承诺的，或在投标阶段为了中标而盲目虚假承诺、低价恶性竞争，在履约</w:t>
            </w:r>
            <w:r>
              <w:rPr>
                <w:rFonts w:hint="eastAsia" w:ascii="宋体" w:hAnsi="宋体" w:eastAsia="宋体" w:cs="宋体"/>
                <w:b w:val="0"/>
                <w:bCs/>
                <w:color w:val="auto"/>
                <w:sz w:val="21"/>
                <w:szCs w:val="21"/>
                <w:highlight w:val="none"/>
                <w:lang w:eastAsia="zh-CN"/>
              </w:rPr>
              <w:t>阶段</w:t>
            </w:r>
            <w:r>
              <w:rPr>
                <w:rFonts w:hint="eastAsia" w:ascii="宋体" w:hAnsi="宋体" w:eastAsia="宋体" w:cs="宋体"/>
                <w:b w:val="0"/>
                <w:bCs/>
                <w:color w:val="auto"/>
                <w:sz w:val="21"/>
                <w:szCs w:val="21"/>
                <w:highlight w:val="none"/>
              </w:rPr>
              <w:t>通过偷工减料、以次充好而获取利润的，将被没收履约保证金，并被履约评价工作实施机构评为履约等级“差”并按主管部门相关规定处理。</w:t>
            </w:r>
          </w:p>
        </w:tc>
      </w:tr>
      <w:tr w14:paraId="4AC4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602" w:type="pct"/>
            <w:vMerge w:val="restart"/>
            <w:vAlign w:val="center"/>
          </w:tcPr>
          <w:p w14:paraId="31D0D00A">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sz w:val="21"/>
                <w:szCs w:val="21"/>
                <w:highlight w:val="none"/>
              </w:rPr>
              <w:t>4</w:t>
            </w:r>
          </w:p>
        </w:tc>
        <w:tc>
          <w:tcPr>
            <w:tcW w:w="613" w:type="pct"/>
            <w:vMerge w:val="restart"/>
            <w:vAlign w:val="center"/>
          </w:tcPr>
          <w:p w14:paraId="54BD07A1">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关于付款</w:t>
            </w:r>
          </w:p>
        </w:tc>
        <w:tc>
          <w:tcPr>
            <w:tcW w:w="3784" w:type="pct"/>
          </w:tcPr>
          <w:p w14:paraId="55B0A0CD">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4.1</w:t>
            </w:r>
            <w:r>
              <w:rPr>
                <w:rFonts w:hint="eastAsia" w:ascii="宋体" w:hAnsi="宋体" w:eastAsia="宋体" w:cs="宋体"/>
                <w:b w:val="0"/>
                <w:bCs/>
                <w:color w:val="auto"/>
                <w:sz w:val="21"/>
                <w:szCs w:val="21"/>
                <w:highlight w:val="none"/>
              </w:rPr>
              <w:t>全部合同货物到达交货地点，并安装调试且验收合格后，</w:t>
            </w:r>
            <w:r>
              <w:rPr>
                <w:rFonts w:hint="eastAsia" w:ascii="宋体" w:hAnsi="宋体" w:eastAsia="宋体" w:cs="宋体"/>
                <w:b w:val="0"/>
                <w:bCs/>
                <w:color w:val="auto"/>
                <w:sz w:val="21"/>
                <w:szCs w:val="21"/>
                <w:highlight w:val="none"/>
                <w:lang w:eastAsia="zh-CN"/>
              </w:rPr>
              <w:t>提交验收资料</w:t>
            </w:r>
            <w:r>
              <w:rPr>
                <w:rFonts w:hint="eastAsia" w:ascii="宋体" w:hAnsi="宋体" w:eastAsia="宋体" w:cs="宋体"/>
                <w:b w:val="0"/>
                <w:bCs/>
                <w:color w:val="auto"/>
                <w:sz w:val="21"/>
                <w:szCs w:val="21"/>
                <w:highlight w:val="none"/>
              </w:rPr>
              <w:t>，采购人在收到</w:t>
            </w:r>
            <w:r>
              <w:rPr>
                <w:rFonts w:hint="eastAsia" w:ascii="宋体" w:hAnsi="宋体" w:eastAsia="宋体" w:cs="宋体"/>
                <w:b w:val="0"/>
                <w:bCs/>
                <w:color w:val="auto"/>
                <w:sz w:val="21"/>
                <w:szCs w:val="21"/>
                <w:highlight w:val="none"/>
                <w:lang w:eastAsia="zh-CN"/>
              </w:rPr>
              <w:t>验收资料和</w:t>
            </w:r>
            <w:r>
              <w:rPr>
                <w:rFonts w:hint="eastAsia" w:ascii="宋体" w:hAnsi="宋体" w:eastAsia="宋体" w:cs="宋体"/>
                <w:b w:val="0"/>
                <w:bCs/>
                <w:color w:val="auto"/>
                <w:sz w:val="21"/>
                <w:szCs w:val="21"/>
                <w:highlight w:val="none"/>
              </w:rPr>
              <w:t xml:space="preserve">发票后向中标人支付合同总价的 </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u w:val="single"/>
                <w:lang w:val="en-US" w:eastAsia="zh-CN"/>
              </w:rPr>
              <w:t>100</w:t>
            </w:r>
            <w:r>
              <w:rPr>
                <w:rFonts w:hint="eastAsia" w:ascii="宋体" w:hAnsi="宋体" w:eastAsia="宋体" w:cs="宋体"/>
                <w:b w:val="0"/>
                <w:bCs/>
                <w:color w:val="auto"/>
                <w:sz w:val="21"/>
                <w:szCs w:val="21"/>
                <w:highlight w:val="none"/>
                <w:u w:val="single"/>
              </w:rPr>
              <w:t xml:space="preserve"> </w:t>
            </w:r>
            <w:r>
              <w:rPr>
                <w:rFonts w:hint="eastAsia" w:ascii="宋体" w:hAnsi="宋体" w:eastAsia="宋体" w:cs="宋体"/>
                <w:b w:val="0"/>
                <w:bCs/>
                <w:color w:val="auto"/>
                <w:sz w:val="21"/>
                <w:szCs w:val="21"/>
                <w:highlight w:val="none"/>
              </w:rPr>
              <w:t xml:space="preserve">  %。</w:t>
            </w:r>
          </w:p>
        </w:tc>
      </w:tr>
      <w:tr w14:paraId="4324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602" w:type="pct"/>
            <w:vMerge w:val="continue"/>
            <w:vAlign w:val="center"/>
          </w:tcPr>
          <w:p w14:paraId="5EA615A7">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613" w:type="pct"/>
            <w:vMerge w:val="continue"/>
            <w:vAlign w:val="center"/>
          </w:tcPr>
          <w:p w14:paraId="745142DF">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3784" w:type="pct"/>
          </w:tcPr>
          <w:p w14:paraId="2681186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4.2</w:t>
            </w:r>
            <w:r>
              <w:rPr>
                <w:rFonts w:hint="eastAsia" w:ascii="宋体" w:hAnsi="宋体" w:eastAsia="宋体" w:cs="宋体"/>
                <w:b w:val="0"/>
                <w:bCs/>
                <w:color w:val="auto"/>
                <w:sz w:val="21"/>
                <w:szCs w:val="21"/>
                <w:highlight w:val="none"/>
              </w:rPr>
              <w:t>每次</w:t>
            </w:r>
            <w:r>
              <w:rPr>
                <w:rFonts w:hint="eastAsia" w:ascii="宋体" w:hAnsi="宋体" w:eastAsia="宋体" w:cs="宋体"/>
                <w:b w:val="0"/>
                <w:bCs/>
                <w:color w:val="auto"/>
                <w:sz w:val="21"/>
                <w:szCs w:val="21"/>
                <w:highlight w:val="none"/>
                <w:lang w:eastAsia="zh-TW"/>
              </w:rPr>
              <w:t>按合同支付款项前，</w:t>
            </w:r>
            <w:r>
              <w:rPr>
                <w:rFonts w:hint="eastAsia" w:ascii="宋体" w:hAnsi="宋体" w:eastAsia="宋体" w:cs="宋体"/>
                <w:b w:val="0"/>
                <w:bCs/>
                <w:color w:val="auto"/>
                <w:sz w:val="21"/>
                <w:szCs w:val="21"/>
                <w:highlight w:val="none"/>
              </w:rPr>
              <w:t>中标人应</w:t>
            </w:r>
            <w:r>
              <w:rPr>
                <w:rFonts w:hint="eastAsia" w:ascii="宋体" w:hAnsi="宋体" w:eastAsia="宋体" w:cs="宋体"/>
                <w:b w:val="0"/>
                <w:bCs/>
                <w:color w:val="auto"/>
                <w:sz w:val="21"/>
                <w:szCs w:val="21"/>
                <w:highlight w:val="none"/>
                <w:lang w:eastAsia="zh-TW"/>
              </w:rPr>
              <w:t>向采购人提供与支付金额相符的有效发票，且收款方、出具发票方、合同乙方均必须与</w:t>
            </w:r>
            <w:r>
              <w:rPr>
                <w:rFonts w:hint="eastAsia" w:ascii="宋体" w:hAnsi="宋体" w:eastAsia="宋体" w:cs="宋体"/>
                <w:b w:val="0"/>
                <w:bCs/>
                <w:color w:val="auto"/>
                <w:sz w:val="21"/>
                <w:szCs w:val="21"/>
                <w:highlight w:val="none"/>
              </w:rPr>
              <w:t>中标人</w:t>
            </w:r>
            <w:r>
              <w:rPr>
                <w:rFonts w:hint="eastAsia" w:ascii="宋体" w:hAnsi="宋体" w:eastAsia="宋体" w:cs="宋体"/>
                <w:b w:val="0"/>
                <w:bCs/>
                <w:color w:val="auto"/>
                <w:sz w:val="21"/>
                <w:szCs w:val="21"/>
                <w:highlight w:val="none"/>
                <w:lang w:eastAsia="zh-TW"/>
              </w:rPr>
              <w:t>名称一致；</w:t>
            </w:r>
          </w:p>
        </w:tc>
      </w:tr>
      <w:tr w14:paraId="1980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02" w:type="pct"/>
            <w:vMerge w:val="continue"/>
            <w:vAlign w:val="center"/>
          </w:tcPr>
          <w:p w14:paraId="0214BC6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p>
        </w:tc>
        <w:tc>
          <w:tcPr>
            <w:tcW w:w="613" w:type="pct"/>
            <w:vMerge w:val="continue"/>
            <w:vAlign w:val="center"/>
          </w:tcPr>
          <w:p w14:paraId="48F57521">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p>
        </w:tc>
        <w:tc>
          <w:tcPr>
            <w:tcW w:w="3784" w:type="pct"/>
          </w:tcPr>
          <w:p w14:paraId="23A03F52">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4.3</w:t>
            </w:r>
            <w:r>
              <w:rPr>
                <w:rFonts w:hint="eastAsia" w:ascii="宋体" w:hAnsi="宋体" w:eastAsia="宋体" w:cs="宋体"/>
                <w:b w:val="0"/>
                <w:bCs/>
                <w:color w:val="auto"/>
                <w:sz w:val="21"/>
                <w:szCs w:val="21"/>
                <w:highlight w:val="none"/>
              </w:rPr>
              <w:t>违约责任：</w:t>
            </w:r>
            <w:r>
              <w:rPr>
                <w:rFonts w:hint="eastAsia" w:ascii="宋体" w:hAnsi="宋体" w:eastAsia="宋体" w:cs="宋体"/>
                <w:b w:val="0"/>
                <w:bCs/>
                <w:color w:val="auto"/>
                <w:sz w:val="21"/>
                <w:szCs w:val="21"/>
                <w:highlight w:val="none"/>
                <w:lang w:eastAsia="zh-TW"/>
              </w:rPr>
              <w:t>采购人逾期</w:t>
            </w:r>
            <w:r>
              <w:rPr>
                <w:rFonts w:hint="eastAsia" w:ascii="宋体" w:hAnsi="宋体" w:eastAsia="宋体" w:cs="宋体"/>
                <w:b w:val="0"/>
                <w:bCs/>
                <w:color w:val="auto"/>
                <w:sz w:val="21"/>
                <w:szCs w:val="21"/>
                <w:highlight w:val="none"/>
              </w:rPr>
              <w:t>支付合同款项</w:t>
            </w:r>
            <w:r>
              <w:rPr>
                <w:rFonts w:hint="eastAsia" w:ascii="宋体" w:hAnsi="宋体" w:eastAsia="宋体" w:cs="宋体"/>
                <w:b w:val="0"/>
                <w:bCs/>
                <w:color w:val="auto"/>
                <w:sz w:val="21"/>
                <w:szCs w:val="21"/>
                <w:highlight w:val="none"/>
                <w:lang w:eastAsia="zh-TW"/>
              </w:rPr>
              <w:t>的，除应当</w:t>
            </w:r>
            <w:r>
              <w:rPr>
                <w:rFonts w:hint="eastAsia" w:ascii="宋体" w:hAnsi="宋体" w:eastAsia="宋体" w:cs="宋体"/>
                <w:b w:val="0"/>
                <w:bCs/>
                <w:color w:val="auto"/>
                <w:sz w:val="21"/>
                <w:szCs w:val="21"/>
                <w:highlight w:val="none"/>
              </w:rPr>
              <w:t>支付合同款项</w:t>
            </w:r>
            <w:r>
              <w:rPr>
                <w:rFonts w:hint="eastAsia" w:ascii="宋体" w:hAnsi="宋体" w:eastAsia="宋体" w:cs="宋体"/>
                <w:b w:val="0"/>
                <w:bCs/>
                <w:color w:val="auto"/>
                <w:sz w:val="21"/>
                <w:szCs w:val="21"/>
                <w:highlight w:val="none"/>
                <w:lang w:eastAsia="zh-TW"/>
              </w:rPr>
              <w:t>外，还应当每日按合同总价的</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eastAsia="zh-TW"/>
              </w:rPr>
              <w:t>‰向</w:t>
            </w:r>
            <w:r>
              <w:rPr>
                <w:rFonts w:hint="eastAsia" w:ascii="宋体" w:hAnsi="宋体" w:eastAsia="宋体" w:cs="宋体"/>
                <w:b w:val="0"/>
                <w:bCs/>
                <w:color w:val="auto"/>
                <w:sz w:val="21"/>
                <w:szCs w:val="21"/>
                <w:highlight w:val="none"/>
              </w:rPr>
              <w:t>中标人</w:t>
            </w:r>
            <w:r>
              <w:rPr>
                <w:rFonts w:hint="eastAsia" w:ascii="宋体" w:hAnsi="宋体" w:eastAsia="宋体" w:cs="宋体"/>
                <w:b w:val="0"/>
                <w:bCs/>
                <w:color w:val="auto"/>
                <w:sz w:val="21"/>
                <w:szCs w:val="21"/>
                <w:highlight w:val="none"/>
                <w:lang w:eastAsia="zh-TW"/>
              </w:rPr>
              <w:t>偿付违约金，但因</w:t>
            </w:r>
            <w:r>
              <w:rPr>
                <w:rFonts w:hint="eastAsia" w:ascii="宋体" w:hAnsi="宋体" w:eastAsia="宋体" w:cs="宋体"/>
                <w:b w:val="0"/>
                <w:bCs/>
                <w:color w:val="auto"/>
                <w:sz w:val="21"/>
                <w:szCs w:val="21"/>
                <w:highlight w:val="none"/>
              </w:rPr>
              <w:t>中标人</w:t>
            </w:r>
            <w:r>
              <w:rPr>
                <w:rFonts w:hint="eastAsia" w:ascii="宋体" w:hAnsi="宋体" w:eastAsia="宋体" w:cs="宋体"/>
                <w:b w:val="0"/>
                <w:bCs/>
                <w:color w:val="auto"/>
                <w:sz w:val="21"/>
                <w:szCs w:val="21"/>
                <w:highlight w:val="none"/>
                <w:lang w:eastAsia="zh-TW"/>
              </w:rPr>
              <w:t>自身原因导致无法及时</w:t>
            </w:r>
            <w:r>
              <w:rPr>
                <w:rFonts w:hint="eastAsia" w:ascii="宋体" w:hAnsi="宋体" w:eastAsia="宋体" w:cs="宋体"/>
                <w:b w:val="0"/>
                <w:bCs/>
                <w:color w:val="auto"/>
                <w:sz w:val="21"/>
                <w:szCs w:val="21"/>
                <w:highlight w:val="none"/>
              </w:rPr>
              <w:t>支付</w:t>
            </w:r>
            <w:r>
              <w:rPr>
                <w:rFonts w:hint="eastAsia" w:ascii="宋体" w:hAnsi="宋体" w:eastAsia="宋体" w:cs="宋体"/>
                <w:b w:val="0"/>
                <w:bCs/>
                <w:color w:val="auto"/>
                <w:sz w:val="21"/>
                <w:szCs w:val="21"/>
                <w:highlight w:val="none"/>
                <w:lang w:eastAsia="zh-TW"/>
              </w:rPr>
              <w:t>的除外</w:t>
            </w:r>
            <w:r>
              <w:rPr>
                <w:rFonts w:hint="eastAsia" w:ascii="宋体" w:hAnsi="宋体" w:eastAsia="宋体" w:cs="宋体"/>
                <w:b w:val="0"/>
                <w:bCs/>
                <w:color w:val="auto"/>
                <w:sz w:val="21"/>
                <w:szCs w:val="21"/>
                <w:highlight w:val="none"/>
              </w:rPr>
              <w:t>。</w:t>
            </w:r>
          </w:p>
        </w:tc>
      </w:tr>
      <w:tr w14:paraId="762D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602" w:type="pct"/>
            <w:vMerge w:val="continue"/>
            <w:vAlign w:val="center"/>
          </w:tcPr>
          <w:p w14:paraId="55FFAF15">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613" w:type="pct"/>
            <w:vMerge w:val="continue"/>
            <w:vAlign w:val="center"/>
          </w:tcPr>
          <w:p w14:paraId="357E6A4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highlight w:val="none"/>
              </w:rPr>
            </w:pPr>
          </w:p>
        </w:tc>
        <w:tc>
          <w:tcPr>
            <w:tcW w:w="3784" w:type="pct"/>
          </w:tcPr>
          <w:p w14:paraId="2D0D5D1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4.4涉及政府投资项目待资金下达后进行支付。</w:t>
            </w:r>
          </w:p>
        </w:tc>
      </w:tr>
      <w:tr w14:paraId="1FA4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602" w:type="pct"/>
            <w:vMerge w:val="restart"/>
            <w:vAlign w:val="center"/>
          </w:tcPr>
          <w:p w14:paraId="14BD1EC3">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5</w:t>
            </w:r>
          </w:p>
        </w:tc>
        <w:tc>
          <w:tcPr>
            <w:tcW w:w="613" w:type="pct"/>
            <w:vMerge w:val="restart"/>
            <w:vAlign w:val="center"/>
          </w:tcPr>
          <w:p w14:paraId="692E0AAF">
            <w:pPr>
              <w:keepNext w:val="0"/>
              <w:keepLines w:val="0"/>
              <w:numPr>
                <w:ilvl w:val="0"/>
                <w:numId w:val="0"/>
              </w:numPr>
              <w:suppressLineNumbers w:val="0"/>
              <w:tabs>
                <w:tab w:val="left" w:pos="540"/>
              </w:tabs>
              <w:adjustRightInd w:val="0"/>
              <w:snapToGrid w:val="0"/>
              <w:spacing w:before="0" w:beforeAutospacing="0" w:after="0" w:afterAutospacing="0" w:line="360" w:lineRule="auto"/>
              <w:ind w:left="0" w:leftChars="0" w:right="0" w:firstLine="0" w:firstLineChars="0"/>
              <w:jc w:val="center"/>
              <w:rPr>
                <w:rFonts w:hint="eastAsia" w:ascii="宋体" w:hAnsi="宋体" w:eastAsia="宋体" w:cs="宋体"/>
                <w:b w:val="0"/>
                <w:bCs/>
                <w:sz w:val="21"/>
                <w:szCs w:val="21"/>
                <w:highlight w:val="none"/>
              </w:rPr>
            </w:pPr>
            <w:r>
              <w:rPr>
                <w:rFonts w:hint="eastAsia" w:ascii="宋体" w:hAnsi="宋体" w:eastAsia="宋体" w:cs="宋体"/>
                <w:b w:val="0"/>
                <w:bCs/>
                <w:color w:val="auto"/>
                <w:sz w:val="21"/>
                <w:szCs w:val="21"/>
                <w:highlight w:val="none"/>
              </w:rPr>
              <w:t>知识产权合规承诺</w:t>
            </w:r>
          </w:p>
        </w:tc>
        <w:tc>
          <w:tcPr>
            <w:tcW w:w="3784" w:type="pct"/>
          </w:tcPr>
          <w:p w14:paraId="256A5B78">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sz w:val="21"/>
                <w:szCs w:val="21"/>
                <w:highlight w:val="none"/>
              </w:rPr>
            </w:pPr>
            <w:r>
              <w:rPr>
                <w:rFonts w:hint="eastAsia" w:ascii="宋体" w:hAnsi="宋体" w:eastAsia="宋体" w:cs="宋体"/>
                <w:b w:val="0"/>
                <w:bCs/>
                <w:color w:val="auto"/>
                <w:kern w:val="0"/>
                <w:sz w:val="21"/>
                <w:szCs w:val="21"/>
                <w:highlight w:val="none"/>
                <w:lang w:val="en-US" w:eastAsia="zh-CN" w:bidi="ar"/>
              </w:rPr>
              <w:t>5.1</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在履行合同的过程中不得侵犯他人知识产权，不得提供虚假知识产权申请材料或者违背知识产权合规性承诺，否则依法追究其违约等责任，并将其失信违法信息依法纳入公共信用信息系统。</w:t>
            </w:r>
          </w:p>
        </w:tc>
      </w:tr>
      <w:tr w14:paraId="249F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602" w:type="pct"/>
            <w:vMerge w:val="continue"/>
            <w:vAlign w:val="center"/>
          </w:tcPr>
          <w:p w14:paraId="51153814">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sz w:val="21"/>
                <w:highlight w:val="none"/>
              </w:rPr>
            </w:pPr>
          </w:p>
        </w:tc>
        <w:tc>
          <w:tcPr>
            <w:tcW w:w="613" w:type="pct"/>
            <w:vMerge w:val="continue"/>
            <w:vAlign w:val="center"/>
          </w:tcPr>
          <w:p w14:paraId="71896077">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sz w:val="21"/>
                <w:highlight w:val="none"/>
              </w:rPr>
            </w:pPr>
          </w:p>
        </w:tc>
        <w:tc>
          <w:tcPr>
            <w:tcW w:w="3784" w:type="pct"/>
          </w:tcPr>
          <w:p w14:paraId="71A0AD2A">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5.2</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应保证采购人在使用该货物或其任何一部分时免受第三方提出侵犯其专利、商标、版权等知识产权或商品名称及其他权利的起诉及索赔。若采购人因此被第三方起诉或以其他方式追究责任，</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应赔偿因采购人被第三方索赔所引起的一切损失，包括但不限于采购人所支付的侵权损害赔偿费、律师费、诉讼费、仲裁费、办案差旅费等因应诉、沟通协调所发生的一切费用。</w:t>
            </w:r>
          </w:p>
        </w:tc>
      </w:tr>
      <w:tr w14:paraId="673B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pct"/>
            <w:vMerge w:val="continue"/>
            <w:vAlign w:val="center"/>
          </w:tcPr>
          <w:p w14:paraId="01401FB6">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color w:val="auto"/>
                <w:kern w:val="0"/>
                <w:sz w:val="21"/>
                <w:szCs w:val="21"/>
                <w:highlight w:val="none"/>
                <w:lang w:val="en-US" w:eastAsia="zh-CN" w:bidi="ar"/>
              </w:rPr>
            </w:pPr>
          </w:p>
        </w:tc>
        <w:tc>
          <w:tcPr>
            <w:tcW w:w="613" w:type="pct"/>
            <w:vMerge w:val="continue"/>
            <w:vAlign w:val="center"/>
          </w:tcPr>
          <w:p w14:paraId="6322FB65">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eastAsia" w:ascii="宋体" w:hAnsi="宋体" w:eastAsia="宋体" w:cs="宋体"/>
                <w:b w:val="0"/>
                <w:bCs/>
                <w:color w:val="auto"/>
                <w:kern w:val="0"/>
                <w:sz w:val="21"/>
                <w:szCs w:val="21"/>
                <w:highlight w:val="none"/>
                <w:lang w:val="en-US" w:eastAsia="zh-CN" w:bidi="ar"/>
              </w:rPr>
            </w:pPr>
          </w:p>
        </w:tc>
        <w:tc>
          <w:tcPr>
            <w:tcW w:w="3784" w:type="pct"/>
          </w:tcPr>
          <w:p w14:paraId="1F923EE0">
            <w:pPr>
              <w:keepNext w:val="0"/>
              <w:keepLines w:val="0"/>
              <w:numPr>
                <w:ilvl w:val="0"/>
                <w:numId w:val="0"/>
              </w:numPr>
              <w:suppressLineNumbers w:val="0"/>
              <w:tabs>
                <w:tab w:val="left" w:pos="540"/>
              </w:tabs>
              <w:adjustRightInd w:val="0"/>
              <w:snapToGrid w:val="0"/>
              <w:spacing w:before="0" w:beforeAutospacing="0" w:after="0" w:afterAutospacing="0" w:line="240" w:lineRule="auto"/>
              <w:ind w:left="0" w:leftChars="0" w:right="0" w:firstLine="0" w:firstLineChars="0"/>
              <w:rPr>
                <w:rFonts w:hint="eastAsia" w:ascii="宋体" w:hAnsi="宋体" w:eastAsia="宋体" w:cs="宋体"/>
                <w:b w:val="0"/>
                <w:bCs/>
                <w:color w:val="auto"/>
                <w:kern w:val="0"/>
                <w:sz w:val="21"/>
                <w:szCs w:val="21"/>
                <w:highlight w:val="none"/>
                <w:lang w:val="en-US" w:eastAsia="zh-CN" w:bidi="ar"/>
              </w:rPr>
            </w:pPr>
            <w:r>
              <w:rPr>
                <w:rFonts w:hint="eastAsia" w:ascii="宋体" w:hAnsi="宋体" w:eastAsia="宋体" w:cs="宋体"/>
                <w:b w:val="0"/>
                <w:bCs/>
                <w:color w:val="auto"/>
                <w:kern w:val="0"/>
                <w:sz w:val="21"/>
                <w:szCs w:val="21"/>
                <w:highlight w:val="none"/>
                <w:lang w:val="en-US" w:eastAsia="zh-CN" w:bidi="ar"/>
              </w:rPr>
              <w:t>5.3</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实施本项目所形成成果的知识产权归采购人所有，未经采购人许可，</w:t>
            </w:r>
            <w:r>
              <w:rPr>
                <w:rFonts w:hint="eastAsia" w:ascii="宋体" w:hAnsi="宋体" w:eastAsia="宋体" w:cs="宋体"/>
                <w:b w:val="0"/>
                <w:bCs/>
                <w:color w:val="000000"/>
                <w:sz w:val="21"/>
                <w:szCs w:val="21"/>
                <w:highlight w:val="none"/>
              </w:rPr>
              <w:t>投标人</w:t>
            </w:r>
            <w:r>
              <w:rPr>
                <w:rFonts w:hint="eastAsia" w:ascii="宋体" w:hAnsi="宋体" w:eastAsia="宋体" w:cs="宋体"/>
                <w:b w:val="0"/>
                <w:bCs/>
                <w:color w:val="auto"/>
                <w:kern w:val="0"/>
                <w:sz w:val="21"/>
                <w:szCs w:val="21"/>
                <w:highlight w:val="none"/>
                <w:lang w:val="en-US" w:eastAsia="zh-CN" w:bidi="ar"/>
              </w:rPr>
              <w:t>不得随意使用。</w:t>
            </w:r>
          </w:p>
        </w:tc>
      </w:tr>
      <w:tr w14:paraId="1189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02" w:type="pct"/>
            <w:vAlign w:val="center"/>
          </w:tcPr>
          <w:p w14:paraId="751EBDF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rPr>
              <w:t>★</w:t>
            </w:r>
            <w:r>
              <w:rPr>
                <w:rFonts w:hint="eastAsia" w:ascii="宋体" w:hAnsi="宋体" w:eastAsia="宋体" w:cs="宋体"/>
                <w:b w:val="0"/>
                <w:bCs/>
                <w:sz w:val="21"/>
                <w:szCs w:val="21"/>
                <w:highlight w:val="none"/>
                <w:lang w:val="en-US" w:eastAsia="zh-CN"/>
              </w:rPr>
              <w:t>6</w:t>
            </w:r>
          </w:p>
        </w:tc>
        <w:tc>
          <w:tcPr>
            <w:tcW w:w="613" w:type="pct"/>
            <w:vAlign w:val="center"/>
          </w:tcPr>
          <w:p w14:paraId="6564F50E">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医疗器械注册证</w:t>
            </w:r>
          </w:p>
        </w:tc>
        <w:tc>
          <w:tcPr>
            <w:tcW w:w="3784" w:type="pct"/>
            <w:vAlign w:val="center"/>
          </w:tcPr>
          <w:p w14:paraId="19427C10">
            <w:pPr>
              <w:keepNext w:val="0"/>
              <w:keepLines w:val="0"/>
              <w:suppressLineNumbers w:val="0"/>
              <w:spacing w:before="0" w:beforeAutospacing="0" w:after="0" w:afterAutospacing="0" w:line="240" w:lineRule="auto"/>
              <w:ind w:left="0" w:right="0" w:firstLine="0" w:firstLineChars="0"/>
              <w:rPr>
                <w:rFonts w:hint="eastAsia" w:ascii="宋体" w:hAnsi="宋体" w:eastAsia="宋体" w:cs="宋体"/>
                <w:b w:val="0"/>
                <w:bCs/>
                <w:color w:val="000000"/>
                <w:kern w:val="2"/>
                <w:sz w:val="21"/>
                <w:szCs w:val="21"/>
                <w:highlight w:val="none"/>
                <w:lang w:val="en-US" w:eastAsia="zh-CN" w:bidi="ar-SA"/>
              </w:rPr>
            </w:pPr>
            <w:r>
              <w:rPr>
                <w:rFonts w:hint="eastAsia" w:ascii="宋体" w:hAnsi="宋体" w:eastAsia="宋体" w:cs="宋体"/>
                <w:b/>
                <w:bCs w:val="0"/>
                <w:color w:val="FF0000"/>
                <w:sz w:val="21"/>
                <w:szCs w:val="21"/>
                <w:highlight w:val="none"/>
                <w:lang w:val="en-US" w:eastAsia="zh-CN"/>
              </w:rPr>
              <w:t>6</w:t>
            </w:r>
            <w:r>
              <w:rPr>
                <w:rFonts w:hint="eastAsia" w:ascii="宋体" w:hAnsi="宋体" w:eastAsia="宋体" w:cs="宋体"/>
                <w:b/>
                <w:bCs w:val="0"/>
                <w:color w:val="FF0000"/>
                <w:sz w:val="21"/>
                <w:szCs w:val="21"/>
                <w:highlight w:val="none"/>
              </w:rPr>
              <w:t>.1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r>
    </w:tbl>
    <w:p w14:paraId="573D3B03">
      <w:pPr>
        <w:spacing w:line="240" w:lineRule="auto"/>
        <w:ind w:firstLine="0" w:firstLineChars="0"/>
        <w:rPr>
          <w:rFonts w:ascii="Times New Roman" w:hAnsi="Times New Roman" w:eastAsia="宋体" w:cs="Times New Roman"/>
          <w:b/>
          <w:strike/>
          <w:sz w:val="21"/>
        </w:rPr>
      </w:pPr>
    </w:p>
    <w:p w14:paraId="1139AD8B"/>
    <w:sectPr>
      <w:pgSz w:w="11906" w:h="16838"/>
      <w:pgMar w:top="2098" w:right="1474" w:bottom="1984" w:left="1587" w:header="851" w:footer="62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06D1"/>
    <w:rsid w:val="03946089"/>
    <w:rsid w:val="058C5590"/>
    <w:rsid w:val="098826F0"/>
    <w:rsid w:val="0AA932E3"/>
    <w:rsid w:val="0ACC225A"/>
    <w:rsid w:val="0D6B4B94"/>
    <w:rsid w:val="0F987405"/>
    <w:rsid w:val="14D964F6"/>
    <w:rsid w:val="16AE4B36"/>
    <w:rsid w:val="1D9346EB"/>
    <w:rsid w:val="21C46C12"/>
    <w:rsid w:val="22E50641"/>
    <w:rsid w:val="23403BE4"/>
    <w:rsid w:val="36820344"/>
    <w:rsid w:val="38DB01DF"/>
    <w:rsid w:val="46475DC6"/>
    <w:rsid w:val="47D827AB"/>
    <w:rsid w:val="49E00073"/>
    <w:rsid w:val="5DF9063C"/>
    <w:rsid w:val="6AA45DD3"/>
    <w:rsid w:val="73EA58EF"/>
    <w:rsid w:val="78BA08A4"/>
    <w:rsid w:val="7C1851E1"/>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kern w:val="44"/>
    </w:rPr>
  </w:style>
  <w:style w:type="paragraph" w:styleId="2">
    <w:name w:val="heading 2"/>
    <w:next w:val="1"/>
    <w:semiHidden/>
    <w:unhideWhenUsed/>
    <w:qFormat/>
    <w:uiPriority w:val="0"/>
    <w:pPr>
      <w:keepNext/>
      <w:keepLines/>
      <w:widowControl w:val="0"/>
      <w:spacing w:beforeLines="0" w:beforeAutospacing="0" w:afterLines="0" w:afterAutospacing="0" w:line="560" w:lineRule="exact"/>
      <w:ind w:firstLine="880" w:firstLineChars="200"/>
      <w:jc w:val="both"/>
      <w:outlineLvl w:val="1"/>
    </w:pPr>
    <w:rPr>
      <w:rFonts w:ascii="Arial" w:hAnsi="Arial"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2617</Words>
  <Characters>2796</Characters>
  <Lines>0</Lines>
  <Paragraphs>0</Paragraphs>
  <TotalTime>4</TotalTime>
  <ScaleCrop>false</ScaleCrop>
  <LinksUpToDate>false</LinksUpToDate>
  <CharactersWithSpaces>2804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2021-07-06T01:11:00Z</dcterms:created>
  <dc:creator>szexgrp</dc:creator>
  <cp:lastModifiedBy>符文伯</cp:lastModifiedBy>
  <dcterms:modified xsi:type="dcterms:W3CDTF">2026-07-23T03:39:22Z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eyJoZGlkIjoiMjdiMzRkOWUyMjJiYWRkZDY4ZDdmM2RhMzNjMmNiZWMiLCJ1c2VySWQiOiIxNDc4ODMwNzQzIn0=</vt:lpwstr>
  </property>
  <property fmtid="{D5CDD505-2E9C-101B-9397-08002B2CF9AE}" pid="4" name="ICV">
    <vt:lpwstr>8B2FE63093E148A598A43907D770173A_12</vt:lpwstr>
  </property>
</Properties>
</file>