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autoSpaceDE w:val="0"/>
        <w:autoSpaceDN w:val="0"/>
        <w:adjustRightInd w:val="0"/>
        <w:snapToGrid w:val="0"/>
        <w:spacing w:line="560" w:lineRule="exact"/>
        <w:ind w:firstLine="0" w:firstLineChars="0"/>
        <w:jc w:val="center"/>
        <w:rPr>
          <w:rFonts w:ascii="公文小标宋简" w:hAnsi="公文小标宋简" w:eastAsia="公文小标宋简" w:cs="公文小标宋简"/>
          <w:b/>
          <w:sz w:val="44"/>
          <w:szCs w:val="44"/>
        </w:rPr>
      </w:pPr>
    </w:p>
    <w:p>
      <w:pPr>
        <w:widowControl w:val="0"/>
        <w:autoSpaceDE w:val="0"/>
        <w:autoSpaceDN w:val="0"/>
        <w:adjustRightInd w:val="0"/>
        <w:snapToGrid w:val="0"/>
        <w:spacing w:line="560" w:lineRule="exact"/>
        <w:ind w:firstLine="0" w:firstLineChars="0"/>
        <w:jc w:val="center"/>
        <w:rPr>
          <w:rFonts w:ascii="公文小标宋简" w:hAnsi="公文小标宋简" w:eastAsia="公文小标宋简" w:cs="公文小标宋简"/>
          <w:b/>
          <w:sz w:val="44"/>
          <w:szCs w:val="44"/>
        </w:rPr>
      </w:pPr>
    </w:p>
    <w:p>
      <w:pPr>
        <w:ind w:firstLine="420"/>
      </w:pPr>
    </w:p>
    <w:p>
      <w:pPr>
        <w:widowControl w:val="0"/>
        <w:tabs>
          <w:tab w:val="left" w:pos="4678"/>
        </w:tabs>
        <w:spacing w:line="560" w:lineRule="exact"/>
        <w:ind w:firstLine="0" w:firstLineChars="0"/>
        <w:jc w:val="center"/>
        <w:rPr>
          <w:rFonts w:hint="eastAsia" w:ascii="方正小标宋简体" w:eastAsia="方正小标宋简体" w:hAnsiTheme="minorHAnsi" w:cstheme="minorBidi"/>
          <w:sz w:val="44"/>
          <w:szCs w:val="44"/>
        </w:rPr>
      </w:pPr>
      <w:r>
        <w:rPr>
          <w:rFonts w:hint="eastAsia" w:ascii="方正小标宋简体" w:eastAsia="方正小标宋简体" w:hAnsiTheme="minorHAnsi" w:cstheme="minorBidi"/>
          <w:sz w:val="44"/>
          <w:szCs w:val="44"/>
        </w:rPr>
        <w:t>公有云-</w:t>
      </w:r>
      <w:r>
        <w:rPr>
          <w:rFonts w:hint="eastAsia" w:ascii="方正小标宋简体" w:eastAsia="方正小标宋简体" w:hAnsiTheme="minorHAnsi" w:cstheme="minorBidi"/>
          <w:sz w:val="44"/>
          <w:szCs w:val="44"/>
          <w:lang w:eastAsia="zh-CN"/>
        </w:rPr>
        <w:t>深圳智慧交易科技有限公司</w:t>
      </w:r>
      <w:r>
        <w:rPr>
          <w:rFonts w:hint="eastAsia" w:ascii="方正小标宋简体" w:eastAsia="方正小标宋简体" w:hAnsiTheme="minorHAnsi" w:cstheme="minorBidi"/>
          <w:sz w:val="44"/>
          <w:szCs w:val="44"/>
        </w:rPr>
        <w:t>项目需求书</w:t>
      </w:r>
    </w:p>
    <w:p>
      <w:pPr>
        <w:pStyle w:val="7"/>
        <w:ind w:firstLine="880"/>
        <w:rPr>
          <w:rFonts w:ascii="方正小标宋简体" w:hAnsi="宋体" w:eastAsia="方正小标宋简体"/>
          <w:b/>
          <w:sz w:val="44"/>
          <w:szCs w:val="44"/>
        </w:rPr>
      </w:pPr>
    </w:p>
    <w:p>
      <w:pPr>
        <w:pStyle w:val="7"/>
        <w:ind w:firstLine="880"/>
        <w:rPr>
          <w:rFonts w:ascii="方正小标宋简体" w:hAnsi="宋体" w:eastAsia="方正小标宋简体"/>
          <w:b/>
          <w:sz w:val="44"/>
          <w:szCs w:val="44"/>
        </w:rPr>
      </w:pPr>
    </w:p>
    <w:p>
      <w:pPr>
        <w:pStyle w:val="7"/>
        <w:ind w:firstLine="880"/>
        <w:rPr>
          <w:rFonts w:ascii="方正小标宋简体" w:hAnsi="宋体" w:eastAsia="方正小标宋简体"/>
          <w:b/>
          <w:sz w:val="44"/>
          <w:szCs w:val="44"/>
        </w:rPr>
      </w:pPr>
    </w:p>
    <w:p>
      <w:pPr>
        <w:pStyle w:val="7"/>
        <w:ind w:firstLine="880"/>
        <w:rPr>
          <w:rFonts w:ascii="方正小标宋简体" w:hAnsi="宋体" w:eastAsia="方正小标宋简体"/>
          <w:b/>
          <w:sz w:val="44"/>
          <w:szCs w:val="44"/>
        </w:rPr>
      </w:pPr>
    </w:p>
    <w:p>
      <w:pPr>
        <w:pStyle w:val="7"/>
        <w:ind w:firstLine="880"/>
        <w:rPr>
          <w:rFonts w:ascii="方正小标宋简体" w:hAnsi="宋体" w:eastAsia="方正小标宋简体"/>
          <w:b/>
          <w:sz w:val="44"/>
          <w:szCs w:val="44"/>
        </w:rPr>
      </w:pPr>
    </w:p>
    <w:p>
      <w:pPr>
        <w:pStyle w:val="7"/>
        <w:ind w:firstLine="880"/>
        <w:rPr>
          <w:rFonts w:ascii="方正小标宋简体" w:hAnsi="宋体" w:eastAsia="方正小标宋简体"/>
          <w:b/>
          <w:sz w:val="44"/>
          <w:szCs w:val="44"/>
        </w:rPr>
      </w:pPr>
    </w:p>
    <w:p>
      <w:pPr>
        <w:pStyle w:val="7"/>
        <w:ind w:firstLine="0" w:firstLineChars="0"/>
        <w:rPr>
          <w:rFonts w:ascii="方正小标宋简体" w:hAnsi="宋体" w:eastAsia="方正小标宋简体"/>
          <w:b/>
          <w:sz w:val="44"/>
          <w:szCs w:val="44"/>
        </w:rPr>
      </w:pPr>
    </w:p>
    <w:p>
      <w:pPr>
        <w:ind w:firstLine="0" w:firstLineChars="0"/>
      </w:pPr>
    </w:p>
    <w:p>
      <w:pPr>
        <w:ind w:firstLine="420"/>
      </w:pPr>
    </w:p>
    <w:p>
      <w:pPr>
        <w:widowControl w:val="0"/>
        <w:autoSpaceDE w:val="0"/>
        <w:autoSpaceDN w:val="0"/>
        <w:adjustRightInd w:val="0"/>
        <w:snapToGrid w:val="0"/>
        <w:spacing w:line="560" w:lineRule="exact"/>
        <w:ind w:firstLine="0" w:firstLineChars="0"/>
        <w:jc w:val="center"/>
        <w:rPr>
          <w:rFonts w:hint="eastAsia" w:ascii="黑体" w:hAnsi="黑体" w:eastAsia="黑体" w:cs="黑体"/>
          <w:b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/>
          <w:sz w:val="36"/>
          <w:szCs w:val="36"/>
          <w:lang w:eastAsia="zh-CN"/>
        </w:rPr>
        <w:t>深圳智慧交易科技有限公司</w:t>
      </w:r>
    </w:p>
    <w:p>
      <w:pPr>
        <w:widowControl w:val="0"/>
        <w:autoSpaceDE w:val="0"/>
        <w:autoSpaceDN w:val="0"/>
        <w:adjustRightInd w:val="0"/>
        <w:snapToGrid w:val="0"/>
        <w:spacing w:line="560" w:lineRule="exact"/>
        <w:ind w:firstLine="0" w:firstLineChars="0"/>
        <w:jc w:val="center"/>
        <w:rPr>
          <w:rFonts w:ascii="黑体" w:hAnsi="黑体" w:eastAsia="黑体" w:cs="黑体"/>
          <w:b/>
          <w:sz w:val="36"/>
          <w:szCs w:val="36"/>
        </w:rPr>
      </w:pPr>
      <w:r>
        <w:rPr>
          <w:rFonts w:hint="eastAsia" w:ascii="黑体" w:hAnsi="黑体" w:eastAsia="黑体" w:cs="黑体"/>
          <w:b/>
          <w:sz w:val="36"/>
          <w:szCs w:val="36"/>
        </w:rPr>
        <w:t>2026年5月</w:t>
      </w:r>
    </w:p>
    <w:p>
      <w:pPr>
        <w:ind w:firstLine="880"/>
      </w:pPr>
      <w:r>
        <w:rPr>
          <w:rFonts w:hint="eastAsia" w:ascii="方正小标宋简体" w:hAnsi="宋体" w:eastAsia="方正小标宋简体"/>
          <w:b/>
          <w:sz w:val="44"/>
          <w:szCs w:val="44"/>
        </w:rPr>
        <w:br w:type="page"/>
      </w:r>
    </w:p>
    <w:p>
      <w:pPr>
        <w:pStyle w:val="4"/>
        <w:spacing w:before="0" w:after="0" w:line="560" w:lineRule="exact"/>
        <w:ind w:firstLine="640"/>
        <w:rPr>
          <w:rFonts w:ascii="黑体" w:hAnsi="黑体" w:eastAsia="黑体"/>
          <w:b w:val="0"/>
          <w:bCs w:val="0"/>
          <w:sz w:val="32"/>
        </w:rPr>
      </w:pPr>
      <w:bookmarkStart w:id="0" w:name="_Toc404195400"/>
      <w:bookmarkStart w:id="1" w:name="_Toc406669472"/>
      <w:r>
        <w:rPr>
          <w:rFonts w:hint="eastAsia" w:ascii="黑体" w:hAnsi="黑体" w:eastAsia="黑体"/>
          <w:b w:val="0"/>
          <w:bCs w:val="0"/>
          <w:sz w:val="32"/>
        </w:rPr>
        <w:t>一、</w:t>
      </w:r>
      <w:bookmarkEnd w:id="0"/>
      <w:bookmarkEnd w:id="1"/>
      <w:r>
        <w:rPr>
          <w:rFonts w:hint="eastAsia" w:ascii="黑体" w:hAnsi="黑体" w:eastAsia="黑体"/>
          <w:b w:val="0"/>
          <w:bCs w:val="0"/>
          <w:sz w:val="32"/>
        </w:rPr>
        <w:t>项目简介</w:t>
      </w:r>
    </w:p>
    <w:p>
      <w:pPr>
        <w:pStyle w:val="11"/>
        <w:spacing w:after="0" w:line="560" w:lineRule="exact"/>
        <w:ind w:firstLine="672" w:firstLineChars="200"/>
        <w:rPr>
          <w:rFonts w:ascii="仿宋_GB2312" w:hAnsi="仿宋" w:eastAsia="仿宋_GB2312"/>
          <w:color w:val="000000"/>
          <w:spacing w:val="8"/>
          <w:sz w:val="32"/>
          <w:szCs w:val="32"/>
        </w:rPr>
      </w:pPr>
      <w:bookmarkStart w:id="2" w:name="_Toc406669473"/>
      <w:bookmarkStart w:id="3" w:name="_Toc404195401"/>
      <w:r>
        <w:rPr>
          <w:rFonts w:hint="eastAsia" w:ascii="仿宋_GB2312" w:hAnsi="仿宋" w:eastAsia="仿宋_GB2312"/>
          <w:color w:val="000000"/>
          <w:spacing w:val="8"/>
          <w:sz w:val="32"/>
          <w:szCs w:val="32"/>
        </w:rPr>
        <w:t>为了支撑各项信息化业务系统的稳定运行，提高业务的便捷性和安全性，结合互联网业务的特性，灵活配置系统的弹性处理能力，拟开展</w:t>
      </w:r>
      <w:r>
        <w:rPr>
          <w:rFonts w:hint="eastAsia" w:ascii="仿宋_GB2312" w:hAnsi="仿宋" w:eastAsia="仿宋_GB2312"/>
          <w:color w:val="000000"/>
          <w:spacing w:val="8"/>
          <w:sz w:val="32"/>
          <w:szCs w:val="32"/>
          <w:lang w:eastAsia="zh-CN"/>
        </w:rPr>
        <w:t>深圳智慧交易科技有限公司</w:t>
      </w:r>
      <w:r>
        <w:rPr>
          <w:rFonts w:hint="eastAsia" w:ascii="仿宋_GB2312" w:hAnsi="仿宋" w:eastAsia="仿宋_GB2312"/>
          <w:color w:val="000000"/>
          <w:spacing w:val="8"/>
          <w:sz w:val="32"/>
          <w:szCs w:val="32"/>
        </w:rPr>
        <w:t>2026年-2027年公有云服务资源采购。</w:t>
      </w:r>
    </w:p>
    <w:bookmarkEnd w:id="2"/>
    <w:bookmarkEnd w:id="3"/>
    <w:p>
      <w:pPr>
        <w:pStyle w:val="4"/>
        <w:spacing w:before="0" w:after="0" w:line="560" w:lineRule="exact"/>
        <w:ind w:firstLine="640"/>
        <w:rPr>
          <w:rFonts w:ascii="黑体" w:hAnsi="黑体" w:eastAsia="黑体"/>
          <w:b w:val="0"/>
          <w:bCs w:val="0"/>
          <w:sz w:val="32"/>
        </w:rPr>
      </w:pPr>
      <w:r>
        <w:rPr>
          <w:rFonts w:hint="eastAsia" w:ascii="黑体" w:hAnsi="黑体" w:eastAsia="黑体"/>
          <w:b w:val="0"/>
          <w:bCs w:val="0"/>
          <w:sz w:val="32"/>
        </w:rPr>
        <w:t>二、项目情况</w:t>
      </w:r>
    </w:p>
    <w:p>
      <w:pPr>
        <w:pStyle w:val="11"/>
        <w:spacing w:after="0" w:line="560" w:lineRule="exact"/>
        <w:ind w:firstLine="672" w:firstLineChars="200"/>
        <w:rPr>
          <w:rFonts w:ascii="仿宋_GB2312" w:hAnsi="仿宋" w:eastAsia="仿宋_GB2312"/>
          <w:color w:val="000000"/>
          <w:spacing w:val="8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pacing w:val="8"/>
          <w:sz w:val="32"/>
          <w:szCs w:val="32"/>
        </w:rPr>
        <w:t>目前公有云承载了深圳交易集团60多个关键业务系统，包括建设工程交易、土地矿产交易、阳光租赁等关键业务系统。生产业务在公有云上采用微服务模式分层解耦建设，以基础平台为基石、构建九大业务中台、支持各类交易系统对外提供业务。在业务架构建设中，一方面采用了云服务器、云存储、数据库等基础服务，快速满足业务上线的资源需求，同时有效应对业务高峰期压力；另一方面，采用了多种云上PaaS服务赋能业务系统智能化，例如采用Elasticsearch Service（ES）数据检索分析服务，助力交易集团高效处理分析海量业务数据，挖掘价值；采用区块链服务进行交易过程存证，增加交易服务可信性。同时，在公有云上开通云防火墙、WAF、主机安全等安全服务，构建公有云上完善的安全服务体系，保障公有云上业务安全。</w:t>
      </w:r>
    </w:p>
    <w:p>
      <w:pPr>
        <w:pStyle w:val="11"/>
        <w:spacing w:after="0" w:line="560" w:lineRule="exact"/>
        <w:ind w:firstLine="672" w:firstLineChars="200"/>
        <w:rPr>
          <w:rFonts w:ascii="仿宋_GB2312" w:hAnsi="仿宋" w:eastAsia="仿宋_GB2312"/>
          <w:color w:val="000000"/>
          <w:spacing w:val="8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pacing w:val="8"/>
          <w:sz w:val="32"/>
          <w:szCs w:val="32"/>
        </w:rPr>
        <w:t>深圳</w:t>
      </w:r>
      <w:r>
        <w:rPr>
          <w:rFonts w:hint="eastAsia" w:ascii="仿宋_GB2312" w:hAnsi="仿宋" w:eastAsia="仿宋_GB2312"/>
          <w:color w:val="000000"/>
          <w:spacing w:val="8"/>
          <w:sz w:val="32"/>
          <w:szCs w:val="32"/>
          <w:lang w:val="en-US" w:eastAsia="zh-CN"/>
        </w:rPr>
        <w:t>智慧交易科技有限公司</w:t>
      </w:r>
      <w:r>
        <w:rPr>
          <w:rFonts w:hint="eastAsia" w:ascii="仿宋_GB2312" w:hAnsi="仿宋" w:eastAsia="仿宋_GB2312"/>
          <w:color w:val="000000"/>
          <w:spacing w:val="8"/>
          <w:sz w:val="32"/>
          <w:szCs w:val="32"/>
        </w:rPr>
        <w:t>目前共使用44款公有云产品，产品丰富和业务深度匹配使用。</w:t>
      </w:r>
    </w:p>
    <w:p>
      <w:pPr>
        <w:pStyle w:val="11"/>
        <w:spacing w:after="0" w:line="560" w:lineRule="exact"/>
        <w:ind w:firstLine="672" w:firstLineChars="200"/>
        <w:rPr>
          <w:rFonts w:ascii="仿宋_GB2312" w:hAnsi="仿宋" w:eastAsia="仿宋_GB2312"/>
          <w:color w:val="000000"/>
          <w:spacing w:val="8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pacing w:val="8"/>
          <w:sz w:val="32"/>
          <w:szCs w:val="32"/>
        </w:rPr>
        <w:t>本项目拟通过公开招投标方式采购后续公有云服务资源。采购范围为云服务资源，包括云服务器、云桌面、云数据库MySQL、云数据库SQLServer、云数据库MongoDB、云数据库Redis、云数据库 MariaDB、数据库审计和备份、对象存储、文件存储、云硬盘快照、云硬盘、日志服务、Elasticsearch Service、NAT网关、负载均衡、公网IP、私有域解析、内容分发网络 CDN、专线接入、云联网、Web应用防火墙、堡垒机、云防火墙、主机安全、DDoS防护、SSL数字证书、文本内容安全、图片内容安全、零信任安全、云点播、云直播、即时通信IM 、人脸核身、短信服务、号码认证、容器服务、容器镜像服务、区块链平台、数字人、云监控、敏捷项目管理TAPD、消息服务Kafka、消息队列 MQ。</w:t>
      </w:r>
    </w:p>
    <w:p>
      <w:pPr>
        <w:pStyle w:val="11"/>
        <w:spacing w:after="0" w:line="560" w:lineRule="exact"/>
        <w:ind w:firstLine="672" w:firstLineChars="200"/>
        <w:rPr>
          <w:rFonts w:ascii="仿宋_GB2312" w:hAnsi="仿宋" w:eastAsia="仿宋_GB2312"/>
          <w:color w:val="000000"/>
          <w:spacing w:val="8"/>
          <w:sz w:val="32"/>
          <w:szCs w:val="32"/>
        </w:rPr>
      </w:pPr>
      <w:bookmarkStart w:id="4" w:name="_Toc404195402"/>
      <w:bookmarkStart w:id="5" w:name="_Toc406669474"/>
      <w:r>
        <w:rPr>
          <w:rFonts w:hint="eastAsia" w:ascii="仿宋_GB2312" w:hAnsi="仿宋" w:eastAsia="仿宋_GB2312"/>
          <w:color w:val="000000"/>
          <w:spacing w:val="8"/>
          <w:sz w:val="32"/>
          <w:szCs w:val="32"/>
        </w:rPr>
        <w:t>三、</w:t>
      </w:r>
      <w:bookmarkEnd w:id="4"/>
      <w:bookmarkEnd w:id="5"/>
      <w:r>
        <w:rPr>
          <w:rFonts w:hint="eastAsia" w:ascii="仿宋_GB2312" w:hAnsi="仿宋" w:eastAsia="仿宋_GB2312"/>
          <w:color w:val="000000"/>
          <w:spacing w:val="8"/>
          <w:sz w:val="32"/>
          <w:szCs w:val="32"/>
        </w:rPr>
        <w:t>技术要求</w:t>
      </w:r>
    </w:p>
    <w:p>
      <w:pPr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（一）云产品和服务要求</w:t>
      </w:r>
    </w:p>
    <w:p>
      <w:pPr>
        <w:ind w:firstLine="640"/>
      </w:pPr>
      <w:r>
        <w:rPr>
          <w:rFonts w:hint="eastAsia" w:ascii="仿宋_GB2312" w:eastAsia="仿宋_GB2312"/>
          <w:sz w:val="32"/>
          <w:szCs w:val="32"/>
        </w:rPr>
        <w:t>拟采购包括但不限于以下的云产品和服务，具体要求如下：</w:t>
      </w:r>
    </w:p>
    <w:tbl>
      <w:tblPr>
        <w:tblStyle w:val="13"/>
        <w:tblW w:w="8039" w:type="dxa"/>
        <w:tblInd w:w="270" w:type="dxa"/>
        <w:tblBorders>
          <w:top w:val="single" w:color="CBCDD1" w:sz="6" w:space="0"/>
          <w:left w:val="single" w:color="CBCDD1" w:sz="6" w:space="0"/>
          <w:bottom w:val="single" w:color="CBCDD1" w:sz="6" w:space="0"/>
          <w:right w:val="single" w:color="CBCDD1" w:sz="6" w:space="0"/>
          <w:insideH w:val="single" w:color="CBCDD1" w:sz="6" w:space="0"/>
          <w:insideV w:val="single" w:color="CBCDD1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620"/>
        <w:gridCol w:w="1890"/>
        <w:gridCol w:w="3749"/>
      </w:tblGrid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7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b/>
                <w:bCs/>
                <w:spacing w:val="-4"/>
                <w:sz w:val="24"/>
              </w:rPr>
            </w:pPr>
            <w:r>
              <w:rPr>
                <w:b/>
                <w:bCs/>
                <w:spacing w:val="-4"/>
                <w:sz w:val="24"/>
              </w:rPr>
              <w:t>序号</w:t>
            </w:r>
          </w:p>
        </w:tc>
        <w:tc>
          <w:tcPr>
            <w:tcW w:w="162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b/>
                <w:bCs/>
                <w:spacing w:val="-4"/>
                <w:sz w:val="24"/>
              </w:rPr>
            </w:pPr>
            <w:r>
              <w:rPr>
                <w:b/>
                <w:bCs/>
                <w:spacing w:val="-4"/>
                <w:sz w:val="24"/>
              </w:rPr>
              <w:t>云产品</w:t>
            </w:r>
          </w:p>
        </w:tc>
        <w:tc>
          <w:tcPr>
            <w:tcW w:w="1890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b/>
                <w:bCs/>
                <w:spacing w:val="-4"/>
                <w:sz w:val="24"/>
              </w:rPr>
            </w:pPr>
            <w:r>
              <w:rPr>
                <w:b/>
                <w:bCs/>
                <w:spacing w:val="-4"/>
                <w:sz w:val="24"/>
              </w:rPr>
              <w:t>功能描述</w:t>
            </w:r>
          </w:p>
        </w:tc>
        <w:tc>
          <w:tcPr>
            <w:tcW w:w="3749" w:type="dxa"/>
            <w:tcBorders>
              <w:top w:val="single" w:color="000000" w:sz="8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b/>
                <w:bCs/>
                <w:spacing w:val="-4"/>
                <w:sz w:val="24"/>
              </w:rPr>
            </w:pPr>
            <w:r>
              <w:rPr>
                <w:b/>
                <w:bCs/>
                <w:spacing w:val="-4"/>
                <w:sz w:val="24"/>
              </w:rPr>
              <w:t>技术要求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5" w:hRule="atLeast"/>
        </w:trPr>
        <w:tc>
          <w:tcPr>
            <w:tcW w:w="78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62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云服务器</w:t>
            </w:r>
          </w:p>
        </w:tc>
        <w:tc>
          <w:tcPr>
            <w:tcW w:w="189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提供不同规格的云服务器，为用户提供安全可靠的弹性计算服务。可以实时扩展或缩减计算资源，适应各种业务的需求，实现按需使用资源计费。</w:t>
            </w:r>
          </w:p>
        </w:tc>
        <w:tc>
          <w:tcPr>
            <w:tcW w:w="374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1.具备快照/备份、性能监测分析、异常告警等功能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2.云主机提供多种远程登录方式：密码登录、密钥登录、VNC登录等。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3.单台云主机系统盘可支持不低于1024GB，支持挂载不少于10块弹性云硬盘作为数据盘、单数据盘可支持不低于32TB。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4.支持绑定不低于4个弹性网卡。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5.单台云主机创建时间小于10s。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6.云主机提供主流的Windows、Linux等操作系统，且均具备正版授权。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7.可指定用户预先配置好的镜像文件作为模板进行云主机的创建。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8.对于单实例维度，一个服务周期内云主机的服务SLA可用性不低于99.975%。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3" w:hRule="atLeast"/>
        </w:trPr>
        <w:tc>
          <w:tcPr>
            <w:tcW w:w="78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62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云桌面</w:t>
            </w:r>
          </w:p>
        </w:tc>
        <w:tc>
          <w:tcPr>
            <w:tcW w:w="189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云桌面为用户提供随需快捷交付的虚拟远程桌面服务。</w:t>
            </w:r>
          </w:p>
        </w:tc>
        <w:tc>
          <w:tcPr>
            <w:tcW w:w="374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1.支持自定义镜像，可快速通过自定义镜像批量创建云桌面。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2.支持会话安全策略，可控制文件重定向、剪切板重定向及水印等。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3.支持一键快速重置为初始状态或指定镜像。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4.支持将已经绑定用户的云桌面进行解绑，解绑后当前云桌面状态更新为未绑定状态，可重新将此云桌面绑定至其他用户或原用户。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5.云桌面支持自动快照功能。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6.云桌面支持通过公网访问链接，不限制终端网络环境。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1" w:hRule="atLeast"/>
        </w:trPr>
        <w:tc>
          <w:tcPr>
            <w:tcW w:w="78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162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云数据库MySQL</w:t>
            </w:r>
          </w:p>
        </w:tc>
        <w:tc>
          <w:tcPr>
            <w:tcW w:w="189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提供安全可靠、易于维护的MySQL关系型云数据库服务，用户可自行创建不同规格云数据库实例。</w:t>
            </w:r>
          </w:p>
        </w:tc>
        <w:tc>
          <w:tcPr>
            <w:tcW w:w="374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1.提供实例负载监控，通过实时会话指标诊断数据库慢sql。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2.完全兼容开源Mysql，支持主流MySQL版本，包含5.7、8.0，支持5.7一键升级8.0。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3.支持在线升级数据库CPU、内存和磁盘规格，升级过程中业务访问数据库无中断。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4.支持数据库主从之间数据一致，在主节点故障时，从节点不会丢失或错乱数据。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5.跨地域同步工具：支持跨地域或跨集群实例的数据同步，并支持对同步情况进行监控和告警。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6.多种管理方式：数据库实例支持Web管理控制界面；支持命令行GUI管理方式；支持第三方管理工具。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7、SLA：对数据库可用性有SLA承诺，SLA不低于99.95%指标。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8、提供自动读写分离、事务拆分、连接池、防闪断等高级功能，支持挂载跨可用区只读实例，实现跨地域容灾、开通多个数据库代理访问地址；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9、支持一键迁移至云盘版本、云原生版本Mysql；本地盘SSD存储支持12T;云盘版本支持最大32T磁盘，适用于小规格大存储业务；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3" w:hRule="atLeast"/>
        </w:trPr>
        <w:tc>
          <w:tcPr>
            <w:tcW w:w="78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162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云数据库Redis</w:t>
            </w:r>
          </w:p>
        </w:tc>
        <w:tc>
          <w:tcPr>
            <w:tcW w:w="189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提供高可用的Redis数据库，兼容开源Redis协议标准。</w:t>
            </w:r>
          </w:p>
        </w:tc>
        <w:tc>
          <w:tcPr>
            <w:tcW w:w="374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1.版本与架构：需兼容Redis 4.0、Redis 5.0版本协议，提供标准和集群两大架构版本。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2.支持Reids的高可用架构，支持主从，集群，读写分离模式。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3.多可用区部署：支持同地域下跨多个可用区部署副本。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4.故障自动切换：支持主从架构，故障自动容灾能力，主机、机房故障后，访问秒级切换到备机，切换不影响线上业务，整个过程用户无需做任何处理，支持锁定主可用区，HA之后自动无损回切主节点，做到可用区管理免运维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5.支持慢查询日志，可以通过参数设置慢查询阙值，帮助定位性能问题。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6.服务SLA可用性99.95%。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1" w:hRule="atLeast"/>
        </w:trPr>
        <w:tc>
          <w:tcPr>
            <w:tcW w:w="78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162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云数据库SQLServer</w:t>
            </w:r>
          </w:p>
        </w:tc>
        <w:tc>
          <w:tcPr>
            <w:tcW w:w="189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提供稳定可靠、可弹性伸缩的SQLServer云数据库服务。</w:t>
            </w:r>
          </w:p>
        </w:tc>
        <w:tc>
          <w:tcPr>
            <w:tcW w:w="374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1.支持丰富的版本类型，版本支持包括：SQL Server   2008 R2、SQL Server 2012、SQL   Server 2019、2022。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2.支持双机高可用版、集群版、基础版部署。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3.支持通过控制台快捷调整实例规格，灵活进行扩缩容。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4.支持管理发布订阅，包括自助创建、变更、删除发布和订阅服务器，满足用户业务的数据复制和同步需求。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5.支持创建、管理、重启、隔离、销毁实例，并对实例做必要的运维管理操作，包括但不限于：配置实例虚拟IP，设置数据库参数，新增、管理、删除数据库账号，创建、删除、授权数据库，查询实例各组件监控和告警情况，对实例进行备份，对实例进行回档恢复等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6.支持定制备份策略，包括备份周期、保存期限、时间、备份频率等。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6" w:hRule="atLeast"/>
        </w:trPr>
        <w:tc>
          <w:tcPr>
            <w:tcW w:w="78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162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云数据库MongoDB</w:t>
            </w:r>
          </w:p>
        </w:tc>
        <w:tc>
          <w:tcPr>
            <w:tcW w:w="189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提供基于MongoDB 打造的高性能 NoSQL 数据库，100%完全兼容 MongoDB 协议</w:t>
            </w:r>
          </w:p>
        </w:tc>
        <w:tc>
          <w:tcPr>
            <w:tcW w:w="374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1.支持节点灵活垂直扩容及分片水平扩容，在线一键式扩容不停服，数据自动均衡，具有高度灵活性。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2.支持一主多从的副本集架构，及数据分片存储的分片集群架构，支持3.6、4.0、4.2等多个版本，可满足多种业务场景需求。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3.支持MongoDB按Key闪回，可秒级回档基于文档索引键或自定义索引键的记录，迅速修复线上小批量数据错乱问题。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4.针对业务连续服务和数据可靠性有强需求或是监管需要的场景，支持异地机房的灾备实例，帮助用户以较低的成本提升业务连续服务的能力。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5、索引推荐功能依托专家级分析引擎，轻松解决性能瓶颈；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性能趋势、慢日志分析、空间分析、实时会话分析、MongoStat、MongoTop工具等多样分析工具，帮助快速发现和定位问题。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6、SQL限流、一键kill等功能，帮助预防事故、或在重大故障或紧急情况发生时，紧急处理并快速恢复正常业务。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6" w:hRule="atLeast"/>
        </w:trPr>
        <w:tc>
          <w:tcPr>
            <w:tcW w:w="78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162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云数据库 MariaDB</w:t>
            </w:r>
          </w:p>
        </w:tc>
        <w:tc>
          <w:tcPr>
            <w:tcW w:w="189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采用同类型的内核，完全兼容开源版本MariaDB和MySQL</w:t>
            </w:r>
          </w:p>
        </w:tc>
        <w:tc>
          <w:tcPr>
            <w:tcW w:w="374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1、高度兼容MySQL/MariaDB协议和语法，高度兼容MySQL5.7/8.0版本，兼容其数据类型（含JSON数据类型），兼容主流函数，兼容字符集（含国家强制性认证字符集）和时区，兼容语言结构，兼容DDL，DML，DCL语句语法，兼容JOIN和子查询，兼容事务、执行计划、预处理等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2、主从架构支持一主多从架构，即主机后可以悬挂多个从机，从机可串行挂载或并行挂载到主机。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3、支持数据库主从之间采用数据强一致的复制方式（或简称强同步、强一致），强同步意味着主从数据库数据完全一致，在主节点故障时，从节点不会丢失或错乱数据。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4、支持读写分离，所有从机均可用于读（不可写）；至少支持3种或以上的读写分离模型；支持读写分离基于延迟设置策略。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5、支持按周月年周期保留备份；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8" w:hRule="atLeast"/>
        </w:trPr>
        <w:tc>
          <w:tcPr>
            <w:tcW w:w="78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162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数据库审计和备份</w:t>
            </w:r>
          </w:p>
        </w:tc>
        <w:tc>
          <w:tcPr>
            <w:tcW w:w="189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主要为云数据库用户提供数据库审计的服务,以提供整体的安全性。通过采集用户数据库的log,进行汇总和分析,根据审计规则和策略触发相应的操作。支持对数据库数据进行备份。</w:t>
            </w:r>
          </w:p>
        </w:tc>
        <w:tc>
          <w:tcPr>
            <w:tcW w:w="374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1.支持数据库操作表、视图、索引、存储过程等各种对象的所有SQL操作审计。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2.支持数据库请求审计，特别是返回字段和结果集、执行状态、返回行数、执行时长、客户端工具、主机名等内容，支持通过返回行数控制返回结果集大小。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3.可自定义审计规则。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4.记录对数据库的访问及 SQL 语句执行情况，帮助企业进行风险控制，提高数据安全等级，同时支持自定义高低频存储，可大幅降低数据库审计的使用成本。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5.支持通用数据库：MySQL、Mongodb、MariaDB。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6、支持自动备份和手动备份两种方式来备份数据库。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7、支持在实例销毁前或者在实例销毁时进行备份保留设置，可以避免实例误删除导致备份被立即销毁，可确保实例在销毁后，用户仍然拥有一定时间的该实例的备份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3" w:hRule="atLeast"/>
        </w:trPr>
        <w:tc>
          <w:tcPr>
            <w:tcW w:w="78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162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对象存储</w:t>
            </w:r>
          </w:p>
        </w:tc>
        <w:tc>
          <w:tcPr>
            <w:tcW w:w="189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提供面向海量非结构化数据的通用数据存储平台,提供安全可靠、低成本的云端对象存储服务</w:t>
            </w:r>
          </w:p>
        </w:tc>
        <w:tc>
          <w:tcPr>
            <w:tcW w:w="374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1.支持基于性能分层的存储类型，包括标准存储、低频存储、归档存储等。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2.支持对象简单上传/表单上传/追加上传/下载/删除/列举/复制，生命周期管理;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3.对象存储服务支持RESTful API接口;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4.支持Bucket标签功能，对Bucket进行分类管理；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5.支持对象标签，对存储的对象进行分类，并可以针对同标签的对象设置生命周期规则、访问权限等；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6.存储服务SLA可用性：最高不低于99.9%；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3" w:hRule="atLeast"/>
        </w:trPr>
        <w:tc>
          <w:tcPr>
            <w:tcW w:w="78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10</w:t>
            </w:r>
          </w:p>
        </w:tc>
        <w:tc>
          <w:tcPr>
            <w:tcW w:w="162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文件存储</w:t>
            </w:r>
          </w:p>
        </w:tc>
        <w:tc>
          <w:tcPr>
            <w:tcW w:w="189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文件存储为用户提供安全可靠、可扩展的共享文件存储服务。</w:t>
            </w:r>
          </w:p>
        </w:tc>
        <w:tc>
          <w:tcPr>
            <w:tcW w:w="374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1.可与云服务器、容器服务、批量计算等服务结合使用，为计算节点提供容量和性能可弹性扩展的高性能共享存储。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2.支持 NFS V3.0/4.0协议。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3.支持快照和定期快照策略的方式对文件系统进行数据保护。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4.支持在控制台上，直接将云文件存储挂载至云服务器的指定目录。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5.支持对文件系统文件和目录进行读写权限控制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6.支持对文件系统容量进行监控和历史数据统计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7.SLA：单可用区服务可用性不低于99.9%；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78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11</w:t>
            </w:r>
          </w:p>
        </w:tc>
        <w:tc>
          <w:tcPr>
            <w:tcW w:w="162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云硬盘快照</w:t>
            </w:r>
          </w:p>
        </w:tc>
        <w:tc>
          <w:tcPr>
            <w:tcW w:w="189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快照是对云硬盘的1:1完全可用拷贝。当已创建快照的云硬盘出现问题时，可通过快照快速恢复到未出问题时的状态</w:t>
            </w:r>
          </w:p>
        </w:tc>
        <w:tc>
          <w:tcPr>
            <w:tcW w:w="374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1.云硬盘支持手动创建快照以及对快照执行回滚操作。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2.支持快照跨地域复制、支持跨账号共享快照。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78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12</w:t>
            </w:r>
          </w:p>
        </w:tc>
        <w:tc>
          <w:tcPr>
            <w:tcW w:w="162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云硬盘</w:t>
            </w:r>
          </w:p>
        </w:tc>
        <w:tc>
          <w:tcPr>
            <w:tcW w:w="189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云硬盘为用户提供用于云服务器的持久性数据块级存储服务。</w:t>
            </w:r>
          </w:p>
        </w:tc>
        <w:tc>
          <w:tcPr>
            <w:tcW w:w="374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1.支持不同种类的云硬盘产品。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2.可提供不低于50万IOPS和2GB/s的云硬盘产品。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3.可提供一键备份能力，由平台保证备份每日更新。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78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13</w:t>
            </w:r>
          </w:p>
        </w:tc>
        <w:tc>
          <w:tcPr>
            <w:tcW w:w="162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日志服务</w:t>
            </w:r>
          </w:p>
        </w:tc>
        <w:tc>
          <w:tcPr>
            <w:tcW w:w="189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日志服务是为用户提供一站式日志服务平台，协助用户通过日志来解决业务运维、服务监控、审计等场景问题。</w:t>
            </w:r>
          </w:p>
        </w:tc>
        <w:tc>
          <w:tcPr>
            <w:tcW w:w="374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1.支持直接调用 API 上传日志，支持多种语言。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2.支持使用关键词按全文或字段检索日志。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3.支持电话、短信、邮件回调。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5" w:hRule="atLeast"/>
        </w:trPr>
        <w:tc>
          <w:tcPr>
            <w:tcW w:w="78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14</w:t>
            </w:r>
          </w:p>
        </w:tc>
        <w:tc>
          <w:tcPr>
            <w:tcW w:w="162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Elasticsearch Service</w:t>
            </w:r>
          </w:p>
        </w:tc>
        <w:tc>
          <w:tcPr>
            <w:tcW w:w="189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Elasticsearch   Service是100%兼容开源的分布式检索、分析套件。提供Elasticsearch、Kibana、Logstash等开源全托管的产品服务能力，用户可以轻松管理和运维集群。</w:t>
            </w:r>
          </w:p>
        </w:tc>
        <w:tc>
          <w:tcPr>
            <w:tcW w:w="374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1.版本支持5.x，6.x，7.x，8.x范围内一种即可，充分满足多样化版本的实践需要。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2.支持数据节点、专用主节点、kibana的基础架构，可以一键分钟级构建所需ES集群。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3.支持数据冗余存储、分库分表、数据存储平滑扩容等功能；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4.兼容开源Restful API及生态组件，可以与对象存储 、云数据库等云产品集成，为用户提供数据传输和备份能力，以满足不同业务场景需要。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5.支持全文检索；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6.支持模糊查询；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7.支持向量检索。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8.支持集群配置变更功能，变配过程中业务不停服。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9.服务整体可用性SLA不低于99.9%。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1" w:hRule="atLeast"/>
        </w:trPr>
        <w:tc>
          <w:tcPr>
            <w:tcW w:w="78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15</w:t>
            </w:r>
          </w:p>
        </w:tc>
        <w:tc>
          <w:tcPr>
            <w:tcW w:w="162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NAT网关</w:t>
            </w:r>
          </w:p>
        </w:tc>
        <w:tc>
          <w:tcPr>
            <w:tcW w:w="189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NAT网关是一种支持 IP 地址转换的网络云服务。</w:t>
            </w:r>
          </w:p>
        </w:tc>
        <w:tc>
          <w:tcPr>
            <w:tcW w:w="374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1.提供虚拟私有网络的公网网关，具备SNAT和DNAT的功能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2.单个NAT网关实例支持最大带宽≥20Gbps。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3.单个NAT网关实例支持最大并发连接数≥1000万。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4.支持双机热备，自动容灾。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5.支持流量监控&amp;告警。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6.NAT网关可以处理TCP、UDP和ICMP的分片包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7.NAT网关可以绑定多个弹性公网IP，在SNAT规则中形成公网IP池，提升负载能力；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8.服务可用性不低于99.95%；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8" w:hRule="atLeast"/>
        </w:trPr>
        <w:tc>
          <w:tcPr>
            <w:tcW w:w="78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16</w:t>
            </w:r>
          </w:p>
        </w:tc>
        <w:tc>
          <w:tcPr>
            <w:tcW w:w="162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负载均衡</w:t>
            </w:r>
          </w:p>
        </w:tc>
        <w:tc>
          <w:tcPr>
            <w:tcW w:w="189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负载均衡主要提供流量分发服务，通过负载均衡可将访问流量自动分配到云中的多台后端服务器上，扩展系统的服务能力并消除单点故障。</w:t>
            </w:r>
          </w:p>
        </w:tc>
        <w:tc>
          <w:tcPr>
            <w:tcW w:w="374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1.支持提供4层（TCP协议）和7层（HTTP和HTTPS协议）的负载均衡服务。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2.支持HTTP访问重定向至HTTPS。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3.支持绑定云上VPC内虚拟机、弹性网卡。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4.具备系统容灾能力，提供同城可用区级的高可用。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5.单可用区实例可用性不低于99.9%；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78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17</w:t>
            </w:r>
          </w:p>
        </w:tc>
        <w:tc>
          <w:tcPr>
            <w:tcW w:w="162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公网 IP</w:t>
            </w:r>
          </w:p>
        </w:tc>
        <w:tc>
          <w:tcPr>
            <w:tcW w:w="189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公网IP主要用于与云主机、网关、弹性网卡等云资源绑定，提供访问公网和被公网访问能力等</w:t>
            </w:r>
          </w:p>
        </w:tc>
        <w:tc>
          <w:tcPr>
            <w:tcW w:w="374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1.可指定可用区创建公网IP。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2.公网IP可以和NAT网关、云服务器等不同的产品绑定，快速为其提供功能服务或者访问能力。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3.公网IP可以和所绑定的产品进行热插拔，不影响所绑定的产品的正常运行。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4.服务可用性不低于99.95%。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78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18</w:t>
            </w:r>
          </w:p>
        </w:tc>
        <w:tc>
          <w:tcPr>
            <w:tcW w:w="162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私有域解析</w:t>
            </w:r>
          </w:p>
        </w:tc>
        <w:tc>
          <w:tcPr>
            <w:tcW w:w="189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基于VPC环境的私有域名解析管理服务。用户可以在自定义的一个或多个私有网络中快速构建DNS系统。</w:t>
            </w:r>
          </w:p>
        </w:tc>
        <w:tc>
          <w:tcPr>
            <w:tcW w:w="374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1.支持创建和删除私有域，同一个 UIN 账号下最多支持创建私有域名数量不低于100个。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2.支持一次批量添加私有域操作。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3.支持A，AAAA，CNAME，TXT，MX类型记录。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8" w:hRule="atLeast"/>
        </w:trPr>
        <w:tc>
          <w:tcPr>
            <w:tcW w:w="78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19</w:t>
            </w:r>
          </w:p>
        </w:tc>
        <w:tc>
          <w:tcPr>
            <w:tcW w:w="162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内容分发网络CDN</w:t>
            </w:r>
          </w:p>
        </w:tc>
        <w:tc>
          <w:tcPr>
            <w:tcW w:w="189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通过将站点内容发布至遍布全球的海量加速节点，可就近获取所需内容</w:t>
            </w:r>
          </w:p>
        </w:tc>
        <w:tc>
          <w:tcPr>
            <w:tcW w:w="374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1.一站式接入，业务的四七层加速在同一个产品控制台接入和管理，减少业务运营成本。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2.支持在回源请求头添加自定义配置的头部。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3.支持配置根据 User-Agent 将请求客户端归类为设备或浏览器类型传递回源站，便于源站获取。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78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20</w:t>
            </w:r>
          </w:p>
        </w:tc>
        <w:tc>
          <w:tcPr>
            <w:tcW w:w="162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专线接入</w:t>
            </w:r>
          </w:p>
        </w:tc>
        <w:tc>
          <w:tcPr>
            <w:tcW w:w="189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提供链接企业数据中心与云服务商的网络服务</w:t>
            </w:r>
          </w:p>
        </w:tc>
        <w:tc>
          <w:tcPr>
            <w:tcW w:w="374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1.在网络虚拟化层进行网络间通信，多租户互相隔离；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2.单链路最大支持100 Gbps的带宽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3.支持多条物理专线进行ECMP链路聚合，达到Tbps级别带宽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8" w:hRule="atLeast"/>
        </w:trPr>
        <w:tc>
          <w:tcPr>
            <w:tcW w:w="78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21</w:t>
            </w:r>
          </w:p>
        </w:tc>
        <w:tc>
          <w:tcPr>
            <w:tcW w:w="162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云联网</w:t>
            </w:r>
          </w:p>
        </w:tc>
        <w:tc>
          <w:tcPr>
            <w:tcW w:w="189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提供全网互联服务，实现各地域的云上、云下多点互联</w:t>
            </w:r>
          </w:p>
        </w:tc>
        <w:tc>
          <w:tcPr>
            <w:tcW w:w="374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1. 支持多路由表能力，客户可以自定义路由表&gt;9个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2. 支持自定义配置路由传播和接收策略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3. 支持路由表聚合能力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4. 支持故障主动检查/重路由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5. 支持精细化选路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8" w:hRule="atLeast"/>
        </w:trPr>
        <w:tc>
          <w:tcPr>
            <w:tcW w:w="78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22</w:t>
            </w:r>
          </w:p>
        </w:tc>
        <w:tc>
          <w:tcPr>
            <w:tcW w:w="162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Web应用防火墙</w:t>
            </w:r>
          </w:p>
        </w:tc>
        <w:tc>
          <w:tcPr>
            <w:tcW w:w="189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应用防火墙用于识别恶意流量，提高web站点的安全性和可靠性。</w:t>
            </w:r>
          </w:p>
        </w:tc>
        <w:tc>
          <w:tcPr>
            <w:tcW w:w="374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1.可防御 SQL 注入、命令注入攻击、XSS 跨站脚本攻击、WebShell 木马上传、文件包含、路径穿越类攻击、非法的 HTTP 协议请求、网页防篡改、常见 Web 服务器漏洞等攻击。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2.支持主动检测并及时发现高危 Web漏洞, 0 day漏洞，并生成针对漏洞的防护规则。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3.支持AI+规则双检测引擎，交叉验证，精准有效捕捉各类常规Web攻击，0day攻击及其它新型未知攻击。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4.支持网页防篡改功能，云端备份网站核心内容页面，保障网页内容不会因为源站安全事故而被篡改。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5.支持针对特定请求路径访问频率的识别及控制。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6.支持精细化基于IP，URL路径，Referer , UA、请求路径、HTTP请求方法、请求字符串、GET参数、POST参数、Cookie参数、完整BODY、Header参数等自定义防御规则设置Web攻击防护措施和精准白名单，且不限制自定义防御规则数。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3" w:hRule="atLeast"/>
        </w:trPr>
        <w:tc>
          <w:tcPr>
            <w:tcW w:w="78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23</w:t>
            </w:r>
          </w:p>
        </w:tc>
        <w:tc>
          <w:tcPr>
            <w:tcW w:w="162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堡垒机</w:t>
            </w:r>
          </w:p>
        </w:tc>
        <w:tc>
          <w:tcPr>
            <w:tcW w:w="189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堡垒机可为客户的IT 资产提供代理访问以及智能操作审计服务，构建云上统一的运维通道。</w:t>
            </w:r>
          </w:p>
        </w:tc>
        <w:tc>
          <w:tcPr>
            <w:tcW w:w="374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1.支持将主机账号信息录入系统后，可以单点登录目标资源，无需分发账号口令。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2.支持常用的运维协议：SSH、RDP、SFTP.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3.支持在线回放图形会话，还原用户的真实操作。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4.支持根据配置的高危命令拦截 Linux运维操作指令。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5.支持单独展示命令拦截风险事件，使管理员可以快速掌握运维安全风险。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6.支持对运维会话进行回放及详情记录。并可基于自定义的起止时间、协议、主机IP、主机名、用户、登录名、来源IP、会话ID等进行搜索.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3" w:hRule="atLeast"/>
        </w:trPr>
        <w:tc>
          <w:tcPr>
            <w:tcW w:w="78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24</w:t>
            </w:r>
          </w:p>
        </w:tc>
        <w:tc>
          <w:tcPr>
            <w:tcW w:w="162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云防火墙</w:t>
            </w:r>
          </w:p>
        </w:tc>
        <w:tc>
          <w:tcPr>
            <w:tcW w:w="189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云防火墙主要提供互联网边界的防护，解决云上访问控制的统一管理需求。</w:t>
            </w:r>
          </w:p>
        </w:tc>
        <w:tc>
          <w:tcPr>
            <w:tcW w:w="374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1.互联网边界防火墙支持串行模式和旁路模式部署。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2.支持检测 VPC 间东西向流量的分布式防火墙，支持访问控制、拓扑可视与日志审计，部署于对等连接及云联网联通的 VPC 间，无需复杂路由配置。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3.对公网资产、内网资产中的服务器、IP、域名、服务进行统一呈现和管理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4.集成云平台的威胁情报，对于恶意源IP、危险域名的访问流量，进行精准识别。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5.支持记录安全组的命中情况和进出VPC的所有流量记录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6.支持对全部命中入侵防御策略的流量进行记录，并记录入侵的payload供后续分析取证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6" w:hRule="atLeast"/>
        </w:trPr>
        <w:tc>
          <w:tcPr>
            <w:tcW w:w="78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25</w:t>
            </w:r>
          </w:p>
        </w:tc>
        <w:tc>
          <w:tcPr>
            <w:tcW w:w="162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主机安全</w:t>
            </w:r>
          </w:p>
        </w:tc>
        <w:tc>
          <w:tcPr>
            <w:tcW w:w="189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主机安全为用户提供资产管理、木马文件查杀、漏洞风险等安全防护服务，解决服务器面临的主要主机安全风险，构建服务器安全防护。</w:t>
            </w:r>
          </w:p>
        </w:tc>
        <w:tc>
          <w:tcPr>
            <w:tcW w:w="374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1.支持实时展示主机安全体检得分、防护状态、待处理风险、风险趋势以及主机安全的实时动态。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2.提供不少于10种资产指纹，包括：资源监控、账户、端口、软件应用、进程、数据库、web应用、web框架、web服务、web站点。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3.支持Webshell检测、二进制检测，集成自研Webshell引擎、云查杀多杀软鉴定器，高效查杀病毒、木马。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4.支持对SSH、RDP、ftp、smb、mysql、mssql 等暴力破解行为进行实时检测、告警、阻断。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5.支持在主机端对恶意攻击流量进行感知，实时监测恶意攻击行为，覆盖云上热点漏洞，支持南北向、东西向的攻击流量检测。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6.支持实时检测主机内外联恶意域名请求，提供威胁情报信息和事件记录，支持自定义规则黑白名单，支持设置告警、拦截、放行动作。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7.支持等保二级、三级、CIS、弱口令等基线检测，并提供修复方案。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78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26</w:t>
            </w:r>
          </w:p>
        </w:tc>
        <w:tc>
          <w:tcPr>
            <w:tcW w:w="162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DDoS防护</w:t>
            </w:r>
          </w:p>
        </w:tc>
        <w:tc>
          <w:tcPr>
            <w:tcW w:w="189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DDOS防护为企业提供全面、高效、专业的 DDoS 防护能力。</w:t>
            </w:r>
          </w:p>
        </w:tc>
        <w:tc>
          <w:tcPr>
            <w:tcW w:w="374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1.支持防护多种 DDoS 类型攻击,包括但不限于以下攻击类型: ICMP Flood、UDP Flood、TCP Flood、 SYN Flood、ACK Flood、反射放大攻击、HTTP 慢速攻击等。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2.支持协议禁用、端口禁用、报文特征过滤、拒绝海外流量、区域封禁、空连接防护功能。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78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27</w:t>
            </w:r>
          </w:p>
        </w:tc>
        <w:tc>
          <w:tcPr>
            <w:tcW w:w="162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SSL数字证书</w:t>
            </w:r>
          </w:p>
        </w:tc>
        <w:tc>
          <w:tcPr>
            <w:tcW w:w="189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提供SSL数字证书的服务能力</w:t>
            </w:r>
          </w:p>
        </w:tc>
        <w:tc>
          <w:tcPr>
            <w:tcW w:w="374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1.SSL证书管理：管理SSL证书，帮助服务器和网站间建立可信的HTTPS协议加密连接，为网站安全加锁，保证数据安全传输，满足对应App市场或应用生态的安全合规要求。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2.企业级SSL证书，免费提供证书自动续费，证书托管等自动化能力。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8" w:hRule="atLeast"/>
        </w:trPr>
        <w:tc>
          <w:tcPr>
            <w:tcW w:w="78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28</w:t>
            </w:r>
          </w:p>
        </w:tc>
        <w:tc>
          <w:tcPr>
            <w:tcW w:w="162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文本内容安全</w:t>
            </w:r>
          </w:p>
        </w:tc>
        <w:tc>
          <w:tcPr>
            <w:tcW w:w="189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提供文本审核服务，帮助客户审核文本中出现的可能令人反感、不安全或不适宜内容，支持用户配置词库，识别自定义识别类型的文本</w:t>
            </w:r>
          </w:p>
        </w:tc>
        <w:tc>
          <w:tcPr>
            <w:tcW w:w="374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 xml:space="preserve">1.个性化模型定制：针对不同业务场景需求，提供用户角色专属策略、账号等级分级策略、业务场景差异策略、业务类型差异策略等个性化配置策略，来满足各平台定制化需求； 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 xml:space="preserve">2.内容审核精准度高：建立完善用户画像系统和特色智能语义分析功能，结合多场景、多维度判定，识别准确率高达95%以上，对文本进行快速处理，极大降低误杀率，减少人工审核成本，杜绝线上风险； 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 xml:space="preserve">3.敏感词库覆盖广：模型依托海量、丰富的违规词库，涵盖各类敏感词，对不同领域的垃圾文本都能精准的识别，并支持业务场景的敏感词个性化设置及多种灵活匹配方式； 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 xml:space="preserve">4.智能分级识别：对色情污秽内容进行智能分级识别，独家提供广告法合规检测，有效识别色情、低俗、辱骂内容，适应平台不同审核标准； 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5.支持多语言识别：支持英语等多语言识别，更好地保障平台业务安全运行。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8" w:hRule="atLeast"/>
        </w:trPr>
        <w:tc>
          <w:tcPr>
            <w:tcW w:w="78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29</w:t>
            </w:r>
          </w:p>
        </w:tc>
        <w:tc>
          <w:tcPr>
            <w:tcW w:w="162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图片内容安全</w:t>
            </w:r>
          </w:p>
        </w:tc>
        <w:tc>
          <w:tcPr>
            <w:tcW w:w="189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主要提供图片审核服务，帮助客户精准识别图片中出现的令人反感、不合规或不适宜的内容，支持自定义配置图片黑白名单</w:t>
            </w:r>
          </w:p>
        </w:tc>
        <w:tc>
          <w:tcPr>
            <w:tcW w:w="374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1.精准识别图片内容风险：能够识别图片中色情、性感、暴力恐怖、水印、二维码、网址、AI生成等风险；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 xml:space="preserve">2.海量图片数据样本：基于海量图片数据，搭配多种机器算法模型，通过多种模型组合训练，精准识别各类违规图片，每日上亿次的图片处理能力，让模型迭代更快速高效，更加高效处理各类违规图片； 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 xml:space="preserve">3.标准灵活策略定制：支持自定义审核维度，根据行业特性提供专属图片识别策略，让审核标准更贴合实际业务场景；  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4.完善用户画像系统：通过智能追踪分析建立用户画像，多维度综合判定，极大提升广告图片识别准确率。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1" w:hRule="atLeast"/>
        </w:trPr>
        <w:tc>
          <w:tcPr>
            <w:tcW w:w="78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30</w:t>
            </w:r>
          </w:p>
        </w:tc>
        <w:tc>
          <w:tcPr>
            <w:tcW w:w="162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零信任安全</w:t>
            </w:r>
          </w:p>
        </w:tc>
        <w:tc>
          <w:tcPr>
            <w:tcW w:w="189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提供安全远程访问业务系统功能</w:t>
            </w:r>
          </w:p>
        </w:tc>
        <w:tc>
          <w:tcPr>
            <w:tcW w:w="374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 xml:space="preserve">1.支持SaaS 虚拟专线代理访问技术，通过连接器反连的方式，收敛业务资源入口于网关后，避免业务暴露在互联网支持 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2.发布 web、API资源并配置权限控制，支持按域名、IP及子路径进行配置；支持对API类型应用提供统一的密钥管理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3.支持客户端登录时长上限、浏览器登录时长上限、浏览器默认登出等账户在线会话时长上限配置；支持区分内外网分别设置PC端锁屏超过指定时长后自动注销账户。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4.支持根据账户是否非工作时间访问、是否异地访问、是否非常用设备登录访问、是否非常用IP登录访问配置异常登录行为检测规则，并支持设定异常判断的归并条件，例如以一个月/两个月/三个月内数据作为统计异常的标准账号异地登录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5.支持将终端访问业务系统的相关应用采集并展示到应用库中，支持展示进程名、 应用名、 操作系统 、签名 、版本 、厂家 、装机量 、送检结果、key值、MD5和sha256（哈希值），支持基于进程名、应用名、送检结果进行搜索，支持联动应用检测机构进行自动送检，支持将进程/应用批量标记为可信应用/风险应用。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6.支持不低于50款常用办公软件的盗版检测，支持查看软件清单的盗版信息，包括盗版风险、已安装终端/用户，并支持一键导出；支持对盗版软件进行提醒卸载操作。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78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31</w:t>
            </w:r>
          </w:p>
        </w:tc>
        <w:tc>
          <w:tcPr>
            <w:tcW w:w="162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云点播</w:t>
            </w:r>
          </w:p>
        </w:tc>
        <w:tc>
          <w:tcPr>
            <w:tcW w:w="189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点播提供制作上传、存储、转码、媒体处理、媒体AI、加速分发播放等一体化的高品质媒体服务</w:t>
            </w:r>
          </w:p>
        </w:tc>
        <w:tc>
          <w:tcPr>
            <w:tcW w:w="374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1.支持客户端上传（移动端、Web端、微信小程序）、服务端上传（提供多语言 SDK）、控制台上传、URL 拉取上传、直播录制等多种上传方式。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2.支持通过全球部署的加速网络，智能选择最优接入点和最优链路，提升媒体的上传速度和成功率。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3.支持对媒体设置多种属性信息，用于媒体检索、播放展示、智能管理等，提升运营管理效率和用户观看体验。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78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32</w:t>
            </w:r>
          </w:p>
        </w:tc>
        <w:tc>
          <w:tcPr>
            <w:tcW w:w="162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云直播</w:t>
            </w:r>
          </w:p>
        </w:tc>
        <w:tc>
          <w:tcPr>
            <w:tcW w:w="189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云直播为用户提供专业、稳定的直播推流、转码、分发及播放服务，全面满足低延迟、超高画质、海量访问的要求</w:t>
            </w:r>
          </w:p>
        </w:tc>
        <w:tc>
          <w:tcPr>
            <w:tcW w:w="374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1.支持 RTMP、FLV、HLS等播放协议。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2.支持H.264 H.265 H.266,AV1极速高清，满足至少50%以上的码率压缩并且保持清晰度。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3.支持在直播管理控制台进行图形化管理，或调用直播云 API 进行管理。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4.支持对直播资源包流量和直播实时带宽、流量等数据进行查看。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1" w:hRule="atLeast"/>
        </w:trPr>
        <w:tc>
          <w:tcPr>
            <w:tcW w:w="78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33</w:t>
            </w:r>
          </w:p>
        </w:tc>
        <w:tc>
          <w:tcPr>
            <w:tcW w:w="162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即时通信IM</w:t>
            </w:r>
          </w:p>
        </w:tc>
        <w:tc>
          <w:tcPr>
            <w:tcW w:w="189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即时通讯IM仅需植入 SDK 即可轻松集成聊天、会话、群组、资料管理能力，实现文字、图片、短语音、短视频等富媒体消息收发，全面满足通信需要</w:t>
            </w:r>
          </w:p>
        </w:tc>
        <w:tc>
          <w:tcPr>
            <w:tcW w:w="374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1. 平台支持：支持 Android、iOS、Harmony、mac、windows、H5、小程序平台互通和跨终端全平台服务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2. 全球接入： 提供覆盖全球的高连通、高可靠、强安全的网络连接通道，具有全网调度能力，终端在境外登录时，IM   SDK 会访问就近接入点或加速点。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3. 账号功能：支持账号导入、禁用、删除、查询以及在线状态管理等功能，支持批量操作。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4. 多端登录：有单平台、双平台、三平台和多平台登录模式，可在控制台进行配置。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5. 消息功能：消息类型包含文本、图片、语音类型。具备消息下载、离线消息、漫游消息、多端同步功能，支持消息撤回、已读回执、转发操作，提供红包功能、全员推送以及本地和云端搜索。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7.资料及关系链功能：支持设置、获取自身及用户资料，支持自定义资料字段。关系链功能包括查找、添加、删除好友等，支持好友分组管理和资料变更通知。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8.群组功能：支持配置多种群组类型，好友工作群，陌生人社交群，临时会议群，直播群，社群。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9.控制台与管理功能：即时通信 IM 控制台支持创建应用、升级应用、下载 SDK 操作。提供数据统计和实时监控功能，支持云端审核保障内容安全，具备 App 推送和插件市场扩展功能，同时支持私有化部署。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3" w:hRule="atLeast"/>
        </w:trPr>
        <w:tc>
          <w:tcPr>
            <w:tcW w:w="78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34</w:t>
            </w:r>
          </w:p>
        </w:tc>
        <w:tc>
          <w:tcPr>
            <w:tcW w:w="162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人脸核身</w:t>
            </w:r>
          </w:p>
        </w:tc>
        <w:tc>
          <w:tcPr>
            <w:tcW w:w="189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人脸核身是一组对用户身份信息真实性进行验证审核的服务套件，提供人脸核身、身份信息核验、银行卡要素核验和运营商类要素核验等各类实名信息认证能力，解决行业内大量对用户身份信息真实性核实的需求</w:t>
            </w:r>
          </w:p>
        </w:tc>
        <w:tc>
          <w:tcPr>
            <w:tcW w:w="374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1. 支持设备风险检测、智能分级认证、身份证 OCR、活体检测、权威库人脸比对、KMS 加密，具备多模态大模型、黑产模板批量识别，能输出攻击类型，支持微信小程序、H5   接入。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2. 用户身份信息输入：支持用户拍摄证件正反面进行 OCR（可禁用相册图片上传）、用户手动输入身份证号与姓名、客户后台传入身份证号与姓名。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3. 人脸核身：自动进行活体检测（支持动作 + 光线检测模式、随机双动作模式）与人脸三要素核验，人脸比对支持与权威库源证照比对、与客户自传照片比对。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4. 意愿校验：支持语音问答式、语音朗读式、点头确认式三种方式，全流程实时检测与比对人脸。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5. 获取认证结果：返回意愿核身认证结果、意愿确认视频、音频、截屏、语音识别文本，为业务回溯提供安全凭证。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6. 支持实名信息核验。支持 API 进行身份信息二要素核验、身份证人像照片验真、身份证识别及信息核验、身份信息及有效期核验、银行卡基础信息查询、银行卡二三四要素核验、手机号在网时长及状态等核验和手机号二、三要素核验。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7. E 证通支持通过微信小程序、uni-app 小程序、H5（移动端浏览器）接入，具备身份证 OCR、活体检测、权威库人脸比对功能，核验时传入人脸视频和身份信息进行真人及本人验证。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8. 支持手机 NFC 功能读取证件加密信息，通过权威机构解码识别证件内置全要素，支持9种证件类型的 NFC 识读，包括二代身份证、港澳居住证、台湾居住证、外国人永居证、国际护照、港澳通行证、台湾通行证、台胞证、回乡证。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1" w:hRule="atLeast"/>
        </w:trPr>
        <w:tc>
          <w:tcPr>
            <w:tcW w:w="78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35</w:t>
            </w:r>
          </w:p>
        </w:tc>
        <w:tc>
          <w:tcPr>
            <w:tcW w:w="162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短信服务</w:t>
            </w:r>
          </w:p>
        </w:tc>
        <w:tc>
          <w:tcPr>
            <w:tcW w:w="189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云短信可为用户提供稳定可靠以及安全合规的短信触达服务</w:t>
            </w:r>
          </w:p>
        </w:tc>
        <w:tc>
          <w:tcPr>
            <w:tcW w:w="374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1.支持文字通知和验证码短信。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2.支持通过API和SDK接入短信服务。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3.支持通过回调反馈短信下发信息和回复信息。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4.支持对用户分组管理。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5.支持对短信发送失败回执原因分析。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6.支持对用户进行免打扰名单和白名单管理。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7.支持对发送频率进行管理，防止用户被过度骚扰。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8.支持短信数预警值和阈值设置，防盗刷。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5" w:hRule="atLeast"/>
        </w:trPr>
        <w:tc>
          <w:tcPr>
            <w:tcW w:w="78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36</w:t>
            </w:r>
          </w:p>
        </w:tc>
        <w:tc>
          <w:tcPr>
            <w:tcW w:w="162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号码认证</w:t>
            </w:r>
          </w:p>
        </w:tc>
        <w:tc>
          <w:tcPr>
            <w:tcW w:w="189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号码认证集成了运营商特有的网关取号、验证能力，自动通过底层数据网关和短信网关识别本机号码，在不泄露用户信息的前提下，安全、快速地验证用户身份。提供一键登录功能，无需经过繁琐的注册登录环节即可一键免密注册和登录 App，可提升用户使用体验</w:t>
            </w:r>
          </w:p>
        </w:tc>
        <w:tc>
          <w:tcPr>
            <w:tcW w:w="374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1.支持Android、iOS以及Harmony，用户授权后，自动获取用户当前使用的手机号码，用户无需手动输入号码、无需经过短信验证，在Harmony、Android 或iOS 终端上一键即可完成注册或登录。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8" w:hRule="atLeast"/>
        </w:trPr>
        <w:tc>
          <w:tcPr>
            <w:tcW w:w="78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37</w:t>
            </w:r>
          </w:p>
        </w:tc>
        <w:tc>
          <w:tcPr>
            <w:tcW w:w="162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容器服务</w:t>
            </w:r>
          </w:p>
        </w:tc>
        <w:tc>
          <w:tcPr>
            <w:tcW w:w="189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容器服务提供以容器为核心的、高度可扩展的高性能容器管理服务。</w:t>
            </w:r>
          </w:p>
        </w:tc>
        <w:tc>
          <w:tcPr>
            <w:tcW w:w="374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1.支持使用Docker/containerd和Kubernetes进行容器化应用的生命周期管理。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2.支持图形化和API接口创建、配置集群等操作； 支持针对多集群提供统一的管理入口和调用接口。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3.支持Kubernetes集群管理节点托管。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4.支持集群的快速扩缩容，支持通过云平台前端功能菜单/API接口等方式快速添加虚拟机或物理机资源节点，并且支持快速查看节点资源的使用情况；对于云主机集群，支持集群自动弹性伸缩；支持节点池管理，方便对一组节点进行批量配置管理；支持使用声明API管理节点资源；支持节点自愈能力, 用于故障快速恢复。支持节点负载保护, 防止节点负载过高。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5.节点池支持安全补丁的修复能力。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5" w:hRule="atLeast"/>
        </w:trPr>
        <w:tc>
          <w:tcPr>
            <w:tcW w:w="78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38</w:t>
            </w:r>
          </w:p>
        </w:tc>
        <w:tc>
          <w:tcPr>
            <w:tcW w:w="162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容器镜像服务</w:t>
            </w:r>
          </w:p>
        </w:tc>
        <w:tc>
          <w:tcPr>
            <w:tcW w:w="189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容器镜像服务支持容器镜像托管分发服务，使得用户可同时在全球多个地域创建独享实例，以实现容器镜像的就近拉取，提升效率。</w:t>
            </w:r>
          </w:p>
        </w:tc>
        <w:tc>
          <w:tcPr>
            <w:tcW w:w="374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1.支持新建多个镜像仓库实例。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2.支持至少二级命名空间。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3.支持镜像的pull和push。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4.用户管理支持管理访问凭证。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5.访问管理支持自定义域名，支持内外网访问。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6.支持镜像仓库之间的镜像同步，支持和第三方harbor之间镜像同步。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6" w:hRule="atLeast"/>
        </w:trPr>
        <w:tc>
          <w:tcPr>
            <w:tcW w:w="78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39</w:t>
            </w:r>
          </w:p>
        </w:tc>
        <w:tc>
          <w:tcPr>
            <w:tcW w:w="162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区块链平台</w:t>
            </w:r>
          </w:p>
        </w:tc>
        <w:tc>
          <w:tcPr>
            <w:tcW w:w="189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区块链平台提供企业级区块链技术平台，用户可以轻松创建和管理可托管、可扩展的区块链网络。</w:t>
            </w:r>
          </w:p>
        </w:tc>
        <w:tc>
          <w:tcPr>
            <w:tcW w:w="374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1.支持展示当前组织所有区块链网络信息。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2.支持展示当前区块链网络详细信息，可清晰展示区块链的信息情况。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3.支持创建新的区块链网络，可定义区块链网络的配置信息。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4.支持邀请联盟下的成员作为组织加入网络。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5.支持销毁区块链网络。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6.支持区块链网络管理。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7.支持查看当前区块链网络的组织列表。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8.支持修改区块链网络内组织的相关信息。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9.支持在区块链网络新增节点。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10.支持查看区块链节点基本信息，查看节点cpu，内存，磁盘，网络占用情况。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8" w:hRule="atLeast"/>
        </w:trPr>
        <w:tc>
          <w:tcPr>
            <w:tcW w:w="78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40</w:t>
            </w:r>
          </w:p>
        </w:tc>
        <w:tc>
          <w:tcPr>
            <w:tcW w:w="162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数字人</w:t>
            </w:r>
          </w:p>
        </w:tc>
        <w:tc>
          <w:tcPr>
            <w:tcW w:w="189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打造有智能、有形象、可交互的“数智人”，提升业务沟通效率和服务温度。</w:t>
            </w:r>
          </w:p>
        </w:tc>
        <w:tc>
          <w:tcPr>
            <w:tcW w:w="374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1.形象类型覆盖：须同时具备 2D真人精品、2D真人小样本、且有实际落地经验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2.形象自然度：2D真人精品数智人形象自然度 MOS 评分须 ≥4.5分；2D小样本形象经第三方竞品评测，形象自然度整体优于率须 ≥90%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3.驱动方式全面：须同时支持 文本驱动 和 语音驱动 两种方式：· 文本驱动：自动从文本提取动作/表情/情感/重音等信息进行多模态同步合成· 语音驱动：对任意说话人语音生成对应口型表情，支持实时语音转换（固有音色），延迟 ≤200ms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4.口型同步与驱动精度：口型驱动模型须覆盖 唇形+嘴唇内部区域，在头部和肢体动作的同时保证口型准确自然，不产生变形和人工痕迹；须支持 AI语义动作自动预测，实现表情、口型、动作高度一致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5.动作配置灵活性：①合成视频时须支持指定视频片段合成，支持首尾帧归位（多视频拼接无跳帧）②交互场景须支持开启交互对话模式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6.场景专属动作库：须支持在播报文本中 指定位置插入特定手势/动作指令，动作库不少于 20 个预置动作，且支持自定义动作扩展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7.多终端部署与管理平台：须支持 APP、小程序、H5、大屏一体机等 ≥4种终端形态部署；须提供统一的交互式后台管理平台，含业务场景配置、对话流程配置、形象设置、动作预览、效果审核（WEB端+手机端双审核）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8.标准制定与资质：①须参与 ITU 国际标准制定（数字人领域国际标准）②须通过信通院数字人评测③须具备数智人建模及驱动相关授权专利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2" w:hRule="atLeast"/>
        </w:trPr>
        <w:tc>
          <w:tcPr>
            <w:tcW w:w="78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41</w:t>
            </w:r>
          </w:p>
        </w:tc>
        <w:tc>
          <w:tcPr>
            <w:tcW w:w="162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云监控</w:t>
            </w:r>
          </w:p>
        </w:tc>
        <w:tc>
          <w:tcPr>
            <w:tcW w:w="189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云监控提供端到端的统一监控能力。</w:t>
            </w:r>
          </w:p>
        </w:tc>
        <w:tc>
          <w:tcPr>
            <w:tcW w:w="374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1.支持基于指标、链路、日志、事件等全类型监控数据。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2.支持云上所有资源监控。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3.支持预设告警规则。当符合报警规则时，自动发送报警通知。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9" w:hRule="atLeast"/>
        </w:trPr>
        <w:tc>
          <w:tcPr>
            <w:tcW w:w="78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42</w:t>
            </w:r>
          </w:p>
        </w:tc>
        <w:tc>
          <w:tcPr>
            <w:tcW w:w="162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敏捷项目管理</w:t>
            </w:r>
          </w:p>
        </w:tc>
        <w:tc>
          <w:tcPr>
            <w:tcW w:w="189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提供贯穿敏捷研发生命周期的一站式服务。覆盖从产品概念形成、产品规划、需求分析、项目规划和跟踪、质量测试到构建发布、用户反馈跟踪的产品研发全生命周期.</w:t>
            </w:r>
          </w:p>
        </w:tc>
        <w:tc>
          <w:tcPr>
            <w:tcW w:w="374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240" w:lineRule="auto"/>
              <w:ind w:firstLine="404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1. 覆盖产品需求规划分析、计划与跟踪、测试与质量保证、构建发布以及研效度量等全过程研发能力</w:t>
            </w:r>
          </w:p>
          <w:p>
            <w:pPr>
              <w:spacing w:line="240" w:lineRule="auto"/>
              <w:ind w:firstLine="404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2.支持灵活需求字段、模版以及流程自定义配置，流程支持状态流和并行工作流以适配敏捷和复杂的多样诉求。同时支持需求目录树分类、行内编辑、批量操作以及用户视图的需求管理与协作能力</w:t>
            </w:r>
          </w:p>
          <w:p>
            <w:pPr>
              <w:spacing w:line="240" w:lineRule="auto"/>
              <w:ind w:firstLine="404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3.支持敏捷迭代能力，包含迭代的规划、评估、分配、锁定、跟踪、度量全流程协作。</w:t>
            </w:r>
          </w:p>
          <w:p>
            <w:pPr>
              <w:spacing w:line="240" w:lineRule="auto"/>
              <w:ind w:firstLine="404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4.支持父子项目、项目集等国内大型组织团队管理模式，其中基于父子项目可建立公司级别研发层级空间管理。</w:t>
            </w:r>
          </w:p>
          <w:p>
            <w:pPr>
              <w:spacing w:line="240" w:lineRule="auto"/>
              <w:ind w:firstLine="404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5.支持跨项目需求、缺陷工作项目复制和同步，并支持自动化实现跨项目需求复制与同步</w:t>
            </w:r>
          </w:p>
          <w:p>
            <w:pPr>
              <w:spacing w:line="240" w:lineRule="auto"/>
              <w:ind w:firstLine="404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6.支持工时的评估、花费填写、工时评审以及度量体系化工时能力</w:t>
            </w:r>
          </w:p>
          <w:p>
            <w:pPr>
              <w:spacing w:line="240" w:lineRule="auto"/>
              <w:ind w:firstLine="404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7.支持集成主流开源Gitlab、Jenkins、Nexus、Sonarqube等devops工具链，以及腾讯会议、企业微信、飞书和钉钉等主流的办公协同工具。</w:t>
            </w:r>
          </w:p>
          <w:p>
            <w:pPr>
              <w:spacing w:line="240" w:lineRule="auto"/>
              <w:ind w:firstLine="404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8.支持度量的指标、报表和仪表盘自定义，支持迭代、项目以及多项目的度量能力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 xml:space="preserve">9.支持AI需求评审，以及产品经理、项目经理、技术人员的原生研发AI NPC。 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1" w:hRule="atLeast"/>
        </w:trPr>
        <w:tc>
          <w:tcPr>
            <w:tcW w:w="78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43</w:t>
            </w:r>
          </w:p>
        </w:tc>
        <w:tc>
          <w:tcPr>
            <w:tcW w:w="162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消息服务-Kafka</w:t>
            </w:r>
          </w:p>
        </w:tc>
        <w:tc>
          <w:tcPr>
            <w:tcW w:w="189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基于开源 Apache Kafka 消息服务引擎，提供高吞吐性能、高可扩展性的消息队列服务。兼容 Apache kafka 主流版本接口。</w:t>
            </w:r>
          </w:p>
        </w:tc>
        <w:tc>
          <w:tcPr>
            <w:tcW w:w="374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1.发布/订阅模型：支持一对多的 Pub/Sub模型，发布者可以将消息发送到主题，被一个或多个消费者同时消费，灵活，可扩展性强。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2.消费模式：同时支持集群消费与广播消费两种消费模式。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3.支持Java SDK 接入；支持   SASL_PlainText、SASL_SCRAM、SSL、PlainText 等多种接入方式。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4.消息治理：支持消息查询、消息者状态实时查询、Topic维度资源报表、消费延时和堆积等监控告警。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5、支持智能运维能力，提供磁盘自动扩容、磁盘容量保留以及集群健康度检测能力。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6、支持跨可用区高可用、跨地域容灾能力。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7、支持对接 Prometheus 查看监控数据。</w:t>
            </w:r>
          </w:p>
        </w:tc>
      </w:tr>
      <w:tr>
        <w:tblPrEx>
          <w:tblBorders>
            <w:top w:val="single" w:color="CBCDD1" w:sz="6" w:space="0"/>
            <w:left w:val="single" w:color="CBCDD1" w:sz="6" w:space="0"/>
            <w:bottom w:val="single" w:color="CBCDD1" w:sz="6" w:space="0"/>
            <w:right w:val="single" w:color="CBCDD1" w:sz="6" w:space="0"/>
            <w:insideH w:val="single" w:color="CBCDD1" w:sz="6" w:space="0"/>
            <w:insideV w:val="single" w:color="CBCDD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780" w:type="dxa"/>
            <w:tcBorders>
              <w:top w:val="single" w:color="000000" w:sz="0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44</w:t>
            </w:r>
          </w:p>
        </w:tc>
        <w:tc>
          <w:tcPr>
            <w:tcW w:w="162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消息队列-RabbitMQ</w:t>
            </w:r>
          </w:p>
        </w:tc>
        <w:tc>
          <w:tcPr>
            <w:tcW w:w="1890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消息队列-RabbitMQ 版，支持 AMQP 0-9-1 协议，完全兼容开源 RabbitMQ 的各个组件与概念，同时具备计算存储分离，灵活扩缩容的能力。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center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消息服务-RabbitMQ版拥有极为灵活的路由来适应各类业务的消息投递规则，可以缓冲上游流量压力的能力，保证消息系统的稳定运行。</w:t>
            </w:r>
          </w:p>
        </w:tc>
        <w:tc>
          <w:tcPr>
            <w:tcW w:w="3749" w:type="dxa"/>
            <w:tcBorders>
              <w:top w:val="single" w:color="000000" w:sz="0" w:space="0"/>
              <w:left w:val="single" w:color="000000" w:sz="0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1、支持可靠消息传输，支持消费确认能力。支持公网/vpc 多种访问能力。公网访问支持白名单控制。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2、支持丰富的消息路由能力，支持延迟消息、死信消息、重试消息。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3、支持 SSL/TLS 传输加密能力。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4、支持跨可用区高可用能力。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5、提供丰富的可观测能力，支持集群、节点、VHost、Queue   四个维度的监控指标。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6、支持对接 Prometheus 查看监控数据。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7、支持对集群进行安全巡检</w:t>
            </w:r>
          </w:p>
          <w:p>
            <w:pPr>
              <w:pStyle w:val="22"/>
              <w:snapToGrid w:val="0"/>
              <w:spacing w:before="149" w:line="220" w:lineRule="auto"/>
              <w:ind w:firstLine="0" w:firstLineChars="0"/>
              <w:jc w:val="lef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  <w:t>8、支持消息查询能力。</w:t>
            </w:r>
          </w:p>
        </w:tc>
      </w:tr>
    </w:tbl>
    <w:p>
      <w:pPr>
        <w:pStyle w:val="4"/>
        <w:spacing w:before="0" w:after="0" w:line="560" w:lineRule="exact"/>
        <w:ind w:firstLine="640"/>
        <w:rPr>
          <w:rFonts w:ascii="黑体" w:hAnsi="黑体" w:eastAsia="黑体"/>
          <w:b w:val="0"/>
          <w:bCs w:val="0"/>
          <w:sz w:val="32"/>
        </w:rPr>
      </w:pPr>
    </w:p>
    <w:p>
      <w:pPr>
        <w:pStyle w:val="4"/>
        <w:spacing w:before="0" w:after="0" w:line="560" w:lineRule="exact"/>
        <w:ind w:firstLine="640"/>
        <w:rPr>
          <w:rFonts w:ascii="黑体" w:hAnsi="黑体" w:eastAsia="黑体"/>
          <w:b w:val="0"/>
          <w:bCs w:val="0"/>
          <w:sz w:val="32"/>
        </w:rPr>
      </w:pPr>
      <w:r>
        <w:rPr>
          <w:rFonts w:hint="eastAsia" w:ascii="黑体" w:hAnsi="黑体" w:eastAsia="黑体"/>
          <w:b w:val="0"/>
          <w:bCs w:val="0"/>
          <w:sz w:val="32"/>
        </w:rPr>
        <w:t>四、商务要求</w:t>
      </w:r>
    </w:p>
    <w:p>
      <w:pPr>
        <w:pStyle w:val="11"/>
        <w:spacing w:after="0"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意向合作方应为在中华人民共和国注册的法人机构或其他组织，具有拟合作内容相关项目经验。</w:t>
      </w:r>
    </w:p>
    <w:p>
      <w:pPr>
        <w:pStyle w:val="11"/>
        <w:spacing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</w:rPr>
        <w:t>五、报价要求</w:t>
      </w:r>
    </w:p>
    <w:p>
      <w:pPr>
        <w:pStyle w:val="11"/>
        <w:spacing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1.响应报价应包括但不限于完成本项目所发生的服务费、相关物料费、工时费、税费（增值税）、运费、迁移费、质保费等一切相关费用，最终发生费用以实际采购结果为准；</w:t>
      </w:r>
    </w:p>
    <w:p>
      <w:pPr>
        <w:pStyle w:val="11"/>
        <w:spacing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2.报价应详细列出厂商自身云产品的价格和产品类别折扣率，报价以《深圳智慧交易科技有限公司2026年-2027年公有云服务项目采购报价清单》为准；</w:t>
      </w:r>
    </w:p>
    <w:p>
      <w:pPr>
        <w:pStyle w:val="11"/>
        <w:spacing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3.本项目实际执行时，最终结算金额以实际采购和实际使用为准，根据成交人云产品和服务基础价格（刊例价）*折扣率进行费用结算。</w:t>
      </w:r>
    </w:p>
    <w:p>
      <w:pPr>
        <w:pStyle w:val="11"/>
        <w:spacing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4.计价币种为人民币；</w:t>
      </w:r>
    </w:p>
    <w:p>
      <w:pPr>
        <w:pStyle w:val="11"/>
        <w:spacing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5.折扣率不得为负数，否则响应无效。</w:t>
      </w:r>
    </w:p>
    <w:p>
      <w:pPr>
        <w:pStyle w:val="11"/>
        <w:spacing w:after="0" w:line="560" w:lineRule="exact"/>
        <w:ind w:firstLine="640" w:firstLineChars="200"/>
        <w:rPr>
          <w:rFonts w:ascii="仿宋_GB2312" w:eastAsia="仿宋_GB2312"/>
          <w:b/>
          <w:bCs/>
          <w:sz w:val="32"/>
          <w:szCs w:val="32"/>
        </w:rPr>
      </w:pPr>
      <w:r>
        <w:rPr>
          <w:rFonts w:hint="eastAsia" w:ascii="黑体" w:hAnsi="黑体" w:eastAsia="黑体"/>
          <w:sz w:val="32"/>
        </w:rPr>
        <w:t>六、服务期</w:t>
      </w:r>
    </w:p>
    <w:p>
      <w:pPr>
        <w:pStyle w:val="11"/>
        <w:spacing w:after="0"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本项目单次合同服务期限为 1 年，自合同签订之日起计算。</w:t>
      </w:r>
      <w:r>
        <w:rPr>
          <w:rFonts w:hint="eastAsia" w:ascii="仿宋_GB2312" w:hAnsi="仿宋_GB2312" w:eastAsia="仿宋_GB2312" w:cs="仿宋_GB2312"/>
          <w:sz w:val="32"/>
          <w:szCs w:val="32"/>
        </w:rPr>
        <w:t>在合同到期前，根据项目需要及供应商履约评价决定是否续签合同，年度履约评价等级为优秀进行续签，单次续签不超过12个月，总服务期不超过36个月。</w:t>
      </w:r>
    </w:p>
    <w:p>
      <w:pPr>
        <w:pStyle w:val="11"/>
        <w:spacing w:after="0" w:line="560" w:lineRule="exact"/>
        <w:ind w:firstLine="640" w:firstLineChars="200"/>
        <w:rPr>
          <w:rFonts w:hint="eastAsia" w:ascii="黑体" w:hAnsi="黑体" w:eastAsia="黑体"/>
          <w:sz w:val="32"/>
        </w:rPr>
      </w:pPr>
      <w:r>
        <w:rPr>
          <w:rFonts w:hint="eastAsia" w:ascii="黑体" w:hAnsi="黑体" w:eastAsia="黑体"/>
          <w:sz w:val="32"/>
        </w:rPr>
        <w:t>七、其他</w:t>
      </w:r>
    </w:p>
    <w:p>
      <w:pPr>
        <w:ind w:firstLine="800" w:firstLineChars="250"/>
        <w:rPr>
          <w:rFonts w:hint="eastAsia" w:ascii="仿宋_GB2312" w:eastAsia="仿宋_GB2312"/>
          <w:sz w:val="32"/>
          <w:szCs w:val="32"/>
        </w:rPr>
        <w:sectPr>
          <w:footerReference r:id="rId5" w:type="default"/>
          <w:pgSz w:w="11907" w:h="16840"/>
          <w:pgMar w:top="1440" w:right="1803" w:bottom="1440" w:left="1803" w:header="413" w:footer="642" w:gutter="0"/>
          <w:cols w:space="720" w:num="1"/>
        </w:sectPr>
      </w:pPr>
      <w:r>
        <w:rPr>
          <w:rFonts w:hint="eastAsia" w:ascii="仿宋_GB2312" w:eastAsia="仿宋_GB2312"/>
          <w:sz w:val="32"/>
          <w:szCs w:val="32"/>
        </w:rPr>
        <w:t>如项目中标后，确认需要进行云资源（约60余套系统、1100余台云服务器、220TB数据和300余套数据库等，数据量为评估数，实际以迁移时统计量为准）迁移的，中标供应</w:t>
      </w:r>
      <w:bookmarkStart w:id="6" w:name="_GoBack"/>
      <w:bookmarkEnd w:id="6"/>
      <w:r>
        <w:rPr>
          <w:rFonts w:hint="eastAsia" w:ascii="仿宋_GB2312" w:eastAsia="仿宋_GB2312"/>
          <w:sz w:val="32"/>
          <w:szCs w:val="32"/>
        </w:rPr>
        <w:t>商应结合现有业务系统部署和实施情况，提供详细的迁移方案与建议报招标人确认，包括详细的应用和数据迁移计划、迁移工具和迁移方法，并在迁移上云的过程中提供必要的专家服务支持，确保迁移部署顺利完成。中标供应商要确保在云迁移过程中招标人数据的安全、完整以及业务的持续和稳定，需在招标人同意启动迁移的前提下，于合同签订后3个月内完成迁移。</w:t>
      </w:r>
    </w:p>
    <w:p>
      <w:pPr>
        <w:ind w:firstLine="0" w:firstLineChars="0"/>
        <w:rPr>
          <w:rFonts w:hint="eastAsia" w:ascii="仿宋_GB2312" w:eastAsia="仿宋_GB2312"/>
          <w:szCs w:val="32"/>
        </w:rPr>
      </w:pPr>
    </w:p>
    <w:sectPr>
      <w:headerReference r:id="rId8" w:type="first"/>
      <w:footerReference r:id="rId11" w:type="first"/>
      <w:headerReference r:id="rId6" w:type="default"/>
      <w:footerReference r:id="rId9" w:type="default"/>
      <w:headerReference r:id="rId7" w:type="even"/>
      <w:footerReference r:id="rId10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公文小标宋简">
    <w:altName w:val="宋体"/>
    <w:panose1 w:val="020B0604020202020204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35" w:line="317" w:lineRule="exact"/>
      <w:ind w:left="4184" w:firstLine="360"/>
      <w:rPr>
        <w:rFonts w:eastAsia="Times New Roman"/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Content>
      <w:p>
        <w:pPr>
          <w:pStyle w:val="8"/>
          <w:ind w:firstLine="36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8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FmMTAzYjdhNDI1ZjA5NjczMDI2MDY0MDM2NDJiMTEifQ=="/>
    <w:docVar w:name="KSO_WPS_MARK_KEY" w:val="a2a79803-4661-405a-84a2-449864103fb7"/>
  </w:docVars>
  <w:rsids>
    <w:rsidRoot w:val="1DB52C0F"/>
    <w:rsid w:val="0000314E"/>
    <w:rsid w:val="00006708"/>
    <w:rsid w:val="00012006"/>
    <w:rsid w:val="00014730"/>
    <w:rsid w:val="00015933"/>
    <w:rsid w:val="00093D53"/>
    <w:rsid w:val="000A7342"/>
    <w:rsid w:val="000D3E25"/>
    <w:rsid w:val="000E4881"/>
    <w:rsid w:val="000E725E"/>
    <w:rsid w:val="000F5BBE"/>
    <w:rsid w:val="001001BC"/>
    <w:rsid w:val="00110E14"/>
    <w:rsid w:val="0012310B"/>
    <w:rsid w:val="00123F98"/>
    <w:rsid w:val="001374E3"/>
    <w:rsid w:val="0014095D"/>
    <w:rsid w:val="001508A1"/>
    <w:rsid w:val="001A33B0"/>
    <w:rsid w:val="001B7C43"/>
    <w:rsid w:val="001C0D90"/>
    <w:rsid w:val="001C1650"/>
    <w:rsid w:val="001E2DB6"/>
    <w:rsid w:val="001F44B9"/>
    <w:rsid w:val="002168FA"/>
    <w:rsid w:val="00224C21"/>
    <w:rsid w:val="00241FA8"/>
    <w:rsid w:val="00246FC0"/>
    <w:rsid w:val="0024762B"/>
    <w:rsid w:val="00265F60"/>
    <w:rsid w:val="002801EE"/>
    <w:rsid w:val="00295327"/>
    <w:rsid w:val="00296841"/>
    <w:rsid w:val="002A6818"/>
    <w:rsid w:val="002D4104"/>
    <w:rsid w:val="002D420E"/>
    <w:rsid w:val="002E363A"/>
    <w:rsid w:val="002E3CE3"/>
    <w:rsid w:val="002E4522"/>
    <w:rsid w:val="002F210C"/>
    <w:rsid w:val="002F6A69"/>
    <w:rsid w:val="002F7805"/>
    <w:rsid w:val="00304B4C"/>
    <w:rsid w:val="00321C24"/>
    <w:rsid w:val="003307A8"/>
    <w:rsid w:val="00334E85"/>
    <w:rsid w:val="003501C5"/>
    <w:rsid w:val="00352C5A"/>
    <w:rsid w:val="003609C3"/>
    <w:rsid w:val="003733DF"/>
    <w:rsid w:val="003B2F71"/>
    <w:rsid w:val="003C0534"/>
    <w:rsid w:val="003C5CA0"/>
    <w:rsid w:val="003F096A"/>
    <w:rsid w:val="003F1AD9"/>
    <w:rsid w:val="003F4D2B"/>
    <w:rsid w:val="003F61AF"/>
    <w:rsid w:val="004021A5"/>
    <w:rsid w:val="00405B5F"/>
    <w:rsid w:val="004167B4"/>
    <w:rsid w:val="00421A02"/>
    <w:rsid w:val="00456EC8"/>
    <w:rsid w:val="00463CDB"/>
    <w:rsid w:val="0047767C"/>
    <w:rsid w:val="00477F4D"/>
    <w:rsid w:val="00492AA5"/>
    <w:rsid w:val="004A5A1F"/>
    <w:rsid w:val="004B14DA"/>
    <w:rsid w:val="004B78D7"/>
    <w:rsid w:val="004C73FA"/>
    <w:rsid w:val="004D1B84"/>
    <w:rsid w:val="004D2426"/>
    <w:rsid w:val="004E1862"/>
    <w:rsid w:val="004E4764"/>
    <w:rsid w:val="004F51BB"/>
    <w:rsid w:val="0050052E"/>
    <w:rsid w:val="00500B0E"/>
    <w:rsid w:val="005237A1"/>
    <w:rsid w:val="0052411E"/>
    <w:rsid w:val="00545B6A"/>
    <w:rsid w:val="0055628F"/>
    <w:rsid w:val="00566969"/>
    <w:rsid w:val="0057171F"/>
    <w:rsid w:val="00585D3B"/>
    <w:rsid w:val="005A49F8"/>
    <w:rsid w:val="005A62D6"/>
    <w:rsid w:val="005B75A9"/>
    <w:rsid w:val="005C5367"/>
    <w:rsid w:val="005D06B6"/>
    <w:rsid w:val="005D3EF0"/>
    <w:rsid w:val="005D763C"/>
    <w:rsid w:val="00601668"/>
    <w:rsid w:val="00601FA8"/>
    <w:rsid w:val="00606E55"/>
    <w:rsid w:val="006644CD"/>
    <w:rsid w:val="0066553C"/>
    <w:rsid w:val="00676A47"/>
    <w:rsid w:val="006A53A8"/>
    <w:rsid w:val="006B6786"/>
    <w:rsid w:val="006D49A6"/>
    <w:rsid w:val="006E4FB6"/>
    <w:rsid w:val="006F2206"/>
    <w:rsid w:val="006F39BB"/>
    <w:rsid w:val="00707694"/>
    <w:rsid w:val="00752395"/>
    <w:rsid w:val="007639E8"/>
    <w:rsid w:val="00765E44"/>
    <w:rsid w:val="00770698"/>
    <w:rsid w:val="0078411D"/>
    <w:rsid w:val="00791CD7"/>
    <w:rsid w:val="0079282D"/>
    <w:rsid w:val="0079509D"/>
    <w:rsid w:val="007A120B"/>
    <w:rsid w:val="007C0D84"/>
    <w:rsid w:val="007C5DB5"/>
    <w:rsid w:val="007D1DA8"/>
    <w:rsid w:val="007D2BA4"/>
    <w:rsid w:val="007F21B3"/>
    <w:rsid w:val="008032CD"/>
    <w:rsid w:val="00837DE6"/>
    <w:rsid w:val="00840852"/>
    <w:rsid w:val="00844D78"/>
    <w:rsid w:val="00847B24"/>
    <w:rsid w:val="008637CF"/>
    <w:rsid w:val="00864528"/>
    <w:rsid w:val="00871D8E"/>
    <w:rsid w:val="00876AE1"/>
    <w:rsid w:val="008949F0"/>
    <w:rsid w:val="008B7B96"/>
    <w:rsid w:val="008B7C4B"/>
    <w:rsid w:val="008C36C3"/>
    <w:rsid w:val="008C5ED4"/>
    <w:rsid w:val="008D67AE"/>
    <w:rsid w:val="008F49F6"/>
    <w:rsid w:val="00910DB0"/>
    <w:rsid w:val="0091257C"/>
    <w:rsid w:val="0092569A"/>
    <w:rsid w:val="00934549"/>
    <w:rsid w:val="009365D5"/>
    <w:rsid w:val="00947D8C"/>
    <w:rsid w:val="0095168A"/>
    <w:rsid w:val="00971B34"/>
    <w:rsid w:val="00973078"/>
    <w:rsid w:val="009B0CF7"/>
    <w:rsid w:val="009C016D"/>
    <w:rsid w:val="009C2546"/>
    <w:rsid w:val="00A039BB"/>
    <w:rsid w:val="00A04DC3"/>
    <w:rsid w:val="00A32ACB"/>
    <w:rsid w:val="00A364DC"/>
    <w:rsid w:val="00A40419"/>
    <w:rsid w:val="00A411F3"/>
    <w:rsid w:val="00A60200"/>
    <w:rsid w:val="00A7357E"/>
    <w:rsid w:val="00A77359"/>
    <w:rsid w:val="00A80351"/>
    <w:rsid w:val="00A937DC"/>
    <w:rsid w:val="00A97C29"/>
    <w:rsid w:val="00AA5B1C"/>
    <w:rsid w:val="00AA7651"/>
    <w:rsid w:val="00AB3A9F"/>
    <w:rsid w:val="00AB612C"/>
    <w:rsid w:val="00AC3FCE"/>
    <w:rsid w:val="00AD1B2D"/>
    <w:rsid w:val="00AD547A"/>
    <w:rsid w:val="00AD7517"/>
    <w:rsid w:val="00AE4E4A"/>
    <w:rsid w:val="00AE6CA0"/>
    <w:rsid w:val="00AE6DC2"/>
    <w:rsid w:val="00AF7732"/>
    <w:rsid w:val="00B1267E"/>
    <w:rsid w:val="00B249EB"/>
    <w:rsid w:val="00B401B8"/>
    <w:rsid w:val="00B40E65"/>
    <w:rsid w:val="00B426C3"/>
    <w:rsid w:val="00B64590"/>
    <w:rsid w:val="00B73414"/>
    <w:rsid w:val="00B76EC5"/>
    <w:rsid w:val="00BB589A"/>
    <w:rsid w:val="00BB62A5"/>
    <w:rsid w:val="00BC0AD2"/>
    <w:rsid w:val="00BC1596"/>
    <w:rsid w:val="00BE1208"/>
    <w:rsid w:val="00BF119C"/>
    <w:rsid w:val="00C162B1"/>
    <w:rsid w:val="00C30377"/>
    <w:rsid w:val="00C30EB4"/>
    <w:rsid w:val="00C4390E"/>
    <w:rsid w:val="00C43B29"/>
    <w:rsid w:val="00C452E8"/>
    <w:rsid w:val="00C46885"/>
    <w:rsid w:val="00C55AE5"/>
    <w:rsid w:val="00C90A7E"/>
    <w:rsid w:val="00C92C7E"/>
    <w:rsid w:val="00CA0CF6"/>
    <w:rsid w:val="00CA4D85"/>
    <w:rsid w:val="00CB2AF4"/>
    <w:rsid w:val="00CC5A52"/>
    <w:rsid w:val="00CE318D"/>
    <w:rsid w:val="00CE76C3"/>
    <w:rsid w:val="00CF4FBF"/>
    <w:rsid w:val="00D0357F"/>
    <w:rsid w:val="00D21783"/>
    <w:rsid w:val="00D34FCE"/>
    <w:rsid w:val="00D4506C"/>
    <w:rsid w:val="00D47EA7"/>
    <w:rsid w:val="00D5273A"/>
    <w:rsid w:val="00D72910"/>
    <w:rsid w:val="00DA6C00"/>
    <w:rsid w:val="00DB0EC1"/>
    <w:rsid w:val="00DB3A7F"/>
    <w:rsid w:val="00DC4DB1"/>
    <w:rsid w:val="00DC67AC"/>
    <w:rsid w:val="00DF2353"/>
    <w:rsid w:val="00DF3644"/>
    <w:rsid w:val="00E11386"/>
    <w:rsid w:val="00E302BE"/>
    <w:rsid w:val="00E37E76"/>
    <w:rsid w:val="00E449D6"/>
    <w:rsid w:val="00E46B44"/>
    <w:rsid w:val="00E54374"/>
    <w:rsid w:val="00E57C52"/>
    <w:rsid w:val="00E61ECF"/>
    <w:rsid w:val="00E62ACD"/>
    <w:rsid w:val="00E702A0"/>
    <w:rsid w:val="00E723C3"/>
    <w:rsid w:val="00E80065"/>
    <w:rsid w:val="00EA1987"/>
    <w:rsid w:val="00EA58A1"/>
    <w:rsid w:val="00EA5BA4"/>
    <w:rsid w:val="00EA5BF0"/>
    <w:rsid w:val="00EA72A0"/>
    <w:rsid w:val="00EB5058"/>
    <w:rsid w:val="00EC4252"/>
    <w:rsid w:val="00ED31AA"/>
    <w:rsid w:val="00ED5378"/>
    <w:rsid w:val="00ED7FF4"/>
    <w:rsid w:val="00EE17D8"/>
    <w:rsid w:val="00EF4F6F"/>
    <w:rsid w:val="00EF60C0"/>
    <w:rsid w:val="00F00F83"/>
    <w:rsid w:val="00F100FE"/>
    <w:rsid w:val="00F102B9"/>
    <w:rsid w:val="00F143D0"/>
    <w:rsid w:val="00F30457"/>
    <w:rsid w:val="00F31251"/>
    <w:rsid w:val="00F359CB"/>
    <w:rsid w:val="00F415C5"/>
    <w:rsid w:val="00F64109"/>
    <w:rsid w:val="00F84482"/>
    <w:rsid w:val="00F937C9"/>
    <w:rsid w:val="00FA2D10"/>
    <w:rsid w:val="00FC1407"/>
    <w:rsid w:val="00FC1855"/>
    <w:rsid w:val="00FC699F"/>
    <w:rsid w:val="00FD169F"/>
    <w:rsid w:val="00FD7FEC"/>
    <w:rsid w:val="00FF0C6D"/>
    <w:rsid w:val="00FF5218"/>
    <w:rsid w:val="0225651D"/>
    <w:rsid w:val="026164C4"/>
    <w:rsid w:val="02674DD0"/>
    <w:rsid w:val="02E82741"/>
    <w:rsid w:val="04584074"/>
    <w:rsid w:val="05147C3C"/>
    <w:rsid w:val="07033BAC"/>
    <w:rsid w:val="0762713B"/>
    <w:rsid w:val="07EC4BEA"/>
    <w:rsid w:val="086A5B0F"/>
    <w:rsid w:val="09551409"/>
    <w:rsid w:val="099D7D2C"/>
    <w:rsid w:val="0BC66F1F"/>
    <w:rsid w:val="0C325A99"/>
    <w:rsid w:val="0D866FE8"/>
    <w:rsid w:val="0E82650B"/>
    <w:rsid w:val="0F095A37"/>
    <w:rsid w:val="10352792"/>
    <w:rsid w:val="10516A06"/>
    <w:rsid w:val="10E64C92"/>
    <w:rsid w:val="11CD523F"/>
    <w:rsid w:val="11DD1A47"/>
    <w:rsid w:val="133B07BF"/>
    <w:rsid w:val="13B8465A"/>
    <w:rsid w:val="14A04432"/>
    <w:rsid w:val="150D6238"/>
    <w:rsid w:val="15124286"/>
    <w:rsid w:val="15E43E66"/>
    <w:rsid w:val="15F90C17"/>
    <w:rsid w:val="17DD3D91"/>
    <w:rsid w:val="188F3422"/>
    <w:rsid w:val="18C2085D"/>
    <w:rsid w:val="1A6F38CC"/>
    <w:rsid w:val="1B2467F0"/>
    <w:rsid w:val="1BB35DBD"/>
    <w:rsid w:val="1C0550B5"/>
    <w:rsid w:val="1D1B089A"/>
    <w:rsid w:val="1D2D2AA6"/>
    <w:rsid w:val="1DA01140"/>
    <w:rsid w:val="1DA82F09"/>
    <w:rsid w:val="1DB52C0F"/>
    <w:rsid w:val="1E8461F1"/>
    <w:rsid w:val="1EFF124F"/>
    <w:rsid w:val="1F924895"/>
    <w:rsid w:val="1FC90663"/>
    <w:rsid w:val="208D2D95"/>
    <w:rsid w:val="21587C99"/>
    <w:rsid w:val="226C4A28"/>
    <w:rsid w:val="23B01B82"/>
    <w:rsid w:val="2591111E"/>
    <w:rsid w:val="25BD5676"/>
    <w:rsid w:val="25DF0E2D"/>
    <w:rsid w:val="25E2251D"/>
    <w:rsid w:val="26DA713B"/>
    <w:rsid w:val="277E2C99"/>
    <w:rsid w:val="2B190844"/>
    <w:rsid w:val="2B34320F"/>
    <w:rsid w:val="2B807273"/>
    <w:rsid w:val="2BC748AF"/>
    <w:rsid w:val="2BCC4267"/>
    <w:rsid w:val="2D196A9E"/>
    <w:rsid w:val="2D1F7F26"/>
    <w:rsid w:val="2D221D79"/>
    <w:rsid w:val="2DD460B8"/>
    <w:rsid w:val="2DFCEC10"/>
    <w:rsid w:val="2E0C310F"/>
    <w:rsid w:val="2F4F0A2B"/>
    <w:rsid w:val="2F822498"/>
    <w:rsid w:val="2F8E2738"/>
    <w:rsid w:val="2FE61C79"/>
    <w:rsid w:val="304B5C1B"/>
    <w:rsid w:val="318F4387"/>
    <w:rsid w:val="323B48BA"/>
    <w:rsid w:val="3243451A"/>
    <w:rsid w:val="32C67299"/>
    <w:rsid w:val="335A4557"/>
    <w:rsid w:val="35BD3A6F"/>
    <w:rsid w:val="374708CC"/>
    <w:rsid w:val="38716F8D"/>
    <w:rsid w:val="38953AC8"/>
    <w:rsid w:val="38D77FCD"/>
    <w:rsid w:val="39572A38"/>
    <w:rsid w:val="3AAA024B"/>
    <w:rsid w:val="3B682342"/>
    <w:rsid w:val="3B8807DC"/>
    <w:rsid w:val="3BAD5578"/>
    <w:rsid w:val="3BF50BB7"/>
    <w:rsid w:val="3C246F62"/>
    <w:rsid w:val="3C526A0A"/>
    <w:rsid w:val="3C55677D"/>
    <w:rsid w:val="3D1D4DAA"/>
    <w:rsid w:val="3E674987"/>
    <w:rsid w:val="3EC84D62"/>
    <w:rsid w:val="3EEFA74B"/>
    <w:rsid w:val="40112738"/>
    <w:rsid w:val="407F5A0C"/>
    <w:rsid w:val="40A806BA"/>
    <w:rsid w:val="40D93256"/>
    <w:rsid w:val="41287C0E"/>
    <w:rsid w:val="41440EF1"/>
    <w:rsid w:val="41A26CF5"/>
    <w:rsid w:val="42402B63"/>
    <w:rsid w:val="42C42797"/>
    <w:rsid w:val="436B6BC5"/>
    <w:rsid w:val="44FD4015"/>
    <w:rsid w:val="462732B0"/>
    <w:rsid w:val="4682615B"/>
    <w:rsid w:val="46E47370"/>
    <w:rsid w:val="471D263E"/>
    <w:rsid w:val="47D62067"/>
    <w:rsid w:val="47DD4738"/>
    <w:rsid w:val="4888388C"/>
    <w:rsid w:val="49592DB9"/>
    <w:rsid w:val="496A5A69"/>
    <w:rsid w:val="4B336D84"/>
    <w:rsid w:val="4BD9235C"/>
    <w:rsid w:val="4C5152ED"/>
    <w:rsid w:val="4D32D958"/>
    <w:rsid w:val="4DDD1451"/>
    <w:rsid w:val="4EB002A9"/>
    <w:rsid w:val="4FC72B25"/>
    <w:rsid w:val="5066048A"/>
    <w:rsid w:val="50BC17B3"/>
    <w:rsid w:val="51526479"/>
    <w:rsid w:val="517562EF"/>
    <w:rsid w:val="51FE11CB"/>
    <w:rsid w:val="52956A64"/>
    <w:rsid w:val="529B1784"/>
    <w:rsid w:val="52F51E30"/>
    <w:rsid w:val="54653739"/>
    <w:rsid w:val="54C80841"/>
    <w:rsid w:val="54F1682A"/>
    <w:rsid w:val="55937A20"/>
    <w:rsid w:val="560F0729"/>
    <w:rsid w:val="571D00BA"/>
    <w:rsid w:val="5777351E"/>
    <w:rsid w:val="57BB47FC"/>
    <w:rsid w:val="58C1407C"/>
    <w:rsid w:val="5A8DEDCC"/>
    <w:rsid w:val="5BFF126B"/>
    <w:rsid w:val="5C992808"/>
    <w:rsid w:val="5CAC12FC"/>
    <w:rsid w:val="5CEA0CD8"/>
    <w:rsid w:val="5D21324C"/>
    <w:rsid w:val="5DFB7BA1"/>
    <w:rsid w:val="5E032D25"/>
    <w:rsid w:val="5E3A49CB"/>
    <w:rsid w:val="60A97E04"/>
    <w:rsid w:val="618B700B"/>
    <w:rsid w:val="61AD727E"/>
    <w:rsid w:val="625569A9"/>
    <w:rsid w:val="625E3163"/>
    <w:rsid w:val="629673D7"/>
    <w:rsid w:val="63A91A26"/>
    <w:rsid w:val="657C2E6F"/>
    <w:rsid w:val="66CC5F6E"/>
    <w:rsid w:val="66D949E0"/>
    <w:rsid w:val="67305040"/>
    <w:rsid w:val="688B391F"/>
    <w:rsid w:val="68D6136A"/>
    <w:rsid w:val="6D79599F"/>
    <w:rsid w:val="6E565963"/>
    <w:rsid w:val="6ED30D0D"/>
    <w:rsid w:val="6F035C80"/>
    <w:rsid w:val="6F3235DE"/>
    <w:rsid w:val="6FDE6B28"/>
    <w:rsid w:val="6FE06646"/>
    <w:rsid w:val="70175A91"/>
    <w:rsid w:val="70700C31"/>
    <w:rsid w:val="725BB92D"/>
    <w:rsid w:val="72785A42"/>
    <w:rsid w:val="72DA05FA"/>
    <w:rsid w:val="73803754"/>
    <w:rsid w:val="73B82616"/>
    <w:rsid w:val="73F84FA8"/>
    <w:rsid w:val="74FD067F"/>
    <w:rsid w:val="75042F2C"/>
    <w:rsid w:val="75771DB1"/>
    <w:rsid w:val="75DF2771"/>
    <w:rsid w:val="766C8DEE"/>
    <w:rsid w:val="767DE67A"/>
    <w:rsid w:val="77770FA9"/>
    <w:rsid w:val="77F52CC5"/>
    <w:rsid w:val="78B50865"/>
    <w:rsid w:val="78C30BFB"/>
    <w:rsid w:val="79863274"/>
    <w:rsid w:val="7A0D74F1"/>
    <w:rsid w:val="7AF00FBF"/>
    <w:rsid w:val="7BB01F03"/>
    <w:rsid w:val="7CCF229B"/>
    <w:rsid w:val="7CF07CC4"/>
    <w:rsid w:val="7DE22E07"/>
    <w:rsid w:val="7EB432D9"/>
    <w:rsid w:val="7ECA395B"/>
    <w:rsid w:val="7F884698"/>
    <w:rsid w:val="7FA46F26"/>
    <w:rsid w:val="7FF75A2D"/>
    <w:rsid w:val="7FFF45D4"/>
    <w:rsid w:val="A7DD678A"/>
    <w:rsid w:val="BEDB3510"/>
    <w:rsid w:val="BFFF1F2C"/>
    <w:rsid w:val="CDBF8A39"/>
    <w:rsid w:val="D957340F"/>
    <w:rsid w:val="DFEEBF95"/>
    <w:rsid w:val="EDBF2BB6"/>
    <w:rsid w:val="EEFC98A2"/>
    <w:rsid w:val="F36F3480"/>
    <w:rsid w:val="F7DFACC5"/>
    <w:rsid w:val="F7E5DC03"/>
    <w:rsid w:val="F974C03F"/>
    <w:rsid w:val="FCE95B05"/>
    <w:rsid w:val="FEBF6D7F"/>
    <w:rsid w:val="FFB9831B"/>
    <w:rsid w:val="FFFFE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nhideWhenUsed="0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outlineLvl w:val="0"/>
    </w:pPr>
    <w:rPr>
      <w:rFonts w:eastAsia="黑体"/>
      <w:b/>
      <w:bCs/>
      <w:kern w:val="44"/>
      <w:szCs w:val="44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120" w:after="120"/>
      <w:outlineLvl w:val="2"/>
    </w:pPr>
    <w:rPr>
      <w:b/>
      <w:bCs/>
      <w:sz w:val="24"/>
      <w:szCs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4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qFormat/>
    <w:uiPriority w:val="0"/>
    <w:pPr>
      <w:jc w:val="left"/>
    </w:pPr>
  </w:style>
  <w:style w:type="paragraph" w:styleId="7">
    <w:name w:val="Body Text"/>
    <w:basedOn w:val="1"/>
    <w:next w:val="1"/>
    <w:qFormat/>
    <w:uiPriority w:val="1"/>
    <w:pPr>
      <w:spacing w:after="120"/>
    </w:pPr>
  </w:style>
  <w:style w:type="paragraph" w:styleId="8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9">
    <w:name w:val="header"/>
    <w:basedOn w:val="1"/>
    <w:link w:val="16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1">
    <w:name w:val="Body Text First Indent"/>
    <w:basedOn w:val="7"/>
    <w:qFormat/>
    <w:uiPriority w:val="0"/>
    <w:pPr>
      <w:ind w:firstLine="420" w:firstLineChars="100"/>
    </w:pPr>
  </w:style>
  <w:style w:type="table" w:styleId="13">
    <w:name w:val="Table Grid"/>
    <w:basedOn w:val="12"/>
    <w:qFormat/>
    <w:uiPriority w:val="39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  <w:style w:type="character" w:styleId="15">
    <w:name w:val="annotation reference"/>
    <w:basedOn w:val="14"/>
    <w:qFormat/>
    <w:uiPriority w:val="0"/>
    <w:rPr>
      <w:sz w:val="21"/>
      <w:szCs w:val="21"/>
    </w:rPr>
  </w:style>
  <w:style w:type="character" w:customStyle="1" w:styleId="16">
    <w:name w:val="页眉 字符"/>
    <w:basedOn w:val="14"/>
    <w:link w:val="9"/>
    <w:qFormat/>
    <w:uiPriority w:val="0"/>
    <w:rPr>
      <w:kern w:val="2"/>
      <w:sz w:val="18"/>
      <w:szCs w:val="18"/>
    </w:rPr>
  </w:style>
  <w:style w:type="character" w:customStyle="1" w:styleId="17">
    <w:name w:val="页脚 字符"/>
    <w:basedOn w:val="14"/>
    <w:link w:val="8"/>
    <w:qFormat/>
    <w:uiPriority w:val="99"/>
    <w:rPr>
      <w:kern w:val="2"/>
      <w:sz w:val="18"/>
      <w:szCs w:val="18"/>
    </w:rPr>
  </w:style>
  <w:style w:type="paragraph" w:customStyle="1" w:styleId="18">
    <w:name w:val="修订1"/>
    <w:hidden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9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color w:val="000000"/>
      <w:sz w:val="24"/>
      <w:szCs w:val="24"/>
      <w:lang w:val="en-US" w:eastAsia="zh-CN" w:bidi="ar-SA"/>
    </w:rPr>
  </w:style>
  <w:style w:type="paragraph" w:customStyle="1" w:styleId="20">
    <w:name w:val="书写建议+首行缩进"/>
    <w:basedOn w:val="1"/>
    <w:uiPriority w:val="0"/>
    <w:pPr>
      <w:spacing w:after="120" w:line="240" w:lineRule="auto"/>
      <w:ind w:left="420" w:leftChars="200" w:firstLine="0" w:firstLineChars="0"/>
      <w:jc w:val="left"/>
    </w:pPr>
    <w:rPr>
      <w:i/>
      <w:iCs/>
      <w:color w:val="0000FF"/>
      <w:kern w:val="0"/>
      <w:sz w:val="24"/>
    </w:rPr>
  </w:style>
  <w:style w:type="paragraph" w:styleId="21">
    <w:name w:val="List Paragraph"/>
    <w:basedOn w:val="1"/>
    <w:unhideWhenUsed/>
    <w:qFormat/>
    <w:uiPriority w:val="99"/>
    <w:pPr>
      <w:ind w:firstLine="420"/>
    </w:pPr>
  </w:style>
  <w:style w:type="paragraph" w:customStyle="1" w:styleId="22">
    <w:name w:val="Table Text"/>
    <w:basedOn w:val="1"/>
    <w:semiHidden/>
    <w:qFormat/>
    <w:uiPriority w:val="0"/>
    <w:rPr>
      <w:rFonts w:ascii="宋体" w:hAnsi="宋体" w:cs="宋体"/>
      <w:szCs w:val="21"/>
      <w:lang w:eastAsia="en-US"/>
    </w:rPr>
  </w:style>
  <w:style w:type="paragraph" w:customStyle="1" w:styleId="23">
    <w:name w:val="CM60"/>
    <w:basedOn w:val="19"/>
    <w:next w:val="1"/>
    <w:qFormat/>
    <w:uiPriority w:val="0"/>
    <w:pPr>
      <w:spacing w:after="60"/>
    </w:pPr>
    <w:rPr>
      <w:rFonts w:ascii="宋体" w:eastAsia="宋体"/>
      <w:color w:val="auto"/>
    </w:rPr>
  </w:style>
  <w:style w:type="table" w:customStyle="1" w:styleId="2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header" Target="header3.xml"/><Relationship Id="rId7" Type="http://schemas.openxmlformats.org/officeDocument/2006/relationships/header" Target="header2.xml"/><Relationship Id="rId6" Type="http://schemas.openxmlformats.org/officeDocument/2006/relationships/header" Target="header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theme" Target="theme/theme1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2256</Words>
  <Characters>12862</Characters>
  <Lines>107</Lines>
  <Paragraphs>30</Paragraphs>
  <TotalTime>9</TotalTime>
  <ScaleCrop>false</ScaleCrop>
  <LinksUpToDate>false</LinksUpToDate>
  <CharactersWithSpaces>15088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2026-05-30T05:47:00Z</dcterms:created>
  <dc:creator>lenovo</dc:creator>
  <cp:lastModifiedBy>lenovo</cp:lastModifiedBy>
  <dcterms:modified xsi:type="dcterms:W3CDTF">2026-06-04T01:10:14Z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4474DA8954DE49908CEF04D984724F84</vt:lpwstr>
  </property>
</Properties>
</file>