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60" w:lineRule="exact"/>
        <w:jc w:val="center"/>
        <w:rPr>
          <w:rFonts w:hint="eastAsia" w:ascii="宋体" w:hAnsi="宋体"/>
          <w:b/>
          <w:color w:val="auto"/>
          <w:sz w:val="44"/>
          <w:szCs w:val="44"/>
          <w:lang w:eastAsia="zh-CN"/>
        </w:rPr>
      </w:pPr>
      <w:r>
        <w:rPr>
          <w:rFonts w:hint="default" w:ascii="宋体" w:hAnsi="宋体"/>
          <w:b/>
          <w:color w:val="auto"/>
          <w:sz w:val="44"/>
          <w:szCs w:val="44"/>
          <w:lang w:eastAsia="zh-CN"/>
        </w:rPr>
        <w:t>采购需求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表</w:t>
      </w:r>
    </w:p>
    <w:p>
      <w:pPr>
        <w:pStyle w:val="2"/>
        <w:jc w:val="center"/>
        <w:rPr>
          <w:rFonts w:hint="eastAsia"/>
          <w:lang w:eastAsia="zh-CN"/>
        </w:rPr>
      </w:pPr>
    </w:p>
    <w:tbl>
      <w:tblPr>
        <w:tblStyle w:val="6"/>
        <w:tblW w:w="11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74"/>
        <w:gridCol w:w="2845"/>
        <w:gridCol w:w="5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具体填报内容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789" w:type="dxa"/>
            <w:gridSpan w:val="2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宝安区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具身智能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机器人产业发展规划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业务需求部门</w:t>
            </w:r>
          </w:p>
        </w:tc>
        <w:tc>
          <w:tcPr>
            <w:tcW w:w="8789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宝安区科技创新局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87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为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做好宝安区具身智能机器人产业高质量发展的顶层设计和战略指引，紧扣我区战略性新兴产业发展要求，服务产业升级、产业链协同及创新生态构建需求，系统梳理当前我区具身智能机器人产业发展基础、产业链布局与经济效益现状，深度分析存在的短板，提出赋能产业高质量发展的路径举措，现面向社会公开采购宝安区具身智能机器人发展规划项目服务机构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预算金额（元）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0000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采购品目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区域科技发展服务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公开征集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评标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）方法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定性评审法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是否评定分离方式及定标方法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1.是（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）否（）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2.定标方法：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自定法 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等线" w:cs="宋体"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自行采购定标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方法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票决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（自定法）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是否专门面向中小微企业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本项目基于《政府采购促进中小企业发展管理办法》文件第六条第三点，不专门面向中小微企业。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价格优惠扣除比例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  <w:t>供应商资格要求</w:t>
            </w:r>
          </w:p>
        </w:tc>
        <w:tc>
          <w:tcPr>
            <w:tcW w:w="2845" w:type="dxa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1.独立法人单位；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2.投标人须具备区级、市级或以上相关领域发展路径或政策研究类课题经验；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3.投标人近三年内在政府采购中无行贿犯罪记录，且未被政府相关部门列入诚信档案黑名单。</w:t>
            </w:r>
          </w:p>
          <w:p>
            <w:pPr>
              <w:widowControl/>
              <w:spacing w:line="3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本项目不接受联合体参与，不允许转包分包。</w:t>
            </w:r>
          </w:p>
        </w:tc>
        <w:tc>
          <w:tcPr>
            <w:tcW w:w="594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6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项目经办人姓名及手机号码：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尹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先生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0755-88177458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FFBA9D"/>
    <w:rsid w:val="1EAC396A"/>
    <w:rsid w:val="1FFFE632"/>
    <w:rsid w:val="3EFFE9C1"/>
    <w:rsid w:val="4A1947CF"/>
    <w:rsid w:val="7BFEC32A"/>
    <w:rsid w:val="F5C636A9"/>
    <w:rsid w:val="FD7EF61D"/>
    <w:rsid w:val="FF95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560" w:lineRule="exact"/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1462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投资发展科</cp:lastModifiedBy>
  <dcterms:modified xsi:type="dcterms:W3CDTF">2025-11-25T10:41:57Z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