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93" w:type="dxa"/>
        <w:tblLook w:val="0000" w:firstRow="0" w:lastRow="0" w:firstColumn="0" w:lastColumn="0" w:noHBand="0" w:noVBand="0"/>
      </w:tblPr>
      <w:tblGrid>
        <w:gridCol w:w="4237"/>
        <w:gridCol w:w="755"/>
        <w:gridCol w:w="755"/>
        <w:gridCol w:w="2726"/>
        <w:gridCol w:w="287"/>
      </w:tblGrid>
      <w:tr w:rsidR="004A6A36">
        <w:trPr>
          <w:trHeight w:val="70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A36" w:rsidRPr="00E90220" w:rsidRDefault="00385CFC" w:rsidP="00E90220">
            <w:pPr>
              <w:widowControl/>
              <w:snapToGrid w:val="0"/>
              <w:spacing w:line="360" w:lineRule="atLeas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385CF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关于全行食堂低值易耗品供应商的采购需求</w:t>
            </w: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4A6A36" w:rsidRPr="00385CFC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385CF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一、需求概述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ind w:firstLineChars="200" w:firstLine="640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进一步规范全行食堂低值易耗品管理，优化采购流程，降低采购成本，提高资源统筹使用效率，原</w:t>
            </w:r>
            <w:proofErr w:type="gramStart"/>
            <w:r>
              <w:rPr>
                <w:rFonts w:ascii="宋体" w:hAnsi="宋体" w:cs="宋体" w:hint="eastAsia"/>
                <w:sz w:val="32"/>
                <w:szCs w:val="32"/>
              </w:rPr>
              <w:t>各需求</w:t>
            </w:r>
            <w:proofErr w:type="gramEnd"/>
            <w:r>
              <w:rPr>
                <w:rFonts w:ascii="宋体" w:hAnsi="宋体" w:cs="宋体" w:hint="eastAsia"/>
                <w:sz w:val="32"/>
                <w:szCs w:val="32"/>
              </w:rPr>
              <w:t>单位自行零星采购的食堂低值易耗品，自本年度起调整为归口管理部门集中统筹、统一</w:t>
            </w:r>
            <w:proofErr w:type="gramStart"/>
            <w:r>
              <w:rPr>
                <w:rFonts w:ascii="宋体" w:hAnsi="宋体" w:cs="宋体" w:hint="eastAsia"/>
                <w:sz w:val="32"/>
                <w:szCs w:val="32"/>
              </w:rPr>
              <w:t>采购供全行使</w:t>
            </w:r>
            <w:proofErr w:type="gramEnd"/>
            <w:r>
              <w:rPr>
                <w:rFonts w:ascii="宋体" w:hAnsi="宋体" w:cs="宋体" w:hint="eastAsia"/>
                <w:sz w:val="32"/>
                <w:szCs w:val="32"/>
              </w:rPr>
              <w:t>用的模式。</w:t>
            </w:r>
          </w:p>
        </w:tc>
      </w:tr>
      <w:tr w:rsidR="004A6A36">
        <w:trPr>
          <w:trHeight w:val="750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80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二、商品品类</w:t>
            </w:r>
          </w:p>
        </w:tc>
      </w:tr>
      <w:tr w:rsidR="004A6A36">
        <w:trPr>
          <w:trHeight w:val="735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A6A36" w:rsidRDefault="00385CF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品类编码</w:t>
            </w:r>
            <w:r>
              <w:rPr>
                <w:rFonts w:ascii="宋体" w:hAnsi="宋体" w:cs="宋体"/>
                <w:sz w:val="32"/>
                <w:szCs w:val="32"/>
              </w:rPr>
              <w:t xml:space="preserve">: </w:t>
            </w: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t>A1504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生活用品。</w:t>
            </w: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t xml:space="preserve">                                  </w:t>
            </w: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三、项目期限需求</w:t>
            </w:r>
          </w:p>
        </w:tc>
      </w:tr>
      <w:tr w:rsidR="004A6A36">
        <w:trPr>
          <w:trHeight w:val="600"/>
        </w:trPr>
        <w:tc>
          <w:tcPr>
            <w:tcW w:w="87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pStyle w:val="a4"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合同签订之日起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年。（具体以合同签订时间为准）。</w:t>
            </w:r>
          </w:p>
        </w:tc>
      </w:tr>
      <w:tr w:rsidR="004A6A36">
        <w:trPr>
          <w:trHeight w:val="480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四、服务内容</w:t>
            </w:r>
          </w:p>
        </w:tc>
      </w:tr>
      <w:tr w:rsidR="004A6A36">
        <w:trPr>
          <w:trHeight w:val="79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根据各分、支行食堂实际需求，由各入选供应商为全行各分、支行网点员工食堂配送所有食堂低值易耗品</w:t>
            </w:r>
            <w:r w:rsidRPr="00E90220">
              <w:rPr>
                <w:sz w:val="32"/>
                <w:szCs w:val="32"/>
              </w:rPr>
              <w:commentReference w:id="0"/>
            </w:r>
            <w:r w:rsidRPr="00385CFC">
              <w:rPr>
                <w:rFonts w:ascii="宋体" w:hAnsi="宋体" w:cs="宋体" w:hint="eastAsia"/>
                <w:kern w:val="0"/>
                <w:sz w:val="32"/>
                <w:szCs w:val="32"/>
              </w:rPr>
              <w:t>等（具体内容详见明细清单）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4A6A36">
        <w:trPr>
          <w:trHeight w:val="600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600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五、服务团队要求</w:t>
            </w:r>
          </w:p>
        </w:tc>
      </w:tr>
      <w:tr w:rsidR="004A6A36">
        <w:trPr>
          <w:trHeight w:val="600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1.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项目负责人：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名，统筹本项目的需求对接、订单管理、问题协调。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2.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客服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/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需求对接专员：不少于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名，负责日常需求收集、订单跟进、问题反馈。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color w:val="C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3.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配送专员：不少于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名，负责全行各食堂的物资配送、现场清点、退换货交接。</w:t>
            </w:r>
          </w:p>
        </w:tc>
      </w:tr>
      <w:tr w:rsidR="004A6A36">
        <w:trPr>
          <w:trHeight w:val="600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65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六、服务质量要求</w:t>
            </w:r>
            <w:r>
              <w:rPr>
                <w:rFonts w:ascii="宋体" w:hAnsi="宋体" w:cs="宋体" w:hint="eastAsia"/>
                <w:sz w:val="32"/>
                <w:szCs w:val="32"/>
              </w:rPr>
              <w:t>（注：本项中的相关检测报告均要求服务期间按要求提供）</w:t>
            </w:r>
          </w:p>
        </w:tc>
      </w:tr>
      <w:tr w:rsidR="004A6A36">
        <w:trPr>
          <w:trHeight w:val="55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1.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物资质量标准</w:t>
            </w:r>
          </w:p>
          <w:p w:rsidR="004A6A36" w:rsidRDefault="00385CFC" w:rsidP="00E90220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所有物资需符合国家相关安全、环保标准（如食品接触类物资需符合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GB 4806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系列标准，清洁用品需符合国家质量监督标准）；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提供的物资需为正规品牌合格产品，附带产品合格证、检测报告等相关证明文件，严禁提供假冒伪劣、三无产品；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物资规格、型号需与采购需求一致，无破损、变形、过期等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质量问题。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2.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配送服务标准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常规订单：收到需求清单后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个工作日内完成配送；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紧急订单：收到需求清单后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24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小时内完成配送；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配送过程需做好物资防护，避免磕碰、污染，食品接触类物资需采用密封包装，确保运输安全。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3.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服务响应标准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客服热线需在工作时间内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100%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接通，非工作时间提供应急联系方式；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一般问题响应时间不超过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小时，复杂问题响应时间不超过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小时，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24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小时内给出解决方案；</w:t>
            </w:r>
          </w:p>
          <w:p w:rsidR="004A6A36" w:rsidRPr="00E90220" w:rsidRDefault="00385CFC" w:rsidP="00E90220">
            <w:pPr>
              <w:widowControl/>
              <w:adjustRightInd w:val="0"/>
              <w:snapToGrid w:val="0"/>
              <w:spacing w:line="36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定期配合归口管理部门开展服务质量评估，每季度提交服务报告，针对问题及时整改。</w:t>
            </w:r>
          </w:p>
          <w:p w:rsidR="004A6A36" w:rsidRPr="00385CFC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540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52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80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七、服务数量要求</w:t>
            </w:r>
          </w:p>
        </w:tc>
      </w:tr>
      <w:tr w:rsidR="004A6A36">
        <w:trPr>
          <w:trHeight w:val="61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要服务我分行支行网点共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98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个食堂使用。《明细清单》表中数量为合同期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年的预估数据，具体数量以订单数量为准。</w:t>
            </w:r>
          </w:p>
        </w:tc>
      </w:tr>
      <w:tr w:rsidR="004A6A36">
        <w:trPr>
          <w:trHeight w:val="630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 w:rsidTr="00E90220">
        <w:trPr>
          <w:trHeight w:val="41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八、服务供应安排</w:t>
            </w:r>
          </w:p>
        </w:tc>
      </w:tr>
      <w:tr w:rsidR="004A6A36">
        <w:trPr>
          <w:trHeight w:val="52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一、配送与退换货服务安排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1.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乙方（供应商）需无条件按照甲方（我行）指定的时间，将货品配送至甲方各食堂指定地点，配送过程中产生的运输、装卸等相关费用均由乙方承担。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2.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若所送货物不符合甲方要求（包括但不限于质量不合格、规格不符、数量短缺、包装破损、过期变质等），乙方需无条件配合退回，并在甲方规定的时限内补充符合要求的相应货物；返工、换货产生的所有费用（含运输、人工、仓储等）及延误损失均由乙方自行承担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二、产品合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要求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乙方承诺向甲方提供的所有食堂低值易耗品，均符合以下要求：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1.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符合国家及行业相关质量、安全、环保标准（其中食品接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触类产品需符合《食品安全国家标准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食品接触材料及制品通用安全要求》（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GB 4806.1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）及对应品类的专项标准）；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2.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为正规厂家生产的合格产品，具备有效的产品合格证、检测报告等证明文件，严禁提供假冒伪劣、“三无”（无生产日期、无质量合格证、无生产厂家）产品；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3.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产品质量问题给甲方造成损失的，乙方需承担全部赔偿责任。</w:t>
            </w:r>
          </w:p>
        </w:tc>
      </w:tr>
      <w:tr w:rsidR="004A6A36">
        <w:trPr>
          <w:trHeight w:val="55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55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九、款项支付要求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1.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供应商原则上须在甲方下辖网点开立结算账户，同时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开通数币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对公钱包绑定结算账户作为合同指定账户；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2.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乙方按要求完成物资配送、甲方各食堂验收合格、乙方提供合法有效完整增值税发票及对应结算资料后，甲方在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20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个自然日内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完成款项支付。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）乙方交付货品全部验收合格，无质量异议、无退换货待处理事项；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）乙方提交的发票真实、合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、有效，票面信息与实际供货内容、合同内容一致；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）乙方已完整提供甲方所需结算资料（对账清单、验收单、供货明细等）。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十、售后服务要求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ind w:firstLineChars="200" w:firstLine="64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1.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乙方须建立完善的常态化售后服务机制，设立专属对接人员及固定服务电话，工作日全程畅通。对甲方提出的咨询、补货、换货、质量异议等需求，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小时内响应、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小时内给出处理方案、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24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小时内闭环处理，确保全行食堂日常物资保障稳定有序。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ind w:firstLineChars="200" w:firstLine="64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2.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乙方须建立食堂物资应急供应预案，针对节假日、突发客流激增、临时接待、突发物资损耗、突发疫情或极端天气等特殊情况，做到全天候应急待命。接到甲方应急供货指令后，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须第一时间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统筹货源、优先排产、优先配送，紧急物资确保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24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小时内送达指定食堂点位，不得以货源紧张、节假日、物流停运等理由拖延或拒绝供应，保障我行食堂正常运营不中断。；</w:t>
            </w:r>
          </w:p>
          <w:p w:rsidR="004A6A36" w:rsidRDefault="00385CFC">
            <w:pPr>
              <w:widowControl/>
              <w:adjustRightInd w:val="0"/>
              <w:snapToGrid w:val="0"/>
              <w:spacing w:line="360" w:lineRule="atLeast"/>
              <w:ind w:firstLineChars="200" w:firstLine="64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3.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凡乙方提供物资出现质量不达标、破损、瑕疵、规格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不符、过期、存在安全隐患等问题，乙方须无条件退换、无条件补供，所有人工、物流、物料损耗费用由乙方全额承担，不得影响甲方食堂正常保障。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十一、报价要求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供应商根据</w:t>
            </w:r>
            <w:commentRangeStart w:id="1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明细清单</w:t>
            </w:r>
            <w:commentRangeEnd w:id="1"/>
            <w:r w:rsidRPr="00E90220">
              <w:rPr>
                <w:sz w:val="32"/>
                <w:szCs w:val="32"/>
              </w:rPr>
              <w:commentReference w:id="1"/>
            </w:r>
            <w:r w:rsidRPr="00385CFC">
              <w:rPr>
                <w:rFonts w:ascii="宋体" w:hAnsi="宋体" w:cs="宋体" w:hint="eastAsia"/>
                <w:kern w:val="0"/>
                <w:sz w:val="32"/>
                <w:szCs w:val="32"/>
              </w:rPr>
              <w:t>报单价和总价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（含税价及不含税价），报价需含运输、包装、装卸及运输保险费等所有费用。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十二、候选供应商应具备的相关资质要求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6A36" w:rsidRPr="00E90220" w:rsidRDefault="00385CFC" w:rsidP="00E90220">
            <w:pPr>
              <w:widowControl/>
              <w:adjustRightInd w:val="0"/>
              <w:snapToGrid w:val="0"/>
              <w:spacing w:line="36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1.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具有销售厨房用品、餐具、清洁用品、一次性用品、日用百货、食品接触材料等相关的经营范围。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2.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注册资本不少于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100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万元。</w:t>
            </w:r>
          </w:p>
          <w:p w:rsidR="004A6A36" w:rsidRDefault="00385CFC" w:rsidP="00E90220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385CFC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402"/>
        </w:trPr>
        <w:tc>
          <w:tcPr>
            <w:tcW w:w="87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十二、其他要求</w:t>
            </w:r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Pr="00385CFC" w:rsidRDefault="00385CFC" w:rsidP="00E90220">
            <w:pPr>
              <w:widowControl/>
              <w:adjustRightInd w:val="0"/>
              <w:snapToGrid w:val="0"/>
              <w:spacing w:line="360" w:lineRule="atLeast"/>
              <w:ind w:firstLineChars="200" w:firstLine="640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E90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无。</w:t>
            </w:r>
            <w:bookmarkStart w:id="2" w:name="_GoBack"/>
            <w:bookmarkEnd w:id="2"/>
          </w:p>
        </w:tc>
      </w:tr>
      <w:tr w:rsidR="004A6A36">
        <w:trPr>
          <w:trHeight w:val="415"/>
        </w:trPr>
        <w:tc>
          <w:tcPr>
            <w:tcW w:w="876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A6A36" w:rsidRDefault="004A6A3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A6A36">
        <w:trPr>
          <w:trHeight w:val="570"/>
        </w:trPr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归口管理部门：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办公室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需求单位：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办公室</w:t>
            </w:r>
          </w:p>
        </w:tc>
      </w:tr>
      <w:tr w:rsidR="004A6A36">
        <w:trPr>
          <w:trHeight w:val="528"/>
        </w:trPr>
        <w:tc>
          <w:tcPr>
            <w:tcW w:w="42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联系人：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陈</w:t>
            </w:r>
            <w:r w:rsidR="00E90220">
              <w:rPr>
                <w:rFonts w:ascii="宋体" w:hAnsi="宋体" w:cs="宋体" w:hint="eastAsia"/>
                <w:kern w:val="0"/>
                <w:sz w:val="32"/>
                <w:szCs w:val="32"/>
              </w:rPr>
              <w:t>经理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  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81686499                   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ind w:firstLineChars="400" w:firstLine="128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20260602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4A6A36" w:rsidRDefault="00385CF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4A6A36" w:rsidRDefault="004A6A36"/>
    <w:sectPr w:rsidR="004A6A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尚艳杰" w:date="2026-06-03T10:54:00Z" w:initials="syj">
    <w:p w:rsidR="004A6A36" w:rsidRDefault="00385CFC">
      <w:pPr>
        <w:pStyle w:val="a3"/>
      </w:pPr>
      <w:r>
        <w:rPr>
          <w:rFonts w:hint="eastAsia"/>
        </w:rPr>
        <w:t>具体内容详见明细清单</w:t>
      </w:r>
    </w:p>
  </w:comment>
  <w:comment w:id="1" w:author="尚艳杰" w:date="2026-06-03T10:53:00Z" w:initials="syj">
    <w:p w:rsidR="004A6A36" w:rsidRDefault="00385CFC">
      <w:pPr>
        <w:pStyle w:val="a3"/>
      </w:pPr>
      <w:r>
        <w:rPr>
          <w:rFonts w:hint="eastAsia"/>
        </w:rPr>
        <w:t>清单在哪？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2C" w:rsidRDefault="00504E2C" w:rsidP="00E90220">
      <w:r>
        <w:separator/>
      </w:r>
    </w:p>
  </w:endnote>
  <w:endnote w:type="continuationSeparator" w:id="0">
    <w:p w:rsidR="00504E2C" w:rsidRDefault="00504E2C" w:rsidP="00E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2C" w:rsidRDefault="00504E2C" w:rsidP="00E90220">
      <w:r>
        <w:separator/>
      </w:r>
    </w:p>
  </w:footnote>
  <w:footnote w:type="continuationSeparator" w:id="0">
    <w:p w:rsidR="00504E2C" w:rsidRDefault="00504E2C" w:rsidP="00E9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16.195.55:/pshare/inner/LJC/file/file/getFileStreamById"/>
  </w:docVars>
  <w:rsids>
    <w:rsidRoot w:val="00A871A5"/>
    <w:rsid w:val="001C276F"/>
    <w:rsid w:val="001E26BA"/>
    <w:rsid w:val="00385CFC"/>
    <w:rsid w:val="004A6A36"/>
    <w:rsid w:val="00504E2C"/>
    <w:rsid w:val="0050734E"/>
    <w:rsid w:val="0068357A"/>
    <w:rsid w:val="008B1EA7"/>
    <w:rsid w:val="008F1636"/>
    <w:rsid w:val="00A871A5"/>
    <w:rsid w:val="00C457A4"/>
    <w:rsid w:val="00DE030F"/>
    <w:rsid w:val="00E90220"/>
    <w:rsid w:val="00FC3519"/>
    <w:rsid w:val="0FDE23D0"/>
    <w:rsid w:val="3D7F17AF"/>
    <w:rsid w:val="47994403"/>
    <w:rsid w:val="7C0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next w:val="2"/>
    <w:qFormat/>
    <w:pPr>
      <w:spacing w:after="120"/>
    </w:pPr>
  </w:style>
  <w:style w:type="paragraph" w:styleId="2">
    <w:name w:val="Body Text 2"/>
    <w:basedOn w:val="a"/>
    <w:qFormat/>
    <w:pPr>
      <w:spacing w:line="360" w:lineRule="auto"/>
    </w:pPr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385CF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5CFC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header"/>
    <w:basedOn w:val="a"/>
    <w:link w:val="Char0"/>
    <w:uiPriority w:val="99"/>
    <w:unhideWhenUsed/>
    <w:rsid w:val="00E90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90220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90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902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next w:val="2"/>
    <w:qFormat/>
    <w:pPr>
      <w:spacing w:after="120"/>
    </w:pPr>
  </w:style>
  <w:style w:type="paragraph" w:styleId="2">
    <w:name w:val="Body Text 2"/>
    <w:basedOn w:val="a"/>
    <w:qFormat/>
    <w:pPr>
      <w:spacing w:line="360" w:lineRule="auto"/>
    </w:pPr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385CF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5CFC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header"/>
    <w:basedOn w:val="a"/>
    <w:link w:val="Char0"/>
    <w:uiPriority w:val="99"/>
    <w:unhideWhenUsed/>
    <w:rsid w:val="00E90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90220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90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902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马嘉蔓</cp:lastModifiedBy>
  <cp:revision>3</cp:revision>
  <dcterms:created xsi:type="dcterms:W3CDTF">2026-06-08T08:10:00Z</dcterms:created>
  <dcterms:modified xsi:type="dcterms:W3CDTF">2026-06-08T08:20:00Z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08E6B7FEBA644D469739D05EF6BC5ED8_13</vt:lpwstr>
  </property>
</Properties>
</file>