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autoSpaceDE/>
        <w:autoSpaceDN/>
        <w:adjustRightInd/>
        <w:snapToGrid/>
        <w:spacing w:line="560" w:lineRule="exact"/>
        <w:jc w:val="both"/>
        <w:rPr>
          <w:rFonts w:hint="eastAsia" w:ascii="黑体" w:hAnsi="黑体" w:eastAsia="黑体" w:cs="黑体"/>
          <w:sz w:val="32"/>
          <w:szCs w:val="32"/>
        </w:rPr>
      </w:pPr>
      <w:r>
        <w:rPr>
          <w:rFonts w:hint="eastAsia" w:ascii="黑体" w:hAnsi="黑体" w:eastAsia="黑体" w:cs="黑体"/>
          <w:sz w:val="32"/>
          <w:szCs w:val="32"/>
        </w:rPr>
        <w:t>附件1</w:t>
      </w:r>
    </w:p>
    <w:p>
      <w:pPr>
        <w:wordWrap/>
        <w:autoSpaceDE/>
        <w:autoSpaceDN/>
        <w:adjustRightInd/>
        <w:snapToGrid/>
        <w:spacing w:line="560" w:lineRule="exact"/>
        <w:jc w:val="both"/>
        <w:rPr>
          <w:rFonts w:hint="eastAsia" w:ascii="黑体" w:hAnsi="黑体" w:eastAsia="黑体" w:cs="黑体"/>
          <w:sz w:val="32"/>
          <w:szCs w:val="32"/>
        </w:rPr>
      </w:pPr>
    </w:p>
    <w:p>
      <w:pPr>
        <w:spacing w:line="560" w:lineRule="exact"/>
        <w:jc w:val="center"/>
        <w:rPr>
          <w:rFonts w:hint="eastAsia" w:ascii="方正小标宋简体" w:hAnsi="方正小标宋简体" w:eastAsia="方正小标宋简体" w:cs="方正小标宋简体"/>
          <w:bCs/>
          <w:sz w:val="44"/>
          <w:szCs w:val="44"/>
        </w:rPr>
      </w:pPr>
      <w:bookmarkStart w:id="0" w:name="_GoBack"/>
      <w:r>
        <w:rPr>
          <w:rFonts w:hint="eastAsia" w:ascii="方正小标宋简体" w:hAnsi="方正小标宋简体" w:eastAsia="方正小标宋简体" w:cs="方正小标宋简体"/>
          <w:sz w:val="44"/>
          <w:szCs w:val="44"/>
        </w:rPr>
        <w:t>集团品牌策划建设服务</w:t>
      </w:r>
      <w:r>
        <w:rPr>
          <w:rFonts w:hint="eastAsia" w:ascii="方正小标宋简体" w:hAnsi="方正小标宋简体" w:eastAsia="方正小标宋简体" w:cs="方正小标宋简体"/>
          <w:bCs/>
          <w:sz w:val="44"/>
          <w:szCs w:val="44"/>
        </w:rPr>
        <w:t>需求书</w:t>
      </w:r>
    </w:p>
    <w:bookmarkEnd w:id="0"/>
    <w:p>
      <w:pPr>
        <w:spacing w:line="560" w:lineRule="exact"/>
        <w:jc w:val="both"/>
        <w:rPr>
          <w:rFonts w:eastAsia="仿宋"/>
          <w:b/>
          <w:sz w:val="44"/>
          <w:szCs w:val="44"/>
        </w:rPr>
      </w:pPr>
    </w:p>
    <w:p>
      <w:pPr>
        <w:tabs>
          <w:tab w:val="left" w:pos="2961"/>
        </w:tabs>
        <w:wordWrap/>
        <w:autoSpaceDE/>
        <w:autoSpaceDN/>
        <w:adjustRightInd/>
        <w:snapToGrid/>
        <w:spacing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一、集团及项目概况</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圳市宝安实业集团有限公司（以下简称“宝实集团”）成立于2016年,注册资本45.44亿元,由世界500强企业深圳市投资控股有限公司控股,宝安区国资局直管企业深圳市宝安产业发展集团有限公司参股管理。新桥东先进制造产业园（以下简称“新桥东项目”）</w:t>
      </w:r>
      <w:r>
        <w:rPr>
          <w:rFonts w:ascii="仿宋_GB2312" w:hAnsi="仿宋_GB2312" w:eastAsia="仿宋_GB2312" w:cs="仿宋_GB2312"/>
          <w:sz w:val="32"/>
          <w:szCs w:val="32"/>
        </w:rPr>
        <w:t>由</w:t>
      </w:r>
      <w:r>
        <w:rPr>
          <w:rFonts w:hint="eastAsia" w:ascii="仿宋_GB2312" w:hAnsi="仿宋_GB2312" w:eastAsia="仿宋_GB2312" w:cs="仿宋_GB2312"/>
          <w:sz w:val="32"/>
          <w:szCs w:val="32"/>
        </w:rPr>
        <w:t>宝实集团下属子公司深圳市宝实置业有限公司负责开发建设运营，是深圳市委市政府谋划建设的20大先进制造业园区之一，也是深圳首个平方公里级“工改工”城市更新项目和首批“工业上楼”先行示范园区。项目以打造现代化绿色产业园样板和新一代先进制造业标杆园区为目标，总投资超500亿元，将提供500万平方米优质产业及配套空间，全部建成后年产值将超500亿元。</w:t>
      </w:r>
    </w:p>
    <w:p>
      <w:pPr>
        <w:numPr>
          <w:ilvl w:val="0"/>
          <w:numId w:val="1"/>
        </w:numPr>
        <w:tabs>
          <w:tab w:val="left" w:pos="2961"/>
        </w:tabs>
        <w:wordWrap/>
        <w:autoSpaceDE/>
        <w:autoSpaceDN/>
        <w:adjustRightInd/>
        <w:snapToGrid/>
        <w:spacing w:line="560" w:lineRule="exact"/>
        <w:ind w:left="0" w:firstLine="640" w:firstLineChars="200"/>
        <w:jc w:val="both"/>
        <w:rPr>
          <w:rFonts w:hint="eastAsia" w:ascii="黑体" w:hAnsi="黑体" w:eastAsia="黑体" w:cs="黑体"/>
          <w:sz w:val="32"/>
          <w:szCs w:val="32"/>
        </w:rPr>
      </w:pPr>
      <w:r>
        <w:rPr>
          <w:rFonts w:hint="eastAsia" w:ascii="黑体" w:hAnsi="黑体" w:eastAsia="黑体" w:cs="黑体"/>
          <w:sz w:val="32"/>
          <w:szCs w:val="32"/>
        </w:rPr>
        <w:t>服务背景</w:t>
      </w:r>
    </w:p>
    <w:p>
      <w:pPr>
        <w:widowControl/>
        <w:wordWrap/>
        <w:autoSpaceDE/>
        <w:autoSpaceDN/>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宝实集团宣传业务布局多元，各部门均承担对应板块宣传相关工作，呈现“多点分散、各自为战”现象，存在品牌调性不统一、资源分散内耗、缺乏系统规划、统筹协同不足等痛点。难以形成传播合力。为此，特启动本次集团品牌策划建设服务，统一调性、整合资源、确立未来宣传方向，实现品牌宣传工作的体系化升级与战略性管控。</w:t>
      </w:r>
    </w:p>
    <w:p>
      <w:pPr>
        <w:tabs>
          <w:tab w:val="left" w:pos="2961"/>
        </w:tabs>
        <w:wordWrap/>
        <w:autoSpaceDE/>
        <w:autoSpaceDN/>
        <w:adjustRightInd/>
        <w:snapToGrid/>
        <w:spacing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三、服务内容</w:t>
      </w:r>
    </w:p>
    <w:p>
      <w:pPr>
        <w:wordWrap/>
        <w:autoSpaceDE/>
        <w:autoSpaceDN/>
        <w:adjustRightInd/>
        <w:snapToGrid/>
        <w:spacing w:line="560" w:lineRule="exact"/>
        <w:ind w:firstLine="640" w:firstLineChars="200"/>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（一）服务对象</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新桥东先进制造产业园品牌、产业园住宅品牌</w:t>
      </w:r>
    </w:p>
    <w:p>
      <w:pPr>
        <w:wordWrap/>
        <w:autoSpaceDE/>
        <w:autoSpaceDN/>
        <w:adjustRightInd/>
        <w:snapToGrid/>
        <w:spacing w:line="560" w:lineRule="exact"/>
        <w:ind w:firstLine="640" w:firstLineChars="200"/>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（二）新桥东先进制造产业园品牌服务需求</w:t>
      </w:r>
    </w:p>
    <w:p>
      <w:pPr>
        <w:pStyle w:val="4"/>
        <w:keepNext w:val="0"/>
        <w:keepLines w:val="0"/>
        <w:widowControl/>
        <w:spacing w:before="0" w:after="0" w:line="560" w:lineRule="exact"/>
        <w:ind w:firstLine="643" w:firstLineChars="200"/>
        <w:rPr>
          <w:rFonts w:hint="eastAsia" w:ascii="仿宋_GB2312" w:hAnsi="仿宋_GB2312" w:eastAsia="仿宋_GB2312" w:cs="仿宋_GB2312"/>
          <w:b/>
          <w:bCs w:val="0"/>
        </w:rPr>
      </w:pPr>
      <w:r>
        <w:rPr>
          <w:rFonts w:hint="eastAsia" w:ascii="仿宋_GB2312" w:hAnsi="仿宋_GB2312" w:eastAsia="仿宋_GB2312" w:cs="仿宋_GB2312"/>
          <w:b/>
          <w:bCs w:val="0"/>
        </w:rPr>
        <w:t>1.品牌研究及项目诊断</w:t>
      </w:r>
    </w:p>
    <w:p>
      <w:pPr>
        <w:pStyle w:val="5"/>
        <w:widowControl/>
        <w:spacing w:before="0" w:beforeAutospacing="0" w:after="0" w:afterAutospacing="0" w:line="560" w:lineRule="exact"/>
        <w:ind w:firstLine="640" w:firstLineChars="200"/>
        <w:rPr>
          <w:rFonts w:hint="eastAsia" w:ascii="仿宋_GB2312" w:hAnsi="仿宋_GB2312" w:eastAsia="仿宋_GB2312" w:cs="仿宋_GB2312"/>
          <w:b w:val="0"/>
          <w:bCs w:val="0"/>
          <w:kern w:val="2"/>
          <w:sz w:val="32"/>
          <w:szCs w:val="32"/>
        </w:rPr>
      </w:pPr>
      <w:r>
        <w:rPr>
          <w:rFonts w:hint="eastAsia" w:ascii="仿宋_GB2312" w:hAnsi="仿宋_GB2312" w:eastAsia="仿宋_GB2312" w:cs="仿宋_GB2312"/>
          <w:b w:val="0"/>
          <w:bCs w:val="0"/>
          <w:kern w:val="2"/>
          <w:sz w:val="32"/>
          <w:szCs w:val="32"/>
        </w:rPr>
        <w:t>（1）行业分析及企业研究</w:t>
      </w:r>
    </w:p>
    <w:p>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社会经济及消费趋势综合研判，行业现状及趋势研究，市场竞争状况分析，标杆品牌与项目研究，同业案例对标分析。</w:t>
      </w:r>
    </w:p>
    <w:p>
      <w:pPr>
        <w:wordWrap/>
        <w:autoSpaceDE/>
        <w:autoSpaceDN/>
        <w:adjustRightInd/>
        <w:snapToGrid/>
        <w:spacing w:line="560" w:lineRule="exact"/>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（2）企业高层访谈调研</w:t>
      </w:r>
    </w:p>
    <w:p>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集团领导访谈，各业务板块领导访谈。</w:t>
      </w:r>
    </w:p>
    <w:p>
      <w:pPr>
        <w:wordWrap/>
        <w:autoSpaceDE/>
        <w:autoSpaceDN/>
        <w:adjustRightInd/>
        <w:snapToGrid/>
        <w:spacing w:line="560" w:lineRule="exact"/>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（3）项目品牌研究及品牌诊断</w:t>
      </w:r>
    </w:p>
    <w:p>
      <w:pPr>
        <w:widowControl/>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项目发展历程梳理，业务战略研读，品牌战略演变及产品综合研读，品牌名称及品牌架构诊断，品牌视觉识别诊断，品牌应用及传播现状调研诊断。</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输出成果：《管理层访谈纪要及品牌诊断报告》</w:t>
      </w:r>
    </w:p>
    <w:p>
      <w:pPr>
        <w:wordWrap/>
        <w:autoSpaceDE/>
        <w:autoSpaceDN/>
        <w:adjustRightInd/>
        <w:snapToGrid/>
        <w:spacing w:line="560" w:lineRule="exact"/>
        <w:ind w:firstLine="643" w:firstLineChars="200"/>
        <w:jc w:val="both"/>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2.品牌体系建设规划</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（1）品牌架构规划</w:t>
      </w:r>
    </w:p>
    <w:p>
      <w:pPr>
        <w:wordWrap/>
        <w:autoSpaceDE/>
        <w:autoSpaceDN/>
        <w:adjustRightInd/>
        <w:snapToGrid/>
        <w:spacing w:line="560" w:lineRule="exact"/>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品牌架构梳理，品牌模式规划，品牌组合、品牌背书规范</w:t>
      </w:r>
      <w:r>
        <w:rPr>
          <w:rFonts w:hint="eastAsia" w:ascii="仿宋_GB2312" w:hAnsi="仿宋_GB2312" w:eastAsia="仿宋_GB2312" w:cs="仿宋_GB2312"/>
          <w:sz w:val="32"/>
          <w:szCs w:val="32"/>
        </w:rPr>
        <w:t>、品牌及子品牌延展体系、品牌及子品牌命名规范建议、品牌及子品牌叙事方向建议、子品牌定位的提出。</w:t>
      </w:r>
    </w:p>
    <w:p>
      <w:pPr>
        <w:numPr>
          <w:ilvl w:val="0"/>
          <w:numId w:val="2"/>
        </w:numPr>
        <w:wordWrap/>
        <w:autoSpaceDE/>
        <w:autoSpaceDN/>
        <w:adjustRightInd/>
        <w:snapToGrid/>
        <w:spacing w:line="560" w:lineRule="exact"/>
        <w:ind w:lef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品牌升级战略规划</w:t>
      </w:r>
    </w:p>
    <w:p>
      <w:pPr>
        <w:wordWrap/>
        <w:autoSpaceDE/>
        <w:autoSpaceDN/>
        <w:adjustRightInd/>
        <w:snapToGrid/>
        <w:spacing w:line="560" w:lineRule="exact"/>
        <w:ind w:firstLine="640" w:firstLineChars="200"/>
        <w:jc w:val="both"/>
      </w:pPr>
      <w:r>
        <w:rPr>
          <w:rFonts w:hint="eastAsia" w:ascii="仿宋_GB2312" w:hAnsi="仿宋_GB2312" w:eastAsia="仿宋_GB2312" w:cs="仿宋_GB2312"/>
          <w:sz w:val="32"/>
          <w:szCs w:val="32"/>
        </w:rPr>
        <w:t>品牌战略规划及叙事主线，品牌价值点梳理及提炼、品牌战略规划及定位提出、品牌主张提出（愿景、口号）、品牌故事线及品牌简介。</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（3）品牌管理体系规划</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品牌管理内容，集团及子公司品牌管理流程，品牌管理实施细则。</w:t>
      </w:r>
    </w:p>
    <w:p>
      <w:pPr>
        <w:wordWrap/>
        <w:autoSpaceDE/>
        <w:autoSpaceDN/>
        <w:adjustRightInd/>
        <w:snapToGrid/>
        <w:spacing w:line="560" w:lineRule="exact"/>
        <w:ind w:firstLine="640" w:firstLineChars="200"/>
        <w:jc w:val="both"/>
      </w:pPr>
      <w:r>
        <w:rPr>
          <w:rFonts w:hint="eastAsia" w:ascii="仿宋_GB2312" w:hAnsi="仿宋_GB2312" w:eastAsia="仿宋_GB2312" w:cs="仿宋_GB2312"/>
          <w:color w:val="000000"/>
          <w:sz w:val="32"/>
          <w:szCs w:val="32"/>
        </w:rPr>
        <w:t>输出成果</w:t>
      </w:r>
      <w:r>
        <w:rPr>
          <w:rFonts w:hint="eastAsia" w:ascii="仿宋_GB2312" w:hAnsi="仿宋_GB2312" w:eastAsia="仿宋_GB2312" w:cs="仿宋_GB2312"/>
          <w:sz w:val="32"/>
          <w:szCs w:val="32"/>
        </w:rPr>
        <w:t>：《品牌体系建设及战略规划纲要》</w:t>
      </w:r>
    </w:p>
    <w:p>
      <w:pPr>
        <w:wordWrap/>
        <w:autoSpaceDE/>
        <w:autoSpaceDN/>
        <w:adjustRightInd/>
        <w:snapToGrid/>
        <w:spacing w:line="560" w:lineRule="exact"/>
        <w:ind w:firstLine="643" w:firstLineChars="200"/>
        <w:jc w:val="both"/>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3.品牌传播规划</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场传播背景分析，品牌传播目标，品牌传播原则和规范指引，品牌传播调性确立，整体传播规划（包括主题、阶段划分和关键节点），品牌基础传播内容与方式建议（包括活动、媒体及形象策略等），品牌发布亮相规划建议，新媒体运营规划建议（栏目规划、专题策划）。</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输出成果：《品牌传播规划报告》</w:t>
      </w:r>
    </w:p>
    <w:p>
      <w:pPr>
        <w:wordWrap/>
        <w:autoSpaceDE/>
        <w:autoSpaceDN/>
        <w:adjustRightInd/>
        <w:snapToGrid/>
        <w:spacing w:line="560" w:lineRule="exact"/>
        <w:ind w:firstLine="643" w:firstLineChars="200"/>
        <w:jc w:val="both"/>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4.品牌落地跟踪顾问（合同期内）</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ascii="仿宋_GB2312" w:hAnsi="仿宋_GB2312" w:eastAsia="仿宋_GB2312" w:cs="仿宋_GB2312"/>
          <w:sz w:val="32"/>
          <w:szCs w:val="32"/>
        </w:rPr>
        <w:t>品牌升级成果宣贯培训1-2场</w:t>
      </w:r>
      <w:r>
        <w:rPr>
          <w:rFonts w:hint="eastAsia" w:ascii="仿宋_GB2312" w:hAnsi="仿宋_GB2312" w:eastAsia="仿宋_GB2312" w:cs="仿宋_GB2312"/>
          <w:sz w:val="32"/>
          <w:szCs w:val="32"/>
        </w:rPr>
        <w:t>；</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仿宋_GB2312" w:eastAsia="仿宋_GB2312" w:cs="仿宋_GB2312"/>
          <w:sz w:val="32"/>
          <w:szCs w:val="32"/>
        </w:rPr>
        <w:t>知识输出：指导相关团队掌握品牌体系落地实施及后续管理的方法论和实操能力</w:t>
      </w:r>
      <w:r>
        <w:rPr>
          <w:rFonts w:hint="eastAsia" w:ascii="仿宋_GB2312" w:hAnsi="仿宋_GB2312" w:eastAsia="仿宋_GB2312" w:cs="仿宋_GB2312"/>
          <w:sz w:val="32"/>
          <w:szCs w:val="32"/>
        </w:rPr>
        <w:t>；</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r>
        <w:rPr>
          <w:rFonts w:ascii="仿宋_GB2312" w:hAnsi="仿宋_GB2312" w:eastAsia="仿宋_GB2312" w:cs="仿宋_GB2312"/>
          <w:sz w:val="32"/>
          <w:szCs w:val="32"/>
        </w:rPr>
        <w:t>答疑解惑：助力相关业务团队解决落地应用过程中出现的疑惑和问题</w:t>
      </w:r>
      <w:r>
        <w:rPr>
          <w:rFonts w:hint="eastAsia" w:ascii="仿宋_GB2312" w:hAnsi="仿宋_GB2312" w:eastAsia="仿宋_GB2312" w:cs="仿宋_GB2312"/>
          <w:sz w:val="32"/>
          <w:szCs w:val="32"/>
        </w:rPr>
        <w:t>；</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r>
        <w:rPr>
          <w:rFonts w:ascii="仿宋_GB2312" w:hAnsi="仿宋_GB2312" w:eastAsia="仿宋_GB2312" w:cs="仿宋_GB2312"/>
          <w:sz w:val="32"/>
          <w:szCs w:val="32"/>
        </w:rPr>
        <w:t>资源推荐：宣传资源推荐及导入</w:t>
      </w:r>
      <w:r>
        <w:rPr>
          <w:rFonts w:hint="eastAsia" w:ascii="仿宋_GB2312" w:hAnsi="仿宋_GB2312" w:eastAsia="仿宋_GB2312" w:cs="仿宋_GB2312"/>
          <w:sz w:val="32"/>
          <w:szCs w:val="32"/>
        </w:rPr>
        <w:t>；</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ascii="仿宋_GB2312" w:hAnsi="仿宋_GB2312" w:eastAsia="仿宋_GB2312" w:cs="仿宋_GB2312"/>
          <w:sz w:val="32"/>
          <w:szCs w:val="32"/>
        </w:rPr>
        <w:t>第三方工作顾问建议：如广告、活动、宣传片等第三方工作意见指导</w:t>
      </w:r>
      <w:r>
        <w:rPr>
          <w:rFonts w:hint="eastAsia" w:ascii="仿宋_GB2312" w:hAnsi="仿宋_GB2312" w:eastAsia="仿宋_GB2312" w:cs="仿宋_GB2312"/>
          <w:sz w:val="32"/>
          <w:szCs w:val="32"/>
        </w:rPr>
        <w:t>。</w:t>
      </w:r>
    </w:p>
    <w:p>
      <w:pPr>
        <w:wordWrap/>
        <w:autoSpaceDE/>
        <w:autoSpaceDN/>
        <w:adjustRightInd/>
        <w:snapToGrid/>
        <w:spacing w:line="560" w:lineRule="exact"/>
        <w:ind w:firstLine="643" w:firstLineChars="200"/>
        <w:jc w:val="both"/>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5.品牌视觉形象设计</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项目视觉系统设计、标识设计。</w:t>
      </w:r>
    </w:p>
    <w:p>
      <w:pPr>
        <w:pStyle w:val="2"/>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输出成果：《品牌VI视觉升级手册》</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（三</w:t>
      </w:r>
      <w:r>
        <w:rPr>
          <w:rFonts w:hint="eastAsia" w:ascii="楷体_GB2312" w:hAnsi="楷体_GB2312" w:eastAsia="楷体_GB2312" w:cs="楷体_GB2312"/>
          <w:sz w:val="32"/>
          <w:szCs w:val="32"/>
        </w:rPr>
        <w:t>）产业园住宅品牌策划服务需求</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1.基于项目超级大盘背景打造超级品牌，为项目提供顶层设计，梳理项目精神内核，到视觉表达，再到传播动作，营销支持等，提供贯穿全过程品牌管理顾问咨询和策划服务；</w:t>
      </w:r>
    </w:p>
    <w:p>
      <w:pPr>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2.梳理项目品牌的精神内核，明确价值定位、价值主张、品牌传播口号，在市场中成功塑造鲜明的品牌形象；</w:t>
      </w:r>
    </w:p>
    <w:p>
      <w:pPr>
        <w:pStyle w:val="2"/>
        <w:spacing w:line="560" w:lineRule="exact"/>
        <w:ind w:firstLine="640" w:firstLineChars="200"/>
        <w:jc w:val="both"/>
      </w:pPr>
      <w:r>
        <w:rPr>
          <w:rFonts w:hint="eastAsia" w:ascii="仿宋_GB2312" w:hAnsi="仿宋_GB2312" w:eastAsia="仿宋_GB2312" w:cs="仿宋_GB2312"/>
          <w:sz w:val="32"/>
          <w:szCs w:val="32"/>
        </w:rPr>
        <w:t>输出成果：《住宅项目品牌精神内核梳理及品牌故事方案》</w:t>
      </w:r>
    </w:p>
    <w:p>
      <w:pPr>
        <w:wordWrap/>
        <w:autoSpaceDE/>
        <w:autoSpaceDN/>
        <w:adjustRightInd/>
        <w:snapToGrid/>
        <w:spacing w:line="56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3.针对关键宣传支持，从核心价值内容生产及物料设计呈现等</w:t>
      </w:r>
      <w:r>
        <w:rPr>
          <w:rFonts w:ascii="仿宋_GB2312" w:hAnsi="仿宋_GB2312" w:eastAsia="仿宋_GB2312" w:cs="仿宋_GB2312"/>
          <w:sz w:val="32"/>
          <w:szCs w:val="32"/>
        </w:rPr>
        <w:t>方面</w:t>
      </w:r>
      <w:r>
        <w:rPr>
          <w:rFonts w:hint="eastAsia" w:ascii="仿宋_GB2312" w:hAnsi="仿宋_GB2312" w:eastAsia="仿宋_GB2312" w:cs="仿宋_GB2312"/>
          <w:sz w:val="32"/>
          <w:szCs w:val="32"/>
        </w:rPr>
        <w:t>把控；</w:t>
      </w:r>
    </w:p>
    <w:p>
      <w:pPr>
        <w:wordWrap/>
        <w:autoSpaceDE/>
        <w:autoSpaceDN/>
        <w:adjustRightInd/>
        <w:snapToGrid/>
        <w:spacing w:line="560" w:lineRule="exact"/>
        <w:ind w:firstLine="640" w:firstLineChars="200"/>
        <w:jc w:val="both"/>
        <w:rPr>
          <w:rFonts w:hint="eastAsia"/>
        </w:rPr>
      </w:pPr>
      <w:r>
        <w:rPr>
          <w:rFonts w:hint="eastAsia" w:ascii="仿宋_GB2312" w:hAnsi="仿宋_GB2312" w:eastAsia="仿宋_GB2312" w:cs="仿宋_GB2312"/>
          <w:sz w:val="32"/>
          <w:szCs w:val="32"/>
        </w:rPr>
        <w:t>4.协助审核企业内部团队或外部供应商提供的方案，把握品牌策略与方向调性。</w:t>
      </w:r>
    </w:p>
    <w:p>
      <w:pPr>
        <w:tabs>
          <w:tab w:val="left" w:pos="2961"/>
        </w:tabs>
        <w:wordWrap/>
        <w:autoSpaceDE/>
        <w:autoSpaceDN/>
        <w:adjustRightInd/>
        <w:snapToGrid/>
        <w:spacing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四、验收标准</w:t>
      </w:r>
    </w:p>
    <w:p>
      <w:pPr>
        <w:tabs>
          <w:tab w:val="left" w:pos="2961"/>
        </w:tabs>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成果文件经审批通过。</w:t>
      </w:r>
    </w:p>
    <w:p>
      <w:pPr>
        <w:tabs>
          <w:tab w:val="left" w:pos="2961"/>
        </w:tabs>
        <w:wordWrap/>
        <w:autoSpaceDE/>
        <w:autoSpaceDN/>
        <w:adjustRightInd/>
        <w:snapToGrid/>
        <w:spacing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五、服务期限</w:t>
      </w:r>
    </w:p>
    <w:p>
      <w:pPr>
        <w:tabs>
          <w:tab w:val="left" w:pos="2961"/>
        </w:tabs>
        <w:wordWrap/>
        <w:autoSpaceDE/>
        <w:autoSpaceDN/>
        <w:adjustRightInd/>
        <w:snapToGrid/>
        <w:spacing w:line="56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合同签订后1年内。</w:t>
      </w:r>
    </w:p>
    <w:p>
      <w:pPr>
        <w:tabs>
          <w:tab w:val="left" w:pos="2961"/>
        </w:tabs>
        <w:wordWrap/>
        <w:autoSpaceDE/>
        <w:autoSpaceDN/>
        <w:adjustRightInd/>
        <w:snapToGrid/>
        <w:spacing w:line="560" w:lineRule="exact"/>
        <w:ind w:firstLine="640" w:firstLineChars="200"/>
        <w:jc w:val="both"/>
        <w:rPr>
          <w:rFonts w:hint="eastAsia" w:ascii="黑体" w:hAnsi="黑体" w:eastAsia="黑体" w:cs="黑体"/>
          <w:sz w:val="32"/>
          <w:szCs w:val="32"/>
        </w:rPr>
      </w:pPr>
      <w:r>
        <w:rPr>
          <w:rFonts w:hint="eastAsia" w:ascii="黑体" w:hAnsi="黑体" w:eastAsia="黑体" w:cs="黑体"/>
          <w:sz w:val="32"/>
          <w:szCs w:val="32"/>
        </w:rPr>
        <w:t>六、付款方式</w:t>
      </w:r>
    </w:p>
    <w:p>
      <w:pPr>
        <w:spacing w:line="560" w:lineRule="exact"/>
        <w:ind w:firstLine="640" w:firstLineChars="200"/>
        <w:rPr>
          <w:rFonts w:hint="eastAsia" w:ascii="仿宋_GB2312" w:hAnsi="仿宋_GB2312" w:eastAsia="仿宋_GB2312" w:cs="仿宋_GB2312"/>
          <w:sz w:val="32"/>
        </w:rPr>
      </w:pPr>
      <w:r>
        <w:rPr>
          <w:rFonts w:hint="eastAsia" w:ascii="仿宋_GB2312" w:hAnsi="仿宋_GB2312" w:eastAsia="仿宋_GB2312" w:cs="仿宋_GB2312"/>
          <w:sz w:val="32"/>
        </w:rPr>
        <w:t>按合同约定付款节点，各阶段服务成果验收合格后，进行相应结算。</w:t>
      </w:r>
    </w:p>
    <w:p>
      <w:pPr>
        <w:spacing w:line="560" w:lineRule="exact"/>
        <w:rPr>
          <w:rFonts w:hint="eastAsia" w:ascii="仿宋_GB2312" w:hAnsi="仿宋_GB2312" w:eastAsia="仿宋_GB2312" w:cs="仿宋_GB2312"/>
          <w:sz w:val="32"/>
        </w:rPr>
      </w:pPr>
    </w:p>
    <w:p>
      <w:pPr>
        <w:spacing w:line="560" w:lineRule="exact"/>
        <w:rPr>
          <w:rFonts w:hint="eastAsia" w:ascii="仿宋_GB2312" w:hAnsi="仿宋_GB2312" w:eastAsia="仿宋_GB2312" w:cs="仿宋_GB2312"/>
          <w:sz w:val="32"/>
        </w:rPr>
      </w:pPr>
    </w:p>
    <w:p>
      <w:pPr>
        <w:spacing w:line="560" w:lineRule="exact"/>
        <w:rPr>
          <w:rFonts w:hint="eastAsia" w:ascii="仿宋_GB2312" w:hAnsi="仿宋_GB2312" w:eastAsia="仿宋_GB2312" w:cs="仿宋_GB2312"/>
          <w:sz w:val="32"/>
        </w:rPr>
      </w:pPr>
    </w:p>
    <w:p>
      <w:pPr>
        <w:tabs>
          <w:tab w:val="left" w:pos="2961"/>
        </w:tabs>
        <w:wordWrap/>
        <w:autoSpaceDE/>
        <w:autoSpaceDN/>
        <w:adjustRightInd/>
        <w:snapToGrid/>
        <w:spacing w:line="560" w:lineRule="exact"/>
        <w:jc w:val="both"/>
        <w:rPr>
          <w:rFonts w:hint="eastAsia" w:ascii="仿宋_GB2312" w:hAnsi="仿宋_GB2312" w:eastAsia="仿宋_GB2312" w:cs="仿宋_GB2312"/>
          <w:sz w:val="32"/>
          <w:szCs w:val="32"/>
        </w:rPr>
      </w:pPr>
    </w:p>
    <w:sectPr>
      <w:footerReference r:id="rId5" w:type="default"/>
      <w:pgSz w:w="11906" w:h="16838"/>
      <w:pgMar w:top="2098" w:right="1474" w:bottom="1984" w:left="158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cida Sans">
    <w:panose1 w:val="020B0602030504020204"/>
    <w:charset w:val="00"/>
    <w:family w:val="auto"/>
    <w:pitch w:val="default"/>
    <w:sig w:usb0="00000003" w:usb1="00000000" w:usb2="00000000" w:usb3="00000000" w:csb0="20000001"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300" cy="346075"/>
              <wp:effectExtent l="0" t="0" r="0" b="0"/>
              <wp:wrapNone/>
              <wp:docPr id="1" name="文本框 1"/>
              <wp:cNvGraphicFramePr/>
              <a:graphic xmlns:a="http://schemas.openxmlformats.org/drawingml/2006/main">
                <a:graphicData uri="http://schemas.microsoft.com/office/word/2010/wordprocessingShape">
                  <wps:wsp>
                    <wps:cNvSpPr/>
                    <wps:spPr>
                      <a:xfrm>
                        <a:off x="0" y="0"/>
                        <a:ext cx="622300" cy="345876"/>
                      </a:xfrm>
                      <a:prstGeom prst="rect">
                        <a:avLst/>
                      </a:prstGeom>
                      <a:noFill/>
                      <a:ln w="6350" cap="flat" cmpd="sng">
                        <a:noFill/>
                        <a:prstDash val="solid"/>
                        <a:round/>
                      </a:ln>
                    </wps:spPr>
                    <wps:txbx>
                      <w:txbxContent>
                        <w:p>
                          <w:pPr>
                            <w:pStyle w:val="11"/>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7.25pt;width:49pt;mso-position-horizontal:outside;mso-position-horizontal-relative:margin;mso-wrap-style:none;z-index:251659264;mso-width-relative:page;mso-height-relative:page;" filled="f" stroked="f" coordsize="21600,21600" o:gfxdata="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EXrRzTWAAAAAwEAAA8AAAAAAAAAAQAgAAAAIgAAAGRycy9kb3du&#10;cmV2LnhtbFBLAQIUABQAAAAIAIdO4kAjhoymAQIAAPQDAAAOAAAAAAAAAAEAIAAAACUBAABkcnMv&#10;ZTJvRG9jLnhtbFBLBQYAAAAABgAGAFkBAACYBQAAAAA=&#10;">
              <v:fill on="f" focussize="0,0"/>
              <v:stroke on="f" weight="0.5pt" joinstyle="round"/>
              <v:imagedata o:title=""/>
              <o:lock v:ext="edit" aspectratio="f"/>
              <v:textbox inset="0mm,0mm,0mm,0mm" style="mso-fit-shape-to-text:t;">
                <w:txbxContent>
                  <w:p>
                    <w:pPr>
                      <w:pStyle w:val="11"/>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 xml:space="preserve"> —</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60B80B"/>
    <w:multiLevelType w:val="singleLevel"/>
    <w:tmpl w:val="FC60B80B"/>
    <w:lvl w:ilvl="0" w:tentative="0">
      <w:start w:val="2"/>
      <w:numFmt w:val="chineseCounting"/>
      <w:suff w:val="nothing"/>
      <w:lvlText w:val="%1、"/>
      <w:lvlJc w:val="left"/>
      <w:rPr>
        <w:rFonts w:hint="eastAsia"/>
      </w:rPr>
    </w:lvl>
  </w:abstractNum>
  <w:abstractNum w:abstractNumId="1">
    <w:nsid w:val="240D9E81"/>
    <w:multiLevelType w:val="singleLevel"/>
    <w:tmpl w:val="240D9E81"/>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5"/>
  </w:compat>
  <w:docVars>
    <w:docVar w:name="commondata" w:val="eyJoZGlkIjoiYTg2YWRmZGU0MDUxMGY0NWQyMTNhNjJiOTc3NzFiMjIifQ=="/>
  </w:docVars>
  <w:rsids>
    <w:rsidRoot w:val="00000000"/>
    <w:rsid w:val="0FC67AC6"/>
    <w:rsid w:val="48B679A3"/>
    <w:rsid w:val="57555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wordWrap w:val="0"/>
      <w:autoSpaceDE w:val="0"/>
      <w:autoSpaceDN w:val="0"/>
      <w:adjustRightInd w:val="0"/>
      <w:snapToGrid w:val="0"/>
      <w:spacing w:line="360" w:lineRule="auto"/>
    </w:pPr>
    <w:rPr>
      <w:rFonts w:ascii="Times New Roman" w:hAnsi="Times New Roman" w:eastAsia="宋体" w:cs="Times New Roman"/>
      <w:kern w:val="2"/>
      <w:sz w:val="21"/>
      <w:szCs w:val="24"/>
      <w:lang w:val="en-US" w:eastAsia="zh-CN" w:bidi="ar-SA"/>
    </w:rPr>
  </w:style>
  <w:style w:type="paragraph" w:styleId="3">
    <w:name w:val="heading 1"/>
    <w:basedOn w:val="1"/>
    <w:next w:val="1"/>
    <w:link w:val="22"/>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3"/>
    <w:qFormat/>
    <w:uiPriority w:val="0"/>
    <w:pPr>
      <w:keepNext/>
      <w:keepLines/>
      <w:spacing w:before="260" w:after="260" w:line="415" w:lineRule="auto"/>
      <w:outlineLvl w:val="1"/>
    </w:pPr>
    <w:rPr>
      <w:rFonts w:eastAsia="黑体"/>
      <w:b/>
      <w:bCs/>
      <w:sz w:val="32"/>
      <w:szCs w:val="32"/>
    </w:rPr>
  </w:style>
  <w:style w:type="paragraph" w:styleId="5">
    <w:name w:val="heading 3"/>
    <w:basedOn w:val="1"/>
    <w:next w:val="1"/>
    <w:link w:val="24"/>
    <w:qFormat/>
    <w:uiPriority w:val="0"/>
    <w:pPr>
      <w:spacing w:before="100" w:beforeAutospacing="1" w:after="100" w:afterAutospacing="1"/>
      <w:outlineLvl w:val="2"/>
    </w:pPr>
    <w:rPr>
      <w:rFonts w:ascii="宋体" w:hAnsi="宋体" w:cs="宋体"/>
      <w:b/>
      <w:bCs/>
      <w:kern w:val="0"/>
      <w:sz w:val="27"/>
      <w:szCs w:val="27"/>
    </w:rPr>
  </w:style>
  <w:style w:type="paragraph" w:styleId="6">
    <w:name w:val="heading 4"/>
    <w:basedOn w:val="1"/>
    <w:next w:val="1"/>
    <w:link w:val="25"/>
    <w:qFormat/>
    <w:uiPriority w:val="0"/>
    <w:pPr>
      <w:spacing w:before="100" w:beforeAutospacing="1" w:after="100" w:afterAutospacing="1"/>
      <w:outlineLvl w:val="3"/>
    </w:pPr>
    <w:rPr>
      <w:rFonts w:ascii="宋体" w:hAnsi="宋体" w:cs="宋体"/>
      <w:b/>
      <w:bCs/>
      <w:kern w:val="0"/>
      <w:sz w:val="24"/>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7">
    <w:name w:val="annotation text"/>
    <w:basedOn w:val="1"/>
    <w:qFormat/>
    <w:uiPriority w:val="0"/>
  </w:style>
  <w:style w:type="paragraph" w:styleId="8">
    <w:name w:val="Body Text"/>
    <w:basedOn w:val="1"/>
    <w:qFormat/>
    <w:uiPriority w:val="0"/>
    <w:pPr>
      <w:spacing w:before="149"/>
      <w:ind w:left="115"/>
    </w:pPr>
    <w:rPr>
      <w:sz w:val="32"/>
      <w:szCs w:val="32"/>
    </w:rPr>
  </w:style>
  <w:style w:type="paragraph" w:styleId="9">
    <w:name w:val="toc 5"/>
    <w:basedOn w:val="1"/>
    <w:next w:val="1"/>
    <w:autoRedefine/>
    <w:qFormat/>
    <w:uiPriority w:val="0"/>
    <w:pPr>
      <w:ind w:left="1680"/>
    </w:pPr>
  </w:style>
  <w:style w:type="paragraph" w:styleId="10">
    <w:name w:val="toc 3"/>
    <w:basedOn w:val="1"/>
    <w:next w:val="1"/>
    <w:autoRedefine/>
    <w:qFormat/>
    <w:uiPriority w:val="0"/>
    <w:pPr>
      <w:ind w:left="840"/>
    </w:pPr>
  </w:style>
  <w:style w:type="paragraph" w:styleId="11">
    <w:name w:val="footer"/>
    <w:basedOn w:val="1"/>
    <w:qFormat/>
    <w:uiPriority w:val="0"/>
    <w:pPr>
      <w:tabs>
        <w:tab w:val="center" w:pos="4153"/>
        <w:tab w:val="right" w:pos="8306"/>
      </w:tabs>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pPr>
    <w:rPr>
      <w:sz w:val="18"/>
    </w:rPr>
  </w:style>
  <w:style w:type="paragraph" w:styleId="13">
    <w:name w:val="toc 1"/>
    <w:basedOn w:val="1"/>
    <w:next w:val="1"/>
    <w:autoRedefine/>
    <w:qFormat/>
    <w:uiPriority w:val="0"/>
  </w:style>
  <w:style w:type="paragraph" w:styleId="14">
    <w:name w:val="toc 4"/>
    <w:basedOn w:val="1"/>
    <w:next w:val="1"/>
    <w:autoRedefine/>
    <w:qFormat/>
    <w:uiPriority w:val="0"/>
    <w:pPr>
      <w:ind w:left="1260"/>
    </w:pPr>
  </w:style>
  <w:style w:type="paragraph" w:styleId="15">
    <w:name w:val="toc 2"/>
    <w:basedOn w:val="1"/>
    <w:next w:val="1"/>
    <w:autoRedefine/>
    <w:qFormat/>
    <w:uiPriority w:val="0"/>
    <w:pPr>
      <w:ind w:left="420"/>
    </w:pPr>
  </w:style>
  <w:style w:type="paragraph" w:styleId="16">
    <w:name w:val="Normal (Web)"/>
    <w:basedOn w:val="1"/>
    <w:autoRedefine/>
    <w:qFormat/>
    <w:uiPriority w:val="0"/>
    <w:pPr>
      <w:widowControl/>
      <w:wordWrap/>
      <w:autoSpaceDE/>
      <w:autoSpaceDN/>
      <w:adjustRightInd/>
      <w:snapToGrid/>
      <w:spacing w:before="100" w:beforeAutospacing="1" w:after="100" w:afterAutospacing="1" w:line="240" w:lineRule="auto"/>
    </w:pPr>
    <w:rPr>
      <w:rFonts w:ascii="宋体" w:hAnsi="宋体" w:cs="宋体"/>
      <w:kern w:val="0"/>
      <w:sz w:val="24"/>
    </w:rPr>
  </w:style>
  <w:style w:type="paragraph" w:styleId="17">
    <w:name w:val="Title"/>
    <w:basedOn w:val="1"/>
    <w:next w:val="1"/>
    <w:qFormat/>
    <w:uiPriority w:val="0"/>
    <w:pPr>
      <w:spacing w:line="560" w:lineRule="exact"/>
      <w:jc w:val="center"/>
      <w:outlineLvl w:val="0"/>
    </w:pPr>
    <w:rPr>
      <w:rFonts w:ascii="方正小标宋_GBK" w:eastAsia="方正小标宋_GBK"/>
      <w:bCs/>
      <w:sz w:val="44"/>
      <w:szCs w:val="32"/>
    </w:rPr>
  </w:style>
  <w:style w:type="character" w:styleId="20">
    <w:name w:val="Strong"/>
    <w:basedOn w:val="19"/>
    <w:qFormat/>
    <w:uiPriority w:val="0"/>
    <w:rPr>
      <w:b/>
    </w:rPr>
  </w:style>
  <w:style w:type="character" w:styleId="21">
    <w:name w:val="Hyperlink"/>
    <w:basedOn w:val="19"/>
    <w:qFormat/>
    <w:uiPriority w:val="0"/>
    <w:rPr>
      <w:color w:val="0000FF"/>
      <w:u w:val="single"/>
    </w:rPr>
  </w:style>
  <w:style w:type="character" w:customStyle="1" w:styleId="22">
    <w:name w:val="heading 1 Char"/>
    <w:basedOn w:val="19"/>
    <w:link w:val="3"/>
    <w:autoRedefine/>
    <w:qFormat/>
    <w:uiPriority w:val="0"/>
    <w:rPr>
      <w:rFonts w:ascii="Times New Roman" w:hAnsi="Times New Roman" w:eastAsia="宋体" w:cs="Times New Roman"/>
      <w:b/>
      <w:bCs/>
      <w:kern w:val="44"/>
      <w:sz w:val="44"/>
      <w:szCs w:val="44"/>
      <w:lang w:val="en-US" w:eastAsia="zh-CN" w:bidi="ar-SA"/>
    </w:rPr>
  </w:style>
  <w:style w:type="character" w:customStyle="1" w:styleId="23">
    <w:name w:val="heading 2 Char"/>
    <w:basedOn w:val="19"/>
    <w:link w:val="4"/>
    <w:autoRedefine/>
    <w:qFormat/>
    <w:uiPriority w:val="0"/>
    <w:rPr>
      <w:rFonts w:ascii="Times New Roman" w:hAnsi="Times New Roman" w:eastAsia="黑体" w:cs="Times New Roman"/>
      <w:b/>
      <w:bCs/>
      <w:kern w:val="2"/>
      <w:sz w:val="32"/>
      <w:szCs w:val="32"/>
      <w:lang w:val="en-US" w:eastAsia="zh-CN" w:bidi="ar-SA"/>
    </w:rPr>
  </w:style>
  <w:style w:type="character" w:customStyle="1" w:styleId="24">
    <w:name w:val="heading 3 Char"/>
    <w:basedOn w:val="19"/>
    <w:link w:val="5"/>
    <w:qFormat/>
    <w:uiPriority w:val="0"/>
    <w:rPr>
      <w:rFonts w:ascii="宋体" w:hAnsi="宋体" w:eastAsia="宋体" w:cs="宋体"/>
      <w:b/>
      <w:bCs/>
      <w:kern w:val="0"/>
      <w:sz w:val="27"/>
      <w:szCs w:val="27"/>
      <w:lang w:val="en-US" w:eastAsia="zh-CN" w:bidi="ar-SA"/>
    </w:rPr>
  </w:style>
  <w:style w:type="character" w:customStyle="1" w:styleId="25">
    <w:name w:val="heading 4 Char"/>
    <w:basedOn w:val="19"/>
    <w:link w:val="6"/>
    <w:uiPriority w:val="0"/>
    <w:rPr>
      <w:rFonts w:ascii="宋体" w:hAnsi="宋体" w:eastAsia="宋体" w:cs="宋体"/>
      <w:b/>
      <w:bCs/>
      <w:kern w:val="0"/>
      <w:sz w:val="24"/>
      <w:szCs w:val="24"/>
      <w:lang w:val="en-US" w:eastAsia="zh-CN" w:bidi="ar-SA"/>
    </w:rPr>
  </w:style>
  <w:style w:type="character" w:customStyle="1" w:styleId="26">
    <w:name w:val="font11"/>
    <w:basedOn w:val="19"/>
    <w:autoRedefine/>
    <w:qFormat/>
    <w:uiPriority w:val="0"/>
    <w:rPr>
      <w:rFonts w:ascii="仿宋_GB2312" w:eastAsia="仿宋_GB2312" w:cs="仿宋_GB2312"/>
      <w:color w:val="000000"/>
      <w:sz w:val="24"/>
      <w:szCs w:val="24"/>
      <w:u w:val="none"/>
    </w:rPr>
  </w:style>
  <w:style w:type="paragraph" w:customStyle="1" w:styleId="27">
    <w:name w:val="Table Paragraph"/>
    <w:basedOn w:val="1"/>
    <w:autoRedefine/>
    <w:qFormat/>
    <w:uiPriority w:val="0"/>
    <w:pPr>
      <w:ind w:left="614"/>
      <w:jc w:val="both"/>
    </w:pPr>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ap="flat" cmpd="sng">
          <a:solidFill>
            <a:schemeClr val="phClr">
              <a:shade val="95000"/>
              <a:satMod val="105000"/>
            </a:schemeClr>
          </a:solidFill>
          <a:prstDash val="solid"/>
          <a:round/>
        </a:ln>
        <a:ln w="25400" cap="flat" cmpd="sng">
          <a:solidFill>
            <a:schemeClr val="phClr"/>
          </a:solidFill>
          <a:prstDash val="solid"/>
          <a:round/>
        </a:ln>
        <a:ln w="38100" cap="flat" cmpd="sng">
          <a:solidFill>
            <a:schemeClr val="phClr"/>
          </a:solidFill>
          <a:prstDash val="solid"/>
          <a:round/>
        </a:ln>
      </a:lnStyleLst>
      <a:effectStyleLst>
        <a:effectStyle>
          <a:effectLst>
            <a:outerShdw blurRad="40000" dist="20000" dir="5400000" rotWithShape="0">
              <a:srgbClr val="000000">
                <a:alpha val="37647"/>
              </a:srgbClr>
            </a:outerShdw>
          </a:effectLst>
        </a:effectStyle>
        <a:effectStyle>
          <a:effectLst>
            <a:outerShdw blurRad="40000" dist="23000" dir="5400000" rotWithShape="0">
              <a:srgbClr val="000000">
                <a:alpha val="34509"/>
              </a:srgbClr>
            </a:outerShdw>
          </a:effectLst>
        </a:effectStyle>
        <a:effectStyle>
          <a:effectLst>
            <a:outerShdw blurRad="40000" dist="23000" dir="5400000" rotWithShape="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100000" t="100000"/>
          </a:path>
          <a:tileRect r="-100000" b="-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ustomData xmlns="http://www.yozosoft.com.cn/officeDocument/2016/customData">
  <customProps>
    <docPr revisions="3 0 5 0 0 0 1 0 0 0 3000 0 1 1 1 1"/>
    <sectPr/>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A3751A-36B8-458F-92BB-14B98EFFCED3}">
  <ds:schemaRefs/>
</ds:datastoreItem>
</file>

<file path=docProps/app.xml><?xml version="1.0" encoding="utf-8"?>
<Properties xmlns="http://schemas.openxmlformats.org/officeDocument/2006/extended-properties" xmlns:vt="http://schemas.openxmlformats.org/officeDocument/2006/docPropsVTypes">
  <Template>Normal.eit</Template>
  <Pages>8</Pages>
  <Words>2182</Words>
  <Characters>2261</Characters>
  <Lines>0</Lines>
  <Paragraphs>125</Paragraphs>
  <TotalTime>33</TotalTime>
  <ScaleCrop>false</ScaleCrop>
  <LinksUpToDate>false</LinksUpToDate>
  <CharactersWithSpaces>2344</CharactersWithSpaces>
  <Application>WPS Office_12.1.0.16120_F1E327BC-269C-435d-A152-05C5408002CA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2026-10-12T02:42:00Z</dcterms:created>
  <dc:creator>叶翔宇</dc:creator>
  <cp:lastModifiedBy>ㅤㅤ¿</cp:lastModifiedBy>
  <cp:lastPrinted>2026-09-20T08:57:00Z</cp:lastPrinted>
  <dcterms:modified xsi:type="dcterms:W3CDTF">2026-10-14T01:07:04Z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5B68FA4C56CA4D9EAA06FF363960C679_13</vt:lpwstr>
  </property>
  <property fmtid="{D5CDD505-2E9C-101B-9397-08002B2CF9AE}" pid="4" name="KSOTemplateDocerSaveRecord">
    <vt:lpwstr>eyJoZGlkIjoiYTNlNDNiYTlmMjRkZjQzMjg0NDMxMGE1YTI4YTY5ZmIiLCJ1c2VySWQiOiI0NTU1Mjc4MjAifQ==</vt:lpwstr>
  </property>
</Properties>
</file>