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B4E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方正小标宋简体" w:hAnsi="方正小标宋简体" w:eastAsia="方正小标宋简体" w:cs="方正小标宋简体"/>
          <w:b/>
          <w:sz w:val="36"/>
          <w:szCs w:val="36"/>
          <w:lang w:val="en-US" w:eastAsia="zh-CN"/>
        </w:rPr>
      </w:pPr>
      <w:r>
        <w:rPr>
          <w:rFonts w:hint="eastAsia" w:ascii="方正小标宋简体" w:hAnsi="方正小标宋简体" w:eastAsia="方正小标宋简体" w:cs="方正小标宋简体"/>
          <w:b/>
          <w:sz w:val="36"/>
          <w:szCs w:val="36"/>
        </w:rPr>
        <w:t>龙岗建科基础设施建设云服务项目</w:t>
      </w:r>
      <w:r>
        <w:rPr>
          <w:rFonts w:hint="eastAsia" w:ascii="方正小标宋简体" w:hAnsi="方正小标宋简体" w:eastAsia="方正小标宋简体" w:cs="方正小标宋简体"/>
          <w:b/>
          <w:sz w:val="36"/>
          <w:szCs w:val="36"/>
          <w:lang w:val="en-US" w:eastAsia="zh-CN"/>
        </w:rPr>
        <w:t>报价要求书</w:t>
      </w:r>
    </w:p>
    <w:p w14:paraId="15BA32B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8"/>
          <w:szCs w:val="28"/>
        </w:rPr>
      </w:pPr>
    </w:p>
    <w:p w14:paraId="1DCEC43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8"/>
          <w:szCs w:val="28"/>
        </w:rPr>
      </w:pPr>
      <w:bookmarkStart w:id="9" w:name="_GoBack"/>
      <w:r>
        <w:rPr>
          <w:rFonts w:hint="eastAsia" w:ascii="仿宋_GB2312" w:hAnsi="仿宋_GB2312" w:eastAsia="仿宋_GB2312" w:cs="仿宋_GB2312"/>
          <w:sz w:val="28"/>
          <w:szCs w:val="28"/>
        </w:rPr>
        <w:t>项目名称：龙岗建科基础设施建设云服务项目（简称“基建云”）</w:t>
      </w:r>
    </w:p>
    <w:p w14:paraId="7DB66FA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询价单位：深圳市龙岗区城投新基础设施建设管理有限公司（简称“新基建公司”）</w:t>
      </w:r>
    </w:p>
    <w:p w14:paraId="36D27EE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指导单位：深圳市龙岗区建筑科技有限公司（简称“区建科公司”）</w:t>
      </w:r>
    </w:p>
    <w:p w14:paraId="248BC35A">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1"/>
        <w:rPr>
          <w:rFonts w:hint="eastAsia" w:ascii="仿宋_GB2312" w:hAnsi="仿宋_GB2312" w:eastAsia="仿宋_GB2312" w:cs="仿宋_GB2312"/>
          <w:sz w:val="28"/>
          <w:szCs w:val="28"/>
        </w:rPr>
      </w:pPr>
      <w:bookmarkStart w:id="0" w:name="heading_0"/>
      <w:r>
        <w:rPr>
          <w:rFonts w:hint="eastAsia" w:ascii="仿宋_GB2312" w:hAnsi="仿宋_GB2312" w:eastAsia="仿宋_GB2312" w:cs="仿宋_GB2312"/>
          <w:b/>
          <w:sz w:val="28"/>
          <w:szCs w:val="28"/>
        </w:rPr>
        <w:t>一、项目背景及说明</w:t>
      </w:r>
      <w:bookmarkEnd w:id="0"/>
    </w:p>
    <w:p w14:paraId="30E3912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为深入贯彻落实龙岗区委区政府“All in AI”和“鸿蒙之区”战略部署，助力深圳市龙岗区建筑科技有限公司（区建科公司）实现“传统建筑业务与数字科技深度融合的区属建筑领域综合服务商”定位，解决基建项目管理分散、数字化水平不足、数据协同不畅等问题，提升基建项目全生命周期管理效能，特开展本次龙岗建科基础设施建设云服务项目（简称“基建云项目”）。</w:t>
      </w:r>
    </w:p>
    <w:p w14:paraId="3B1E36AD">
      <w:pPr>
        <w:spacing w:before="0" w:after="0" w:line="50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由深圳市龙岗区城投新基础设施建设管理有限公司（新基建公司）统筹投资建设与管理，区建科公司作为指导单位，全程指导项目推进。本项目围绕传统建筑业务与数字科技深度融合的区属建筑领域综合服务商定位，运用信息化、数字化、云原生、AI</w:t>
      </w:r>
      <w:r>
        <w:rPr>
          <w:rFonts w:hint="eastAsia" w:ascii="仿宋_GB2312" w:hAnsi="仿宋_GB2312" w:eastAsia="仿宋_GB2312" w:cs="仿宋_GB2312"/>
          <w:color w:val="auto"/>
          <w:sz w:val="28"/>
          <w:szCs w:val="28"/>
        </w:rPr>
        <w:t>及鸿蒙适配技</w:t>
      </w:r>
      <w:r>
        <w:rPr>
          <w:rFonts w:hint="eastAsia" w:ascii="仿宋_GB2312" w:hAnsi="仿宋_GB2312" w:eastAsia="仿宋_GB2312" w:cs="仿宋_GB2312"/>
          <w:sz w:val="28"/>
          <w:szCs w:val="28"/>
        </w:rPr>
        <w:t>术，打造 “云、数、智” 一体化智慧基建服务体系，全面提升基建项目全生命周期管理效率与数字化水平。</w:t>
      </w:r>
    </w:p>
    <w:p w14:paraId="5CF6C87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项目包12个月数智化咨询服务与60个月数智化作业平台管理云服务，数智化咨询服务与数智化作业平台云服务可根据实际情况并行实施。</w:t>
      </w:r>
    </w:p>
    <w:p w14:paraId="07C9AE9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本次询价旨在广泛了解市场上具备基建数字化转型相关服务能力的服务商，筛选合格单位为后续招标工作提供参考，确保项目高质量落地。</w:t>
      </w:r>
    </w:p>
    <w:p w14:paraId="271CCD47">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1"/>
        <w:rPr>
          <w:rFonts w:hint="eastAsia" w:ascii="仿宋_GB2312" w:hAnsi="仿宋_GB2312" w:eastAsia="仿宋_GB2312" w:cs="仿宋_GB2312"/>
          <w:sz w:val="28"/>
          <w:szCs w:val="28"/>
        </w:rPr>
      </w:pPr>
      <w:bookmarkStart w:id="1" w:name="heading_1"/>
      <w:r>
        <w:rPr>
          <w:rFonts w:hint="eastAsia" w:ascii="仿宋_GB2312" w:hAnsi="仿宋_GB2312" w:eastAsia="仿宋_GB2312" w:cs="仿宋_GB2312"/>
          <w:b/>
          <w:sz w:val="28"/>
          <w:szCs w:val="28"/>
        </w:rPr>
        <w:t>二、询价须知</w:t>
      </w:r>
      <w:bookmarkEnd w:id="1"/>
    </w:p>
    <w:p w14:paraId="55872A0E">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2"/>
        <w:rPr>
          <w:rFonts w:hint="eastAsia" w:ascii="仿宋_GB2312" w:hAnsi="仿宋_GB2312" w:eastAsia="仿宋_GB2312" w:cs="仿宋_GB2312"/>
          <w:sz w:val="28"/>
          <w:szCs w:val="28"/>
        </w:rPr>
      </w:pPr>
      <w:bookmarkStart w:id="2" w:name="heading_2"/>
      <w:r>
        <w:rPr>
          <w:rFonts w:hint="eastAsia" w:ascii="仿宋_GB2312" w:hAnsi="仿宋_GB2312" w:eastAsia="仿宋_GB2312" w:cs="仿宋_GB2312"/>
          <w:b/>
          <w:sz w:val="28"/>
          <w:szCs w:val="28"/>
        </w:rPr>
        <w:t>（一）询价目的</w:t>
      </w:r>
      <w:bookmarkEnd w:id="2"/>
    </w:p>
    <w:p w14:paraId="3DDEF61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规范开展龙岗建科基础设施建设云服务项目（以下简称“本项目”）市场公开询价工作，广泛了解市场服务能力、技术水平及报价情况，筛选符合项目需求的合格服务商，为后续招标工作提供参考依据，特组织本次公开询价。</w:t>
      </w:r>
    </w:p>
    <w:p w14:paraId="301DBA8B">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2"/>
        <w:rPr>
          <w:rFonts w:hint="eastAsia" w:ascii="仿宋_GB2312" w:hAnsi="仿宋_GB2312" w:eastAsia="仿宋_GB2312" w:cs="仿宋_GB2312"/>
          <w:sz w:val="28"/>
          <w:szCs w:val="28"/>
        </w:rPr>
      </w:pPr>
      <w:bookmarkStart w:id="3" w:name="heading_3"/>
      <w:r>
        <w:rPr>
          <w:rFonts w:hint="eastAsia" w:ascii="仿宋_GB2312" w:hAnsi="仿宋_GB2312" w:eastAsia="仿宋_GB2312" w:cs="仿宋_GB2312"/>
          <w:b/>
          <w:sz w:val="28"/>
          <w:szCs w:val="28"/>
        </w:rPr>
        <w:t>（二）询价对象</w:t>
      </w:r>
      <w:bookmarkEnd w:id="3"/>
    </w:p>
    <w:p w14:paraId="3C47C92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具备基建数字化咨询与数字化一站式作业平台相关服务能力，拥有同类项目成功案例，能够满足本项目全部服务要求的独立法人单位（以下简称“响应单位”）。</w:t>
      </w:r>
    </w:p>
    <w:p w14:paraId="6DC7E969">
      <w:pPr>
        <w:keepNext w:val="0"/>
        <w:keepLines w:val="0"/>
        <w:pageBreakBefore w:val="0"/>
        <w:widowControl w:val="0"/>
        <w:kinsoku/>
        <w:wordWrap/>
        <w:overflowPunct/>
        <w:topLinePunct w:val="0"/>
        <w:autoSpaceDE/>
        <w:autoSpaceDN/>
        <w:bidi w:val="0"/>
        <w:adjustRightInd/>
        <w:snapToGrid/>
        <w:spacing w:line="500" w:lineRule="exact"/>
        <w:jc w:val="left"/>
        <w:textAlignment w:val="auto"/>
        <w:outlineLvl w:val="2"/>
        <w:rPr>
          <w:rFonts w:hint="eastAsia" w:ascii="仿宋_GB2312" w:hAnsi="仿宋_GB2312" w:eastAsia="仿宋_GB2312" w:cs="仿宋_GB2312"/>
          <w:sz w:val="28"/>
          <w:szCs w:val="28"/>
        </w:rPr>
      </w:pPr>
      <w:bookmarkStart w:id="4" w:name="heading_4"/>
      <w:r>
        <w:rPr>
          <w:rFonts w:hint="eastAsia" w:ascii="仿宋_GB2312" w:hAnsi="仿宋_GB2312" w:eastAsia="仿宋_GB2312" w:cs="仿宋_GB2312"/>
          <w:b/>
          <w:sz w:val="28"/>
          <w:szCs w:val="28"/>
        </w:rPr>
        <w:t>（三）询价原则</w:t>
      </w:r>
      <w:bookmarkEnd w:id="4"/>
    </w:p>
    <w:p w14:paraId="215BD61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1.公开、公平、公正原则：询价流程、项目需求全程公开，保障所有响应单位平等参与、公平竞争；</w:t>
      </w:r>
    </w:p>
    <w:p w14:paraId="13642A3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2.合规性原则：响应单位需符合国家、行业及龙岗区“All in AI”“鸿蒙之区”相关政策要求，契合区建科公司及新基建公司业务定位；</w:t>
      </w:r>
    </w:p>
    <w:p w14:paraId="1143245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3.适配性原则：响应方案需严格贴合本项目建设目标、服务内容及各项要求，确保技术可行、服务达标、价格合理。</w:t>
      </w:r>
    </w:p>
    <w:bookmarkEnd w:id="9"/>
    <w:p w14:paraId="2569FE59">
      <w:pPr>
        <w:spacing w:before="0" w:after="0" w:line="500" w:lineRule="exact"/>
        <w:jc w:val="left"/>
        <w:outlineLvl w:val="1"/>
        <w:rPr>
          <w:rFonts w:hint="eastAsia" w:ascii="仿宋_GB2312" w:hAnsi="仿宋_GB2312" w:eastAsia="仿宋_GB2312" w:cs="仿宋_GB2312"/>
          <w:b/>
          <w:sz w:val="28"/>
          <w:szCs w:val="28"/>
        </w:rPr>
      </w:pPr>
      <w:bookmarkStart w:id="5" w:name="heading_5"/>
      <w:bookmarkStart w:id="6" w:name="heading_8"/>
      <w:r>
        <w:rPr>
          <w:rFonts w:hint="eastAsia" w:ascii="仿宋_GB2312" w:hAnsi="仿宋_GB2312" w:eastAsia="仿宋_GB2312" w:cs="仿宋_GB2312"/>
          <w:b/>
          <w:sz w:val="28"/>
          <w:szCs w:val="28"/>
          <w:lang w:val="en-US" w:eastAsia="zh-CN"/>
        </w:rPr>
        <w:t>三</w:t>
      </w:r>
      <w:r>
        <w:rPr>
          <w:rFonts w:hint="eastAsia" w:ascii="仿宋_GB2312" w:hAnsi="仿宋_GB2312" w:eastAsia="仿宋_GB2312" w:cs="仿宋_GB2312"/>
          <w:b/>
          <w:sz w:val="28"/>
          <w:szCs w:val="28"/>
        </w:rPr>
        <w:t>、项目任务清单及具体内容描述</w:t>
      </w:r>
    </w:p>
    <w:p w14:paraId="10080BC4">
      <w:pPr>
        <w:keepNext w:val="0"/>
        <w:keepLines w:val="0"/>
        <w:pageBreakBefore w:val="0"/>
        <w:widowControl w:val="0"/>
        <w:kinsoku/>
        <w:wordWrap/>
        <w:overflowPunct/>
        <w:topLinePunct w:val="0"/>
        <w:autoSpaceDE/>
        <w:autoSpaceDN/>
        <w:bidi w:val="0"/>
        <w:adjustRightInd/>
        <w:snapToGrid/>
        <w:spacing w:before="0" w:after="0" w:line="500" w:lineRule="exact"/>
        <w:jc w:val="left"/>
        <w:textAlignment w:val="auto"/>
        <w:outlineLvl w:val="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第一部分：数智化咨询服务（服务周期：12个月）</w:t>
      </w:r>
      <w:bookmarkEnd w:id="5"/>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98"/>
        <w:gridCol w:w="6844"/>
      </w:tblGrid>
      <w:tr w14:paraId="57B4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4" w:type="pct"/>
            <w:tcMar>
              <w:top w:w="60" w:type="dxa"/>
              <w:left w:w="120" w:type="dxa"/>
              <w:bottom w:w="30" w:type="dxa"/>
              <w:right w:w="120" w:type="dxa"/>
            </w:tcMar>
          </w:tcPr>
          <w:p w14:paraId="0AB46702">
            <w:pPr>
              <w:spacing w:before="120" w:after="120" w:line="240" w:lineRule="auto"/>
              <w:jc w:val="center"/>
              <w:rPr>
                <w:rFonts w:hint="eastAsia" w:ascii="仿宋_GB2312" w:hAnsi="仿宋_GB2312" w:eastAsia="仿宋_GB2312" w:cs="仿宋_GB2312"/>
                <w:b/>
                <w:bCs/>
              </w:rPr>
            </w:pPr>
            <w:r>
              <w:rPr>
                <w:rFonts w:hint="eastAsia" w:ascii="仿宋_GB2312" w:hAnsi="仿宋_GB2312" w:eastAsia="仿宋_GB2312" w:cs="仿宋_GB2312"/>
                <w:b/>
                <w:bCs/>
                <w:sz w:val="22"/>
              </w:rPr>
              <w:t>任务清单条目</w:t>
            </w:r>
          </w:p>
        </w:tc>
        <w:tc>
          <w:tcPr>
            <w:tcW w:w="4006" w:type="pct"/>
            <w:tcMar>
              <w:top w:w="60" w:type="dxa"/>
              <w:left w:w="120" w:type="dxa"/>
              <w:bottom w:w="30" w:type="dxa"/>
              <w:right w:w="120" w:type="dxa"/>
            </w:tcMar>
          </w:tcPr>
          <w:p w14:paraId="65434952">
            <w:pPr>
              <w:spacing w:before="120" w:after="120" w:line="240" w:lineRule="auto"/>
              <w:jc w:val="center"/>
              <w:rPr>
                <w:rFonts w:hint="eastAsia" w:ascii="仿宋_GB2312" w:hAnsi="仿宋_GB2312" w:eastAsia="仿宋_GB2312" w:cs="仿宋_GB2312"/>
                <w:b/>
                <w:bCs/>
              </w:rPr>
            </w:pPr>
            <w:r>
              <w:rPr>
                <w:rFonts w:hint="eastAsia" w:ascii="仿宋_GB2312" w:hAnsi="仿宋_GB2312" w:eastAsia="仿宋_GB2312" w:cs="仿宋_GB2312"/>
                <w:b/>
                <w:bCs/>
                <w:sz w:val="22"/>
              </w:rPr>
              <w:t>具体内容描述</w:t>
            </w:r>
          </w:p>
        </w:tc>
      </w:tr>
      <w:tr w14:paraId="4D64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4" w:type="pct"/>
            <w:tcMar>
              <w:top w:w="60" w:type="dxa"/>
              <w:left w:w="120" w:type="dxa"/>
              <w:bottom w:w="30" w:type="dxa"/>
              <w:right w:w="120" w:type="dxa"/>
            </w:tcMar>
            <w:vAlign w:val="center"/>
          </w:tcPr>
          <w:p w14:paraId="6A62E900">
            <w:pPr>
              <w:spacing w:before="120" w:after="120" w:line="240" w:lineRule="auto"/>
              <w:jc w:val="center"/>
              <w:rPr>
                <w:rFonts w:hint="eastAsia" w:ascii="仿宋_GB2312" w:hAnsi="仿宋_GB2312" w:eastAsia="仿宋_GB2312" w:cs="仿宋_GB2312"/>
              </w:rPr>
            </w:pPr>
            <w:r>
              <w:rPr>
                <w:rFonts w:hint="eastAsia" w:ascii="仿宋_GB2312" w:hAnsi="仿宋_GB2312" w:eastAsia="仿宋_GB2312" w:cs="仿宋_GB2312"/>
              </w:rPr>
              <w:t>数智化调研及分析</w:t>
            </w:r>
          </w:p>
        </w:tc>
        <w:tc>
          <w:tcPr>
            <w:tcW w:w="4006" w:type="pct"/>
            <w:tcMar>
              <w:top w:w="60" w:type="dxa"/>
              <w:left w:w="120" w:type="dxa"/>
              <w:bottom w:w="30" w:type="dxa"/>
              <w:right w:w="120" w:type="dxa"/>
            </w:tcMar>
          </w:tcPr>
          <w:p w14:paraId="583BE934">
            <w:pPr>
              <w:spacing w:before="0" w:after="0" w:line="240" w:lineRule="auto"/>
              <w:ind w:firstLine="424" w:firstLineChars="202"/>
              <w:jc w:val="left"/>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从企业技术架构与基础设施、应用系统现状、数据现状及IT治理、业务流程与运营、人员与组织、客户与生态、数据管理现状等维度洞察分析，对其数字化能力进行基本评估，对比和行业标杆的差距点，并形成关键根因；并从技术、经济、组织、风险等维度对客户给出数字化转型的可行性研究分析</w:t>
            </w:r>
          </w:p>
        </w:tc>
      </w:tr>
      <w:tr w14:paraId="5C1F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4" w:type="pct"/>
            <w:tcMar>
              <w:top w:w="60" w:type="dxa"/>
              <w:left w:w="120" w:type="dxa"/>
              <w:bottom w:w="30" w:type="dxa"/>
              <w:right w:w="120" w:type="dxa"/>
            </w:tcMar>
            <w:vAlign w:val="center"/>
          </w:tcPr>
          <w:p w14:paraId="45527677">
            <w:pPr>
              <w:spacing w:before="120" w:after="120" w:line="240" w:lineRule="auto"/>
              <w:jc w:val="center"/>
              <w:rPr>
                <w:rFonts w:hint="eastAsia" w:ascii="仿宋_GB2312" w:hAnsi="仿宋_GB2312" w:eastAsia="仿宋_GB2312" w:cs="仿宋_GB2312"/>
              </w:rPr>
            </w:pPr>
            <w:r>
              <w:rPr>
                <w:rFonts w:hint="eastAsia" w:ascii="仿宋_GB2312" w:hAnsi="仿宋_GB2312" w:eastAsia="仿宋_GB2312" w:cs="仿宋_GB2312"/>
              </w:rPr>
              <w:t>行业标杆实例分析</w:t>
            </w:r>
          </w:p>
        </w:tc>
        <w:tc>
          <w:tcPr>
            <w:tcW w:w="4006" w:type="pct"/>
            <w:tcMar>
              <w:top w:w="60" w:type="dxa"/>
              <w:left w:w="120" w:type="dxa"/>
              <w:bottom w:w="30" w:type="dxa"/>
              <w:right w:w="120" w:type="dxa"/>
            </w:tcMar>
          </w:tcPr>
          <w:p w14:paraId="07978D99">
            <w:pPr>
              <w:spacing w:before="0" w:after="0" w:line="240" w:lineRule="auto"/>
              <w:ind w:firstLine="424" w:firstLineChars="202"/>
              <w:jc w:val="left"/>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基于咨询单位或行业的成功管理实践和数字化转型经验，赋能企业架构设计，管理思想、管理体系、运作机制、授权体系、流程设计与内控、管理方法、4A（业务架构、应用架构、数据架构、技术架构）架构、IT平台的设计与建设，IT平台的价值，行业标杆实例内容包括：基建整体业务、规划与设计、采购、概算、预算、核算、决算、工程管理、验收管理、EHS（环境、职业健康与安全）管理等内容</w:t>
            </w:r>
          </w:p>
        </w:tc>
      </w:tr>
      <w:tr w14:paraId="4C61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4" w:type="pct"/>
            <w:tcMar>
              <w:top w:w="60" w:type="dxa"/>
              <w:left w:w="120" w:type="dxa"/>
              <w:bottom w:w="30" w:type="dxa"/>
              <w:right w:w="120" w:type="dxa"/>
            </w:tcMar>
            <w:vAlign w:val="center"/>
          </w:tcPr>
          <w:p w14:paraId="5CBB5CE7">
            <w:pPr>
              <w:spacing w:before="120" w:after="120" w:line="240" w:lineRule="auto"/>
              <w:jc w:val="center"/>
              <w:rPr>
                <w:rFonts w:hint="eastAsia" w:ascii="仿宋_GB2312" w:hAnsi="仿宋_GB2312" w:eastAsia="仿宋_GB2312" w:cs="仿宋_GB2312"/>
              </w:rPr>
            </w:pPr>
            <w:r>
              <w:rPr>
                <w:rFonts w:hint="eastAsia" w:ascii="仿宋_GB2312" w:hAnsi="仿宋_GB2312" w:eastAsia="仿宋_GB2312" w:cs="仿宋_GB2312"/>
              </w:rPr>
              <w:t>实施路径与方案规划</w:t>
            </w:r>
          </w:p>
        </w:tc>
        <w:tc>
          <w:tcPr>
            <w:tcW w:w="4006" w:type="pct"/>
            <w:tcMar>
              <w:top w:w="60" w:type="dxa"/>
              <w:left w:w="120" w:type="dxa"/>
              <w:bottom w:w="30" w:type="dxa"/>
              <w:right w:w="120" w:type="dxa"/>
            </w:tcMar>
            <w:vAlign w:val="center"/>
          </w:tcPr>
          <w:p w14:paraId="1AE7DEF7">
            <w:pPr>
              <w:spacing w:before="0" w:after="0" w:line="240" w:lineRule="auto"/>
              <w:ind w:firstLine="424" w:firstLineChars="202"/>
              <w:jc w:val="left"/>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整合数字化现状分析结果、行业最佳实践、高层愿景等信息输入，基于企业的战略和价值主张，为更好通过应用基建云服务实现数字化转型，从业务与运营层、技术与数据、组织与人才等方面进行数字化转型实施路径的规划，协助客户根据组织授权要求和管理办法，优化现有流程方案，并将识别的业务核心痛点按照重要性和紧急性排序制定建议方案</w:t>
            </w:r>
          </w:p>
        </w:tc>
      </w:tr>
      <w:tr w14:paraId="3134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94" w:type="pct"/>
            <w:tcMar>
              <w:top w:w="60" w:type="dxa"/>
              <w:left w:w="120" w:type="dxa"/>
              <w:bottom w:w="30" w:type="dxa"/>
              <w:right w:w="120" w:type="dxa"/>
            </w:tcMar>
            <w:vAlign w:val="center"/>
          </w:tcPr>
          <w:p w14:paraId="7C1BD398">
            <w:pPr>
              <w:spacing w:before="120" w:after="120" w:line="240" w:lineRule="auto"/>
              <w:jc w:val="center"/>
              <w:rPr>
                <w:rFonts w:hint="eastAsia" w:ascii="仿宋_GB2312" w:hAnsi="仿宋_GB2312" w:eastAsia="仿宋_GB2312" w:cs="仿宋_GB2312"/>
                <w:sz w:val="22"/>
              </w:rPr>
            </w:pPr>
            <w:r>
              <w:rPr>
                <w:rFonts w:hint="eastAsia" w:ascii="仿宋_GB2312" w:hAnsi="仿宋_GB2312" w:eastAsia="仿宋_GB2312" w:cs="仿宋_GB2312"/>
              </w:rPr>
              <w:t>数智化作业管理平台系统配置操作指导</w:t>
            </w:r>
          </w:p>
        </w:tc>
        <w:tc>
          <w:tcPr>
            <w:tcW w:w="4006" w:type="pct"/>
            <w:tcMar>
              <w:top w:w="60" w:type="dxa"/>
              <w:left w:w="120" w:type="dxa"/>
              <w:bottom w:w="30" w:type="dxa"/>
              <w:right w:w="120" w:type="dxa"/>
            </w:tcMar>
            <w:vAlign w:val="center"/>
          </w:tcPr>
          <w:p w14:paraId="529174A4">
            <w:pPr>
              <w:spacing w:before="0" w:after="0" w:line="240" w:lineRule="auto"/>
              <w:ind w:firstLine="424" w:firstLineChars="202"/>
              <w:jc w:val="left"/>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为客户IT管理人员提供业务基础信息配置清单及配置方法、审批流程定义与编辑方法、权限配置与管理方法、IT基础配置清单及配置方法的培训与指导服务</w:t>
            </w:r>
          </w:p>
        </w:tc>
      </w:tr>
    </w:tbl>
    <w:p w14:paraId="7D3C946A">
      <w:pPr>
        <w:keepNext w:val="0"/>
        <w:keepLines w:val="0"/>
        <w:pageBreakBefore w:val="0"/>
        <w:widowControl w:val="0"/>
        <w:kinsoku/>
        <w:wordWrap/>
        <w:overflowPunct/>
        <w:topLinePunct w:val="0"/>
        <w:autoSpaceDE/>
        <w:autoSpaceDN/>
        <w:bidi w:val="0"/>
        <w:adjustRightInd/>
        <w:snapToGrid/>
        <w:spacing w:before="0" w:after="0" w:line="500" w:lineRule="exact"/>
        <w:jc w:val="left"/>
        <w:textAlignment w:val="auto"/>
        <w:outlineLvl w:val="2"/>
        <w:rPr>
          <w:rFonts w:hint="eastAsia" w:ascii="仿宋_GB2312" w:hAnsi="仿宋_GB2312" w:eastAsia="仿宋_GB2312" w:cs="仿宋_GB2312"/>
          <w:b/>
          <w:sz w:val="28"/>
          <w:szCs w:val="28"/>
        </w:rPr>
      </w:pPr>
      <w:bookmarkStart w:id="7" w:name="heading_6"/>
    </w:p>
    <w:p w14:paraId="06A945B8">
      <w:pPr>
        <w:keepNext w:val="0"/>
        <w:keepLines w:val="0"/>
        <w:pageBreakBefore w:val="0"/>
        <w:widowControl w:val="0"/>
        <w:kinsoku/>
        <w:wordWrap/>
        <w:overflowPunct/>
        <w:topLinePunct w:val="0"/>
        <w:autoSpaceDE/>
        <w:autoSpaceDN/>
        <w:bidi w:val="0"/>
        <w:adjustRightInd/>
        <w:snapToGrid/>
        <w:spacing w:before="0" w:after="0" w:line="500" w:lineRule="exact"/>
        <w:jc w:val="left"/>
        <w:textAlignment w:val="auto"/>
        <w:outlineLvl w:val="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第二部分：数智化作业管理平台云服务（服务周期：60个月）</w:t>
      </w:r>
      <w:bookmarkEnd w:id="7"/>
    </w:p>
    <w:p w14:paraId="11098A10">
      <w:pPr>
        <w:spacing w:before="0" w:after="0" w:line="500" w:lineRule="exact"/>
        <w:jc w:val="left"/>
        <w:outlineLvl w:val="2"/>
        <w:rPr>
          <w:rFonts w:hint="eastAsia" w:ascii="仿宋_GB2312" w:hAnsi="仿宋_GB2312" w:eastAsia="仿宋_GB2312" w:cs="仿宋_GB2312"/>
          <w:b/>
          <w:sz w:val="28"/>
          <w:szCs w:val="28"/>
        </w:rPr>
      </w:pPr>
      <w:bookmarkStart w:id="8" w:name="heading_7"/>
      <w:r>
        <w:rPr>
          <w:rFonts w:hint="eastAsia" w:ascii="仿宋_GB2312" w:hAnsi="仿宋_GB2312" w:eastAsia="仿宋_GB2312" w:cs="仿宋_GB2312"/>
          <w:b/>
          <w:sz w:val="28"/>
          <w:szCs w:val="28"/>
        </w:rPr>
        <w:t>（一）数智化</w:t>
      </w:r>
      <w:r>
        <w:rPr>
          <w:rFonts w:hint="eastAsia" w:ascii="仿宋_GB2312" w:hAnsi="仿宋_GB2312" w:eastAsia="仿宋_GB2312" w:cs="仿宋_GB2312"/>
          <w:b/>
          <w:sz w:val="28"/>
          <w:szCs w:val="28"/>
          <w:lang w:val="en-US" w:eastAsia="zh-CN"/>
        </w:rPr>
        <w:t>咨询</w:t>
      </w:r>
      <w:r>
        <w:rPr>
          <w:rFonts w:hint="eastAsia" w:ascii="仿宋_GB2312" w:hAnsi="仿宋_GB2312" w:eastAsia="仿宋_GB2312" w:cs="仿宋_GB2312"/>
          <w:b/>
          <w:sz w:val="28"/>
          <w:szCs w:val="28"/>
        </w:rPr>
        <w:t>作业管理平台</w:t>
      </w:r>
      <w:bookmarkEnd w:id="8"/>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38"/>
        <w:gridCol w:w="6904"/>
      </w:tblGrid>
      <w:tr w14:paraId="0E7B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959" w:type="pct"/>
            <w:tcMar>
              <w:top w:w="60" w:type="dxa"/>
              <w:left w:w="120" w:type="dxa"/>
              <w:bottom w:w="30" w:type="dxa"/>
              <w:right w:w="120" w:type="dxa"/>
            </w:tcMar>
          </w:tcPr>
          <w:p w14:paraId="3A3D5722">
            <w:pPr>
              <w:spacing w:before="120" w:after="120" w:line="240" w:lineRule="auto"/>
              <w:jc w:val="center"/>
              <w:rPr>
                <w:rFonts w:hint="eastAsia" w:ascii="仿宋_GB2312" w:hAnsi="仿宋_GB2312" w:eastAsia="仿宋_GB2312" w:cs="仿宋_GB2312"/>
                <w:b/>
                <w:bCs/>
              </w:rPr>
            </w:pPr>
            <w:r>
              <w:rPr>
                <w:rFonts w:hint="eastAsia" w:ascii="仿宋_GB2312" w:hAnsi="仿宋_GB2312" w:eastAsia="仿宋_GB2312" w:cs="仿宋_GB2312"/>
                <w:b/>
                <w:bCs/>
                <w:sz w:val="22"/>
              </w:rPr>
              <w:t>任务清单条目</w:t>
            </w:r>
          </w:p>
        </w:tc>
        <w:tc>
          <w:tcPr>
            <w:tcW w:w="4041" w:type="pct"/>
            <w:tcMar>
              <w:top w:w="60" w:type="dxa"/>
              <w:left w:w="120" w:type="dxa"/>
              <w:bottom w:w="30" w:type="dxa"/>
              <w:right w:w="120" w:type="dxa"/>
            </w:tcMar>
          </w:tcPr>
          <w:p w14:paraId="7FF18BBF">
            <w:pPr>
              <w:spacing w:before="120" w:after="120" w:line="240" w:lineRule="auto"/>
              <w:jc w:val="center"/>
              <w:rPr>
                <w:rFonts w:hint="eastAsia" w:ascii="仿宋_GB2312" w:hAnsi="仿宋_GB2312" w:eastAsia="仿宋_GB2312" w:cs="仿宋_GB2312"/>
                <w:b/>
                <w:bCs/>
              </w:rPr>
            </w:pPr>
            <w:r>
              <w:rPr>
                <w:rFonts w:hint="eastAsia" w:ascii="仿宋_GB2312" w:hAnsi="仿宋_GB2312" w:eastAsia="仿宋_GB2312" w:cs="仿宋_GB2312"/>
                <w:b/>
                <w:bCs/>
                <w:sz w:val="22"/>
              </w:rPr>
              <w:t>具体内容描述</w:t>
            </w:r>
          </w:p>
        </w:tc>
      </w:tr>
      <w:tr w14:paraId="5D61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9" w:type="pct"/>
            <w:tcMar>
              <w:top w:w="60" w:type="dxa"/>
              <w:left w:w="120" w:type="dxa"/>
              <w:bottom w:w="30" w:type="dxa"/>
              <w:right w:w="120" w:type="dxa"/>
            </w:tcMar>
            <w:vAlign w:val="center"/>
          </w:tcPr>
          <w:p w14:paraId="01E350F3">
            <w:pPr>
              <w:spacing w:before="120" w:after="120" w:line="240" w:lineRule="auto"/>
              <w:jc w:val="center"/>
              <w:rPr>
                <w:rFonts w:hint="eastAsia" w:ascii="仿宋_GB2312" w:hAnsi="仿宋_GB2312" w:eastAsia="仿宋_GB2312" w:cs="仿宋_GB2312"/>
                <w:szCs w:val="21"/>
              </w:rPr>
            </w:pPr>
            <w:r>
              <w:rPr>
                <w:rFonts w:hint="eastAsia" w:ascii="仿宋_GB2312" w:hAnsi="仿宋_GB2312" w:eastAsia="仿宋_GB2312" w:cs="仿宋_GB2312"/>
                <w:sz w:val="21"/>
                <w:szCs w:val="21"/>
              </w:rPr>
              <w:t>项目立项与成本模块</w:t>
            </w:r>
          </w:p>
        </w:tc>
        <w:tc>
          <w:tcPr>
            <w:tcW w:w="4041" w:type="pct"/>
            <w:tcMar>
              <w:top w:w="60" w:type="dxa"/>
              <w:left w:w="120" w:type="dxa"/>
              <w:bottom w:w="30" w:type="dxa"/>
              <w:right w:w="120" w:type="dxa"/>
            </w:tcMar>
          </w:tcPr>
          <w:p w14:paraId="64989FE9">
            <w:pPr>
              <w:spacing w:before="0" w:after="0" w:line="240" w:lineRule="auto"/>
              <w:ind w:firstLine="424" w:firstLineChars="202"/>
              <w:jc w:val="left"/>
              <w:rPr>
                <w:rFonts w:hint="eastAsia" w:ascii="仿宋_GB2312" w:hAnsi="仿宋_GB2312" w:eastAsia="仿宋_GB2312" w:cs="仿宋_GB2312"/>
                <w:bCs/>
                <w:szCs w:val="21"/>
              </w:rPr>
            </w:pPr>
            <w:r>
              <w:rPr>
                <w:rFonts w:hint="eastAsia" w:ascii="仿宋_GB2312" w:hAnsi="仿宋_GB2312" w:eastAsia="仿宋_GB2312" w:cs="仿宋_GB2312"/>
                <w:b w:val="0"/>
                <w:bCs/>
                <w:szCs w:val="21"/>
              </w:rPr>
              <w:t>产品可建立投资项目立项，通过概算、预算、结算、决算，构建项目全生命周期的投资成本数据库管理体系，助力更好地管理资金，实现经营管理的可视化和可控性。产品可提供分层分级的投资评审及变更决策体系，快速高效地支持投资的评审及决策。</w:t>
            </w:r>
          </w:p>
        </w:tc>
      </w:tr>
      <w:tr w14:paraId="575BE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9" w:type="pct"/>
            <w:tcMar>
              <w:top w:w="60" w:type="dxa"/>
              <w:left w:w="120" w:type="dxa"/>
              <w:bottom w:w="30" w:type="dxa"/>
              <w:right w:w="120" w:type="dxa"/>
            </w:tcMar>
          </w:tcPr>
          <w:p w14:paraId="5AA580FC">
            <w:pPr>
              <w:spacing w:before="120" w:after="120" w:line="240" w:lineRule="auto"/>
              <w:jc w:val="center"/>
              <w:rPr>
                <w:rFonts w:hint="eastAsia" w:ascii="仿宋_GB2312" w:hAnsi="仿宋_GB2312" w:eastAsia="仿宋_GB2312" w:cs="仿宋_GB2312"/>
                <w:szCs w:val="21"/>
              </w:rPr>
            </w:pPr>
            <w:r>
              <w:rPr>
                <w:rFonts w:hint="eastAsia" w:ascii="仿宋_GB2312" w:hAnsi="仿宋_GB2312" w:eastAsia="仿宋_GB2312" w:cs="仿宋_GB2312"/>
                <w:sz w:val="21"/>
                <w:szCs w:val="21"/>
              </w:rPr>
              <w:t>设计模块</w:t>
            </w:r>
          </w:p>
        </w:tc>
        <w:tc>
          <w:tcPr>
            <w:tcW w:w="4041" w:type="pct"/>
            <w:tcMar>
              <w:top w:w="60" w:type="dxa"/>
              <w:left w:w="120" w:type="dxa"/>
              <w:bottom w:w="30" w:type="dxa"/>
              <w:right w:w="120" w:type="dxa"/>
            </w:tcMar>
          </w:tcPr>
          <w:p w14:paraId="4566598F">
            <w:pPr>
              <w:spacing w:before="0" w:after="0" w:line="240" w:lineRule="auto"/>
              <w:ind w:firstLine="424" w:firstLineChars="202"/>
              <w:jc w:val="left"/>
              <w:rPr>
                <w:rFonts w:hint="eastAsia" w:ascii="仿宋_GB2312" w:hAnsi="仿宋_GB2312" w:eastAsia="仿宋_GB2312" w:cs="仿宋_GB2312"/>
                <w:bCs/>
                <w:szCs w:val="21"/>
              </w:rPr>
            </w:pPr>
            <w:r>
              <w:rPr>
                <w:rFonts w:hint="eastAsia" w:ascii="仿宋_GB2312" w:hAnsi="仿宋_GB2312" w:eastAsia="仿宋_GB2312" w:cs="仿宋_GB2312"/>
                <w:b w:val="0"/>
                <w:bCs/>
                <w:szCs w:val="21"/>
              </w:rPr>
              <w:t>产品可承载各项目的规划设计图、概念设计图、施工图纸，实现各类图纸线上评审、下发及归档管理。</w:t>
            </w:r>
          </w:p>
        </w:tc>
      </w:tr>
      <w:tr w14:paraId="78D55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9" w:type="pct"/>
            <w:tcMar>
              <w:top w:w="60" w:type="dxa"/>
              <w:left w:w="120" w:type="dxa"/>
              <w:bottom w:w="30" w:type="dxa"/>
              <w:right w:w="120" w:type="dxa"/>
            </w:tcMar>
          </w:tcPr>
          <w:p w14:paraId="1DC5924D">
            <w:pPr>
              <w:spacing w:before="120" w:after="120" w:line="240" w:lineRule="auto"/>
              <w:jc w:val="center"/>
              <w:rPr>
                <w:rFonts w:hint="eastAsia" w:ascii="仿宋_GB2312" w:hAnsi="仿宋_GB2312" w:eastAsia="仿宋_GB2312" w:cs="仿宋_GB2312"/>
                <w:szCs w:val="21"/>
              </w:rPr>
            </w:pPr>
            <w:r>
              <w:rPr>
                <w:rFonts w:hint="eastAsia" w:ascii="仿宋_GB2312" w:hAnsi="仿宋_GB2312" w:eastAsia="仿宋_GB2312" w:cs="仿宋_GB2312"/>
                <w:sz w:val="21"/>
                <w:szCs w:val="21"/>
              </w:rPr>
              <w:t>采购模块</w:t>
            </w:r>
          </w:p>
        </w:tc>
        <w:tc>
          <w:tcPr>
            <w:tcW w:w="4041" w:type="pct"/>
            <w:tcMar>
              <w:top w:w="60" w:type="dxa"/>
              <w:left w:w="120" w:type="dxa"/>
              <w:bottom w:w="30" w:type="dxa"/>
              <w:right w:w="120" w:type="dxa"/>
            </w:tcMar>
          </w:tcPr>
          <w:p w14:paraId="0C9B6EDC">
            <w:pPr>
              <w:spacing w:before="0" w:after="0" w:line="240" w:lineRule="auto"/>
              <w:ind w:firstLine="424" w:firstLineChars="202"/>
              <w:jc w:val="left"/>
              <w:rPr>
                <w:rFonts w:hint="eastAsia" w:ascii="仿宋_GB2312" w:hAnsi="仿宋_GB2312" w:eastAsia="仿宋_GB2312" w:cs="仿宋_GB2312"/>
                <w:bCs/>
                <w:szCs w:val="21"/>
              </w:rPr>
            </w:pPr>
            <w:r>
              <w:rPr>
                <w:rFonts w:hint="eastAsia" w:ascii="仿宋_GB2312" w:hAnsi="仿宋_GB2312" w:eastAsia="仿宋_GB2312" w:cs="仿宋_GB2312"/>
                <w:b w:val="0"/>
                <w:bCs/>
                <w:szCs w:val="21"/>
              </w:rPr>
              <w:t>产品可实现供应商管理、招采评标、中标通知书及合同签署、归档的线上管理，保证采购过程数据可视、可回溯。</w:t>
            </w:r>
          </w:p>
        </w:tc>
      </w:tr>
      <w:tr w14:paraId="3A6C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9" w:type="pct"/>
            <w:tcMar>
              <w:top w:w="60" w:type="dxa"/>
              <w:left w:w="120" w:type="dxa"/>
              <w:bottom w:w="30" w:type="dxa"/>
              <w:right w:w="120" w:type="dxa"/>
            </w:tcMar>
          </w:tcPr>
          <w:p w14:paraId="608795A1">
            <w:pPr>
              <w:spacing w:before="120" w:after="120" w:line="240" w:lineRule="auto"/>
              <w:jc w:val="center"/>
              <w:rPr>
                <w:rFonts w:hint="eastAsia" w:ascii="仿宋_GB2312" w:hAnsi="仿宋_GB2312" w:eastAsia="仿宋_GB2312" w:cs="仿宋_GB2312"/>
                <w:szCs w:val="21"/>
              </w:rPr>
            </w:pPr>
            <w:r>
              <w:rPr>
                <w:rFonts w:hint="eastAsia" w:ascii="仿宋_GB2312" w:hAnsi="仿宋_GB2312" w:eastAsia="仿宋_GB2312" w:cs="仿宋_GB2312"/>
                <w:sz w:val="21"/>
                <w:szCs w:val="21"/>
              </w:rPr>
              <w:t>工程模块</w:t>
            </w:r>
          </w:p>
        </w:tc>
        <w:tc>
          <w:tcPr>
            <w:tcW w:w="4041" w:type="pct"/>
            <w:tcMar>
              <w:top w:w="60" w:type="dxa"/>
              <w:left w:w="120" w:type="dxa"/>
              <w:bottom w:w="30" w:type="dxa"/>
              <w:right w:w="120" w:type="dxa"/>
            </w:tcMar>
          </w:tcPr>
          <w:p w14:paraId="53FB7770">
            <w:pPr>
              <w:spacing w:before="0" w:after="0" w:line="240" w:lineRule="auto"/>
              <w:ind w:firstLine="424" w:firstLineChars="202"/>
              <w:jc w:val="left"/>
              <w:rPr>
                <w:rFonts w:hint="eastAsia" w:ascii="仿宋_GB2312" w:hAnsi="仿宋_GB2312" w:eastAsia="仿宋_GB2312" w:cs="仿宋_GB2312"/>
                <w:bCs/>
                <w:szCs w:val="21"/>
              </w:rPr>
            </w:pPr>
            <w:r>
              <w:rPr>
                <w:rFonts w:hint="eastAsia" w:ascii="仿宋_GB2312" w:hAnsi="仿宋_GB2312" w:eastAsia="仿宋_GB2312" w:cs="仿宋_GB2312"/>
                <w:b w:val="0"/>
                <w:bCs/>
                <w:szCs w:val="21"/>
              </w:rPr>
              <w:t>产品可实现项目工程进度可视，施工工艺工序质量、计划、EHS、材料等关键工程管理数据动态监控，各参建方验收协同，保证项目工程质量和进度满足</w:t>
            </w:r>
            <w:r>
              <w:rPr>
                <w:rFonts w:hint="eastAsia" w:ascii="仿宋_GB2312" w:hAnsi="仿宋_GB2312" w:eastAsia="仿宋_GB2312" w:cs="仿宋_GB2312"/>
                <w:b w:val="0"/>
                <w:bCs/>
                <w:szCs w:val="21"/>
                <w:lang w:eastAsia="zh-CN"/>
              </w:rPr>
              <w:t>招标人</w:t>
            </w:r>
            <w:r>
              <w:rPr>
                <w:rFonts w:hint="eastAsia" w:ascii="仿宋_GB2312" w:hAnsi="仿宋_GB2312" w:eastAsia="仿宋_GB2312" w:cs="仿宋_GB2312"/>
                <w:b w:val="0"/>
                <w:bCs/>
                <w:szCs w:val="21"/>
              </w:rPr>
              <w:t>要求。</w:t>
            </w:r>
          </w:p>
        </w:tc>
      </w:tr>
      <w:tr w14:paraId="1B2AC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9" w:type="pct"/>
            <w:tcMar>
              <w:top w:w="60" w:type="dxa"/>
              <w:left w:w="120" w:type="dxa"/>
              <w:bottom w:w="30" w:type="dxa"/>
              <w:right w:w="120" w:type="dxa"/>
            </w:tcMar>
          </w:tcPr>
          <w:p w14:paraId="2FCAD809">
            <w:pPr>
              <w:spacing w:before="120" w:after="120" w:line="240" w:lineRule="auto"/>
              <w:jc w:val="center"/>
              <w:rPr>
                <w:rFonts w:hint="eastAsia" w:ascii="仿宋_GB2312" w:hAnsi="仿宋_GB2312" w:eastAsia="仿宋_GB2312" w:cs="仿宋_GB2312"/>
                <w:szCs w:val="21"/>
              </w:rPr>
            </w:pPr>
            <w:r>
              <w:rPr>
                <w:rFonts w:hint="eastAsia" w:ascii="仿宋_GB2312" w:hAnsi="仿宋_GB2312" w:eastAsia="仿宋_GB2312" w:cs="仿宋_GB2312"/>
                <w:sz w:val="21"/>
                <w:szCs w:val="21"/>
              </w:rPr>
              <w:t>EHS模块</w:t>
            </w:r>
          </w:p>
        </w:tc>
        <w:tc>
          <w:tcPr>
            <w:tcW w:w="4041" w:type="pct"/>
            <w:tcMar>
              <w:top w:w="60" w:type="dxa"/>
              <w:left w:w="120" w:type="dxa"/>
              <w:bottom w:w="30" w:type="dxa"/>
              <w:right w:w="120" w:type="dxa"/>
            </w:tcMar>
          </w:tcPr>
          <w:p w14:paraId="32230EF0">
            <w:pPr>
              <w:spacing w:before="0" w:after="0" w:line="240" w:lineRule="auto"/>
              <w:ind w:firstLine="424" w:firstLineChars="202"/>
              <w:jc w:val="left"/>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支持 EHS（环境、职业健康与安全）策划 / 方案、危大工程、安全验收、安全检查、问题整改等线上作业。</w:t>
            </w:r>
          </w:p>
        </w:tc>
      </w:tr>
      <w:tr w14:paraId="4E46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9" w:type="pct"/>
            <w:tcMar>
              <w:top w:w="60" w:type="dxa"/>
              <w:left w:w="120" w:type="dxa"/>
              <w:bottom w:w="30" w:type="dxa"/>
              <w:right w:w="120" w:type="dxa"/>
            </w:tcMar>
          </w:tcPr>
          <w:p w14:paraId="60C002BF">
            <w:pPr>
              <w:spacing w:before="120" w:after="120" w:line="240" w:lineRule="auto"/>
              <w:jc w:val="center"/>
              <w:rPr>
                <w:rFonts w:hint="eastAsia" w:ascii="仿宋_GB2312" w:hAnsi="仿宋_GB2312" w:eastAsia="仿宋_GB2312" w:cs="仿宋_GB2312"/>
                <w:szCs w:val="21"/>
              </w:rPr>
            </w:pPr>
            <w:r>
              <w:rPr>
                <w:rFonts w:hint="eastAsia" w:ascii="仿宋_GB2312" w:hAnsi="仿宋_GB2312" w:eastAsia="仿宋_GB2312" w:cs="仿宋_GB2312"/>
                <w:sz w:val="21"/>
                <w:szCs w:val="21"/>
              </w:rPr>
              <w:t>验收模块</w:t>
            </w:r>
          </w:p>
        </w:tc>
        <w:tc>
          <w:tcPr>
            <w:tcW w:w="4041" w:type="pct"/>
            <w:tcMar>
              <w:top w:w="60" w:type="dxa"/>
              <w:left w:w="120" w:type="dxa"/>
              <w:bottom w:w="30" w:type="dxa"/>
              <w:right w:w="120" w:type="dxa"/>
            </w:tcMar>
          </w:tcPr>
          <w:p w14:paraId="2339FC25">
            <w:pPr>
              <w:spacing w:before="0" w:after="0" w:line="240" w:lineRule="auto"/>
              <w:ind w:firstLine="424" w:firstLineChars="202"/>
              <w:jc w:val="left"/>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支持验收策划、评估，验收标准化、问题销项等线上作业；可下发任务清单，在线闭环管理。</w:t>
            </w:r>
          </w:p>
        </w:tc>
      </w:tr>
      <w:tr w14:paraId="7861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59" w:type="pct"/>
            <w:tcMar>
              <w:top w:w="60" w:type="dxa"/>
              <w:left w:w="120" w:type="dxa"/>
              <w:bottom w:w="30" w:type="dxa"/>
              <w:right w:w="120" w:type="dxa"/>
            </w:tcMar>
          </w:tcPr>
          <w:p w14:paraId="415B6F43">
            <w:pPr>
              <w:spacing w:before="120" w:after="120" w:line="240" w:lineRule="auto"/>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Cs w:val="21"/>
                <w:lang w:bidi="ar-SA"/>
              </w:rPr>
              <w:t>运营管理</w:t>
            </w:r>
          </w:p>
        </w:tc>
        <w:tc>
          <w:tcPr>
            <w:tcW w:w="4041" w:type="pct"/>
            <w:tcMar>
              <w:top w:w="60" w:type="dxa"/>
              <w:left w:w="120" w:type="dxa"/>
              <w:bottom w:w="30" w:type="dxa"/>
              <w:right w:w="120" w:type="dxa"/>
            </w:tcMar>
          </w:tcPr>
          <w:p w14:paraId="6BC825DE">
            <w:pPr>
              <w:spacing w:before="0" w:after="0" w:line="240" w:lineRule="auto"/>
              <w:ind w:firstLine="424" w:firstLineChars="202"/>
              <w:jc w:val="left"/>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可提供设备与系统管理、设施巡检管理、运行管理、保养及维修管理等功能，支持工单化管理，实现设施的全生命周期管理。</w:t>
            </w:r>
          </w:p>
        </w:tc>
      </w:tr>
    </w:tbl>
    <w:p w14:paraId="652AD453">
      <w:pPr>
        <w:spacing w:before="0" w:after="0" w:line="500" w:lineRule="exact"/>
        <w:jc w:val="left"/>
        <w:outlineLvl w:val="2"/>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（二）平台基础设施配置</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669"/>
        <w:gridCol w:w="6873"/>
      </w:tblGrid>
      <w:tr w14:paraId="7F8C6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7" w:type="pct"/>
            <w:tcMar>
              <w:top w:w="60" w:type="dxa"/>
              <w:left w:w="120" w:type="dxa"/>
              <w:bottom w:w="30" w:type="dxa"/>
              <w:right w:w="120" w:type="dxa"/>
            </w:tcMar>
          </w:tcPr>
          <w:p w14:paraId="6A54A3B9">
            <w:pPr>
              <w:spacing w:before="120" w:after="120" w:line="240" w:lineRule="auto"/>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任务清单条目</w:t>
            </w:r>
          </w:p>
        </w:tc>
        <w:tc>
          <w:tcPr>
            <w:tcW w:w="4023" w:type="pct"/>
            <w:tcMar>
              <w:top w:w="60" w:type="dxa"/>
              <w:left w:w="120" w:type="dxa"/>
              <w:bottom w:w="30" w:type="dxa"/>
              <w:right w:w="120" w:type="dxa"/>
            </w:tcMar>
          </w:tcPr>
          <w:p w14:paraId="22870D90">
            <w:pPr>
              <w:spacing w:before="120" w:after="120" w:line="240" w:lineRule="auto"/>
              <w:jc w:val="center"/>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具体内容描述</w:t>
            </w:r>
          </w:p>
        </w:tc>
      </w:tr>
      <w:tr w14:paraId="6227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977" w:type="pct"/>
            <w:tcMar>
              <w:top w:w="60" w:type="dxa"/>
              <w:left w:w="120" w:type="dxa"/>
              <w:bottom w:w="30" w:type="dxa"/>
              <w:right w:w="120" w:type="dxa"/>
            </w:tcMar>
            <w:vAlign w:val="center"/>
          </w:tcPr>
          <w:p w14:paraId="17F8D5C9">
            <w:pPr>
              <w:spacing w:before="120" w:after="120" w:line="240" w:lineRule="auto"/>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平台基础能力配置</w:t>
            </w:r>
          </w:p>
        </w:tc>
        <w:tc>
          <w:tcPr>
            <w:tcW w:w="4023" w:type="pct"/>
            <w:tcMar>
              <w:top w:w="60" w:type="dxa"/>
              <w:left w:w="120" w:type="dxa"/>
              <w:bottom w:w="30" w:type="dxa"/>
              <w:right w:w="120" w:type="dxa"/>
            </w:tcMar>
          </w:tcPr>
          <w:p w14:paraId="2BB245EA">
            <w:pPr>
              <w:spacing w:before="0" w:after="0" w:line="240" w:lineRule="auto"/>
              <w:ind w:firstLine="424" w:firstLineChars="202"/>
              <w:jc w:val="left"/>
              <w:rPr>
                <w:rFonts w:hint="eastAsia" w:ascii="仿宋_GB2312" w:hAnsi="仿宋_GB2312" w:eastAsia="仿宋_GB2312" w:cs="仿宋_GB2312"/>
                <w:b w:val="0"/>
                <w:bCs/>
                <w:szCs w:val="21"/>
              </w:rPr>
            </w:pPr>
            <w:r>
              <w:rPr>
                <w:rFonts w:hint="eastAsia" w:ascii="仿宋_GB2312" w:hAnsi="仿宋_GB2312" w:eastAsia="仿宋_GB2312" w:cs="仿宋_GB2312"/>
                <w:b w:val="0"/>
                <w:bCs/>
                <w:szCs w:val="21"/>
              </w:rPr>
              <w:t>服务期限内：1. 用户数：支持注册用户数50000 个；2. 可靠性：两地三中心全局容灾，服务 SLA≥99.99%；3. 安全性：云平台等保三级，数据资产 0 泄露、0 篡改、高可用；4. 性能：API 响应时延＜200ms、页面加载＜3s、业务成功率＞99.99%；5. 架构：云原生、分布式、服务化、弹性扩展；6. 适配：WEB 端、移动端支持鸿蒙系统。</w:t>
            </w:r>
          </w:p>
        </w:tc>
      </w:tr>
    </w:tbl>
    <w:p w14:paraId="2883E6B1">
      <w:pPr>
        <w:spacing w:before="260" w:after="120" w:line="288" w:lineRule="auto"/>
        <w:jc w:val="left"/>
        <w:outlineLvl w:val="3"/>
        <w:rPr>
          <w:rFonts w:hint="eastAsia" w:ascii="仿宋_GB2312" w:hAnsi="仿宋_GB2312" w:eastAsia="仿宋_GB2312" w:cs="仿宋_GB2312"/>
          <w:b/>
          <w:color w:val="FF0000"/>
          <w:sz w:val="28"/>
          <w:lang w:val="en-US" w:eastAsia="zh-CN"/>
        </w:rPr>
      </w:pPr>
      <w:r>
        <w:rPr>
          <w:rFonts w:hint="eastAsia" w:ascii="仿宋_GB2312" w:hAnsi="仿宋_GB2312" w:eastAsia="仿宋_GB2312" w:cs="仿宋_GB2312"/>
          <w:b/>
          <w:color w:val="FF0000"/>
          <w:sz w:val="28"/>
          <w:lang w:val="en-US" w:eastAsia="zh-CN"/>
        </w:rPr>
        <w:t>注：数智化咨询服务与数智化产品应用服务可根据实际情况并行实施。</w:t>
      </w:r>
      <w:bookmarkEnd w:id="6"/>
    </w:p>
    <w:sectPr>
      <w:footerReference r:id="rId3"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8F972">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B4098A">
                          <w:pPr>
                            <w:pStyle w:val="3"/>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EB4098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noPunctuationKerning w:val="1"/>
  <w:characterSpacingControl w:val="doNotCompress"/>
  <w:hdrShapeDefaults>
    <o:shapelayout v:ext="edit">
      <o:idmap v:ext="edit" data="3"/>
    </o:shapelayout>
  </w:hdrShapeDefault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942"/>
    <w:rsid w:val="000A3E20"/>
    <w:rsid w:val="00133E25"/>
    <w:rsid w:val="00153E9B"/>
    <w:rsid w:val="001B37AF"/>
    <w:rsid w:val="001C3738"/>
    <w:rsid w:val="001F1850"/>
    <w:rsid w:val="00203EE2"/>
    <w:rsid w:val="00210C80"/>
    <w:rsid w:val="00237941"/>
    <w:rsid w:val="002B3686"/>
    <w:rsid w:val="002B45E2"/>
    <w:rsid w:val="00311316"/>
    <w:rsid w:val="00321D76"/>
    <w:rsid w:val="003346F2"/>
    <w:rsid w:val="00347133"/>
    <w:rsid w:val="00352D0B"/>
    <w:rsid w:val="00395082"/>
    <w:rsid w:val="003B4992"/>
    <w:rsid w:val="003B5CA9"/>
    <w:rsid w:val="003F1F98"/>
    <w:rsid w:val="00465EC8"/>
    <w:rsid w:val="0049047D"/>
    <w:rsid w:val="004E46EF"/>
    <w:rsid w:val="004F11B5"/>
    <w:rsid w:val="00545809"/>
    <w:rsid w:val="006B7D7D"/>
    <w:rsid w:val="00762CC1"/>
    <w:rsid w:val="00767942"/>
    <w:rsid w:val="007A0845"/>
    <w:rsid w:val="007C4123"/>
    <w:rsid w:val="007F6908"/>
    <w:rsid w:val="00885D6E"/>
    <w:rsid w:val="008A12B2"/>
    <w:rsid w:val="00995D23"/>
    <w:rsid w:val="009A0345"/>
    <w:rsid w:val="009D091B"/>
    <w:rsid w:val="00AD649A"/>
    <w:rsid w:val="00AF2C8B"/>
    <w:rsid w:val="00B22C5B"/>
    <w:rsid w:val="00BC5E86"/>
    <w:rsid w:val="00C07546"/>
    <w:rsid w:val="00C679C2"/>
    <w:rsid w:val="00C90509"/>
    <w:rsid w:val="00CE3648"/>
    <w:rsid w:val="00DA4104"/>
    <w:rsid w:val="00DD6F3D"/>
    <w:rsid w:val="00E45649"/>
    <w:rsid w:val="00E75CCB"/>
    <w:rsid w:val="00EE75CD"/>
    <w:rsid w:val="00F17886"/>
    <w:rsid w:val="00F30AD9"/>
    <w:rsid w:val="00F47295"/>
    <w:rsid w:val="00F84CD3"/>
    <w:rsid w:val="00FA473B"/>
    <w:rsid w:val="00FA683E"/>
    <w:rsid w:val="00FC3787"/>
    <w:rsid w:val="06CA5E44"/>
    <w:rsid w:val="088210AA"/>
    <w:rsid w:val="17BE4FC6"/>
    <w:rsid w:val="1B5B1A8E"/>
    <w:rsid w:val="1C207096"/>
    <w:rsid w:val="1C2524E7"/>
    <w:rsid w:val="1DD208D3"/>
    <w:rsid w:val="20014A6A"/>
    <w:rsid w:val="249628DC"/>
    <w:rsid w:val="2B7C7A2C"/>
    <w:rsid w:val="32BC7BC3"/>
    <w:rsid w:val="34401F52"/>
    <w:rsid w:val="3E263CAA"/>
    <w:rsid w:val="3E452877"/>
    <w:rsid w:val="4BB4051D"/>
    <w:rsid w:val="4D2D7390"/>
    <w:rsid w:val="59433972"/>
    <w:rsid w:val="5A4766C6"/>
    <w:rsid w:val="5A6024E9"/>
    <w:rsid w:val="5D67100B"/>
    <w:rsid w:val="66C55565"/>
    <w:rsid w:val="67D0783D"/>
    <w:rsid w:val="6F8F639D"/>
    <w:rsid w:val="6F9F313F"/>
    <w:rsid w:val="7C3149DF"/>
    <w:rsid w:val="7C765344"/>
    <w:rsid w:val="7C824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b/>
      <w:bCs/>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styleId="9">
    <w:name w:val="List Paragraph"/>
    <w:basedOn w:val="1"/>
    <w:qFormat/>
    <w:uiPriority w:val="99"/>
    <w:pPr>
      <w:ind w:firstLine="420" w:firstLineChars="200"/>
    </w:pPr>
  </w:style>
  <w:style w:type="paragraph" w:customStyle="1" w:styleId="10">
    <w:name w:val="TB-正文缩进"/>
    <w:qFormat/>
    <w:uiPriority w:val="0"/>
    <w:pPr>
      <w:spacing w:line="360" w:lineRule="auto"/>
      <w:ind w:firstLine="200" w:firstLineChars="200"/>
      <w:jc w:val="both"/>
    </w:pPr>
    <w:rPr>
      <w:rFonts w:ascii="Times New Roman" w:hAnsi="Times New Roman" w:eastAsia="宋体" w:cstheme="minorBidi"/>
      <w:bCs/>
      <w:color w:val="000000" w:themeColor="text1"/>
      <w:sz w:val="24"/>
      <w:szCs w:val="28"/>
      <w:lang w:val="en-US" w:eastAsia="zh-CN" w:bidi="ar-SA"/>
      <w14:textFill>
        <w14:solidFill>
          <w14:schemeClr w14:val="tx1"/>
        </w14:solidFill>
      </w14:textFill>
    </w:rPr>
  </w:style>
  <w:style w:type="character" w:customStyle="1" w:styleId="11">
    <w:name w:val="页眉 字符"/>
    <w:basedOn w:val="7"/>
    <w:link w:val="4"/>
    <w:qFormat/>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3442</Words>
  <Characters>3509</Characters>
  <Lines>28</Lines>
  <Paragraphs>7</Paragraphs>
  <TotalTime>2</TotalTime>
  <ScaleCrop>false</ScaleCrop>
  <LinksUpToDate>false</LinksUpToDate>
  <CharactersWithSpaces>3517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2026-04-07T13:47:00Z</dcterms:created>
  <dc:creator>Apache POI</dc:creator>
  <cp:lastModifiedBy>邹艳</cp:lastModifiedBy>
  <dcterms:modified xsi:type="dcterms:W3CDTF">2026-04-29T09:24:52Z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eyJoZGlkIjoiNzc0ZjRiMWFlZDIxYjgzMTY2YjFmYzcwYjZjYTcwNWQiLCJ1c2VySWQiOiI5MTY3NzQ2NTAifQ==</vt:lpwstr>
  </property>
  <property fmtid="{D5CDD505-2E9C-101B-9397-08002B2CF9AE}" pid="3" name="KSOProductBuildVer">
    <vt:lpwstr>2052-12.1.0.25865</vt:lpwstr>
  </property>
  <property fmtid="{D5CDD505-2E9C-101B-9397-08002B2CF9AE}" pid="4" name="ICV">
    <vt:lpwstr>1EA40F78061F493A96302D3ECF6FD4E0_13</vt:lpwstr>
  </property>
</Properties>
</file>