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9FA38"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</w:pPr>
    </w:p>
    <w:p w14:paraId="5F2BFF7B"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</w:pPr>
    </w:p>
    <w:p w14:paraId="3C37FAB1">
      <w:pPr>
        <w:pStyle w:val="2"/>
        <w:rPr>
          <w:rFonts w:hint="eastAsia"/>
        </w:rPr>
      </w:pPr>
    </w:p>
    <w:p w14:paraId="2DBD0CFC"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  <w:lang w:eastAsia="zh-CN"/>
        </w:rPr>
      </w:pPr>
      <w:r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  <w:t>深圳</w:t>
      </w:r>
      <w:r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  <w:lang w:eastAsia="zh-CN"/>
        </w:rPr>
        <w:t>联合产权交易所机房设备</w:t>
      </w:r>
    </w:p>
    <w:p w14:paraId="443B5A32"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  <w:lang w:eastAsia="zh-CN"/>
        </w:rPr>
      </w:pPr>
      <w:r>
        <w:rPr>
          <w:rFonts w:hint="eastAsia" w:ascii="公文小标宋简" w:hAnsi="公文小标宋简" w:eastAsia="公文小标宋简" w:cs="公文小标宋简"/>
          <w:b/>
          <w:bCs w:val="0"/>
          <w:sz w:val="44"/>
          <w:szCs w:val="44"/>
        </w:rPr>
        <w:t>维保项目意向征集公告</w:t>
      </w:r>
    </w:p>
    <w:p w14:paraId="27AB61DA"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0B4368B3"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57A6765A"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026E8085"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AF56A2F"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4A034003">
      <w:pPr>
        <w:pStyle w:val="5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7EA8C9B9">
      <w:pPr>
        <w:pStyle w:val="5"/>
        <w:ind w:left="0" w:leftChars="0" w:firstLine="0" w:firstLineChars="0"/>
        <w:rPr>
          <w:rFonts w:hint="eastAsia" w:ascii="方正小标宋简体" w:hAnsi="宋体" w:eastAsia="方正小标宋简体"/>
          <w:b/>
          <w:sz w:val="44"/>
          <w:szCs w:val="44"/>
        </w:rPr>
      </w:pPr>
    </w:p>
    <w:p w14:paraId="27E4EF91">
      <w:pPr>
        <w:rPr>
          <w:rFonts w:hint="eastAsia"/>
        </w:rPr>
      </w:pPr>
    </w:p>
    <w:p w14:paraId="3FC954D6">
      <w:pPr>
        <w:pStyle w:val="2"/>
        <w:ind w:left="0" w:leftChars="0" w:firstLine="0" w:firstLineChars="0"/>
        <w:rPr>
          <w:rFonts w:hint="eastAsia"/>
        </w:rPr>
      </w:pPr>
    </w:p>
    <w:p w14:paraId="64EF7117">
      <w:pPr>
        <w:rPr>
          <w:rFonts w:hint="eastAsia"/>
        </w:rPr>
      </w:pPr>
    </w:p>
    <w:p w14:paraId="0519A5C3"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深圳联合产权交易所股份有限公司</w:t>
      </w:r>
    </w:p>
    <w:p w14:paraId="2732CAB9"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黑体" w:hAnsi="黑体" w:eastAsia="黑体" w:cs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2025年11月</w:t>
      </w:r>
    </w:p>
    <w:p w14:paraId="273DEE7D">
      <w:r>
        <w:rPr>
          <w:rFonts w:hint="eastAsia" w:ascii="方正小标宋简体" w:hAnsi="宋体" w:eastAsia="方正小标宋简体"/>
          <w:b/>
          <w:sz w:val="44"/>
          <w:szCs w:val="44"/>
          <w:lang w:val="en-US" w:eastAsia="zh-CN"/>
        </w:rPr>
        <w:br w:type="page"/>
      </w:r>
    </w:p>
    <w:p w14:paraId="3EF41F51">
      <w:pPr>
        <w:pStyle w:val="3"/>
        <w:spacing w:before="0" w:after="0" w:line="560" w:lineRule="exact"/>
        <w:ind w:firstLine="640"/>
        <w:rPr>
          <w:rFonts w:hint="eastAsia" w:ascii="黑体" w:hAnsi="黑体" w:eastAsia="黑体"/>
          <w:b w:val="0"/>
          <w:bCs w:val="0"/>
          <w:sz w:val="32"/>
          <w:lang w:eastAsia="zh-CN"/>
        </w:rPr>
      </w:pPr>
      <w:bookmarkStart w:id="0" w:name="_Toc404195400"/>
      <w:bookmarkStart w:id="1" w:name="_Toc406669472"/>
      <w:r>
        <w:rPr>
          <w:rFonts w:hint="eastAsia" w:ascii="黑体" w:hAnsi="黑体" w:eastAsia="黑体"/>
          <w:b w:val="0"/>
          <w:bCs w:val="0"/>
          <w:sz w:val="32"/>
          <w:lang w:eastAsia="zh-CN"/>
        </w:rPr>
        <w:t>一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bookmarkEnd w:id="0"/>
      <w:bookmarkEnd w:id="1"/>
      <w:r>
        <w:rPr>
          <w:rFonts w:hint="eastAsia" w:ascii="黑体" w:hAnsi="黑体" w:eastAsia="黑体"/>
          <w:b w:val="0"/>
          <w:bCs w:val="0"/>
          <w:sz w:val="32"/>
        </w:rPr>
        <w:t>项目</w:t>
      </w:r>
      <w:r>
        <w:rPr>
          <w:rFonts w:hint="eastAsia" w:ascii="黑体" w:hAnsi="黑体" w:eastAsia="黑体"/>
          <w:b w:val="0"/>
          <w:bCs w:val="0"/>
          <w:sz w:val="32"/>
          <w:lang w:eastAsia="zh-CN"/>
        </w:rPr>
        <w:t>简介</w:t>
      </w:r>
    </w:p>
    <w:p w14:paraId="006849D9">
      <w:pPr>
        <w:pStyle w:val="9"/>
        <w:spacing w:after="0"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bookmarkStart w:id="2" w:name="_Toc406669473"/>
      <w:bookmarkStart w:id="3" w:name="_Toc404195401"/>
      <w:r>
        <w:rPr>
          <w:rFonts w:hint="eastAsia" w:ascii="仿宋_GB2312" w:hAnsi="宋体" w:eastAsia="仿宋_GB2312"/>
          <w:sz w:val="32"/>
          <w:szCs w:val="32"/>
          <w:lang w:eastAsia="zh-CN"/>
        </w:rPr>
        <w:t>目前联交所机房设备</w:t>
      </w:r>
      <w:r>
        <w:rPr>
          <w:rFonts w:hint="eastAsia" w:ascii="仿宋_GB2312" w:hAnsi="宋体" w:eastAsia="仿宋_GB2312"/>
          <w:sz w:val="32"/>
          <w:szCs w:val="32"/>
        </w:rPr>
        <w:t>维保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服务已临近维保期限</w:t>
      </w:r>
      <w:r>
        <w:rPr>
          <w:rFonts w:hint="eastAsia" w:ascii="仿宋_GB2312" w:hAnsi="宋体" w:eastAsia="仿宋_GB2312"/>
          <w:sz w:val="32"/>
          <w:szCs w:val="32"/>
        </w:rPr>
        <w:t>，为确保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联交所</w:t>
      </w:r>
      <w:r>
        <w:rPr>
          <w:rFonts w:hint="eastAsia" w:ascii="仿宋_GB2312" w:hAnsi="宋体" w:eastAsia="仿宋_GB2312"/>
          <w:sz w:val="32"/>
          <w:szCs w:val="32"/>
        </w:rPr>
        <w:t>业务系统稳定运行，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现</w:t>
      </w:r>
      <w:r>
        <w:rPr>
          <w:rFonts w:hint="eastAsia" w:ascii="仿宋_GB2312" w:hAnsi="宋体" w:eastAsia="仿宋_GB2312"/>
          <w:sz w:val="32"/>
          <w:szCs w:val="32"/>
        </w:rPr>
        <w:t>对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联交所机房设备硬件</w:t>
      </w:r>
      <w:r>
        <w:rPr>
          <w:rFonts w:hint="eastAsia" w:ascii="仿宋_GB2312" w:hAnsi="宋体" w:eastAsia="仿宋_GB2312"/>
          <w:sz w:val="32"/>
          <w:szCs w:val="32"/>
        </w:rPr>
        <w:t>维保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服务</w:t>
      </w:r>
      <w:r>
        <w:rPr>
          <w:rFonts w:hint="eastAsia" w:ascii="仿宋_GB2312" w:hAnsi="宋体" w:eastAsia="仿宋_GB2312"/>
          <w:sz w:val="32"/>
          <w:szCs w:val="32"/>
        </w:rPr>
        <w:t>进行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公开询价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bookmarkEnd w:id="2"/>
    <w:bookmarkEnd w:id="3"/>
    <w:p w14:paraId="4036BC68">
      <w:pPr>
        <w:pStyle w:val="3"/>
        <w:spacing w:before="0" w:after="0" w:line="560" w:lineRule="exact"/>
        <w:ind w:firstLine="640"/>
        <w:rPr>
          <w:rFonts w:hint="eastAsia" w:ascii="黑体" w:hAnsi="黑体" w:eastAsia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lang w:eastAsia="zh-CN"/>
        </w:rPr>
        <w:t>二、项目情况</w:t>
      </w:r>
    </w:p>
    <w:p w14:paraId="42CB39FE">
      <w:pPr>
        <w:pStyle w:val="9"/>
        <w:spacing w:after="0"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维保</w:t>
      </w:r>
      <w:r>
        <w:rPr>
          <w:rFonts w:hint="eastAsia" w:ascii="仿宋_GB2312" w:hAnsi="宋体" w:eastAsia="仿宋_GB2312"/>
          <w:sz w:val="32"/>
          <w:szCs w:val="32"/>
        </w:rPr>
        <w:t>项目位于深圳市南山区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智谷产业园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A座交易集团大厦，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维保</w:t>
      </w:r>
      <w:r>
        <w:rPr>
          <w:rFonts w:hint="eastAsia" w:ascii="仿宋_GB2312" w:hAnsi="宋体" w:eastAsia="仿宋_GB2312"/>
          <w:sz w:val="32"/>
          <w:szCs w:val="32"/>
        </w:rPr>
        <w:t>设备包括交换机、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服务器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存储设备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防火墙</w:t>
      </w:r>
      <w:r>
        <w:rPr>
          <w:rFonts w:hint="eastAsia" w:ascii="仿宋_GB2312" w:hAnsi="宋体" w:eastAsia="仿宋_GB2312"/>
          <w:sz w:val="32"/>
          <w:szCs w:val="32"/>
        </w:rPr>
        <w:t>、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UPS主机及精密配电柜</w:t>
      </w:r>
      <w:r>
        <w:rPr>
          <w:rFonts w:hint="eastAsia" w:ascii="仿宋_GB2312" w:hAnsi="宋体" w:eastAsia="仿宋_GB2312"/>
          <w:sz w:val="32"/>
          <w:szCs w:val="32"/>
        </w:rPr>
        <w:t>等。</w:t>
      </w:r>
    </w:p>
    <w:p w14:paraId="4C0C3868">
      <w:pPr>
        <w:pStyle w:val="3"/>
        <w:spacing w:before="0" w:after="0" w:line="560" w:lineRule="exact"/>
        <w:ind w:firstLine="640"/>
        <w:rPr>
          <w:rFonts w:hint="eastAsia" w:ascii="黑体" w:hAnsi="黑体" w:eastAsia="黑体"/>
          <w:b w:val="0"/>
          <w:bCs w:val="0"/>
          <w:sz w:val="32"/>
        </w:rPr>
      </w:pPr>
      <w:bookmarkStart w:id="4" w:name="_Toc404195402"/>
      <w:bookmarkStart w:id="5" w:name="_Toc406669474"/>
      <w:r>
        <w:rPr>
          <w:rFonts w:hint="eastAsia" w:ascii="黑体" w:hAnsi="黑体" w:eastAsia="黑体"/>
          <w:b w:val="0"/>
          <w:bCs w:val="0"/>
          <w:sz w:val="32"/>
          <w:lang w:eastAsia="zh-CN"/>
        </w:rPr>
        <w:t>三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bookmarkEnd w:id="4"/>
      <w:bookmarkEnd w:id="5"/>
      <w:r>
        <w:rPr>
          <w:rFonts w:hint="eastAsia" w:ascii="黑体" w:hAnsi="黑体" w:eastAsia="黑体"/>
          <w:b w:val="0"/>
          <w:bCs w:val="0"/>
          <w:sz w:val="32"/>
        </w:rPr>
        <w:t>技术要求</w:t>
      </w:r>
    </w:p>
    <w:p w14:paraId="278E5FBE">
      <w:pPr>
        <w:pStyle w:val="9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）项目</w:t>
      </w:r>
      <w:r>
        <w:rPr>
          <w:rFonts w:hint="eastAsia" w:ascii="仿宋_GB2312" w:eastAsia="仿宋_GB2312"/>
          <w:sz w:val="32"/>
          <w:szCs w:val="32"/>
          <w:lang w:eastAsia="zh-CN"/>
        </w:rPr>
        <w:t>维保清单</w:t>
      </w:r>
    </w:p>
    <w:tbl>
      <w:tblPr>
        <w:tblStyle w:val="10"/>
        <w:tblpPr w:leftFromText="180" w:rightFromText="180" w:vertAnchor="text" w:horzAnchor="page" w:tblpXSpec="center" w:tblpY="560"/>
        <w:tblOverlap w:val="never"/>
        <w:tblW w:w="4398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5174"/>
        <w:gridCol w:w="1386"/>
      </w:tblGrid>
      <w:tr w14:paraId="52CCE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tblHeader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E5E5E5"/>
            <w:vAlign w:val="center"/>
          </w:tcPr>
          <w:p w14:paraId="7F081384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345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5E5E5"/>
            <w:vAlign w:val="center"/>
          </w:tcPr>
          <w:p w14:paraId="3C74D414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eastAsia="zh-CN"/>
              </w:rPr>
              <w:t>设备</w:t>
            </w:r>
          </w:p>
        </w:tc>
        <w:tc>
          <w:tcPr>
            <w:tcW w:w="9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E5E5E5"/>
            <w:vAlign w:val="center"/>
          </w:tcPr>
          <w:p w14:paraId="2A6CE0DB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eastAsia="zh-CN"/>
              </w:rPr>
              <w:t>数量</w:t>
            </w:r>
          </w:p>
        </w:tc>
      </w:tr>
      <w:tr w14:paraId="7A8C36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E2DDD">
            <w:pPr>
              <w:spacing w:line="5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2357C9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交换机</w:t>
            </w:r>
          </w:p>
        </w:tc>
        <w:tc>
          <w:tcPr>
            <w:tcW w:w="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3E0C2D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7</w:t>
            </w:r>
          </w:p>
        </w:tc>
      </w:tr>
      <w:tr w14:paraId="7F601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07FEA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55E4CF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小型机</w:t>
            </w:r>
          </w:p>
        </w:tc>
        <w:tc>
          <w:tcPr>
            <w:tcW w:w="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FA249EA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 w14:paraId="15F5AA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49950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BA077D3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防火墙设备</w:t>
            </w:r>
          </w:p>
        </w:tc>
        <w:tc>
          <w:tcPr>
            <w:tcW w:w="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0C1D1A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</w:t>
            </w:r>
          </w:p>
        </w:tc>
      </w:tr>
      <w:tr w14:paraId="62561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3CEC3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068D04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服务器</w:t>
            </w:r>
          </w:p>
        </w:tc>
        <w:tc>
          <w:tcPr>
            <w:tcW w:w="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CA8510">
            <w:pPr>
              <w:spacing w:line="5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25</w:t>
            </w:r>
          </w:p>
        </w:tc>
      </w:tr>
      <w:tr w14:paraId="2435F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4CA3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5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2BACB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存储设备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D34032A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4</w:t>
            </w:r>
          </w:p>
        </w:tc>
      </w:tr>
      <w:tr w14:paraId="1C3D3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91341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073CE0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施耐德精密配电柜</w:t>
            </w:r>
          </w:p>
        </w:tc>
        <w:tc>
          <w:tcPr>
            <w:tcW w:w="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49452C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 w14:paraId="10674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858ED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4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CDD2F">
            <w:pPr>
              <w:spacing w:line="56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施耐德UPS主机</w:t>
            </w:r>
          </w:p>
        </w:tc>
        <w:tc>
          <w:tcPr>
            <w:tcW w:w="9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950260E">
            <w:pPr>
              <w:spacing w:line="56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</w:tbl>
    <w:p w14:paraId="0F86F879"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00F4E468">
      <w:pPr>
        <w:pStyle w:val="9"/>
        <w:spacing w:after="0" w:line="56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注：详细设备清单请联系：余工，电话：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13428937929</w:t>
      </w:r>
    </w:p>
    <w:p w14:paraId="34C726D9"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eastAsia="zh-CN"/>
        </w:rPr>
        <w:t>二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技术要求</w:t>
      </w:r>
    </w:p>
    <w:p w14:paraId="5BC4DF49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1、按照招标人的要求，定期对系统进行维护和升级；</w:t>
      </w:r>
    </w:p>
    <w:p w14:paraId="798C746B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2、根据招标人的业务调整，及时调整系统各项配置内容；</w:t>
      </w:r>
    </w:p>
    <w:p w14:paraId="728CB532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3、系统运行及跟踪服务：包括设备使用操作、保障系统稳定运行、定期培训、需求反馈及问题解答等；</w:t>
      </w:r>
    </w:p>
    <w:p w14:paraId="5AA4C11E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4、系统缺陷修复及完善：包括硬件、系统异常情况处理、数据异常的维护，协调专家与厂商对故障进行检查、故障诊断、分析和排除故障并提供解决方案，配合进行故障修复工作；</w:t>
      </w:r>
    </w:p>
    <w:p w14:paraId="11AAB238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5、定期巡检服务：提供当地运维保障人员每月对系统进行定期巡检，出具巡检报告；对指定的系统硬件设备做定期的检测和维护，包括系统运行状况检测、系统调优、查看和分析日志文件和报警记录等；</w:t>
      </w:r>
    </w:p>
    <w:p w14:paraId="734CBD46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6、性能分析：定期对现有系统的性能分析，包括故障判断，判定系统瓶颈，并提出应采取的措施；</w:t>
      </w:r>
    </w:p>
    <w:p w14:paraId="24573CAA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7、安全修复：定期（每月）对现有系统的出现的安全漏洞，协调厂商进行修复与测试工作，并配合通过信息安全等级保护测评；</w:t>
      </w:r>
    </w:p>
    <w:p w14:paraId="0737265A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8、重大时间点的保障支持：组织足够的技术人员参与运维服务，保证系统正常运行；</w:t>
      </w:r>
    </w:p>
    <w:p w14:paraId="1F34B8CA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9、提供专业的运维服务，包括安全补丁、备件、系统升级、技术支持等。</w:t>
      </w:r>
    </w:p>
    <w:p w14:paraId="1448FA43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10、应急响应服务：紧急响应日常突发事件的问题排查、方案制定及善后处理工作等。</w:t>
      </w:r>
    </w:p>
    <w:p w14:paraId="4555B089">
      <w:pPr>
        <w:pStyle w:val="17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（三）服务要求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B59B169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1、提供免费的、全面、系统、专业化的技术支持、咨询和培训等服务；</w:t>
      </w:r>
    </w:p>
    <w:p w14:paraId="693CD90A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2、提供本地备件库，准备常用的易损备件，常用备件率80%以上；</w:t>
      </w:r>
    </w:p>
    <w:p w14:paraId="2B466D28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3、在签约期内遇到政策变化、技术升级等事项可按要求免费进行程序修改、系统调整；</w:t>
      </w:r>
    </w:p>
    <w:p w14:paraId="51398B4D">
      <w:pPr>
        <w:spacing w:line="360" w:lineRule="auto"/>
        <w:ind w:firstLine="480" w:firstLineChars="150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4、服务响应时间需要满足以下要求：</w:t>
      </w:r>
    </w:p>
    <w:tbl>
      <w:tblPr>
        <w:tblStyle w:val="10"/>
        <w:tblW w:w="8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2104"/>
        <w:gridCol w:w="2144"/>
        <w:gridCol w:w="2082"/>
      </w:tblGrid>
      <w:tr w14:paraId="10EDF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C1FC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硬件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设备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85EB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技术支持时间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8D125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技术支持时间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82FE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到达现场时间</w:t>
            </w:r>
          </w:p>
        </w:tc>
      </w:tr>
      <w:tr w14:paraId="4172D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442F1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服务器设备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6F11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7×24小时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3449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10分钟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222F3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2小时</w:t>
            </w:r>
          </w:p>
        </w:tc>
      </w:tr>
      <w:tr w14:paraId="3B330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94BA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存储设备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607B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7×24小时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A60EB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10分钟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0FC52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2小时</w:t>
            </w:r>
          </w:p>
        </w:tc>
      </w:tr>
      <w:tr w14:paraId="39A12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99F0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安全设备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52D00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7×24小时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B7DD7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10分钟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81E19">
            <w:p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0"/>
                <w:szCs w:val="30"/>
              </w:rPr>
              <w:t>2小时</w:t>
            </w:r>
          </w:p>
        </w:tc>
      </w:tr>
    </w:tbl>
    <w:p w14:paraId="296B38D5">
      <w:pPr>
        <w:spacing w:line="360" w:lineRule="auto"/>
        <w:ind w:firstLine="480" w:firstLineChars="15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5、故障恢复时间需要满足以下要求：</w:t>
      </w:r>
    </w:p>
    <w:tbl>
      <w:tblPr>
        <w:tblStyle w:val="10"/>
        <w:tblW w:w="8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460"/>
        <w:gridCol w:w="1884"/>
      </w:tblGrid>
      <w:tr w14:paraId="6E3E7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E2490"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一级故障事件</w:t>
            </w:r>
          </w:p>
        </w:tc>
        <w:tc>
          <w:tcPr>
            <w:tcW w:w="4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13CBB2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现有的系统宕机，使竞价系统无法正常提供服务、竞价系统的正常业务运作产生重大影响的重大事件。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744A7"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24小时内恢复</w:t>
            </w:r>
          </w:p>
        </w:tc>
      </w:tr>
      <w:tr w14:paraId="4F95B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9B762"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二级故障事件</w:t>
            </w:r>
          </w:p>
        </w:tc>
        <w:tc>
          <w:tcPr>
            <w:tcW w:w="4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40175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现有系统的操作性能严重降低，或由于网络性能失常或安全事件严重影响竞价系统运作，造成一定范围的不良影响的事件。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7822E"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48小时内恢复</w:t>
            </w:r>
          </w:p>
        </w:tc>
      </w:tr>
      <w:tr w14:paraId="30758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5825C"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三级故障事件</w:t>
            </w:r>
          </w:p>
        </w:tc>
        <w:tc>
          <w:tcPr>
            <w:tcW w:w="4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CB927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系统的操作性能受损，例如病毒在小范围内发作，或部分系统业务受到影响，但大部分业务运作仍可正常工作，造成较小范围不良影响的事件。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0902D">
            <w:p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72小时内恢复</w:t>
            </w:r>
          </w:p>
        </w:tc>
      </w:tr>
    </w:tbl>
    <w:p w14:paraId="665912B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BF26E6B">
      <w:pPr>
        <w:pStyle w:val="3"/>
        <w:spacing w:before="0" w:after="0" w:line="560" w:lineRule="exact"/>
        <w:ind w:firstLine="640"/>
        <w:rPr>
          <w:rFonts w:hint="eastAsia" w:ascii="黑体" w:hAnsi="黑体" w:eastAsia="黑体"/>
          <w:b w:val="0"/>
          <w:bCs w:val="0"/>
          <w:sz w:val="32"/>
        </w:rPr>
      </w:pPr>
      <w:r>
        <w:rPr>
          <w:rFonts w:hint="eastAsia" w:ascii="黑体" w:hAnsi="黑体" w:eastAsia="黑体"/>
          <w:b w:val="0"/>
          <w:bCs w:val="0"/>
          <w:sz w:val="32"/>
          <w:lang w:eastAsia="zh-CN"/>
        </w:rPr>
        <w:t>四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r>
        <w:rPr>
          <w:rFonts w:hint="eastAsia" w:ascii="黑体" w:hAnsi="黑体" w:eastAsia="黑体"/>
          <w:b w:val="0"/>
          <w:bCs w:val="0"/>
          <w:sz w:val="32"/>
          <w:lang w:eastAsia="zh-CN"/>
        </w:rPr>
        <w:t>商务要</w:t>
      </w:r>
      <w:r>
        <w:rPr>
          <w:rFonts w:hint="eastAsia" w:ascii="黑体" w:hAnsi="黑体" w:eastAsia="黑体"/>
          <w:b w:val="0"/>
          <w:bCs w:val="0"/>
          <w:sz w:val="32"/>
        </w:rPr>
        <w:t>求</w:t>
      </w:r>
    </w:p>
    <w:p w14:paraId="7B5E6118"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意向合作方应为</w:t>
      </w:r>
      <w:r>
        <w:rPr>
          <w:rFonts w:hint="eastAsia" w:ascii="仿宋_GB2312" w:eastAsia="仿宋_GB2312"/>
          <w:sz w:val="32"/>
          <w:szCs w:val="32"/>
        </w:rPr>
        <w:t>在中华人民共和国注册的法人机构或其他组织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具有拟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合作</w:t>
      </w:r>
      <w:r>
        <w:rPr>
          <w:rFonts w:hint="eastAsia" w:ascii="仿宋_GB2312" w:eastAsia="仿宋_GB2312"/>
          <w:sz w:val="32"/>
          <w:szCs w:val="32"/>
        </w:rPr>
        <w:t>内容相关项目经验。</w:t>
      </w:r>
    </w:p>
    <w:p w14:paraId="1B1D6619"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lang w:eastAsia="zh-CN"/>
        </w:rPr>
        <w:t>五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r>
        <w:rPr>
          <w:rFonts w:hint="eastAsia" w:ascii="黑体" w:hAnsi="黑体" w:eastAsia="黑体"/>
          <w:b w:val="0"/>
          <w:bCs w:val="0"/>
          <w:sz w:val="32"/>
          <w:lang w:eastAsia="zh-CN"/>
        </w:rPr>
        <w:t>报价要求</w:t>
      </w:r>
    </w:p>
    <w:p w14:paraId="4D1184C9"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本次征集联交所机房设备维保服务，请有意向供应商按公告联系方式获取具体设备清单，按要求进行报价。</w:t>
      </w:r>
    </w:p>
    <w:p w14:paraId="31AE10A2"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sz w:val="32"/>
          <w:lang w:eastAsia="zh-CN"/>
        </w:rPr>
        <w:t>六</w:t>
      </w:r>
      <w:r>
        <w:rPr>
          <w:rFonts w:hint="eastAsia" w:ascii="黑体" w:hAnsi="黑体" w:eastAsia="黑体"/>
          <w:b w:val="0"/>
          <w:bCs w:val="0"/>
          <w:sz w:val="32"/>
        </w:rPr>
        <w:t>、</w:t>
      </w:r>
      <w:r>
        <w:rPr>
          <w:rFonts w:hint="eastAsia" w:ascii="黑体" w:hAnsi="黑体" w:eastAsia="黑体"/>
          <w:b w:val="0"/>
          <w:bCs w:val="0"/>
          <w:sz w:val="32"/>
          <w:lang w:eastAsia="zh-CN"/>
        </w:rPr>
        <w:t>有效期</w:t>
      </w:r>
    </w:p>
    <w:p w14:paraId="79CCF310">
      <w:pPr>
        <w:pStyle w:val="9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本公告发起之日起五个工作日内。</w:t>
      </w:r>
    </w:p>
    <w:p w14:paraId="3F37C6B6">
      <w:pPr>
        <w:pStyle w:val="9"/>
        <w:spacing w:after="0" w:line="560" w:lineRule="exact"/>
        <w:ind w:firstLine="640" w:firstLineChars="200"/>
        <w:rPr>
          <w:rFonts w:hint="eastAsia" w:ascii="黑体" w:hAnsi="黑体" w:eastAsia="黑体"/>
          <w:b w:val="0"/>
          <w:bCs w:val="0"/>
          <w:sz w:val="32"/>
          <w:lang w:eastAsia="zh-CN"/>
        </w:rPr>
      </w:pPr>
      <w:r>
        <w:rPr>
          <w:rFonts w:hint="eastAsia" w:ascii="黑体" w:hAnsi="黑体" w:eastAsia="黑体"/>
          <w:b w:val="0"/>
          <w:bCs w:val="0"/>
          <w:sz w:val="32"/>
          <w:lang w:eastAsia="zh-CN"/>
        </w:rPr>
        <w:t>七、其他</w:t>
      </w:r>
    </w:p>
    <w:p w14:paraId="7E05A22A">
      <w:pPr>
        <w:pStyle w:val="9"/>
        <w:spacing w:after="0" w:line="560" w:lineRule="exact"/>
        <w:ind w:firstLine="640" w:firstLineChars="200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本公告仅用于意向征集，不构成任何要约或要约邀请，实际项目采购、建设方</w:t>
      </w:r>
      <w:bookmarkStart w:id="6" w:name="_GoBack"/>
      <w:bookmarkEnd w:id="6"/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式、预算等根据征集情况另行确定。</w:t>
      </w:r>
    </w:p>
    <w:p w14:paraId="7BF0A430">
      <w:pPr>
        <w:pStyle w:val="8"/>
        <w:keepNext w:val="0"/>
        <w:keepLines w:val="0"/>
        <w:widowControl/>
        <w:suppressLineNumbers w:val="0"/>
        <w:shd w:val="clear" w:fill="FFFFFF"/>
        <w:spacing w:line="555" w:lineRule="atLeast"/>
        <w:ind w:left="0" w:firstLine="195"/>
        <w:jc w:val="both"/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如有意向，请填写附件表格并加盖公章后发至指定邮箱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:yuhuimeng@sotcbb.com，chenlixia@sotcbb.com，联系人：余工，电话：13428937929。</w:t>
      </w:r>
    </w:p>
    <w:p w14:paraId="03E4CFFD">
      <w:pPr>
        <w:pStyle w:val="9"/>
        <w:spacing w:after="0" w:line="56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 w14:paraId="56433C54">
      <w:pPr>
        <w:pStyle w:val="9"/>
        <w:spacing w:after="0" w:line="560" w:lineRule="exact"/>
        <w:ind w:left="0" w:leftChars="0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附件：深圳深圳联合产权交易所机房设备维保项目意向供应商响应文件</w:t>
      </w:r>
    </w:p>
    <w:p w14:paraId="4487CDB2">
      <w:pPr>
        <w:pStyle w:val="9"/>
        <w:spacing w:after="0" w:line="560" w:lineRule="exact"/>
        <w:ind w:left="638" w:leftChars="304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 w14:paraId="5189F451">
      <w:pPr>
        <w:pStyle w:val="9"/>
        <w:spacing w:after="0" w:line="560" w:lineRule="exact"/>
        <w:ind w:left="638" w:leftChars="304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 w14:paraId="6FFC8BF3">
      <w:pPr>
        <w:pStyle w:val="9"/>
        <w:spacing w:after="0" w:line="560" w:lineRule="exact"/>
        <w:ind w:left="638" w:leftChars="304" w:firstLine="0" w:firstLineChars="0"/>
        <w:rPr>
          <w:rFonts w:hint="eastAsia" w:ascii="仿宋_GB2312" w:eastAsia="仿宋_GB2312"/>
          <w:sz w:val="32"/>
          <w:szCs w:val="32"/>
          <w:lang w:eastAsia="zh-CN"/>
        </w:rPr>
      </w:pPr>
    </w:p>
    <w:p w14:paraId="2446E82E"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0" w:firstLineChars="0"/>
        <w:jc w:val="righ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深圳联合产权交易所股份有限公司</w:t>
      </w:r>
    </w:p>
    <w:p w14:paraId="68D7BEA5">
      <w:pPr>
        <w:pStyle w:val="2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firstLine="0" w:firstLineChars="0"/>
        <w:jc w:val="righ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 xml:space="preserve"> 2025年11月18日      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宋体"/>
    <w:panose1 w:val="0201060901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76844895"/>
    </w:sdtPr>
    <w:sdtContent>
      <w:p w14:paraId="6BC47BF9">
        <w:pPr>
          <w:pStyle w:val="6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F2C5F30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58D40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08491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0B203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68D0C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5270BB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mMTAzYjdhNDI1ZjA5NjczMDI2MDY0MDM2NDJiMTEifQ=="/>
    <w:docVar w:name="KSO_WPS_MARK_KEY" w:val="a2a79803-4661-405a-84a2-449864103fb7"/>
  </w:docVars>
  <w:rsids>
    <w:rsidRoot w:val="1DB52C0F"/>
    <w:rsid w:val="0000314E"/>
    <w:rsid w:val="00006708"/>
    <w:rsid w:val="00012006"/>
    <w:rsid w:val="00014730"/>
    <w:rsid w:val="00015933"/>
    <w:rsid w:val="00093D53"/>
    <w:rsid w:val="000A7342"/>
    <w:rsid w:val="000D3E25"/>
    <w:rsid w:val="000E4881"/>
    <w:rsid w:val="000E725E"/>
    <w:rsid w:val="000F5BBE"/>
    <w:rsid w:val="001001BC"/>
    <w:rsid w:val="00110E14"/>
    <w:rsid w:val="0012310B"/>
    <w:rsid w:val="00123F98"/>
    <w:rsid w:val="001374E3"/>
    <w:rsid w:val="0014095D"/>
    <w:rsid w:val="001508A1"/>
    <w:rsid w:val="001A33B0"/>
    <w:rsid w:val="001B7C43"/>
    <w:rsid w:val="001C0D90"/>
    <w:rsid w:val="001C1650"/>
    <w:rsid w:val="001E2DB6"/>
    <w:rsid w:val="001F44B9"/>
    <w:rsid w:val="002168FA"/>
    <w:rsid w:val="00224C21"/>
    <w:rsid w:val="00241FA8"/>
    <w:rsid w:val="00246FC0"/>
    <w:rsid w:val="0024762B"/>
    <w:rsid w:val="00265F60"/>
    <w:rsid w:val="002801EE"/>
    <w:rsid w:val="00295327"/>
    <w:rsid w:val="00296841"/>
    <w:rsid w:val="002A6818"/>
    <w:rsid w:val="002D4104"/>
    <w:rsid w:val="002D420E"/>
    <w:rsid w:val="002E3CE3"/>
    <w:rsid w:val="002F210C"/>
    <w:rsid w:val="002F6A69"/>
    <w:rsid w:val="002F7805"/>
    <w:rsid w:val="00304B4C"/>
    <w:rsid w:val="003307A8"/>
    <w:rsid w:val="00334E85"/>
    <w:rsid w:val="003501C5"/>
    <w:rsid w:val="00352C5A"/>
    <w:rsid w:val="003609C3"/>
    <w:rsid w:val="003733DF"/>
    <w:rsid w:val="003C0534"/>
    <w:rsid w:val="003C5CA0"/>
    <w:rsid w:val="003F096A"/>
    <w:rsid w:val="003F1AD9"/>
    <w:rsid w:val="003F4D2B"/>
    <w:rsid w:val="003F61AF"/>
    <w:rsid w:val="004021A5"/>
    <w:rsid w:val="00405B5F"/>
    <w:rsid w:val="004167B4"/>
    <w:rsid w:val="00421A02"/>
    <w:rsid w:val="00456EC8"/>
    <w:rsid w:val="00463CDB"/>
    <w:rsid w:val="0047767C"/>
    <w:rsid w:val="00477F4D"/>
    <w:rsid w:val="00492AA5"/>
    <w:rsid w:val="004A5A1F"/>
    <w:rsid w:val="004B14DA"/>
    <w:rsid w:val="004B78D7"/>
    <w:rsid w:val="004C73FA"/>
    <w:rsid w:val="004D2426"/>
    <w:rsid w:val="004E1862"/>
    <w:rsid w:val="004E4764"/>
    <w:rsid w:val="004F51BB"/>
    <w:rsid w:val="0050052E"/>
    <w:rsid w:val="00500B0E"/>
    <w:rsid w:val="005237A1"/>
    <w:rsid w:val="0052411E"/>
    <w:rsid w:val="0055628F"/>
    <w:rsid w:val="00566969"/>
    <w:rsid w:val="0057171F"/>
    <w:rsid w:val="00585D3B"/>
    <w:rsid w:val="005A49F8"/>
    <w:rsid w:val="005A62D6"/>
    <w:rsid w:val="005B75A9"/>
    <w:rsid w:val="005C5367"/>
    <w:rsid w:val="005D06B6"/>
    <w:rsid w:val="005D3EF0"/>
    <w:rsid w:val="005D763C"/>
    <w:rsid w:val="00601668"/>
    <w:rsid w:val="00601FA8"/>
    <w:rsid w:val="00606E55"/>
    <w:rsid w:val="006644CD"/>
    <w:rsid w:val="0066553C"/>
    <w:rsid w:val="00676A47"/>
    <w:rsid w:val="006A53A8"/>
    <w:rsid w:val="006B6786"/>
    <w:rsid w:val="006D49A6"/>
    <w:rsid w:val="006E4FB6"/>
    <w:rsid w:val="006F2206"/>
    <w:rsid w:val="006F39BB"/>
    <w:rsid w:val="00707694"/>
    <w:rsid w:val="00752395"/>
    <w:rsid w:val="007639E8"/>
    <w:rsid w:val="00765E44"/>
    <w:rsid w:val="00770698"/>
    <w:rsid w:val="0078411D"/>
    <w:rsid w:val="00791CD7"/>
    <w:rsid w:val="0079282D"/>
    <w:rsid w:val="0079509D"/>
    <w:rsid w:val="007A120B"/>
    <w:rsid w:val="007C0D84"/>
    <w:rsid w:val="007D1DA8"/>
    <w:rsid w:val="007D2BA4"/>
    <w:rsid w:val="007F21B3"/>
    <w:rsid w:val="008032CD"/>
    <w:rsid w:val="00837DE6"/>
    <w:rsid w:val="00840852"/>
    <w:rsid w:val="00844D78"/>
    <w:rsid w:val="00847B24"/>
    <w:rsid w:val="008637CF"/>
    <w:rsid w:val="00864528"/>
    <w:rsid w:val="00871D8E"/>
    <w:rsid w:val="00876AE1"/>
    <w:rsid w:val="008949F0"/>
    <w:rsid w:val="008B7B96"/>
    <w:rsid w:val="008B7C4B"/>
    <w:rsid w:val="008C36C3"/>
    <w:rsid w:val="008C5ED4"/>
    <w:rsid w:val="008D67AE"/>
    <w:rsid w:val="008F49F6"/>
    <w:rsid w:val="00910DB0"/>
    <w:rsid w:val="0091257C"/>
    <w:rsid w:val="0092569A"/>
    <w:rsid w:val="00934549"/>
    <w:rsid w:val="009365D5"/>
    <w:rsid w:val="00947D8C"/>
    <w:rsid w:val="0095168A"/>
    <w:rsid w:val="00971B34"/>
    <w:rsid w:val="009B0CF7"/>
    <w:rsid w:val="009C016D"/>
    <w:rsid w:val="009C2546"/>
    <w:rsid w:val="00A04DC3"/>
    <w:rsid w:val="00A32ACB"/>
    <w:rsid w:val="00A364DC"/>
    <w:rsid w:val="00A40419"/>
    <w:rsid w:val="00A411F3"/>
    <w:rsid w:val="00A60200"/>
    <w:rsid w:val="00A7357E"/>
    <w:rsid w:val="00A77359"/>
    <w:rsid w:val="00A80351"/>
    <w:rsid w:val="00A937DC"/>
    <w:rsid w:val="00A97C29"/>
    <w:rsid w:val="00AA5B1C"/>
    <w:rsid w:val="00AB3A9F"/>
    <w:rsid w:val="00AB612C"/>
    <w:rsid w:val="00AC3FCE"/>
    <w:rsid w:val="00AD1B2D"/>
    <w:rsid w:val="00AD547A"/>
    <w:rsid w:val="00AD7517"/>
    <w:rsid w:val="00AE4E4A"/>
    <w:rsid w:val="00AE6DC2"/>
    <w:rsid w:val="00AF7732"/>
    <w:rsid w:val="00B1267E"/>
    <w:rsid w:val="00B249EB"/>
    <w:rsid w:val="00B401B8"/>
    <w:rsid w:val="00B40E65"/>
    <w:rsid w:val="00B426C3"/>
    <w:rsid w:val="00B64590"/>
    <w:rsid w:val="00B73414"/>
    <w:rsid w:val="00B76EC5"/>
    <w:rsid w:val="00BB589A"/>
    <w:rsid w:val="00BB62A5"/>
    <w:rsid w:val="00BC0AD2"/>
    <w:rsid w:val="00BC1596"/>
    <w:rsid w:val="00BF119C"/>
    <w:rsid w:val="00C162B1"/>
    <w:rsid w:val="00C30377"/>
    <w:rsid w:val="00C30EB4"/>
    <w:rsid w:val="00C4390E"/>
    <w:rsid w:val="00C43B29"/>
    <w:rsid w:val="00C452E8"/>
    <w:rsid w:val="00C46885"/>
    <w:rsid w:val="00C55AE5"/>
    <w:rsid w:val="00C90A7E"/>
    <w:rsid w:val="00C92C7E"/>
    <w:rsid w:val="00CA0CF6"/>
    <w:rsid w:val="00CB2AF4"/>
    <w:rsid w:val="00CC5A52"/>
    <w:rsid w:val="00CE318D"/>
    <w:rsid w:val="00CE76C3"/>
    <w:rsid w:val="00CF4FBF"/>
    <w:rsid w:val="00D0357F"/>
    <w:rsid w:val="00D21783"/>
    <w:rsid w:val="00D34FCE"/>
    <w:rsid w:val="00D47EA7"/>
    <w:rsid w:val="00D5273A"/>
    <w:rsid w:val="00D72910"/>
    <w:rsid w:val="00DA6C00"/>
    <w:rsid w:val="00DB0EC1"/>
    <w:rsid w:val="00DB3A7F"/>
    <w:rsid w:val="00DC4DB1"/>
    <w:rsid w:val="00DC67AC"/>
    <w:rsid w:val="00DF3644"/>
    <w:rsid w:val="00E11386"/>
    <w:rsid w:val="00E302BE"/>
    <w:rsid w:val="00E37E76"/>
    <w:rsid w:val="00E449D6"/>
    <w:rsid w:val="00E46B44"/>
    <w:rsid w:val="00E54374"/>
    <w:rsid w:val="00E57C52"/>
    <w:rsid w:val="00E61ECF"/>
    <w:rsid w:val="00E62ACD"/>
    <w:rsid w:val="00E702A0"/>
    <w:rsid w:val="00E723C3"/>
    <w:rsid w:val="00E80065"/>
    <w:rsid w:val="00EA1987"/>
    <w:rsid w:val="00EA58A1"/>
    <w:rsid w:val="00EA5BF0"/>
    <w:rsid w:val="00EA72A0"/>
    <w:rsid w:val="00EB5058"/>
    <w:rsid w:val="00EC4252"/>
    <w:rsid w:val="00ED31AA"/>
    <w:rsid w:val="00ED5378"/>
    <w:rsid w:val="00ED7FF4"/>
    <w:rsid w:val="00EE17D8"/>
    <w:rsid w:val="00EF4F6F"/>
    <w:rsid w:val="00EF60C0"/>
    <w:rsid w:val="00F00F83"/>
    <w:rsid w:val="00F100FE"/>
    <w:rsid w:val="00F102B9"/>
    <w:rsid w:val="00F143D0"/>
    <w:rsid w:val="00F30457"/>
    <w:rsid w:val="00F31251"/>
    <w:rsid w:val="00F359CB"/>
    <w:rsid w:val="00F415C5"/>
    <w:rsid w:val="00F64109"/>
    <w:rsid w:val="00F84482"/>
    <w:rsid w:val="00F937C9"/>
    <w:rsid w:val="00FA2D10"/>
    <w:rsid w:val="00FC1407"/>
    <w:rsid w:val="00FC1855"/>
    <w:rsid w:val="00FC699F"/>
    <w:rsid w:val="00FD169F"/>
    <w:rsid w:val="00FD7FEC"/>
    <w:rsid w:val="00FF0C6D"/>
    <w:rsid w:val="0225651D"/>
    <w:rsid w:val="02674DD0"/>
    <w:rsid w:val="02E82741"/>
    <w:rsid w:val="04584074"/>
    <w:rsid w:val="05147C3C"/>
    <w:rsid w:val="07033BAC"/>
    <w:rsid w:val="0762713B"/>
    <w:rsid w:val="07EC4BEA"/>
    <w:rsid w:val="09551409"/>
    <w:rsid w:val="099D7D2C"/>
    <w:rsid w:val="0C325A99"/>
    <w:rsid w:val="0E82650B"/>
    <w:rsid w:val="0F095A37"/>
    <w:rsid w:val="10352792"/>
    <w:rsid w:val="10516A06"/>
    <w:rsid w:val="10E64C92"/>
    <w:rsid w:val="11CD523F"/>
    <w:rsid w:val="133B07BF"/>
    <w:rsid w:val="13B8465A"/>
    <w:rsid w:val="14A04432"/>
    <w:rsid w:val="150D6238"/>
    <w:rsid w:val="15124286"/>
    <w:rsid w:val="15E43E66"/>
    <w:rsid w:val="17DD3D91"/>
    <w:rsid w:val="188F3422"/>
    <w:rsid w:val="18C2085D"/>
    <w:rsid w:val="1A6F38CC"/>
    <w:rsid w:val="1B2467F0"/>
    <w:rsid w:val="1BB35DBD"/>
    <w:rsid w:val="1C0550B5"/>
    <w:rsid w:val="1D1B089A"/>
    <w:rsid w:val="1D2D2AA6"/>
    <w:rsid w:val="1DA01140"/>
    <w:rsid w:val="1DA82F09"/>
    <w:rsid w:val="1DB52C0F"/>
    <w:rsid w:val="1E8461F1"/>
    <w:rsid w:val="1F924895"/>
    <w:rsid w:val="1FC90663"/>
    <w:rsid w:val="208D2D95"/>
    <w:rsid w:val="226C4A28"/>
    <w:rsid w:val="23B01B82"/>
    <w:rsid w:val="2591111E"/>
    <w:rsid w:val="25BD5676"/>
    <w:rsid w:val="25DF0E2D"/>
    <w:rsid w:val="26DA713B"/>
    <w:rsid w:val="277E2C99"/>
    <w:rsid w:val="2B190844"/>
    <w:rsid w:val="2B34320F"/>
    <w:rsid w:val="2B807273"/>
    <w:rsid w:val="2BC748AF"/>
    <w:rsid w:val="2BCC4267"/>
    <w:rsid w:val="2D196A9E"/>
    <w:rsid w:val="2D1F7F26"/>
    <w:rsid w:val="2D221D79"/>
    <w:rsid w:val="2DD460B8"/>
    <w:rsid w:val="2E0C310F"/>
    <w:rsid w:val="2F4F0A2B"/>
    <w:rsid w:val="2F8E2738"/>
    <w:rsid w:val="304B5C1B"/>
    <w:rsid w:val="318F4387"/>
    <w:rsid w:val="323B48BA"/>
    <w:rsid w:val="3243451A"/>
    <w:rsid w:val="32C67299"/>
    <w:rsid w:val="335A4557"/>
    <w:rsid w:val="35BD3A6F"/>
    <w:rsid w:val="374708CC"/>
    <w:rsid w:val="38716F8D"/>
    <w:rsid w:val="38953AC8"/>
    <w:rsid w:val="38D77FCD"/>
    <w:rsid w:val="39572A38"/>
    <w:rsid w:val="3AAA024B"/>
    <w:rsid w:val="3B682342"/>
    <w:rsid w:val="3B8807DC"/>
    <w:rsid w:val="3BAD5578"/>
    <w:rsid w:val="3BF50BB7"/>
    <w:rsid w:val="3C246F62"/>
    <w:rsid w:val="3C526A0A"/>
    <w:rsid w:val="3C55677D"/>
    <w:rsid w:val="3D1D4DAA"/>
    <w:rsid w:val="3E674987"/>
    <w:rsid w:val="40A806BA"/>
    <w:rsid w:val="40D93256"/>
    <w:rsid w:val="41440EF1"/>
    <w:rsid w:val="41A26CF5"/>
    <w:rsid w:val="42402B63"/>
    <w:rsid w:val="42C42797"/>
    <w:rsid w:val="436B6BC5"/>
    <w:rsid w:val="462732B0"/>
    <w:rsid w:val="4682615B"/>
    <w:rsid w:val="46E47370"/>
    <w:rsid w:val="471D263E"/>
    <w:rsid w:val="47D62067"/>
    <w:rsid w:val="47DD4738"/>
    <w:rsid w:val="4888388C"/>
    <w:rsid w:val="49592DB9"/>
    <w:rsid w:val="496A5A69"/>
    <w:rsid w:val="4B336D84"/>
    <w:rsid w:val="4C5152ED"/>
    <w:rsid w:val="4DDD1451"/>
    <w:rsid w:val="4EB002A9"/>
    <w:rsid w:val="5066048A"/>
    <w:rsid w:val="50BC17B3"/>
    <w:rsid w:val="51526479"/>
    <w:rsid w:val="517562EF"/>
    <w:rsid w:val="51FE11CB"/>
    <w:rsid w:val="52956A64"/>
    <w:rsid w:val="52F51E30"/>
    <w:rsid w:val="54653739"/>
    <w:rsid w:val="54C80841"/>
    <w:rsid w:val="54F1682A"/>
    <w:rsid w:val="560F0729"/>
    <w:rsid w:val="571D00BA"/>
    <w:rsid w:val="57BB47FC"/>
    <w:rsid w:val="58C1407C"/>
    <w:rsid w:val="5C992808"/>
    <w:rsid w:val="5CAC12FC"/>
    <w:rsid w:val="5CEA0CD8"/>
    <w:rsid w:val="5D21324C"/>
    <w:rsid w:val="5DFB7BA1"/>
    <w:rsid w:val="5E032D25"/>
    <w:rsid w:val="60A97E04"/>
    <w:rsid w:val="618B700B"/>
    <w:rsid w:val="61AD727E"/>
    <w:rsid w:val="625569A9"/>
    <w:rsid w:val="629673D7"/>
    <w:rsid w:val="657C2E6F"/>
    <w:rsid w:val="66CC5F6E"/>
    <w:rsid w:val="66D949E0"/>
    <w:rsid w:val="67305040"/>
    <w:rsid w:val="688B391F"/>
    <w:rsid w:val="68D6136A"/>
    <w:rsid w:val="6E565963"/>
    <w:rsid w:val="6ED30D0D"/>
    <w:rsid w:val="6F035C80"/>
    <w:rsid w:val="6F3235DE"/>
    <w:rsid w:val="6FDE6B28"/>
    <w:rsid w:val="6FE06646"/>
    <w:rsid w:val="70175A91"/>
    <w:rsid w:val="70700C31"/>
    <w:rsid w:val="72785A42"/>
    <w:rsid w:val="72DA05FA"/>
    <w:rsid w:val="73B82616"/>
    <w:rsid w:val="73F84FA8"/>
    <w:rsid w:val="74FD067F"/>
    <w:rsid w:val="75042F2C"/>
    <w:rsid w:val="75771DB1"/>
    <w:rsid w:val="77770FA9"/>
    <w:rsid w:val="78B50865"/>
    <w:rsid w:val="78C30BFB"/>
    <w:rsid w:val="7BB01F03"/>
    <w:rsid w:val="7CF07CC4"/>
    <w:rsid w:val="7DE22E07"/>
    <w:rsid w:val="7ECA395B"/>
    <w:rsid w:val="7F884698"/>
    <w:rsid w:val="7FA4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120" w:after="120"/>
      <w:outlineLvl w:val="2"/>
    </w:pPr>
    <w:rPr>
      <w:b/>
      <w:bCs/>
      <w:sz w:val="24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1"/>
    <w:pPr>
      <w:spacing w:after="120"/>
    </w:p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5"/>
    <w:qFormat/>
    <w:uiPriority w:val="0"/>
    <w:pPr>
      <w:ind w:firstLine="420" w:firstLineChars="100"/>
    </w:pPr>
  </w:style>
  <w:style w:type="character" w:styleId="12">
    <w:name w:val="annotation reference"/>
    <w:basedOn w:val="11"/>
    <w:qFormat/>
    <w:uiPriority w:val="0"/>
    <w:rPr>
      <w:sz w:val="21"/>
      <w:szCs w:val="21"/>
    </w:rPr>
  </w:style>
  <w:style w:type="character" w:customStyle="1" w:styleId="13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1"/>
    <w:link w:val="6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/>
    </w:pPr>
  </w:style>
  <w:style w:type="paragraph" w:customStyle="1" w:styleId="16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CM60"/>
    <w:basedOn w:val="18"/>
    <w:next w:val="1"/>
    <w:qFormat/>
    <w:uiPriority w:val="0"/>
    <w:pPr>
      <w:spacing w:after="60"/>
    </w:pPr>
    <w:rPr>
      <w:rFonts w:ascii="宋体" w:eastAsia="宋体"/>
      <w:color w:val="auto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1412</Words>
  <Characters>1492</Characters>
  <Lines>82</Lines>
  <Paragraphs>23</Paragraphs>
  <TotalTime>33</TotalTime>
  <ScaleCrop>false</ScaleCrop>
  <LinksUpToDate>false</LinksUpToDate>
  <CharactersWithSpaces>1506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2024-07-31T08:04:00Z</dcterms:created>
  <dc:creator>卓柏刚</dc:creator>
  <cp:lastModifiedBy>PuiKuen_Ko</cp:lastModifiedBy>
  <cp:lastPrinted>2024-09-10T03:47:00Z</cp:lastPrinted>
  <dcterms:modified xsi:type="dcterms:W3CDTF">2025-11-18T03:20:09Z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D1D0EB7EC74B48AF8CDE35167B6275ED</vt:lpwstr>
  </property>
  <property fmtid="{D5CDD505-2E9C-101B-9397-08002B2CF9AE}" pid="4" name="KSOTemplateDocerSaveRecord">
    <vt:lpwstr>eyJoZGlkIjoiODU4NDYxNDY4MWI1YzM3NTM1NDZkYTcwYmUxYmY2NTMiLCJ1c2VySWQiOiIyMzI2MDg4MjEifQ==</vt:lpwstr>
  </property>
</Properties>
</file>