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overflowPunct/>
        <w:topLinePunct w:val="0"/>
        <w:autoSpaceDE/>
        <w:autoSpaceDN/>
        <w:bidi w:val="0"/>
        <w:jc w:val="center"/>
        <w:rPr>
          <w:rFonts w:hint="eastAsia" w:ascii="黑体" w:hAnsi="黑体" w:eastAsia="黑体" w:cs="黑体"/>
          <w:b/>
          <w:color w:val="auto"/>
          <w:sz w:val="32"/>
          <w:szCs w:val="32"/>
          <w:highlight w:val="none"/>
          <w:lang w:eastAsia="zh-CN"/>
        </w:rPr>
      </w:pPr>
      <w:bookmarkStart w:id="0" w:name="_GoBack"/>
      <w:bookmarkEnd w:id="0"/>
      <w:r>
        <w:rPr>
          <w:rFonts w:hint="eastAsia" w:ascii="黑体" w:hAnsi="黑体" w:eastAsia="黑体" w:cs="黑体"/>
          <w:b/>
          <w:color w:val="auto"/>
          <w:sz w:val="44"/>
          <w:szCs w:val="44"/>
          <w:highlight w:val="none"/>
        </w:rPr>
        <w:t>服务类项目采购需求</w:t>
      </w:r>
      <w:r>
        <w:rPr>
          <w:rFonts w:hint="eastAsia" w:ascii="黑体" w:hAnsi="黑体" w:eastAsia="黑体" w:cs="黑体"/>
          <w:b/>
          <w:color w:val="auto"/>
          <w:sz w:val="44"/>
          <w:szCs w:val="44"/>
          <w:highlight w:val="none"/>
          <w:lang w:eastAsia="zh-CN"/>
        </w:rPr>
        <w:t>申报书</w:t>
      </w:r>
    </w:p>
    <w:tbl>
      <w:tblPr>
        <w:tblStyle w:val="6"/>
        <w:tblW w:w="89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60"/>
        <w:gridCol w:w="850"/>
        <w:gridCol w:w="2930"/>
        <w:gridCol w:w="1366"/>
        <w:gridCol w:w="2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项目名称</w:t>
            </w:r>
          </w:p>
        </w:tc>
        <w:tc>
          <w:tcPr>
            <w:tcW w:w="7407"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宋体" w:hAnsi="宋体" w:eastAsia="宋体" w:cs="宋体"/>
                <w:color w:val="000000"/>
              </w:rPr>
              <w:t>2025年光明区地质灾害和危险边坡防治管理平台运行维护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7"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采购人名称</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宋体" w:hAnsi="宋体" w:eastAsia="宋体" w:cs="宋体"/>
                <w:color w:val="000000"/>
              </w:rPr>
              <w:t>深圳市规划和自然资源局光明管理局</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采购方式</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宋体" w:cs="仿宋"/>
                <w:color w:val="auto"/>
                <w:szCs w:val="21"/>
                <w:highlight w:val="none"/>
                <w:lang w:eastAsia="zh-CN"/>
              </w:rPr>
            </w:pPr>
            <w:r>
              <w:rPr>
                <w:rFonts w:hint="eastAsia" w:ascii="宋体" w:hAnsi="宋体" w:eastAsia="宋体" w:cs="宋体"/>
                <w:color w:val="000000"/>
              </w:rPr>
              <w:t>自行采购</w:t>
            </w:r>
            <w:r>
              <w:rPr>
                <w:rFonts w:hint="eastAsia" w:ascii="宋体" w:hAnsi="宋体" w:cs="宋体"/>
                <w:color w:val="000000"/>
                <w:lang w:eastAsia="zh-CN"/>
              </w:rPr>
              <w:t>（询价）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计划立项批文号</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资金来源</w:t>
            </w: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区政府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8"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b/>
                <w:color w:val="auto"/>
                <w:szCs w:val="21"/>
                <w:highlight w:val="none"/>
              </w:rPr>
              <w:t>*</w:t>
            </w:r>
            <w:r>
              <w:rPr>
                <w:rFonts w:hint="eastAsia" w:ascii="仿宋" w:hAnsi="仿宋" w:eastAsia="仿宋" w:cs="仿宋"/>
                <w:color w:val="auto"/>
                <w:szCs w:val="21"/>
                <w:highlight w:val="none"/>
              </w:rPr>
              <w:t>财政预算限额（元）</w:t>
            </w:r>
          </w:p>
        </w:tc>
        <w:tc>
          <w:tcPr>
            <w:tcW w:w="3780" w:type="dxa"/>
            <w:gridSpan w:val="2"/>
            <w:noWrap w:val="0"/>
            <w:vAlign w:val="center"/>
          </w:tcPr>
          <w:p>
            <w:pPr>
              <w:keepNext w:val="0"/>
              <w:keepLines w:val="0"/>
              <w:pageBreakBefore w:val="0"/>
              <w:widowControl w:val="0"/>
              <w:kinsoku/>
              <w:overflowPunct/>
              <w:topLinePunct w:val="0"/>
              <w:autoSpaceDE/>
              <w:autoSpaceDN/>
              <w:bidi w:val="0"/>
              <w:jc w:val="left"/>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6.16万元</w:t>
            </w:r>
          </w:p>
        </w:tc>
        <w:tc>
          <w:tcPr>
            <w:tcW w:w="1366"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p>
        </w:tc>
        <w:tc>
          <w:tcPr>
            <w:tcW w:w="2261"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项目背景</w:t>
            </w:r>
          </w:p>
        </w:tc>
        <w:tc>
          <w:tcPr>
            <w:tcW w:w="7407"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560" w:type="dxa"/>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项目前期设计、规划论证单位</w:t>
            </w:r>
          </w:p>
        </w:tc>
        <w:tc>
          <w:tcPr>
            <w:tcW w:w="7407" w:type="dxa"/>
            <w:gridSpan w:val="4"/>
            <w:noWrap w:val="0"/>
            <w:vAlign w:val="center"/>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trPr>
        <w:tc>
          <w:tcPr>
            <w:tcW w:w="1560"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投标人资质要求</w:t>
            </w:r>
          </w:p>
        </w:tc>
        <w:tc>
          <w:tcPr>
            <w:tcW w:w="7407" w:type="dxa"/>
            <w:gridSpan w:val="4"/>
            <w:noWrap w:val="0"/>
            <w:vAlign w:val="top"/>
          </w:tcPr>
          <w:p>
            <w:pPr>
              <w:widowControl w:val="0"/>
              <w:jc w:val="left"/>
              <w:rPr>
                <w:rFonts w:hint="eastAsia" w:ascii="仿宋" w:hAnsi="仿宋" w:eastAsia="仿宋" w:cs="仿宋"/>
                <w:color w:val="auto"/>
                <w:sz w:val="18"/>
                <w:szCs w:val="18"/>
              </w:rPr>
            </w:pPr>
            <w:r>
              <w:rPr>
                <w:rFonts w:hint="eastAsia" w:ascii="仿宋" w:hAnsi="仿宋" w:eastAsia="仿宋" w:cs="仿宋"/>
                <w:color w:val="auto"/>
                <w:sz w:val="18"/>
                <w:szCs w:val="18"/>
                <w:lang w:val="en-US" w:eastAsia="zh-CN"/>
              </w:rPr>
              <w:t>1</w:t>
            </w:r>
            <w:r>
              <w:rPr>
                <w:rFonts w:hint="eastAsia" w:ascii="仿宋" w:hAnsi="仿宋" w:eastAsia="仿宋" w:cs="仿宋"/>
                <w:color w:val="auto"/>
                <w:sz w:val="18"/>
                <w:szCs w:val="18"/>
              </w:rPr>
              <w:t>）具有独立法人资格或具有独立承担民事责任的能力的其它组织（提供营业执照或事业单位法人证等法人证明扫描件）</w:t>
            </w:r>
            <w:r>
              <w:rPr>
                <w:rFonts w:hint="eastAsia" w:ascii="仿宋" w:hAnsi="仿宋" w:eastAsia="仿宋" w:cs="仿宋"/>
                <w:color w:val="auto"/>
                <w:sz w:val="18"/>
                <w:szCs w:val="18"/>
                <w:shd w:val="clear" w:color="auto" w:fill="FFFFFF"/>
              </w:rPr>
              <w:t>。</w:t>
            </w:r>
          </w:p>
          <w:p>
            <w:pPr>
              <w:widowControl w:val="0"/>
              <w:jc w:val="left"/>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lang w:val="en-US" w:eastAsia="zh-CN"/>
              </w:rPr>
              <w:t>2</w:t>
            </w:r>
            <w:r>
              <w:rPr>
                <w:rFonts w:hint="eastAsia" w:ascii="仿宋" w:hAnsi="仿宋" w:eastAsia="仿宋" w:cs="仿宋"/>
                <w:color w:val="auto"/>
                <w:sz w:val="18"/>
                <w:szCs w:val="18"/>
                <w:shd w:val="clear" w:color="auto" w:fill="FFFFFF"/>
              </w:rPr>
              <w:t>）参与本项目投标前三年内，在经营活动中没有重大违法记录（由供应商在《政府采购投标及履约承诺函》中作出声明）。</w:t>
            </w:r>
          </w:p>
          <w:p>
            <w:pPr>
              <w:widowControl w:val="0"/>
              <w:jc w:val="left"/>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lang w:val="en-US" w:eastAsia="zh-CN"/>
              </w:rPr>
              <w:t>3</w:t>
            </w:r>
            <w:r>
              <w:rPr>
                <w:rFonts w:hint="eastAsia" w:ascii="仿宋" w:hAnsi="仿宋" w:eastAsia="仿宋" w:cs="仿宋"/>
                <w:color w:val="auto"/>
                <w:sz w:val="18"/>
                <w:szCs w:val="18"/>
                <w:shd w:val="clear" w:color="auto" w:fill="FFFFFF"/>
              </w:rPr>
              <w:t>）参与本项目政府采购活动时不存在被有关部门禁止参与政府采购活动且在有效期内的情况（由供应商在《政府采购投标及履约承诺函》中作出声明）。</w:t>
            </w:r>
          </w:p>
          <w:p>
            <w:pPr>
              <w:widowControl w:val="0"/>
              <w:jc w:val="left"/>
              <w:rPr>
                <w:rFonts w:hint="eastAsia" w:ascii="仿宋" w:hAnsi="仿宋" w:eastAsia="仿宋" w:cs="仿宋"/>
                <w:color w:val="auto"/>
                <w:sz w:val="18"/>
                <w:szCs w:val="18"/>
              </w:rPr>
            </w:pPr>
            <w:r>
              <w:rPr>
                <w:rFonts w:hint="eastAsia" w:ascii="仿宋" w:hAnsi="仿宋" w:eastAsia="仿宋" w:cs="仿宋"/>
                <w:color w:val="auto"/>
                <w:sz w:val="18"/>
                <w:szCs w:val="18"/>
                <w:shd w:val="clear" w:color="auto" w:fill="FFFFFF"/>
                <w:lang w:val="en-US" w:eastAsia="zh-CN"/>
              </w:rPr>
              <w:t>4</w:t>
            </w:r>
            <w:r>
              <w:rPr>
                <w:rFonts w:hint="eastAsia" w:ascii="仿宋" w:hAnsi="仿宋" w:eastAsia="仿宋" w:cs="仿宋"/>
                <w:color w:val="auto"/>
                <w:sz w:val="18"/>
                <w:szCs w:val="18"/>
                <w:shd w:val="clear" w:color="auto" w:fill="FFFFFF"/>
              </w:rPr>
              <w:t>）供应商未被列入失信被执行人、重大税收违法案件当事人名单、政府采购严重违法失信行为记录名单（由供应商在《政府采购投标及履约承诺函》中作出声明）。</w:t>
            </w:r>
          </w:p>
          <w:p>
            <w:pPr>
              <w:widowControl w:val="0"/>
              <w:rPr>
                <w:rFonts w:hint="eastAsia" w:ascii="仿宋" w:hAnsi="仿宋" w:eastAsia="仿宋" w:cs="仿宋"/>
                <w:color w:val="auto"/>
                <w:sz w:val="18"/>
                <w:szCs w:val="18"/>
                <w:shd w:val="clear" w:color="auto" w:fill="FFFFFF"/>
                <w:lang w:val="en-US" w:eastAsia="zh-CN"/>
              </w:rPr>
            </w:pPr>
            <w:r>
              <w:rPr>
                <w:rFonts w:hint="eastAsia" w:ascii="仿宋" w:hAnsi="仿宋" w:eastAsia="仿宋" w:cs="仿宋"/>
                <w:color w:val="auto"/>
                <w:sz w:val="18"/>
                <w:szCs w:val="18"/>
                <w:shd w:val="clear" w:color="auto" w:fill="FFFFFF"/>
                <w:lang w:val="en-US" w:eastAsia="zh-CN"/>
              </w:rPr>
              <w:t>5</w:t>
            </w:r>
            <w:r>
              <w:rPr>
                <w:rFonts w:hint="eastAsia" w:ascii="仿宋" w:hAnsi="仿宋" w:eastAsia="仿宋" w:cs="仿宋"/>
                <w:color w:val="auto"/>
                <w:sz w:val="18"/>
                <w:szCs w:val="18"/>
                <w:shd w:val="clear" w:color="auto" w:fill="FFFFFF"/>
              </w:rPr>
              <w:t>）</w:t>
            </w:r>
            <w:r>
              <w:rPr>
                <w:rFonts w:hint="eastAsia" w:ascii="仿宋" w:hAnsi="仿宋" w:eastAsia="仿宋" w:cs="仿宋"/>
                <w:color w:val="auto"/>
                <w:sz w:val="18"/>
                <w:szCs w:val="18"/>
                <w:shd w:val="clear" w:color="auto" w:fill="FFFFFF"/>
                <w:lang w:val="en-US" w:eastAsia="zh-CN"/>
              </w:rPr>
              <w:t>具备《中华人民共和国政府采购法》第二十二条第一款的条件（由供应商在《政府采购投标及履约承诺函》中作出声明）。</w:t>
            </w:r>
          </w:p>
          <w:p>
            <w:pPr>
              <w:widowControl w:val="0"/>
              <w:rPr>
                <w:rFonts w:hint="eastAsia" w:ascii="仿宋" w:hAnsi="仿宋" w:eastAsia="仿宋" w:cs="仿宋"/>
                <w:color w:val="auto"/>
                <w:sz w:val="18"/>
                <w:szCs w:val="18"/>
                <w:shd w:val="clear" w:color="auto" w:fill="FFFFFF"/>
                <w:lang w:val="en-US" w:eastAsia="zh-CN"/>
              </w:rPr>
            </w:pPr>
            <w:r>
              <w:rPr>
                <w:rFonts w:hint="eastAsia" w:ascii="仿宋" w:hAnsi="仿宋" w:eastAsia="仿宋" w:cs="仿宋"/>
                <w:color w:val="auto"/>
                <w:sz w:val="18"/>
                <w:szCs w:val="18"/>
                <w:shd w:val="clear" w:color="auto" w:fill="FFFFFF"/>
                <w:lang w:val="en-US" w:eastAsia="zh-CN"/>
              </w:rPr>
              <w:t>6）</w:t>
            </w:r>
            <w:r>
              <w:rPr>
                <w:rFonts w:hint="eastAsia" w:ascii="仿宋" w:hAnsi="仿宋" w:eastAsia="仿宋" w:cs="仿宋"/>
                <w:color w:val="auto"/>
                <w:sz w:val="18"/>
                <w:szCs w:val="18"/>
                <w:shd w:val="clear" w:color="auto" w:fill="FFFFFF"/>
              </w:rPr>
              <w:t>本项目不接受联合体投标，不允许分包、转包。</w:t>
            </w:r>
            <w:r>
              <w:rPr>
                <w:rFonts w:hint="eastAsia" w:ascii="仿宋" w:hAnsi="仿宋" w:eastAsia="仿宋" w:cs="仿宋"/>
                <w:color w:val="auto"/>
                <w:sz w:val="18"/>
                <w:szCs w:val="18"/>
              </w:rPr>
              <w:t>（不接受投标人选用进口产品参与投标）</w:t>
            </w:r>
            <w:r>
              <w:rPr>
                <w:rFonts w:hint="eastAsia" w:ascii="仿宋" w:hAnsi="仿宋" w:eastAsia="仿宋" w:cs="仿宋"/>
                <w:color w:val="auto"/>
                <w:sz w:val="18"/>
                <w:szCs w:val="18"/>
                <w:shd w:val="clear" w:color="auto" w:fill="FFFFFF"/>
              </w:rPr>
              <w:t>。</w:t>
            </w:r>
          </w:p>
          <w:p>
            <w:pPr>
              <w:widowControl w:val="0"/>
              <w:rPr>
                <w:rFonts w:hint="eastAsia" w:ascii="仿宋" w:hAnsi="仿宋" w:eastAsia="仿宋" w:cs="仿宋"/>
                <w:color w:val="auto"/>
                <w:sz w:val="18"/>
                <w:szCs w:val="18"/>
                <w:shd w:val="clear" w:color="auto" w:fill="FFFFFF"/>
                <w:lang w:val="en-US" w:eastAsia="zh-CN"/>
              </w:rPr>
            </w:pPr>
            <w:r>
              <w:rPr>
                <w:rFonts w:hint="eastAsia" w:ascii="仿宋" w:hAnsi="仿宋" w:eastAsia="仿宋" w:cs="仿宋"/>
                <w:color w:val="auto"/>
                <w:sz w:val="18"/>
                <w:szCs w:val="18"/>
                <w:shd w:val="clear" w:color="auto" w:fill="FFFFFF"/>
                <w:lang w:val="en-US" w:eastAsia="zh-CN"/>
              </w:rPr>
              <w:t>7）投标人提供的货物或服务未侵犯知识产权。</w:t>
            </w:r>
          </w:p>
          <w:p>
            <w:pPr>
              <w:jc w:val="left"/>
              <w:rPr>
                <w:rFonts w:hint="default"/>
                <w:lang w:val="en-US"/>
              </w:rPr>
            </w:pPr>
            <w:r>
              <w:rPr>
                <w:rFonts w:hint="eastAsia" w:ascii="仿宋" w:hAnsi="仿宋" w:eastAsia="仿宋" w:cs="仿宋"/>
                <w:color w:val="auto"/>
                <w:sz w:val="18"/>
                <w:szCs w:val="18"/>
                <w:shd w:val="clear" w:color="auto" w:fill="FFFFFF"/>
                <w:lang w:val="en-US" w:eastAsia="zh-CN"/>
              </w:rPr>
              <w:t>8）投标人须签署《政府采购投标及履约承诺函》及《政府采购违法行为风险知悉确认书》，否则作废标处理。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1560"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r>
              <w:rPr>
                <w:rFonts w:hint="eastAsia" w:ascii="仿宋" w:hAnsi="仿宋" w:eastAsia="仿宋" w:cs="仿宋"/>
                <w:bCs/>
                <w:color w:val="auto"/>
                <w:szCs w:val="21"/>
                <w:highlight w:val="none"/>
              </w:rPr>
              <w:t>需求内容</w:t>
            </w:r>
          </w:p>
        </w:tc>
        <w:tc>
          <w:tcPr>
            <w:tcW w:w="7407" w:type="dxa"/>
            <w:gridSpan w:val="4"/>
            <w:noWrap w:val="0"/>
            <w:vAlign w:val="top"/>
          </w:tcPr>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*1.报价要求：本项目最高限价为6.16万元，报价不得超过最高限价。最终费用的结算：按照中标价。</w:t>
            </w:r>
          </w:p>
          <w:p>
            <w:pPr>
              <w:outlineLvl w:val="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*2.付款方式：本项目费用共计6.16万元，</w:t>
            </w:r>
            <w:r>
              <w:rPr>
                <w:rFonts w:hint="eastAsia" w:ascii="仿宋" w:hAnsi="仿宋" w:eastAsia="仿宋" w:cs="仿宋"/>
                <w:color w:val="auto"/>
                <w:szCs w:val="21"/>
                <w:highlight w:val="none"/>
              </w:rPr>
              <w:t>拟分 2 期付款，首期款支付合同总价款的70%，尾款支付合同总价款的30%</w:t>
            </w:r>
            <w:r>
              <w:rPr>
                <w:rFonts w:hint="eastAsia" w:ascii="仿宋" w:hAnsi="仿宋" w:eastAsia="仿宋" w:cs="仿宋"/>
                <w:color w:val="auto"/>
                <w:kern w:val="2"/>
                <w:sz w:val="21"/>
                <w:szCs w:val="21"/>
                <w:highlight w:val="none"/>
                <w:lang w:val="en-US" w:eastAsia="zh-CN" w:bidi="ar-SA"/>
              </w:rPr>
              <w:t>。中标供应商在申请付款前，应向采购人提交合法的发票，采购人在收到发票及付款申请后15个工作日内向中标供应商支付项目款。因中标供应商未提供发票或采购方财政审批导致的付款延迟，不视为采购人违约。</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*3.履约保证金：无。</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*4.违约责任：</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中标方未在约定期限内完成项目内容并提交成果的，每延迟一日按照合同总金额千分之一的标准向采购方支付违约金。延迟超过十日的，采购方有权解除合同并要求中标方返还已经支付的款项，未支付的不再支付。</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（2）中标方交付的成果验收不合格的，经采购方要求整改，再次验收仍不合格的，采购方有权解除合同、要求中标方返还已经支付的款项并支付合同总额20%的违约金。</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（3）因中标方实施本项目过程中侵犯第三人合法权益或者违约导致采购方承担赔偿责任的，采购方有权向中标方追偿并有权解除合同、要求中标方返还已经支付的款项并支付合同总额20%的违约金。</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（4）中标方无正当理由解除合同的，应向采购方支付合同总额20%的违约金。</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（5）采购方违约的，应按照合同法有关规定承担违约责任。</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（6）项目采购及履行过程中，中标人存在其他违约情形的，按商务内容部分第5条约定向采购人支付违约金。</w:t>
            </w:r>
          </w:p>
          <w:p>
            <w:pPr>
              <w:pStyle w:val="5"/>
              <w:widowControl/>
              <w:shd w:val="clear" w:color="auto" w:fill="FFFFFF"/>
              <w:spacing w:before="0" w:beforeAutospacing="0" w:after="0" w:afterAutospacing="0" w:line="15" w:lineRule="atLeast"/>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*5.服务质量监督和项目验收要求：</w:t>
            </w:r>
          </w:p>
          <w:p>
            <w:pPr>
              <w:snapToGrid w:val="0"/>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（1）采购人负责对中标人提交的最终成果组织评审。</w:t>
            </w:r>
          </w:p>
          <w:p>
            <w:pPr>
              <w:snapToGrid w:val="0"/>
              <w:spacing w:line="400" w:lineRule="exact"/>
              <w:jc w:val="left"/>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（2）在合同履行过程中，必要时，双方可以协商调整课题最终成果。采购人如需中标人增加交付成果的数量，由双方协商解决。</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kern w:val="2"/>
                <w:sz w:val="21"/>
                <w:szCs w:val="21"/>
                <w:highlight w:val="none"/>
                <w:lang w:val="en-US" w:eastAsia="zh-CN" w:bidi="ar-SA"/>
              </w:rPr>
              <w:t xml:space="preserve">（3）最终成果验收合格的标志：由采购人召开专题会对中标人完成的项目成果进行验收,以会议纪要作为验收凭证。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8" w:hRule="atLeast"/>
        </w:trPr>
        <w:tc>
          <w:tcPr>
            <w:tcW w:w="1560" w:type="dxa"/>
            <w:noWrap w:val="0"/>
            <w:vAlign w:val="center"/>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具体技术要求</w:t>
            </w:r>
          </w:p>
        </w:tc>
        <w:tc>
          <w:tcPr>
            <w:tcW w:w="7407"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.人员要求</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（1）项目负责人应具有高级工程师职称，具有3年相关工作经验。</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（2）项目成员包括1名高级工程师及2名工程师。</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.成果要求</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（1）管理平台运维成效评估表；（2）应用软件维护工作总结；（3）数据与数据库维护工作总结；（4）维护升级后的应用可运行程序及软件源代码；（5）维护升级后的数据字典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7" w:hRule="atLeast"/>
        </w:trPr>
        <w:tc>
          <w:tcPr>
            <w:tcW w:w="1560" w:type="dxa"/>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商务需求</w:t>
            </w:r>
          </w:p>
        </w:tc>
        <w:tc>
          <w:tcPr>
            <w:tcW w:w="7407"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1.项目概况</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深圳市光明区地质灾害和危险边坡防治管理平台于2021年3月26日正式上线运行，通过该平台，提高我区危险边坡防治管理效率，尤其是管理工作档案集成、预防巡查工作数据及时入库，初步实现危险边坡管理一张图和一坡一档高效管理。为确保管理平台继续安全、稳定运行，须针对管理平台运行出现异常问题进行维护，定期开展巡查维护和整改工作，定期开展管理平台的安全扫描，维护管理平台的正常、高效运行。</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2.服务内容</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（1）应用软件维护。 工作内容包括日常维护、故障处理、定期检查和安全扫描、软件评估、程序优化、软件升级、补丁等。 </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（2）数据与数据库维护。针对用户数据库开展的软件安装、配置优化、备份策略选择及实施、数据恢复、数据迁移、故障排除、预防性巡检等一系列服务。3.服务期限</w:t>
            </w:r>
          </w:p>
          <w:p>
            <w:pPr>
              <w:keepNext w:val="0"/>
              <w:keepLines w:val="0"/>
              <w:pageBreakBefore w:val="0"/>
              <w:widowControl w:val="0"/>
              <w:kinsoku/>
              <w:overflowPunct/>
              <w:topLinePunct w:val="0"/>
              <w:autoSpaceDE/>
              <w:autoSpaceDN/>
              <w:bidi w:val="0"/>
              <w:ind w:firstLine="205" w:firstLineChars="98"/>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自</w:t>
            </w:r>
            <w:r>
              <w:rPr>
                <w:rFonts w:hint="eastAsia" w:ascii="仿宋" w:hAnsi="仿宋" w:eastAsia="仿宋" w:cs="仿宋"/>
                <w:color w:val="auto"/>
                <w:szCs w:val="21"/>
                <w:highlight w:val="none"/>
              </w:rPr>
              <w:t>签订合同之日起</w:t>
            </w:r>
            <w:r>
              <w:rPr>
                <w:rFonts w:hint="eastAsia" w:ascii="仿宋" w:hAnsi="仿宋" w:eastAsia="仿宋" w:cs="仿宋"/>
                <w:color w:val="auto"/>
                <w:szCs w:val="21"/>
                <w:highlight w:val="none"/>
                <w:lang w:val="en-US" w:eastAsia="zh-CN"/>
              </w:rPr>
              <w:t>一年内</w:t>
            </w:r>
            <w:r>
              <w:rPr>
                <w:rFonts w:hint="eastAsia" w:ascii="仿宋" w:hAnsi="仿宋" w:eastAsia="仿宋" w:cs="仿宋"/>
                <w:color w:val="auto"/>
                <w:szCs w:val="21"/>
                <w:highlight w:val="none"/>
              </w:rPr>
              <w:t>。</w:t>
            </w:r>
          </w:p>
          <w:p>
            <w:pPr>
              <w:keepNext w:val="0"/>
              <w:keepLines w:val="0"/>
              <w:pageBreakBefore w:val="0"/>
              <w:widowControl w:val="0"/>
              <w:numPr>
                <w:ilvl w:val="0"/>
                <w:numId w:val="0"/>
              </w:numPr>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4.</w:t>
            </w:r>
            <w:r>
              <w:rPr>
                <w:rFonts w:hint="eastAsia" w:ascii="仿宋" w:hAnsi="仿宋" w:eastAsia="仿宋" w:cs="仿宋"/>
                <w:color w:val="auto"/>
                <w:szCs w:val="21"/>
                <w:highlight w:val="none"/>
              </w:rPr>
              <w:t>售后服务要求：</w:t>
            </w:r>
          </w:p>
          <w:p>
            <w:pPr>
              <w:keepNext w:val="0"/>
              <w:keepLines w:val="0"/>
              <w:pageBreakBefore w:val="0"/>
              <w:widowControl w:val="0"/>
              <w:numPr>
                <w:ilvl w:val="0"/>
                <w:numId w:val="0"/>
              </w:numPr>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供应商需安排专人负责售后技术支持，并提供其联系手机、电话、传真、Email；如人员需要调整应及时通知采购人。</w:t>
            </w:r>
          </w:p>
          <w:p>
            <w:pPr>
              <w:keepNext w:val="0"/>
              <w:keepLines w:val="0"/>
              <w:pageBreakBefore w:val="0"/>
              <w:widowControl w:val="0"/>
              <w:kinsoku/>
              <w:overflowPunct/>
              <w:topLinePunct w:val="0"/>
              <w:autoSpaceDE/>
              <w:autoSpaceDN/>
              <w:bidi w:val="0"/>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rPr>
              <w:t>按采购人要求完成售后服务。</w:t>
            </w:r>
          </w:p>
          <w:p>
            <w:pPr>
              <w:keepNext w:val="0"/>
              <w:keepLines w:val="0"/>
              <w:pageBreakBefore w:val="0"/>
              <w:widowControl w:val="0"/>
              <w:kinsoku/>
              <w:overflowPunct/>
              <w:topLinePunct w:val="0"/>
              <w:autoSpaceDE/>
              <w:autoSpaceDN/>
              <w:bidi w:val="0"/>
              <w:ind w:firstLine="205" w:firstLineChars="98"/>
              <w:jc w:val="left"/>
              <w:rPr>
                <w:rFonts w:hint="eastAsia" w:ascii="仿宋" w:hAnsi="仿宋" w:eastAsia="仿宋" w:cs="仿宋"/>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trPr>
        <w:tc>
          <w:tcPr>
            <w:tcW w:w="1560" w:type="dxa"/>
            <w:vMerge w:val="restart"/>
            <w:noWrap w:val="0"/>
            <w:vAlign w:val="top"/>
          </w:tcPr>
          <w:p>
            <w:pPr>
              <w:keepNext w:val="0"/>
              <w:keepLines w:val="0"/>
              <w:pageBreakBefore w:val="0"/>
              <w:widowControl w:val="0"/>
              <w:kinsoku/>
              <w:overflowPunct/>
              <w:topLinePunct w:val="0"/>
              <w:autoSpaceDE/>
              <w:autoSpaceDN/>
              <w:bidi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其他要求</w:t>
            </w:r>
          </w:p>
        </w:tc>
        <w:tc>
          <w:tcPr>
            <w:tcW w:w="7407" w:type="dxa"/>
            <w:gridSpan w:val="4"/>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r>
              <w:rPr>
                <w:rFonts w:hint="eastAsia" w:ascii="仿宋" w:hAnsi="仿宋" w:eastAsia="仿宋" w:cs="仿宋"/>
                <w:b/>
                <w:color w:val="auto"/>
                <w:szCs w:val="21"/>
                <w:highlight w:val="none"/>
              </w:rPr>
              <w:t>特定供应商的名称、项目负责人及联系方式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p>
        </w:tc>
        <w:tc>
          <w:tcPr>
            <w:tcW w:w="850" w:type="dxa"/>
            <w:vMerge w:val="restart"/>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rPr>
              <w:t>特定供应商</w:t>
            </w: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rPr>
              <w:t>单位名称：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p>
        </w:tc>
        <w:tc>
          <w:tcPr>
            <w:tcW w:w="85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rPr>
              <w:t>项目经办人：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56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color w:val="auto"/>
                <w:kern w:val="0"/>
                <w:szCs w:val="21"/>
                <w:highlight w:val="none"/>
              </w:rPr>
            </w:pPr>
          </w:p>
        </w:tc>
        <w:tc>
          <w:tcPr>
            <w:tcW w:w="850" w:type="dxa"/>
            <w:vMerge w:val="continue"/>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p>
        </w:tc>
        <w:tc>
          <w:tcPr>
            <w:tcW w:w="6557" w:type="dxa"/>
            <w:gridSpan w:val="3"/>
            <w:noWrap w:val="0"/>
            <w:vAlign w:val="top"/>
          </w:tcPr>
          <w:p>
            <w:pPr>
              <w:keepNext w:val="0"/>
              <w:keepLines w:val="0"/>
              <w:pageBreakBefore w:val="0"/>
              <w:widowControl w:val="0"/>
              <w:kinsoku/>
              <w:overflowPunct/>
              <w:topLinePunct w:val="0"/>
              <w:autoSpaceDE/>
              <w:autoSpaceDN/>
              <w:bidi w:val="0"/>
              <w:jc w:val="left"/>
              <w:rPr>
                <w:rFonts w:hint="eastAsia" w:ascii="仿宋" w:hAnsi="仿宋" w:eastAsia="仿宋" w:cs="仿宋"/>
                <w:bCs/>
                <w:color w:val="auto"/>
                <w:kern w:val="0"/>
                <w:szCs w:val="21"/>
                <w:highlight w:val="none"/>
              </w:rPr>
            </w:pPr>
            <w:r>
              <w:rPr>
                <w:rFonts w:hint="eastAsia" w:ascii="仿宋" w:hAnsi="仿宋" w:eastAsia="仿宋" w:cs="仿宋"/>
                <w:bCs/>
                <w:color w:val="auto"/>
                <w:szCs w:val="21"/>
                <w:highlight w:val="none"/>
              </w:rPr>
              <w:t>联系电话：</w:t>
            </w:r>
          </w:p>
        </w:tc>
      </w:tr>
    </w:tbl>
    <w:p>
      <w:pPr>
        <w:keepNext w:val="0"/>
        <w:keepLines w:val="0"/>
        <w:pageBreakBefore w:val="0"/>
        <w:widowControl w:val="0"/>
        <w:kinsoku/>
        <w:overflowPunct/>
        <w:topLinePunct w:val="0"/>
        <w:autoSpaceDE/>
        <w:autoSpaceDN/>
        <w:bidi w:val="0"/>
        <w:spacing w:line="360" w:lineRule="exact"/>
        <w:jc w:val="left"/>
        <w:rPr>
          <w:rFonts w:ascii="仿宋" w:hAnsi="仿宋" w:eastAsia="仿宋"/>
          <w:bCs/>
          <w:color w:val="auto"/>
          <w:szCs w:val="21"/>
          <w:highlight w:val="none"/>
        </w:rPr>
      </w:pPr>
      <w:r>
        <w:rPr>
          <w:rFonts w:hint="eastAsia" w:ascii="仿宋" w:hAnsi="仿宋" w:eastAsia="仿宋"/>
          <w:bCs/>
          <w:color w:val="auto"/>
          <w:szCs w:val="21"/>
          <w:highlight w:val="none"/>
        </w:rPr>
        <w:t>注：1、带“*”号的为必填表内容，其他内容可根据项目作适当增减。</w:t>
      </w:r>
    </w:p>
    <w:p>
      <w:pPr>
        <w:keepNext w:val="0"/>
        <w:keepLines w:val="0"/>
        <w:pageBreakBefore w:val="0"/>
        <w:widowControl w:val="0"/>
        <w:kinsoku/>
        <w:overflowPunct/>
        <w:topLinePunct w:val="0"/>
        <w:autoSpaceDE/>
        <w:autoSpaceDN/>
        <w:bidi w:val="0"/>
        <w:spacing w:line="360" w:lineRule="exact"/>
        <w:ind w:firstLine="420" w:firstLineChars="200"/>
        <w:jc w:val="left"/>
        <w:rPr>
          <w:rFonts w:ascii="仿宋" w:hAnsi="仿宋" w:eastAsia="仿宋"/>
          <w:bCs/>
          <w:color w:val="auto"/>
          <w:szCs w:val="21"/>
          <w:highlight w:val="none"/>
        </w:rPr>
      </w:pPr>
      <w:r>
        <w:rPr>
          <w:rFonts w:hint="eastAsia" w:ascii="仿宋" w:hAnsi="仿宋" w:eastAsia="仿宋"/>
          <w:bCs/>
          <w:color w:val="auto"/>
          <w:szCs w:val="21"/>
          <w:highlight w:val="none"/>
        </w:rPr>
        <w:t>2、其他要求栏目仅适用非公开招标采购方式项目，采购推荐供应商名单必须经过主管部门报批，并将主管部门批复材料提交至采购中心。根据采购条例第十九条规定适用非公开招标方式需要公示的，应同时向采购中心提交公示的证明材料。</w:t>
      </w:r>
    </w:p>
    <w:p>
      <w:pPr>
        <w:keepNext w:val="0"/>
        <w:keepLines w:val="0"/>
        <w:pageBreakBefore w:val="0"/>
        <w:widowControl w:val="0"/>
        <w:kinsoku/>
        <w:overflowPunct/>
        <w:topLinePunct w:val="0"/>
        <w:autoSpaceDE/>
        <w:autoSpaceDN/>
        <w:bidi w:val="0"/>
        <w:spacing w:line="360" w:lineRule="exact"/>
        <w:rPr>
          <w:rFonts w:ascii="仿宋" w:hAnsi="仿宋" w:eastAsia="仿宋"/>
          <w:bCs/>
          <w:color w:val="auto"/>
          <w:szCs w:val="21"/>
          <w:highlight w:val="none"/>
        </w:rPr>
      </w:pPr>
      <w:r>
        <w:rPr>
          <w:rFonts w:hint="eastAsia" w:ascii="仿宋" w:hAnsi="仿宋" w:eastAsia="仿宋"/>
          <w:bCs/>
          <w:color w:val="auto"/>
          <w:szCs w:val="21"/>
          <w:highlight w:val="none"/>
        </w:rPr>
        <w:t>3、采购单位以上填报的商务条款、技术条款若存在倾向性或不公正性条款，由此引起的不良后果将由采购单位自行承担。</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5DD9969"/>
    <w:rsid w:val="2A4D4163"/>
    <w:rsid w:val="31D7346D"/>
    <w:rsid w:val="355F7549"/>
    <w:rsid w:val="3EDD0DA5"/>
    <w:rsid w:val="47F71D8A"/>
    <w:rsid w:val="4AF23DB1"/>
    <w:rsid w:val="55DD9969"/>
    <w:rsid w:val="5A55045E"/>
    <w:rsid w:val="6A7FFC62"/>
    <w:rsid w:val="6CFF84E9"/>
    <w:rsid w:val="7D1D8C93"/>
    <w:rsid w:val="7DDEABC6"/>
    <w:rsid w:val="7EF64981"/>
    <w:rsid w:val="7FF79DBA"/>
    <w:rsid w:val="8F6FFE26"/>
    <w:rsid w:val="CD7E0A44"/>
    <w:rsid w:val="CF935355"/>
    <w:rsid w:val="EF8B34F3"/>
    <w:rsid w:val="FEED676D"/>
    <w:rsid w:val="FFDFDEF0"/>
    <w:rsid w:val="FFF22D88"/>
    <w:rsid w:val="FFF9EB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Style w:val="6"/>
      <w:tblCellMar>
        <w:top w:w="0" w:type="dxa"/>
        <w:left w:w="108" w:type="dxa"/>
        <w:bottom w:w="0" w:type="dxa"/>
        <w:right w:w="108" w:type="dxa"/>
      </w:tblCellMar>
    </w:tblPr>
  </w:style>
  <w:style w:type="paragraph" w:styleId="2">
    <w:name w:val="annotation text"/>
    <w:basedOn w:val="1"/>
    <w:qFormat/>
    <w:uiPriority w:val="0"/>
    <w:pPr>
      <w:spacing w:after="160" w:line="259" w:lineRule="auto"/>
    </w:pPr>
    <w:rPr>
      <w:rFonts w:ascii="等线" w:hAnsi="等线" w:eastAsia="等线" w:cs="Times New Roman"/>
      <w:kern w:val="0"/>
      <w:sz w:val="22"/>
    </w:rPr>
  </w:style>
  <w:style w:type="paragraph" w:styleId="3">
    <w:name w:val="Body Text"/>
    <w:basedOn w:val="1"/>
    <w:next w:val="4"/>
    <w:qFormat/>
    <w:uiPriority w:val="0"/>
    <w:pPr>
      <w:widowControl w:val="0"/>
      <w:spacing w:before="61"/>
      <w:ind w:left="102"/>
    </w:pPr>
    <w:rPr>
      <w:rFonts w:ascii="宋体" w:hAnsi="宋体" w:eastAsia="宋体"/>
      <w:kern w:val="0"/>
      <w:sz w:val="28"/>
      <w:szCs w:val="28"/>
      <w:lang w:eastAsia="en-US"/>
    </w:rPr>
  </w:style>
  <w:style w:type="paragraph" w:styleId="4">
    <w:name w:val="Title"/>
    <w:basedOn w:val="1"/>
    <w:next w:val="1"/>
    <w:qFormat/>
    <w:uiPriority w:val="0"/>
    <w:pPr>
      <w:spacing w:before="240" w:after="60"/>
      <w:jc w:val="center"/>
      <w:outlineLvl w:val="0"/>
    </w:pPr>
    <w:rPr>
      <w:rFonts w:ascii="Cambria" w:hAnsi="Cambria" w:eastAsia="宋体"/>
      <w:b/>
      <w:bCs/>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2098</Words>
  <Characters>2146</Characters>
  <Lines>0</Lines>
  <Paragraphs>0</Paragraphs>
  <TotalTime>6</TotalTime>
  <ScaleCrop>false</ScaleCrop>
  <LinksUpToDate>false</LinksUpToDate>
  <CharactersWithSpaces>2151</CharactersWithSpaces>
  <Application>WPS Office_11.8.2.10229_F1E327BC-269C-435d-A152-05C5408002CA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2024-08-08T01:37:00Z</dcterms:created>
  <dc:creator>hh</dc:creator>
  <cp:lastModifiedBy>Administrator</cp:lastModifiedBy>
  <dcterms:modified xsi:type="dcterms:W3CDTF">2025-03-14T08:11:23Z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32EBC9F9C8380E9C6A9DB066EAB17A0B</vt:lpwstr>
  </property>
  <property fmtid="{D5CDD505-2E9C-101B-9397-08002B2CF9AE}" pid="4" name="KSOTemplateDocerSaveRecord">
    <vt:lpwstr>eyJoZGlkIjoiMDAwZTM2ZmE3YTJjMDQ1ZjMzNWExYzdjNWQxZWU3YzQiLCJ1c2VySWQiOiIzNzAwMTE2NTcifQ==</vt:lpwstr>
  </property>
</Properties>
</file>