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33F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深圳市龙广市场发展有限公司各下属物业</w:t>
      </w:r>
    </w:p>
    <w:p w14:paraId="55B51C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2026—2027年度公众责任险采购方案</w:t>
      </w:r>
    </w:p>
    <w:p w14:paraId="6EF3E9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lang w:val="en-US" w:eastAsia="zh-CN"/>
        </w:rPr>
      </w:pPr>
    </w:p>
    <w:p w14:paraId="6200DE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我公司各下属物业2026—2027年度公众责任险即将到期，为有效转移公司各下属物业因意外事故导致的第三方人身伤害或财产损失风险，我公司计划以公开询价的方式对2026—2027年度公众责任险进行公开询价，现将具体采购方案如下：</w:t>
      </w:r>
    </w:p>
    <w:p w14:paraId="59A345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color w:val="auto"/>
          <w:sz w:val="32"/>
          <w:szCs w:val="32"/>
          <w:lang w:val="en-US" w:eastAsia="zh-CN"/>
        </w:rPr>
        <w:t>一、采购项目名称：</w:t>
      </w:r>
      <w:r>
        <w:rPr>
          <w:rFonts w:hint="eastAsia" w:ascii="仿宋_GB2312" w:hAnsi="仿宋_GB2312" w:eastAsia="仿宋_GB2312" w:cs="仿宋_GB2312"/>
          <w:b w:val="0"/>
          <w:bCs w:val="0"/>
          <w:color w:val="auto"/>
          <w:sz w:val="32"/>
          <w:szCs w:val="32"/>
          <w:lang w:val="en-US" w:eastAsia="zh-CN"/>
        </w:rPr>
        <w:t>深圳市龙广市场发展有限公司各下属物业2026—2027年度公众责任险</w:t>
      </w:r>
    </w:p>
    <w:p w14:paraId="49D0F4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二、采购方式</w:t>
      </w:r>
    </w:p>
    <w:p w14:paraId="52D629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根据《深圳市龙岗区投资控股集团有限公司非工程类货物和服务采购管理办法》（深龙投控字〔202</w:t>
      </w: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75</w:t>
      </w:r>
      <w:r>
        <w:rPr>
          <w:rFonts w:hint="eastAsia" w:ascii="仿宋_GB2312" w:hAnsi="仿宋_GB2312" w:eastAsia="仿宋_GB2312" w:cs="仿宋_GB2312"/>
          <w:b w:val="0"/>
          <w:bCs w:val="0"/>
          <w:color w:val="auto"/>
          <w:sz w:val="32"/>
          <w:szCs w:val="32"/>
        </w:rPr>
        <w:t>号）的要求，拟采取</w:t>
      </w:r>
      <w:r>
        <w:rPr>
          <w:rFonts w:hint="eastAsia" w:ascii="仿宋_GB2312" w:hAnsi="仿宋_GB2312" w:eastAsia="仿宋_GB2312" w:cs="仿宋_GB2312"/>
          <w:b w:val="0"/>
          <w:bCs w:val="0"/>
          <w:color w:val="auto"/>
          <w:sz w:val="32"/>
          <w:szCs w:val="32"/>
          <w:lang w:val="en-US" w:eastAsia="zh-CN"/>
        </w:rPr>
        <w:t>公开询价</w:t>
      </w:r>
      <w:r>
        <w:rPr>
          <w:rFonts w:hint="eastAsia" w:ascii="仿宋_GB2312" w:hAnsi="仿宋_GB2312" w:eastAsia="仿宋_GB2312" w:cs="仿宋_GB2312"/>
          <w:b w:val="0"/>
          <w:bCs w:val="0"/>
          <w:color w:val="auto"/>
          <w:sz w:val="32"/>
          <w:szCs w:val="32"/>
        </w:rPr>
        <w:t>的方式，</w:t>
      </w:r>
      <w:r>
        <w:rPr>
          <w:rFonts w:hint="eastAsia" w:ascii="仿宋_GB2312" w:hAnsi="仿宋_GB2312" w:eastAsia="仿宋_GB2312" w:cs="仿宋_GB2312"/>
          <w:b w:val="0"/>
          <w:bCs w:val="0"/>
          <w:color w:val="auto"/>
          <w:sz w:val="32"/>
          <w:szCs w:val="32"/>
          <w:lang w:val="en-US" w:eastAsia="zh-CN"/>
        </w:rPr>
        <w:t>于公司官网发布采购公告。</w:t>
      </w:r>
    </w:p>
    <w:p w14:paraId="76379B4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基本情况</w:t>
      </w:r>
    </w:p>
    <w:p w14:paraId="575623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（一）我公司现有物业面积合计140523.23平方米，包含以下物业</w:t>
      </w:r>
    </w:p>
    <w:tbl>
      <w:tblPr>
        <w:tblStyle w:val="7"/>
        <w:tblpPr w:leftFromText="180" w:rightFromText="180" w:vertAnchor="text" w:horzAnchor="page" w:tblpXSpec="center" w:tblpY="566"/>
        <w:tblOverlap w:val="never"/>
        <w:tblW w:w="94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30"/>
        <w:gridCol w:w="1743"/>
        <w:gridCol w:w="4906"/>
      </w:tblGrid>
      <w:tr w14:paraId="5BA33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6FF70B23">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投保标的名称</w:t>
            </w:r>
          </w:p>
        </w:tc>
        <w:tc>
          <w:tcPr>
            <w:tcW w:w="1743" w:type="dxa"/>
            <w:noWrap w:val="0"/>
            <w:vAlign w:val="center"/>
          </w:tcPr>
          <w:p w14:paraId="75FA1E4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面积</w:t>
            </w:r>
          </w:p>
          <w:p w14:paraId="048D9C65">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（平方米）</w:t>
            </w:r>
          </w:p>
        </w:tc>
        <w:tc>
          <w:tcPr>
            <w:tcW w:w="4906" w:type="dxa"/>
            <w:noWrap w:val="0"/>
            <w:vAlign w:val="center"/>
          </w:tcPr>
          <w:p w14:paraId="6030466A">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投保标的地址</w:t>
            </w:r>
          </w:p>
        </w:tc>
      </w:tr>
      <w:tr w14:paraId="05D83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75ADC469">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横岗第一市场</w:t>
            </w:r>
          </w:p>
        </w:tc>
        <w:tc>
          <w:tcPr>
            <w:tcW w:w="1743" w:type="dxa"/>
            <w:noWrap w:val="0"/>
            <w:vAlign w:val="center"/>
          </w:tcPr>
          <w:p w14:paraId="1ADAEE6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25224.27</w:t>
            </w:r>
          </w:p>
        </w:tc>
        <w:tc>
          <w:tcPr>
            <w:tcW w:w="4906" w:type="dxa"/>
            <w:noWrap w:val="0"/>
            <w:vAlign w:val="center"/>
          </w:tcPr>
          <w:p w14:paraId="3AF70EE3">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横岗镇松柏路83号</w:t>
            </w:r>
          </w:p>
        </w:tc>
      </w:tr>
      <w:tr w14:paraId="6C2E1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48AE1A46">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龙岗第一市场</w:t>
            </w:r>
          </w:p>
        </w:tc>
        <w:tc>
          <w:tcPr>
            <w:tcW w:w="1743" w:type="dxa"/>
            <w:noWrap w:val="0"/>
            <w:vAlign w:val="center"/>
          </w:tcPr>
          <w:p w14:paraId="0479789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3961</w:t>
            </w:r>
          </w:p>
        </w:tc>
        <w:tc>
          <w:tcPr>
            <w:tcW w:w="4906" w:type="dxa"/>
            <w:noWrap w:val="0"/>
            <w:vAlign w:val="center"/>
          </w:tcPr>
          <w:p w14:paraId="7C567C71">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龙岗街道桥西街101号</w:t>
            </w:r>
          </w:p>
        </w:tc>
      </w:tr>
      <w:tr w14:paraId="55B75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830" w:type="dxa"/>
            <w:noWrap w:val="0"/>
            <w:vAlign w:val="center"/>
          </w:tcPr>
          <w:p w14:paraId="2DBEFD23">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龙岗第二市场</w:t>
            </w:r>
          </w:p>
        </w:tc>
        <w:tc>
          <w:tcPr>
            <w:tcW w:w="1743" w:type="dxa"/>
            <w:noWrap w:val="0"/>
            <w:vAlign w:val="center"/>
          </w:tcPr>
          <w:p w14:paraId="59E6665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4690.82</w:t>
            </w:r>
          </w:p>
        </w:tc>
        <w:tc>
          <w:tcPr>
            <w:tcW w:w="4906" w:type="dxa"/>
            <w:noWrap w:val="0"/>
            <w:vAlign w:val="center"/>
          </w:tcPr>
          <w:p w14:paraId="2864A88F">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龙岗街道龙平中路129号</w:t>
            </w:r>
          </w:p>
        </w:tc>
      </w:tr>
      <w:tr w14:paraId="2EB29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7B81F680">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六约市场</w:t>
            </w:r>
          </w:p>
        </w:tc>
        <w:tc>
          <w:tcPr>
            <w:tcW w:w="1743" w:type="dxa"/>
            <w:noWrap w:val="0"/>
            <w:vAlign w:val="center"/>
          </w:tcPr>
          <w:p w14:paraId="4664ED9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4669.71</w:t>
            </w:r>
          </w:p>
        </w:tc>
        <w:tc>
          <w:tcPr>
            <w:tcW w:w="4906" w:type="dxa"/>
            <w:noWrap w:val="0"/>
            <w:vAlign w:val="center"/>
          </w:tcPr>
          <w:p w14:paraId="3592571A">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color w:val="000000"/>
                <w:sz w:val="24"/>
                <w:szCs w:val="24"/>
              </w:rPr>
              <w:t>横岗街道六约社区六和路39号</w:t>
            </w:r>
          </w:p>
        </w:tc>
      </w:tr>
      <w:tr w14:paraId="71F92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1E86E1A3">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沙湾市场</w:t>
            </w:r>
          </w:p>
        </w:tc>
        <w:tc>
          <w:tcPr>
            <w:tcW w:w="1743" w:type="dxa"/>
            <w:noWrap w:val="0"/>
            <w:vAlign w:val="center"/>
          </w:tcPr>
          <w:p w14:paraId="66446255">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1704.41</w:t>
            </w:r>
          </w:p>
        </w:tc>
        <w:tc>
          <w:tcPr>
            <w:tcW w:w="4906" w:type="dxa"/>
            <w:noWrap w:val="0"/>
            <w:vAlign w:val="center"/>
          </w:tcPr>
          <w:p w14:paraId="193F798A">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龙岗南湾街道夏村社区东巷1号</w:t>
            </w:r>
          </w:p>
        </w:tc>
      </w:tr>
      <w:tr w14:paraId="7D992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768E023F">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平湖市场</w:t>
            </w:r>
          </w:p>
        </w:tc>
        <w:tc>
          <w:tcPr>
            <w:tcW w:w="1743" w:type="dxa"/>
            <w:noWrap w:val="0"/>
            <w:vAlign w:val="center"/>
          </w:tcPr>
          <w:p w14:paraId="193EA41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11814.46</w:t>
            </w:r>
          </w:p>
        </w:tc>
        <w:tc>
          <w:tcPr>
            <w:tcW w:w="4906" w:type="dxa"/>
            <w:noWrap w:val="0"/>
            <w:vAlign w:val="center"/>
          </w:tcPr>
          <w:p w14:paraId="059FCFBB">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平湖镇守珍街裕和北街27号</w:t>
            </w:r>
          </w:p>
        </w:tc>
      </w:tr>
      <w:tr w14:paraId="2B04E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14858B39">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坪山旧市场</w:t>
            </w:r>
          </w:p>
        </w:tc>
        <w:tc>
          <w:tcPr>
            <w:tcW w:w="1743" w:type="dxa"/>
            <w:noWrap w:val="0"/>
            <w:vAlign w:val="center"/>
          </w:tcPr>
          <w:p w14:paraId="358B825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4655.47</w:t>
            </w:r>
          </w:p>
        </w:tc>
        <w:tc>
          <w:tcPr>
            <w:tcW w:w="4906" w:type="dxa"/>
            <w:noWrap w:val="0"/>
            <w:vAlign w:val="center"/>
          </w:tcPr>
          <w:p w14:paraId="0EC8521A">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坪山街道为民街26号</w:t>
            </w:r>
          </w:p>
        </w:tc>
      </w:tr>
      <w:tr w14:paraId="32D4B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shd w:val="clear" w:color="auto" w:fill="auto"/>
            <w:noWrap w:val="0"/>
            <w:vAlign w:val="center"/>
          </w:tcPr>
          <w:p w14:paraId="77A5082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坪山综合市场</w:t>
            </w:r>
          </w:p>
        </w:tc>
        <w:tc>
          <w:tcPr>
            <w:tcW w:w="1743" w:type="dxa"/>
            <w:shd w:val="clear" w:color="auto" w:fill="auto"/>
            <w:noWrap w:val="0"/>
            <w:vAlign w:val="center"/>
          </w:tcPr>
          <w:p w14:paraId="5365B70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24929.82</w:t>
            </w:r>
          </w:p>
        </w:tc>
        <w:tc>
          <w:tcPr>
            <w:tcW w:w="4906" w:type="dxa"/>
            <w:shd w:val="clear" w:color="auto" w:fill="auto"/>
            <w:noWrap w:val="0"/>
            <w:vAlign w:val="center"/>
          </w:tcPr>
          <w:p w14:paraId="4AFD294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坪山街道国泰路1号</w:t>
            </w:r>
          </w:p>
        </w:tc>
      </w:tr>
      <w:tr w14:paraId="4B805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shd w:val="clear" w:color="auto" w:fill="auto"/>
            <w:noWrap w:val="0"/>
            <w:vAlign w:val="center"/>
          </w:tcPr>
          <w:p w14:paraId="5950109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坑梓市场</w:t>
            </w:r>
          </w:p>
        </w:tc>
        <w:tc>
          <w:tcPr>
            <w:tcW w:w="1743" w:type="dxa"/>
            <w:shd w:val="clear" w:color="auto" w:fill="auto"/>
            <w:noWrap w:val="0"/>
            <w:vAlign w:val="center"/>
          </w:tcPr>
          <w:p w14:paraId="69CC1F9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4624.96</w:t>
            </w:r>
          </w:p>
        </w:tc>
        <w:tc>
          <w:tcPr>
            <w:tcW w:w="4906" w:type="dxa"/>
            <w:shd w:val="clear" w:color="auto" w:fill="auto"/>
            <w:noWrap w:val="0"/>
            <w:vAlign w:val="center"/>
          </w:tcPr>
          <w:p w14:paraId="63CE674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坑梓街道深汕路488号</w:t>
            </w:r>
          </w:p>
        </w:tc>
      </w:tr>
      <w:tr w14:paraId="72710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55148E66">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投保标的名称</w:t>
            </w:r>
          </w:p>
        </w:tc>
        <w:tc>
          <w:tcPr>
            <w:tcW w:w="1743" w:type="dxa"/>
            <w:noWrap w:val="0"/>
            <w:vAlign w:val="center"/>
          </w:tcPr>
          <w:p w14:paraId="7E0C85B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面积</w:t>
            </w:r>
          </w:p>
          <w:p w14:paraId="0C1518B4">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（平方米）</w:t>
            </w:r>
          </w:p>
        </w:tc>
        <w:tc>
          <w:tcPr>
            <w:tcW w:w="4906" w:type="dxa"/>
            <w:noWrap w:val="0"/>
            <w:vAlign w:val="center"/>
          </w:tcPr>
          <w:p w14:paraId="2311A67F">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投保标的地址</w:t>
            </w:r>
          </w:p>
        </w:tc>
      </w:tr>
      <w:tr w14:paraId="1E5DB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50AE0902">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坪地市场</w:t>
            </w:r>
          </w:p>
        </w:tc>
        <w:tc>
          <w:tcPr>
            <w:tcW w:w="1743" w:type="dxa"/>
            <w:noWrap w:val="0"/>
            <w:vAlign w:val="center"/>
          </w:tcPr>
          <w:p w14:paraId="400744A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7692</w:t>
            </w:r>
          </w:p>
        </w:tc>
        <w:tc>
          <w:tcPr>
            <w:tcW w:w="4906" w:type="dxa"/>
            <w:noWrap w:val="0"/>
            <w:vAlign w:val="center"/>
          </w:tcPr>
          <w:p w14:paraId="6C3971EA">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坪地街道新街25号</w:t>
            </w:r>
          </w:p>
        </w:tc>
      </w:tr>
      <w:tr w14:paraId="1BBB4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1D941BBE">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color w:val="000000"/>
                <w:sz w:val="24"/>
                <w:szCs w:val="24"/>
              </w:rPr>
            </w:pPr>
            <w:r>
              <w:rPr>
                <w:rFonts w:hint="eastAsia" w:ascii="仿宋" w:hAnsi="仿宋" w:eastAsia="仿宋" w:cs="仿宋"/>
                <w:color w:val="000000"/>
                <w:sz w:val="24"/>
                <w:szCs w:val="24"/>
              </w:rPr>
              <w:t>南澳市场</w:t>
            </w:r>
          </w:p>
        </w:tc>
        <w:tc>
          <w:tcPr>
            <w:tcW w:w="1743" w:type="dxa"/>
            <w:noWrap w:val="0"/>
            <w:vAlign w:val="center"/>
          </w:tcPr>
          <w:p w14:paraId="2330A1D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1695.33</w:t>
            </w:r>
          </w:p>
        </w:tc>
        <w:tc>
          <w:tcPr>
            <w:tcW w:w="4906" w:type="dxa"/>
            <w:noWrap w:val="0"/>
            <w:vAlign w:val="center"/>
          </w:tcPr>
          <w:p w14:paraId="69D80B43">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南澳街道富民路西侧</w:t>
            </w:r>
          </w:p>
        </w:tc>
      </w:tr>
      <w:tr w14:paraId="53CB5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28178CB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王母市场</w:t>
            </w:r>
          </w:p>
        </w:tc>
        <w:tc>
          <w:tcPr>
            <w:tcW w:w="1743" w:type="dxa"/>
            <w:noWrap w:val="0"/>
            <w:vAlign w:val="center"/>
          </w:tcPr>
          <w:p w14:paraId="3B815B5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5663.49</w:t>
            </w:r>
          </w:p>
        </w:tc>
        <w:tc>
          <w:tcPr>
            <w:tcW w:w="4906" w:type="dxa"/>
            <w:noWrap w:val="0"/>
            <w:vAlign w:val="center"/>
          </w:tcPr>
          <w:p w14:paraId="5FBFD50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大鹏新区王母社区振兴路7-8号</w:t>
            </w:r>
          </w:p>
        </w:tc>
      </w:tr>
      <w:tr w14:paraId="2DA04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4215E01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龙福一村综合楼</w:t>
            </w:r>
          </w:p>
          <w:p w14:paraId="75D8AE9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lang w:eastAsia="zh-CN"/>
              </w:rPr>
            </w:pPr>
            <w:r>
              <w:rPr>
                <w:rFonts w:hint="eastAsia" w:ascii="仿宋" w:hAnsi="仿宋" w:eastAsia="仿宋" w:cs="仿宋"/>
                <w:color w:val="auto"/>
                <w:sz w:val="24"/>
                <w:szCs w:val="24"/>
                <w:lang w:eastAsia="zh-CN"/>
              </w:rPr>
              <w:t>第一层</w:t>
            </w:r>
            <w:r>
              <w:rPr>
                <w:rFonts w:hint="eastAsia" w:ascii="仿宋" w:hAnsi="仿宋" w:eastAsia="仿宋" w:cs="仿宋"/>
                <w:color w:val="auto"/>
                <w:sz w:val="24"/>
                <w:szCs w:val="24"/>
                <w:lang w:val="en-US" w:eastAsia="zh-CN"/>
              </w:rPr>
              <w:t>-龙广优选</w:t>
            </w:r>
          </w:p>
        </w:tc>
        <w:tc>
          <w:tcPr>
            <w:tcW w:w="1743" w:type="dxa"/>
            <w:noWrap w:val="0"/>
            <w:vAlign w:val="center"/>
          </w:tcPr>
          <w:p w14:paraId="26D652A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2759.64</w:t>
            </w:r>
          </w:p>
        </w:tc>
        <w:tc>
          <w:tcPr>
            <w:tcW w:w="4906" w:type="dxa"/>
            <w:noWrap w:val="0"/>
            <w:vAlign w:val="center"/>
          </w:tcPr>
          <w:p w14:paraId="7C1872EC">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龙岗中心城龙福一村综合楼一楼</w:t>
            </w:r>
          </w:p>
        </w:tc>
      </w:tr>
      <w:tr w14:paraId="54D63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0E0F02A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eastAsia="zh-CN"/>
              </w:rPr>
              <w:t>龙岗</w:t>
            </w:r>
            <w:r>
              <w:rPr>
                <w:rFonts w:hint="eastAsia" w:ascii="仿宋" w:hAnsi="仿宋" w:eastAsia="仿宋" w:cs="仿宋"/>
                <w:sz w:val="24"/>
                <w:szCs w:val="24"/>
              </w:rPr>
              <w:t>天安数码</w:t>
            </w:r>
            <w:r>
              <w:rPr>
                <w:rFonts w:hint="eastAsia" w:ascii="仿宋" w:hAnsi="仿宋" w:eastAsia="仿宋" w:cs="仿宋"/>
                <w:sz w:val="24"/>
                <w:szCs w:val="24"/>
                <w:lang w:eastAsia="zh-CN"/>
              </w:rPr>
              <w:t>创新园三号厂房</w:t>
            </w:r>
            <w:r>
              <w:rPr>
                <w:rFonts w:hint="eastAsia" w:ascii="仿宋" w:hAnsi="仿宋" w:eastAsia="仿宋" w:cs="仿宋"/>
                <w:sz w:val="24"/>
                <w:szCs w:val="24"/>
                <w:lang w:val="en-US" w:eastAsia="zh-CN"/>
              </w:rPr>
              <w:t>A1101-A1104</w:t>
            </w:r>
          </w:p>
        </w:tc>
        <w:tc>
          <w:tcPr>
            <w:tcW w:w="1743" w:type="dxa"/>
            <w:noWrap w:val="0"/>
            <w:vAlign w:val="center"/>
          </w:tcPr>
          <w:p w14:paraId="4D682758">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1770.95</w:t>
            </w:r>
          </w:p>
        </w:tc>
        <w:tc>
          <w:tcPr>
            <w:tcW w:w="4906" w:type="dxa"/>
            <w:noWrap w:val="0"/>
            <w:vAlign w:val="center"/>
          </w:tcPr>
          <w:p w14:paraId="46D9C46A">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龙岗中心城清林西路与黄阁北路交汇处</w:t>
            </w:r>
          </w:p>
        </w:tc>
      </w:tr>
      <w:tr w14:paraId="6D26F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229DCA8C">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color w:val="000000"/>
                <w:sz w:val="24"/>
                <w:szCs w:val="24"/>
              </w:rPr>
              <w:t>启迪协信科技园物业</w:t>
            </w:r>
          </w:p>
        </w:tc>
        <w:tc>
          <w:tcPr>
            <w:tcW w:w="1743" w:type="dxa"/>
            <w:noWrap w:val="0"/>
            <w:vAlign w:val="center"/>
          </w:tcPr>
          <w:p w14:paraId="0781200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rPr>
              <w:t>153</w:t>
            </w:r>
            <w:r>
              <w:rPr>
                <w:rFonts w:hint="eastAsia" w:ascii="仿宋" w:hAnsi="仿宋" w:eastAsia="仿宋" w:cs="仿宋"/>
                <w:sz w:val="24"/>
                <w:szCs w:val="24"/>
                <w:lang w:val="en-US" w:eastAsia="zh-CN"/>
              </w:rPr>
              <w:t>3</w:t>
            </w:r>
          </w:p>
        </w:tc>
        <w:tc>
          <w:tcPr>
            <w:tcW w:w="4906" w:type="dxa"/>
            <w:noWrap w:val="0"/>
            <w:vAlign w:val="center"/>
          </w:tcPr>
          <w:p w14:paraId="15205AE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龙城街道大运新城青春路与飞扬路交汇处</w:t>
            </w:r>
          </w:p>
          <w:p w14:paraId="5B2733AB">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5栋13楼</w:t>
            </w:r>
          </w:p>
        </w:tc>
      </w:tr>
      <w:tr w14:paraId="7964D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288019FC">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坪山厂房</w:t>
            </w:r>
          </w:p>
        </w:tc>
        <w:tc>
          <w:tcPr>
            <w:tcW w:w="1743" w:type="dxa"/>
            <w:noWrap w:val="0"/>
            <w:vAlign w:val="center"/>
          </w:tcPr>
          <w:p w14:paraId="384DEFA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30021.5</w:t>
            </w:r>
          </w:p>
        </w:tc>
        <w:tc>
          <w:tcPr>
            <w:tcW w:w="4906" w:type="dxa"/>
            <w:noWrap w:val="0"/>
            <w:vAlign w:val="center"/>
          </w:tcPr>
          <w:p w14:paraId="38A3903E">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坪山区大工业区兰竹西路海翔工业园A1栋</w:t>
            </w:r>
          </w:p>
        </w:tc>
      </w:tr>
      <w:tr w14:paraId="0D1D5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2830" w:type="dxa"/>
            <w:noWrap w:val="0"/>
            <w:vAlign w:val="center"/>
          </w:tcPr>
          <w:p w14:paraId="41553D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ascii="仿宋" w:hAnsi="仿宋" w:eastAsia="仿宋" w:cs="仿宋"/>
                <w:color w:val="000000"/>
                <w:sz w:val="24"/>
                <w:szCs w:val="24"/>
              </w:rPr>
            </w:pPr>
            <w:r>
              <w:rPr>
                <w:rFonts w:ascii="仿宋" w:hAnsi="仿宋" w:eastAsia="仿宋" w:cs="仿宋"/>
                <w:color w:val="000000"/>
                <w:kern w:val="0"/>
                <w:sz w:val="24"/>
                <w:szCs w:val="24"/>
                <w:lang w:val="en-US" w:eastAsia="zh-CN" w:bidi="ar"/>
              </w:rPr>
              <w:t>工商大厦9、10楼</w:t>
            </w:r>
          </w:p>
        </w:tc>
        <w:tc>
          <w:tcPr>
            <w:tcW w:w="1743" w:type="dxa"/>
            <w:noWrap w:val="0"/>
            <w:vAlign w:val="center"/>
          </w:tcPr>
          <w:p w14:paraId="72E6655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2966</w:t>
            </w:r>
          </w:p>
        </w:tc>
        <w:tc>
          <w:tcPr>
            <w:tcW w:w="4906" w:type="dxa"/>
            <w:noWrap w:val="0"/>
            <w:vAlign w:val="center"/>
          </w:tcPr>
          <w:p w14:paraId="6B8A4E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ascii="仿宋" w:hAnsi="仿宋" w:eastAsia="仿宋" w:cs="仿宋"/>
                <w:color w:val="000000"/>
                <w:sz w:val="24"/>
                <w:szCs w:val="24"/>
              </w:rPr>
            </w:pPr>
            <w:r>
              <w:rPr>
                <w:rFonts w:ascii="仿宋" w:hAnsi="仿宋" w:eastAsia="仿宋" w:cs="仿宋"/>
                <w:color w:val="000000"/>
                <w:kern w:val="0"/>
                <w:sz w:val="24"/>
                <w:szCs w:val="24"/>
                <w:lang w:val="en-US" w:eastAsia="zh-CN" w:bidi="ar"/>
              </w:rPr>
              <w:t>龙岗中心城行政路 8 号</w:t>
            </w:r>
          </w:p>
        </w:tc>
      </w:tr>
      <w:tr w14:paraId="48CE4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noWrap w:val="0"/>
            <w:vAlign w:val="center"/>
          </w:tcPr>
          <w:p w14:paraId="30D93A7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龙广优选粮油超市</w:t>
            </w:r>
          </w:p>
        </w:tc>
        <w:tc>
          <w:tcPr>
            <w:tcW w:w="1743" w:type="dxa"/>
            <w:noWrap w:val="0"/>
            <w:vAlign w:val="center"/>
          </w:tcPr>
          <w:p w14:paraId="19F8DAE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146.4</w:t>
            </w:r>
          </w:p>
        </w:tc>
        <w:tc>
          <w:tcPr>
            <w:tcW w:w="4906" w:type="dxa"/>
            <w:noWrap w:val="0"/>
            <w:vAlign w:val="center"/>
          </w:tcPr>
          <w:p w14:paraId="4E8E1C5B">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color w:val="000000"/>
                <w:sz w:val="24"/>
                <w:szCs w:val="24"/>
              </w:rPr>
            </w:pPr>
            <w:r>
              <w:rPr>
                <w:rFonts w:hint="eastAsia" w:ascii="仿宋" w:hAnsi="仿宋" w:eastAsia="仿宋" w:cs="仿宋"/>
                <w:color w:val="000000"/>
                <w:kern w:val="2"/>
                <w:sz w:val="24"/>
                <w:szCs w:val="24"/>
                <w:lang w:val="en-US" w:eastAsia="zh-CN" w:bidi="ar-SA"/>
              </w:rPr>
              <w:t>深圳市龙岗区吉福路2号</w:t>
            </w:r>
          </w:p>
        </w:tc>
      </w:tr>
      <w:tr w14:paraId="7EA84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830" w:type="dxa"/>
            <w:shd w:val="clear" w:color="auto" w:fill="auto"/>
            <w:noWrap w:val="0"/>
            <w:vAlign w:val="center"/>
          </w:tcPr>
          <w:p w14:paraId="4CF80B5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2"/>
                <w:sz w:val="24"/>
                <w:szCs w:val="24"/>
                <w:lang w:val="en-US" w:eastAsia="zh-CN" w:bidi="ar-SA"/>
                <w14:ligatures w14:val="standardContextual"/>
              </w:rPr>
            </w:pPr>
            <w:r>
              <w:rPr>
                <w:rFonts w:hint="eastAsia" w:ascii="仿宋" w:hAnsi="仿宋" w:eastAsia="仿宋" w:cs="仿宋"/>
                <w:color w:val="000000"/>
                <w:sz w:val="24"/>
                <w:szCs w:val="24"/>
              </w:rPr>
              <w:t>合计</w:t>
            </w:r>
          </w:p>
        </w:tc>
        <w:tc>
          <w:tcPr>
            <w:tcW w:w="1743" w:type="dxa"/>
            <w:shd w:val="clear" w:color="auto" w:fill="auto"/>
            <w:noWrap w:val="0"/>
            <w:vAlign w:val="center"/>
          </w:tcPr>
          <w:p w14:paraId="02F9A3D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kern w:val="2"/>
                <w:sz w:val="24"/>
                <w:szCs w:val="24"/>
                <w:lang w:val="en-US" w:eastAsia="zh-CN" w:bidi="ar-SA"/>
                <w14:ligatures w14:val="standardContextual"/>
              </w:rPr>
            </w:pPr>
            <w:r>
              <w:rPr>
                <w:rFonts w:hint="eastAsia" w:ascii="仿宋" w:hAnsi="仿宋" w:eastAsia="仿宋" w:cs="仿宋"/>
                <w:color w:val="000000"/>
                <w:kern w:val="2"/>
                <w:sz w:val="24"/>
                <w:szCs w:val="24"/>
                <w:lang w:val="en-US" w:eastAsia="zh-CN" w:bidi="ar-SA"/>
                <w14:ligatures w14:val="standardContextual"/>
              </w:rPr>
              <w:t>140523.23</w:t>
            </w:r>
          </w:p>
        </w:tc>
        <w:tc>
          <w:tcPr>
            <w:tcW w:w="4906" w:type="dxa"/>
            <w:shd w:val="clear" w:color="auto" w:fill="auto"/>
            <w:noWrap w:val="0"/>
            <w:vAlign w:val="center"/>
          </w:tcPr>
          <w:p w14:paraId="41EB99B5">
            <w:pPr>
              <w:keepNext w:val="0"/>
              <w:keepLines w:val="0"/>
              <w:pageBreakBefore w:val="0"/>
              <w:kinsoku/>
              <w:wordWrap/>
              <w:overflowPunct/>
              <w:topLinePunct w:val="0"/>
              <w:autoSpaceDE/>
              <w:autoSpaceDN/>
              <w:bidi w:val="0"/>
              <w:adjustRightInd/>
              <w:snapToGrid/>
              <w:spacing w:line="360" w:lineRule="exact"/>
              <w:jc w:val="center"/>
              <w:textAlignment w:val="auto"/>
              <w:rPr>
                <w:rFonts w:ascii="仿宋" w:hAnsi="仿宋" w:eastAsia="仿宋" w:cs="仿宋"/>
                <w:color w:val="000000"/>
                <w:kern w:val="2"/>
                <w:sz w:val="24"/>
                <w:szCs w:val="24"/>
                <w:lang w:val="en-US" w:eastAsia="zh-CN" w:bidi="ar-SA"/>
                <w14:ligatures w14:val="standardContextual"/>
              </w:rPr>
            </w:pPr>
          </w:p>
        </w:tc>
      </w:tr>
    </w:tbl>
    <w:p w14:paraId="45EF5F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（二）保险内容：‌</w:t>
      </w:r>
    </w:p>
    <w:p w14:paraId="5E03D0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1.保险标的：</w:t>
      </w:r>
    </w:p>
    <w:p w14:paraId="4DC92C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主要包括公司各下属的物业（详见基本情况），我公司现有物业面积合计140523.23平方米</w:t>
      </w:r>
    </w:p>
    <w:p w14:paraId="747C41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2.保险主要条款：</w:t>
      </w:r>
    </w:p>
    <w:p w14:paraId="393D1D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（1）免赔约定：每次事故财产损失免赔额：每次事故财产损失绝对免赔额为人民币壹仟元整或损失金额的5％，两者以高者为准。</w:t>
      </w:r>
    </w:p>
    <w:p w14:paraId="2414C9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（2）赔偿限额：每次事故不低于500万，其中每人不低于50万，保险期限内累计不低于1000万。</w:t>
      </w:r>
    </w:p>
    <w:p w14:paraId="5C05A1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（3）赔偿处理：在保险有效期限内，保险标的发生保险责任范围内的损失，保险人负责赔偿：</w:t>
      </w:r>
    </w:p>
    <w:p w14:paraId="2C044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1.第三者人身伤亡或财产损失；</w:t>
      </w:r>
    </w:p>
    <w:p w14:paraId="069882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2.事先经保险人书面同意的诉讼费用；</w:t>
      </w:r>
    </w:p>
    <w:p w14:paraId="1A5A7E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3.发生保险责任事故后，被保险人为缩小或减少对第三者伤亡或财产损失的赔偿责任所支付的必要的、合理的费用。</w:t>
      </w:r>
    </w:p>
    <w:p w14:paraId="0ABFBA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3.附加条款：</w:t>
      </w:r>
    </w:p>
    <w:p w14:paraId="1305C6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1.附加电梯责任条款；</w:t>
      </w:r>
    </w:p>
    <w:p w14:paraId="385E29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2.附加罢工、暴乱、民众骚乱及恶意破坏条款</w:t>
      </w:r>
    </w:p>
    <w:p w14:paraId="31E636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3.附加火灾和爆炸责任条款；</w:t>
      </w:r>
    </w:p>
    <w:p w14:paraId="0738E6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4.附加广告及装饰装置责任条款；</w:t>
      </w:r>
    </w:p>
    <w:p w14:paraId="3CF3EA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5.附加出租人责任条款</w:t>
      </w:r>
    </w:p>
    <w:p w14:paraId="136184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四、投标人资格要求</w:t>
      </w:r>
      <w:r>
        <w:rPr>
          <w:rFonts w:hint="eastAsia" w:ascii="仿宋_GB2312" w:hAnsi="仿宋_GB2312" w:eastAsia="仿宋_GB2312" w:cs="仿宋_GB2312"/>
          <w:color w:val="auto"/>
          <w:sz w:val="32"/>
          <w:szCs w:val="32"/>
        </w:rPr>
        <w:t>‌</w:t>
      </w:r>
    </w:p>
    <w:p w14:paraId="3C482A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（一）基本资格‌：</w:t>
      </w:r>
    </w:p>
    <w:p w14:paraId="226F00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1.在中华人民共和国境内注册，能独立承担民事责任的法人或组织；</w:t>
      </w:r>
    </w:p>
    <w:p w14:paraId="0805CD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2.具备保险行业相关资质；</w:t>
      </w:r>
    </w:p>
    <w:p w14:paraId="79BD67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3.近三年内无重大违法违规记录（需提供公共信用信息查询报告）。</w:t>
      </w:r>
    </w:p>
    <w:p w14:paraId="3CBD17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sz w:val="32"/>
          <w:szCs w:val="32"/>
          <w:lang w:val="en-US" w:eastAsia="zh-CN"/>
        </w:rPr>
        <w:t>五、评标方式与流程</w:t>
      </w:r>
      <w:r>
        <w:rPr>
          <w:rFonts w:hint="eastAsia" w:ascii="仿宋_GB2312" w:hAnsi="仿宋_GB2312" w:eastAsia="仿宋_GB2312" w:cs="仿宋_GB2312"/>
          <w:color w:val="auto"/>
          <w:sz w:val="32"/>
          <w:szCs w:val="32"/>
          <w:lang w:eastAsia="zh-CN"/>
        </w:rPr>
        <w:t>‌</w:t>
      </w:r>
    </w:p>
    <w:p w14:paraId="50A162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评标方法‌：</w:t>
      </w:r>
      <w:r>
        <w:rPr>
          <w:rFonts w:hint="eastAsia" w:ascii="仿宋_GB2312" w:hAnsi="仿宋_GB2312" w:eastAsia="仿宋_GB2312" w:cs="仿宋_GB2312"/>
          <w:color w:val="auto"/>
          <w:sz w:val="32"/>
          <w:szCs w:val="32"/>
          <w:lang w:val="en-US" w:eastAsia="zh-CN"/>
        </w:rPr>
        <w:t>低价中标</w:t>
      </w:r>
      <w:r>
        <w:rPr>
          <w:rFonts w:hint="eastAsia" w:ascii="仿宋_GB2312" w:hAnsi="仿宋_GB2312" w:eastAsia="仿宋_GB2312" w:cs="仿宋_GB2312"/>
          <w:color w:val="auto"/>
          <w:sz w:val="32"/>
          <w:szCs w:val="32"/>
        </w:rPr>
        <w:t>法</w:t>
      </w:r>
      <w:r>
        <w:rPr>
          <w:rFonts w:hint="eastAsia" w:ascii="仿宋_GB2312" w:hAnsi="仿宋_GB2312" w:eastAsia="仿宋_GB2312" w:cs="仿宋_GB2312"/>
          <w:color w:val="auto"/>
          <w:sz w:val="32"/>
          <w:szCs w:val="32"/>
          <w:lang w:eastAsia="zh-CN"/>
        </w:rPr>
        <w:t>。</w:t>
      </w:r>
    </w:p>
    <w:p w14:paraId="56195C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本次询价遵循公开透明、公平竞争的原则</w:t>
      </w:r>
    </w:p>
    <w:p w14:paraId="305E61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若在承保范围、承保额度一致的前提下，以价低者得的方式确认最终服务供应商。</w:t>
      </w:r>
    </w:p>
    <w:p w14:paraId="205F4B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若承保范围、投标价格一致则以保额度较高者确定为最终供应商。</w:t>
      </w:r>
    </w:p>
    <w:p w14:paraId="78896E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（二）服务期‌：采用“1+1+1”模式，首个合同期1年，后续每年根据《服务机构履约情况评价表》评定结果（评定等级为优秀）可续约1年，续约时长不超过24个月。2.</w:t>
      </w:r>
      <w:r>
        <w:rPr>
          <w:rFonts w:hint="eastAsia" w:ascii="仿宋_GB2312" w:hAnsi="仿宋_GB2312" w:eastAsia="仿宋_GB2312" w:cs="仿宋_GB2312"/>
          <w:color w:val="auto"/>
          <w:sz w:val="32"/>
          <w:szCs w:val="32"/>
        </w:rPr>
        <w:t>有效投标人＜3家时，</w:t>
      </w:r>
      <w:r>
        <w:rPr>
          <w:rFonts w:hint="eastAsia" w:ascii="仿宋_GB2312" w:hAnsi="仿宋_GB2312" w:eastAsia="仿宋_GB2312" w:cs="仿宋_GB2312"/>
          <w:color w:val="auto"/>
          <w:sz w:val="32"/>
          <w:szCs w:val="32"/>
          <w:lang w:val="en-US" w:eastAsia="zh-CN"/>
        </w:rPr>
        <w:t>本次</w:t>
      </w:r>
      <w:r>
        <w:rPr>
          <w:rFonts w:hint="eastAsia" w:ascii="仿宋_GB2312" w:hAnsi="仿宋_GB2312" w:eastAsia="仿宋_GB2312" w:cs="仿宋_GB2312"/>
          <w:color w:val="auto"/>
          <w:sz w:val="32"/>
          <w:szCs w:val="32"/>
        </w:rPr>
        <w:t>将</w:t>
      </w:r>
      <w:r>
        <w:rPr>
          <w:rFonts w:hint="eastAsia" w:ascii="仿宋_GB2312" w:hAnsi="仿宋_GB2312" w:eastAsia="仿宋_GB2312" w:cs="仿宋_GB2312"/>
          <w:color w:val="auto"/>
          <w:sz w:val="32"/>
          <w:szCs w:val="32"/>
          <w:lang w:val="en-US" w:eastAsia="zh-CN"/>
        </w:rPr>
        <w:t>作流标处理，并</w:t>
      </w:r>
      <w:r>
        <w:rPr>
          <w:rFonts w:hint="eastAsia" w:ascii="仿宋_GB2312" w:hAnsi="仿宋_GB2312" w:eastAsia="仿宋_GB2312" w:cs="仿宋_GB2312"/>
          <w:color w:val="auto"/>
          <w:sz w:val="32"/>
          <w:szCs w:val="32"/>
        </w:rPr>
        <w:t>进行第二次公告；经二次公告后，若合格响应单位仅有2家的，转为竞争性谈判，若有效响应单位仅有1家的，将直接选定成交单位。</w:t>
      </w:r>
      <w:bookmarkStart w:id="0" w:name="_Hlt503692538"/>
      <w:bookmarkEnd w:id="0"/>
    </w:p>
    <w:p w14:paraId="330665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六、费用及支付方式</w:t>
      </w:r>
    </w:p>
    <w:p w14:paraId="3B20AB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1.本项目设置最高限价为4.2万元/年。供应商报价为合同上限价</w:t>
      </w:r>
    </w:p>
    <w:p w14:paraId="55FCBC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支付方式：一次性付款。供应商向我公司开具符合深圳市财税规定的且与将要付款金额一致的增值税普通发票，我公司收到发票后将货款以银行转账方式转入供应商公司账户。供应商未能依约提供发票的，我公司有权拒绝付款且不视为我公司违约。</w:t>
      </w:r>
    </w:p>
    <w:p w14:paraId="630E2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七、报价材料及注意事项</w:t>
      </w:r>
    </w:p>
    <w:p w14:paraId="0A3BBF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（一）报价材料：</w:t>
      </w:r>
    </w:p>
    <w:p w14:paraId="60BF9D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1.报价单（附件1）；</w:t>
      </w:r>
    </w:p>
    <w:p w14:paraId="796AAE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2.营业执照</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法人</w:t>
      </w:r>
      <w:r>
        <w:rPr>
          <w:rFonts w:hint="eastAsia" w:ascii="仿宋_GB2312" w:hAnsi="仿宋_GB2312" w:eastAsia="仿宋_GB2312" w:cs="仿宋_GB2312"/>
          <w:b w:val="0"/>
          <w:bCs w:val="0"/>
          <w:color w:val="auto"/>
          <w:sz w:val="32"/>
          <w:szCs w:val="32"/>
          <w:lang w:val="en-US" w:eastAsia="zh-CN"/>
        </w:rPr>
        <w:t>证明书</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保险行业</w:t>
      </w:r>
      <w:r>
        <w:rPr>
          <w:rFonts w:hint="eastAsia" w:ascii="仿宋_GB2312" w:hAnsi="仿宋_GB2312" w:eastAsia="仿宋_GB2312" w:cs="仿宋_GB2312"/>
          <w:b w:val="0"/>
          <w:bCs w:val="0"/>
          <w:color w:val="auto"/>
          <w:sz w:val="32"/>
          <w:szCs w:val="32"/>
        </w:rPr>
        <w:t>资质证书、法定代表人授权书</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若有</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p>
    <w:p w14:paraId="7D27D5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.近三年无违规记录证明（信用报告）；</w:t>
      </w:r>
    </w:p>
    <w:p w14:paraId="6213A4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.同类项目合同及履约评价关键页（至少1-3项）</w:t>
      </w:r>
      <w:r>
        <w:rPr>
          <w:rFonts w:hint="eastAsia" w:ascii="仿宋_GB2312" w:hAnsi="仿宋_GB2312" w:eastAsia="仿宋_GB2312" w:cs="仿宋_GB2312"/>
          <w:b w:val="0"/>
          <w:bCs w:val="0"/>
          <w:color w:val="auto"/>
          <w:sz w:val="32"/>
          <w:szCs w:val="32"/>
          <w:lang w:eastAsia="zh-CN"/>
        </w:rPr>
        <w:t>；</w:t>
      </w:r>
    </w:p>
    <w:p w14:paraId="2EAABF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5.承诺函（附件2）</w:t>
      </w:r>
    </w:p>
    <w:p w14:paraId="2BAD38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（二）注意事项：</w:t>
      </w:r>
    </w:p>
    <w:p w14:paraId="77614C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1.以上材料所有材料</w:t>
      </w:r>
      <w:r>
        <w:rPr>
          <w:rFonts w:hint="eastAsia" w:ascii="仿宋_GB2312" w:hAnsi="仿宋_GB2312" w:eastAsia="仿宋_GB2312" w:cs="仿宋_GB2312"/>
          <w:color w:val="auto"/>
          <w:sz w:val="32"/>
          <w:szCs w:val="32"/>
        </w:rPr>
        <w:t>密封包装，贴密封条并加盖公章，资料缺失视为无效投标。</w:t>
      </w:r>
    </w:p>
    <w:p w14:paraId="789122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2.请将报价文件（第1项）和资质文件（第2-5项）分别密封（封面分别标注报价文件和资质文件）并加盖公司公章，装至同一文件夹内寄出。</w:t>
      </w:r>
    </w:p>
    <w:p w14:paraId="46E368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八、报价文件递交</w:t>
      </w:r>
    </w:p>
    <w:p w14:paraId="23D2F8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报价材料以快递方式投递，</w:t>
      </w:r>
      <w:r>
        <w:rPr>
          <w:rFonts w:hint="eastAsia" w:ascii="仿宋_GB2312" w:hAnsi="仿宋_GB2312" w:eastAsia="仿宋_GB2312" w:cs="仿宋_GB2312"/>
          <w:b w:val="0"/>
          <w:bCs w:val="0"/>
          <w:color w:val="auto"/>
          <w:sz w:val="32"/>
          <w:szCs w:val="32"/>
          <w:lang w:val="en-US" w:eastAsia="zh-CN"/>
        </w:rPr>
        <w:t>投</w:t>
      </w:r>
      <w:r>
        <w:rPr>
          <w:rFonts w:hint="eastAsia" w:ascii="仿宋_GB2312" w:hAnsi="仿宋_GB2312" w:eastAsia="仿宋_GB2312" w:cs="仿宋_GB2312"/>
          <w:b w:val="0"/>
          <w:bCs w:val="0"/>
          <w:color w:val="auto"/>
          <w:sz w:val="32"/>
          <w:szCs w:val="32"/>
        </w:rPr>
        <w:t>标时间</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快递地址及联系人</w:t>
      </w:r>
      <w:r>
        <w:rPr>
          <w:rFonts w:hint="eastAsia" w:ascii="仿宋_GB2312" w:hAnsi="仿宋_GB2312" w:eastAsia="仿宋_GB2312" w:cs="仿宋_GB2312"/>
          <w:b w:val="0"/>
          <w:bCs w:val="0"/>
          <w:color w:val="auto"/>
          <w:sz w:val="32"/>
          <w:szCs w:val="32"/>
        </w:rPr>
        <w:t>以</w:t>
      </w:r>
      <w:r>
        <w:rPr>
          <w:rFonts w:hint="eastAsia" w:ascii="仿宋_GB2312" w:hAnsi="仿宋_GB2312" w:eastAsia="仿宋_GB2312" w:cs="仿宋_GB2312"/>
          <w:b w:val="0"/>
          <w:bCs w:val="0"/>
          <w:color w:val="auto"/>
          <w:sz w:val="32"/>
          <w:szCs w:val="32"/>
          <w:lang w:val="en-US" w:eastAsia="zh-CN"/>
        </w:rPr>
        <w:t>采购公告</w:t>
      </w:r>
      <w:r>
        <w:rPr>
          <w:rFonts w:hint="eastAsia" w:ascii="仿宋_GB2312" w:hAnsi="仿宋_GB2312" w:eastAsia="仿宋_GB2312" w:cs="仿宋_GB2312"/>
          <w:b w:val="0"/>
          <w:bCs w:val="0"/>
          <w:color w:val="auto"/>
          <w:sz w:val="32"/>
          <w:szCs w:val="32"/>
        </w:rPr>
        <w:t>中</w:t>
      </w:r>
      <w:r>
        <w:rPr>
          <w:rFonts w:hint="eastAsia" w:ascii="仿宋_GB2312" w:hAnsi="仿宋_GB2312" w:eastAsia="仿宋_GB2312" w:cs="仿宋_GB2312"/>
          <w:b w:val="0"/>
          <w:bCs w:val="0"/>
          <w:color w:val="auto"/>
          <w:sz w:val="32"/>
          <w:szCs w:val="32"/>
          <w:lang w:val="en-US" w:eastAsia="zh-CN"/>
        </w:rPr>
        <w:t>内容</w:t>
      </w:r>
      <w:r>
        <w:rPr>
          <w:rFonts w:hint="eastAsia" w:ascii="仿宋_GB2312" w:hAnsi="仿宋_GB2312" w:eastAsia="仿宋_GB2312" w:cs="仿宋_GB2312"/>
          <w:b w:val="0"/>
          <w:bCs w:val="0"/>
          <w:color w:val="auto"/>
          <w:sz w:val="32"/>
          <w:szCs w:val="32"/>
        </w:rPr>
        <w:t>为准。</w:t>
      </w:r>
    </w:p>
    <w:p w14:paraId="3F6E60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九、评审规则</w:t>
      </w:r>
    </w:p>
    <w:p w14:paraId="30DEFC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我司</w:t>
      </w:r>
      <w:bookmarkStart w:id="1" w:name="_GoBack"/>
      <w:bookmarkEnd w:id="1"/>
      <w:r>
        <w:rPr>
          <w:rFonts w:hint="eastAsia" w:ascii="仿宋_GB2312" w:hAnsi="仿宋_GB2312" w:eastAsia="仿宋_GB2312" w:cs="仿宋_GB2312"/>
          <w:b w:val="0"/>
          <w:bCs w:val="0"/>
          <w:color w:val="auto"/>
          <w:sz w:val="32"/>
          <w:szCs w:val="32"/>
        </w:rPr>
        <w:t>成立评审小组，评审监督员从监督小组随机选定监督员；评审小组成员由采购领导小组在开标前从公司定标小组成员库中选定，由评审小组对进行报价的供应商进行评审，最终将报价最低者作为本次采购的供应商，由监督员对整个评审过程进行监督。</w:t>
      </w:r>
    </w:p>
    <w:p w14:paraId="0DD405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十、其他要求和内容</w:t>
      </w:r>
    </w:p>
    <w:p w14:paraId="0C4718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1</w:t>
      </w:r>
      <w:r>
        <w:rPr>
          <w:rFonts w:hint="eastAsia" w:ascii="仿宋_GB2312" w:hAnsi="仿宋_GB2312" w:eastAsia="仿宋_GB2312" w:cs="仿宋_GB2312"/>
          <w:b w:val="0"/>
          <w:bCs w:val="0"/>
          <w:color w:val="auto"/>
          <w:sz w:val="32"/>
          <w:szCs w:val="32"/>
          <w:lang w:val="en-US" w:eastAsia="zh-CN"/>
        </w:rPr>
        <w:t>.投标方</w:t>
      </w:r>
      <w:r>
        <w:rPr>
          <w:rFonts w:hint="eastAsia" w:ascii="仿宋_GB2312" w:hAnsi="仿宋_GB2312" w:eastAsia="仿宋_GB2312" w:cs="仿宋_GB2312"/>
          <w:b w:val="0"/>
          <w:bCs w:val="0"/>
          <w:color w:val="auto"/>
          <w:sz w:val="32"/>
          <w:szCs w:val="32"/>
        </w:rPr>
        <w:t>应本着长期合作、专业服务的精神，严格保证业务质量，一旦发现成交机构服务质量无法达到要求，或因成交服务机构不能按照本</w:t>
      </w:r>
      <w:r>
        <w:rPr>
          <w:rFonts w:hint="eastAsia" w:ascii="仿宋_GB2312" w:hAnsi="仿宋_GB2312" w:eastAsia="仿宋_GB2312" w:cs="仿宋_GB2312"/>
          <w:b w:val="0"/>
          <w:bCs w:val="0"/>
          <w:color w:val="auto"/>
          <w:sz w:val="32"/>
          <w:szCs w:val="32"/>
          <w:lang w:val="en-US" w:eastAsia="zh-CN"/>
        </w:rPr>
        <w:t>方案</w:t>
      </w:r>
      <w:r>
        <w:rPr>
          <w:rFonts w:hint="eastAsia" w:ascii="仿宋_GB2312" w:hAnsi="仿宋_GB2312" w:eastAsia="仿宋_GB2312" w:cs="仿宋_GB2312"/>
          <w:b w:val="0"/>
          <w:bCs w:val="0"/>
          <w:color w:val="auto"/>
          <w:sz w:val="32"/>
          <w:szCs w:val="32"/>
        </w:rPr>
        <w:t>提供服务的，我公司保留解除合同并要求赔偿的权利。</w:t>
      </w:r>
    </w:p>
    <w:p w14:paraId="19A95A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2</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rPr>
        <w:t>无论是否被确定为成交服务机构，其报价材料</w:t>
      </w:r>
      <w:r>
        <w:rPr>
          <w:rFonts w:hint="eastAsia" w:ascii="仿宋_GB2312" w:hAnsi="仿宋_GB2312" w:eastAsia="仿宋_GB2312" w:cs="仿宋_GB2312"/>
          <w:b w:val="0"/>
          <w:bCs w:val="0"/>
          <w:color w:val="auto"/>
          <w:sz w:val="32"/>
          <w:szCs w:val="32"/>
          <w:lang w:val="en-US" w:eastAsia="zh-CN"/>
        </w:rPr>
        <w:t>均</w:t>
      </w:r>
      <w:r>
        <w:rPr>
          <w:rFonts w:hint="eastAsia" w:ascii="仿宋_GB2312" w:hAnsi="仿宋_GB2312" w:eastAsia="仿宋_GB2312" w:cs="仿宋_GB2312"/>
          <w:b w:val="0"/>
          <w:bCs w:val="0"/>
          <w:color w:val="auto"/>
          <w:sz w:val="32"/>
          <w:szCs w:val="32"/>
        </w:rPr>
        <w:t>不退回，由</w:t>
      </w:r>
      <w:r>
        <w:rPr>
          <w:rFonts w:hint="eastAsia" w:ascii="仿宋_GB2312" w:hAnsi="仿宋_GB2312" w:eastAsia="仿宋_GB2312" w:cs="仿宋_GB2312"/>
          <w:b w:val="0"/>
          <w:bCs w:val="0"/>
          <w:color w:val="auto"/>
          <w:sz w:val="32"/>
          <w:szCs w:val="32"/>
          <w:lang w:eastAsia="zh-CN"/>
        </w:rPr>
        <w:t>我公司</w:t>
      </w:r>
      <w:r>
        <w:rPr>
          <w:rFonts w:hint="eastAsia" w:ascii="仿宋_GB2312" w:hAnsi="仿宋_GB2312" w:eastAsia="仿宋_GB2312" w:cs="仿宋_GB2312"/>
          <w:b w:val="0"/>
          <w:bCs w:val="0"/>
          <w:color w:val="auto"/>
          <w:sz w:val="32"/>
          <w:szCs w:val="32"/>
        </w:rPr>
        <w:t>存档作为以后合作参考材料，</w:t>
      </w:r>
      <w:r>
        <w:rPr>
          <w:rFonts w:hint="eastAsia" w:ascii="仿宋_GB2312" w:hAnsi="仿宋_GB2312" w:eastAsia="仿宋_GB2312" w:cs="仿宋_GB2312"/>
          <w:b w:val="0"/>
          <w:bCs w:val="0"/>
          <w:color w:val="auto"/>
          <w:sz w:val="32"/>
          <w:szCs w:val="32"/>
          <w:lang w:eastAsia="zh-CN"/>
        </w:rPr>
        <w:t>我公司</w:t>
      </w:r>
      <w:r>
        <w:rPr>
          <w:rFonts w:hint="eastAsia" w:ascii="仿宋_GB2312" w:hAnsi="仿宋_GB2312" w:eastAsia="仿宋_GB2312" w:cs="仿宋_GB2312"/>
          <w:b w:val="0"/>
          <w:bCs w:val="0"/>
          <w:color w:val="auto"/>
          <w:sz w:val="32"/>
          <w:szCs w:val="32"/>
        </w:rPr>
        <w:t>将对本次</w:t>
      </w:r>
      <w:r>
        <w:rPr>
          <w:rFonts w:hint="eastAsia" w:ascii="仿宋_GB2312" w:hAnsi="仿宋_GB2312" w:eastAsia="仿宋_GB2312" w:cs="仿宋_GB2312"/>
          <w:b w:val="0"/>
          <w:bCs w:val="0"/>
          <w:color w:val="auto"/>
          <w:sz w:val="32"/>
          <w:szCs w:val="32"/>
          <w:lang w:eastAsia="zh-CN"/>
        </w:rPr>
        <w:t>报价</w:t>
      </w:r>
      <w:r>
        <w:rPr>
          <w:rFonts w:hint="eastAsia" w:ascii="仿宋_GB2312" w:hAnsi="仿宋_GB2312" w:eastAsia="仿宋_GB2312" w:cs="仿宋_GB2312"/>
          <w:b w:val="0"/>
          <w:bCs w:val="0"/>
          <w:color w:val="auto"/>
          <w:sz w:val="32"/>
          <w:szCs w:val="32"/>
        </w:rPr>
        <w:t>材料进行保密。</w:t>
      </w:r>
    </w:p>
    <w:p w14:paraId="7CF26BF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小标宋简体" w:hAnsi="方正小标宋简体" w:eastAsia="方正小标宋简体" w:cs="方正小标宋简体"/>
          <w:b w:val="0"/>
          <w:bCs w:val="0"/>
          <w:color w:val="auto"/>
          <w:sz w:val="28"/>
          <w:szCs w:val="28"/>
        </w:rPr>
      </w:pPr>
      <w:r>
        <w:rPr>
          <w:rFonts w:hint="eastAsia" w:ascii="方正小标宋简体" w:hAnsi="方正小标宋简体" w:eastAsia="方正小标宋简体" w:cs="方正小标宋简体"/>
          <w:b w:val="0"/>
          <w:bCs w:val="0"/>
          <w:color w:val="auto"/>
          <w:sz w:val="28"/>
          <w:szCs w:val="28"/>
        </w:rPr>
        <w:t>我公司对此次服务采购项目及相关的文件材料拥有最终的解释权。</w:t>
      </w:r>
    </w:p>
    <w:p w14:paraId="7D9C5B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p>
    <w:p w14:paraId="18CF7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附件：1.报价单模板</w:t>
      </w:r>
    </w:p>
    <w:p w14:paraId="3BAFC6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2.承诺函</w:t>
      </w:r>
    </w:p>
    <w:p w14:paraId="4F5735B3">
      <w:pPr>
        <w:keepNext w:val="0"/>
        <w:keepLines w:val="0"/>
        <w:pageBreakBefore w:val="0"/>
        <w:widowControl w:val="0"/>
        <w:kinsoku/>
        <w:wordWrap w:val="0"/>
        <w:overflowPunct/>
        <w:topLinePunct w:val="0"/>
        <w:autoSpaceDE/>
        <w:autoSpaceDN/>
        <w:bidi w:val="0"/>
        <w:adjustRightInd/>
        <w:snapToGrid/>
        <w:spacing w:line="560" w:lineRule="exact"/>
        <w:ind w:left="1918" w:leftChars="304" w:hanging="1280" w:hangingChars="400"/>
        <w:jc w:val="righ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深圳市龙广市场发展有限公司    </w:t>
      </w:r>
    </w:p>
    <w:p w14:paraId="7D314172">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2025年9月18日      </w:t>
      </w:r>
    </w:p>
    <w:sectPr>
      <w:headerReference r:id="rId3" w:type="default"/>
      <w:footerReference r:id="rId4" w:type="default"/>
      <w:pgSz w:w="11906" w:h="16838"/>
      <w:pgMar w:top="1531" w:right="1474" w:bottom="1531"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F21C82-47B2-4236-B913-52D593A4F8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92BCF41D-0BAE-4BAD-B2A8-EC936D58EE8C}"/>
  </w:font>
  <w:font w:name="仿宋_GB2312">
    <w:panose1 w:val="02010609030101010101"/>
    <w:charset w:val="86"/>
    <w:family w:val="auto"/>
    <w:pitch w:val="default"/>
    <w:sig w:usb0="00000001" w:usb1="080E0000" w:usb2="00000000" w:usb3="00000000" w:csb0="00040000" w:csb1="00000000"/>
    <w:embedRegular r:id="rId3" w:fontKey="{5CC9C4FA-3301-4025-B429-20D5A9EDFCC4}"/>
  </w:font>
  <w:font w:name="仿宋">
    <w:panose1 w:val="02010609060101010101"/>
    <w:charset w:val="86"/>
    <w:family w:val="auto"/>
    <w:pitch w:val="default"/>
    <w:sig w:usb0="800002BF" w:usb1="38CF7CFA" w:usb2="00000016" w:usb3="00000000" w:csb0="00040001" w:csb1="00000000"/>
    <w:embedRegular r:id="rId4" w:fontKey="{7A835B05-D642-48D9-BE91-73EA29C62A43}"/>
  </w:font>
  <w:font w:name="楷体_GB2312">
    <w:panose1 w:val="02010609030101010101"/>
    <w:charset w:val="86"/>
    <w:family w:val="auto"/>
    <w:pitch w:val="default"/>
    <w:sig w:usb0="00000001" w:usb1="080E0000" w:usb2="00000000" w:usb3="00000000" w:csb0="00040000" w:csb1="00000000"/>
    <w:embedRegular r:id="rId5" w:fontKey="{9B6C1ABE-7DEB-4E0A-8F44-F5841B6C89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4E5E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71FA9F">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671FA9F">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FD41E">
    <w:pPr>
      <w:pStyle w:val="5"/>
      <w:rPr>
        <w:rFonts w:hint="default" w:eastAsiaTheme="minorEastAsia"/>
        <w:lang w:val="en-US" w:eastAsia="zh-CN"/>
      </w:rPr>
    </w:pPr>
    <w:r>
      <w:rPr>
        <w:rFonts w:hint="eastAsia"/>
        <w:lang w:val="en-US" w:eastAsia="zh-CN"/>
      </w:rPr>
      <w:t>附件1-2：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D4654"/>
    <w:multiLevelType w:val="singleLevel"/>
    <w:tmpl w:val="9F2D465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NDg5NjdmOTIxNWM4MzMyYmYxMTlkYmZmZjQ0ZmYifQ=="/>
  </w:docVars>
  <w:rsids>
    <w:rsidRoot w:val="317C02DA"/>
    <w:rsid w:val="01581EC1"/>
    <w:rsid w:val="02101ECB"/>
    <w:rsid w:val="04BF41D9"/>
    <w:rsid w:val="07DC73F1"/>
    <w:rsid w:val="09635E90"/>
    <w:rsid w:val="11906CF9"/>
    <w:rsid w:val="122A2515"/>
    <w:rsid w:val="12B16DB9"/>
    <w:rsid w:val="147E60EE"/>
    <w:rsid w:val="1AC23FF4"/>
    <w:rsid w:val="1D174E3A"/>
    <w:rsid w:val="1ED876FE"/>
    <w:rsid w:val="21D56F73"/>
    <w:rsid w:val="21EA6F2F"/>
    <w:rsid w:val="21FB40B6"/>
    <w:rsid w:val="24407749"/>
    <w:rsid w:val="248A3865"/>
    <w:rsid w:val="24FE653D"/>
    <w:rsid w:val="25084323"/>
    <w:rsid w:val="25CC09BD"/>
    <w:rsid w:val="28FE7675"/>
    <w:rsid w:val="2A120A01"/>
    <w:rsid w:val="2C0425B5"/>
    <w:rsid w:val="2D730672"/>
    <w:rsid w:val="2E8D2EEB"/>
    <w:rsid w:val="2EAA70AC"/>
    <w:rsid w:val="317C02DA"/>
    <w:rsid w:val="36FE78BF"/>
    <w:rsid w:val="374A60EA"/>
    <w:rsid w:val="37B7720A"/>
    <w:rsid w:val="3B4719DF"/>
    <w:rsid w:val="3CAF7FDD"/>
    <w:rsid w:val="3D9646E7"/>
    <w:rsid w:val="3DE93695"/>
    <w:rsid w:val="3EE57B5E"/>
    <w:rsid w:val="3F3C44CF"/>
    <w:rsid w:val="40C94612"/>
    <w:rsid w:val="41411384"/>
    <w:rsid w:val="44CF2D2D"/>
    <w:rsid w:val="45265F1F"/>
    <w:rsid w:val="4A5F2DA2"/>
    <w:rsid w:val="4BD23405"/>
    <w:rsid w:val="4C222DFE"/>
    <w:rsid w:val="4D88650D"/>
    <w:rsid w:val="508145E5"/>
    <w:rsid w:val="52304775"/>
    <w:rsid w:val="59945249"/>
    <w:rsid w:val="5AD5396E"/>
    <w:rsid w:val="5B4F24BE"/>
    <w:rsid w:val="5E541DDF"/>
    <w:rsid w:val="5F592DFB"/>
    <w:rsid w:val="62BC7539"/>
    <w:rsid w:val="62E00E1F"/>
    <w:rsid w:val="6422657B"/>
    <w:rsid w:val="68E62FDC"/>
    <w:rsid w:val="69DC46D9"/>
    <w:rsid w:val="6C322E5E"/>
    <w:rsid w:val="6DED67D6"/>
    <w:rsid w:val="6ED71DE8"/>
    <w:rsid w:val="70FF5871"/>
    <w:rsid w:val="721046D0"/>
    <w:rsid w:val="75502E51"/>
    <w:rsid w:val="776A7737"/>
    <w:rsid w:val="78667397"/>
    <w:rsid w:val="78ED2408"/>
    <w:rsid w:val="796A54FC"/>
    <w:rsid w:val="7BE06349"/>
    <w:rsid w:val="7CBD2E1E"/>
    <w:rsid w:val="7CCD07EE"/>
    <w:rsid w:val="7D852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FollowedHyperlink"/>
    <w:basedOn w:val="9"/>
    <w:qFormat/>
    <w:uiPriority w:val="0"/>
    <w:rPr>
      <w:color w:val="800080"/>
      <w:u w:val="single"/>
    </w:rPr>
  </w:style>
  <w:style w:type="character" w:styleId="12">
    <w:name w:val="Hyperlink"/>
    <w:basedOn w:val="9"/>
    <w:qFormat/>
    <w:uiPriority w:val="0"/>
    <w:rPr>
      <w:color w:val="0000FF"/>
      <w:u w:val="single"/>
    </w:rPr>
  </w:style>
  <w:style w:type="character" w:customStyle="1" w:styleId="13">
    <w:name w:val="font41"/>
    <w:basedOn w:val="9"/>
    <w:qFormat/>
    <w:uiPriority w:val="0"/>
    <w:rPr>
      <w:rFonts w:hint="eastAsia" w:ascii="宋体" w:hAnsi="宋体" w:eastAsia="宋体" w:cs="宋体"/>
      <w:b/>
      <w:bCs/>
      <w:color w:val="000000"/>
      <w:sz w:val="22"/>
      <w:szCs w:val="22"/>
      <w:u w:val="none"/>
    </w:rPr>
  </w:style>
  <w:style w:type="character" w:customStyle="1" w:styleId="14">
    <w:name w:val="font51"/>
    <w:basedOn w:val="9"/>
    <w:qFormat/>
    <w:uiPriority w:val="0"/>
    <w:rPr>
      <w:rFonts w:hint="eastAsia" w:ascii="宋体" w:hAnsi="宋体" w:eastAsia="宋体" w:cs="宋体"/>
      <w:b/>
      <w:bCs/>
      <w:color w:val="000000"/>
      <w:sz w:val="22"/>
      <w:szCs w:val="22"/>
      <w:u w:val="single"/>
    </w:rPr>
  </w:style>
  <w:style w:type="character" w:customStyle="1" w:styleId="15">
    <w:name w:val="font21"/>
    <w:basedOn w:val="9"/>
    <w:qFormat/>
    <w:uiPriority w:val="0"/>
    <w:rPr>
      <w:rFonts w:hint="eastAsia" w:ascii="宋体" w:hAnsi="宋体" w:eastAsia="宋体" w:cs="宋体"/>
      <w:color w:val="000000"/>
      <w:sz w:val="24"/>
      <w:szCs w:val="24"/>
      <w:u w:val="none"/>
    </w:rPr>
  </w:style>
  <w:style w:type="character" w:customStyle="1" w:styleId="16">
    <w:name w:val="font61"/>
    <w:basedOn w:val="9"/>
    <w:qFormat/>
    <w:uiPriority w:val="0"/>
    <w:rPr>
      <w:rFonts w:hint="eastAsia" w:ascii="宋体" w:hAnsi="宋体" w:eastAsia="宋体" w:cs="宋体"/>
      <w:color w:val="000000"/>
      <w:sz w:val="24"/>
      <w:szCs w:val="24"/>
      <w:u w:val="single"/>
    </w:rPr>
  </w:style>
  <w:style w:type="character" w:customStyle="1" w:styleId="17">
    <w:name w:val="font71"/>
    <w:basedOn w:val="9"/>
    <w:qFormat/>
    <w:uiPriority w:val="0"/>
    <w:rPr>
      <w:rFonts w:hint="eastAsia" w:ascii="宋体" w:hAnsi="宋体" w:eastAsia="宋体" w:cs="宋体"/>
      <w:color w:val="000000"/>
      <w:sz w:val="24"/>
      <w:szCs w:val="24"/>
      <w:u w:val="single"/>
    </w:rPr>
  </w:style>
  <w:style w:type="character" w:customStyle="1" w:styleId="18">
    <w:name w:val="font91"/>
    <w:basedOn w:val="9"/>
    <w:qFormat/>
    <w:uiPriority w:val="0"/>
    <w:rPr>
      <w:rFonts w:hint="eastAsia" w:ascii="宋体" w:hAnsi="宋体" w:eastAsia="宋体" w:cs="宋体"/>
      <w:color w:val="000000"/>
      <w:sz w:val="32"/>
      <w:szCs w:val="32"/>
      <w:u w:val="single"/>
    </w:rPr>
  </w:style>
  <w:style w:type="character" w:customStyle="1" w:styleId="19">
    <w:name w:val="font11"/>
    <w:basedOn w:val="9"/>
    <w:qFormat/>
    <w:uiPriority w:val="0"/>
    <w:rPr>
      <w:rFonts w:hint="eastAsia" w:ascii="宋体" w:hAnsi="宋体" w:eastAsia="宋体" w:cs="宋体"/>
      <w:color w:val="000000"/>
      <w:sz w:val="32"/>
      <w:szCs w:val="32"/>
      <w:u w:val="none"/>
    </w:rPr>
  </w:style>
  <w:style w:type="character" w:customStyle="1" w:styleId="20">
    <w:name w:val="font3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2232</Words>
  <Characters>2456</Characters>
  <Lines>0</Lines>
  <Paragraphs>0</Paragraphs>
  <TotalTime>6</TotalTime>
  <ScaleCrop>false</ScaleCrop>
  <LinksUpToDate>false</LinksUpToDate>
  <CharactersWithSpaces>2494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2024-03-26T08:34:00Z</dcterms:created>
  <dc:creator>临江仙</dc:creator>
  <cp:lastModifiedBy>June.</cp:lastModifiedBy>
  <cp:lastPrinted>2025-09-08T02:17:00Z</cp:lastPrinted>
  <dcterms:modified xsi:type="dcterms:W3CDTF">2026-09-18T08:00:40Z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44F791606D3E475FAE71003BA5C05561_13</vt:lpwstr>
  </property>
  <property fmtid="{D5CDD505-2E9C-101B-9397-08002B2CF9AE}" pid="4" name="KSOTemplateDocerSaveRecord">
    <vt:lpwstr>eyJoZGlkIjoiMTdlZTczYzc0YjAyZTg5MDE5NGM1NTVhNDRiMTMyYmMiLCJ1c2VySWQiOiIxNDg4ODM2MjAyIn0=</vt:lpwstr>
  </property>
</Properties>
</file>