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3A36">
      <w:pPr>
        <w:keepNext/>
        <w:keepLines/>
        <w:widowControl w:val="0"/>
        <w:spacing w:line="560" w:lineRule="exact"/>
        <w:outlineLvl w:val="0"/>
        <w:rPr>
          <w:rFonts w:hint="eastAsia" w:ascii="仿宋" w:eastAsia="黑体"/>
          <w:sz w:val="32"/>
          <w:szCs w:val="32"/>
          <w:lang w:val="en-US" w:eastAsia="zh-CN" w:bidi="ar"/>
        </w:rPr>
      </w:pPr>
      <w:r>
        <w:rPr>
          <w:rFonts w:hint="eastAsia" w:ascii="仿宋" w:eastAsia="黑体"/>
          <w:sz w:val="32"/>
          <w:szCs w:val="32"/>
          <w:lang w:val="en-US" w:eastAsia="zh-CN" w:bidi="ar"/>
        </w:rPr>
        <w:t>附件1</w:t>
      </w:r>
    </w:p>
    <w:p w14:paraId="602BBDE1">
      <w:pPr>
        <w:keepNext/>
        <w:keepLines/>
        <w:widowControl w:val="0"/>
        <w:spacing w:line="560" w:lineRule="exact"/>
        <w:outlineLvl w:val="0"/>
        <w:rPr>
          <w:rFonts w:hint="eastAsia" w:ascii="仿宋" w:eastAsia="黑体"/>
          <w:sz w:val="32"/>
          <w:szCs w:val="32"/>
          <w:lang w:val="en-US" w:eastAsia="zh-CN" w:bidi="ar"/>
        </w:rPr>
      </w:pPr>
    </w:p>
    <w:p w14:paraId="173EFC65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8"/>
          <w:kern w:val="2"/>
          <w:sz w:val="44"/>
          <w:szCs w:val="44"/>
          <w:lang w:val="en-US" w:eastAsia="zh-CN" w:bidi="ar-SA"/>
        </w:rPr>
        <w:t>园区餐厅配送车辆需求</w:t>
      </w:r>
    </w:p>
    <w:p w14:paraId="4E08BD03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8"/>
          <w:kern w:val="2"/>
          <w:sz w:val="44"/>
          <w:szCs w:val="44"/>
          <w:lang w:val="en-US" w:eastAsia="zh-CN" w:bidi="ar-SA"/>
        </w:rPr>
      </w:pPr>
    </w:p>
    <w:p w14:paraId="5C5DD6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  <w:t>一、项目概况</w:t>
      </w:r>
    </w:p>
    <w:p w14:paraId="6638AC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本项目为园区餐厅餐食热链配送新能源厢式车辆采购，车辆用于园区内部及周边餐食转运、保温配送，供应商需提供车辆本体+厢体全套改装、上牌等相关服务，交付为完成改装后的完整可用车辆。</w:t>
      </w:r>
    </w:p>
    <w:p w14:paraId="3DB48C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  <w:t>二、车辆基础要求</w:t>
      </w:r>
    </w:p>
    <w:p w14:paraId="118FA8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1.车辆类型：新能源厢式货车，可办理深圳新能源牌照。</w:t>
      </w:r>
    </w:p>
    <w:p w14:paraId="18324F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2.货厢有效容积：不低于6m³。</w:t>
      </w:r>
    </w:p>
    <w:p w14:paraId="48EDEC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3.CLTC工况续航里程≥200KM。</w:t>
      </w:r>
    </w:p>
    <w:p w14:paraId="2E64C7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4.车辆必须符合国家机动车上牌标准，提供全套合规上牌资料，能够正常完成机动车登记、上牌，改装部分需符合机动车改装相关法规，不得影响上牌。</w:t>
      </w:r>
    </w:p>
    <w:p w14:paraId="02C5B4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  <w:t>三、车辆改装要求</w:t>
      </w:r>
    </w:p>
    <w:p w14:paraId="679ED2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车辆用作餐厅餐食热链配送，改装要求应符合食品经营、市场监管食品安全相关要求，包括但不限于：</w:t>
      </w:r>
    </w:p>
    <w:p w14:paraId="7319EC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1.厢体内壁：全部采用304食品级不锈钢，无缝焊接，内壁表面光滑无毛刺、无卫生死角、无拼接缝隙，便于清洗消毒；严禁普通铁皮、普通玻璃钢直接接触食品周转存放区域。</w:t>
      </w:r>
    </w:p>
    <w:p w14:paraId="12AD53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2.保温夹层：厢体夹层采用高密度聚氨酯发泡保温层，保温层厚度70-80mm；夹层密闭防水不渗水，隔热性能满足餐食热链保温配送使用要求，减少厢体内冷凝水产生。</w:t>
      </w:r>
    </w:p>
    <w:p w14:paraId="4F50DA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3.厢体密封：厢门配备完好耐老化密封胶条，实现防雨、防尘、防虫；后厢门锁具坚固可靠，车辆行驶、颠簸工况下厢门不得自行开启；厢体接缝处做防水处理。</w:t>
      </w:r>
    </w:p>
    <w:p w14:paraId="0005AE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4.底板：防滑花纹 304 不锈钢底板；底板设置排水孔及排水堵头，冲洗厢体时可快速排水；厢内配置货物固定装置（绑带 / 卡扣等），防止餐食保温箱在行驶过程中滑动、碰撞倾倒。</w:t>
      </w:r>
    </w:p>
    <w:p w14:paraId="348CD5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5.照明：厢内安装防爆 LED 冷光源照明系统；禁止使用白炽灯等发热光源，规避发热、灯具破碎污染餐食风险；灯具具备防水防尘适配厢内冲洗环境。</w:t>
      </w:r>
    </w:p>
    <w:p w14:paraId="27E494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6.通风：厢体通风口内置防虫纱网；厢体结构及保温工艺需做防冷凝水处理，杜绝冷凝水滴落至餐食 / 保温箱表面。</w:t>
      </w:r>
    </w:p>
    <w:p w14:paraId="42E208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7.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厢体边角全部做圆弧过渡处理，减少卫生死角，防止磕碰损坏保温箱；</w:t>
      </w:r>
    </w:p>
    <w:p w14:paraId="026A81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8.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厢内设置消杀适配条件，材料耐消毒液腐蚀，清洗消毒后不易锈蚀；</w:t>
      </w:r>
    </w:p>
    <w:p w14:paraId="6D8D57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9.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改装完成后厢体无尖锐突出构件，避免划伤操作人员、周转箱；</w:t>
      </w:r>
    </w:p>
    <w:p w14:paraId="51B0AB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10.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整车改装后总质量、外廓尺寸必须符合原厂机动车公告参数，不得非法改装，保证合规上牌。</w:t>
      </w:r>
    </w:p>
    <w:p w14:paraId="69EEB7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  <w:t>四、供货、交付及售后要求</w:t>
      </w:r>
    </w:p>
    <w:p w14:paraId="03685E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交付内容：含车辆本体、全套厢体改装、车辆基础工具；供应商需配合完成深圳新能源车辆上牌所需资料提供（上牌产生的规费、购置税需明确是否包含在报价内）。</w:t>
      </w:r>
    </w:p>
    <w:p w14:paraId="4005F3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交付周期：供应商须在报价文件中注明合同签订后完成交付的工期（日历天）。</w:t>
      </w:r>
    </w:p>
    <w:p w14:paraId="24A75C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 xml:space="preserve">质量保证： </w:t>
      </w:r>
    </w:p>
    <w:p w14:paraId="613CDC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整车按原厂厂家质保执行；</w:t>
      </w:r>
    </w:p>
    <w:p w14:paraId="54D471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厢体改装部分提供不少于 1 年质保，包含不锈钢厢体、保温层、门锁、胶条、厢内灯具等全部改装部件；质保期内非人为损坏故障，供应商免费维修更换。</w:t>
      </w:r>
    </w:p>
    <w:p w14:paraId="136F48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验收：到货后按本需求逐项验收；改装质量、材料规格不满足要求，采购人有权拒收。</w:t>
      </w:r>
    </w:p>
    <w:p w14:paraId="0B7A73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Chars="0"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培训：交付时对园区使用人员开展车辆及改装厢体使用、维护、清洗保养简单操作培训。</w:t>
      </w:r>
    </w:p>
    <w:p w14:paraId="4D2097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2"/>
          <w:sz w:val="32"/>
          <w:szCs w:val="32"/>
          <w:lang w:val="en-US" w:eastAsia="zh-CN" w:bidi="ar-SA"/>
        </w:rPr>
        <w:t>五、报价要求</w:t>
      </w:r>
    </w:p>
    <w:p w14:paraId="623729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报价费用包括但不限于车辆本体费用、厢体改装费用、购置税、上牌规费及首年保险费等，含税总价不超过100000.00元（人民币壹拾万元整）。</w:t>
      </w:r>
    </w:p>
    <w:p w14:paraId="02DA65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F764CD-FD43-4B5E-94C8-CD8980FCF7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93B80CE-CD72-4507-A050-47D1CCAF98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57CFC4E-69D7-448E-B98B-1D74C61BB1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BFF9625-F74F-4D6B-B3FB-91126B3E78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257C8"/>
    <w:rsid w:val="278257C8"/>
    <w:rsid w:val="58950E29"/>
    <w:rsid w:val="61FC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2026-08-20T00:44:00Z</dcterms:created>
  <dc:creator>25049</dc:creator>
  <cp:lastModifiedBy>25049</cp:lastModifiedBy>
  <dcterms:modified xsi:type="dcterms:W3CDTF">2026-08-20T00:46:14Z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1740A287E77B48D4B26023BDDB704781_11</vt:lpwstr>
  </property>
</Properties>
</file>