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9027A">
      <w:pPr>
        <w:pStyle w:val="2"/>
        <w:ind w:left="0" w:leftChars="0" w:firstLine="0"/>
        <w:rPr>
          <w:rFonts w:ascii="仿宋" w:hAnsi="仿宋" w:eastAsia="仿宋" w:cs="仿宋"/>
          <w:bCs/>
        </w:rPr>
      </w:pPr>
      <w:r>
        <w:rPr>
          <w:rFonts w:hint="eastAsia" w:ascii="仿宋" w:hAnsi="仿宋" w:eastAsia="仿宋" w:cs="仿宋"/>
          <w:b w:val="0"/>
          <w:bCs/>
        </w:rPr>
        <w:t>附件1</w:t>
      </w:r>
    </w:p>
    <w:p w14:paraId="0E86D47E">
      <w:pPr>
        <w:rPr>
          <w:rFonts w:ascii="仿宋" w:hAnsi="仿宋" w:eastAsia="仿宋" w:cs="仿宋"/>
          <w:b/>
          <w:bCs/>
        </w:rPr>
      </w:pPr>
    </w:p>
    <w:p w14:paraId="47A50E3D">
      <w:pPr>
        <w:widowControl/>
        <w:spacing w:line="560" w:lineRule="exact"/>
        <w:jc w:val="center"/>
        <w:rPr>
          <w:rFonts w:ascii="方正小标宋简体" w:hAnsi="方正小标宋简体" w:eastAsia="方正小标宋简体" w:cs="方正小标宋简体"/>
          <w:bCs/>
          <w:sz w:val="44"/>
          <w:szCs w:val="44"/>
          <w:lang w:val="en-US"/>
        </w:rPr>
      </w:pPr>
      <w:bookmarkStart w:id="19" w:name="_GoBack"/>
      <w:r>
        <w:rPr>
          <w:rFonts w:hint="eastAsia" w:ascii="方正小标宋简体" w:hAnsi="方正小标宋简体" w:eastAsia="方正小标宋简体" w:cs="方正小标宋简体"/>
          <w:b/>
          <w:bCs/>
          <w:sz w:val="44"/>
          <w:szCs w:val="44"/>
          <w:lang w:val="en-US" w:eastAsia="zh-CN"/>
        </w:rPr>
        <w:t>固定资产与物资库存管理系统建设服务</w:t>
      </w:r>
    </w:p>
    <w:p w14:paraId="3A330FE4">
      <w:pPr>
        <w:widowControl/>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采购</w:t>
      </w:r>
      <w:r>
        <w:rPr>
          <w:rFonts w:hint="eastAsia" w:ascii="方正小标宋简体" w:hAnsi="方正小标宋简体" w:eastAsia="方正小标宋简体" w:cs="方正小标宋简体"/>
          <w:b/>
          <w:bCs/>
          <w:sz w:val="44"/>
          <w:szCs w:val="44"/>
        </w:rPr>
        <w:t>需求</w:t>
      </w:r>
    </w:p>
    <w:bookmarkEnd w:id="19"/>
    <w:p w14:paraId="4C145747">
      <w:pPr>
        <w:bidi w:val="0"/>
      </w:pPr>
    </w:p>
    <w:p w14:paraId="3F3A7B86">
      <w:pPr>
        <w:pStyle w:val="3"/>
        <w:numPr>
          <w:ilvl w:val="0"/>
          <w:numId w:val="1"/>
        </w:numPr>
        <w:bidi w:val="0"/>
        <w:rPr>
          <w:rFonts w:hint="eastAsia"/>
        </w:rPr>
      </w:pPr>
      <w:r>
        <w:rPr>
          <w:rFonts w:hint="eastAsia"/>
        </w:rPr>
        <w:t>项目概况</w:t>
      </w:r>
    </w:p>
    <w:p w14:paraId="290D019D">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随着深圳市宝安实业</w:t>
      </w:r>
      <w:r>
        <w:rPr>
          <w:rFonts w:hint="default" w:ascii="仿宋" w:hAnsi="仿宋" w:eastAsia="仿宋" w:cs="仿宋"/>
          <w:color w:val="000000"/>
          <w:sz w:val="32"/>
          <w:szCs w:val="32"/>
        </w:rPr>
        <w:t>集团有限公司</w:t>
      </w:r>
      <w:r>
        <w:rPr>
          <w:rFonts w:hint="eastAsia" w:ascii="仿宋" w:hAnsi="仿宋" w:eastAsia="仿宋" w:cs="仿宋"/>
          <w:color w:val="000000"/>
          <w:sz w:val="32"/>
          <w:szCs w:val="32"/>
        </w:rPr>
        <w:t>业务规模的持续扩大和运营复杂度的不断提升，现有的固定资产管理与物资库存管理方式已难以满足</w:t>
      </w:r>
      <w:r>
        <w:rPr>
          <w:rFonts w:hint="eastAsia" w:ascii="仿宋" w:hAnsi="仿宋" w:eastAsia="仿宋" w:cs="仿宋"/>
          <w:color w:val="000000"/>
          <w:sz w:val="32"/>
          <w:szCs w:val="32"/>
          <w:lang w:val="en-US" w:eastAsia="zh-CN"/>
        </w:rPr>
        <w:t>集团及所属企业</w:t>
      </w:r>
      <w:r>
        <w:rPr>
          <w:rFonts w:hint="eastAsia" w:ascii="仿宋" w:hAnsi="仿宋" w:eastAsia="仿宋" w:cs="仿宋"/>
          <w:color w:val="000000"/>
          <w:sz w:val="32"/>
          <w:szCs w:val="32"/>
        </w:rPr>
        <w:t>精细化、高效化和数字化的管理要求。目前，公司在资产与物资管理方面主要依赖手工台账、分散的电子表格，存在以下突出问题：</w:t>
      </w:r>
    </w:p>
    <w:p w14:paraId="762C6BC9">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信息孤岛严重：固定资产与库存物资数据分散在不同部门、不同系统中，缺乏统一的数据标准和集成平台，导致信息无法实时共享，影响决策效率。</w:t>
      </w:r>
    </w:p>
    <w:p w14:paraId="141336F0">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账实不符频发：由于缺乏有效的盘点机制和动态跟踪手段，资产与物资的实际状态（如位置、使用人、折旧情况、库存数量等）与账面记录经常不一致，造成资源浪费或重复采购。</w:t>
      </w:r>
    </w:p>
    <w:p w14:paraId="0F87C734">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流程不规范、透明度低：从资产采购、入库、领用、调拨、维修到报废，以及物资的申领、出入库、消耗等环节缺乏标准化、可追溯的流程控制，管理漏洞较多。</w:t>
      </w:r>
    </w:p>
    <w:p w14:paraId="3A1F652D">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缺乏预警与分析能力：无法对资产生命周期、库存周转率、临期物资、闲置资产等关键指标进行智能预警和数据分析，难以支撑成本控制与资源优化配置。</w:t>
      </w:r>
    </w:p>
    <w:p w14:paraId="33CA46F0">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合规与审计风险增加：在日益严格的财务、税务及内控合规要求下，现有管理方式难以提供完整、准确、可审计的资产与库存数据链，存在合规隐患。</w:t>
      </w:r>
    </w:p>
    <w:p w14:paraId="6D6EA0E5">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全面提升公司资产管理水平，实现“账实相符、流程可控、数据可视、决策有据”的管理目标，亟需引入一套功能完善、技术先进、安全可靠且可扩展的固定资产与物资库存一体化管理系统。该系统应支持全生命周期管理、条码/RFID识别、多组织架构适配、移动端应用、与现有</w:t>
      </w:r>
      <w:r>
        <w:rPr>
          <w:rFonts w:hint="eastAsia" w:ascii="仿宋" w:hAnsi="仿宋" w:eastAsia="仿宋" w:cs="仿宋"/>
          <w:color w:val="000000"/>
          <w:sz w:val="32"/>
          <w:szCs w:val="32"/>
          <w:lang w:val="en-US" w:eastAsia="zh-CN"/>
        </w:rPr>
        <w:t>OA</w:t>
      </w:r>
      <w:r>
        <w:rPr>
          <w:rFonts w:hint="eastAsia" w:ascii="仿宋" w:hAnsi="仿宋" w:eastAsia="仿宋" w:cs="仿宋"/>
          <w:color w:val="000000"/>
          <w:sz w:val="32"/>
          <w:szCs w:val="32"/>
        </w:rPr>
        <w:t>集成等核心能力，从而推动公司运营向数字化、智能化转型，提升资源利用效率，降低运营成本，强化内部控制与合规保障。</w:t>
      </w:r>
    </w:p>
    <w:p w14:paraId="7D47CB7F">
      <w:pPr>
        <w:spacing w:line="560" w:lineRule="exact"/>
        <w:ind w:firstLine="640" w:firstLineChars="200"/>
        <w:rPr>
          <w:rFonts w:ascii="仿宋" w:hAnsi="仿宋" w:eastAsia="仿宋" w:cs="仿宋"/>
          <w:bCs/>
          <w:sz w:val="32"/>
          <w:szCs w:val="32"/>
          <w:lang w:val="en-US" w:eastAsia="zh-CN"/>
        </w:rPr>
      </w:pPr>
      <w:r>
        <w:rPr>
          <w:rFonts w:hint="eastAsia" w:ascii="仿宋" w:hAnsi="仿宋" w:eastAsia="仿宋" w:cs="仿宋"/>
          <w:color w:val="000000"/>
          <w:sz w:val="32"/>
          <w:szCs w:val="32"/>
        </w:rPr>
        <w:t>因此，公司启动固定资产与物资库存管理系统</w:t>
      </w:r>
      <w:r>
        <w:rPr>
          <w:rFonts w:hint="eastAsia" w:ascii="仿宋" w:hAnsi="仿宋" w:eastAsia="仿宋" w:cs="仿宋"/>
          <w:color w:val="000000"/>
          <w:sz w:val="32"/>
          <w:szCs w:val="32"/>
          <w:lang w:eastAsia="zh-CN"/>
        </w:rPr>
        <w:t>建设服务</w:t>
      </w:r>
      <w:r>
        <w:rPr>
          <w:rFonts w:hint="eastAsia" w:ascii="仿宋" w:hAnsi="仿宋" w:eastAsia="仿宋" w:cs="仿宋"/>
          <w:color w:val="000000"/>
          <w:sz w:val="32"/>
          <w:szCs w:val="32"/>
        </w:rPr>
        <w:t>项目，为公司构建统一、高效、智能的资产与库存管理平台。</w:t>
      </w:r>
      <w:bookmarkStart w:id="0" w:name="_Toc115370230"/>
      <w:bookmarkEnd w:id="0"/>
      <w:bookmarkStart w:id="1" w:name="_Toc10062"/>
      <w:bookmarkEnd w:id="1"/>
      <w:bookmarkStart w:id="2" w:name="_Toc742"/>
      <w:bookmarkEnd w:id="2"/>
      <w:bookmarkStart w:id="3" w:name="_Toc26484"/>
      <w:bookmarkEnd w:id="3"/>
    </w:p>
    <w:p w14:paraId="557BC827">
      <w:pPr>
        <w:pStyle w:val="3"/>
        <w:bidi w:val="0"/>
        <w:rPr>
          <w:rFonts w:hint="eastAsia"/>
        </w:rPr>
      </w:pPr>
      <w:r>
        <w:rPr>
          <w:rFonts w:hint="eastAsia"/>
          <w:lang w:val="en-US" w:eastAsia="zh-CN"/>
        </w:rPr>
        <w:t>二、</w:t>
      </w:r>
      <w:r>
        <w:rPr>
          <w:rFonts w:hint="eastAsia"/>
        </w:rPr>
        <w:t>建设内容</w:t>
      </w:r>
    </w:p>
    <w:p w14:paraId="214CEB8A">
      <w:pPr>
        <w:pStyle w:val="4"/>
        <w:numPr>
          <w:ilvl w:val="0"/>
          <w:numId w:val="2"/>
        </w:numPr>
        <w:bidi w:val="0"/>
        <w:rPr>
          <w:rFonts w:hint="eastAsia"/>
        </w:rPr>
      </w:pPr>
      <w:bookmarkStart w:id="4" w:name="_Toc138616781"/>
      <w:bookmarkEnd w:id="4"/>
      <w:bookmarkStart w:id="5" w:name="_Toc386129967"/>
      <w:bookmarkEnd w:id="5"/>
      <w:bookmarkStart w:id="6" w:name="_Toc519006699"/>
      <w:bookmarkEnd w:id="6"/>
      <w:bookmarkStart w:id="7" w:name="_Toc9427"/>
      <w:bookmarkEnd w:id="7"/>
      <w:bookmarkStart w:id="8" w:name="_Toc54955234"/>
      <w:bookmarkEnd w:id="8"/>
      <w:bookmarkStart w:id="9" w:name="_Toc319889308"/>
      <w:bookmarkEnd w:id="9"/>
      <w:bookmarkStart w:id="10" w:name="_Toc388867098"/>
      <w:bookmarkEnd w:id="10"/>
      <w:r>
        <w:rPr>
          <w:rFonts w:hint="eastAsia"/>
          <w:lang w:val="en-US" w:eastAsia="zh-CN"/>
        </w:rPr>
        <w:t>建设目标</w:t>
      </w:r>
    </w:p>
    <w:p w14:paraId="2149BB28">
      <w:pPr>
        <w:bidi w:val="0"/>
        <w:ind w:firstLine="640" w:firstLineChars="200"/>
        <w:rPr>
          <w:rFonts w:hint="eastAsia"/>
        </w:rPr>
      </w:pPr>
      <w:r>
        <w:rPr>
          <w:rFonts w:hint="eastAsia"/>
          <w:lang w:val="en-US" w:eastAsia="zh-CN"/>
        </w:rPr>
        <w:t>本系统旨在构建一个覆盖资产全生命周期管理与物资库存精细化管控的一体化数字平台，实现以下核心目标：</w:t>
      </w:r>
    </w:p>
    <w:p w14:paraId="0AD2A035">
      <w:pPr>
        <w:numPr>
          <w:ilvl w:val="0"/>
          <w:numId w:val="3"/>
        </w:numPr>
        <w:bidi w:val="0"/>
        <w:rPr>
          <w:rFonts w:hint="eastAsia"/>
          <w:lang w:val="en-US" w:eastAsia="zh-CN"/>
        </w:rPr>
      </w:pPr>
      <w:r>
        <w:rPr>
          <w:rFonts w:hint="eastAsia"/>
          <w:lang w:val="en-US" w:eastAsia="zh-CN"/>
        </w:rPr>
        <w:t>统一管理平台</w:t>
      </w:r>
    </w:p>
    <w:p w14:paraId="57CF511C">
      <w:pPr>
        <w:bidi w:val="0"/>
        <w:ind w:firstLine="640" w:firstLineChars="200"/>
        <w:rPr>
          <w:rFonts w:hint="eastAsia"/>
          <w:lang w:val="en-US" w:eastAsia="zh-CN"/>
        </w:rPr>
      </w:pPr>
      <w:r>
        <w:rPr>
          <w:rFonts w:hint="eastAsia"/>
          <w:lang w:val="en-US" w:eastAsia="zh-CN"/>
        </w:rPr>
        <w:t>整合采购、资产台账、使用、退出、定位、盘点、维修、库存等业务模块，打破信息孤岛，形成统一数据底座。</w:t>
      </w:r>
    </w:p>
    <w:p w14:paraId="3ED6A766">
      <w:pPr>
        <w:numPr>
          <w:ilvl w:val="0"/>
          <w:numId w:val="3"/>
        </w:numPr>
        <w:bidi w:val="0"/>
        <w:ind w:left="0" w:leftChars="0" w:firstLine="0" w:firstLineChars="0"/>
        <w:rPr>
          <w:rFonts w:hint="eastAsia"/>
          <w:lang w:val="en-US" w:eastAsia="zh-CN"/>
        </w:rPr>
      </w:pPr>
      <w:r>
        <w:rPr>
          <w:rFonts w:hint="eastAsia"/>
          <w:lang w:val="en-US" w:eastAsia="zh-CN"/>
        </w:rPr>
        <w:t>全流程闭环管控</w:t>
      </w:r>
    </w:p>
    <w:p w14:paraId="574F9221">
      <w:pPr>
        <w:bidi w:val="0"/>
        <w:rPr>
          <w:rFonts w:hint="eastAsia"/>
          <w:lang w:val="en-US" w:eastAsia="zh-CN"/>
        </w:rPr>
      </w:pPr>
      <w:r>
        <w:rPr>
          <w:rFonts w:hint="eastAsia"/>
          <w:lang w:val="en-US" w:eastAsia="zh-CN"/>
        </w:rPr>
        <w:t>实现从采购申请 、合同/订单、 收货、 验收、 资产立卡 、使用调拨/领用/借用、 维修保养、折旧、报废处置的全链条闭环管理。</w:t>
      </w:r>
    </w:p>
    <w:p w14:paraId="78571716">
      <w:pPr>
        <w:numPr>
          <w:ilvl w:val="0"/>
          <w:numId w:val="3"/>
        </w:numPr>
        <w:bidi w:val="0"/>
        <w:ind w:left="0" w:leftChars="0" w:firstLine="0" w:firstLineChars="0"/>
        <w:rPr>
          <w:rFonts w:hint="eastAsia"/>
          <w:lang w:val="en-US" w:eastAsia="zh-CN"/>
        </w:rPr>
      </w:pPr>
      <w:r>
        <w:rPr>
          <w:rFonts w:hint="eastAsia"/>
          <w:lang w:val="en-US" w:eastAsia="zh-CN"/>
        </w:rPr>
        <w:t>账实一致、动态可视</w:t>
      </w:r>
    </w:p>
    <w:p w14:paraId="12AF8858">
      <w:pPr>
        <w:bidi w:val="0"/>
        <w:rPr>
          <w:rFonts w:hint="eastAsia"/>
          <w:lang w:val="en-US" w:eastAsia="zh-CN"/>
        </w:rPr>
      </w:pPr>
      <w:r>
        <w:rPr>
          <w:rFonts w:hint="eastAsia"/>
          <w:lang w:val="en-US" w:eastAsia="zh-CN"/>
        </w:rPr>
        <w:t>通过条码/RFID标签绑定、实时定位、移动终端扫码盘点等技术手段，确保资产与物资“账、卡、物”高度一致，状态实时可查。</w:t>
      </w:r>
    </w:p>
    <w:p w14:paraId="5035B15D">
      <w:pPr>
        <w:numPr>
          <w:ilvl w:val="0"/>
          <w:numId w:val="3"/>
        </w:numPr>
        <w:bidi w:val="0"/>
        <w:ind w:left="0" w:leftChars="0" w:firstLine="0" w:firstLineChars="0"/>
        <w:rPr>
          <w:rFonts w:hint="eastAsia"/>
          <w:lang w:val="en-US" w:eastAsia="zh-CN"/>
        </w:rPr>
      </w:pPr>
      <w:r>
        <w:rPr>
          <w:rFonts w:hint="eastAsia"/>
          <w:lang w:val="en-US" w:eastAsia="zh-CN"/>
        </w:rPr>
        <w:t>流程自动化与合规审批</w:t>
      </w:r>
    </w:p>
    <w:p w14:paraId="5DEC8436">
      <w:pPr>
        <w:bidi w:val="0"/>
        <w:rPr>
          <w:rFonts w:hint="eastAsia"/>
          <w:lang w:val="en-US" w:eastAsia="zh-CN"/>
        </w:rPr>
      </w:pPr>
      <w:r>
        <w:rPr>
          <w:rFonts w:hint="eastAsia"/>
          <w:lang w:val="en-US" w:eastAsia="zh-CN"/>
        </w:rPr>
        <w:t>内置可配置审批流，并支持与OA系统深度集成，实现关键业务（如采购、验收、报废、领用、调拨等）的线上审批与留痕，满足内控与审计要求。</w:t>
      </w:r>
    </w:p>
    <w:p w14:paraId="5F01D13A">
      <w:pPr>
        <w:numPr>
          <w:ilvl w:val="0"/>
          <w:numId w:val="3"/>
        </w:numPr>
        <w:bidi w:val="0"/>
        <w:ind w:left="0" w:leftChars="0" w:firstLine="0" w:firstLineChars="0"/>
        <w:rPr>
          <w:rFonts w:hint="eastAsia" w:ascii="Times New Roman" w:hAnsi="Times New Roman"/>
          <w:lang w:val="en-US" w:eastAsia="zh-CN"/>
        </w:rPr>
      </w:pPr>
      <w:r>
        <w:rPr>
          <w:rFonts w:hint="eastAsia" w:ascii="Times New Roman" w:hAnsi="Times New Roman"/>
          <w:lang w:val="en-US" w:eastAsia="zh-CN"/>
        </w:rPr>
        <w:t>智能预警与决策支持</w:t>
      </w:r>
    </w:p>
    <w:p w14:paraId="40AC4CD2">
      <w:pPr>
        <w:bidi w:val="0"/>
        <w:rPr>
          <w:rFonts w:hint="eastAsia"/>
          <w:lang w:val="en-US" w:eastAsia="zh-CN"/>
        </w:rPr>
      </w:pPr>
      <w:r>
        <w:rPr>
          <w:rFonts w:hint="eastAsia"/>
          <w:lang w:val="en-US" w:eastAsia="zh-CN"/>
        </w:rPr>
        <w:t>提供库存上下限预警、质保到期提醒、闲置资产识别、折旧统计等功能，并通过多维度报表（柱状图、饼图、明细表等）支撑管理决策。</w:t>
      </w:r>
    </w:p>
    <w:p w14:paraId="6EB6E31A">
      <w:pPr>
        <w:numPr>
          <w:ilvl w:val="0"/>
          <w:numId w:val="3"/>
        </w:numPr>
        <w:bidi w:val="0"/>
        <w:ind w:left="0" w:leftChars="0" w:firstLine="0" w:firstLineChars="0"/>
        <w:rPr>
          <w:rFonts w:hint="eastAsia" w:ascii="Times New Roman" w:hAnsi="Times New Roman"/>
          <w:lang w:val="en-US" w:eastAsia="zh-CN"/>
        </w:rPr>
      </w:pPr>
      <w:r>
        <w:rPr>
          <w:rFonts w:hint="eastAsia" w:ascii="Times New Roman" w:hAnsi="Times New Roman"/>
          <w:lang w:val="en-US" w:eastAsia="zh-CN"/>
        </w:rPr>
        <w:t>移动化与离线作业能力</w:t>
      </w:r>
    </w:p>
    <w:p w14:paraId="357AC2D3">
      <w:pPr>
        <w:bidi w:val="0"/>
        <w:rPr>
          <w:rFonts w:hint="eastAsia"/>
          <w:lang w:val="en-US" w:eastAsia="zh-CN"/>
        </w:rPr>
      </w:pPr>
      <w:r>
        <w:rPr>
          <w:rFonts w:hint="eastAsia"/>
          <w:lang w:val="en-US" w:eastAsia="zh-CN"/>
        </w:rPr>
        <w:t>支持安卓/iOS移动终端执行盘点、领用、归还等操作，具备离线任务处理能力，提升资产及物资存储管理人员的工作效率。</w:t>
      </w:r>
    </w:p>
    <w:p w14:paraId="64EAE48B">
      <w:pPr>
        <w:numPr>
          <w:ilvl w:val="0"/>
          <w:numId w:val="3"/>
        </w:numPr>
        <w:bidi w:val="0"/>
        <w:ind w:left="0" w:leftChars="0" w:firstLine="0" w:firstLineChars="0"/>
        <w:rPr>
          <w:rFonts w:hint="eastAsia" w:ascii="Times New Roman" w:hAnsi="Times New Roman"/>
          <w:lang w:val="en-US" w:eastAsia="zh-CN"/>
        </w:rPr>
      </w:pPr>
      <w:r>
        <w:rPr>
          <w:rFonts w:hint="eastAsia" w:ascii="Times New Roman" w:hAnsi="Times New Roman"/>
          <w:lang w:val="en-US" w:eastAsia="zh-CN"/>
        </w:rPr>
        <w:t>灵活扩展与权限精细控制</w:t>
      </w:r>
    </w:p>
    <w:p w14:paraId="6B9ADA82">
      <w:pPr>
        <w:bidi w:val="0"/>
        <w:rPr>
          <w:rFonts w:hint="eastAsia"/>
          <w:lang w:val="en-US" w:eastAsia="zh-CN"/>
        </w:rPr>
      </w:pPr>
      <w:r>
        <w:rPr>
          <w:rFonts w:hint="eastAsia"/>
          <w:lang w:val="en-US" w:eastAsia="zh-CN"/>
        </w:rPr>
        <w:t>支持自定义资产分类、地理区域、组织架构、角色权限（含操作、功能、数据三级权限），适配多层级、多部门的复杂管理需求。</w:t>
      </w:r>
    </w:p>
    <w:p w14:paraId="26F4CA35">
      <w:pPr>
        <w:pStyle w:val="4"/>
        <w:numPr>
          <w:ilvl w:val="0"/>
          <w:numId w:val="2"/>
        </w:numPr>
        <w:bidi w:val="0"/>
        <w:rPr>
          <w:rFonts w:hint="eastAsia"/>
        </w:rPr>
      </w:pPr>
      <w:r>
        <w:rPr>
          <w:rFonts w:hint="eastAsia"/>
          <w:lang w:val="en-US" w:eastAsia="zh-CN"/>
        </w:rPr>
        <w:t>建设要求</w:t>
      </w:r>
    </w:p>
    <w:p w14:paraId="5B204D1B">
      <w:pPr>
        <w:numPr>
          <w:ilvl w:val="0"/>
          <w:numId w:val="4"/>
        </w:numPr>
        <w:bidi w:val="0"/>
        <w:rPr>
          <w:rFonts w:hint="eastAsia"/>
          <w:lang w:val="en-US" w:eastAsia="zh-CN"/>
        </w:rPr>
      </w:pPr>
      <w:r>
        <w:rPr>
          <w:rFonts w:hint="eastAsia"/>
          <w:lang w:val="en-US" w:eastAsia="zh-CN"/>
        </w:rPr>
        <w:t>功能模块要求</w:t>
      </w:r>
    </w:p>
    <w:p w14:paraId="627B8271">
      <w:pPr>
        <w:numPr>
          <w:ilvl w:val="0"/>
          <w:numId w:val="0"/>
        </w:numPr>
        <w:bidi w:val="0"/>
        <w:rPr>
          <w:rFonts w:hint="eastAsia"/>
        </w:rPr>
      </w:pPr>
      <w:r>
        <w:rPr>
          <w:rFonts w:hint="eastAsia"/>
        </w:rPr>
        <w:t>系统须完整覆盖以下核心功能模块：</w:t>
      </w:r>
    </w:p>
    <w:p w14:paraId="63E653FA">
      <w:pPr>
        <w:numPr>
          <w:ilvl w:val="0"/>
          <w:numId w:val="0"/>
        </w:numPr>
        <w:bidi w:val="0"/>
        <w:rPr>
          <w:rFonts w:hint="eastAsia"/>
        </w:rPr>
      </w:pPr>
      <w:r>
        <w:rPr>
          <w:rFonts w:hint="eastAsia"/>
          <w:b/>
          <w:bCs/>
        </w:rPr>
        <w:t>采购管理</w:t>
      </w:r>
      <w:r>
        <w:rPr>
          <w:rFonts w:hint="eastAsia"/>
        </w:rPr>
        <w:t>：支持采购申请、合同、订单、收货、使用验收、质保验收，均需支持OA审批对接及批量导入。</w:t>
      </w:r>
    </w:p>
    <w:p w14:paraId="69B84C98">
      <w:pPr>
        <w:numPr>
          <w:ilvl w:val="0"/>
          <w:numId w:val="0"/>
        </w:numPr>
        <w:bidi w:val="0"/>
        <w:rPr>
          <w:rFonts w:hint="eastAsia"/>
        </w:rPr>
      </w:pPr>
      <w:r>
        <w:rPr>
          <w:rFonts w:hint="eastAsia"/>
          <w:b/>
          <w:bCs/>
        </w:rPr>
        <w:t>资产台账管理：</w:t>
      </w:r>
      <w:r>
        <w:rPr>
          <w:rFonts w:hint="eastAsia"/>
        </w:rPr>
        <w:t>包括资产卡片创建与调整、资产档案（含维修、点检、备件等记录）。</w:t>
      </w:r>
    </w:p>
    <w:p w14:paraId="450D698F">
      <w:pPr>
        <w:numPr>
          <w:ilvl w:val="0"/>
          <w:numId w:val="0"/>
        </w:numPr>
        <w:bidi w:val="0"/>
        <w:rPr>
          <w:rFonts w:hint="eastAsia"/>
        </w:rPr>
      </w:pPr>
      <w:r>
        <w:rPr>
          <w:rFonts w:hint="eastAsia"/>
          <w:b/>
          <w:bCs/>
        </w:rPr>
        <w:t>折旧管理：</w:t>
      </w:r>
      <w:r>
        <w:rPr>
          <w:rFonts w:hint="eastAsia"/>
        </w:rPr>
        <w:t>支持自定义折旧方式，生成并查询月度/季度/年度折旧记录。</w:t>
      </w:r>
    </w:p>
    <w:p w14:paraId="66405FBA">
      <w:pPr>
        <w:numPr>
          <w:ilvl w:val="0"/>
          <w:numId w:val="0"/>
        </w:numPr>
        <w:bidi w:val="0"/>
        <w:rPr>
          <w:rFonts w:hint="eastAsia"/>
        </w:rPr>
      </w:pPr>
      <w:r>
        <w:rPr>
          <w:rFonts w:hint="eastAsia"/>
          <w:b/>
          <w:bCs/>
        </w:rPr>
        <w:t>使用管理：</w:t>
      </w:r>
      <w:r>
        <w:rPr>
          <w:rFonts w:hint="eastAsia"/>
        </w:rPr>
        <w:t>涵盖调拨、领用、借用、归还、续期、交接、闲置等全场景操作。</w:t>
      </w:r>
    </w:p>
    <w:p w14:paraId="2E8812AA">
      <w:pPr>
        <w:numPr>
          <w:ilvl w:val="0"/>
          <w:numId w:val="0"/>
        </w:numPr>
        <w:bidi w:val="0"/>
        <w:rPr>
          <w:rFonts w:hint="eastAsia"/>
        </w:rPr>
      </w:pPr>
      <w:r>
        <w:rPr>
          <w:rFonts w:hint="eastAsia"/>
          <w:b/>
          <w:bCs/>
        </w:rPr>
        <w:t>退出管理：</w:t>
      </w:r>
      <w:r>
        <w:rPr>
          <w:rFonts w:hint="eastAsia"/>
        </w:rPr>
        <w:t>支持资产报废与处置流程，记录完整信息。</w:t>
      </w:r>
    </w:p>
    <w:p w14:paraId="36BE6255">
      <w:pPr>
        <w:numPr>
          <w:ilvl w:val="0"/>
          <w:numId w:val="0"/>
        </w:numPr>
        <w:bidi w:val="0"/>
        <w:rPr>
          <w:rFonts w:hint="eastAsia"/>
        </w:rPr>
      </w:pPr>
      <w:r>
        <w:rPr>
          <w:rFonts w:hint="eastAsia"/>
          <w:b/>
          <w:bCs/>
        </w:rPr>
        <w:t>资产定位：</w:t>
      </w:r>
      <w:r>
        <w:rPr>
          <w:rFonts w:hint="eastAsia"/>
        </w:rPr>
        <w:t>支持楼层/基站配置、标签绑定、实时盘点、地理定位（按类型/地点/名称查询）。</w:t>
      </w:r>
    </w:p>
    <w:p w14:paraId="533CC6DE">
      <w:pPr>
        <w:numPr>
          <w:ilvl w:val="0"/>
          <w:numId w:val="0"/>
        </w:numPr>
        <w:bidi w:val="0"/>
        <w:rPr>
          <w:rFonts w:hint="eastAsia"/>
        </w:rPr>
      </w:pPr>
      <w:r>
        <w:rPr>
          <w:rFonts w:hint="eastAsia"/>
          <w:b/>
          <w:bCs/>
        </w:rPr>
        <w:t>盘点管理：</w:t>
      </w:r>
      <w:r>
        <w:rPr>
          <w:rFonts w:hint="eastAsia"/>
        </w:rPr>
        <w:t>支持按部门、区域、状态等条件创建盘点单，支持二维码/RFID扫码、多人协同、离线执行。</w:t>
      </w:r>
    </w:p>
    <w:p w14:paraId="12456D11">
      <w:pPr>
        <w:numPr>
          <w:ilvl w:val="0"/>
          <w:numId w:val="0"/>
        </w:numPr>
        <w:bidi w:val="0"/>
        <w:rPr>
          <w:rFonts w:hint="eastAsia"/>
        </w:rPr>
      </w:pPr>
      <w:r>
        <w:rPr>
          <w:rFonts w:hint="eastAsia"/>
          <w:b/>
          <w:bCs/>
        </w:rPr>
        <w:t>设备监控与紧急维修：</w:t>
      </w:r>
      <w:r>
        <w:rPr>
          <w:rFonts w:hint="eastAsia"/>
        </w:rPr>
        <w:t>支持设备注册、告警阈值设置、故障分类、维修领料、退库、多仓调拨。</w:t>
      </w:r>
    </w:p>
    <w:p w14:paraId="27D3146D">
      <w:pPr>
        <w:numPr>
          <w:ilvl w:val="0"/>
          <w:numId w:val="0"/>
        </w:numPr>
        <w:bidi w:val="0"/>
        <w:rPr>
          <w:rFonts w:hint="eastAsia"/>
        </w:rPr>
      </w:pPr>
      <w:r>
        <w:rPr>
          <w:rFonts w:hint="eastAsia"/>
          <w:b/>
          <w:bCs/>
        </w:rPr>
        <w:t>库存管理：</w:t>
      </w:r>
      <w:r>
        <w:rPr>
          <w:rFonts w:hint="eastAsia"/>
        </w:rPr>
        <w:t>包含入库、出库、库存查询、库存预警。</w:t>
      </w:r>
    </w:p>
    <w:p w14:paraId="2A618A86">
      <w:pPr>
        <w:numPr>
          <w:ilvl w:val="0"/>
          <w:numId w:val="0"/>
        </w:numPr>
        <w:bidi w:val="0"/>
        <w:rPr>
          <w:rFonts w:hint="eastAsia"/>
        </w:rPr>
      </w:pPr>
      <w:r>
        <w:rPr>
          <w:rFonts w:hint="eastAsia"/>
          <w:b/>
          <w:bCs/>
        </w:rPr>
        <w:t>物资盘点：</w:t>
      </w:r>
      <w:r>
        <w:rPr>
          <w:rFonts w:hint="eastAsia"/>
        </w:rPr>
        <w:t>独立的物资盘点单创建与执行机制。</w:t>
      </w:r>
    </w:p>
    <w:p w14:paraId="3FB14135">
      <w:pPr>
        <w:numPr>
          <w:ilvl w:val="0"/>
          <w:numId w:val="0"/>
        </w:numPr>
        <w:bidi w:val="0"/>
        <w:rPr>
          <w:rFonts w:hint="eastAsia"/>
        </w:rPr>
      </w:pPr>
      <w:r>
        <w:rPr>
          <w:rFonts w:hint="eastAsia"/>
          <w:b/>
          <w:bCs/>
        </w:rPr>
        <w:t>统计报表：</w:t>
      </w:r>
      <w:r>
        <w:rPr>
          <w:rFonts w:hint="eastAsia"/>
        </w:rPr>
        <w:t>提供资产分布、变动、盘点、处置、维修及物资入库、调拨等多维统计分析，支持图表可视化。</w:t>
      </w:r>
    </w:p>
    <w:p w14:paraId="68988ED1">
      <w:pPr>
        <w:numPr>
          <w:ilvl w:val="0"/>
          <w:numId w:val="0"/>
        </w:numPr>
        <w:bidi w:val="0"/>
        <w:rPr>
          <w:rFonts w:hint="eastAsia"/>
        </w:rPr>
      </w:pPr>
      <w:r>
        <w:rPr>
          <w:rFonts w:hint="eastAsia"/>
          <w:b/>
          <w:bCs/>
        </w:rPr>
        <w:t>主数据管理：</w:t>
      </w:r>
      <w:r>
        <w:rPr>
          <w:rFonts w:hint="eastAsia"/>
        </w:rPr>
        <w:t>支持资产分类、地理区域等基础数据自定义。</w:t>
      </w:r>
    </w:p>
    <w:p w14:paraId="2858C0B1">
      <w:pPr>
        <w:numPr>
          <w:ilvl w:val="0"/>
          <w:numId w:val="0"/>
        </w:numPr>
        <w:bidi w:val="0"/>
        <w:rPr>
          <w:rFonts w:hint="eastAsia"/>
        </w:rPr>
      </w:pPr>
      <w:r>
        <w:rPr>
          <w:rFonts w:hint="eastAsia"/>
          <w:b/>
          <w:bCs/>
        </w:rPr>
        <w:t>系统权限：</w:t>
      </w:r>
      <w:r>
        <w:rPr>
          <w:rFonts w:hint="eastAsia"/>
        </w:rPr>
        <w:t>支持组织、岗位、用户、角色、分组管理，具备三级权限（操作/功能/数据）控制能力。</w:t>
      </w:r>
    </w:p>
    <w:p w14:paraId="65BBE684">
      <w:pPr>
        <w:numPr>
          <w:ilvl w:val="0"/>
          <w:numId w:val="0"/>
        </w:numPr>
        <w:bidi w:val="0"/>
        <w:rPr>
          <w:rFonts w:hint="eastAsia"/>
        </w:rPr>
      </w:pPr>
      <w:r>
        <w:rPr>
          <w:rFonts w:hint="eastAsia"/>
          <w:b/>
          <w:bCs/>
        </w:rPr>
        <w:t>工作流程：</w:t>
      </w:r>
      <w:r>
        <w:rPr>
          <w:rFonts w:hint="eastAsia"/>
        </w:rPr>
        <w:t>支持我发起的、待办/已办事项、抄送、流程委托等协同功能。</w:t>
      </w:r>
    </w:p>
    <w:p w14:paraId="273E6A6E">
      <w:pPr>
        <w:numPr>
          <w:ilvl w:val="0"/>
          <w:numId w:val="4"/>
        </w:numPr>
        <w:bidi w:val="0"/>
        <w:rPr>
          <w:rFonts w:hint="eastAsia"/>
          <w:lang w:val="en-US" w:eastAsia="zh-CN"/>
        </w:rPr>
      </w:pPr>
      <w:r>
        <w:rPr>
          <w:rFonts w:hint="eastAsia"/>
          <w:lang w:val="en-US" w:eastAsia="zh-CN"/>
        </w:rPr>
        <w:t>技术与集成要求</w:t>
      </w:r>
    </w:p>
    <w:p w14:paraId="0ED54214">
      <w:pPr>
        <w:numPr>
          <w:ilvl w:val="0"/>
          <w:numId w:val="0"/>
        </w:num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支持与深圳市宝安实业</w:t>
      </w:r>
      <w:r>
        <w:rPr>
          <w:rFonts w:hint="default"/>
        </w:rPr>
        <w:t>集团有限公司</w:t>
      </w:r>
      <w:r>
        <w:rPr>
          <w:rFonts w:hint="eastAsia"/>
        </w:rPr>
        <w:t>现有OA系统无缝对接，实现审批表单</w:t>
      </w:r>
      <w:r>
        <w:rPr>
          <w:rFonts w:hint="eastAsia"/>
          <w:lang w:eastAsia="zh-CN"/>
        </w:rPr>
        <w:t>、</w:t>
      </w:r>
      <w:r>
        <w:rPr>
          <w:rFonts w:hint="eastAsia"/>
          <w:lang w:val="en-US" w:eastAsia="zh-CN"/>
        </w:rPr>
        <w:t>附件推送以及审批结果</w:t>
      </w:r>
      <w:r>
        <w:rPr>
          <w:rFonts w:hint="eastAsia"/>
        </w:rPr>
        <w:t>同步。</w:t>
      </w:r>
    </w:p>
    <w:p w14:paraId="6567EF57">
      <w:pPr>
        <w:numPr>
          <w:ilvl w:val="0"/>
          <w:numId w:val="0"/>
        </w:num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支持条码及无源/有源RFID技术，兼容主流标签与手持终端。</w:t>
      </w:r>
    </w:p>
    <w:p w14:paraId="47A69634">
      <w:pPr>
        <w:numPr>
          <w:ilvl w:val="0"/>
          <w:numId w:val="0"/>
        </w:num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移动端需兼容Android 10及以上、iOS系统，支持离线操作与数据同步。</w:t>
      </w:r>
    </w:p>
    <w:p w14:paraId="5F9B9034">
      <w:pPr>
        <w:numPr>
          <w:ilvl w:val="0"/>
          <w:numId w:val="0"/>
        </w:num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系统需具备高可用性、安全性及可扩展性，支持未来与ERP、财务系统集成。</w:t>
      </w:r>
    </w:p>
    <w:p w14:paraId="16DC744E">
      <w:pPr>
        <w:numPr>
          <w:ilvl w:val="0"/>
          <w:numId w:val="4"/>
        </w:numPr>
        <w:bidi w:val="0"/>
        <w:rPr>
          <w:rFonts w:hint="eastAsia"/>
          <w:lang w:val="en-US" w:eastAsia="zh-CN"/>
        </w:rPr>
      </w:pPr>
      <w:r>
        <w:rPr>
          <w:rFonts w:hint="eastAsia"/>
          <w:lang w:val="en-US" w:eastAsia="zh-CN"/>
        </w:rPr>
        <w:t>用户体验要求</w:t>
      </w:r>
    </w:p>
    <w:p w14:paraId="31E9ECDF">
      <w:pPr>
        <w:numPr>
          <w:ilvl w:val="0"/>
          <w:numId w:val="0"/>
        </w:num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界面简洁，操作便捷，支持一键导入、批量处理、快速检索。</w:t>
      </w:r>
    </w:p>
    <w:p w14:paraId="79AB1A8D">
      <w:pPr>
        <w:numPr>
          <w:ilvl w:val="0"/>
          <w:numId w:val="0"/>
        </w:num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关键业务流程（如领用、调拨、盘点）需实现“一键导入关联资产”。</w:t>
      </w:r>
    </w:p>
    <w:p w14:paraId="551141D5">
      <w:pPr>
        <w:numPr>
          <w:ilvl w:val="0"/>
          <w:numId w:val="0"/>
        </w:num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报表支持导出（Excel/PDF等格式），图表可交互。</w:t>
      </w:r>
    </w:p>
    <w:p w14:paraId="5C9F22D1">
      <w:pPr>
        <w:numPr>
          <w:ilvl w:val="0"/>
          <w:numId w:val="0"/>
        </w:numPr>
        <w:bidi w:val="0"/>
        <w:ind w:firstLine="640" w:firstLineChars="200"/>
        <w:rPr>
          <w:rFonts w:hint="eastAsia"/>
        </w:rPr>
      </w:pPr>
      <w:r>
        <w:rPr>
          <w:rFonts w:hint="eastAsia"/>
        </w:rPr>
        <w:t>综上，该系统建设需以“全生命周期、全流程在线、全要素可视、全角色协同”为核心理念，打造一个集规范性、智能性、移动性与安全性于一体的</w:t>
      </w:r>
      <w:r>
        <w:rPr>
          <w:rFonts w:hint="eastAsia"/>
          <w:lang w:val="en-US" w:eastAsia="zh-CN"/>
        </w:rPr>
        <w:t>数字</w:t>
      </w:r>
      <w:r>
        <w:rPr>
          <w:rFonts w:hint="eastAsia"/>
        </w:rPr>
        <w:t>化资产管理</w:t>
      </w:r>
      <w:r>
        <w:rPr>
          <w:rFonts w:hint="eastAsia"/>
          <w:lang w:val="en-US" w:eastAsia="zh-CN"/>
        </w:rPr>
        <w:t>与物资库存管理的系统</w:t>
      </w:r>
      <w:r>
        <w:rPr>
          <w:rFonts w:hint="eastAsia"/>
        </w:rPr>
        <w:t>。</w:t>
      </w:r>
      <w:r>
        <w:rPr>
          <w:rFonts w:hint="eastAsia"/>
          <w:lang w:val="en-US" w:eastAsia="zh-CN"/>
        </w:rPr>
        <w:t>具体功能要求详见下表：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6"/>
        <w:gridCol w:w="1518"/>
        <w:gridCol w:w="2275"/>
        <w:gridCol w:w="3822"/>
      </w:tblGrid>
      <w:tr w14:paraId="24E1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16" w:type="dxa"/>
            <w:tcBorders>
              <w:top w:val="nil"/>
              <w:left w:val="single" w:color="000000" w:sz="4" w:space="0"/>
              <w:bottom w:val="single" w:color="000000" w:sz="4" w:space="0"/>
              <w:right w:val="single" w:color="000000" w:sz="4" w:space="0"/>
            </w:tcBorders>
            <w:shd w:val="clear" w:color="auto" w:fill="E7E6E6"/>
            <w:noWrap w:val="0"/>
            <w:vAlign w:val="center"/>
          </w:tcPr>
          <w:p w14:paraId="50D1469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一级功能</w:t>
            </w:r>
          </w:p>
        </w:tc>
        <w:tc>
          <w:tcPr>
            <w:tcW w:w="1518" w:type="dxa"/>
            <w:tcBorders>
              <w:top w:val="nil"/>
              <w:left w:val="single" w:color="000000" w:sz="4" w:space="0"/>
              <w:bottom w:val="single" w:color="000000" w:sz="4" w:space="0"/>
              <w:right w:val="single" w:color="000000" w:sz="4" w:space="0"/>
            </w:tcBorders>
            <w:shd w:val="clear" w:color="auto" w:fill="E7E6E6"/>
            <w:noWrap w:val="0"/>
            <w:vAlign w:val="center"/>
          </w:tcPr>
          <w:p w14:paraId="5C9D74B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二级功能</w:t>
            </w:r>
          </w:p>
        </w:tc>
        <w:tc>
          <w:tcPr>
            <w:tcW w:w="2275" w:type="dxa"/>
            <w:tcBorders>
              <w:top w:val="nil"/>
              <w:left w:val="single" w:color="000000" w:sz="4" w:space="0"/>
              <w:bottom w:val="single" w:color="000000" w:sz="4" w:space="0"/>
              <w:right w:val="single" w:color="000000" w:sz="4" w:space="0"/>
            </w:tcBorders>
            <w:shd w:val="clear" w:color="auto" w:fill="E7E6E6"/>
            <w:noWrap w:val="0"/>
            <w:vAlign w:val="center"/>
          </w:tcPr>
          <w:p w14:paraId="1FB79C1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三级功能</w:t>
            </w:r>
          </w:p>
        </w:tc>
        <w:tc>
          <w:tcPr>
            <w:tcW w:w="3822" w:type="dxa"/>
            <w:tcBorders>
              <w:top w:val="nil"/>
              <w:left w:val="single" w:color="000000" w:sz="4" w:space="0"/>
              <w:bottom w:val="single" w:color="000000" w:sz="4" w:space="0"/>
              <w:right w:val="single" w:color="000000" w:sz="4" w:space="0"/>
            </w:tcBorders>
            <w:shd w:val="clear" w:color="auto" w:fill="E7E6E6"/>
            <w:noWrap w:val="0"/>
            <w:vAlign w:val="center"/>
          </w:tcPr>
          <w:p w14:paraId="0404268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功能描述</w:t>
            </w:r>
          </w:p>
        </w:tc>
      </w:tr>
      <w:tr w14:paraId="3E0B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16" w:type="dxa"/>
            <w:vMerge w:val="restart"/>
            <w:tcBorders>
              <w:top w:val="single" w:color="000000" w:sz="4" w:space="0"/>
              <w:left w:val="single" w:color="000000" w:sz="4" w:space="0"/>
              <w:right w:val="single" w:color="000000" w:sz="4" w:space="0"/>
            </w:tcBorders>
            <w:shd w:val="clear" w:color="auto" w:fill="FFFFFF"/>
            <w:noWrap w:val="0"/>
            <w:vAlign w:val="center"/>
          </w:tcPr>
          <w:p w14:paraId="5D3598D5">
            <w:pPr>
              <w:jc w:val="both"/>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前期管理</w:t>
            </w:r>
          </w:p>
        </w:tc>
        <w:tc>
          <w:tcPr>
            <w:tcW w:w="1518" w:type="dxa"/>
            <w:vMerge w:val="restart"/>
            <w:tcBorders>
              <w:top w:val="single" w:color="000000" w:sz="4" w:space="0"/>
              <w:left w:val="single" w:color="000000" w:sz="4" w:space="0"/>
              <w:right w:val="single" w:color="000000" w:sz="4" w:space="0"/>
            </w:tcBorders>
            <w:shd w:val="clear" w:color="auto" w:fill="FFFFFF"/>
            <w:noWrap w:val="0"/>
            <w:vAlign w:val="center"/>
          </w:tcPr>
          <w:p w14:paraId="39179044">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采购管理</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E05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采购申请</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4FAE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1.支持审批流程对接OA，向OA发送审批表单及附件，并返回审批结果；</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2.系统自带可配置审批流程；</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3.可批量增加、导入采购清单明细；</w:t>
            </w:r>
          </w:p>
        </w:tc>
      </w:tr>
      <w:tr w14:paraId="3130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right w:val="single" w:color="000000" w:sz="4" w:space="0"/>
            </w:tcBorders>
            <w:shd w:val="clear" w:color="auto" w:fill="FFFFFF"/>
            <w:noWrap w:val="0"/>
            <w:vAlign w:val="center"/>
          </w:tcPr>
          <w:p w14:paraId="2DA30DAA">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right w:val="single" w:color="000000" w:sz="4" w:space="0"/>
            </w:tcBorders>
            <w:shd w:val="clear" w:color="auto" w:fill="FFFFFF"/>
            <w:noWrap w:val="0"/>
            <w:vAlign w:val="center"/>
          </w:tcPr>
          <w:p w14:paraId="782A1BB4">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D326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采购合同</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F8F4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1.包含合同编号、名称、供应商名称、金额；</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2.可批量选择订单内的资产明细；</w:t>
            </w:r>
          </w:p>
        </w:tc>
      </w:tr>
      <w:tr w14:paraId="5A51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right w:val="single" w:color="000000" w:sz="4" w:space="0"/>
            </w:tcBorders>
            <w:shd w:val="clear" w:color="auto" w:fill="FFFFFF"/>
            <w:noWrap w:val="0"/>
            <w:vAlign w:val="center"/>
          </w:tcPr>
          <w:p w14:paraId="2D9B2472">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right w:val="single" w:color="000000" w:sz="4" w:space="0"/>
            </w:tcBorders>
            <w:shd w:val="clear" w:color="auto" w:fill="FFFFFF"/>
            <w:noWrap w:val="0"/>
            <w:vAlign w:val="center"/>
          </w:tcPr>
          <w:p w14:paraId="5476A19A">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0CA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采购订单</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A7CE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1.包含订单编码、采购部门、合同编码；</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2.支持导入采购合同和采购申请内的采购清单明细；</w:t>
            </w:r>
          </w:p>
        </w:tc>
      </w:tr>
      <w:tr w14:paraId="41E0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16" w:type="dxa"/>
            <w:vMerge w:val="continue"/>
            <w:tcBorders>
              <w:left w:val="single" w:color="000000" w:sz="4" w:space="0"/>
              <w:right w:val="single" w:color="000000" w:sz="4" w:space="0"/>
            </w:tcBorders>
            <w:shd w:val="clear" w:color="auto" w:fill="FFFFFF"/>
            <w:noWrap w:val="0"/>
            <w:vAlign w:val="center"/>
          </w:tcPr>
          <w:p w14:paraId="08DC1DAE">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right w:val="single" w:color="000000" w:sz="4" w:space="0"/>
            </w:tcBorders>
            <w:shd w:val="clear" w:color="auto" w:fill="FFFFFF"/>
            <w:noWrap w:val="0"/>
            <w:vAlign w:val="center"/>
          </w:tcPr>
          <w:p w14:paraId="3284D311">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47F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采购收货</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5C7C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1.支持审批流程对接OA，向OA发送审批表单及附件，并返回审批结果；</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2.系统自带可配置审批流程；</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3.可批量增加、导入采购清单明细；</w:t>
            </w:r>
          </w:p>
        </w:tc>
      </w:tr>
      <w:tr w14:paraId="00AB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16" w:type="dxa"/>
            <w:vMerge w:val="continue"/>
            <w:tcBorders>
              <w:left w:val="single" w:color="000000" w:sz="4" w:space="0"/>
              <w:right w:val="single" w:color="000000" w:sz="4" w:space="0"/>
            </w:tcBorders>
            <w:shd w:val="clear" w:color="auto" w:fill="FFFFFF"/>
            <w:noWrap w:val="0"/>
            <w:vAlign w:val="center"/>
          </w:tcPr>
          <w:p w14:paraId="0DF5465C">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right w:val="single" w:color="000000" w:sz="4" w:space="0"/>
            </w:tcBorders>
            <w:shd w:val="clear" w:color="auto" w:fill="FFFFFF"/>
            <w:noWrap w:val="0"/>
            <w:vAlign w:val="center"/>
          </w:tcPr>
          <w:p w14:paraId="4B34A343">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450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使用验收</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2C28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1.包含验收单号、验收人、验收部门、验收时间（年月日）；</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2.可关联对应资产明细进行批量或单一验收；</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3.支持审批流程对接OA，向OA发送审批表单及附件，并返回审批结果；</w:t>
            </w:r>
          </w:p>
        </w:tc>
      </w:tr>
      <w:tr w14:paraId="5C6C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16" w:type="dxa"/>
            <w:vMerge w:val="continue"/>
            <w:tcBorders>
              <w:left w:val="single" w:color="000000" w:sz="4" w:space="0"/>
              <w:bottom w:val="single" w:color="000000" w:sz="4" w:space="0"/>
              <w:right w:val="single" w:color="000000" w:sz="4" w:space="0"/>
            </w:tcBorders>
            <w:shd w:val="clear" w:color="auto" w:fill="FFFFFF"/>
            <w:noWrap w:val="0"/>
            <w:vAlign w:val="center"/>
          </w:tcPr>
          <w:p w14:paraId="7DCD5910">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bottom w:val="single" w:color="000000" w:sz="4" w:space="0"/>
              <w:right w:val="single" w:color="000000" w:sz="4" w:space="0"/>
            </w:tcBorders>
            <w:shd w:val="clear" w:color="auto" w:fill="FFFFFF"/>
            <w:noWrap w:val="0"/>
            <w:vAlign w:val="center"/>
          </w:tcPr>
          <w:p w14:paraId="1737B056">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C80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质保验收</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FBDC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1.可对已使用并到质保期的设备/资产进行验收；</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2.包含使用过程记录、验收情况说明、验收附件上传等；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3.支持审批流程对接OA，向OA发送审批表单及附件，并返回审批结果；</w:t>
            </w:r>
          </w:p>
        </w:tc>
      </w:tr>
      <w:tr w14:paraId="0E37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D78C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资产台账</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C9C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CB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资产卡片</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361C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1、包含资产名称、规格型号、资产类别、立卡日期、管理人、管理部门等；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2、可关联备件清单；</w:t>
            </w:r>
          </w:p>
        </w:tc>
      </w:tr>
      <w:tr w14:paraId="4A0C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1E84E">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97FFC">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F13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资产卡片调整</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15E1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1.可对已创建的资产卡片进行内容修改，包含资产名称、规格型号、资产类别、立卡日期、管理人、管理部门等；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2.支持审批流程对接OA，向OA发送审批表单及附件，并返回审批结果；</w:t>
            </w:r>
          </w:p>
        </w:tc>
      </w:tr>
      <w:tr w14:paraId="23C0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E637B">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588EE">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AF2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资产档案</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3EC5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1.包含资产变动、维修、备件使用、点检、巡检、保养等业务记录；</w:t>
            </w:r>
          </w:p>
        </w:tc>
      </w:tr>
      <w:tr w14:paraId="76EE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786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折旧管理</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D83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908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折旧设置</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D3F1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1.可自定义设置资产折旧方式；</w:t>
            </w:r>
          </w:p>
        </w:tc>
      </w:tr>
      <w:tr w14:paraId="2DA9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DA8C8">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048C0">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E44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折旧记录</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96C3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1.可查询、统计资产每月度、季度、年度折旧记录；</w:t>
            </w:r>
          </w:p>
        </w:tc>
      </w:tr>
      <w:tr w14:paraId="7397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9AA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使用管理</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EF7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2DA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资产调拨</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5BE1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1.可便捷录入详细的资产调拨单，一键导入调拨资产；</w:t>
            </w:r>
          </w:p>
        </w:tc>
      </w:tr>
      <w:tr w14:paraId="35F5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A82E6">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779D3">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661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资产领用</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931D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1.可便捷录入详细的资产领用信息，一键导入领用资产；</w:t>
            </w:r>
          </w:p>
        </w:tc>
      </w:tr>
      <w:tr w14:paraId="27C3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949A4">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98841">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614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资产借用</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210D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1.可便捷录入详细的资产借用信息，一键导入借用资产；</w:t>
            </w:r>
          </w:p>
        </w:tc>
      </w:tr>
      <w:tr w14:paraId="57FD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82606">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F4B3A">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0CDD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资产归还</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E2B3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1.可便捷录入详细的资产归还信息，一键关联领借单；</w:t>
            </w:r>
          </w:p>
        </w:tc>
      </w:tr>
      <w:tr w14:paraId="57CA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26DC9">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687F8">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6832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续期管理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99E2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1.可便捷录入详细的资产续期信息，一键导入续期资产；</w:t>
            </w:r>
          </w:p>
        </w:tc>
      </w:tr>
      <w:tr w14:paraId="48E3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0997D">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18EBA">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DB6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资产交接</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DFD7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1.支持资产使用人、管理人变更，一键导入关联资产清单；</w:t>
            </w:r>
          </w:p>
        </w:tc>
      </w:tr>
      <w:tr w14:paraId="45AA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E3B7D">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A887E">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3D6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资产闲置</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92DE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1.可便捷录入详细的资产闲置信息，一键导入闲置资产；</w:t>
            </w:r>
          </w:p>
        </w:tc>
      </w:tr>
      <w:tr w14:paraId="31AA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50579">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BEC00">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C98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资产变动查询</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7229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1.可查看企业资产各种变动信息；</w:t>
            </w:r>
          </w:p>
        </w:tc>
      </w:tr>
      <w:tr w14:paraId="0C0E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AFC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退出管理</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4F8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BA6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资产报废</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E8D8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1.设备管理员可新增资产报废工单，支持报废日期、申请人、管理人、报废原因、资产等信息的录入。</w:t>
            </w:r>
          </w:p>
        </w:tc>
      </w:tr>
      <w:tr w14:paraId="2F0F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E0511">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D93EF">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23F4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资产处置</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A9EA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1.支持处置编号、处置日期、申请人、管理人、资产等信息的录入。完成后可成功创建资产处置表单。</w:t>
            </w:r>
          </w:p>
        </w:tc>
      </w:tr>
      <w:tr w14:paraId="5BAE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5AF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资产定位</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D39A9">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74C6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楼层管理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FB7A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1.包含定位楼层配置、地点配置；</w:t>
            </w:r>
          </w:p>
        </w:tc>
      </w:tr>
      <w:tr w14:paraId="1BA0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D6452">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7DA04">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B68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基站管理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2AE5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1.自定义配置定位基站信息，包含名称、类型、地点等；</w:t>
            </w:r>
          </w:p>
        </w:tc>
      </w:tr>
      <w:tr w14:paraId="6A98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F86EB">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4B59E">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345E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标签绑定</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B4B8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1.与资产定位标签进行绑定；</w:t>
            </w:r>
          </w:p>
        </w:tc>
      </w:tr>
      <w:tr w14:paraId="66F3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A6F36">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E8E3E">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843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实时盘点</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9B51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1.一键自动盘点，包含正常资产、异常资产、丢失资产等信息；</w:t>
            </w:r>
          </w:p>
        </w:tc>
      </w:tr>
      <w:tr w14:paraId="0201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C95A0">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69C87">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5B64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地理定位</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1369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1.自定义定位资产位置，可按照类型、地点、名称等信息；</w:t>
            </w:r>
          </w:p>
        </w:tc>
      </w:tr>
      <w:tr w14:paraId="7AC3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EC7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盘点管理</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2B8BB">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19A5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盘点单创建</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62B3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1.可录入详细的盘点单信息，可根据盘点范围预览盘点数据;</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2.可根据资产类型、地理区域、使用部门、管理状态进行自定义盘点单据创建；</w:t>
            </w:r>
          </w:p>
        </w:tc>
      </w:tr>
      <w:tr w14:paraId="0B1D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50C08">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F2FA5">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D2F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盘点单执行</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BBD4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1.支持移动终端二维码扫码、RFID感应等多种方式执行盘点；</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2.支持盘点任务离线执行；</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3.支持同一盘点任务多人同时执行；</w:t>
            </w:r>
          </w:p>
        </w:tc>
      </w:tr>
      <w:tr w14:paraId="478F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restart"/>
            <w:tcBorders>
              <w:top w:val="single" w:color="000000" w:sz="4" w:space="0"/>
              <w:left w:val="single" w:color="000000" w:sz="4" w:space="0"/>
              <w:right w:val="single" w:color="000000" w:sz="4" w:space="0"/>
            </w:tcBorders>
            <w:shd w:val="clear" w:color="auto" w:fill="FFFFFF"/>
            <w:noWrap w:val="0"/>
            <w:vAlign w:val="center"/>
          </w:tcPr>
          <w:p w14:paraId="4A2C51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设备监控</w:t>
            </w:r>
          </w:p>
        </w:tc>
        <w:tc>
          <w:tcPr>
            <w:tcW w:w="1518" w:type="dxa"/>
            <w:vMerge w:val="restart"/>
            <w:tcBorders>
              <w:top w:val="single" w:color="000000" w:sz="4" w:space="0"/>
              <w:left w:val="single" w:color="000000" w:sz="4" w:space="0"/>
              <w:right w:val="single" w:color="000000" w:sz="4" w:space="0"/>
            </w:tcBorders>
            <w:shd w:val="clear" w:color="auto" w:fill="FFFFFF"/>
            <w:noWrap w:val="0"/>
            <w:vAlign w:val="center"/>
          </w:tcPr>
          <w:p w14:paraId="4DF4A5C1">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B73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机型管理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6844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1.支持自定义数据采集设备类型；</w:t>
            </w:r>
          </w:p>
        </w:tc>
      </w:tr>
      <w:tr w14:paraId="00B1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left w:val="single" w:color="000000" w:sz="4" w:space="0"/>
              <w:right w:val="single" w:color="000000" w:sz="4" w:space="0"/>
            </w:tcBorders>
            <w:shd w:val="clear" w:color="auto" w:fill="FFFFFF"/>
            <w:noWrap w:val="0"/>
            <w:vAlign w:val="center"/>
          </w:tcPr>
          <w:p w14:paraId="43F60F24">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right w:val="single" w:color="000000" w:sz="4" w:space="0"/>
            </w:tcBorders>
            <w:shd w:val="clear" w:color="auto" w:fill="FFFFFF"/>
            <w:noWrap w:val="0"/>
            <w:vAlign w:val="center"/>
          </w:tcPr>
          <w:p w14:paraId="08AE674F">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940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设备注册</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310A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1.自定义增加设备，可通过MQTT协议或485网关方式；</w:t>
            </w:r>
          </w:p>
        </w:tc>
      </w:tr>
      <w:tr w14:paraId="1977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left w:val="single" w:color="000000" w:sz="4" w:space="0"/>
              <w:bottom w:val="nil"/>
              <w:right w:val="single" w:color="000000" w:sz="4" w:space="0"/>
            </w:tcBorders>
            <w:shd w:val="clear" w:color="auto" w:fill="FFFFFF"/>
            <w:noWrap w:val="0"/>
            <w:vAlign w:val="center"/>
          </w:tcPr>
          <w:p w14:paraId="232D311C">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bottom w:val="single" w:color="000000" w:sz="4" w:space="0"/>
              <w:right w:val="single" w:color="000000" w:sz="4" w:space="0"/>
            </w:tcBorders>
            <w:shd w:val="clear" w:color="auto" w:fill="FFFFFF"/>
            <w:noWrap w:val="0"/>
            <w:vAlign w:val="center"/>
          </w:tcPr>
          <w:p w14:paraId="0871034A">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E29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设备告警</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D832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1.可自定义设备告警信息和报警阈值；</w:t>
            </w:r>
          </w:p>
        </w:tc>
      </w:tr>
      <w:tr w14:paraId="40A2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339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紧急维修</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0D039">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A0C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故障分类</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BE83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1.支持新增故障分类，包含分类名称、创建时间、创建用户等信息的录入。完成后可调用故障分类数据。</w:t>
            </w:r>
          </w:p>
        </w:tc>
      </w:tr>
      <w:tr w14:paraId="096F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restart"/>
            <w:tcBorders>
              <w:top w:val="single" w:color="000000" w:sz="4" w:space="0"/>
              <w:left w:val="single" w:color="000000" w:sz="4" w:space="0"/>
              <w:right w:val="single" w:color="000000" w:sz="4" w:space="0"/>
            </w:tcBorders>
            <w:shd w:val="clear" w:color="auto" w:fill="FFFFFF"/>
            <w:noWrap/>
            <w:vAlign w:val="center"/>
          </w:tcPr>
          <w:p w14:paraId="1304DC26">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物资管理</w:t>
            </w:r>
          </w:p>
        </w:tc>
        <w:tc>
          <w:tcPr>
            <w:tcW w:w="1518" w:type="dxa"/>
            <w:vMerge w:val="restart"/>
            <w:tcBorders>
              <w:top w:val="single" w:color="000000" w:sz="4" w:space="0"/>
              <w:left w:val="single" w:color="000000" w:sz="4" w:space="0"/>
              <w:right w:val="single" w:color="000000" w:sz="4" w:space="0"/>
            </w:tcBorders>
            <w:shd w:val="clear" w:color="auto" w:fill="FFFFFF"/>
            <w:noWrap/>
            <w:vAlign w:val="center"/>
          </w:tcPr>
          <w:p w14:paraId="151701B4">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仓库管理</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DF1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物资采购入库</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936C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1.支持一键导入采购订单明细；</w:t>
            </w:r>
          </w:p>
          <w:p w14:paraId="36BCE70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2.支持多仓库、库位、货架选择；</w:t>
            </w:r>
          </w:p>
        </w:tc>
      </w:tr>
      <w:tr w14:paraId="1938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right w:val="single" w:color="000000" w:sz="4" w:space="0"/>
            </w:tcBorders>
            <w:shd w:val="clear" w:color="auto" w:fill="FFFFFF"/>
            <w:noWrap/>
            <w:vAlign w:val="center"/>
          </w:tcPr>
          <w:p w14:paraId="2D0B7465">
            <w:pPr>
              <w:jc w:val="center"/>
              <w:rPr>
                <w:rFonts w:hint="eastAsia" w:ascii="仿宋" w:hAnsi="仿宋" w:eastAsia="仿宋" w:cs="仿宋"/>
                <w:i w:val="0"/>
                <w:iCs w:val="0"/>
                <w:color w:val="000000"/>
                <w:sz w:val="28"/>
                <w:szCs w:val="28"/>
                <w:u w:val="none"/>
                <w:lang w:val="en-US" w:eastAsia="zh-CN"/>
              </w:rPr>
            </w:pPr>
          </w:p>
        </w:tc>
        <w:tc>
          <w:tcPr>
            <w:tcW w:w="1518" w:type="dxa"/>
            <w:vMerge w:val="continue"/>
            <w:tcBorders>
              <w:left w:val="single" w:color="000000" w:sz="4" w:space="0"/>
              <w:right w:val="single" w:color="000000" w:sz="4" w:space="0"/>
            </w:tcBorders>
            <w:shd w:val="clear" w:color="auto" w:fill="FFFFFF"/>
            <w:noWrap/>
            <w:vAlign w:val="center"/>
          </w:tcPr>
          <w:p w14:paraId="19E3F8F2">
            <w:pPr>
              <w:jc w:val="center"/>
              <w:rPr>
                <w:rFonts w:hint="eastAsia" w:ascii="仿宋" w:hAnsi="仿宋" w:eastAsia="仿宋" w:cs="仿宋"/>
                <w:i w:val="0"/>
                <w:iCs w:val="0"/>
                <w:color w:val="000000"/>
                <w:sz w:val="28"/>
                <w:szCs w:val="28"/>
                <w:u w:val="none"/>
                <w:lang w:val="en-US" w:eastAsia="zh-CN"/>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0BD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领用申请</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6FFD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1.支持审批流程对接OA，向OA发送审批表单及附件，并返回审批结果；</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2.支持资产维修一键申成领料单；</w:t>
            </w:r>
          </w:p>
        </w:tc>
      </w:tr>
      <w:tr w14:paraId="31D2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right w:val="single" w:color="000000" w:sz="4" w:space="0"/>
            </w:tcBorders>
            <w:shd w:val="clear" w:color="auto" w:fill="FFFFFF"/>
            <w:noWrap/>
            <w:vAlign w:val="center"/>
          </w:tcPr>
          <w:p w14:paraId="6CB6F560">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right w:val="single" w:color="000000" w:sz="4" w:space="0"/>
            </w:tcBorders>
            <w:shd w:val="clear" w:color="auto" w:fill="FFFFFF"/>
            <w:noWrap/>
            <w:vAlign w:val="center"/>
          </w:tcPr>
          <w:p w14:paraId="6FDF5A51">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EF9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领用出库</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42B3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1.支持审批流程对接OA，向OA发送审批表单及附件，并返回审批结果；</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2.支持出库申请物资明细查看和数量修改；</w:t>
            </w:r>
          </w:p>
        </w:tc>
      </w:tr>
      <w:tr w14:paraId="6652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right w:val="single" w:color="000000" w:sz="4" w:space="0"/>
            </w:tcBorders>
            <w:shd w:val="clear" w:color="auto" w:fill="FFFFFF"/>
            <w:noWrap/>
            <w:vAlign w:val="center"/>
          </w:tcPr>
          <w:p w14:paraId="311A07D7">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right w:val="single" w:color="000000" w:sz="4" w:space="0"/>
            </w:tcBorders>
            <w:shd w:val="clear" w:color="auto" w:fill="FFFFFF"/>
            <w:noWrap/>
            <w:vAlign w:val="center"/>
          </w:tcPr>
          <w:p w14:paraId="5AD86FBC">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378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调拨管理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B99A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1.支持多仓库物资调拨管理；</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2.支持审批流程对接OA，向OA发送审批表单及附件，并返回审批结果；</w:t>
            </w:r>
          </w:p>
        </w:tc>
      </w:tr>
      <w:tr w14:paraId="6CA1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right w:val="single" w:color="000000" w:sz="4" w:space="0"/>
            </w:tcBorders>
            <w:shd w:val="clear" w:color="auto" w:fill="FFFFFF"/>
            <w:noWrap/>
            <w:vAlign w:val="center"/>
          </w:tcPr>
          <w:p w14:paraId="5B6D2E74">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right w:val="single" w:color="000000" w:sz="4" w:space="0"/>
            </w:tcBorders>
            <w:shd w:val="clear" w:color="auto" w:fill="FFFFFF"/>
            <w:noWrap/>
            <w:vAlign w:val="center"/>
          </w:tcPr>
          <w:p w14:paraId="126595F7">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9410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库存查询</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35BD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1.支持列表展示所有库存明细清单；</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2.包含物资类型、名称、数量、存放地点、库区、库位等；</w:t>
            </w:r>
          </w:p>
        </w:tc>
      </w:tr>
      <w:tr w14:paraId="10A0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right w:val="single" w:color="000000" w:sz="4" w:space="0"/>
            </w:tcBorders>
            <w:shd w:val="clear" w:color="auto" w:fill="FFFFFF"/>
            <w:noWrap/>
            <w:vAlign w:val="center"/>
          </w:tcPr>
          <w:p w14:paraId="0D25D8EB">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right w:val="single" w:color="000000" w:sz="4" w:space="0"/>
            </w:tcBorders>
            <w:shd w:val="clear" w:color="auto" w:fill="FFFFFF"/>
            <w:noWrap/>
            <w:vAlign w:val="center"/>
          </w:tcPr>
          <w:p w14:paraId="0ECFE203">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B6B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库存预警</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8AA9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1.支持自定设置每类物资上下限预警；</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2.支持预警信息通过企微、钉钉、邮件、短信等方式的消息推送；</w:t>
            </w:r>
          </w:p>
        </w:tc>
      </w:tr>
      <w:tr w14:paraId="57E4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right w:val="single" w:color="000000" w:sz="4" w:space="0"/>
            </w:tcBorders>
            <w:shd w:val="clear" w:color="auto" w:fill="FFFFFF"/>
            <w:noWrap/>
            <w:vAlign w:val="center"/>
          </w:tcPr>
          <w:p w14:paraId="5D69B727">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bottom w:val="single" w:color="000000" w:sz="4" w:space="0"/>
              <w:right w:val="single" w:color="000000" w:sz="4" w:space="0"/>
            </w:tcBorders>
            <w:shd w:val="clear" w:color="auto" w:fill="FFFFFF"/>
            <w:noWrap/>
            <w:vAlign w:val="center"/>
          </w:tcPr>
          <w:p w14:paraId="19A5FF8F">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67A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领用退库</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A73C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1.支持超领物资的退库；</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2.支持审批流程对接OA，向OA发送审批表单及附件，并返回审批结果；</w:t>
            </w:r>
          </w:p>
        </w:tc>
      </w:tr>
      <w:tr w14:paraId="2ABE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right w:val="single" w:color="000000" w:sz="4" w:space="0"/>
            </w:tcBorders>
            <w:shd w:val="clear" w:color="auto" w:fill="FFFFFF"/>
            <w:noWrap/>
            <w:vAlign w:val="center"/>
          </w:tcPr>
          <w:p w14:paraId="1D9E9B3A">
            <w:pPr>
              <w:jc w:val="center"/>
              <w:rPr>
                <w:rFonts w:hint="eastAsia" w:ascii="仿宋" w:hAnsi="仿宋" w:eastAsia="仿宋" w:cs="仿宋"/>
                <w:i w:val="0"/>
                <w:iCs w:val="0"/>
                <w:color w:val="000000"/>
                <w:sz w:val="28"/>
                <w:szCs w:val="28"/>
                <w:u w:val="none"/>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162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物资盘点</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A4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物资盘点单创建</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7A7D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1.支持库存物资的盘点单据创建；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2.支持自定义类条件的盘点，包含仓库、货位、类别等；</w:t>
            </w:r>
          </w:p>
        </w:tc>
      </w:tr>
      <w:tr w14:paraId="6C41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left w:val="single" w:color="000000" w:sz="4" w:space="0"/>
              <w:bottom w:val="single" w:color="000000" w:sz="4" w:space="0"/>
              <w:right w:val="single" w:color="000000" w:sz="4" w:space="0"/>
            </w:tcBorders>
            <w:shd w:val="clear" w:color="auto" w:fill="FFFFFF"/>
            <w:noWrap/>
            <w:vAlign w:val="center"/>
          </w:tcPr>
          <w:p w14:paraId="6A360DC9">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1769B">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8E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物资盘点单执行</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86B1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1.支持安卓/苹果移动终端的盘点任务执行；</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2.支持二维码、RFID等方式盘点；</w:t>
            </w:r>
          </w:p>
        </w:tc>
      </w:tr>
      <w:tr w14:paraId="56FF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F49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统计报表</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831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资产统计</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8CD6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资产分布统计</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F263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1.根据资产所属部门、地理区域、类别、使用状态等进行统计；</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2.支持柱状图、饼状图、表格等形式展现；</w:t>
            </w:r>
          </w:p>
        </w:tc>
      </w:tr>
      <w:tr w14:paraId="5845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2F198">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31BD2">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AB4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资产变动明细表</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1B13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1.支持所有变动类型的记录展示；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2.支持柱状图、饼状图、表格等形式展现；</w:t>
            </w:r>
          </w:p>
        </w:tc>
      </w:tr>
      <w:tr w14:paraId="271C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CC080">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E0092">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697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资产盘点明细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8D8A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1.支持所有盘点任务结果展示；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2.包含盘盈、盘亏、正常的结果展示；</w:t>
            </w:r>
          </w:p>
        </w:tc>
      </w:tr>
      <w:tr w14:paraId="7332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9FF42">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AB681">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816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资产处置统计</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1F86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1.支持报废、变卖的资产统计展示；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2.支持柱状图、饼状图、表格等形式展现；</w:t>
            </w:r>
          </w:p>
        </w:tc>
      </w:tr>
      <w:tr w14:paraId="69AF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36B20">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85DF7">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068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资产维修明细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2C2C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1.支持资产所有维修记录展示；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2.包含维修方式、维修进度、维修种类、维修费用等；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3.支持柱状图、饼状图、表格等形式展现；</w:t>
            </w:r>
          </w:p>
        </w:tc>
      </w:tr>
      <w:tr w14:paraId="59BD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8513">
            <w:pPr>
              <w:jc w:val="center"/>
              <w:rPr>
                <w:rFonts w:hint="eastAsia" w:ascii="仿宋" w:hAnsi="仿宋" w:eastAsia="仿宋" w:cs="仿宋"/>
                <w:i w:val="0"/>
                <w:iCs w:val="0"/>
                <w:color w:val="000000"/>
                <w:sz w:val="28"/>
                <w:szCs w:val="28"/>
                <w:u w:val="none"/>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A2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物资统计</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645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物资入库</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EB31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1.支持入库物资的记录展示；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2.包含入库物资类型、规格型号、金额、数量、供应商、入库时间等；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3.支持柱状图、饼状图、表格等形式展现；</w:t>
            </w:r>
          </w:p>
        </w:tc>
      </w:tr>
      <w:tr w14:paraId="35D6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124B4">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50DAA">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29B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物资调拨统计</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9A96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1.支持调拨物资的记录展示；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2.包含调拨仓库、物资名称、物资数量、规格型号、调拨时间等；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3.支持柱状图、饼状图、表格等形式展现；</w:t>
            </w:r>
          </w:p>
        </w:tc>
      </w:tr>
      <w:tr w14:paraId="580A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restart"/>
            <w:tcBorders>
              <w:top w:val="single" w:color="000000" w:sz="4" w:space="0"/>
              <w:left w:val="single" w:color="000000" w:sz="4" w:space="0"/>
              <w:right w:val="single" w:color="000000" w:sz="4" w:space="0"/>
            </w:tcBorders>
            <w:shd w:val="clear" w:color="auto" w:fill="FFFFFF"/>
            <w:noWrap/>
            <w:vAlign w:val="center"/>
          </w:tcPr>
          <w:p w14:paraId="55786D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主数据管理</w:t>
            </w:r>
          </w:p>
        </w:tc>
        <w:tc>
          <w:tcPr>
            <w:tcW w:w="1518" w:type="dxa"/>
            <w:vMerge w:val="restart"/>
            <w:tcBorders>
              <w:top w:val="single" w:color="000000" w:sz="4" w:space="0"/>
              <w:left w:val="single" w:color="000000" w:sz="4" w:space="0"/>
              <w:right w:val="single" w:color="000000" w:sz="4" w:space="0"/>
            </w:tcBorders>
            <w:shd w:val="clear" w:color="auto" w:fill="FFFFFF"/>
            <w:noWrap/>
            <w:vAlign w:val="center"/>
          </w:tcPr>
          <w:p w14:paraId="321543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93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资产分类</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80B8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1.支持自定义资产类型创建；</w:t>
            </w:r>
          </w:p>
        </w:tc>
      </w:tr>
      <w:tr w14:paraId="1DBE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16" w:type="dxa"/>
            <w:vMerge w:val="continue"/>
            <w:tcBorders>
              <w:left w:val="single" w:color="000000" w:sz="4" w:space="0"/>
              <w:bottom w:val="single" w:color="000000" w:sz="4" w:space="0"/>
              <w:right w:val="single" w:color="000000" w:sz="4" w:space="0"/>
            </w:tcBorders>
            <w:shd w:val="clear" w:color="auto" w:fill="FFFFFF"/>
            <w:noWrap/>
            <w:vAlign w:val="center"/>
          </w:tcPr>
          <w:p w14:paraId="155C5DD6">
            <w:pPr>
              <w:jc w:val="center"/>
              <w:rPr>
                <w:rFonts w:hint="eastAsia" w:ascii="仿宋" w:hAnsi="仿宋" w:eastAsia="仿宋" w:cs="仿宋"/>
                <w:i w:val="0"/>
                <w:iCs w:val="0"/>
                <w:color w:val="000000"/>
                <w:sz w:val="28"/>
                <w:szCs w:val="28"/>
                <w:u w:val="none"/>
              </w:rPr>
            </w:pPr>
          </w:p>
        </w:tc>
        <w:tc>
          <w:tcPr>
            <w:tcW w:w="1518" w:type="dxa"/>
            <w:vMerge w:val="continue"/>
            <w:tcBorders>
              <w:left w:val="single" w:color="000000" w:sz="4" w:space="0"/>
              <w:bottom w:val="single" w:color="000000" w:sz="4" w:space="0"/>
              <w:right w:val="single" w:color="000000" w:sz="4" w:space="0"/>
            </w:tcBorders>
            <w:shd w:val="clear" w:color="auto" w:fill="FFFFFF"/>
            <w:noWrap/>
            <w:vAlign w:val="center"/>
          </w:tcPr>
          <w:p w14:paraId="5CF19336">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71B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地理区域</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FE78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1.支持自定义地理区域创建；</w:t>
            </w:r>
          </w:p>
        </w:tc>
      </w:tr>
      <w:tr w14:paraId="3471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F2EA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系统权限</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590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69D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组织管理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E862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1.支持同步OA组织机构数据；</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2.支持自定义组织机构创建；</w:t>
            </w:r>
          </w:p>
        </w:tc>
      </w:tr>
      <w:tr w14:paraId="2F22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5A7F1">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41928">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864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岗位管理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26F6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1.支持同步OA岗位数据；</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2.支持自定义岗位创建；</w:t>
            </w:r>
          </w:p>
        </w:tc>
      </w:tr>
      <w:tr w14:paraId="3091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8F2F0">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870B2">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0B7F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用户管理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9A97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1.支持新增用户需维护用户基本信息，并关联对应的组织及岗位；</w:t>
            </w:r>
          </w:p>
        </w:tc>
      </w:tr>
      <w:tr w14:paraId="164C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62AD6">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D424C">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E81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角色管理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9E98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1.支持自定义角色创建；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2.支持自定义角色权限管理；</w:t>
            </w:r>
          </w:p>
        </w:tc>
      </w:tr>
      <w:tr w14:paraId="7A41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FB9D3">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45BC5">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7ED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分组管理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5D93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1.支持自定义用户分组管理；</w:t>
            </w:r>
          </w:p>
        </w:tc>
      </w:tr>
      <w:tr w14:paraId="140E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EB79F">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9BB16">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DE9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分级管理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63C8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1.支持管理组织、岗位、用户、角色的操作权限授权；</w:t>
            </w:r>
          </w:p>
        </w:tc>
      </w:tr>
      <w:tr w14:paraId="5A12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C70EB">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23595">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CD5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权限管理</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0DE2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1.支持三级权限划分。即操作权限、功能权限、数据权限；</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2.支持管理员自定义进行权限划分；</w:t>
            </w:r>
          </w:p>
        </w:tc>
      </w:tr>
      <w:tr w14:paraId="240E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64375">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C6F8B">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BACE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在线用户</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1F9C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1.支持管理员查看在线用户数，包含用户账号、登录时间；</w:t>
            </w:r>
          </w:p>
        </w:tc>
      </w:tr>
      <w:tr w14:paraId="587C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188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工作流程</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5A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CD5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我发起的</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D414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1.支持自定义审批流程新增；</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2.支持流程节点信息查询；</w:t>
            </w:r>
          </w:p>
        </w:tc>
      </w:tr>
      <w:tr w14:paraId="35DC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15A2">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AE07A">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88B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待办事项</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4505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1.支持所有待办信息展示；</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2.包含流程审批、待办任务等；</w:t>
            </w:r>
          </w:p>
        </w:tc>
      </w:tr>
      <w:tr w14:paraId="08C9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DA7EA">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F78A">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2B7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已办事项</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0CD3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1.展示所有已完成事项；</w:t>
            </w:r>
          </w:p>
        </w:tc>
      </w:tr>
      <w:tr w14:paraId="1094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F1763">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A8291">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0BE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抄送事宜</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051C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1.支持待办任务人抄送通知；</w:t>
            </w:r>
          </w:p>
        </w:tc>
      </w:tr>
      <w:tr w14:paraId="0161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4939A">
            <w:pPr>
              <w:jc w:val="center"/>
              <w:rPr>
                <w:rFonts w:hint="eastAsia" w:ascii="仿宋" w:hAnsi="仿宋" w:eastAsia="仿宋" w:cs="仿宋"/>
                <w:i w:val="0"/>
                <w:iCs w:val="0"/>
                <w:color w:val="000000"/>
                <w:sz w:val="28"/>
                <w:szCs w:val="28"/>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6DBD">
            <w:pPr>
              <w:jc w:val="center"/>
              <w:rPr>
                <w:rFonts w:hint="eastAsia" w:ascii="仿宋" w:hAnsi="仿宋" w:eastAsia="仿宋" w:cs="仿宋"/>
                <w:i w:val="0"/>
                <w:iCs w:val="0"/>
                <w:color w:val="000000"/>
                <w:sz w:val="28"/>
                <w:szCs w:val="2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80D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流程委托</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C07E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1.支持自有流程、任务委托他人协助审批、处理；</w:t>
            </w:r>
          </w:p>
        </w:tc>
      </w:tr>
      <w:tr w14:paraId="0431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616" w:type="dxa"/>
            <w:vMerge w:val="restart"/>
            <w:tcBorders>
              <w:top w:val="single" w:color="000000" w:sz="4" w:space="0"/>
              <w:left w:val="single" w:color="000000" w:sz="4" w:space="0"/>
              <w:right w:val="single" w:color="000000" w:sz="4" w:space="0"/>
            </w:tcBorders>
            <w:shd w:val="clear" w:color="auto" w:fill="FFFFFF"/>
            <w:noWrap/>
            <w:vAlign w:val="center"/>
          </w:tcPr>
          <w:p w14:paraId="12A2D59D">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非功能</w:t>
            </w:r>
          </w:p>
          <w:p w14:paraId="7D8CA52A">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需求</w:t>
            </w:r>
          </w:p>
        </w:tc>
        <w:tc>
          <w:tcPr>
            <w:tcW w:w="1518" w:type="dxa"/>
            <w:vMerge w:val="restart"/>
            <w:tcBorders>
              <w:top w:val="single" w:color="000000" w:sz="4" w:space="0"/>
              <w:left w:val="single" w:color="000000" w:sz="4" w:space="0"/>
              <w:right w:val="single" w:color="000000" w:sz="4" w:space="0"/>
            </w:tcBorders>
            <w:shd w:val="clear" w:color="auto" w:fill="FFFFFF"/>
            <w:noWrap/>
            <w:vAlign w:val="center"/>
          </w:tcPr>
          <w:p w14:paraId="5E0FBCF5">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系统对接</w:t>
            </w: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94FA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与OA系统对接</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63C8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1.甲方OA系统对接，将固定资产与物资库存管理业务的审批流程对接OA，向OA发送审批表单及附件，并返回审批结果；</w:t>
            </w:r>
          </w:p>
        </w:tc>
      </w:tr>
      <w:tr w14:paraId="687B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616" w:type="dxa"/>
            <w:vMerge w:val="continue"/>
            <w:tcBorders>
              <w:left w:val="single" w:color="000000" w:sz="4" w:space="0"/>
              <w:right w:val="single" w:color="000000" w:sz="4" w:space="0"/>
            </w:tcBorders>
            <w:shd w:val="clear" w:color="auto" w:fill="FFFFFF"/>
            <w:noWrap/>
            <w:vAlign w:val="center"/>
          </w:tcPr>
          <w:p w14:paraId="2FFD1D1B">
            <w:pPr>
              <w:jc w:val="center"/>
              <w:rPr>
                <w:rFonts w:hint="eastAsia" w:ascii="仿宋" w:hAnsi="仿宋" w:eastAsia="仿宋" w:cs="仿宋"/>
                <w:i w:val="0"/>
                <w:iCs w:val="0"/>
                <w:color w:val="000000"/>
                <w:sz w:val="28"/>
                <w:szCs w:val="28"/>
                <w:u w:val="none"/>
                <w:lang w:val="en-US" w:eastAsia="zh-CN"/>
              </w:rPr>
            </w:pPr>
          </w:p>
        </w:tc>
        <w:tc>
          <w:tcPr>
            <w:tcW w:w="1518" w:type="dxa"/>
            <w:vMerge w:val="continue"/>
            <w:tcBorders>
              <w:left w:val="single" w:color="000000" w:sz="4" w:space="0"/>
              <w:right w:val="single" w:color="000000" w:sz="4" w:space="0"/>
            </w:tcBorders>
            <w:shd w:val="clear" w:color="auto" w:fill="FFFFFF"/>
            <w:noWrap/>
            <w:vAlign w:val="center"/>
          </w:tcPr>
          <w:p w14:paraId="46DB1216">
            <w:pPr>
              <w:jc w:val="center"/>
              <w:rPr>
                <w:rFonts w:hint="eastAsia" w:ascii="仿宋" w:hAnsi="仿宋" w:eastAsia="仿宋" w:cs="仿宋"/>
                <w:i w:val="0"/>
                <w:iCs w:val="0"/>
                <w:color w:val="000000"/>
                <w:sz w:val="28"/>
                <w:szCs w:val="28"/>
                <w:u w:val="none"/>
                <w:lang w:val="en-US" w:eastAsia="zh-CN"/>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DCC4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与统一门户对接</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0C54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1.与甲方统一门户对接，实现UI风格统一、用户权限管理统一、登录统一，含PC门户及小程序门户。</w:t>
            </w:r>
          </w:p>
        </w:tc>
      </w:tr>
      <w:tr w14:paraId="703A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616" w:type="dxa"/>
            <w:vMerge w:val="continue"/>
            <w:tcBorders>
              <w:left w:val="single" w:color="000000" w:sz="4" w:space="0"/>
              <w:bottom w:val="single" w:color="000000" w:sz="4" w:space="0"/>
              <w:right w:val="single" w:color="000000" w:sz="4" w:space="0"/>
            </w:tcBorders>
            <w:shd w:val="clear" w:color="auto" w:fill="FFFFFF"/>
            <w:noWrap/>
            <w:vAlign w:val="center"/>
          </w:tcPr>
          <w:p w14:paraId="53420C95">
            <w:pPr>
              <w:jc w:val="center"/>
              <w:rPr>
                <w:rFonts w:hint="eastAsia" w:ascii="仿宋" w:hAnsi="仿宋" w:eastAsia="仿宋" w:cs="仿宋"/>
                <w:i w:val="0"/>
                <w:iCs w:val="0"/>
                <w:color w:val="000000"/>
                <w:sz w:val="28"/>
                <w:szCs w:val="28"/>
                <w:u w:val="none"/>
                <w:lang w:val="en-US" w:eastAsia="zh-CN"/>
              </w:rPr>
            </w:pPr>
          </w:p>
        </w:tc>
        <w:tc>
          <w:tcPr>
            <w:tcW w:w="1518" w:type="dxa"/>
            <w:vMerge w:val="continue"/>
            <w:tcBorders>
              <w:left w:val="single" w:color="000000" w:sz="4" w:space="0"/>
              <w:bottom w:val="single" w:color="000000" w:sz="4" w:space="0"/>
              <w:right w:val="single" w:color="000000" w:sz="4" w:space="0"/>
            </w:tcBorders>
            <w:shd w:val="clear" w:color="auto" w:fill="FFFFFF"/>
            <w:noWrap/>
            <w:vAlign w:val="center"/>
          </w:tcPr>
          <w:p w14:paraId="569D534E">
            <w:pPr>
              <w:jc w:val="center"/>
              <w:rPr>
                <w:rFonts w:hint="eastAsia" w:ascii="仿宋" w:hAnsi="仿宋" w:eastAsia="仿宋" w:cs="仿宋"/>
                <w:i w:val="0"/>
                <w:iCs w:val="0"/>
                <w:color w:val="000000"/>
                <w:sz w:val="28"/>
                <w:szCs w:val="28"/>
                <w:u w:val="none"/>
                <w:lang w:val="en-US" w:eastAsia="zh-CN"/>
              </w:rPr>
            </w:pPr>
          </w:p>
        </w:tc>
        <w:tc>
          <w:tcPr>
            <w:tcW w:w="2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C5EA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与大数据平台对接</w:t>
            </w:r>
          </w:p>
        </w:tc>
        <w:tc>
          <w:tcPr>
            <w:tcW w:w="3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1A78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1.支持数据对接和系统接口对接两种方式与与甲方的大数据平台对接，保证大数据平台可集成平台中的所有业务数据。</w:t>
            </w:r>
          </w:p>
        </w:tc>
      </w:tr>
    </w:tbl>
    <w:p w14:paraId="684EFBC5">
      <w:pPr>
        <w:rPr>
          <w:rFonts w:hint="eastAsia"/>
        </w:rPr>
      </w:pPr>
    </w:p>
    <w:p w14:paraId="1DD417EF">
      <w:pPr>
        <w:pStyle w:val="4"/>
        <w:numPr>
          <w:ilvl w:val="0"/>
          <w:numId w:val="2"/>
        </w:numPr>
        <w:bidi w:val="0"/>
        <w:rPr>
          <w:rFonts w:hint="eastAsia"/>
        </w:rPr>
      </w:pPr>
      <w:r>
        <w:rPr>
          <w:rFonts w:hint="eastAsia"/>
          <w:lang w:val="en-US" w:eastAsia="zh-CN"/>
        </w:rPr>
        <w:t>系统配套硬件</w:t>
      </w:r>
    </w:p>
    <w:p w14:paraId="58CB4DCF">
      <w:pPr>
        <w:bidi w:val="0"/>
        <w:ind w:firstLine="640" w:firstLineChars="200"/>
        <w:rPr>
          <w:rFonts w:hint="default"/>
          <w:lang w:val="en-US" w:eastAsia="zh-CN"/>
        </w:rPr>
      </w:pPr>
      <w:r>
        <w:rPr>
          <w:rFonts w:hint="eastAsia"/>
          <w:lang w:val="en-US" w:eastAsia="zh-CN"/>
        </w:rPr>
        <w:t>乙方需提供满足以下要求的配套硬件，并支持与固定资产与物资库存管理系统进行无缝对接，费用已包含在本次合同金额范围内，相关硬件产品自项目验收后，提供1年免费质保。</w:t>
      </w:r>
    </w:p>
    <w:tbl>
      <w:tblPr>
        <w:tblStyle w:val="5"/>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6"/>
        <w:gridCol w:w="2260"/>
        <w:gridCol w:w="4014"/>
        <w:gridCol w:w="1156"/>
        <w:gridCol w:w="792"/>
      </w:tblGrid>
      <w:tr w14:paraId="5658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66" w:type="dxa"/>
            <w:tcBorders>
              <w:top w:val="single" w:color="000000" w:sz="4" w:space="0"/>
              <w:left w:val="single" w:color="000000" w:sz="4" w:space="0"/>
              <w:bottom w:val="single" w:color="000000" w:sz="4" w:space="0"/>
              <w:right w:val="single" w:color="000000" w:sz="4" w:space="0"/>
            </w:tcBorders>
            <w:noWrap/>
            <w:vAlign w:val="center"/>
          </w:tcPr>
          <w:p w14:paraId="07EBFF73">
            <w:pPr>
              <w:snapToGrid w:val="0"/>
              <w:ind w:left="0" w:leftChars="0" w:right="0" w:rightChars="0" w:firstLine="0" w:firstLineChars="0"/>
              <w:jc w:val="center"/>
              <w:rPr>
                <w:rFonts w:hint="eastAsia"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序号</w:t>
            </w:r>
          </w:p>
        </w:tc>
        <w:tc>
          <w:tcPr>
            <w:tcW w:w="2260" w:type="dxa"/>
            <w:tcBorders>
              <w:top w:val="single" w:color="000000" w:sz="4" w:space="0"/>
              <w:left w:val="single" w:color="000000" w:sz="4" w:space="0"/>
              <w:bottom w:val="single" w:color="000000" w:sz="4" w:space="0"/>
              <w:right w:val="single" w:color="000000" w:sz="4" w:space="0"/>
            </w:tcBorders>
            <w:noWrap/>
            <w:vAlign w:val="center"/>
          </w:tcPr>
          <w:p w14:paraId="4AF78F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名称</w:t>
            </w:r>
          </w:p>
        </w:tc>
        <w:tc>
          <w:tcPr>
            <w:tcW w:w="4014" w:type="dxa"/>
            <w:tcBorders>
              <w:top w:val="single" w:color="000000" w:sz="4" w:space="0"/>
              <w:left w:val="single" w:color="000000" w:sz="4" w:space="0"/>
              <w:bottom w:val="single" w:color="000000" w:sz="4" w:space="0"/>
              <w:right w:val="single" w:color="000000" w:sz="4" w:space="0"/>
            </w:tcBorders>
            <w:noWrap w:val="0"/>
            <w:vAlign w:val="center"/>
          </w:tcPr>
          <w:p w14:paraId="5FE5AB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技术要求</w:t>
            </w:r>
          </w:p>
        </w:tc>
        <w:tc>
          <w:tcPr>
            <w:tcW w:w="1156" w:type="dxa"/>
            <w:tcBorders>
              <w:top w:val="single" w:color="000000" w:sz="4" w:space="0"/>
              <w:left w:val="single" w:color="000000" w:sz="4" w:space="0"/>
              <w:bottom w:val="single" w:color="000000" w:sz="4" w:space="0"/>
              <w:right w:val="single" w:color="000000" w:sz="4" w:space="0"/>
            </w:tcBorders>
            <w:noWrap/>
            <w:vAlign w:val="center"/>
          </w:tcPr>
          <w:p w14:paraId="54E488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3FD31A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数量</w:t>
            </w:r>
          </w:p>
        </w:tc>
      </w:tr>
      <w:tr w14:paraId="092E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74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0AC4E">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无源RFID超高频标签</w:t>
            </w:r>
          </w:p>
        </w:tc>
        <w:tc>
          <w:tcPr>
            <w:tcW w:w="4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44B40">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1.支持自定义标签尺寸、打印样式;</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2.包含多类型抗金属型号，柔性抗金属、塑封抗金属、高温抗金属等；</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3.感应读写距离不少于5米；</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F02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张</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F07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3000</w:t>
            </w:r>
          </w:p>
        </w:tc>
      </w:tr>
      <w:tr w14:paraId="2C88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0F365">
            <w:pPr>
              <w:snapToGrid w:val="0"/>
              <w:ind w:left="0" w:leftChars="0" w:right="0" w:rightChars="0" w:firstLine="0" w:firstLineChars="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383AC">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无源RFID超高频标签打印机</w:t>
            </w:r>
          </w:p>
        </w:tc>
        <w:tc>
          <w:tcPr>
            <w:tcW w:w="4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3C5C7">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1.打印方式 :热转印、热敏</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2.RFID功能 :集成的UHF读写器、编码器，支持EPC Class 1 Gen 2协议，满足ISO 18000-6C标准 </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3.分辨率 :300 dpi </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 xml:space="preserve">4.最大打印速度 :8 ips </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5.最大打印宽度 ：4.17″ (106 mm)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78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3C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w:t>
            </w:r>
          </w:p>
        </w:tc>
      </w:tr>
      <w:tr w14:paraId="0E33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6B70">
            <w:pPr>
              <w:snapToGrid w:val="0"/>
              <w:ind w:left="0" w:leftChars="0" w:right="0" w:rightChars="0" w:firstLine="0" w:firstLineChars="0"/>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w:t>
            </w:r>
          </w:p>
        </w:tc>
        <w:tc>
          <w:tcPr>
            <w:tcW w:w="2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1821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cs="仿宋"/>
                <w:i w:val="0"/>
                <w:iCs w:val="0"/>
                <w:color w:val="000000"/>
                <w:kern w:val="0"/>
                <w:sz w:val="28"/>
                <w:szCs w:val="28"/>
                <w:u w:val="none"/>
                <w:lang w:val="en-US" w:eastAsia="zh-CN" w:bidi="ar"/>
              </w:rPr>
              <w:t>二维码、</w:t>
            </w:r>
            <w:r>
              <w:rPr>
                <w:rFonts w:hint="eastAsia" w:ascii="仿宋" w:hAnsi="仿宋" w:eastAsia="仿宋" w:cs="仿宋"/>
                <w:i w:val="0"/>
                <w:iCs w:val="0"/>
                <w:color w:val="000000"/>
                <w:kern w:val="0"/>
                <w:sz w:val="28"/>
                <w:szCs w:val="28"/>
                <w:u w:val="none"/>
                <w:lang w:val="en-US" w:eastAsia="zh-CN" w:bidi="ar"/>
              </w:rPr>
              <w:t>无源RFID超高频手持终端</w:t>
            </w:r>
          </w:p>
        </w:tc>
        <w:tc>
          <w:tcPr>
            <w:tcW w:w="40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9E59B">
            <w:pPr>
              <w:keepNext w:val="0"/>
              <w:keepLines w:val="0"/>
              <w:widowControl/>
              <w:numPr>
                <w:ilvl w:val="0"/>
                <w:numId w:val="5"/>
              </w:numPr>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处理器：高通八核，1.8 GHz</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2.操作系统Android10.0</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3.内存 RAM:4GB ROM:64GB</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4.显示屏5.7英寸高清(720×1440)</w:t>
            </w:r>
          </w:p>
          <w:p w14:paraId="0CB76CF6">
            <w:pPr>
              <w:keepNext w:val="0"/>
              <w:keepLines w:val="0"/>
              <w:widowControl/>
              <w:numPr>
                <w:ilvl w:val="0"/>
                <w:numId w:val="5"/>
              </w:numPr>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5.同时支持二维码、无源RFID标签扫描</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242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11FF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w:t>
            </w:r>
          </w:p>
        </w:tc>
      </w:tr>
    </w:tbl>
    <w:p w14:paraId="60A42387">
      <w:pPr>
        <w:rPr>
          <w:rFonts w:hint="eastAsia"/>
          <w:sz w:val="40"/>
          <w:szCs w:val="22"/>
        </w:rPr>
      </w:pPr>
    </w:p>
    <w:p w14:paraId="4565A06C">
      <w:pPr>
        <w:pStyle w:val="3"/>
        <w:bidi w:val="0"/>
        <w:rPr>
          <w:rFonts w:hint="eastAsia"/>
        </w:rPr>
      </w:pPr>
      <w:bookmarkStart w:id="11" w:name="_Toc17567"/>
      <w:bookmarkStart w:id="12" w:name="_Toc5937"/>
      <w:r>
        <w:rPr>
          <w:rFonts w:hint="eastAsia"/>
          <w:lang w:val="en-US" w:eastAsia="zh-CN"/>
        </w:rPr>
        <w:t>三、</w:t>
      </w:r>
      <w:r>
        <w:rPr>
          <w:rFonts w:hint="eastAsia"/>
        </w:rPr>
        <w:t>配套服务</w:t>
      </w:r>
      <w:bookmarkEnd w:id="11"/>
      <w:bookmarkEnd w:id="12"/>
    </w:p>
    <w:p w14:paraId="293E4F3D">
      <w:pPr>
        <w:pStyle w:val="4"/>
        <w:bidi w:val="0"/>
        <w:rPr>
          <w:lang w:eastAsia="zh"/>
        </w:rPr>
      </w:pPr>
      <w:r>
        <w:rPr>
          <w:rFonts w:hint="eastAsia"/>
        </w:rPr>
        <w:t>（一）</w:t>
      </w:r>
      <w:r>
        <w:rPr>
          <w:lang w:eastAsia="zh"/>
        </w:rPr>
        <w:t>系统初始部署</w:t>
      </w:r>
    </w:p>
    <w:p w14:paraId="505DF02A">
      <w:pPr>
        <w:bidi w:val="0"/>
        <w:ind w:firstLine="640" w:firstLineChars="200"/>
        <w:rPr>
          <w:rFonts w:hint="eastAsia"/>
        </w:rPr>
      </w:pPr>
      <w:r>
        <w:rPr>
          <w:rFonts w:hint="eastAsia"/>
        </w:rPr>
        <w:t>包括平台部署、平台初始化、平台数据配置、数据报表配置等。</w:t>
      </w:r>
    </w:p>
    <w:p w14:paraId="270938CE">
      <w:pPr>
        <w:pStyle w:val="4"/>
        <w:bidi w:val="0"/>
        <w:rPr>
          <w:lang w:eastAsia="zh"/>
        </w:rPr>
      </w:pPr>
      <w:r>
        <w:rPr>
          <w:rFonts w:hint="eastAsia"/>
        </w:rPr>
        <w:t>（二）</w:t>
      </w:r>
      <w:r>
        <w:rPr>
          <w:lang w:eastAsia="zh"/>
        </w:rPr>
        <w:t>系统</w:t>
      </w:r>
      <w:r>
        <w:t>实施</w:t>
      </w:r>
      <w:r>
        <w:rPr>
          <w:lang w:eastAsia="zh"/>
        </w:rPr>
        <w:t>服务</w:t>
      </w:r>
    </w:p>
    <w:p w14:paraId="19AC2F63">
      <w:pPr>
        <w:bidi w:val="0"/>
        <w:ind w:firstLine="640" w:firstLineChars="200"/>
        <w:rPr>
          <w:rFonts w:hint="eastAsia" w:ascii="Times New Roman" w:hAnsi="Times New Roman"/>
          <w:lang w:val="en-US" w:eastAsia="zh-CN"/>
        </w:rPr>
      </w:pPr>
      <w:r>
        <w:rPr>
          <w:rFonts w:hint="eastAsia" w:ascii="Times New Roman" w:hAnsi="Times New Roman"/>
          <w:lang w:val="en-US" w:eastAsia="zh-CN"/>
        </w:rPr>
        <w:t>包括需求调研、平台开发、平台部署、</w:t>
      </w:r>
      <w:r>
        <w:rPr>
          <w:rFonts w:hint="eastAsia" w:ascii="Times New Roman" w:hAnsi="Times New Roman"/>
          <w:lang w:val="en-US" w:eastAsia="zh"/>
        </w:rPr>
        <w:t>系统培训、</w:t>
      </w:r>
      <w:r>
        <w:rPr>
          <w:rFonts w:hint="eastAsia" w:ascii="Times New Roman" w:hAnsi="Times New Roman"/>
          <w:lang w:val="en-US" w:eastAsia="zh-CN"/>
        </w:rPr>
        <w:t>数据维护以及现场服务等。</w:t>
      </w:r>
    </w:p>
    <w:p w14:paraId="5D0BAE9E">
      <w:pPr>
        <w:bidi w:val="0"/>
        <w:rPr>
          <w:rFonts w:hint="eastAsia" w:ascii="Times New Roman" w:hAnsi="Times New Roman"/>
          <w:lang w:val="en-US" w:eastAsia="zh"/>
        </w:rPr>
      </w:pPr>
      <w:r>
        <w:rPr>
          <w:rFonts w:hint="eastAsia" w:ascii="Times New Roman" w:hAnsi="Times New Roman"/>
          <w:lang w:val="en-US" w:eastAsia="zh-CN"/>
        </w:rPr>
        <w:t>（1）安装</w:t>
      </w:r>
    </w:p>
    <w:p w14:paraId="34952C94">
      <w:pPr>
        <w:bidi w:val="0"/>
        <w:rPr>
          <w:rFonts w:hint="eastAsia" w:ascii="Times New Roman" w:hAnsi="Times New Roman"/>
          <w:lang w:val="en-US" w:eastAsia="zh-CN"/>
        </w:rPr>
      </w:pPr>
      <w:r>
        <w:rPr>
          <w:rFonts w:hint="eastAsia" w:ascii="Times New Roman" w:hAnsi="Times New Roman"/>
          <w:lang w:val="en-US" w:eastAsia="zh-CN"/>
        </w:rPr>
        <w:t>①</w:t>
      </w:r>
      <w:r>
        <w:rPr>
          <w:rFonts w:hint="eastAsia" w:ascii="Times New Roman" w:hAnsi="Times New Roman"/>
          <w:lang w:val="en-US" w:eastAsia="zh"/>
        </w:rPr>
        <w:t>乙方</w:t>
      </w:r>
      <w:r>
        <w:rPr>
          <w:rFonts w:hint="eastAsia" w:ascii="Times New Roman" w:hAnsi="Times New Roman"/>
          <w:lang w:val="en-US" w:eastAsia="zh-CN"/>
        </w:rPr>
        <w:t>负责所有招标范围内应用平台及其相关软件的安装调试等工作；</w:t>
      </w:r>
    </w:p>
    <w:p w14:paraId="3702305F">
      <w:pPr>
        <w:bidi w:val="0"/>
        <w:rPr>
          <w:rFonts w:hint="eastAsia" w:ascii="Times New Roman" w:hAnsi="Times New Roman"/>
          <w:lang w:val="en-US" w:eastAsia="zh-CN"/>
        </w:rPr>
      </w:pPr>
      <w:r>
        <w:rPr>
          <w:rFonts w:hint="eastAsia" w:ascii="Times New Roman" w:hAnsi="Times New Roman"/>
          <w:lang w:val="en-US" w:eastAsia="zh-CN"/>
        </w:rPr>
        <w:t>②</w:t>
      </w:r>
      <w:r>
        <w:rPr>
          <w:rFonts w:hint="eastAsia" w:ascii="Times New Roman" w:hAnsi="Times New Roman"/>
          <w:lang w:val="en-US" w:eastAsia="zh"/>
        </w:rPr>
        <w:t>乙方</w:t>
      </w:r>
      <w:r>
        <w:rPr>
          <w:rFonts w:hint="eastAsia" w:ascii="Times New Roman" w:hAnsi="Times New Roman"/>
          <w:lang w:val="en-US" w:eastAsia="zh-CN"/>
        </w:rPr>
        <w:t>应根据</w:t>
      </w:r>
      <w:r>
        <w:rPr>
          <w:rFonts w:hint="eastAsia" w:ascii="Times New Roman" w:hAnsi="Times New Roman"/>
          <w:lang w:val="en-US" w:eastAsia="zh"/>
        </w:rPr>
        <w:t>甲方</w:t>
      </w:r>
      <w:r>
        <w:rPr>
          <w:rFonts w:hint="eastAsia" w:ascii="Times New Roman" w:hAnsi="Times New Roman"/>
          <w:lang w:val="en-US" w:eastAsia="zh-CN"/>
        </w:rPr>
        <w:t>提供的安装环境编制安装手册，经双方讨论确认后，作为安装的依据，并提交给</w:t>
      </w:r>
      <w:r>
        <w:rPr>
          <w:rFonts w:hint="eastAsia" w:ascii="Times New Roman" w:hAnsi="Times New Roman"/>
          <w:lang w:val="en-US" w:eastAsia="zh"/>
        </w:rPr>
        <w:t>甲方</w:t>
      </w:r>
      <w:r>
        <w:rPr>
          <w:rFonts w:hint="eastAsia" w:ascii="Times New Roman" w:hAnsi="Times New Roman"/>
          <w:lang w:val="en-US" w:eastAsia="zh-CN"/>
        </w:rPr>
        <w:t>；</w:t>
      </w:r>
    </w:p>
    <w:p w14:paraId="2F159661">
      <w:pPr>
        <w:bidi w:val="0"/>
        <w:rPr>
          <w:rFonts w:hint="eastAsia" w:ascii="Times New Roman" w:hAnsi="Times New Roman"/>
          <w:lang w:val="en-US" w:eastAsia="zh-CN"/>
        </w:rPr>
      </w:pPr>
      <w:r>
        <w:rPr>
          <w:rFonts w:hint="eastAsia" w:ascii="Times New Roman" w:hAnsi="Times New Roman"/>
          <w:lang w:val="en-US" w:eastAsia="zh-CN"/>
        </w:rPr>
        <w:t>③</w:t>
      </w:r>
      <w:r>
        <w:rPr>
          <w:rFonts w:hint="eastAsia" w:ascii="Times New Roman" w:hAnsi="Times New Roman"/>
          <w:lang w:val="en-US" w:eastAsia="zh"/>
        </w:rPr>
        <w:t>乙方</w:t>
      </w:r>
      <w:r>
        <w:rPr>
          <w:rFonts w:hint="eastAsia" w:ascii="Times New Roman" w:hAnsi="Times New Roman"/>
          <w:lang w:val="en-US" w:eastAsia="zh-CN"/>
        </w:rPr>
        <w:t>负责派遣资深工程师带队进行平台安装及调试工作；</w:t>
      </w:r>
    </w:p>
    <w:p w14:paraId="4115A2BD">
      <w:pPr>
        <w:bidi w:val="0"/>
        <w:rPr>
          <w:rFonts w:hint="eastAsia" w:ascii="Times New Roman" w:hAnsi="Times New Roman"/>
          <w:lang w:val="en-US" w:eastAsia="zh-CN"/>
        </w:rPr>
      </w:pPr>
      <w:r>
        <w:rPr>
          <w:rFonts w:hint="eastAsia" w:ascii="Times New Roman" w:hAnsi="Times New Roman"/>
          <w:lang w:val="en-US" w:eastAsia="zh-CN"/>
        </w:rPr>
        <w:t>④除非双方另有约定，</w:t>
      </w:r>
      <w:r>
        <w:rPr>
          <w:rFonts w:hint="eastAsia" w:ascii="Times New Roman" w:hAnsi="Times New Roman"/>
          <w:lang w:val="en-US" w:eastAsia="zh"/>
        </w:rPr>
        <w:t>乙方</w:t>
      </w:r>
      <w:r>
        <w:rPr>
          <w:rFonts w:hint="eastAsia" w:ascii="Times New Roman" w:hAnsi="Times New Roman"/>
          <w:lang w:val="en-US" w:eastAsia="zh-CN"/>
        </w:rPr>
        <w:t>必须负责一切与平台安装调试有关的实地工作和服务；</w:t>
      </w:r>
    </w:p>
    <w:p w14:paraId="0B04C3E3">
      <w:pPr>
        <w:bidi w:val="0"/>
        <w:rPr>
          <w:rFonts w:hint="eastAsia" w:ascii="Times New Roman" w:hAnsi="Times New Roman"/>
          <w:lang w:val="en-US" w:eastAsia="zh-CN"/>
        </w:rPr>
      </w:pPr>
      <w:r>
        <w:rPr>
          <w:rFonts w:hint="eastAsia" w:ascii="Times New Roman" w:hAnsi="Times New Roman"/>
          <w:lang w:val="en-US" w:eastAsia="zh"/>
        </w:rPr>
        <w:t>⑤</w:t>
      </w:r>
      <w:r>
        <w:rPr>
          <w:rFonts w:hint="eastAsia" w:ascii="Times New Roman" w:hAnsi="Times New Roman"/>
          <w:lang w:val="en-US" w:eastAsia="zh-CN"/>
        </w:rPr>
        <w:t>甲方</w:t>
      </w:r>
      <w:r>
        <w:rPr>
          <w:rFonts w:hint="eastAsia" w:ascii="Times New Roman" w:hAnsi="Times New Roman"/>
          <w:lang w:val="en-US" w:eastAsia="zh"/>
        </w:rPr>
        <w:t>提供支撑本次项目软件平台运行的</w:t>
      </w:r>
      <w:r>
        <w:rPr>
          <w:rFonts w:hint="eastAsia" w:ascii="Times New Roman" w:hAnsi="Times New Roman"/>
          <w:lang w:val="en-US" w:eastAsia="zh-CN"/>
        </w:rPr>
        <w:t>服务器硬件</w:t>
      </w:r>
      <w:r>
        <w:rPr>
          <w:rFonts w:hint="eastAsia" w:ascii="Times New Roman" w:hAnsi="Times New Roman"/>
          <w:lang w:val="en-US" w:eastAsia="zh"/>
        </w:rPr>
        <w:t>部署资源</w:t>
      </w:r>
      <w:r>
        <w:rPr>
          <w:rFonts w:hint="eastAsia" w:ascii="Times New Roman" w:hAnsi="Times New Roman"/>
          <w:lang w:val="en-US" w:eastAsia="zh-CN"/>
        </w:rPr>
        <w:t>，</w:t>
      </w:r>
      <w:r>
        <w:rPr>
          <w:rFonts w:hint="eastAsia" w:ascii="Times New Roman" w:hAnsi="Times New Roman"/>
          <w:lang w:val="en-US" w:eastAsia="zh"/>
        </w:rPr>
        <w:t>乙方在运维期内确保软件可以顺利运</w:t>
      </w:r>
      <w:r>
        <w:rPr>
          <w:rFonts w:hint="eastAsia" w:ascii="Times New Roman" w:hAnsi="Times New Roman"/>
          <w:lang w:val="en-US" w:eastAsia="zh-CN"/>
        </w:rPr>
        <w:t>行</w:t>
      </w:r>
      <w:r>
        <w:rPr>
          <w:rFonts w:hint="eastAsia" w:ascii="Times New Roman" w:hAnsi="Times New Roman"/>
          <w:lang w:val="en-US" w:eastAsia="zh"/>
        </w:rPr>
        <w:t>并提供</w:t>
      </w:r>
      <w:r>
        <w:rPr>
          <w:rFonts w:hint="eastAsia" w:ascii="Times New Roman" w:hAnsi="Times New Roman"/>
          <w:lang w:val="en-US" w:eastAsia="zh-CN"/>
        </w:rPr>
        <w:t>运维保障</w:t>
      </w:r>
      <w:r>
        <w:rPr>
          <w:rFonts w:hint="eastAsia" w:ascii="Times New Roman" w:hAnsi="Times New Roman"/>
          <w:lang w:val="en-US" w:eastAsia="zh"/>
        </w:rPr>
        <w:t>服务</w:t>
      </w:r>
      <w:r>
        <w:rPr>
          <w:rFonts w:hint="eastAsia" w:ascii="Times New Roman" w:hAnsi="Times New Roman"/>
          <w:lang w:val="en-US" w:eastAsia="zh-CN"/>
        </w:rPr>
        <w:t>。</w:t>
      </w:r>
    </w:p>
    <w:p w14:paraId="4D612E05">
      <w:pPr>
        <w:bidi w:val="0"/>
        <w:rPr>
          <w:rFonts w:hint="eastAsia" w:ascii="Times New Roman" w:hAnsi="Times New Roman"/>
          <w:lang w:val="en-US" w:eastAsia="zh-CN"/>
        </w:rPr>
      </w:pPr>
      <w:r>
        <w:rPr>
          <w:rFonts w:hint="eastAsia" w:ascii="Times New Roman" w:hAnsi="Times New Roman"/>
          <w:lang w:val="en-US" w:eastAsia="zh-CN"/>
        </w:rPr>
        <w:t>（2）测试</w:t>
      </w:r>
    </w:p>
    <w:p w14:paraId="20E225EA">
      <w:pPr>
        <w:bidi w:val="0"/>
        <w:rPr>
          <w:rFonts w:hint="eastAsia" w:ascii="Times New Roman" w:hAnsi="Times New Roman"/>
          <w:lang w:val="en-US" w:eastAsia="zh-CN"/>
        </w:rPr>
      </w:pPr>
      <w:r>
        <w:rPr>
          <w:rFonts w:hint="eastAsia" w:ascii="Times New Roman" w:hAnsi="Times New Roman"/>
          <w:lang w:val="en-US" w:eastAsia="zh-CN"/>
        </w:rPr>
        <w:t>①测试方案</w:t>
      </w:r>
    </w:p>
    <w:p w14:paraId="0F20648C">
      <w:pPr>
        <w:bidi w:val="0"/>
        <w:rPr>
          <w:rFonts w:hint="eastAsia" w:ascii="Times New Roman" w:hAnsi="Times New Roman"/>
          <w:lang w:val="en-US" w:eastAsia="zh-CN"/>
        </w:rPr>
      </w:pPr>
      <w:r>
        <w:rPr>
          <w:rFonts w:hint="eastAsia" w:ascii="Times New Roman" w:hAnsi="Times New Roman"/>
          <w:lang w:val="en-US" w:eastAsia="zh"/>
        </w:rPr>
        <w:t>乙方</w:t>
      </w:r>
      <w:r>
        <w:rPr>
          <w:rFonts w:hint="eastAsia" w:ascii="Times New Roman" w:hAnsi="Times New Roman"/>
          <w:lang w:val="en-US" w:eastAsia="zh-CN"/>
        </w:rPr>
        <w:t>应提交测试方案，并通过</w:t>
      </w:r>
      <w:r>
        <w:rPr>
          <w:rFonts w:hint="eastAsia" w:ascii="Times New Roman" w:hAnsi="Times New Roman"/>
          <w:lang w:val="en-US" w:eastAsia="zh"/>
        </w:rPr>
        <w:t>甲方</w:t>
      </w:r>
      <w:r>
        <w:rPr>
          <w:rFonts w:hint="eastAsia" w:ascii="Times New Roman" w:hAnsi="Times New Roman"/>
          <w:lang w:val="en-US" w:eastAsia="zh-CN"/>
        </w:rPr>
        <w:t>鉴定及确认。测试过程需要严格按照相关标准及规范进行。测试过程产生的费用由</w:t>
      </w:r>
      <w:r>
        <w:rPr>
          <w:rFonts w:hint="eastAsia" w:ascii="Times New Roman" w:hAnsi="Times New Roman"/>
          <w:lang w:val="en-US" w:eastAsia="zh"/>
        </w:rPr>
        <w:t>乙方</w:t>
      </w:r>
      <w:r>
        <w:rPr>
          <w:rFonts w:hint="eastAsia" w:ascii="Times New Roman" w:hAnsi="Times New Roman"/>
          <w:lang w:val="en-US" w:eastAsia="zh-CN"/>
        </w:rPr>
        <w:t>承担。测试内容应包括但不限于以下内容：</w:t>
      </w:r>
    </w:p>
    <w:p w14:paraId="02EDD8CA">
      <w:pPr>
        <w:bidi w:val="0"/>
        <w:rPr>
          <w:rFonts w:hint="eastAsia" w:ascii="Times New Roman" w:hAnsi="Times New Roman"/>
          <w:lang w:val="en-US" w:eastAsia="zh-CN"/>
        </w:rPr>
      </w:pPr>
      <w:r>
        <w:rPr>
          <w:rFonts w:hint="eastAsia" w:ascii="Times New Roman" w:hAnsi="Times New Roman"/>
          <w:lang w:val="en-US" w:eastAsia="zh-CN"/>
        </w:rPr>
        <w:t>1）功能测试；</w:t>
      </w:r>
    </w:p>
    <w:p w14:paraId="6F41697A">
      <w:pPr>
        <w:bidi w:val="0"/>
        <w:rPr>
          <w:rFonts w:hint="eastAsia" w:ascii="Times New Roman" w:hAnsi="Times New Roman"/>
          <w:lang w:val="en-US" w:eastAsia="zh-CN"/>
        </w:rPr>
      </w:pPr>
      <w:r>
        <w:rPr>
          <w:rFonts w:hint="eastAsia" w:ascii="Times New Roman" w:hAnsi="Times New Roman"/>
          <w:lang w:val="en-US" w:eastAsia="zh-CN"/>
        </w:rPr>
        <w:t>2）性能测试；</w:t>
      </w:r>
    </w:p>
    <w:p w14:paraId="03226986">
      <w:pPr>
        <w:bidi w:val="0"/>
        <w:rPr>
          <w:rFonts w:hint="eastAsia" w:ascii="Times New Roman" w:hAnsi="Times New Roman"/>
          <w:lang w:val="en-US" w:eastAsia="zh-CN"/>
        </w:rPr>
      </w:pPr>
      <w:r>
        <w:rPr>
          <w:rFonts w:hint="eastAsia" w:ascii="Times New Roman" w:hAnsi="Times New Roman"/>
          <w:lang w:val="en-US" w:eastAsia="zh-CN"/>
        </w:rPr>
        <w:t>3）稳定测试；</w:t>
      </w:r>
    </w:p>
    <w:p w14:paraId="6D7D9601">
      <w:pPr>
        <w:bidi w:val="0"/>
        <w:rPr>
          <w:rFonts w:hint="eastAsia" w:ascii="Times New Roman" w:hAnsi="Times New Roman"/>
          <w:lang w:val="en-US" w:eastAsia="zh-CN"/>
        </w:rPr>
      </w:pPr>
      <w:r>
        <w:rPr>
          <w:rFonts w:hint="eastAsia" w:ascii="Times New Roman" w:hAnsi="Times New Roman"/>
          <w:lang w:val="en-US" w:eastAsia="zh-CN"/>
        </w:rPr>
        <w:t>4）压力测试；</w:t>
      </w:r>
    </w:p>
    <w:p w14:paraId="265C5814">
      <w:pPr>
        <w:bidi w:val="0"/>
        <w:rPr>
          <w:rFonts w:hint="eastAsia" w:ascii="Times New Roman" w:hAnsi="Times New Roman"/>
          <w:lang w:val="en-US" w:eastAsia="zh-CN"/>
        </w:rPr>
      </w:pPr>
      <w:r>
        <w:rPr>
          <w:rFonts w:hint="eastAsia" w:ascii="Times New Roman" w:hAnsi="Times New Roman"/>
          <w:lang w:val="en-US" w:eastAsia="zh-CN"/>
        </w:rPr>
        <w:t>5）容错测试；</w:t>
      </w:r>
    </w:p>
    <w:p w14:paraId="63370B75">
      <w:pPr>
        <w:bidi w:val="0"/>
        <w:rPr>
          <w:rFonts w:hint="eastAsia" w:ascii="Times New Roman" w:hAnsi="Times New Roman"/>
          <w:lang w:val="en-US" w:eastAsia="zh-CN"/>
        </w:rPr>
      </w:pPr>
      <w:r>
        <w:rPr>
          <w:rFonts w:hint="eastAsia" w:ascii="Times New Roman" w:hAnsi="Times New Roman"/>
          <w:lang w:val="en-US" w:eastAsia="zh-CN"/>
        </w:rPr>
        <w:t>6）安全性测试。</w:t>
      </w:r>
    </w:p>
    <w:p w14:paraId="74E2ED56">
      <w:pPr>
        <w:bidi w:val="0"/>
        <w:rPr>
          <w:rFonts w:hint="eastAsia" w:ascii="Times New Roman" w:hAnsi="Times New Roman"/>
          <w:lang w:val="en-US" w:eastAsia="zh-CN"/>
        </w:rPr>
      </w:pPr>
      <w:r>
        <w:rPr>
          <w:rFonts w:hint="eastAsia" w:ascii="Times New Roman" w:hAnsi="Times New Roman"/>
          <w:lang w:val="en-US" w:eastAsia="zh-CN"/>
        </w:rPr>
        <w:t>②测试报告</w:t>
      </w:r>
    </w:p>
    <w:p w14:paraId="619DB60C">
      <w:pPr>
        <w:bidi w:val="0"/>
        <w:rPr>
          <w:rFonts w:hint="eastAsia" w:ascii="Times New Roman" w:hAnsi="Times New Roman"/>
          <w:lang w:val="en-US" w:eastAsia="zh-CN"/>
        </w:rPr>
      </w:pPr>
      <w:r>
        <w:rPr>
          <w:rFonts w:hint="eastAsia" w:ascii="Times New Roman" w:hAnsi="Times New Roman"/>
          <w:lang w:val="en-US" w:eastAsia="zh-CN"/>
        </w:rPr>
        <w:t>在每项测试内容完成后提供正式的测试报告。测试报告的格式应简单明了，便于实际的操作，测试报告应包括但不限于如下内容：</w:t>
      </w:r>
    </w:p>
    <w:p w14:paraId="2B19F3C5">
      <w:pPr>
        <w:bidi w:val="0"/>
        <w:rPr>
          <w:rFonts w:hint="eastAsia" w:ascii="Times New Roman" w:hAnsi="Times New Roman"/>
          <w:lang w:val="en-US" w:eastAsia="zh-CN"/>
        </w:rPr>
      </w:pPr>
      <w:r>
        <w:rPr>
          <w:rFonts w:hint="eastAsia" w:ascii="Times New Roman" w:hAnsi="Times New Roman"/>
          <w:lang w:val="en-US" w:eastAsia="zh-CN"/>
        </w:rPr>
        <w:t>1）测试说明及测试目的；</w:t>
      </w:r>
    </w:p>
    <w:p w14:paraId="5BA0BC05">
      <w:pPr>
        <w:bidi w:val="0"/>
        <w:rPr>
          <w:rFonts w:hint="eastAsia" w:ascii="Times New Roman" w:hAnsi="Times New Roman"/>
          <w:lang w:val="en-US" w:eastAsia="zh-CN"/>
        </w:rPr>
      </w:pPr>
      <w:r>
        <w:rPr>
          <w:rFonts w:hint="eastAsia" w:ascii="Times New Roman" w:hAnsi="Times New Roman"/>
          <w:lang w:val="en-US" w:eastAsia="zh-CN"/>
        </w:rPr>
        <w:t>2）测试的开始、结束时间、地点及方法；</w:t>
      </w:r>
    </w:p>
    <w:p w14:paraId="1DE81F58">
      <w:pPr>
        <w:bidi w:val="0"/>
        <w:rPr>
          <w:rFonts w:hint="eastAsia" w:ascii="Times New Roman" w:hAnsi="Times New Roman"/>
          <w:lang w:val="en-US" w:eastAsia="zh-CN"/>
        </w:rPr>
      </w:pPr>
      <w:r>
        <w:rPr>
          <w:rFonts w:hint="eastAsia" w:ascii="Times New Roman" w:hAnsi="Times New Roman"/>
          <w:lang w:val="en-US" w:eastAsia="zh-CN"/>
        </w:rPr>
        <w:t>3）测试环境、产生测试数据的方法、平台配置图；</w:t>
      </w:r>
    </w:p>
    <w:p w14:paraId="656757BD">
      <w:pPr>
        <w:bidi w:val="0"/>
        <w:rPr>
          <w:rFonts w:hint="eastAsia" w:ascii="Times New Roman" w:hAnsi="Times New Roman"/>
          <w:lang w:val="en-US" w:eastAsia="zh-CN"/>
        </w:rPr>
      </w:pPr>
      <w:r>
        <w:rPr>
          <w:rFonts w:hint="eastAsia" w:ascii="Times New Roman" w:hAnsi="Times New Roman"/>
          <w:lang w:val="en-US" w:eastAsia="zh-CN"/>
        </w:rPr>
        <w:t>4）测试合格的标准；</w:t>
      </w:r>
    </w:p>
    <w:p w14:paraId="0214A716">
      <w:pPr>
        <w:bidi w:val="0"/>
        <w:rPr>
          <w:rFonts w:hint="eastAsia" w:ascii="Times New Roman" w:hAnsi="Times New Roman"/>
          <w:lang w:val="en-US" w:eastAsia="zh-CN"/>
        </w:rPr>
      </w:pPr>
      <w:r>
        <w:rPr>
          <w:rFonts w:hint="eastAsia" w:ascii="Times New Roman" w:hAnsi="Times New Roman"/>
          <w:lang w:val="en-US" w:eastAsia="zh-CN"/>
        </w:rPr>
        <w:t>5）数据打印输出的结果、图表等；</w:t>
      </w:r>
    </w:p>
    <w:p w14:paraId="42003144">
      <w:pPr>
        <w:bidi w:val="0"/>
        <w:rPr>
          <w:rFonts w:hint="eastAsia" w:ascii="Times New Roman" w:hAnsi="Times New Roman"/>
          <w:lang w:val="en-US" w:eastAsia="zh-CN"/>
        </w:rPr>
      </w:pPr>
      <w:r>
        <w:rPr>
          <w:rFonts w:hint="eastAsia" w:ascii="Times New Roman" w:hAnsi="Times New Roman"/>
          <w:lang w:val="en-US" w:eastAsia="zh-CN"/>
        </w:rPr>
        <w:t>6）测试缺陷分析及整改方案；</w:t>
      </w:r>
    </w:p>
    <w:p w14:paraId="16676B07">
      <w:pPr>
        <w:bidi w:val="0"/>
        <w:rPr>
          <w:rFonts w:hint="eastAsia" w:ascii="Times New Roman" w:hAnsi="Times New Roman"/>
          <w:lang w:val="en-US" w:eastAsia="zh-CN"/>
        </w:rPr>
      </w:pPr>
      <w:r>
        <w:rPr>
          <w:rFonts w:hint="eastAsia" w:ascii="Times New Roman" w:hAnsi="Times New Roman"/>
          <w:lang w:val="en-US" w:eastAsia="zh-CN"/>
        </w:rPr>
        <w:t>7）测试结论、测试遗留问题备忘录；</w:t>
      </w:r>
    </w:p>
    <w:p w14:paraId="1374594A">
      <w:pPr>
        <w:bidi w:val="0"/>
        <w:rPr>
          <w:rFonts w:hint="eastAsia" w:ascii="Times New Roman" w:hAnsi="Times New Roman"/>
          <w:lang w:val="en-US" w:eastAsia="zh-CN"/>
        </w:rPr>
      </w:pPr>
      <w:r>
        <w:rPr>
          <w:rFonts w:hint="eastAsia" w:ascii="Times New Roman" w:hAnsi="Times New Roman"/>
          <w:lang w:val="en-US" w:eastAsia="zh-CN"/>
        </w:rPr>
        <w:t>8）测试人员名单；</w:t>
      </w:r>
    </w:p>
    <w:p w14:paraId="77A470A7">
      <w:pPr>
        <w:bidi w:val="0"/>
        <w:rPr>
          <w:rFonts w:hint="eastAsia" w:ascii="Times New Roman" w:hAnsi="Times New Roman"/>
          <w:lang w:val="en-US" w:eastAsia="zh-CN"/>
        </w:rPr>
      </w:pPr>
      <w:r>
        <w:rPr>
          <w:rFonts w:hint="eastAsia" w:ascii="Times New Roman" w:hAnsi="Times New Roman"/>
          <w:lang w:val="en-US" w:eastAsia="zh-CN"/>
        </w:rPr>
        <w:t>9）测试负责人签字。</w:t>
      </w:r>
    </w:p>
    <w:p w14:paraId="3FA4F3FE">
      <w:pPr>
        <w:bidi w:val="0"/>
        <w:rPr>
          <w:rFonts w:hint="eastAsia" w:ascii="Times New Roman" w:hAnsi="Times New Roman"/>
          <w:lang w:val="en-US" w:eastAsia="zh-CN"/>
        </w:rPr>
      </w:pPr>
      <w:r>
        <w:rPr>
          <w:rFonts w:hint="eastAsia" w:ascii="Times New Roman" w:hAnsi="Times New Roman"/>
          <w:lang w:val="en-US" w:eastAsia="zh-CN"/>
        </w:rPr>
        <w:t>（3）初步验收和试运行的标准和方法</w:t>
      </w:r>
    </w:p>
    <w:p w14:paraId="57047501">
      <w:pPr>
        <w:bidi w:val="0"/>
        <w:ind w:firstLine="640" w:firstLineChars="200"/>
        <w:rPr>
          <w:rFonts w:hint="eastAsia" w:ascii="Times New Roman" w:hAnsi="Times New Roman"/>
          <w:lang w:val="en-US" w:eastAsia="zh-CN"/>
        </w:rPr>
      </w:pPr>
      <w:r>
        <w:rPr>
          <w:rFonts w:hint="eastAsia" w:ascii="Times New Roman" w:hAnsi="Times New Roman"/>
          <w:lang w:val="en-US" w:eastAsia="zh-CN"/>
        </w:rPr>
        <w:t>系统集成测试达到要求时，进行初步验收，</w:t>
      </w:r>
      <w:r>
        <w:rPr>
          <w:rFonts w:hint="eastAsia" w:ascii="Times New Roman" w:hAnsi="Times New Roman"/>
          <w:lang w:val="en-US" w:eastAsia="zh"/>
        </w:rPr>
        <w:t>乙方</w:t>
      </w:r>
      <w:r>
        <w:rPr>
          <w:rFonts w:hint="eastAsia" w:ascii="Times New Roman" w:hAnsi="Times New Roman"/>
          <w:lang w:val="en-US" w:eastAsia="zh-CN"/>
        </w:rPr>
        <w:t>以书面形式正式向</w:t>
      </w:r>
      <w:r>
        <w:rPr>
          <w:rFonts w:hint="eastAsia" w:ascii="Times New Roman" w:hAnsi="Times New Roman"/>
          <w:lang w:val="en-US" w:eastAsia="zh"/>
        </w:rPr>
        <w:t>甲方</w:t>
      </w:r>
      <w:r>
        <w:rPr>
          <w:rFonts w:hint="eastAsia" w:ascii="Times New Roman" w:hAnsi="Times New Roman"/>
          <w:lang w:val="en-US" w:eastAsia="zh-CN"/>
        </w:rPr>
        <w:t>递交本项目软件系统《初步验收报告》和《试运行申请报告》，给出系统试运行的时间计划、人力安排及需要</w:t>
      </w:r>
      <w:r>
        <w:rPr>
          <w:rFonts w:hint="eastAsia" w:ascii="Times New Roman" w:hAnsi="Times New Roman"/>
          <w:lang w:val="en-US" w:eastAsia="zh"/>
        </w:rPr>
        <w:t>甲方</w:t>
      </w:r>
      <w:r>
        <w:rPr>
          <w:rFonts w:hint="eastAsia" w:ascii="Times New Roman" w:hAnsi="Times New Roman"/>
          <w:lang w:val="en-US" w:eastAsia="zh-CN"/>
        </w:rPr>
        <w:t>配合的配套软硬件环境。</w:t>
      </w:r>
    </w:p>
    <w:p w14:paraId="11767D47">
      <w:pPr>
        <w:bidi w:val="0"/>
        <w:ind w:firstLine="640" w:firstLineChars="200"/>
        <w:rPr>
          <w:rFonts w:hint="eastAsia" w:ascii="Times New Roman" w:hAnsi="Times New Roman"/>
          <w:lang w:val="en-US" w:eastAsia="zh-CN"/>
        </w:rPr>
      </w:pPr>
      <w:r>
        <w:rPr>
          <w:rFonts w:hint="eastAsia" w:ascii="Times New Roman" w:hAnsi="Times New Roman"/>
          <w:lang w:val="en-US" w:eastAsia="zh"/>
        </w:rPr>
        <w:t>甲方</w:t>
      </w:r>
      <w:r>
        <w:rPr>
          <w:rFonts w:hint="eastAsia" w:ascii="Times New Roman" w:hAnsi="Times New Roman"/>
          <w:lang w:val="en-US" w:eastAsia="zh-CN"/>
        </w:rPr>
        <w:t>在收到</w:t>
      </w:r>
      <w:r>
        <w:rPr>
          <w:rFonts w:hint="eastAsia" w:ascii="Times New Roman" w:hAnsi="Times New Roman"/>
          <w:lang w:val="en-US" w:eastAsia="zh"/>
        </w:rPr>
        <w:t>乙方提交的</w:t>
      </w:r>
      <w:r>
        <w:rPr>
          <w:rFonts w:hint="eastAsia" w:ascii="Times New Roman" w:hAnsi="Times New Roman"/>
          <w:lang w:val="en-US" w:eastAsia="zh-CN"/>
        </w:rPr>
        <w:t>《初步验收报告》和《试运行申请报告》后，</w:t>
      </w:r>
      <w:r>
        <w:rPr>
          <w:rFonts w:hint="eastAsia" w:ascii="Times New Roman" w:hAnsi="Times New Roman"/>
          <w:lang w:val="en-US" w:eastAsia="zh"/>
        </w:rPr>
        <w:t>甲方</w:t>
      </w:r>
      <w:r>
        <w:rPr>
          <w:rFonts w:hint="eastAsia" w:ascii="Times New Roman" w:hAnsi="Times New Roman"/>
          <w:lang w:val="en-US" w:eastAsia="zh-CN"/>
        </w:rPr>
        <w:t>有权组织第三方（第三方测试费由乙方承担，该费用已包含在本合同价款里，总费用不超过合同总额的0.5%）和</w:t>
      </w:r>
      <w:r>
        <w:rPr>
          <w:rFonts w:hint="eastAsia" w:ascii="Times New Roman" w:hAnsi="Times New Roman"/>
          <w:lang w:val="en-US" w:eastAsia="zh"/>
        </w:rPr>
        <w:t>甲方</w:t>
      </w:r>
      <w:r>
        <w:rPr>
          <w:rFonts w:hint="eastAsia" w:ascii="Times New Roman" w:hAnsi="Times New Roman"/>
          <w:lang w:val="en-US" w:eastAsia="zh-CN"/>
        </w:rPr>
        <w:t>专业人员进行初步验收，经甲方确定可投入试运行后，由验收组签字确认通过或给出反馈意见。</w:t>
      </w:r>
    </w:p>
    <w:p w14:paraId="30676B1D">
      <w:pPr>
        <w:bidi w:val="0"/>
        <w:ind w:firstLine="640" w:firstLineChars="200"/>
        <w:rPr>
          <w:rFonts w:hint="eastAsia" w:ascii="Times New Roman" w:hAnsi="Times New Roman"/>
          <w:lang w:val="en-US" w:eastAsia="zh-CN"/>
        </w:rPr>
      </w:pPr>
      <w:r>
        <w:rPr>
          <w:rFonts w:hint="eastAsia" w:ascii="Times New Roman" w:hAnsi="Times New Roman"/>
          <w:lang w:val="en-US" w:eastAsia="zh-CN"/>
        </w:rPr>
        <w:t>如果在系统试运行期间发现系统功能及性能与</w:t>
      </w:r>
      <w:r>
        <w:rPr>
          <w:rFonts w:hint="eastAsia" w:ascii="Times New Roman" w:hAnsi="Times New Roman"/>
          <w:lang w:val="en-US" w:eastAsia="zh"/>
        </w:rPr>
        <w:t>甲方</w:t>
      </w:r>
      <w:r>
        <w:rPr>
          <w:rFonts w:hint="eastAsia" w:ascii="Times New Roman" w:hAnsi="Times New Roman"/>
          <w:lang w:val="en-US" w:eastAsia="zh-CN"/>
        </w:rPr>
        <w:t>需求及</w:t>
      </w:r>
      <w:r>
        <w:rPr>
          <w:rFonts w:hint="eastAsia" w:ascii="Times New Roman" w:hAnsi="Times New Roman"/>
          <w:lang w:val="en-US" w:eastAsia="zh"/>
        </w:rPr>
        <w:t>乙方</w:t>
      </w:r>
      <w:r>
        <w:rPr>
          <w:rFonts w:hint="eastAsia" w:ascii="Times New Roman" w:hAnsi="Times New Roman"/>
          <w:lang w:val="en-US" w:eastAsia="zh-CN"/>
        </w:rPr>
        <w:t>提供的设计书相关内容不符，</w:t>
      </w:r>
      <w:r>
        <w:rPr>
          <w:rFonts w:hint="eastAsia" w:ascii="Times New Roman" w:hAnsi="Times New Roman"/>
          <w:lang w:val="en-US" w:eastAsia="zh"/>
        </w:rPr>
        <w:t>甲方</w:t>
      </w:r>
      <w:r>
        <w:rPr>
          <w:rFonts w:hint="eastAsia" w:ascii="Times New Roman" w:hAnsi="Times New Roman"/>
          <w:lang w:val="en-US" w:eastAsia="zh-CN"/>
        </w:rPr>
        <w:t>有权要求修改、再测试及重新计算试运行期限。</w:t>
      </w:r>
    </w:p>
    <w:p w14:paraId="4C1E0874">
      <w:pPr>
        <w:bidi w:val="0"/>
        <w:ind w:firstLine="640" w:firstLineChars="200"/>
        <w:rPr>
          <w:rFonts w:hint="eastAsia" w:ascii="Times New Roman" w:hAnsi="Times New Roman"/>
          <w:lang w:val="en-US" w:eastAsia="zh-CN"/>
        </w:rPr>
      </w:pPr>
      <w:r>
        <w:rPr>
          <w:rFonts w:hint="eastAsia" w:ascii="Times New Roman" w:hAnsi="Times New Roman"/>
          <w:lang w:val="en-US" w:eastAsia="zh-CN"/>
        </w:rPr>
        <w:t>如果在试运行期间结束时，未出现系统故障及错误，</w:t>
      </w:r>
      <w:r>
        <w:rPr>
          <w:rFonts w:hint="eastAsia" w:ascii="Times New Roman" w:hAnsi="Times New Roman"/>
          <w:lang w:val="en-US" w:eastAsia="zh"/>
        </w:rPr>
        <w:t>乙方</w:t>
      </w:r>
      <w:r>
        <w:rPr>
          <w:rFonts w:hint="eastAsia" w:ascii="Times New Roman" w:hAnsi="Times New Roman"/>
          <w:lang w:val="en-US" w:eastAsia="zh-CN"/>
        </w:rPr>
        <w:t>即可提交书面《系统试运行报告》，经</w:t>
      </w:r>
      <w:r>
        <w:rPr>
          <w:rFonts w:hint="eastAsia" w:ascii="Times New Roman" w:hAnsi="Times New Roman"/>
          <w:lang w:val="en-US" w:eastAsia="zh"/>
        </w:rPr>
        <w:t>甲方</w:t>
      </w:r>
      <w:r>
        <w:rPr>
          <w:rFonts w:hint="eastAsia" w:ascii="Times New Roman" w:hAnsi="Times New Roman"/>
          <w:lang w:val="en-US" w:eastAsia="zh-CN"/>
        </w:rPr>
        <w:t>书面确认的试运行报告为系统试运行结束的标志。</w:t>
      </w:r>
    </w:p>
    <w:p w14:paraId="47BD8670">
      <w:pPr>
        <w:bidi w:val="0"/>
        <w:ind w:firstLine="640" w:firstLineChars="200"/>
        <w:rPr>
          <w:rFonts w:hint="eastAsia" w:ascii="Times New Roman" w:hAnsi="Times New Roman"/>
          <w:lang w:val="en-US" w:eastAsia="zh-CN"/>
        </w:rPr>
      </w:pPr>
      <w:r>
        <w:rPr>
          <w:rFonts w:hint="eastAsia" w:ascii="Times New Roman" w:hAnsi="Times New Roman"/>
          <w:lang w:val="en-US" w:eastAsia="zh"/>
        </w:rPr>
        <w:t>乙方</w:t>
      </w:r>
      <w:r>
        <w:rPr>
          <w:rFonts w:hint="eastAsia" w:ascii="Times New Roman" w:hAnsi="Times New Roman"/>
          <w:lang w:val="en-US" w:eastAsia="zh-CN"/>
        </w:rPr>
        <w:t>应对试运行过程中发现的系统错误进行修改、测试，并保证修改结果与</w:t>
      </w:r>
      <w:r>
        <w:rPr>
          <w:rFonts w:hint="eastAsia" w:ascii="Times New Roman" w:hAnsi="Times New Roman"/>
          <w:lang w:val="en-US" w:eastAsia="zh"/>
        </w:rPr>
        <w:t>甲方</w:t>
      </w:r>
      <w:r>
        <w:rPr>
          <w:rFonts w:hint="eastAsia" w:ascii="Times New Roman" w:hAnsi="Times New Roman"/>
          <w:lang w:val="en-US" w:eastAsia="zh-CN"/>
        </w:rPr>
        <w:t>需求及</w:t>
      </w:r>
      <w:r>
        <w:rPr>
          <w:rFonts w:hint="eastAsia" w:ascii="Times New Roman" w:hAnsi="Times New Roman"/>
          <w:lang w:val="en-US" w:eastAsia="zh"/>
        </w:rPr>
        <w:t>乙方</w:t>
      </w:r>
      <w:r>
        <w:rPr>
          <w:rFonts w:hint="eastAsia" w:ascii="Times New Roman" w:hAnsi="Times New Roman"/>
          <w:lang w:val="en-US" w:eastAsia="zh-CN"/>
        </w:rPr>
        <w:t>提供的设计书相关内容相一致，</w:t>
      </w:r>
      <w:r>
        <w:rPr>
          <w:rFonts w:hint="eastAsia" w:ascii="Times New Roman" w:hAnsi="Times New Roman"/>
          <w:lang w:val="en-US" w:eastAsia="zh"/>
        </w:rPr>
        <w:t>甲方</w:t>
      </w:r>
      <w:r>
        <w:rPr>
          <w:rFonts w:hint="eastAsia" w:ascii="Times New Roman" w:hAnsi="Times New Roman"/>
          <w:lang w:val="en-US" w:eastAsia="zh-CN"/>
        </w:rPr>
        <w:t>有权要求试运行期相应延长。</w:t>
      </w:r>
    </w:p>
    <w:p w14:paraId="3EE587CF">
      <w:pPr>
        <w:bidi w:val="0"/>
        <w:rPr>
          <w:rFonts w:hint="eastAsia" w:ascii="Times New Roman" w:hAnsi="Times New Roman"/>
          <w:lang w:val="en-US" w:eastAsia="zh-CN"/>
        </w:rPr>
      </w:pPr>
      <w:r>
        <w:rPr>
          <w:rFonts w:hint="eastAsia" w:ascii="Times New Roman" w:hAnsi="Times New Roman"/>
          <w:lang w:val="en-US" w:eastAsia="zh-CN"/>
        </w:rPr>
        <w:t>（4）正式验收标准和方法</w:t>
      </w:r>
    </w:p>
    <w:p w14:paraId="7B13E1EE">
      <w:pPr>
        <w:bidi w:val="0"/>
        <w:ind w:firstLine="640" w:firstLineChars="200"/>
        <w:rPr>
          <w:rFonts w:hint="eastAsia" w:ascii="Times New Roman" w:hAnsi="Times New Roman"/>
          <w:lang w:val="en-US" w:eastAsia="zh-CN"/>
        </w:rPr>
      </w:pPr>
      <w:r>
        <w:rPr>
          <w:rFonts w:hint="eastAsia" w:ascii="Times New Roman" w:hAnsi="Times New Roman"/>
          <w:lang w:val="en-US" w:eastAsia="zh-CN"/>
        </w:rPr>
        <w:t>系统验收内容以双方书面确认的技术方案（或软件详细技术说明）、招标文件、投标文件及经双方确认的需求变更说明、相关国家标准、行业标准为依据，前述标准不一致的，以最高标准为依据。</w:t>
      </w:r>
    </w:p>
    <w:p w14:paraId="58387CCC">
      <w:pPr>
        <w:bidi w:val="0"/>
        <w:ind w:firstLine="640" w:firstLineChars="200"/>
        <w:rPr>
          <w:rFonts w:hint="eastAsia" w:ascii="Times New Roman" w:hAnsi="Times New Roman"/>
          <w:lang w:val="en-US" w:eastAsia="zh-CN"/>
        </w:rPr>
      </w:pPr>
      <w:r>
        <w:rPr>
          <w:rFonts w:hint="eastAsia" w:ascii="Times New Roman" w:hAnsi="Times New Roman"/>
          <w:lang w:val="en-US" w:eastAsia="zh"/>
        </w:rPr>
        <w:t>乙方</w:t>
      </w:r>
      <w:r>
        <w:rPr>
          <w:rFonts w:hint="eastAsia" w:ascii="Times New Roman" w:hAnsi="Times New Roman"/>
          <w:lang w:val="en-US" w:eastAsia="zh-CN"/>
        </w:rPr>
        <w:t>在系统试运行结束后，应提交书面《验收申请报告》、系统验收所需的可运行的软件、介质和技术文档等，技术文档至少应包括：平台需求说明书、系统架构设计说明书、系统数据库数据结构说明书、系统权限及管理说明书、系统运维说明书、系统对外接口说明书、用户手册等。前述文档均应全中文。</w:t>
      </w:r>
    </w:p>
    <w:p w14:paraId="4EB34609">
      <w:pPr>
        <w:bidi w:val="0"/>
        <w:ind w:firstLine="640" w:firstLineChars="200"/>
        <w:rPr>
          <w:rFonts w:hint="eastAsia" w:ascii="Times New Roman" w:hAnsi="Times New Roman"/>
          <w:lang w:val="en-US" w:eastAsia="zh-CN"/>
        </w:rPr>
      </w:pPr>
      <w:r>
        <w:rPr>
          <w:rFonts w:hint="eastAsia" w:ascii="Times New Roman" w:hAnsi="Times New Roman"/>
          <w:lang w:val="en-US" w:eastAsia="zh"/>
        </w:rPr>
        <w:t>甲方</w:t>
      </w:r>
      <w:r>
        <w:rPr>
          <w:rFonts w:hint="eastAsia" w:ascii="Times New Roman" w:hAnsi="Times New Roman"/>
          <w:lang w:val="en-US" w:eastAsia="zh-CN"/>
        </w:rPr>
        <w:t>审查确认技术文档无误后，</w:t>
      </w:r>
      <w:r>
        <w:rPr>
          <w:rFonts w:hint="eastAsia" w:ascii="Times New Roman" w:hAnsi="Times New Roman"/>
          <w:lang w:val="en-US" w:eastAsia="zh"/>
        </w:rPr>
        <w:t>甲方</w:t>
      </w:r>
      <w:r>
        <w:rPr>
          <w:rFonts w:hint="eastAsia" w:ascii="Times New Roman" w:hAnsi="Times New Roman"/>
          <w:lang w:val="en-US" w:eastAsia="zh-CN"/>
        </w:rPr>
        <w:t>组织进行正式验收，验收通过后，参加验收单位项目负责人分别在《项目验收报告》上签字。经多方签字确认的《项目验收报告》为系统验收通过的标志。</w:t>
      </w:r>
    </w:p>
    <w:p w14:paraId="1F12FB61">
      <w:pPr>
        <w:bidi w:val="0"/>
        <w:rPr>
          <w:rFonts w:hint="eastAsia" w:ascii="Times New Roman" w:hAnsi="Times New Roman"/>
          <w:b w:val="0"/>
          <w:bCs w:val="0"/>
          <w:lang w:val="en-US" w:eastAsia="zh-CN"/>
        </w:rPr>
      </w:pPr>
      <w:r>
        <w:rPr>
          <w:rFonts w:hint="eastAsia" w:ascii="Times New Roman" w:hAnsi="Times New Roman"/>
          <w:b w:val="0"/>
          <w:bCs w:val="0"/>
          <w:lang w:val="en-US" w:eastAsia="zh-CN"/>
        </w:rPr>
        <w:t>验收程序：</w:t>
      </w:r>
    </w:p>
    <w:p w14:paraId="76BB156D">
      <w:pPr>
        <w:bidi w:val="0"/>
        <w:rPr>
          <w:rFonts w:hint="eastAsia" w:ascii="Times New Roman" w:hAnsi="Times New Roman"/>
          <w:lang w:val="en-US" w:eastAsia="zh-CN"/>
        </w:rPr>
      </w:pPr>
      <w:r>
        <w:rPr>
          <w:rFonts w:hint="eastAsia" w:ascii="Times New Roman" w:hAnsi="Times New Roman"/>
          <w:lang w:val="en-US" w:eastAsia="zh-CN"/>
        </w:rPr>
        <w:t>1）乙方提出系统验收申请；</w:t>
      </w:r>
    </w:p>
    <w:p w14:paraId="62101C24">
      <w:pPr>
        <w:bidi w:val="0"/>
        <w:rPr>
          <w:rFonts w:hint="eastAsia" w:ascii="Times New Roman" w:hAnsi="Times New Roman"/>
          <w:lang w:val="en-US" w:eastAsia="zh-CN"/>
        </w:rPr>
      </w:pPr>
      <w:r>
        <w:rPr>
          <w:rFonts w:hint="eastAsia" w:ascii="Times New Roman" w:hAnsi="Times New Roman"/>
          <w:lang w:val="en-US" w:eastAsia="zh-CN"/>
        </w:rPr>
        <w:t>2）乙方制定系统验收计划；</w:t>
      </w:r>
    </w:p>
    <w:p w14:paraId="51E3BC24">
      <w:pPr>
        <w:bidi w:val="0"/>
        <w:rPr>
          <w:rFonts w:hint="eastAsia" w:ascii="Times New Roman" w:hAnsi="Times New Roman"/>
          <w:lang w:val="en-US" w:eastAsia="zh-CN"/>
        </w:rPr>
      </w:pPr>
      <w:r>
        <w:rPr>
          <w:rFonts w:hint="eastAsia" w:ascii="Times New Roman" w:hAnsi="Times New Roman"/>
          <w:lang w:val="en-US" w:eastAsia="zh-CN"/>
        </w:rPr>
        <w:t>3）甲乙双方成立系统验收小组；</w:t>
      </w:r>
    </w:p>
    <w:p w14:paraId="5C12D660">
      <w:pPr>
        <w:bidi w:val="0"/>
        <w:rPr>
          <w:rFonts w:hint="eastAsia" w:ascii="Times New Roman" w:hAnsi="Times New Roman"/>
          <w:lang w:val="en-US" w:eastAsia="zh-CN"/>
        </w:rPr>
      </w:pPr>
      <w:r>
        <w:rPr>
          <w:rFonts w:hint="eastAsia" w:ascii="Times New Roman" w:hAnsi="Times New Roman"/>
          <w:lang w:val="en-US" w:eastAsia="zh-CN"/>
        </w:rPr>
        <w:t>4）甲乙双方进行系统验收测试；</w:t>
      </w:r>
    </w:p>
    <w:p w14:paraId="6C755AAD">
      <w:pPr>
        <w:bidi w:val="0"/>
        <w:rPr>
          <w:rFonts w:hint="eastAsia" w:ascii="Times New Roman" w:hAnsi="Times New Roman"/>
          <w:lang w:val="en-US" w:eastAsia="zh-CN"/>
        </w:rPr>
      </w:pPr>
      <w:r>
        <w:rPr>
          <w:rFonts w:hint="eastAsia" w:ascii="Times New Roman" w:hAnsi="Times New Roman"/>
          <w:lang w:val="en-US" w:eastAsia="zh-CN"/>
        </w:rPr>
        <w:t>5）甲方组织系统验收评审；</w:t>
      </w:r>
    </w:p>
    <w:p w14:paraId="325D9600">
      <w:pPr>
        <w:bidi w:val="0"/>
        <w:rPr>
          <w:rFonts w:hint="eastAsia" w:ascii="Times New Roman" w:hAnsi="Times New Roman"/>
          <w:lang w:val="en-US" w:eastAsia="zh-CN"/>
        </w:rPr>
      </w:pPr>
      <w:r>
        <w:rPr>
          <w:rFonts w:hint="eastAsia" w:ascii="Times New Roman" w:hAnsi="Times New Roman"/>
          <w:lang w:val="en-US" w:eastAsia="zh-CN"/>
        </w:rPr>
        <w:t>6）乙方形成系统验收报告；</w:t>
      </w:r>
    </w:p>
    <w:p w14:paraId="546F4A08">
      <w:pPr>
        <w:bidi w:val="0"/>
        <w:rPr>
          <w:rFonts w:hint="eastAsia" w:ascii="Times New Roman" w:hAnsi="Times New Roman"/>
          <w:lang w:val="en-US" w:eastAsia="zh-CN"/>
        </w:rPr>
      </w:pPr>
      <w:r>
        <w:rPr>
          <w:rFonts w:hint="eastAsia" w:ascii="Times New Roman" w:hAnsi="Times New Roman"/>
          <w:lang w:val="en-US" w:eastAsia="zh-CN"/>
        </w:rPr>
        <w:t>8）乙方移交系统中软件、硬件产品。</w:t>
      </w:r>
    </w:p>
    <w:p w14:paraId="716C1985">
      <w:pPr>
        <w:bidi w:val="0"/>
        <w:ind w:firstLine="640" w:firstLineChars="200"/>
        <w:rPr>
          <w:rFonts w:hint="eastAsia" w:ascii="Times New Roman" w:hAnsi="Times New Roman"/>
          <w:lang w:val="en-US" w:eastAsia="zh-CN"/>
        </w:rPr>
      </w:pPr>
      <w:r>
        <w:rPr>
          <w:rFonts w:hint="eastAsia" w:ascii="Times New Roman" w:hAnsi="Times New Roman"/>
          <w:lang w:val="en-US" w:eastAsia="zh-CN"/>
        </w:rPr>
        <w:t>验收着重软件验收测试，以保证被验收的软件产品符合设计书或合同及招标文件规定的要求，设计书或合同及招标文件要求不一致的，以最高要求标准为准；设计书或合同及招标文件对软件测试标准没有约定或约定不明的，以国家标准、行业标准为准。</w:t>
      </w:r>
    </w:p>
    <w:p w14:paraId="3DFFFA5D">
      <w:pPr>
        <w:bidi w:val="0"/>
        <w:rPr>
          <w:rFonts w:hint="eastAsia" w:ascii="Times New Roman" w:hAnsi="Times New Roman"/>
          <w:lang w:val="en-US" w:eastAsia="zh-CN"/>
        </w:rPr>
      </w:pPr>
      <w:r>
        <w:rPr>
          <w:rFonts w:hint="eastAsia" w:ascii="Times New Roman" w:hAnsi="Times New Roman"/>
          <w:lang w:val="en-US" w:eastAsia="zh-CN"/>
        </w:rPr>
        <w:t>验收测试的内容包括功能测试、性能测试、强度测试以及综合演示，以证实软件的功能、性能与软件需求的一致性，程序和文档的一致性。</w:t>
      </w:r>
    </w:p>
    <w:p w14:paraId="38B928AE">
      <w:pPr>
        <w:bidi w:val="0"/>
        <w:ind w:firstLine="640" w:firstLineChars="200"/>
        <w:rPr>
          <w:rFonts w:hint="eastAsia" w:ascii="Times New Roman" w:hAnsi="Times New Roman"/>
          <w:lang w:val="en-US" w:eastAsia="zh-CN"/>
        </w:rPr>
      </w:pPr>
      <w:r>
        <w:rPr>
          <w:rFonts w:hint="eastAsia" w:ascii="Times New Roman" w:hAnsi="Times New Roman"/>
          <w:lang w:val="en-US" w:eastAsia="zh-CN"/>
        </w:rPr>
        <w:t>在验收测试的基础上，对被验收的软件进行综合评审，给出对软件的综合评价。除了对软件的性能、质量的评价外，还应对软件文档的完整性、准确性和标准化程度给出评价。</w:t>
      </w:r>
    </w:p>
    <w:p w14:paraId="727B9C74">
      <w:pPr>
        <w:bidi w:val="0"/>
        <w:rPr>
          <w:rFonts w:hint="eastAsia" w:ascii="Times New Roman" w:hAnsi="Times New Roman"/>
          <w:lang w:val="en-US" w:eastAsia="zh-CN"/>
        </w:rPr>
      </w:pPr>
      <w:r>
        <w:rPr>
          <w:rFonts w:hint="eastAsia" w:ascii="Times New Roman" w:hAnsi="Times New Roman"/>
          <w:lang w:val="en-US" w:eastAsia="zh-CN"/>
        </w:rPr>
        <w:t>在评审的基础上进行项目验收。</w:t>
      </w:r>
    </w:p>
    <w:p w14:paraId="669024E0">
      <w:pPr>
        <w:bidi w:val="0"/>
        <w:rPr>
          <w:rFonts w:hint="eastAsia" w:ascii="Times New Roman" w:hAnsi="Times New Roman"/>
          <w:lang w:val="en-US" w:eastAsia="zh-CN"/>
        </w:rPr>
      </w:pPr>
      <w:r>
        <w:rPr>
          <w:rFonts w:hint="eastAsia" w:ascii="Times New Roman" w:hAnsi="Times New Roman"/>
          <w:lang w:val="en-US" w:eastAsia="zh-CN"/>
        </w:rPr>
        <w:t>移交程序</w:t>
      </w:r>
    </w:p>
    <w:p w14:paraId="10E80417">
      <w:pPr>
        <w:bidi w:val="0"/>
        <w:ind w:firstLine="640" w:firstLineChars="200"/>
        <w:rPr>
          <w:rFonts w:hint="eastAsia" w:ascii="Times New Roman" w:hAnsi="Times New Roman"/>
          <w:lang w:val="en-US" w:eastAsia="zh-CN"/>
        </w:rPr>
      </w:pPr>
      <w:r>
        <w:rPr>
          <w:rFonts w:hint="eastAsia" w:ascii="Times New Roman" w:hAnsi="Times New Roman"/>
          <w:lang w:val="en-US" w:eastAsia="zh"/>
        </w:rPr>
        <w:t>乙方</w:t>
      </w:r>
      <w:r>
        <w:rPr>
          <w:rFonts w:hint="eastAsia" w:ascii="Times New Roman" w:hAnsi="Times New Roman"/>
          <w:lang w:val="en-US" w:eastAsia="zh-CN"/>
        </w:rPr>
        <w:t>提出软件产品移交项目清单，并附加必要的说明，逐步核实并移交给</w:t>
      </w:r>
      <w:r>
        <w:rPr>
          <w:rFonts w:hint="eastAsia" w:ascii="Times New Roman" w:hAnsi="Times New Roman"/>
          <w:lang w:val="en-US" w:eastAsia="zh"/>
        </w:rPr>
        <w:t>甲方</w:t>
      </w:r>
      <w:r>
        <w:rPr>
          <w:rFonts w:hint="eastAsia" w:ascii="Times New Roman" w:hAnsi="Times New Roman"/>
          <w:lang w:val="en-US" w:eastAsia="zh-CN"/>
        </w:rPr>
        <w:t>，移交结束后形成产品移交文件，文件内容如下：</w:t>
      </w:r>
    </w:p>
    <w:p w14:paraId="2524E973">
      <w:pPr>
        <w:bidi w:val="0"/>
        <w:rPr>
          <w:rFonts w:hint="eastAsia" w:ascii="Times New Roman" w:hAnsi="Times New Roman"/>
          <w:lang w:val="en-US" w:eastAsia="zh-CN"/>
        </w:rPr>
      </w:pPr>
      <w:r>
        <w:rPr>
          <w:rFonts w:hint="eastAsia" w:ascii="Times New Roman" w:hAnsi="Times New Roman"/>
          <w:lang w:val="en-US" w:eastAsia="zh-CN"/>
        </w:rPr>
        <w:t>1）移交项目清单；</w:t>
      </w:r>
    </w:p>
    <w:p w14:paraId="7E93B7D6">
      <w:pPr>
        <w:bidi w:val="0"/>
        <w:rPr>
          <w:rFonts w:hint="eastAsia" w:ascii="Times New Roman" w:hAnsi="Times New Roman"/>
          <w:lang w:val="en-US" w:eastAsia="zh-CN"/>
        </w:rPr>
      </w:pPr>
      <w:r>
        <w:rPr>
          <w:rFonts w:hint="eastAsia" w:ascii="Times New Roman" w:hAnsi="Times New Roman"/>
          <w:lang w:val="en-US" w:eastAsia="zh-CN"/>
        </w:rPr>
        <w:t>2）移交项目的数量；</w:t>
      </w:r>
    </w:p>
    <w:p w14:paraId="60246B33">
      <w:pPr>
        <w:bidi w:val="0"/>
        <w:rPr>
          <w:rFonts w:hint="eastAsia" w:ascii="Times New Roman" w:hAnsi="Times New Roman"/>
          <w:lang w:val="en-US" w:eastAsia="zh-CN"/>
        </w:rPr>
      </w:pPr>
      <w:r>
        <w:rPr>
          <w:rFonts w:hint="eastAsia" w:ascii="Times New Roman" w:hAnsi="Times New Roman"/>
          <w:lang w:val="en-US" w:eastAsia="zh-CN"/>
        </w:rPr>
        <w:t>3）移交的时间、地点、收受人签名。</w:t>
      </w:r>
    </w:p>
    <w:p w14:paraId="219468F0">
      <w:pPr>
        <w:pStyle w:val="4"/>
        <w:bidi w:val="0"/>
        <w:rPr>
          <w:rFonts w:hint="eastAsia"/>
          <w:lang w:val="en-US" w:eastAsia="zh-CN"/>
        </w:rPr>
      </w:pPr>
      <w:r>
        <w:rPr>
          <w:rFonts w:hint="eastAsia"/>
          <w:lang w:val="en-US" w:eastAsia="zh-CN"/>
        </w:rPr>
        <w:t>（三）固定资产管理咨询服务</w:t>
      </w:r>
    </w:p>
    <w:p w14:paraId="31903B9A">
      <w:pPr>
        <w:bidi w:val="0"/>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 xml:space="preserve">    </w:t>
      </w:r>
      <w:r>
        <w:rPr>
          <w:rFonts w:hint="eastAsia" w:ascii="Times New Roman" w:hAnsi="Times New Roman"/>
          <w:lang w:val="en-US" w:eastAsia="zh-CN"/>
        </w:rPr>
        <w:t>乙方应结合甲方固定资产管理业务的实际情况提供咨询服务，为甲方固定资产管理梳理业务流程，结合平台配置业务管理流程，并安排人员为甲方进行初次资产登记、梳理和盘点工作，指导甲方构建固定资产管理流程。</w:t>
      </w:r>
    </w:p>
    <w:p w14:paraId="43C72E1A">
      <w:pPr>
        <w:pStyle w:val="4"/>
        <w:bidi w:val="0"/>
        <w:rPr>
          <w:lang w:eastAsia="zh"/>
        </w:rPr>
      </w:pPr>
      <w:r>
        <w:rPr>
          <w:rFonts w:hint="eastAsia"/>
        </w:rPr>
        <w:t>（</w:t>
      </w:r>
      <w:r>
        <w:rPr>
          <w:rFonts w:hint="eastAsia"/>
          <w:lang w:val="en-US" w:eastAsia="zh-CN"/>
        </w:rPr>
        <w:t>四</w:t>
      </w:r>
      <w:r>
        <w:rPr>
          <w:rFonts w:hint="eastAsia"/>
        </w:rPr>
        <w:t>）</w:t>
      </w:r>
      <w:r>
        <w:rPr>
          <w:lang w:eastAsia="zh"/>
        </w:rPr>
        <w:t>系统培训服务</w:t>
      </w:r>
    </w:p>
    <w:p w14:paraId="3EE72D5C">
      <w:pPr>
        <w:bidi w:val="0"/>
        <w:ind w:firstLine="640" w:firstLineChars="200"/>
        <w:rPr>
          <w:rFonts w:hint="eastAsia"/>
        </w:rPr>
      </w:pPr>
      <w:r>
        <w:rPr>
          <w:rFonts w:hint="eastAsia"/>
          <w:lang w:eastAsia="zh"/>
        </w:rPr>
        <w:t>乙方</w:t>
      </w:r>
      <w:r>
        <w:rPr>
          <w:rFonts w:hint="eastAsia"/>
        </w:rPr>
        <w:t>应按照经甲方批准的培训计划对甲方所指派的人员进行培训，培训地点可选在甲方指定所在地或项目所在地。</w:t>
      </w:r>
      <w:r>
        <w:rPr>
          <w:rFonts w:hint="eastAsia"/>
          <w:lang w:eastAsia="zh"/>
        </w:rPr>
        <w:t>乙方</w:t>
      </w:r>
      <w:r>
        <w:rPr>
          <w:rFonts w:hint="eastAsia"/>
        </w:rPr>
        <w:t>应选派技术熟练、表达能力强的专业人员对甲方派出的职员进行培训。</w:t>
      </w:r>
    </w:p>
    <w:p w14:paraId="4449E080">
      <w:pPr>
        <w:bidi w:val="0"/>
        <w:ind w:firstLine="640" w:firstLineChars="200"/>
        <w:rPr>
          <w:rFonts w:hint="eastAsia"/>
        </w:rPr>
      </w:pPr>
      <w:r>
        <w:rPr>
          <w:rFonts w:hint="eastAsia"/>
          <w:lang w:eastAsia="zh"/>
        </w:rPr>
        <w:t>乙方</w:t>
      </w:r>
      <w:r>
        <w:rPr>
          <w:rFonts w:hint="eastAsia"/>
        </w:rPr>
        <w:t>应配合提供必要的生活和学习条件，使甲方培训人员参与和工作有关的全部操作项目的培训，使之能理解并胜任对整个运行系统和设备的操作、检验、调节、质量控制及保养工作。</w:t>
      </w:r>
    </w:p>
    <w:p w14:paraId="0CAA730B">
      <w:pPr>
        <w:bidi w:val="0"/>
      </w:pPr>
      <w:r>
        <w:rPr>
          <w:rFonts w:hint="eastAsia"/>
        </w:rPr>
        <w:t>培训次数不少于</w:t>
      </w:r>
      <w:r>
        <w:rPr>
          <w:rFonts w:hint="eastAsia"/>
          <w:lang w:eastAsia="zh"/>
        </w:rPr>
        <w:t>5</w:t>
      </w:r>
      <w:r>
        <w:rPr>
          <w:rFonts w:hint="eastAsia"/>
        </w:rPr>
        <w:t>次。</w:t>
      </w:r>
    </w:p>
    <w:p w14:paraId="2B81D479">
      <w:pPr>
        <w:pStyle w:val="4"/>
        <w:bidi w:val="0"/>
        <w:rPr>
          <w:lang w:eastAsia="zh"/>
        </w:rPr>
      </w:pPr>
      <w:r>
        <w:rPr>
          <w:rFonts w:hint="eastAsia"/>
        </w:rPr>
        <w:t>（</w:t>
      </w:r>
      <w:r>
        <w:rPr>
          <w:rFonts w:hint="eastAsia"/>
          <w:lang w:val="en-US" w:eastAsia="zh-CN"/>
        </w:rPr>
        <w:t>五</w:t>
      </w:r>
      <w:r>
        <w:rPr>
          <w:rFonts w:hint="eastAsia"/>
        </w:rPr>
        <w:t>）</w:t>
      </w:r>
      <w:r>
        <w:rPr>
          <w:lang w:eastAsia="zh"/>
        </w:rPr>
        <w:t>系统运维服务</w:t>
      </w:r>
    </w:p>
    <w:p w14:paraId="09773FE9">
      <w:pPr>
        <w:bidi w:val="0"/>
        <w:ind w:firstLine="640" w:firstLineChars="200"/>
        <w:rPr>
          <w:rFonts w:hint="eastAsia"/>
        </w:rPr>
      </w:pPr>
      <w:bookmarkStart w:id="13" w:name="_Toc513532898"/>
      <w:bookmarkEnd w:id="13"/>
      <w:bookmarkStart w:id="14" w:name="_Toc386129978"/>
      <w:bookmarkEnd w:id="14"/>
      <w:bookmarkStart w:id="15" w:name="_Toc519006709"/>
      <w:bookmarkEnd w:id="15"/>
      <w:bookmarkStart w:id="16" w:name="_Toc32616"/>
      <w:bookmarkEnd w:id="16"/>
      <w:bookmarkStart w:id="17" w:name="_Toc388867108"/>
      <w:bookmarkEnd w:id="17"/>
      <w:r>
        <w:rPr>
          <w:rFonts w:hint="eastAsia"/>
        </w:rPr>
        <w:t>本合同项下，乙方还须在</w:t>
      </w:r>
      <w:r>
        <w:rPr>
          <w:rFonts w:hint="eastAsia"/>
          <w:lang w:val="en-US" w:eastAsia="zh-CN"/>
        </w:rPr>
        <w:t>固定资产与物资库存管理系统建设服务</w:t>
      </w:r>
      <w:r>
        <w:rPr>
          <w:rFonts w:hint="eastAsia"/>
        </w:rPr>
        <w:t>项目全部竣工验收合格后，为甲方免费提供</w:t>
      </w:r>
      <w:r>
        <w:rPr>
          <w:rFonts w:hint="eastAsia"/>
          <w:lang w:val="en-US" w:eastAsia="zh-CN"/>
        </w:rPr>
        <w:t>1年</w:t>
      </w:r>
      <w:r>
        <w:rPr>
          <w:rFonts w:hint="eastAsia"/>
        </w:rPr>
        <w:t>的平台运维服务，同时应编制《项目总结（运维）报告》验收归档。主要运维服务包括：技术咨询、相关数据更新、平台维护，配合甲方智慧园区业务平台</w:t>
      </w:r>
      <w:r>
        <w:rPr>
          <w:rFonts w:hint="eastAsia"/>
          <w:lang w:eastAsia="zh-CN"/>
        </w:rPr>
        <w:t>、</w:t>
      </w:r>
      <w:r>
        <w:rPr>
          <w:rFonts w:hint="eastAsia"/>
        </w:rPr>
        <w:t>大数据平台进行</w:t>
      </w:r>
      <w:r>
        <w:rPr>
          <w:rFonts w:hint="eastAsia"/>
          <w:lang w:val="en-US" w:eastAsia="zh-CN"/>
        </w:rPr>
        <w:t>数据及平台</w:t>
      </w:r>
      <w:r>
        <w:rPr>
          <w:rFonts w:hint="eastAsia"/>
        </w:rPr>
        <w:t>接口对接并提供技术支撑服务，配合甲方对该平台与甲方相关平台进行整合等。</w:t>
      </w:r>
    </w:p>
    <w:p w14:paraId="6D9F4F21">
      <w:pPr>
        <w:bidi w:val="0"/>
        <w:ind w:firstLine="640" w:firstLineChars="200"/>
        <w:rPr>
          <w:rFonts w:hint="eastAsia"/>
        </w:rPr>
      </w:pPr>
      <w:r>
        <w:rPr>
          <w:rFonts w:hint="eastAsia"/>
        </w:rPr>
        <w:t>免费运维期内本系统若发生问题，</w:t>
      </w:r>
      <w:r>
        <w:rPr>
          <w:rFonts w:hint="eastAsia"/>
          <w:lang w:eastAsia="zh"/>
        </w:rPr>
        <w:t>乙方</w:t>
      </w:r>
      <w:r>
        <w:rPr>
          <w:rFonts w:hint="eastAsia"/>
        </w:rPr>
        <w:t>维修服务需在2小时内进行信息响应，如远程无法解决问题需在12小时内到达现场进行免费维修处理并于8小时内排除故障，使系统正常工作。</w:t>
      </w:r>
    </w:p>
    <w:p w14:paraId="38CAE8FF">
      <w:pPr>
        <w:bidi w:val="0"/>
        <w:ind w:firstLine="640" w:firstLineChars="200"/>
        <w:rPr>
          <w:rFonts w:hint="eastAsia"/>
        </w:rPr>
      </w:pPr>
      <w:r>
        <w:rPr>
          <w:rFonts w:hint="eastAsia"/>
        </w:rPr>
        <w:t>各项服务成果的</w:t>
      </w:r>
      <w:r>
        <w:rPr>
          <w:rFonts w:hint="eastAsia"/>
          <w:lang w:val="en-US" w:eastAsia="zh-CN"/>
        </w:rPr>
        <w:t>1年</w:t>
      </w:r>
      <w:r>
        <w:rPr>
          <w:rFonts w:hint="eastAsia"/>
        </w:rPr>
        <w:t>运维期满后，甲方有权要求乙方继续提供有偿运维服务，延长运维期，运维内容包括但不限于系统的日常运维、系统漏洞修复、版本升级等所有与软件运营维护相关内容。甲方亦有权委托第三方提供后续运维服务，乙方须予以配合。</w:t>
      </w:r>
    </w:p>
    <w:p w14:paraId="3AD22E9D">
      <w:pPr>
        <w:pStyle w:val="3"/>
        <w:bidi w:val="0"/>
        <w:rPr>
          <w:rFonts w:hint="eastAsia"/>
        </w:rPr>
      </w:pPr>
      <w:bookmarkStart w:id="18" w:name="_Hlk118209637"/>
      <w:r>
        <w:rPr>
          <w:rFonts w:hint="eastAsia"/>
          <w:lang w:val="en-US" w:eastAsia="zh-CN"/>
        </w:rPr>
        <w:t>四、</w:t>
      </w:r>
      <w:r>
        <w:rPr>
          <w:rFonts w:hint="eastAsia"/>
        </w:rPr>
        <w:t>服务成果及要求</w:t>
      </w:r>
      <w:bookmarkEnd w:id="18"/>
    </w:p>
    <w:p w14:paraId="2B727B2B">
      <w:pPr>
        <w:pStyle w:val="4"/>
        <w:numPr>
          <w:ilvl w:val="0"/>
          <w:numId w:val="6"/>
        </w:numPr>
        <w:bidi w:val="0"/>
        <w:rPr>
          <w:rFonts w:hint="eastAsia"/>
        </w:rPr>
      </w:pPr>
      <w:r>
        <w:rPr>
          <w:rFonts w:hint="eastAsia"/>
        </w:rPr>
        <w:t>服务成果</w:t>
      </w:r>
    </w:p>
    <w:p w14:paraId="7A519C5A">
      <w:pPr>
        <w:bidi w:val="0"/>
        <w:ind w:firstLine="640" w:firstLineChars="200"/>
        <w:rPr>
          <w:rFonts w:hint="eastAsia" w:ascii="Times New Roman" w:hAnsi="Times New Roman"/>
        </w:rPr>
      </w:pPr>
      <w:r>
        <w:rPr>
          <w:rFonts w:hint="eastAsia" w:ascii="Times New Roman" w:hAnsi="Times New Roman"/>
        </w:rPr>
        <w:t>（1）文本类成果：文本类成果按本合同“四、服务成果及要求”中的“（二）成果提交节点”提供。文本类成果需各提供纸质文本</w:t>
      </w:r>
      <w:r>
        <w:rPr>
          <w:rFonts w:hint="eastAsia" w:ascii="Times New Roman" w:hAnsi="Times New Roman"/>
          <w:lang w:eastAsia="zh"/>
        </w:rPr>
        <w:t>4</w:t>
      </w:r>
      <w:r>
        <w:rPr>
          <w:rFonts w:hint="eastAsia" w:ascii="Times New Roman" w:hAnsi="Times New Roman"/>
        </w:rPr>
        <w:t>份，同时提供可编辑的</w:t>
      </w:r>
      <w:r>
        <w:rPr>
          <w:rFonts w:hint="eastAsia" w:ascii="Times New Roman" w:hAnsi="Times New Roman"/>
          <w:lang w:eastAsia="zh"/>
        </w:rPr>
        <w:t>原</w:t>
      </w:r>
      <w:r>
        <w:rPr>
          <w:rFonts w:hint="eastAsia" w:ascii="Times New Roman" w:hAnsi="Times New Roman"/>
        </w:rPr>
        <w:t>电子文档。</w:t>
      </w:r>
    </w:p>
    <w:p w14:paraId="24E3D787">
      <w:pPr>
        <w:bidi w:val="0"/>
        <w:ind w:firstLine="640" w:firstLineChars="200"/>
        <w:rPr>
          <w:rFonts w:hint="eastAsia" w:ascii="Times New Roman" w:hAnsi="Times New Roman"/>
        </w:rPr>
      </w:pPr>
      <w:r>
        <w:rPr>
          <w:rFonts w:hint="eastAsia" w:ascii="Times New Roman" w:hAnsi="Times New Roman"/>
        </w:rPr>
        <w:t>（2）软件类成果：软件类成果需符合甲方开发要求，满足甲方实际需求，保证软件使用正常，运行流畅；乙方应向甲方提供以下软件类成果：二次开发代源码、软件安装包、第三方软件、SDK包、平台接口文档。乙方保证其提供的软件源代码和软件安装包可以永久正常使用，甲方拥有对上述软件编程成果文件的使用、迭代、二次开发的权利。软件类成果要求：</w:t>
      </w:r>
    </w:p>
    <w:tbl>
      <w:tblPr>
        <w:tblStyle w:val="5"/>
        <w:tblW w:w="8902"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2140"/>
        <w:gridCol w:w="3924"/>
        <w:gridCol w:w="1978"/>
      </w:tblGrid>
      <w:tr w14:paraId="18278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0" w:type="dxa"/>
            <w:tcBorders>
              <w:top w:val="single" w:color="auto" w:sz="12" w:space="0"/>
              <w:left w:val="single" w:color="auto" w:sz="12" w:space="0"/>
              <w:bottom w:val="single" w:color="auto" w:sz="6" w:space="0"/>
              <w:right w:val="single" w:color="auto" w:sz="6" w:space="0"/>
            </w:tcBorders>
            <w:noWrap w:val="0"/>
            <w:vAlign w:val="center"/>
          </w:tcPr>
          <w:p w14:paraId="4C606F2B">
            <w:pPr>
              <w:jc w:val="center"/>
              <w:rPr>
                <w:rFonts w:hint="eastAsia" w:ascii="仿宋" w:hAnsi="仿宋" w:eastAsia="仿宋" w:cs="仿宋"/>
                <w:b/>
                <w:sz w:val="28"/>
                <w:szCs w:val="28"/>
              </w:rPr>
            </w:pPr>
            <w:r>
              <w:rPr>
                <w:rFonts w:hint="eastAsia" w:ascii="仿宋" w:hAnsi="仿宋" w:eastAsia="仿宋" w:cs="仿宋"/>
                <w:b/>
                <w:sz w:val="28"/>
                <w:szCs w:val="28"/>
                <w:lang w:bidi="ar"/>
              </w:rPr>
              <w:t>序号</w:t>
            </w:r>
          </w:p>
        </w:tc>
        <w:tc>
          <w:tcPr>
            <w:tcW w:w="2140" w:type="dxa"/>
            <w:tcBorders>
              <w:top w:val="single" w:color="auto" w:sz="12" w:space="0"/>
              <w:left w:val="single" w:color="auto" w:sz="6" w:space="0"/>
              <w:bottom w:val="single" w:color="auto" w:sz="6" w:space="0"/>
              <w:right w:val="single" w:color="auto" w:sz="6" w:space="0"/>
            </w:tcBorders>
            <w:noWrap w:val="0"/>
            <w:vAlign w:val="center"/>
          </w:tcPr>
          <w:p w14:paraId="78EC36E7">
            <w:pPr>
              <w:jc w:val="center"/>
              <w:rPr>
                <w:rFonts w:hint="eastAsia" w:ascii="仿宋" w:hAnsi="仿宋" w:eastAsia="仿宋" w:cs="仿宋"/>
                <w:b/>
                <w:sz w:val="28"/>
                <w:szCs w:val="28"/>
              </w:rPr>
            </w:pPr>
            <w:r>
              <w:rPr>
                <w:rFonts w:hint="eastAsia" w:ascii="仿宋" w:hAnsi="仿宋" w:eastAsia="仿宋" w:cs="仿宋"/>
                <w:b/>
                <w:sz w:val="28"/>
                <w:szCs w:val="28"/>
                <w:lang w:bidi="ar"/>
              </w:rPr>
              <w:t>项目</w:t>
            </w:r>
          </w:p>
        </w:tc>
        <w:tc>
          <w:tcPr>
            <w:tcW w:w="3924" w:type="dxa"/>
            <w:tcBorders>
              <w:top w:val="single" w:color="auto" w:sz="12" w:space="0"/>
              <w:left w:val="single" w:color="auto" w:sz="6" w:space="0"/>
              <w:bottom w:val="single" w:color="auto" w:sz="6" w:space="0"/>
              <w:right w:val="single" w:color="auto" w:sz="6" w:space="0"/>
            </w:tcBorders>
            <w:noWrap w:val="0"/>
            <w:vAlign w:val="center"/>
          </w:tcPr>
          <w:p w14:paraId="61B68364">
            <w:pPr>
              <w:jc w:val="center"/>
              <w:rPr>
                <w:rFonts w:hint="eastAsia" w:ascii="仿宋" w:hAnsi="仿宋" w:eastAsia="仿宋" w:cs="仿宋"/>
                <w:b/>
                <w:sz w:val="28"/>
                <w:szCs w:val="28"/>
              </w:rPr>
            </w:pPr>
            <w:r>
              <w:rPr>
                <w:rFonts w:hint="eastAsia" w:ascii="仿宋" w:hAnsi="仿宋" w:eastAsia="仿宋" w:cs="仿宋"/>
                <w:b/>
                <w:sz w:val="28"/>
                <w:szCs w:val="28"/>
                <w:lang w:bidi="ar"/>
              </w:rPr>
              <w:t>内容</w:t>
            </w:r>
          </w:p>
        </w:tc>
        <w:tc>
          <w:tcPr>
            <w:tcW w:w="1978" w:type="dxa"/>
            <w:tcBorders>
              <w:top w:val="single" w:color="auto" w:sz="12" w:space="0"/>
              <w:left w:val="single" w:color="auto" w:sz="6" w:space="0"/>
              <w:bottom w:val="single" w:color="auto" w:sz="6" w:space="0"/>
              <w:right w:val="single" w:color="auto" w:sz="12" w:space="0"/>
            </w:tcBorders>
            <w:noWrap w:val="0"/>
            <w:vAlign w:val="center"/>
          </w:tcPr>
          <w:p w14:paraId="5326D049">
            <w:pPr>
              <w:jc w:val="center"/>
              <w:rPr>
                <w:rFonts w:hint="eastAsia" w:ascii="仿宋" w:hAnsi="仿宋" w:eastAsia="仿宋" w:cs="仿宋"/>
                <w:b/>
                <w:sz w:val="28"/>
                <w:szCs w:val="28"/>
              </w:rPr>
            </w:pPr>
            <w:r>
              <w:rPr>
                <w:rFonts w:hint="eastAsia" w:ascii="仿宋" w:hAnsi="仿宋" w:eastAsia="仿宋" w:cs="仿宋"/>
                <w:b/>
                <w:sz w:val="28"/>
                <w:szCs w:val="28"/>
                <w:lang w:bidi="ar"/>
              </w:rPr>
              <w:t>备注</w:t>
            </w:r>
          </w:p>
        </w:tc>
      </w:tr>
      <w:tr w14:paraId="60F7F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0" w:type="dxa"/>
            <w:tcBorders>
              <w:top w:val="single" w:color="auto" w:sz="6" w:space="0"/>
              <w:left w:val="single" w:color="auto" w:sz="12" w:space="0"/>
              <w:bottom w:val="single" w:color="auto" w:sz="6" w:space="0"/>
              <w:right w:val="single" w:color="auto" w:sz="6" w:space="0"/>
            </w:tcBorders>
            <w:noWrap w:val="0"/>
            <w:vAlign w:val="center"/>
          </w:tcPr>
          <w:p w14:paraId="60C83F6B">
            <w:pPr>
              <w:ind w:firstLine="266" w:firstLineChars="95"/>
              <w:jc w:val="both"/>
              <w:rPr>
                <w:rFonts w:hint="eastAsia" w:ascii="仿宋" w:hAnsi="仿宋" w:eastAsia="仿宋" w:cs="仿宋"/>
                <w:sz w:val="28"/>
                <w:szCs w:val="28"/>
              </w:rPr>
            </w:pPr>
            <w:r>
              <w:rPr>
                <w:rFonts w:hint="eastAsia" w:ascii="仿宋" w:hAnsi="仿宋" w:eastAsia="仿宋" w:cs="仿宋"/>
                <w:sz w:val="28"/>
                <w:szCs w:val="28"/>
                <w:lang w:bidi="ar"/>
              </w:rPr>
              <w:t>1</w:t>
            </w:r>
          </w:p>
        </w:tc>
        <w:tc>
          <w:tcPr>
            <w:tcW w:w="2140" w:type="dxa"/>
            <w:tcBorders>
              <w:top w:val="single" w:color="auto" w:sz="6" w:space="0"/>
              <w:left w:val="single" w:color="auto" w:sz="6" w:space="0"/>
              <w:bottom w:val="single" w:color="auto" w:sz="6" w:space="0"/>
              <w:right w:val="single" w:color="auto" w:sz="6" w:space="0"/>
            </w:tcBorders>
            <w:noWrap w:val="0"/>
            <w:vAlign w:val="center"/>
          </w:tcPr>
          <w:p w14:paraId="1D65AEAF">
            <w:pPr>
              <w:rPr>
                <w:rFonts w:hint="eastAsia" w:ascii="仿宋" w:hAnsi="仿宋" w:eastAsia="仿宋" w:cs="仿宋"/>
                <w:sz w:val="28"/>
                <w:szCs w:val="28"/>
              </w:rPr>
            </w:pPr>
            <w:r>
              <w:rPr>
                <w:rFonts w:hint="eastAsia" w:ascii="仿宋" w:hAnsi="仿宋" w:eastAsia="仿宋" w:cs="仿宋"/>
                <w:sz w:val="28"/>
                <w:szCs w:val="28"/>
                <w:lang w:bidi="ar"/>
              </w:rPr>
              <w:t>本项目平台软件安装文件</w:t>
            </w:r>
          </w:p>
        </w:tc>
        <w:tc>
          <w:tcPr>
            <w:tcW w:w="3924" w:type="dxa"/>
            <w:tcBorders>
              <w:top w:val="single" w:color="auto" w:sz="6" w:space="0"/>
              <w:left w:val="single" w:color="auto" w:sz="6" w:space="0"/>
              <w:bottom w:val="single" w:color="auto" w:sz="6" w:space="0"/>
              <w:right w:val="single" w:color="auto" w:sz="6" w:space="0"/>
            </w:tcBorders>
            <w:noWrap w:val="0"/>
            <w:vAlign w:val="center"/>
          </w:tcPr>
          <w:p w14:paraId="4DB55C70">
            <w:pPr>
              <w:rPr>
                <w:rFonts w:hint="eastAsia" w:ascii="仿宋" w:hAnsi="仿宋" w:eastAsia="仿宋" w:cs="仿宋"/>
                <w:sz w:val="28"/>
                <w:szCs w:val="28"/>
              </w:rPr>
            </w:pPr>
            <w:r>
              <w:rPr>
                <w:rFonts w:hint="eastAsia" w:ascii="仿宋" w:hAnsi="仿宋" w:eastAsia="仿宋" w:cs="仿宋"/>
                <w:sz w:val="28"/>
                <w:szCs w:val="28"/>
                <w:lang w:bidi="ar"/>
              </w:rPr>
              <w:t>包含：可进行离线安装的本项目部署安装包及自动安装配置脚本</w:t>
            </w:r>
          </w:p>
        </w:tc>
        <w:tc>
          <w:tcPr>
            <w:tcW w:w="1978" w:type="dxa"/>
            <w:vMerge w:val="restart"/>
            <w:tcBorders>
              <w:top w:val="single" w:color="auto" w:sz="6" w:space="0"/>
              <w:left w:val="single" w:color="auto" w:sz="6" w:space="0"/>
              <w:bottom w:val="single" w:color="auto" w:sz="6" w:space="0"/>
              <w:right w:val="single" w:color="auto" w:sz="12" w:space="0"/>
            </w:tcBorders>
            <w:noWrap w:val="0"/>
            <w:vAlign w:val="center"/>
          </w:tcPr>
          <w:p w14:paraId="50FADBE3">
            <w:pPr>
              <w:rPr>
                <w:rFonts w:hint="eastAsia" w:ascii="仿宋" w:hAnsi="仿宋" w:eastAsia="仿宋" w:cs="仿宋"/>
                <w:sz w:val="28"/>
                <w:szCs w:val="28"/>
              </w:rPr>
            </w:pPr>
            <w:r>
              <w:rPr>
                <w:rFonts w:hint="eastAsia" w:ascii="仿宋" w:hAnsi="仿宋" w:eastAsia="仿宋" w:cs="仿宋"/>
                <w:sz w:val="28"/>
                <w:szCs w:val="28"/>
                <w:lang w:bidi="ar"/>
              </w:rPr>
              <w:t>软件永久使用授权，不受系统配置用户数量限制，提供安装光盘。</w:t>
            </w:r>
          </w:p>
        </w:tc>
      </w:tr>
      <w:tr w14:paraId="6C87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5" w:hRule="atLeast"/>
        </w:trPr>
        <w:tc>
          <w:tcPr>
            <w:tcW w:w="860" w:type="dxa"/>
            <w:tcBorders>
              <w:top w:val="single" w:color="auto" w:sz="6" w:space="0"/>
              <w:left w:val="single" w:color="auto" w:sz="12" w:space="0"/>
              <w:bottom w:val="single" w:color="auto" w:sz="6" w:space="0"/>
              <w:right w:val="single" w:color="auto" w:sz="6" w:space="0"/>
            </w:tcBorders>
            <w:noWrap w:val="0"/>
            <w:vAlign w:val="center"/>
          </w:tcPr>
          <w:p w14:paraId="65149AB7">
            <w:pPr>
              <w:ind w:firstLine="266" w:firstLineChars="95"/>
              <w:jc w:val="both"/>
              <w:rPr>
                <w:rFonts w:hint="eastAsia" w:ascii="仿宋" w:hAnsi="仿宋" w:eastAsia="仿宋" w:cs="仿宋"/>
                <w:sz w:val="28"/>
                <w:szCs w:val="28"/>
              </w:rPr>
            </w:pPr>
            <w:r>
              <w:rPr>
                <w:rFonts w:hint="eastAsia" w:ascii="仿宋" w:hAnsi="仿宋" w:eastAsia="仿宋" w:cs="仿宋"/>
                <w:sz w:val="28"/>
                <w:szCs w:val="28"/>
                <w:lang w:bidi="ar"/>
              </w:rPr>
              <w:t>2</w:t>
            </w:r>
          </w:p>
        </w:tc>
        <w:tc>
          <w:tcPr>
            <w:tcW w:w="2140" w:type="dxa"/>
            <w:tcBorders>
              <w:top w:val="single" w:color="auto" w:sz="6" w:space="0"/>
              <w:left w:val="single" w:color="auto" w:sz="6" w:space="0"/>
              <w:bottom w:val="single" w:color="auto" w:sz="6" w:space="0"/>
              <w:right w:val="single" w:color="auto" w:sz="6" w:space="0"/>
            </w:tcBorders>
            <w:noWrap w:val="0"/>
            <w:vAlign w:val="center"/>
          </w:tcPr>
          <w:p w14:paraId="3CAA72AB">
            <w:pPr>
              <w:rPr>
                <w:rFonts w:hint="eastAsia" w:ascii="仿宋" w:hAnsi="仿宋" w:eastAsia="仿宋" w:cs="仿宋"/>
                <w:sz w:val="28"/>
                <w:szCs w:val="28"/>
              </w:rPr>
            </w:pPr>
            <w:r>
              <w:rPr>
                <w:rFonts w:hint="eastAsia" w:ascii="仿宋" w:hAnsi="仿宋" w:eastAsia="仿宋" w:cs="仿宋"/>
                <w:sz w:val="28"/>
                <w:szCs w:val="28"/>
                <w:lang w:bidi="ar"/>
              </w:rPr>
              <w:t>本项目约定提交的源代码文件</w:t>
            </w:r>
          </w:p>
        </w:tc>
        <w:tc>
          <w:tcPr>
            <w:tcW w:w="3924" w:type="dxa"/>
            <w:tcBorders>
              <w:top w:val="single" w:color="auto" w:sz="6" w:space="0"/>
              <w:left w:val="single" w:color="auto" w:sz="6" w:space="0"/>
              <w:bottom w:val="single" w:color="auto" w:sz="6" w:space="0"/>
              <w:right w:val="single" w:color="auto" w:sz="6" w:space="0"/>
            </w:tcBorders>
            <w:noWrap w:val="0"/>
            <w:vAlign w:val="center"/>
          </w:tcPr>
          <w:p w14:paraId="323B641A">
            <w:pPr>
              <w:rPr>
                <w:rFonts w:hint="eastAsia" w:ascii="仿宋" w:hAnsi="仿宋" w:eastAsia="仿宋" w:cs="仿宋"/>
                <w:sz w:val="28"/>
                <w:szCs w:val="28"/>
              </w:rPr>
            </w:pPr>
            <w:r>
              <w:rPr>
                <w:rFonts w:hint="eastAsia" w:ascii="仿宋" w:hAnsi="仿宋" w:eastAsia="仿宋" w:cs="仿宋"/>
                <w:sz w:val="28"/>
                <w:szCs w:val="28"/>
                <w:lang w:bidi="ar"/>
              </w:rPr>
              <w:t>包括但不限于软件</w:t>
            </w:r>
            <w:r>
              <w:rPr>
                <w:rFonts w:hint="eastAsia" w:ascii="仿宋" w:hAnsi="仿宋" w:eastAsia="仿宋" w:cs="仿宋"/>
                <w:sz w:val="28"/>
                <w:szCs w:val="28"/>
                <w:lang w:val="en-US" w:eastAsia="zh-CN" w:bidi="ar"/>
              </w:rPr>
              <w:t>二次开发</w:t>
            </w:r>
            <w:r>
              <w:rPr>
                <w:rFonts w:hint="eastAsia" w:ascii="仿宋" w:hAnsi="仿宋" w:eastAsia="仿宋" w:cs="仿宋"/>
                <w:sz w:val="28"/>
                <w:szCs w:val="28"/>
                <w:lang w:bidi="ar"/>
              </w:rPr>
              <w:t>源代码、编译文件、部署安装脚本、配置文件、测试代码</w:t>
            </w:r>
          </w:p>
        </w:tc>
        <w:tc>
          <w:tcPr>
            <w:tcW w:w="1978" w:type="dxa"/>
            <w:vMerge w:val="continue"/>
            <w:tcBorders>
              <w:top w:val="single" w:color="auto" w:sz="6" w:space="0"/>
              <w:left w:val="single" w:color="auto" w:sz="6" w:space="0"/>
              <w:bottom w:val="single" w:color="auto" w:sz="6" w:space="0"/>
              <w:right w:val="single" w:color="auto" w:sz="12" w:space="0"/>
            </w:tcBorders>
            <w:noWrap w:val="0"/>
            <w:vAlign w:val="center"/>
          </w:tcPr>
          <w:p w14:paraId="7F752071">
            <w:pPr>
              <w:rPr>
                <w:rFonts w:hint="eastAsia" w:ascii="仿宋" w:hAnsi="仿宋" w:eastAsia="仿宋" w:cs="仿宋"/>
                <w:sz w:val="28"/>
                <w:szCs w:val="28"/>
              </w:rPr>
            </w:pPr>
          </w:p>
        </w:tc>
      </w:tr>
      <w:tr w14:paraId="1FC40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3" w:hRule="atLeast"/>
        </w:trPr>
        <w:tc>
          <w:tcPr>
            <w:tcW w:w="860" w:type="dxa"/>
            <w:tcBorders>
              <w:top w:val="single" w:color="auto" w:sz="6" w:space="0"/>
              <w:left w:val="single" w:color="auto" w:sz="12" w:space="0"/>
              <w:bottom w:val="single" w:color="auto" w:sz="6" w:space="0"/>
              <w:right w:val="single" w:color="auto" w:sz="6" w:space="0"/>
            </w:tcBorders>
            <w:noWrap w:val="0"/>
            <w:vAlign w:val="center"/>
          </w:tcPr>
          <w:p w14:paraId="414DBC2B">
            <w:pPr>
              <w:ind w:firstLine="266" w:firstLineChars="95"/>
              <w:jc w:val="both"/>
              <w:rPr>
                <w:rFonts w:hint="eastAsia" w:ascii="仿宋" w:hAnsi="仿宋" w:eastAsia="仿宋" w:cs="仿宋"/>
                <w:sz w:val="28"/>
                <w:szCs w:val="28"/>
                <w:lang w:bidi="ar"/>
              </w:rPr>
            </w:pPr>
            <w:r>
              <w:rPr>
                <w:rFonts w:hint="eastAsia" w:ascii="仿宋" w:hAnsi="仿宋" w:eastAsia="仿宋" w:cs="仿宋"/>
                <w:sz w:val="28"/>
                <w:szCs w:val="28"/>
                <w:lang w:bidi="ar"/>
              </w:rPr>
              <w:t>3</w:t>
            </w:r>
          </w:p>
        </w:tc>
        <w:tc>
          <w:tcPr>
            <w:tcW w:w="2140" w:type="dxa"/>
            <w:tcBorders>
              <w:top w:val="single" w:color="auto" w:sz="6" w:space="0"/>
              <w:left w:val="single" w:color="auto" w:sz="6" w:space="0"/>
              <w:bottom w:val="single" w:color="auto" w:sz="6" w:space="0"/>
              <w:right w:val="single" w:color="auto" w:sz="6" w:space="0"/>
            </w:tcBorders>
            <w:noWrap w:val="0"/>
            <w:vAlign w:val="center"/>
          </w:tcPr>
          <w:p w14:paraId="077FDFB0">
            <w:pPr>
              <w:rPr>
                <w:rFonts w:hint="eastAsia" w:ascii="仿宋" w:hAnsi="仿宋" w:eastAsia="仿宋" w:cs="仿宋"/>
                <w:sz w:val="28"/>
                <w:szCs w:val="28"/>
                <w:lang w:bidi="ar"/>
              </w:rPr>
            </w:pPr>
            <w:r>
              <w:rPr>
                <w:rFonts w:hint="eastAsia" w:ascii="仿宋" w:hAnsi="仿宋" w:eastAsia="仿宋" w:cs="仿宋"/>
                <w:sz w:val="28"/>
                <w:szCs w:val="28"/>
                <w:lang w:bidi="ar"/>
              </w:rPr>
              <w:t>平台接口文档</w:t>
            </w:r>
          </w:p>
        </w:tc>
        <w:tc>
          <w:tcPr>
            <w:tcW w:w="3924" w:type="dxa"/>
            <w:tcBorders>
              <w:top w:val="single" w:color="auto" w:sz="6" w:space="0"/>
              <w:left w:val="single" w:color="auto" w:sz="6" w:space="0"/>
              <w:bottom w:val="single" w:color="auto" w:sz="6" w:space="0"/>
              <w:right w:val="single" w:color="auto" w:sz="6" w:space="0"/>
            </w:tcBorders>
            <w:noWrap w:val="0"/>
            <w:vAlign w:val="center"/>
          </w:tcPr>
          <w:p w14:paraId="288F70B1">
            <w:pPr>
              <w:rPr>
                <w:rFonts w:hint="eastAsia" w:ascii="仿宋" w:hAnsi="仿宋" w:eastAsia="仿宋" w:cs="仿宋"/>
                <w:sz w:val="28"/>
                <w:szCs w:val="28"/>
                <w:lang w:bidi="ar"/>
              </w:rPr>
            </w:pPr>
            <w:r>
              <w:rPr>
                <w:rFonts w:hint="eastAsia" w:ascii="仿宋" w:hAnsi="仿宋" w:eastAsia="仿宋" w:cs="仿宋"/>
                <w:sz w:val="28"/>
                <w:szCs w:val="28"/>
                <w:lang w:bidi="ar"/>
              </w:rPr>
              <w:t>包含但不限于软件</w:t>
            </w:r>
            <w:r>
              <w:rPr>
                <w:rStyle w:val="7"/>
                <w:rFonts w:hint="eastAsia" w:ascii="仿宋" w:hAnsi="仿宋" w:eastAsia="仿宋" w:cs="仿宋"/>
                <w:b w:val="0"/>
                <w:color w:val="05073B"/>
                <w:sz w:val="28"/>
                <w:szCs w:val="28"/>
                <w:lang w:bidi="ar"/>
              </w:rPr>
              <w:t>接口定义、接口版本、调用方式、地址、请求参数说明、权限控制</w:t>
            </w:r>
          </w:p>
        </w:tc>
        <w:tc>
          <w:tcPr>
            <w:tcW w:w="1978" w:type="dxa"/>
            <w:tcBorders>
              <w:top w:val="single" w:color="auto" w:sz="6" w:space="0"/>
              <w:left w:val="single" w:color="auto" w:sz="6" w:space="0"/>
              <w:bottom w:val="single" w:color="auto" w:sz="6" w:space="0"/>
              <w:right w:val="single" w:color="auto" w:sz="12" w:space="0"/>
            </w:tcBorders>
            <w:noWrap w:val="0"/>
            <w:vAlign w:val="center"/>
          </w:tcPr>
          <w:p w14:paraId="3543286C">
            <w:pPr>
              <w:rPr>
                <w:rFonts w:hint="eastAsia" w:ascii="仿宋" w:hAnsi="仿宋" w:eastAsia="仿宋" w:cs="仿宋"/>
                <w:sz w:val="28"/>
                <w:szCs w:val="28"/>
              </w:rPr>
            </w:pPr>
          </w:p>
        </w:tc>
      </w:tr>
      <w:tr w14:paraId="77411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8" w:hRule="atLeast"/>
        </w:trPr>
        <w:tc>
          <w:tcPr>
            <w:tcW w:w="860" w:type="dxa"/>
            <w:tcBorders>
              <w:top w:val="single" w:color="auto" w:sz="6" w:space="0"/>
              <w:left w:val="single" w:color="auto" w:sz="12" w:space="0"/>
              <w:bottom w:val="single" w:color="auto" w:sz="6" w:space="0"/>
              <w:right w:val="single" w:color="auto" w:sz="6" w:space="0"/>
            </w:tcBorders>
            <w:noWrap w:val="0"/>
            <w:vAlign w:val="center"/>
          </w:tcPr>
          <w:p w14:paraId="38D4D152">
            <w:pPr>
              <w:ind w:firstLine="266" w:firstLineChars="95"/>
              <w:jc w:val="both"/>
              <w:rPr>
                <w:rFonts w:hint="eastAsia" w:ascii="仿宋" w:hAnsi="仿宋" w:eastAsia="仿宋" w:cs="仿宋"/>
                <w:sz w:val="28"/>
                <w:szCs w:val="28"/>
              </w:rPr>
            </w:pPr>
            <w:r>
              <w:rPr>
                <w:rFonts w:hint="eastAsia" w:ascii="仿宋" w:hAnsi="仿宋" w:eastAsia="仿宋" w:cs="仿宋"/>
                <w:sz w:val="28"/>
                <w:szCs w:val="28"/>
                <w:lang w:bidi="ar"/>
              </w:rPr>
              <w:t>4</w:t>
            </w:r>
          </w:p>
        </w:tc>
        <w:tc>
          <w:tcPr>
            <w:tcW w:w="2140" w:type="dxa"/>
            <w:tcBorders>
              <w:top w:val="single" w:color="auto" w:sz="6" w:space="0"/>
              <w:left w:val="single" w:color="auto" w:sz="6" w:space="0"/>
              <w:bottom w:val="single" w:color="auto" w:sz="6" w:space="0"/>
              <w:right w:val="single" w:color="auto" w:sz="6" w:space="0"/>
            </w:tcBorders>
            <w:noWrap w:val="0"/>
            <w:vAlign w:val="center"/>
          </w:tcPr>
          <w:p w14:paraId="4A9721AC">
            <w:pPr>
              <w:rPr>
                <w:rFonts w:hint="eastAsia" w:ascii="仿宋" w:hAnsi="仿宋" w:eastAsia="仿宋" w:cs="仿宋"/>
                <w:sz w:val="28"/>
                <w:szCs w:val="28"/>
              </w:rPr>
            </w:pPr>
            <w:r>
              <w:rPr>
                <w:rFonts w:hint="eastAsia" w:ascii="仿宋" w:hAnsi="仿宋" w:eastAsia="仿宋" w:cs="仿宋"/>
                <w:sz w:val="28"/>
                <w:szCs w:val="28"/>
                <w:lang w:bidi="ar"/>
              </w:rPr>
              <w:t>第三方软件</w:t>
            </w:r>
          </w:p>
        </w:tc>
        <w:tc>
          <w:tcPr>
            <w:tcW w:w="3924" w:type="dxa"/>
            <w:tcBorders>
              <w:top w:val="single" w:color="auto" w:sz="6" w:space="0"/>
              <w:left w:val="single" w:color="auto" w:sz="6" w:space="0"/>
              <w:bottom w:val="single" w:color="auto" w:sz="6" w:space="0"/>
              <w:right w:val="single" w:color="auto" w:sz="6" w:space="0"/>
            </w:tcBorders>
            <w:noWrap w:val="0"/>
            <w:vAlign w:val="center"/>
          </w:tcPr>
          <w:p w14:paraId="77757D8D">
            <w:pPr>
              <w:rPr>
                <w:rFonts w:hint="eastAsia" w:ascii="仿宋" w:hAnsi="仿宋" w:eastAsia="仿宋" w:cs="仿宋"/>
                <w:sz w:val="28"/>
                <w:szCs w:val="28"/>
              </w:rPr>
            </w:pPr>
            <w:r>
              <w:rPr>
                <w:rFonts w:hint="eastAsia" w:ascii="仿宋" w:hAnsi="仿宋" w:eastAsia="仿宋" w:cs="仿宋"/>
                <w:sz w:val="28"/>
                <w:szCs w:val="28"/>
                <w:lang w:bidi="ar"/>
              </w:rPr>
              <w:t>支撑系统正常运行的必要的中间件、其他支撑软件或工具软件等</w:t>
            </w:r>
          </w:p>
        </w:tc>
        <w:tc>
          <w:tcPr>
            <w:tcW w:w="1978" w:type="dxa"/>
            <w:tcBorders>
              <w:top w:val="single" w:color="auto" w:sz="6" w:space="0"/>
              <w:left w:val="single" w:color="auto" w:sz="6" w:space="0"/>
              <w:bottom w:val="single" w:color="auto" w:sz="6" w:space="0"/>
              <w:right w:val="single" w:color="auto" w:sz="12" w:space="0"/>
            </w:tcBorders>
            <w:noWrap w:val="0"/>
            <w:vAlign w:val="center"/>
          </w:tcPr>
          <w:p w14:paraId="4C6A9E11">
            <w:pPr>
              <w:rPr>
                <w:rFonts w:hint="eastAsia" w:ascii="仿宋" w:hAnsi="仿宋" w:eastAsia="仿宋" w:cs="仿宋"/>
                <w:sz w:val="28"/>
                <w:szCs w:val="28"/>
              </w:rPr>
            </w:pPr>
          </w:p>
        </w:tc>
      </w:tr>
    </w:tbl>
    <w:p w14:paraId="5B7F2407">
      <w:pPr>
        <w:bidi w:val="0"/>
        <w:ind w:firstLine="640" w:firstLineChars="200"/>
      </w:pPr>
      <w:r>
        <w:rPr>
          <w:rFonts w:hint="eastAsia"/>
        </w:rPr>
        <w:t>乙方需在甲方指定的机房完成</w:t>
      </w:r>
      <w:r>
        <w:rPr>
          <w:rFonts w:hint="eastAsia"/>
          <w:lang w:val="en-US" w:eastAsia="zh-CN"/>
        </w:rPr>
        <w:t>固定资产与物资库存管理平台</w:t>
      </w:r>
      <w:r>
        <w:rPr>
          <w:rFonts w:hint="eastAsia"/>
        </w:rPr>
        <w:t>所需的服务器部署上架以及服务器配置，并提交服务器安装配置清单。</w:t>
      </w:r>
    </w:p>
    <w:p w14:paraId="7F784626">
      <w:pPr>
        <w:pStyle w:val="4"/>
        <w:numPr>
          <w:ilvl w:val="0"/>
          <w:numId w:val="6"/>
        </w:numPr>
        <w:bidi w:val="0"/>
      </w:pPr>
      <w:r>
        <w:rPr>
          <w:rFonts w:hint="eastAsia"/>
        </w:rPr>
        <w:t>成果提交节点</w:t>
      </w:r>
    </w:p>
    <w:p w14:paraId="69A38C91">
      <w:pPr>
        <w:numPr>
          <w:ilvl w:val="0"/>
          <w:numId w:val="7"/>
        </w:numPr>
        <w:bidi w:val="0"/>
        <w:rPr>
          <w:rFonts w:hint="eastAsia"/>
        </w:rPr>
      </w:pPr>
      <w:r>
        <w:rPr>
          <w:rFonts w:hint="eastAsia"/>
        </w:rPr>
        <w:t>第一节点（需求</w:t>
      </w:r>
      <w:r>
        <w:rPr>
          <w:rFonts w:hint="eastAsia"/>
          <w:lang w:val="en-US" w:eastAsia="zh-CN"/>
        </w:rPr>
        <w:t>方案</w:t>
      </w:r>
      <w:r>
        <w:rPr>
          <w:rFonts w:hint="eastAsia"/>
        </w:rPr>
        <w:t>节点）：乙方应在合同签订之日起1个月内，完成需求调研并提交《需求调研报告》</w:t>
      </w:r>
      <w:r>
        <w:rPr>
          <w:rFonts w:hint="eastAsia"/>
          <w:lang w:eastAsia="zh-CN"/>
        </w:rPr>
        <w:t>、</w:t>
      </w:r>
      <w:r>
        <w:rPr>
          <w:rFonts w:hint="eastAsia"/>
        </w:rPr>
        <w:t>《需求规格说明书》</w:t>
      </w:r>
      <w:r>
        <w:rPr>
          <w:rFonts w:hint="eastAsia"/>
          <w:lang w:val="en-US" w:eastAsia="zh-CN"/>
        </w:rPr>
        <w:t>以及《</w:t>
      </w:r>
      <w:r>
        <w:rPr>
          <w:rFonts w:hint="eastAsia"/>
        </w:rPr>
        <w:t>平台建设服务方案》，并经甲方验收合格后书面确认，书面确认后方可视为完成并进入下一成果提交节点。</w:t>
      </w:r>
    </w:p>
    <w:p w14:paraId="21F1828B">
      <w:pPr>
        <w:numPr>
          <w:ilvl w:val="0"/>
          <w:numId w:val="7"/>
        </w:numPr>
        <w:bidi w:val="0"/>
        <w:rPr>
          <w:rFonts w:hint="eastAsia"/>
        </w:rPr>
      </w:pPr>
      <w:r>
        <w:rPr>
          <w:rFonts w:hint="eastAsia"/>
        </w:rPr>
        <w:t>第</w:t>
      </w:r>
      <w:r>
        <w:rPr>
          <w:rFonts w:hint="eastAsia"/>
          <w:lang w:val="en-US" w:eastAsia="zh-CN"/>
        </w:rPr>
        <w:t>二</w:t>
      </w:r>
      <w:r>
        <w:rPr>
          <w:rFonts w:hint="eastAsia"/>
        </w:rPr>
        <w:t>节点（平台实施节点）：第</w:t>
      </w:r>
      <w:r>
        <w:rPr>
          <w:rFonts w:hint="eastAsia"/>
          <w:lang w:val="en-US" w:eastAsia="zh-CN"/>
        </w:rPr>
        <w:t>一</w:t>
      </w:r>
      <w:r>
        <w:rPr>
          <w:rFonts w:hint="eastAsia"/>
        </w:rPr>
        <w:t>节点成果完成之日起</w:t>
      </w:r>
      <w:r>
        <w:rPr>
          <w:rFonts w:hint="eastAsia"/>
          <w:lang w:val="en-US" w:eastAsia="zh-CN"/>
        </w:rPr>
        <w:t>2</w:t>
      </w:r>
      <w:r>
        <w:rPr>
          <w:rFonts w:hint="eastAsia"/>
        </w:rPr>
        <w:t>个月内，完成</w:t>
      </w:r>
      <w:r>
        <w:rPr>
          <w:rFonts w:hint="eastAsia"/>
          <w:lang w:val="en-US" w:eastAsia="zh-CN"/>
        </w:rPr>
        <w:t>固定资产与物资库存管理平台二次</w:t>
      </w:r>
      <w:r>
        <w:rPr>
          <w:rFonts w:hint="eastAsia"/>
        </w:rPr>
        <w:t>开发，</w:t>
      </w:r>
      <w:r>
        <w:rPr>
          <w:rFonts w:hint="eastAsia"/>
          <w:lang w:val="en-US" w:eastAsia="zh-CN"/>
        </w:rPr>
        <w:t>平台部署及数据配置，相关配套硬件到货、</w:t>
      </w:r>
      <w:r>
        <w:rPr>
          <w:rFonts w:hint="eastAsia"/>
        </w:rPr>
        <w:t>向甲方演示平台功能，并提交《</w:t>
      </w:r>
      <w:r>
        <w:rPr>
          <w:rFonts w:hint="eastAsia"/>
          <w:lang w:val="en-US" w:eastAsia="zh-CN"/>
        </w:rPr>
        <w:t>二次开发</w:t>
      </w:r>
      <w:r>
        <w:rPr>
          <w:rFonts w:hint="eastAsia"/>
        </w:rPr>
        <w:t>源代码及说明文档移交清单》</w:t>
      </w:r>
      <w:r>
        <w:rPr>
          <w:rFonts w:hint="eastAsia"/>
          <w:lang w:eastAsia="zh-CN"/>
        </w:rPr>
        <w:t>、《</w:t>
      </w:r>
      <w:r>
        <w:rPr>
          <w:rFonts w:hint="eastAsia"/>
          <w:lang w:val="en-US" w:eastAsia="zh-CN"/>
        </w:rPr>
        <w:t>配套硬件收货单</w:t>
      </w:r>
      <w:r>
        <w:rPr>
          <w:rFonts w:hint="eastAsia"/>
          <w:lang w:eastAsia="zh-CN"/>
        </w:rPr>
        <w:t>》、</w:t>
      </w:r>
      <w:r>
        <w:rPr>
          <w:rFonts w:hint="eastAsia"/>
        </w:rPr>
        <w:t>《安装部署指导文档》《产品说明书》《平台自检报告》，并经甲方验收合格后书面确认，书面确认后方可视为完成并进入下一成果提交节点。</w:t>
      </w:r>
    </w:p>
    <w:p w14:paraId="63E174DF">
      <w:pPr>
        <w:numPr>
          <w:ilvl w:val="0"/>
          <w:numId w:val="7"/>
        </w:numPr>
        <w:bidi w:val="0"/>
        <w:rPr>
          <w:rFonts w:hint="eastAsia"/>
        </w:rPr>
      </w:pPr>
      <w:r>
        <w:rPr>
          <w:rFonts w:hint="eastAsia"/>
        </w:rPr>
        <w:t>第</w:t>
      </w:r>
      <w:r>
        <w:rPr>
          <w:rFonts w:hint="eastAsia"/>
          <w:lang w:val="en-US" w:eastAsia="zh-CN"/>
        </w:rPr>
        <w:t>三</w:t>
      </w:r>
      <w:r>
        <w:rPr>
          <w:rFonts w:hint="eastAsia"/>
        </w:rPr>
        <w:t>节点（试运行节点）：第</w:t>
      </w:r>
      <w:r>
        <w:rPr>
          <w:rFonts w:hint="eastAsia"/>
          <w:lang w:val="en-US" w:eastAsia="zh-CN"/>
        </w:rPr>
        <w:t>二</w:t>
      </w:r>
      <w:r>
        <w:rPr>
          <w:rFonts w:hint="eastAsia"/>
        </w:rPr>
        <w:t>节点成果完成之日起</w:t>
      </w:r>
      <w:r>
        <w:rPr>
          <w:rFonts w:hint="eastAsia"/>
          <w:lang w:val="en-US" w:eastAsia="zh-CN"/>
        </w:rPr>
        <w:t>2</w:t>
      </w:r>
      <w:r>
        <w:rPr>
          <w:rFonts w:hint="eastAsia"/>
        </w:rPr>
        <w:t>个月内，完成试运行期间的平台错误修复，针对甲方反馈问题完成平台优化，完成平台用户培训，提交《</w:t>
      </w:r>
      <w:r>
        <w:rPr>
          <w:rFonts w:hint="eastAsia"/>
          <w:lang w:val="en-US" w:eastAsia="zh-CN"/>
        </w:rPr>
        <w:t>试运行</w:t>
      </w:r>
      <w:r>
        <w:rPr>
          <w:rFonts w:hint="eastAsia"/>
        </w:rPr>
        <w:t>报告及整改记录》《平台上线总结报告》《平台（初步）验收报告》《用户使用操作手册》《平台运行维护手册》《培训记录及签到表》，并经甲方验收合格后书面确认，书面确认后方可视为完成并进入下一成果提交节点。</w:t>
      </w:r>
    </w:p>
    <w:p w14:paraId="43AD2B62">
      <w:pPr>
        <w:numPr>
          <w:ilvl w:val="0"/>
          <w:numId w:val="7"/>
        </w:numPr>
        <w:bidi w:val="0"/>
      </w:pPr>
      <w:r>
        <w:rPr>
          <w:rFonts w:hint="eastAsia"/>
        </w:rPr>
        <w:t>第</w:t>
      </w:r>
      <w:r>
        <w:rPr>
          <w:rFonts w:hint="eastAsia"/>
          <w:lang w:val="en-US" w:eastAsia="zh-CN"/>
        </w:rPr>
        <w:t>四</w:t>
      </w:r>
      <w:r>
        <w:rPr>
          <w:rFonts w:hint="eastAsia"/>
        </w:rPr>
        <w:t>节点（竣工验收节点）：第</w:t>
      </w:r>
      <w:r>
        <w:rPr>
          <w:rFonts w:hint="eastAsia"/>
          <w:lang w:val="en-US" w:eastAsia="zh-CN"/>
        </w:rPr>
        <w:t>三</w:t>
      </w:r>
      <w:r>
        <w:rPr>
          <w:rFonts w:hint="eastAsia"/>
        </w:rPr>
        <w:t>节点成果完成之日起1个月内，完成竣工验收，提交平台以及以及上述“（一）服务成果”所列软件类成果，提交《竣工验收方案》《竣工验收报告》，并经甲方验收合格后书面确认，书面确认后方可视为完成并进入下一成果提交节点。</w:t>
      </w:r>
    </w:p>
    <w:p w14:paraId="245FD0F6">
      <w:pPr>
        <w:numPr>
          <w:ilvl w:val="0"/>
          <w:numId w:val="7"/>
        </w:numPr>
        <w:bidi w:val="0"/>
      </w:pPr>
      <w:r>
        <w:rPr>
          <w:rFonts w:hint="eastAsia"/>
        </w:rPr>
        <w:t>第</w:t>
      </w:r>
      <w:r>
        <w:rPr>
          <w:rFonts w:hint="eastAsia"/>
          <w:lang w:val="en-US" w:eastAsia="zh-CN"/>
        </w:rPr>
        <w:t>五</w:t>
      </w:r>
      <w:r>
        <w:rPr>
          <w:rFonts w:hint="eastAsia"/>
        </w:rPr>
        <w:t>节点(运行维护节点)：第</w:t>
      </w:r>
      <w:r>
        <w:rPr>
          <w:rFonts w:hint="eastAsia"/>
          <w:lang w:val="en-US" w:eastAsia="zh-CN"/>
        </w:rPr>
        <w:t>四</w:t>
      </w:r>
      <w:r>
        <w:rPr>
          <w:rFonts w:hint="eastAsia"/>
        </w:rPr>
        <w:t>节点成果完成后，项目进入</w:t>
      </w:r>
      <w:r>
        <w:rPr>
          <w:rFonts w:hint="eastAsia"/>
          <w:lang w:val="en-US" w:eastAsia="zh-CN"/>
        </w:rPr>
        <w:t>1年</w:t>
      </w:r>
      <w:r>
        <w:rPr>
          <w:rFonts w:hint="eastAsia"/>
        </w:rPr>
        <w:t>运行维护期，运维期间，乙方每月向甲方提交《月度运维报告》。维护期结束后，乙方提供《项目总结（运维）报告》。</w:t>
      </w:r>
    </w:p>
    <w:p w14:paraId="719969D8">
      <w:pPr>
        <w:numPr>
          <w:ilvl w:val="0"/>
          <w:numId w:val="0"/>
        </w:numPr>
        <w:bidi w:val="0"/>
        <w:ind w:leftChars="0" w:firstLine="640" w:firstLineChars="200"/>
      </w:pPr>
      <w:r>
        <w:rPr>
          <w:rFonts w:hint="eastAsia"/>
        </w:rPr>
        <w:t>以上节点完成过程中，若由于客观原因导致项目实际执行内容与合同约定内容不一致需要进行变更的，乙方需向甲方提交变更申请报告，以及变更审批文件，甲方书面同意后方可进行变更。</w:t>
      </w:r>
    </w:p>
    <w:p w14:paraId="26DB33B5">
      <w:pPr>
        <w:pStyle w:val="3"/>
        <w:bidi w:val="0"/>
        <w:rPr>
          <w:rFonts w:hint="eastAsia"/>
        </w:rPr>
      </w:pPr>
      <w:r>
        <w:rPr>
          <w:rFonts w:hint="eastAsia"/>
          <w:lang w:val="en-US" w:eastAsia="zh-CN"/>
        </w:rPr>
        <w:t>五、</w:t>
      </w:r>
      <w:r>
        <w:rPr>
          <w:rFonts w:hint="eastAsia"/>
        </w:rPr>
        <w:t>服务期限</w:t>
      </w:r>
    </w:p>
    <w:p w14:paraId="598ABBCE">
      <w:pPr>
        <w:bidi w:val="0"/>
        <w:rPr>
          <w:rFonts w:hint="eastAsia"/>
        </w:rPr>
      </w:pPr>
      <w:r>
        <w:rPr>
          <w:rFonts w:hint="eastAsia"/>
        </w:rPr>
        <w:t>（</w:t>
      </w:r>
      <w:r>
        <w:rPr>
          <w:rFonts w:hint="eastAsia"/>
          <w:lang w:eastAsia="zh"/>
        </w:rPr>
        <w:t>一</w:t>
      </w:r>
      <w:r>
        <w:rPr>
          <w:rFonts w:hint="eastAsia"/>
        </w:rPr>
        <w:t>）乙方的服务期限为：自本合同签订之日起，至项目竣工完成验收并完成</w:t>
      </w:r>
      <w:r>
        <w:rPr>
          <w:rFonts w:hint="eastAsia"/>
          <w:lang w:val="en-US" w:eastAsia="zh-CN"/>
        </w:rPr>
        <w:t>1个月</w:t>
      </w:r>
      <w:r>
        <w:rPr>
          <w:rFonts w:hint="eastAsia"/>
        </w:rPr>
        <w:t>运维服务为止。</w:t>
      </w:r>
    </w:p>
    <w:p w14:paraId="07A39855">
      <w:pPr>
        <w:bidi w:val="0"/>
        <w:rPr>
          <w:rFonts w:hint="eastAsia"/>
        </w:rPr>
      </w:pPr>
      <w:r>
        <w:rPr>
          <w:rFonts w:hint="eastAsia"/>
        </w:rPr>
        <w:t>（二）本合同所称服务期限是指：除本合同就服务内容或服务成果有具体完成时限约定的按照约定执行之外，乙方还应按约定完成本合同项下的全部服务内容、提交全部服务成果并应经甲方验收合格。但是，即使本合同约定的服务期限届满，就本合同约定的服务内容，甲方仍有权要求乙方提供咨询服务，本合同的服务费用已包含相应费用，乙方应无条件履行且不得提出任何服务费用要求。</w:t>
      </w:r>
    </w:p>
    <w:p w14:paraId="3B7588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A7E20"/>
    <w:multiLevelType w:val="singleLevel"/>
    <w:tmpl w:val="BD6A7E20"/>
    <w:lvl w:ilvl="0" w:tentative="0">
      <w:start w:val="1"/>
      <w:numFmt w:val="chineseCounting"/>
      <w:suff w:val="nothing"/>
      <w:lvlText w:val="%1、"/>
      <w:lvlJc w:val="left"/>
      <w:rPr>
        <w:rFonts w:hint="eastAsia"/>
      </w:rPr>
    </w:lvl>
  </w:abstractNum>
  <w:abstractNum w:abstractNumId="1">
    <w:nsid w:val="C59C4237"/>
    <w:multiLevelType w:val="singleLevel"/>
    <w:tmpl w:val="C59C4237"/>
    <w:lvl w:ilvl="0" w:tentative="0">
      <w:start w:val="1"/>
      <w:numFmt w:val="decimal"/>
      <w:suff w:val="space"/>
      <w:lvlText w:val="%1."/>
      <w:lvlJc w:val="left"/>
    </w:lvl>
  </w:abstractNum>
  <w:abstractNum w:abstractNumId="2">
    <w:nsid w:val="CEB6C574"/>
    <w:multiLevelType w:val="singleLevel"/>
    <w:tmpl w:val="CEB6C574"/>
    <w:lvl w:ilvl="0" w:tentative="0">
      <w:start w:val="1"/>
      <w:numFmt w:val="decimal"/>
      <w:suff w:val="space"/>
      <w:lvlText w:val="%1."/>
      <w:lvlJc w:val="left"/>
    </w:lvl>
  </w:abstractNum>
  <w:abstractNum w:abstractNumId="3">
    <w:nsid w:val="DFDFECFE"/>
    <w:multiLevelType w:val="singleLevel"/>
    <w:tmpl w:val="DFDFECFE"/>
    <w:lvl w:ilvl="0" w:tentative="0">
      <w:start w:val="1"/>
      <w:numFmt w:val="chineseCounting"/>
      <w:suff w:val="nothing"/>
      <w:lvlText w:val="（%1）"/>
      <w:lvlJc w:val="left"/>
      <w:pPr>
        <w:ind w:left="0" w:firstLine="420"/>
      </w:pPr>
      <w:rPr>
        <w:rFonts w:hint="eastAsia"/>
      </w:rPr>
    </w:lvl>
  </w:abstractNum>
  <w:abstractNum w:abstractNumId="4">
    <w:nsid w:val="1346353B"/>
    <w:multiLevelType w:val="singleLevel"/>
    <w:tmpl w:val="1346353B"/>
    <w:lvl w:ilvl="0" w:tentative="0">
      <w:start w:val="1"/>
      <w:numFmt w:val="decimal"/>
      <w:lvlText w:val="%1."/>
      <w:lvlJc w:val="left"/>
      <w:pPr>
        <w:tabs>
          <w:tab w:val="left" w:pos="425"/>
        </w:tabs>
        <w:ind w:left="425" w:hanging="425"/>
      </w:pPr>
      <w:rPr>
        <w:rFonts w:hint="default"/>
      </w:rPr>
    </w:lvl>
  </w:abstractNum>
  <w:abstractNum w:abstractNumId="5">
    <w:nsid w:val="383A2A44"/>
    <w:multiLevelType w:val="singleLevel"/>
    <w:tmpl w:val="383A2A44"/>
    <w:lvl w:ilvl="0" w:tentative="0">
      <w:start w:val="1"/>
      <w:numFmt w:val="chineseCounting"/>
      <w:suff w:val="nothing"/>
      <w:lvlText w:val="（%1）"/>
      <w:lvlJc w:val="left"/>
      <w:pPr>
        <w:ind w:left="0" w:firstLine="420"/>
      </w:pPr>
      <w:rPr>
        <w:rFonts w:hint="eastAsia"/>
      </w:rPr>
    </w:lvl>
  </w:abstractNum>
  <w:abstractNum w:abstractNumId="6">
    <w:nsid w:val="6A400509"/>
    <w:multiLevelType w:val="singleLevel"/>
    <w:tmpl w:val="6A400509"/>
    <w:lvl w:ilvl="0" w:tentative="0">
      <w:start w:val="1"/>
      <w:numFmt w:val="decimal"/>
      <w:lvlText w:val="%1."/>
      <w:lvlJc w:val="left"/>
      <w:pPr>
        <w:tabs>
          <w:tab w:val="left" w:pos="312"/>
        </w:tabs>
      </w:p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C64E9"/>
    <w:rsid w:val="45FC6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0"/>
      <w:lang w:val="en-US" w:eastAsia="zh-CN" w:bidi="ar-SA"/>
    </w:rPr>
  </w:style>
  <w:style w:type="paragraph" w:styleId="2">
    <w:name w:val="heading 1"/>
    <w:basedOn w:val="1"/>
    <w:next w:val="1"/>
    <w:qFormat/>
    <w:uiPriority w:val="0"/>
    <w:pPr>
      <w:wordWrap w:val="0"/>
      <w:spacing w:line="560" w:lineRule="exact"/>
      <w:ind w:left="300" w:leftChars="300"/>
      <w:outlineLvl w:val="0"/>
    </w:pPr>
    <w:rPr>
      <w:rFonts w:eastAsia="黑体"/>
      <w:sz w:val="32"/>
    </w:rPr>
  </w:style>
  <w:style w:type="paragraph" w:styleId="3">
    <w:name w:val="heading 2"/>
    <w:basedOn w:val="1"/>
    <w:next w:val="1"/>
    <w:qFormat/>
    <w:uiPriority w:val="0"/>
    <w:pPr>
      <w:keepNext/>
      <w:keepLines/>
      <w:spacing w:line="560" w:lineRule="exact"/>
      <w:ind w:firstLine="200" w:firstLineChars="200"/>
      <w:outlineLvl w:val="1"/>
    </w:pPr>
    <w:rPr>
      <w:rFonts w:ascii="Arial" w:hAnsi="Arial" w:eastAsia="仿宋_GB2312"/>
      <w:b/>
      <w:bCs/>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2025-12-08T09:06:00Z</dcterms:created>
  <dc:creator>陈q</dc:creator>
  <cp:lastModifiedBy>陈q</cp:lastModifiedBy>
  <dcterms:modified xsi:type="dcterms:W3CDTF">2025-12-08T09:07:08Z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27B07B40EAC243858A46F4AA444C79A5_11</vt:lpwstr>
  </property>
  <property fmtid="{D5CDD505-2E9C-101B-9397-08002B2CF9AE}" pid="4" name="KSOTemplateDocerSaveRecord">
    <vt:lpwstr>eyJoZGlkIjoiY2U4ZjAwN2IxZTZkZGVmNDE3OGQ1YjUxNmU2MTIxNWEiLCJ1c2VySWQiOiIzMDM5ODc0MjAifQ==</vt:lpwstr>
  </property>
</Properties>
</file>