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001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AAE8D18">
      <w:pPr>
        <w:spacing w:line="560" w:lineRule="exact"/>
        <w:ind w:left="0"/>
        <w:jc w:val="center"/>
        <w:rPr>
          <w:rFonts w:hint="eastAsia" w:ascii="方正小标宋简体" w:hAnsi="方正公文小标宋" w:eastAsia="方正小标宋简体" w:cs="方正小标宋简体"/>
          <w:bCs/>
          <w:color w:val="000000"/>
          <w:sz w:val="44"/>
          <w:szCs w:val="44"/>
        </w:rPr>
      </w:pPr>
      <w:r>
        <w:rPr>
          <w:rFonts w:hint="eastAsia" w:ascii="方正小标宋简体" w:hAnsi="方正公文小标宋" w:eastAsia="方正小标宋简体" w:cs="方正小标宋简体"/>
          <w:bCs/>
          <w:color w:val="000000"/>
          <w:sz w:val="44"/>
          <w:szCs w:val="44"/>
        </w:rPr>
        <w:t>深圳市宝实置业有限公司</w:t>
      </w:r>
    </w:p>
    <w:p w14:paraId="7FB548D2">
      <w:pPr>
        <w:spacing w:line="560" w:lineRule="exact"/>
        <w:ind w:left="0"/>
        <w:jc w:val="center"/>
        <w:rPr>
          <w:rFonts w:ascii="方正小标宋简体" w:hAnsi="方正公文小标宋" w:eastAsia="方正小标宋简体" w:cs="方正小标宋简体"/>
          <w:bCs/>
          <w:color w:val="000000"/>
          <w:sz w:val="44"/>
          <w:szCs w:val="44"/>
        </w:rPr>
      </w:pPr>
      <w:r>
        <w:rPr>
          <w:rFonts w:hint="eastAsia" w:ascii="方正小标宋简体" w:hAnsi="方正公文小标宋" w:eastAsia="方正小标宋简体" w:cs="方正小标宋简体"/>
          <w:bCs/>
          <w:color w:val="000000"/>
          <w:sz w:val="44"/>
          <w:szCs w:val="44"/>
        </w:rPr>
        <w:t>新桥东二号园区物业承接查验技术服务</w:t>
      </w:r>
    </w:p>
    <w:p w14:paraId="43BA3C23">
      <w:pPr>
        <w:spacing w:line="560" w:lineRule="exact"/>
        <w:ind w:left="0"/>
        <w:jc w:val="center"/>
        <w:rPr>
          <w:rFonts w:hint="eastAsia" w:ascii="方正小标宋简体" w:hAnsi="方正公文小标宋" w:eastAsia="方正小标宋简体" w:cs="方正小标宋简体"/>
          <w:bCs/>
          <w:color w:val="000000"/>
          <w:sz w:val="44"/>
          <w:szCs w:val="44"/>
        </w:rPr>
      </w:pPr>
      <w:bookmarkStart w:id="3" w:name="_GoBack"/>
      <w:r>
        <w:rPr>
          <w:rFonts w:hint="eastAsia" w:ascii="方正小标宋简体" w:hAnsi="方正公文小标宋" w:eastAsia="方正小标宋简体" w:cs="方正小标宋简体"/>
          <w:bCs/>
          <w:color w:val="000000"/>
          <w:sz w:val="44"/>
          <w:szCs w:val="44"/>
        </w:rPr>
        <w:t>报价须知</w:t>
      </w:r>
      <w:bookmarkEnd w:id="3"/>
    </w:p>
    <w:p w14:paraId="659C92F4">
      <w:pPr>
        <w:spacing w:line="560" w:lineRule="exact"/>
        <w:ind w:firstLine="880" w:firstLineChars="200"/>
        <w:jc w:val="center"/>
        <w:rPr>
          <w:rFonts w:hint="eastAsia" w:ascii="方正公文小标宋" w:hAnsi="方正公文小标宋" w:eastAsia="方正公文小标宋" w:cs="方正公文小标宋"/>
          <w:color w:val="000000"/>
          <w:sz w:val="44"/>
          <w:szCs w:val="44"/>
        </w:rPr>
      </w:pPr>
    </w:p>
    <w:p w14:paraId="43B642D1">
      <w:pPr>
        <w:pStyle w:val="3"/>
        <w:spacing w:before="0" w:after="0"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一、公司概况</w:t>
      </w:r>
    </w:p>
    <w:p w14:paraId="1038CA71">
      <w:pPr>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深圳市宝实置业有限公司（以下简称“宝实置业”）、深圳市宝实科技产业投资运营有限公司（以下简称“运营公司”）隶属于深圳市宝安实业集团有限公司，深圳市宝安实业集团有限公司是深圳市投资控股有限公司（以下简称“深投控”）所属企业。宝实集团是新桥东项目开发的市场主体，宝实置业是新桥东项目开发的实施主体，运营公司是新桥东项目开发建设后的运营管理主体。为明确新桥东先进制造产业园二号园区项目总包单位与运营公司的责任边界，规避交付纠纷、保障承接质量、实现建设与运营平稳过渡，现需聘请第三方技术服务单位开展物业承接查验技术服务。</w:t>
      </w:r>
    </w:p>
    <w:p w14:paraId="7F76CB1E">
      <w:pPr>
        <w:pStyle w:val="3"/>
        <w:spacing w:before="0" w:after="0"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二、服务需求</w:t>
      </w:r>
    </w:p>
    <w:p w14:paraId="5B39199B">
      <w:pPr>
        <w:pStyle w:val="2"/>
        <w:ind w:left="0"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依据国家及深圳市相关规范标准、项目设计图纸、施工合同及交付标准，对项目开展全面、规范、闭环的承接查验技术服务，出具正式查验报告，确保项目符合承接运营条件，明确责任边界，降低运营风险。</w:t>
      </w:r>
    </w:p>
    <w:p w14:paraId="585D313A">
      <w:pPr>
        <w:ind w:left="0" w:firstLine="640" w:firstLineChars="200"/>
        <w:rPr>
          <w:rFonts w:hint="eastAsia" w:ascii="仿宋_GB2312" w:hAnsi="仿宋" w:eastAsia="仿宋_GB2312" w:cs="仿宋_GB2312"/>
          <w:sz w:val="32"/>
          <w:szCs w:val="32"/>
        </w:rPr>
      </w:pPr>
      <w:r>
        <w:rPr>
          <w:rFonts w:hint="eastAsia" w:ascii="仿宋_GB2312" w:hAnsi="华文仿宋" w:eastAsia="仿宋_GB2312" w:cs="仿宋_GB2312"/>
          <w:sz w:val="32"/>
          <w:szCs w:val="32"/>
        </w:rPr>
        <w:t>承接查验重点围绕项目整体状态、设计落实、配套环节、资料移交等核心内容开展查验，确保项目符合承接要求，</w:t>
      </w:r>
      <w:r>
        <w:rPr>
          <w:rFonts w:hint="eastAsia" w:ascii="仿宋_GB2312" w:hAnsi="仿宋" w:eastAsia="仿宋_GB2312" w:cs="仿宋_GB2312"/>
          <w:sz w:val="32"/>
          <w:szCs w:val="32"/>
        </w:rPr>
        <w:t>从以下四个方面进行服务：</w:t>
      </w:r>
    </w:p>
    <w:p w14:paraId="5A47D57A">
      <w:pPr>
        <w:spacing w:before="120" w:after="120" w:line="288" w:lineRule="auto"/>
        <w:ind w:firstLine="643" w:firstLineChars="200"/>
        <w:jc w:val="left"/>
        <w:rPr>
          <w:rFonts w:hint="eastAsia" w:ascii="仿宋_GB2312" w:hAnsi="仿宋" w:eastAsia="仿宋_GB2312" w:cs="仿宋_GB2312"/>
          <w:b/>
          <w:bCs/>
          <w:sz w:val="32"/>
          <w:szCs w:val="32"/>
        </w:rPr>
      </w:pPr>
      <w:bookmarkStart w:id="0" w:name="heading_6"/>
      <w:r>
        <w:rPr>
          <w:rFonts w:hint="eastAsia" w:ascii="仿宋_GB2312" w:hAnsi="仿宋" w:eastAsia="仿宋_GB2312" w:cs="仿宋_GB2312"/>
          <w:b/>
          <w:bCs/>
          <w:sz w:val="32"/>
          <w:szCs w:val="32"/>
        </w:rPr>
        <w:t>（一）项目整体完工状态查验</w:t>
      </w:r>
    </w:p>
    <w:p w14:paraId="09E1BD8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重点查验项目是否按合同约定及设计要求全部完工，无未完成、未收尾的施工环节，具体包括：</w:t>
      </w:r>
    </w:p>
    <w:p w14:paraId="50A34EA2">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1.项目整体布局是否符合设计图纸要求，厂区规划、功能分区（生产区、办公区、辅助区等）是否完整，无擅自变更设计、违规建设的情况。</w:t>
      </w:r>
    </w:p>
    <w:p w14:paraId="0F1381B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2.项目外观及公共区域是否完工，无施工残留、建筑垃圾堆积，公共通道、场地平整等符合约定标准。</w:t>
      </w:r>
    </w:p>
    <w:p w14:paraId="5B513A2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3.项目各项收尾工作（如清洁、标识张贴等）是否完成，确保项目具备正常承接、运营的基础条件。</w:t>
      </w:r>
    </w:p>
    <w:p w14:paraId="51184E66">
      <w:pPr>
        <w:spacing w:before="120" w:after="120" w:line="288" w:lineRule="auto"/>
        <w:ind w:firstLine="640" w:firstLineChars="200"/>
        <w:jc w:val="left"/>
        <w:rPr>
          <w:rFonts w:hint="eastAsia" w:ascii="仿宋_GB2312" w:hAnsi="仿宋" w:eastAsia="仿宋_GB2312" w:cs="仿宋_GB2312"/>
          <w:b/>
          <w:bCs/>
          <w:sz w:val="32"/>
          <w:szCs w:val="32"/>
        </w:rPr>
      </w:pPr>
      <w:bookmarkStart w:id="1" w:name="heading_12"/>
      <w:r>
        <w:rPr>
          <w:rFonts w:hint="eastAsia" w:ascii="仿宋_GB2312" w:hAnsi="华文仿宋" w:eastAsia="仿宋_GB2312" w:cs="仿宋_GB2312"/>
          <w:sz w:val="32"/>
          <w:szCs w:val="32"/>
        </w:rPr>
        <w:t>（</w:t>
      </w:r>
      <w:r>
        <w:rPr>
          <w:rFonts w:hint="eastAsia" w:ascii="仿宋_GB2312" w:hAnsi="仿宋" w:eastAsia="仿宋_GB2312" w:cs="仿宋_GB2312"/>
          <w:b/>
          <w:bCs/>
          <w:sz w:val="32"/>
          <w:szCs w:val="32"/>
        </w:rPr>
        <w:t>二）设计与合同约定落实情况查验</w:t>
      </w:r>
      <w:bookmarkEnd w:id="1"/>
    </w:p>
    <w:p w14:paraId="0D32B685">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对照项目设计图纸、施工合同，查验项目建设是否符合相关约定，无偏离设计、未达到合同要求的情况，具体包括：</w:t>
      </w:r>
    </w:p>
    <w:p w14:paraId="4AA56050">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1.项目核心建设内容（如厂区布局、建筑结构、配套设施布局等）是否与设计图纸一致，无擅自修改设计、减少建设内容的情况。</w:t>
      </w:r>
    </w:p>
    <w:p w14:paraId="0868481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2.项目建设标准、完工要求是否符合施工合同约定，无未达到约定标准、遗漏约定内容的情况。</w:t>
      </w:r>
    </w:p>
    <w:p w14:paraId="30D5346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3.项目相关合规性要求是否落实，如规划审批、环保、消防等相关手续是否齐全，是否符合国家及地方相关行业规范。</w:t>
      </w:r>
    </w:p>
    <w:p w14:paraId="7884E745">
      <w:pPr>
        <w:spacing w:before="120" w:after="120" w:line="288" w:lineRule="auto"/>
        <w:ind w:firstLine="643" w:firstLineChars="200"/>
        <w:jc w:val="left"/>
        <w:rPr>
          <w:rFonts w:hint="eastAsia" w:ascii="仿宋_GB2312" w:hAnsi="仿宋" w:eastAsia="仿宋_GB2312" w:cs="仿宋_GB2312"/>
          <w:b/>
          <w:bCs/>
          <w:sz w:val="32"/>
          <w:szCs w:val="32"/>
        </w:rPr>
      </w:pPr>
      <w:bookmarkStart w:id="2" w:name="heading_13"/>
      <w:r>
        <w:rPr>
          <w:rFonts w:hint="eastAsia" w:ascii="仿宋_GB2312" w:hAnsi="仿宋" w:eastAsia="仿宋_GB2312" w:cs="仿宋_GB2312"/>
          <w:b/>
          <w:bCs/>
          <w:sz w:val="32"/>
          <w:szCs w:val="32"/>
        </w:rPr>
        <w:t>（三）配套环节完善性查验</w:t>
      </w:r>
      <w:bookmarkEnd w:id="2"/>
    </w:p>
    <w:p w14:paraId="3757B730">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查验项目配套环节是否完善，能够满足后续运营管理需求，具体包括：</w:t>
      </w:r>
    </w:p>
    <w:p w14:paraId="6D80D12F">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1.公共配套环节：厂区道路、排水、供电、供水、供气等配套系统是否完工，能够正常投入使用（不涉及具体设备检测，仅确认配套系统整体完工、可正常衔接）。</w:t>
      </w:r>
    </w:p>
    <w:p w14:paraId="0100FF38">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2.管理配套环节：办公区域、管理用房等是否完工，具备正常办公、管理的条件；厂区标识、警示标识等是否齐全、规范。</w:t>
      </w:r>
    </w:p>
    <w:p w14:paraId="4C73C99C">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3.安全配套环节：厂区安全防护设施（如围墙、防护栏等）是否完工，符合安全管理要求；消防、应急配套等相关设施布局是否符合设计，无遗漏、违规情况（不涉及具体设备检测）。</w:t>
      </w:r>
    </w:p>
    <w:p w14:paraId="0A365AC8">
      <w:pPr>
        <w:widowControl/>
        <w:spacing w:line="560" w:lineRule="exact"/>
        <w:ind w:firstLine="321" w:firstLineChars="100"/>
        <w:jc w:val="left"/>
        <w:rPr>
          <w:rFonts w:hint="eastAsia" w:ascii="仿宋_GB2312" w:hAnsi="华文仿宋" w:eastAsia="仿宋_GB2312" w:cs="仿宋_GB2312"/>
          <w:sz w:val="32"/>
          <w:szCs w:val="32"/>
        </w:rPr>
      </w:pPr>
      <w:r>
        <w:rPr>
          <w:rFonts w:hint="eastAsia" w:ascii="仿宋_GB2312" w:hAnsi="华文仿宋" w:eastAsia="仿宋_GB2312" w:cs="仿宋_GB2312"/>
          <w:b/>
          <w:bCs/>
          <w:sz w:val="32"/>
          <w:szCs w:val="32"/>
        </w:rPr>
        <w:t>（四）项目实施及维保期限</w:t>
      </w:r>
    </w:p>
    <w:p w14:paraId="1BE7CA9F">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承接查验工作需遵循“准备充分、流程规范、分工明确、闭环管理”的原则，整体分为查验准备、现场查验、问题整改、成果确认四个阶段，具体实施流程如下：</w:t>
      </w:r>
    </w:p>
    <w:p w14:paraId="11BDA75B">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1.第一阶段：查验准备</w:t>
      </w:r>
    </w:p>
    <w:p w14:paraId="462610EB">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准备工作是确保承接查验顺利开展的基础，由承接单位牵头，建设单位配合完成，核心工作包括以下4点：</w:t>
      </w:r>
    </w:p>
    <w:p w14:paraId="68C5AF8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成立查验小组：明确查验小组组成人员，包括承接查验单位技术等相关岗位人员，建设单位项目负责人、施工负责人等，明确小组分工（如组长统筹整体工作、组员负责具体查验环节、记录人员负责资料整理等），制定查验工作纪律及时间节点。</w:t>
      </w:r>
    </w:p>
    <w:p w14:paraId="763CF93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收集相关资料：建设单位项目负责人需向承接单位提供项目相关资料，包括但不限于项目设计图纸、施工验收报告、合同文本（含交付标准）、项目完工总结、相关审批文件（规划、环保、消防等）、资料移交清单等，承接单位对资料进行整理、核对，确认资料齐全、规范。</w:t>
      </w:r>
    </w:p>
    <w:p w14:paraId="7086EED4">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（3）制定查验方案：查验小组结合项目实际情况、合同约定及相关规范，制定详细的查验方案，明确查验范围、查验重点、查验方法、时间安排及验收标准，避免查验工作盲目开展，确保查验全面、高效。</w:t>
      </w:r>
    </w:p>
    <w:p w14:paraId="1EFD1BAB">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（4）沟通对接：承接单位与建设单位项目负责人开展前期沟通，明确查验流程、双方配合事项（如现场引导、资料补充、问题答疑等），协调解决查验前的各类疑问，确保双方达成共识，为现场查验做好准备。</w:t>
      </w:r>
    </w:p>
    <w:p w14:paraId="7C73DF5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2.第二阶段：现场查验</w:t>
      </w:r>
    </w:p>
    <w:p w14:paraId="01CE324E">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现场查验是承接查验的核心环节，查验小组按照查验方案，对项目现场进行全面核查，重点关注项目整体完工状态、设计与实际建设的一致性、相关配套环节的完善性，具体实施要求如下：</w:t>
      </w:r>
    </w:p>
    <w:p w14:paraId="6D049BCE">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分组开展查验：查验小组按照分工，分为若干专项小组（如整体布局查验组、配套环节查验组、资料核对组等），同步开展查验工作，提高查验效率；现场查验过程中，建设单位需安排专人陪同，负责现场引导、答疑，及时提供相关补充资料。</w:t>
      </w:r>
    </w:p>
    <w:p w14:paraId="591F41ED">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规范查验记录：查验人员需对照查验方案及验收标准，对每一个查验环节进行详细记录，明确查验结果（合格、不合格、需整改），对不合格或需整改的环节，需详细描述问题现象、位置、不符合的规范/约定，同步拍摄现场照片（作为佐证资料），确保查验记录真实、完整、可追溯。</w:t>
      </w:r>
    </w:p>
    <w:p w14:paraId="682FE7FB">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现场沟通确认：查验过程中，若发现疑问或分歧，查验小组与建设单位现场沟通，明确问题性质、整改要求，避免后期出现争议；对查验过程中确认合格的环节，双方现场签字确认，确保查验结果的有效性。</w:t>
      </w:r>
    </w:p>
    <w:p w14:paraId="4141C814">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3.第三阶段：问题整改</w:t>
      </w:r>
    </w:p>
    <w:p w14:paraId="4A812F55">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针对现场查验发现的不合格、需整改的问题，建立问题整改台账，实行闭环管理，具体流程如下：</w:t>
      </w:r>
    </w:p>
    <w:p w14:paraId="3D8A85A5">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（1）梳理问题台账：查验结束后，查验小组汇总所有查验问题，梳理形成《承接查验初验报告》，明确问题描述、整改要求、整改时限、责任单位（建设单位）、责任人，同步将台账提交建设单位确认。</w:t>
      </w:r>
    </w:p>
    <w:p w14:paraId="3E874DC8">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限期整改落实：建设单位项目负责人按照整改台账要求，组织施工单位开展整改工作，整改过程中，承接单位可安排人员现场监督，了解整改进度及整改质量，对整改过程中出现的疑问，及时与建设单位沟通解决。</w:t>
      </w:r>
    </w:p>
    <w:p w14:paraId="47ADEA93">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整改复核验收：建设单位项目负责人完成整改后，向承接单位提交整改完成报告及相关佐证资料（如整改照片、检测报告等），查验小组对整改内容进行复核，确认整改合格后，在整改台账上签字确认；若整改不合格，责令建设单位限期重新整改，直至符合要求。</w:t>
      </w:r>
    </w:p>
    <w:p w14:paraId="73E627E2">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4.第四阶段：成果确认</w:t>
      </w:r>
    </w:p>
    <w:p w14:paraId="46FF4B8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整改工作全部完成、复核合格后，进入成果确认阶段，核心工作包括：</w:t>
      </w:r>
    </w:p>
    <w:p w14:paraId="3BAE8AD2">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（1）整理查验资料：查验小组整理所有查验相关资料，包括查验方案、查验记录、问题整改台账、整改佐证资料、现场照片等，形成完整的《承接查验报告》，明确查验总体结论（合格、同意承接）。</w:t>
      </w:r>
    </w:p>
    <w:p w14:paraId="6D461FEE">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（2）双方签字确认：《承接查验复验报告》经查验小组、建设单位、承接单位三方审核确认后，各方签字盖章，作为项目承接的正式依据，明确项目交付完成，责任正式移交。</w:t>
      </w:r>
    </w:p>
    <w:p w14:paraId="7DF2D23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（3）资料归档：承接单位将《承接查验复验报告》及相关查验资料、项目移交资料一并归档，建立专门的项目承接档案，为后续运营管理、维护检修提供参考。</w:t>
      </w:r>
      <w:bookmarkEnd w:id="0"/>
    </w:p>
    <w:p w14:paraId="13C470E3">
      <w:pPr>
        <w:pStyle w:val="3"/>
        <w:spacing w:before="0" w:after="0"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三、其他要求</w:t>
      </w:r>
    </w:p>
    <w:p w14:paraId="2CB127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成果交付：服务期内完成不少于2次承接查验，提交2份正式查验报告。服务方应根据项目开发进度、分期交付计划，按每批次承接查验完成后5个工作日内提交正式查验报告；报告份数、提交节点、归档要求按甲方及物业相关规定执行。服务期结束后提交整体承接查验总结报告1份。</w:t>
      </w:r>
    </w:p>
    <w:p w14:paraId="6CFD3E69">
      <w:pPr>
        <w:pStyle w:val="4"/>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人员要求：配备专业技术团队（各专业工程师总人数不少于10人），现场查验需专人全程负责，确保查验规范、记录真实、整改闭环。</w:t>
      </w:r>
    </w:p>
    <w:p w14:paraId="1DD2754A">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新桥东二号园07-10地块（下称“园区”）位于宝安区新桥街道洪田路与恒芳路交叉口北100米，占地面积18769.15平方米。3栋厂房，其中3A栋18层建筑高度90米、3B栋12层建筑高度63米、3C栋6层建筑高度35.6米，地下室1层，总建筑面积约127628.06平方米，计容面积约112620平方米，其中：产业生产用房建筑面积112620平方米，绿化面积（含架空层）1982.5平方米；地下设备房、停车场及其他核增建筑面积约13455.82平方米；地下机动车停车位338个。</w:t>
      </w:r>
    </w:p>
    <w:p w14:paraId="56A8BACC">
      <w:pPr>
        <w:ind w:firstLine="640" w:firstLineChars="200"/>
        <w:rPr>
          <w:rFonts w:hint="eastAsi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新桥东</w:t>
      </w:r>
      <w:r>
        <w:rPr>
          <w:rFonts w:hint="eastAsia" w:ascii="仿宋_GB2312" w:hAnsi="仿宋_GB2312" w:eastAsia="仿宋_GB2312" w:cs="仿宋_GB2312"/>
          <w:sz w:val="32"/>
          <w:szCs w:val="32"/>
          <w:lang w:val="en-US" w:eastAsia="zh-CN"/>
        </w:rPr>
        <w:t>二号园07-14</w:t>
      </w:r>
      <w:r>
        <w:rPr>
          <w:rFonts w:hint="eastAsia" w:ascii="仿宋_GB2312" w:hAnsi="仿宋_GB2312" w:eastAsia="仿宋_GB2312" w:cs="仿宋_GB2312"/>
          <w:sz w:val="32"/>
          <w:szCs w:val="32"/>
        </w:rPr>
        <w:t>（下称“</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”）位于宝安区新桥街道</w:t>
      </w:r>
      <w:r>
        <w:rPr>
          <w:rFonts w:hint="eastAsia" w:ascii="仿宋_GB2312" w:hAnsi="仿宋_GB2312" w:eastAsia="仿宋_GB2312" w:cs="仿宋_GB2312"/>
          <w:sz w:val="32"/>
          <w:szCs w:val="32"/>
          <w:lang w:val="en-US" w:eastAsia="zh-CN"/>
        </w:rPr>
        <w:t>洪田路与恒芳路交叉口北100米</w:t>
      </w:r>
      <w:r>
        <w:rPr>
          <w:rFonts w:hint="eastAsia" w:ascii="仿宋_GB2312" w:hAnsi="仿宋_GB2312" w:eastAsia="仿宋_GB2312" w:cs="仿宋_GB2312"/>
          <w:sz w:val="32"/>
          <w:szCs w:val="32"/>
        </w:rPr>
        <w:t>，占地面积27421.3平方米。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栋</w:t>
      </w:r>
      <w:r>
        <w:rPr>
          <w:rFonts w:hint="eastAsia" w:ascii="仿宋_GB2312" w:hAnsi="仿宋_GB2312" w:eastAsia="仿宋_GB2312" w:cs="仿宋_GB2312"/>
          <w:sz w:val="32"/>
          <w:szCs w:val="32"/>
          <w:lang w:val="en-US" w:eastAsia="zh-CN"/>
        </w:rPr>
        <w:t>厂房</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val="en-US" w:eastAsia="zh-CN"/>
        </w:rPr>
        <w:t>中1栋15</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lang w:val="en-US" w:eastAsia="zh-CN"/>
        </w:rPr>
        <w:t>建筑高度76.6米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2A栋10层建筑高度54.1米、2b栋4层建筑高度23.9米</w:t>
      </w:r>
      <w:r>
        <w:rPr>
          <w:rFonts w:hint="eastAsia" w:ascii="仿宋_GB2312" w:hAnsi="仿宋_GB2312" w:eastAsia="仿宋_GB2312" w:cs="仿宋_GB2312"/>
          <w:sz w:val="32"/>
          <w:szCs w:val="32"/>
        </w:rPr>
        <w:t>，地下室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层，总建筑面积约</w:t>
      </w:r>
      <w:r>
        <w:rPr>
          <w:rFonts w:hint="eastAsia" w:ascii="仿宋_GB2312" w:hAnsi="仿宋_GB2312" w:eastAsia="仿宋_GB2312" w:cs="仿宋_GB2312"/>
          <w:sz w:val="32"/>
          <w:szCs w:val="32"/>
          <w:lang w:val="en-US" w:eastAsia="zh-CN"/>
        </w:rPr>
        <w:t>131872</w:t>
      </w:r>
      <w:r>
        <w:rPr>
          <w:rFonts w:hint="eastAsia" w:ascii="仿宋_GB2312" w:hAnsi="仿宋_GB2312" w:eastAsia="仿宋_GB2312" w:cs="仿宋_GB2312"/>
          <w:sz w:val="32"/>
          <w:szCs w:val="32"/>
        </w:rPr>
        <w:t>平方米，计容面积约</w:t>
      </w:r>
      <w:r>
        <w:rPr>
          <w:rFonts w:hint="eastAsia" w:ascii="仿宋_GB2312" w:hAnsi="仿宋_GB2312" w:eastAsia="仿宋_GB2312" w:cs="仿宋_GB2312"/>
          <w:sz w:val="32"/>
          <w:szCs w:val="32"/>
          <w:lang w:val="en-US" w:eastAsia="zh-CN"/>
        </w:rPr>
        <w:t>109684</w:t>
      </w:r>
      <w:r>
        <w:rPr>
          <w:rFonts w:hint="eastAsia" w:ascii="仿宋_GB2312" w:hAnsi="仿宋_GB2312" w:eastAsia="仿宋_GB2312" w:cs="仿宋_GB2312"/>
          <w:sz w:val="32"/>
          <w:szCs w:val="32"/>
        </w:rPr>
        <w:t>平方米，其中：产业生产用房建筑面积</w:t>
      </w:r>
      <w:r>
        <w:rPr>
          <w:rFonts w:hint="eastAsia" w:ascii="仿宋_GB2312" w:hAnsi="仿宋_GB2312" w:eastAsia="仿宋_GB2312" w:cs="仿宋_GB2312"/>
          <w:sz w:val="32"/>
          <w:szCs w:val="32"/>
          <w:lang w:val="en-US" w:eastAsia="zh-CN"/>
        </w:rPr>
        <w:t>107484</w:t>
      </w:r>
      <w:r>
        <w:rPr>
          <w:rFonts w:hint="eastAsia" w:ascii="仿宋_GB2312" w:hAnsi="仿宋_GB2312" w:eastAsia="仿宋_GB2312" w:cs="仿宋_GB2312"/>
          <w:sz w:val="32"/>
          <w:szCs w:val="32"/>
        </w:rPr>
        <w:t>平方米，公共配套设施2200</w:t>
      </w:r>
      <w:r>
        <w:rPr>
          <w:rFonts w:hint="eastAsia"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绿化面积（含架空层）4829.5</w:t>
      </w:r>
      <w:r>
        <w:rPr>
          <w:rFonts w:hint="eastAsia" w:ascii="仿宋_GB2312" w:hAnsi="仿宋_GB2312" w:eastAsia="仿宋_GB2312" w:cs="仿宋_GB2312"/>
          <w:sz w:val="32"/>
          <w:szCs w:val="32"/>
        </w:rPr>
        <w:t>平方米；地下设备房、停车场及其他核增建筑面积约</w:t>
      </w:r>
      <w:r>
        <w:rPr>
          <w:rFonts w:hint="eastAsia" w:ascii="仿宋_GB2312" w:hAnsi="仿宋_GB2312" w:eastAsia="仿宋_GB2312" w:cs="仿宋_GB2312"/>
          <w:sz w:val="32"/>
          <w:szCs w:val="32"/>
          <w:lang w:val="en-US" w:eastAsia="zh-CN"/>
        </w:rPr>
        <w:t>16111.85</w:t>
      </w:r>
      <w:r>
        <w:rPr>
          <w:rFonts w:hint="eastAsia" w:ascii="仿宋_GB2312" w:hAnsi="仿宋_GB2312" w:eastAsia="仿宋_GB2312" w:cs="仿宋_GB2312"/>
          <w:sz w:val="32"/>
          <w:szCs w:val="32"/>
        </w:rPr>
        <w:t>平方米；地下机动车停车位</w:t>
      </w:r>
      <w:r>
        <w:rPr>
          <w:rFonts w:hint="eastAsia" w:ascii="仿宋_GB2312" w:hAnsi="仿宋_GB2312" w:eastAsia="仿宋_GB2312" w:cs="仿宋_GB2312"/>
          <w:sz w:val="32"/>
          <w:szCs w:val="32"/>
          <w:lang w:val="en-US" w:eastAsia="zh-CN"/>
        </w:rPr>
        <w:t>329</w:t>
      </w:r>
      <w:r>
        <w:rPr>
          <w:rFonts w:hint="eastAsia" w:ascii="仿宋_GB2312" w:hAnsi="仿宋_GB2312" w:eastAsia="仿宋_GB2312" w:cs="仿宋_GB2312"/>
          <w:sz w:val="32"/>
          <w:szCs w:val="32"/>
        </w:rPr>
        <w:t>个。</w:t>
      </w:r>
    </w:p>
    <w:p w14:paraId="00525A8B">
      <w:pPr>
        <w:ind w:firstLine="640" w:firstLineChars="200"/>
        <w:rPr>
          <w:rFonts w:ascii="仿宋_GB2312" w:hAnsi="仿宋_GB2312" w:eastAsia="仿宋_GB2312" w:cs="仿宋_GB2312"/>
          <w:sz w:val="32"/>
          <w:szCs w:val="32"/>
          <w:lang w:val="en-US" w:eastAsia="zh-CN"/>
        </w:rPr>
      </w:pPr>
    </w:p>
    <w:p w14:paraId="6DDA0A02">
      <w:pPr>
        <w:pStyle w:val="4"/>
        <w:ind w:firstLine="0"/>
        <w:rPr>
          <w:rFonts w:hint="eastAsia" w:ascii="仿宋_GB2312" w:hAnsi="仿宋_GB2312" w:eastAsia="仿宋_GB2312" w:cs="仿宋_GB2312"/>
          <w:sz w:val="32"/>
          <w:szCs w:val="32"/>
        </w:rPr>
      </w:pPr>
    </w:p>
    <w:p w14:paraId="259B7648">
      <w:pPr>
        <w:pStyle w:val="4"/>
        <w:ind w:firstLine="0"/>
      </w:pPr>
    </w:p>
    <w:p w14:paraId="10D915C5"/>
    <w:p w14:paraId="18420CD7">
      <w:pPr>
        <w:pStyle w:val="4"/>
      </w:pPr>
    </w:p>
    <w:p w14:paraId="6CD13F60"/>
    <w:p w14:paraId="2733C091">
      <w:pPr>
        <w:pStyle w:val="4"/>
      </w:pPr>
    </w:p>
    <w:p w14:paraId="1D7AAF76"/>
    <w:p w14:paraId="09F744EA">
      <w:pPr>
        <w:pStyle w:val="4"/>
      </w:pPr>
    </w:p>
    <w:p w14:paraId="7E4507F9"/>
    <w:p w14:paraId="7C62F45A">
      <w:pPr>
        <w:pStyle w:val="4"/>
      </w:pPr>
    </w:p>
    <w:p w14:paraId="1C29AA20"/>
    <w:p w14:paraId="2F237E61">
      <w:pPr>
        <w:pStyle w:val="4"/>
      </w:pPr>
    </w:p>
    <w:p w14:paraId="7013340D"/>
    <w:p w14:paraId="6388D3A1">
      <w:pPr>
        <w:pStyle w:val="4"/>
      </w:pPr>
    </w:p>
    <w:p w14:paraId="2DF84179"/>
    <w:p w14:paraId="4728C241"/>
    <w:p w14:paraId="7FA0DEB3">
      <w:pPr>
        <w:pStyle w:val="4"/>
      </w:pPr>
    </w:p>
    <w:p w14:paraId="129A3A78"/>
    <w:p w14:paraId="10CE3BDF">
      <w:pPr>
        <w:widowControl/>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7DAACD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5109C"/>
    <w:rsid w:val="5115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next w:val="1"/>
    <w:qFormat/>
    <w:uiPriority w:val="0"/>
    <w:pPr>
      <w:wordWrap w:val="0"/>
      <w:spacing w:after="160"/>
      <w:jc w:val="both"/>
      <w:outlineLvl w:val="0"/>
    </w:pPr>
    <w:rPr>
      <w:rFonts w:ascii="Times New Roman" w:hAnsi="Times New Roman" w:eastAsia="宋体" w:cs="Times New Roman"/>
      <w:sz w:val="28"/>
      <w:szCs w:val="20"/>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b/>
      <w:bCs/>
      <w:sz w:val="24"/>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2026-04-17T08:56:00Z</dcterms:created>
  <dc:creator>陈q</dc:creator>
  <cp:lastModifiedBy>陈q</cp:lastModifiedBy>
  <dcterms:modified xsi:type="dcterms:W3CDTF">2026-04-17T08:56:23Z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1A6CADD269154B628B55DF65630D52C5_11</vt:lpwstr>
  </property>
  <property fmtid="{D5CDD505-2E9C-101B-9397-08002B2CF9AE}" pid="4" name="KSOTemplateDocerSaveRecord">
    <vt:lpwstr>eyJoZGlkIjoiY2U4ZjAwN2IxZTZkZGVmNDE3OGQ1YjUxNmU2MTIxNWEiLCJ1c2VySWQiOiIzMDM5ODc0MjAifQ==</vt:lpwstr>
  </property>
</Properties>
</file>