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A49EA">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p w14:paraId="140682F1">
      <w:pPr>
        <w:spacing w:line="560" w:lineRule="exact"/>
        <w:ind w:left="0"/>
        <w:jc w:val="center"/>
        <w:rPr>
          <w:rFonts w:hint="eastAsia" w:ascii="方正小标宋简体" w:hAnsi="方正公文小标宋" w:eastAsia="方正小标宋简体" w:cs="方正小标宋简体"/>
          <w:bCs/>
          <w:color w:val="000000"/>
          <w:sz w:val="44"/>
          <w:szCs w:val="44"/>
        </w:rPr>
      </w:pPr>
      <w:r>
        <w:rPr>
          <w:rFonts w:hint="eastAsia" w:ascii="方正小标宋简体" w:hAnsi="方正公文小标宋" w:eastAsia="方正小标宋简体" w:cs="方正小标宋简体"/>
          <w:bCs/>
          <w:color w:val="000000"/>
          <w:sz w:val="44"/>
          <w:szCs w:val="44"/>
        </w:rPr>
        <w:t>深圳市宝实置业有限公司</w:t>
      </w:r>
    </w:p>
    <w:p w14:paraId="3CECEA73">
      <w:pPr>
        <w:spacing w:line="560" w:lineRule="exact"/>
        <w:ind w:left="0"/>
        <w:jc w:val="center"/>
        <w:rPr>
          <w:rFonts w:hint="eastAsia" w:ascii="方正小标宋简体" w:hAnsi="方正公文小标宋" w:eastAsia="方正小标宋简体" w:cs="方正小标宋简体"/>
          <w:bCs/>
          <w:color w:val="000000"/>
          <w:sz w:val="44"/>
          <w:szCs w:val="44"/>
        </w:rPr>
      </w:pPr>
      <w:r>
        <w:rPr>
          <w:rFonts w:hint="eastAsia" w:ascii="方正小标宋简体" w:hAnsi="方正公文小标宋" w:eastAsia="方正小标宋简体" w:cs="方正小标宋简体"/>
          <w:bCs/>
          <w:color w:val="000000"/>
          <w:sz w:val="44"/>
          <w:szCs w:val="44"/>
        </w:rPr>
        <w:t>新桥东恒安苑物业承接查验技术</w:t>
      </w:r>
    </w:p>
    <w:p w14:paraId="325092E3">
      <w:pPr>
        <w:spacing w:line="560" w:lineRule="exact"/>
        <w:ind w:left="0"/>
        <w:jc w:val="center"/>
        <w:rPr>
          <w:rFonts w:hint="eastAsia" w:ascii="方正小标宋简体" w:hAnsi="方正公文小标宋" w:eastAsia="方正小标宋简体" w:cs="方正小标宋简体"/>
          <w:bCs/>
          <w:color w:val="000000"/>
          <w:sz w:val="44"/>
          <w:szCs w:val="44"/>
        </w:rPr>
      </w:pPr>
      <w:r>
        <w:rPr>
          <w:rFonts w:hint="eastAsia" w:ascii="方正小标宋简体" w:hAnsi="方正公文小标宋" w:eastAsia="方正小标宋简体" w:cs="方正小标宋简体"/>
          <w:bCs/>
          <w:color w:val="000000"/>
          <w:sz w:val="44"/>
          <w:szCs w:val="44"/>
        </w:rPr>
        <w:t>服务</w:t>
      </w:r>
      <w:bookmarkStart w:id="3" w:name="_GoBack"/>
      <w:r>
        <w:rPr>
          <w:rFonts w:hint="eastAsia" w:ascii="方正小标宋简体" w:hAnsi="方正公文小标宋" w:eastAsia="方正小标宋简体" w:cs="方正小标宋简体"/>
          <w:bCs/>
          <w:color w:val="000000"/>
          <w:sz w:val="44"/>
          <w:szCs w:val="44"/>
        </w:rPr>
        <w:t>报价须知</w:t>
      </w:r>
      <w:bookmarkEnd w:id="3"/>
    </w:p>
    <w:p w14:paraId="7971747B">
      <w:pPr>
        <w:spacing w:line="560" w:lineRule="exact"/>
        <w:ind w:firstLine="880" w:firstLineChars="200"/>
        <w:jc w:val="center"/>
        <w:rPr>
          <w:rFonts w:hint="eastAsia" w:ascii="方正公文小标宋" w:hAnsi="方正公文小标宋" w:eastAsia="方正公文小标宋" w:cs="方正公文小标宋"/>
          <w:color w:val="000000"/>
          <w:sz w:val="44"/>
          <w:szCs w:val="44"/>
        </w:rPr>
      </w:pPr>
    </w:p>
    <w:p w14:paraId="6C0E6020">
      <w:pPr>
        <w:pStyle w:val="3"/>
        <w:spacing w:before="0" w:after="0" w:line="560" w:lineRule="exact"/>
        <w:ind w:firstLine="640" w:firstLineChars="200"/>
        <w:rPr>
          <w:rFonts w:hint="eastAsia" w:ascii="黑体" w:hAnsi="黑体" w:eastAsia="黑体" w:cs="黑体"/>
          <w:b w:val="0"/>
          <w:bCs w:val="0"/>
          <w:sz w:val="32"/>
        </w:rPr>
      </w:pPr>
      <w:r>
        <w:rPr>
          <w:rFonts w:hint="eastAsia" w:ascii="黑体" w:hAnsi="黑体" w:eastAsia="黑体" w:cs="黑体"/>
          <w:b w:val="0"/>
          <w:bCs w:val="0"/>
          <w:sz w:val="32"/>
        </w:rPr>
        <w:t>一、公司概况</w:t>
      </w:r>
    </w:p>
    <w:p w14:paraId="16655FEB">
      <w:pPr>
        <w:ind w:firstLine="640" w:firstLineChars="200"/>
        <w:rPr>
          <w:rFonts w:hint="eastAsia" w:ascii="仿宋_GB2312" w:hAnsi="宋体" w:eastAsia="仿宋_GB2312"/>
          <w:sz w:val="32"/>
          <w:szCs w:val="32"/>
        </w:rPr>
      </w:pPr>
      <w:r>
        <w:rPr>
          <w:rFonts w:hint="eastAsia" w:ascii="仿宋_GB2312" w:hAnsi="仿宋_GB2312" w:eastAsia="仿宋_GB2312" w:cs="仿宋_GB2312"/>
          <w:sz w:val="32"/>
          <w:szCs w:val="32"/>
        </w:rPr>
        <w:t>深圳市宝实置业有限公司（以下简称“宝实置业”）、深圳市宝实科技产业投资运营有限公司（以下简称“运营公司”）隶属于深圳市宝安实业集团有限公司，深圳市宝安实业集团有限公司是深圳市投资控股有限公司（以下简称“深投控”）所属企业。宝实集团是新桥东项目开发的市场主体，宝实置业是新桥东项目开发的实施主体，运营公司是新桥东项目开发建设后的运营管理主体。为明确新桥东先进制造产业园恒安苑项目总包单位与运营公司的责任边界，规避交付纠纷、保障承接质量、实现建设与运营平稳过渡，现需聘请第三方技术服务单位开展物业承接查验技术服务。</w:t>
      </w:r>
    </w:p>
    <w:p w14:paraId="0B511700">
      <w:pPr>
        <w:pStyle w:val="3"/>
        <w:spacing w:before="0" w:after="0" w:line="560" w:lineRule="exact"/>
        <w:ind w:firstLine="640" w:firstLineChars="200"/>
        <w:rPr>
          <w:rFonts w:hint="eastAsia" w:ascii="黑体" w:hAnsi="黑体" w:eastAsia="黑体" w:cs="黑体"/>
          <w:b w:val="0"/>
          <w:bCs w:val="0"/>
          <w:sz w:val="32"/>
        </w:rPr>
      </w:pPr>
      <w:r>
        <w:rPr>
          <w:rFonts w:hint="eastAsia" w:ascii="黑体" w:hAnsi="黑体" w:eastAsia="黑体" w:cs="黑体"/>
          <w:b w:val="0"/>
          <w:bCs w:val="0"/>
          <w:sz w:val="32"/>
        </w:rPr>
        <w:t>二、服务需求</w:t>
      </w:r>
    </w:p>
    <w:p w14:paraId="20420FE9">
      <w:pPr>
        <w:pStyle w:val="2"/>
        <w:ind w:left="0"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依据国家及深圳市相关规范标准、项目设计图纸、施工合同及交付标准，对项目开展全面、规范、闭环的承接查验技术服务，出具正式查验报告，确保项目符合承接运营条件，明确责任边界，降低运营风险。</w:t>
      </w:r>
    </w:p>
    <w:p w14:paraId="032D78FE">
      <w:pPr>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承接查验重点围绕项目整体状态、设计落实、配套环节、资料移交等核心内容开展查验，确保项目符合承接要求，从以下四个方面进行服务：</w:t>
      </w:r>
    </w:p>
    <w:p w14:paraId="631ABF90">
      <w:pPr>
        <w:spacing w:before="120" w:after="120" w:line="288" w:lineRule="auto"/>
        <w:ind w:firstLine="643" w:firstLineChars="200"/>
        <w:rPr>
          <w:rFonts w:hint="eastAsia" w:ascii="仿宋_GB2312" w:hAnsi="仿宋" w:eastAsia="仿宋_GB2312" w:cs="仿宋_GB2312"/>
          <w:b/>
          <w:bCs/>
          <w:sz w:val="32"/>
          <w:szCs w:val="32"/>
        </w:rPr>
      </w:pPr>
      <w:bookmarkStart w:id="0" w:name="heading_6"/>
      <w:r>
        <w:rPr>
          <w:rFonts w:hint="eastAsia" w:ascii="仿宋_GB2312" w:hAnsi="仿宋" w:eastAsia="仿宋_GB2312" w:cs="仿宋_GB2312"/>
          <w:b/>
          <w:bCs/>
          <w:sz w:val="32"/>
          <w:szCs w:val="32"/>
        </w:rPr>
        <w:t>（一）项目整体完工状态查验</w:t>
      </w:r>
    </w:p>
    <w:p w14:paraId="58448D7A">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重点查验项目是否按合同约定及设计要求全部完工，无未完成、未收尾的施工环节，具体包括：</w:t>
      </w:r>
    </w:p>
    <w:p w14:paraId="19EBA570">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1.项目整体布局是否符合设计图纸要求，厂区规划、功能分区（生产区、办公区、辅助区等）是否完整，无擅自变更设计、违规建设的情况。</w:t>
      </w:r>
    </w:p>
    <w:p w14:paraId="1F7BEAF9">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2.项目外观及公共区域是否完工，无施工残留、建筑垃圾堆积，公共通道、场地平整等符合约定标准。</w:t>
      </w:r>
    </w:p>
    <w:p w14:paraId="6AD6FA35">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3.项目各项收尾工作（如清洁、标识张贴等）是否完成，确保项目具备正常承接、运营的基础条件。</w:t>
      </w:r>
    </w:p>
    <w:p w14:paraId="3A91BBE9">
      <w:pPr>
        <w:spacing w:before="120" w:after="120" w:line="288" w:lineRule="auto"/>
        <w:ind w:firstLine="640" w:firstLineChars="200"/>
        <w:rPr>
          <w:rFonts w:hint="eastAsia" w:ascii="仿宋_GB2312" w:hAnsi="仿宋" w:eastAsia="仿宋_GB2312" w:cs="仿宋_GB2312"/>
          <w:b/>
          <w:bCs/>
          <w:sz w:val="32"/>
          <w:szCs w:val="32"/>
        </w:rPr>
      </w:pPr>
      <w:bookmarkStart w:id="1" w:name="heading_12"/>
      <w:r>
        <w:rPr>
          <w:rFonts w:hint="eastAsia" w:ascii="仿宋_GB2312" w:hAnsi="华文仿宋" w:eastAsia="仿宋_GB2312" w:cs="仿宋_GB2312"/>
          <w:sz w:val="32"/>
          <w:szCs w:val="32"/>
        </w:rPr>
        <w:t>（</w:t>
      </w:r>
      <w:r>
        <w:rPr>
          <w:rFonts w:hint="eastAsia" w:ascii="仿宋_GB2312" w:hAnsi="仿宋" w:eastAsia="仿宋_GB2312" w:cs="仿宋_GB2312"/>
          <w:b/>
          <w:bCs/>
          <w:sz w:val="32"/>
          <w:szCs w:val="32"/>
        </w:rPr>
        <w:t>二）设计与合同约定落实情况查验</w:t>
      </w:r>
      <w:bookmarkEnd w:id="1"/>
    </w:p>
    <w:p w14:paraId="1873EA9D">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对照项目设计图纸、施工合同，查验项目建设是否符合相关约定，无偏离设计、未达到合同要求的情况，具体包括：</w:t>
      </w:r>
    </w:p>
    <w:p w14:paraId="4AD6500C">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1.项目核心建设内容（如厂区布局、建筑结构、配套设施布局等）是否与设计图纸一致，无擅自修改设计、减少建设内容的情况。</w:t>
      </w:r>
    </w:p>
    <w:p w14:paraId="5E9A05B2">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2.项目建设标准、完工要求是否符合施工合同约定，无未达到约定标准、遗漏约定内容的情况。</w:t>
      </w:r>
    </w:p>
    <w:p w14:paraId="2F3FCE3D">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3.项目相关合规性要求是否落实，如规划审批、环保、消防等相关手续是否齐全，是否符合国家及地方相关行业规范。</w:t>
      </w:r>
    </w:p>
    <w:p w14:paraId="682A1E21">
      <w:pPr>
        <w:spacing w:before="120" w:after="120" w:line="288" w:lineRule="auto"/>
        <w:ind w:firstLine="643" w:firstLineChars="200"/>
        <w:rPr>
          <w:rFonts w:hint="eastAsia" w:ascii="仿宋_GB2312" w:hAnsi="仿宋" w:eastAsia="仿宋_GB2312" w:cs="仿宋_GB2312"/>
          <w:b/>
          <w:bCs/>
          <w:sz w:val="32"/>
          <w:szCs w:val="32"/>
        </w:rPr>
      </w:pPr>
      <w:bookmarkStart w:id="2" w:name="heading_13"/>
      <w:r>
        <w:rPr>
          <w:rFonts w:hint="eastAsia" w:ascii="仿宋_GB2312" w:hAnsi="仿宋" w:eastAsia="仿宋_GB2312" w:cs="仿宋_GB2312"/>
          <w:b/>
          <w:bCs/>
          <w:sz w:val="32"/>
          <w:szCs w:val="32"/>
        </w:rPr>
        <w:t>（三）配套环节完善性查验</w:t>
      </w:r>
      <w:bookmarkEnd w:id="2"/>
    </w:p>
    <w:p w14:paraId="793E6921">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查验项目配套环节是否完善，能够满足后续运营管理需求，具体包括：</w:t>
      </w:r>
    </w:p>
    <w:p w14:paraId="039BCF84">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1.公共配套环节：厂区道路、排水、供电、供水、供气等配套系统是否完工，能够正常投入使用（不涉及具体设备检测，仅确认配套系统整体完工、可正常衔接）。</w:t>
      </w:r>
    </w:p>
    <w:p w14:paraId="78D49E0A">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2.管理配套环节：办公区域、管理用房等是否完工，具备正常办公、管理的条件；厂区标识、警示标识等是否齐全、规范。</w:t>
      </w:r>
    </w:p>
    <w:p w14:paraId="5EA7DB84">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3.安全配套环节：厂区安全防护设施（如围墙、防护栏等）是否完工，符合安全管理要求；消防、应急配套等相关设施布局是否符合设计，无遗漏、违规情况（不涉及具体设备检测）。</w:t>
      </w:r>
    </w:p>
    <w:p w14:paraId="2821894E">
      <w:pPr>
        <w:widowControl/>
        <w:spacing w:line="560" w:lineRule="exact"/>
        <w:ind w:firstLine="321" w:firstLineChars="100"/>
        <w:rPr>
          <w:rFonts w:hint="eastAsia" w:ascii="仿宋_GB2312" w:hAnsi="华文仿宋" w:eastAsia="仿宋_GB2312" w:cs="仿宋_GB2312"/>
          <w:sz w:val="32"/>
          <w:szCs w:val="32"/>
        </w:rPr>
      </w:pPr>
      <w:r>
        <w:rPr>
          <w:rFonts w:hint="eastAsia" w:ascii="仿宋_GB2312" w:hAnsi="华文仿宋" w:eastAsia="仿宋_GB2312" w:cs="仿宋_GB2312"/>
          <w:b/>
          <w:bCs/>
          <w:sz w:val="32"/>
          <w:szCs w:val="32"/>
        </w:rPr>
        <w:t>（四）项目实施及维保期限</w:t>
      </w:r>
    </w:p>
    <w:p w14:paraId="3C4E2D7A">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承接查验工作需遵循“准备充分、流程规范、分工明确、闭环管理”的原则，整体分为查验准备、现场查验、问题整改、成果确认四个阶段，具体实施流程如下：</w:t>
      </w:r>
    </w:p>
    <w:p w14:paraId="4C427FC2">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1.第一阶段：查验准备</w:t>
      </w:r>
    </w:p>
    <w:p w14:paraId="53B4C257">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准备工作是确保承接查验顺利开展的基础，由承接单位牵头，建设单位配合完成，核心工作包括以下4点：</w:t>
      </w:r>
    </w:p>
    <w:p w14:paraId="1B684684">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1）成立查验小组：明确查验小组组成人员，包括承接查验单位技术等相关岗位人员，建设单位项目负责人、施工负责人等，明确小组分工（如组长统筹整体工作、组员负责具体查验环节、记录人员负责资料整理等），制定查验工作纪律及时间节点。</w:t>
      </w:r>
    </w:p>
    <w:p w14:paraId="6E7A53A8">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2）收集相关资料：建设单位项目负责人需向承接单位提供项目相关资料，包括但不限于项目设计图纸、施工验收报告、合同文本（含交付标准）、项目完工总结、相关审批文件（规划、环保、消防等）、资料移交清单等，承接单位对资料进行整理、核对，确认资料齐全、规范。</w:t>
      </w:r>
    </w:p>
    <w:p w14:paraId="547F34EF">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（3）制定查验方案：查验小组结合项目实际情况、合同约定及相关规范，制定详细的查验方案，明确查验范围、查验重点、查验方法、时间安排及验收标准，避免查验工作盲目开展，确保查验全面、高效。</w:t>
      </w:r>
    </w:p>
    <w:p w14:paraId="6278F006">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（4）沟通对接：承接单位与建设单位项目负责人开展前期沟通，明确查验流程、双方配合事项（如现场引导、资料补充、问题答疑等），协调解决查验前的各类疑问，确保双方达成共识，为现场查验做好准备。</w:t>
      </w:r>
    </w:p>
    <w:p w14:paraId="41FA34BD">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2.第二阶段：现场查验</w:t>
      </w:r>
    </w:p>
    <w:p w14:paraId="2FCDA0E2">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现场查验是承接查验的核心环节，查验小组按照查验方案，对项目现场进行全面核查，重点关注项目整体完工状态、设计与实际建设的一致性、相关配套环节的完善性，具体实施要求如下：</w:t>
      </w:r>
    </w:p>
    <w:p w14:paraId="797E85F6">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1）分组开展查验：查验小组按照分工，分为若干专项小组（如整体布局查验组、配套环节查验组、资料核对组等），同步开展查验工作，提高查验效率；现场查验过程中，建设单位需安排专人陪同，负责现场引导、答疑，及时提供相关补充资料。</w:t>
      </w:r>
    </w:p>
    <w:p w14:paraId="670D212C">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2）规范查验记录：查验人员需对照查验方案及验收标准，对每一个查验环节进行详细记录，明确查验结果（合格、不合格、需整改），对不合格或需整改的环节，需详细描述问题现象、位置、不符合的规范/约定，同步拍摄现场照片（作为佐证资料），确保查验记录真实、完整、可追溯。</w:t>
      </w:r>
    </w:p>
    <w:p w14:paraId="7C358A59">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3）现场沟通确认：查验过程中，若发现疑问或分歧，查验小组与建设单位现场沟通，明确问题性质、整改要求，避免后期出现争议；对查验过程中确认合格的环节，双方现场签字确认，确保查验结果的有效性。</w:t>
      </w:r>
    </w:p>
    <w:p w14:paraId="70183E47">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3.第三阶段：问题整改</w:t>
      </w:r>
    </w:p>
    <w:p w14:paraId="3096BF0A">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针对现场查验发现的不合格、需整改的问题，建立问题整改台账，实行闭环管理，具体流程如下：</w:t>
      </w:r>
    </w:p>
    <w:p w14:paraId="275867FB">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（1）梳理问题台账：查验结束后，查验小组汇总所有查验问题，梳理形成《承接查验初验报告》，明确问题描述、整改要求、整改时限、责任单位（建设单位）、责任人，同步将台账提交建设单位确认。</w:t>
      </w:r>
    </w:p>
    <w:p w14:paraId="482B5D37">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2）限期整改落实：建设单位项目负责人按照整改台账要求，组织施工单位开展整改工作，整改过程中，承接单位可安排人员现场监督，了解整改进度及整改质量，对整改过程中出现的疑问，及时与建设单位沟通解决。</w:t>
      </w:r>
    </w:p>
    <w:p w14:paraId="0502BA96">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3）整改复核验收：建设单位项目负责人完成整改后，向承接单位提交整改完成报告及相关佐证资料（如整改照片、检测报告等），查验小组对整改内容进行复核，确认整改合格后，在整改台账上签字确认；若整改不合格，责令建设单位限期重新整改，直至符合要求。</w:t>
      </w:r>
    </w:p>
    <w:p w14:paraId="5EC14D03">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4.第四阶段：成果确认</w:t>
      </w:r>
    </w:p>
    <w:p w14:paraId="29086978">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整改工作全部完成、复核合格后，进入成果确认阶段，核心工作包括：</w:t>
      </w:r>
    </w:p>
    <w:p w14:paraId="74822BC6">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（1）整理查验资料：查验小组整理所有查验相关资料，包括查验方案、查验记录、问题整改台账、整改佐证资料、现场照片等，形成完整的《承接查验报告》，明确查验总体结论（合格、同意承接）。</w:t>
      </w:r>
    </w:p>
    <w:p w14:paraId="4EAC19B7">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（2）双方签字确认：《承接查验复验报告》经查验小组、建设单位、承接单位三方审核确认后，各方签字盖章，作为项目承接的正式依据，明确项目交付完成，责任正式移交。</w:t>
      </w:r>
    </w:p>
    <w:p w14:paraId="5EF6F3BE">
      <w:pPr>
        <w:spacing w:before="120" w:after="120" w:line="288" w:lineRule="auto"/>
        <w:ind w:firstLine="640" w:firstLineChars="200"/>
        <w:rPr>
          <w:rFonts w:hint="eastAsia" w:ascii="仿宋_GB2312" w:hAnsi="华文仿宋" w:eastAsia="仿宋_GB2312" w:cs="仿宋_GB2312"/>
          <w:sz w:val="32"/>
          <w:szCs w:val="32"/>
        </w:rPr>
      </w:pPr>
      <w:r>
        <w:rPr>
          <w:rFonts w:hint="eastAsia" w:ascii="仿宋_GB2312" w:hAnsi="华文仿宋" w:eastAsia="仿宋_GB2312" w:cs="仿宋_GB2312"/>
          <w:sz w:val="32"/>
          <w:szCs w:val="32"/>
        </w:rPr>
        <w:t>（3）资料归档：承接单位将《承接查验复验报告》及相关查验资料、项目移交资料一并归档，建立专门的项目承接档案，为后续运营管理、维护检修提供参考。</w:t>
      </w:r>
      <w:bookmarkEnd w:id="0"/>
    </w:p>
    <w:p w14:paraId="4AFD6885">
      <w:pPr>
        <w:pStyle w:val="3"/>
        <w:spacing w:before="0" w:after="0" w:line="560" w:lineRule="exact"/>
        <w:ind w:firstLine="640" w:firstLineChars="200"/>
        <w:rPr>
          <w:rFonts w:hint="eastAsia" w:ascii="黑体" w:hAnsi="黑体" w:eastAsia="黑体" w:cs="黑体"/>
          <w:b w:val="0"/>
          <w:bCs w:val="0"/>
          <w:sz w:val="32"/>
        </w:rPr>
      </w:pPr>
      <w:r>
        <w:rPr>
          <w:rFonts w:hint="eastAsia" w:ascii="黑体" w:hAnsi="黑体" w:eastAsia="黑体" w:cs="黑体"/>
          <w:b w:val="0"/>
          <w:bCs w:val="0"/>
          <w:sz w:val="32"/>
        </w:rPr>
        <w:t>三、其他要求</w:t>
      </w:r>
    </w:p>
    <w:p w14:paraId="798B5D9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成果交付：服务期内完成不少于2次承接查验，提交2份正式查验报告。服务方应根据项目开发进度、分期交付计划，按每批次承接查验完成后5个工作日内提交正式查验报告；报告份数、提交节点、归档要求按甲方及物业相关规定执行。服务期结束后提交整体承接查验总结报告1份。</w:t>
      </w:r>
    </w:p>
    <w:p w14:paraId="7F232F34">
      <w:pPr>
        <w:pStyle w:val="4"/>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人员要求：配备专业技术团队（各专业工程师总人数不少于10人），现场查验需专人全程负责，确保查验规范、记录真实、整改闭环。</w:t>
      </w:r>
    </w:p>
    <w:p w14:paraId="6BCBA5BF">
      <w:pPr>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恒安苑07-07（下称“小区”）位于宝安区冼祠路与祠堂路交叉口东南160米，占地面积12319.98平方米。地上29层建筑高度99米，地下室2层，总建筑面积约72891.51平方米，计容面积约49278平方米，其中：宿舍用房建筑面积42208平方米，社区管理管理用房300平方米，社区服务中心400平米，社区及公共配套用房3450平米，社区健康服务中心1400平米，社区菜市场1500平米，环卫工人休息房20平米。绿化面积（含架空层）4000平方米；地下设备房、停车场及其他核增建筑面积约18027.94平方米；地下机动车停车位283个。</w:t>
      </w:r>
    </w:p>
    <w:p w14:paraId="6615375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4.恒安苑07-07</w:t>
      </w:r>
      <w:r>
        <w:rPr>
          <w:rFonts w:hint="eastAsia" w:ascii="仿宋_GB2312" w:hAnsi="仿宋_GB2312" w:eastAsia="仿宋_GB2312" w:cs="仿宋_GB2312"/>
          <w:sz w:val="32"/>
          <w:szCs w:val="32"/>
        </w:rPr>
        <w:t>（下称“</w:t>
      </w:r>
      <w:r>
        <w:rPr>
          <w:rFonts w:hint="eastAsia" w:ascii="仿宋_GB2312" w:hAnsi="仿宋_GB2312" w:eastAsia="仿宋_GB2312" w:cs="仿宋_GB2312"/>
          <w:sz w:val="32"/>
          <w:szCs w:val="32"/>
          <w:lang w:val="en-US" w:eastAsia="zh-CN"/>
        </w:rPr>
        <w:t>小区</w:t>
      </w:r>
      <w:r>
        <w:rPr>
          <w:rFonts w:hint="eastAsia" w:ascii="仿宋_GB2312" w:hAnsi="仿宋_GB2312" w:eastAsia="仿宋_GB2312" w:cs="仿宋_GB2312"/>
          <w:sz w:val="32"/>
          <w:szCs w:val="32"/>
        </w:rPr>
        <w:t>”）位于宝安区冼祠路与祠堂路交叉口东南160米，占地面积12319.98平方米。</w:t>
      </w:r>
      <w:r>
        <w:rPr>
          <w:rFonts w:hint="eastAsia" w:ascii="仿宋_GB2312" w:hAnsi="仿宋_GB2312" w:eastAsia="仿宋_GB2312" w:cs="仿宋_GB2312"/>
          <w:sz w:val="32"/>
          <w:szCs w:val="32"/>
          <w:lang w:val="en-US" w:eastAsia="zh-CN"/>
        </w:rPr>
        <w:t>地上29层</w:t>
      </w:r>
      <w:r>
        <w:rPr>
          <w:rFonts w:hint="eastAsia" w:ascii="仿宋_GB2312" w:hAnsi="仿宋_GB2312" w:eastAsia="仿宋_GB2312" w:cs="仿宋_GB2312"/>
          <w:color w:val="auto"/>
          <w:sz w:val="32"/>
          <w:szCs w:val="32"/>
          <w:lang w:val="en-US" w:eastAsia="zh-CN"/>
        </w:rPr>
        <w:t>建筑高度99米</w:t>
      </w:r>
      <w:r>
        <w:rPr>
          <w:rFonts w:hint="eastAsia" w:ascii="仿宋_GB2312" w:hAnsi="仿宋_GB2312" w:eastAsia="仿宋_GB2312" w:cs="仿宋_GB2312"/>
          <w:color w:val="auto"/>
          <w:sz w:val="32"/>
          <w:szCs w:val="32"/>
        </w:rPr>
        <w:t>，地下室</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层</w:t>
      </w:r>
      <w:r>
        <w:rPr>
          <w:rFonts w:hint="eastAsia" w:ascii="仿宋_GB2312" w:hAnsi="仿宋_GB2312" w:eastAsia="仿宋_GB2312" w:cs="仿宋_GB2312"/>
          <w:sz w:val="32"/>
          <w:szCs w:val="32"/>
        </w:rPr>
        <w:t>，总建筑面积约</w:t>
      </w:r>
      <w:r>
        <w:rPr>
          <w:rFonts w:hint="eastAsia" w:ascii="仿宋_GB2312" w:hAnsi="仿宋_GB2312" w:eastAsia="仿宋_GB2312" w:cs="仿宋_GB2312"/>
          <w:sz w:val="32"/>
          <w:szCs w:val="32"/>
          <w:lang w:val="en-US" w:eastAsia="zh-CN"/>
        </w:rPr>
        <w:t>72891.51</w:t>
      </w:r>
      <w:r>
        <w:rPr>
          <w:rFonts w:hint="eastAsia" w:ascii="仿宋_GB2312" w:hAnsi="仿宋_GB2312" w:eastAsia="仿宋_GB2312" w:cs="仿宋_GB2312"/>
          <w:sz w:val="32"/>
          <w:szCs w:val="32"/>
        </w:rPr>
        <w:t>平方米，计容面积约</w:t>
      </w:r>
      <w:r>
        <w:rPr>
          <w:rFonts w:hint="eastAsia" w:ascii="仿宋_GB2312" w:hAnsi="仿宋_GB2312" w:eastAsia="仿宋_GB2312" w:cs="仿宋_GB2312"/>
          <w:sz w:val="32"/>
          <w:szCs w:val="32"/>
          <w:lang w:val="en-US" w:eastAsia="zh-CN"/>
        </w:rPr>
        <w:t>49278</w:t>
      </w:r>
      <w:r>
        <w:rPr>
          <w:rFonts w:hint="eastAsia" w:ascii="仿宋_GB2312" w:hAnsi="仿宋_GB2312" w:eastAsia="仿宋_GB2312" w:cs="仿宋_GB2312"/>
          <w:sz w:val="32"/>
          <w:szCs w:val="32"/>
        </w:rPr>
        <w:t>平方米，其中：</w:t>
      </w:r>
      <w:r>
        <w:rPr>
          <w:rFonts w:hint="eastAsia" w:ascii="仿宋_GB2312" w:hAnsi="仿宋_GB2312" w:eastAsia="仿宋_GB2312" w:cs="仿宋_GB2312"/>
          <w:sz w:val="32"/>
          <w:szCs w:val="32"/>
          <w:lang w:val="en-US" w:eastAsia="zh-CN"/>
        </w:rPr>
        <w:t>宿舍</w:t>
      </w:r>
      <w:r>
        <w:rPr>
          <w:rFonts w:hint="eastAsia" w:ascii="仿宋_GB2312" w:hAnsi="仿宋_GB2312" w:eastAsia="仿宋_GB2312" w:cs="仿宋_GB2312"/>
          <w:sz w:val="32"/>
          <w:szCs w:val="32"/>
        </w:rPr>
        <w:t>用房建筑面积</w:t>
      </w:r>
      <w:r>
        <w:rPr>
          <w:rFonts w:hint="eastAsia" w:ascii="仿宋_GB2312" w:hAnsi="仿宋_GB2312" w:eastAsia="仿宋_GB2312" w:cs="仿宋_GB2312"/>
          <w:sz w:val="32"/>
          <w:szCs w:val="32"/>
          <w:lang w:val="en-US" w:eastAsia="zh-CN"/>
        </w:rPr>
        <w:t>42208</w:t>
      </w:r>
      <w:r>
        <w:rPr>
          <w:rFonts w:hint="eastAsia" w:ascii="仿宋_GB2312" w:hAnsi="仿宋_GB2312" w:eastAsia="仿宋_GB2312" w:cs="仿宋_GB2312"/>
          <w:sz w:val="32"/>
          <w:szCs w:val="32"/>
        </w:rPr>
        <w:t>平方米，</w:t>
      </w:r>
      <w:r>
        <w:rPr>
          <w:rFonts w:hint="eastAsia" w:ascii="仿宋_GB2312" w:hAnsi="仿宋_GB2312" w:eastAsia="仿宋_GB2312" w:cs="仿宋_GB2312"/>
          <w:sz w:val="32"/>
          <w:szCs w:val="32"/>
          <w:lang w:val="en-US" w:eastAsia="zh-CN"/>
        </w:rPr>
        <w:t>社区管理管理用房300平方米，社区服务中心400平米，社区及公共配套用房3450平米，社区健康服务中心1400平米，社区菜市场1500平米，环卫工人休息房20平米。绿化面积（含架空层）4000</w:t>
      </w:r>
      <w:r>
        <w:rPr>
          <w:rFonts w:hint="eastAsia" w:ascii="仿宋_GB2312" w:hAnsi="仿宋_GB2312" w:eastAsia="仿宋_GB2312" w:cs="仿宋_GB2312"/>
          <w:sz w:val="32"/>
          <w:szCs w:val="32"/>
        </w:rPr>
        <w:t>平方米；地下设备房、停车场及其他核增建筑面积约</w:t>
      </w:r>
      <w:r>
        <w:rPr>
          <w:rFonts w:hint="eastAsia" w:ascii="仿宋_GB2312" w:hAnsi="仿宋_GB2312" w:eastAsia="仿宋_GB2312" w:cs="仿宋_GB2312"/>
          <w:sz w:val="32"/>
          <w:szCs w:val="32"/>
          <w:lang w:val="en-US" w:eastAsia="zh-CN"/>
        </w:rPr>
        <w:t>18027.94</w:t>
      </w:r>
      <w:r>
        <w:rPr>
          <w:rFonts w:hint="eastAsia" w:ascii="仿宋_GB2312" w:hAnsi="仿宋_GB2312" w:eastAsia="仿宋_GB2312" w:cs="仿宋_GB2312"/>
          <w:sz w:val="32"/>
          <w:szCs w:val="32"/>
        </w:rPr>
        <w:t>平方米；地下机动车停车位</w:t>
      </w:r>
      <w:r>
        <w:rPr>
          <w:rFonts w:hint="eastAsia" w:ascii="仿宋_GB2312" w:hAnsi="仿宋_GB2312" w:eastAsia="仿宋_GB2312" w:cs="仿宋_GB2312"/>
          <w:sz w:val="32"/>
          <w:szCs w:val="32"/>
          <w:lang w:val="en-US" w:eastAsia="zh-CN"/>
        </w:rPr>
        <w:t>283</w:t>
      </w:r>
      <w:r>
        <w:rPr>
          <w:rFonts w:hint="eastAsia" w:ascii="仿宋_GB2312" w:hAnsi="仿宋_GB2312" w:eastAsia="仿宋_GB2312" w:cs="仿宋_GB2312"/>
          <w:sz w:val="32"/>
          <w:szCs w:val="32"/>
        </w:rPr>
        <w:t>个。</w:t>
      </w:r>
    </w:p>
    <w:p w14:paraId="5573BCEC">
      <w:pPr>
        <w:ind w:firstLine="640" w:firstLineChars="200"/>
        <w:rPr>
          <w:rFonts w:ascii="仿宋_GB2312" w:hAnsi="仿宋_GB2312" w:eastAsia="仿宋_GB2312" w:cs="仿宋_GB2312"/>
          <w:sz w:val="32"/>
          <w:szCs w:val="32"/>
          <w:lang w:val="en-US" w:eastAsia="zh-CN"/>
        </w:rPr>
      </w:pPr>
    </w:p>
    <w:p w14:paraId="5FBAE66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Lucida Sans">
    <w:altName w:val="Lucida Sans Unicode"/>
    <w:panose1 w:val="020B0602030504020204"/>
    <w:charset w:val="00"/>
    <w:family w:val="auto"/>
    <w:pitch w:val="default"/>
    <w:sig w:usb0="00000000" w:usb1="00000000" w:usb2="00000000" w:usb3="00000000" w:csb0="2000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Lucida Sans Unicode">
    <w:panose1 w:val="020B0602030504020204"/>
    <w:charset w:val="00"/>
    <w:family w:val="auto"/>
    <w:pitch w:val="default"/>
    <w:sig w:usb0="80001AFF" w:usb1="0000396B" w:usb2="00000000" w:usb3="00000000" w:csb0="200000B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25603B"/>
    <w:rsid w:val="15256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next w:val="1"/>
    <w:qFormat/>
    <w:uiPriority w:val="0"/>
    <w:pPr>
      <w:wordWrap w:val="0"/>
      <w:spacing w:after="160"/>
      <w:jc w:val="both"/>
      <w:outlineLvl w:val="0"/>
    </w:pPr>
    <w:rPr>
      <w:rFonts w:ascii="Times New Roman" w:hAnsi="Times New Roman" w:eastAsia="宋体" w:cs="Times New Roman"/>
      <w:sz w:val="28"/>
      <w:szCs w:val="20"/>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b/>
      <w:bCs/>
      <w:sz w:val="24"/>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2026-04-17T08:49:00Z</dcterms:created>
  <dc:creator>陈q</dc:creator>
  <cp:lastModifiedBy>陈q</cp:lastModifiedBy>
  <dcterms:modified xsi:type="dcterms:W3CDTF">2026-04-17T08:49:53Z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81E217C1D93D4B34BFECE42A4929583A_11</vt:lpwstr>
  </property>
  <property fmtid="{D5CDD505-2E9C-101B-9397-08002B2CF9AE}" pid="4" name="KSOTemplateDocerSaveRecord">
    <vt:lpwstr>eyJoZGlkIjoiY2U4ZjAwN2IxZTZkZGVmNDE3OGQ1YjUxNmU2MTIxNWEiLCJ1c2VySWQiOiIzMDM5ODc0MjAifQ==</vt:lpwstr>
  </property>
</Properties>
</file>