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1"/>
        <w:widowControl/>
      </w:pPr>
      <mc:AlternateContent>
        <mc:Choice Requires="wpsCustomData">
          <wpsCustomData:docfieldStart id="0" docfieldname="标题_1" hidden="0" print="1" readonly="0" index="3"/>
        </mc:Choice>
      </mc:AlternateContent>
      <w:r>
        <w:t>梧桐山河</w:t>
      </w:r>
      <w:r>
        <w:rPr>
          <w:rFonts w:hint="eastAsia"/>
          <w:lang w:val="en-US" w:eastAsia="zh-CN"/>
        </w:rPr>
        <w:t>滨水</w:t>
      </w:r>
      <w:r>
        <w:t>市集</w:t>
      </w:r>
      <w:r>
        <w:rPr>
          <w:rFonts w:hint="eastAsia"/>
          <w:lang w:val="en-US" w:eastAsia="zh-CN"/>
        </w:rPr>
        <w:t>建设及运营</w:t>
      </w:r>
      <w:r>
        <w:t>项目</w:t>
      </w:r>
      <w:r>
        <w:rPr>
          <w:rFonts w:hint="eastAsia"/>
          <w:lang w:val="en-US" w:eastAsia="zh-CN"/>
        </w:rPr>
        <w:t>服务</w:t>
      </w:r>
      <w:r>
        <w:t>需求书</w:t>
      </w:r>
      <mc:AlternateContent>
        <mc:Choice Requires="wpsCustomData">
          <wpsCustomData:docfieldEnd id="0"/>
        </mc:Choice>
      </mc:AlternateContent>
    </w:p>
    <w:p>
      <w:pPr>
        <w:pStyle w:val="19"/>
        <w:bidi w:val="0"/>
        <w:spacing w:beforeAutospacing="0" w:afterAutospacing="0" w:line="300" w:lineRule="exact"/>
        <w:rPr>
          <w:rFonts w:hint="eastAsia"/>
          <w:lang w:eastAsia="zh-CN"/>
        </w:rPr>
      </w:pPr>
    </w:p>
    <w:p>
      <w:pPr>
        <w:pStyle w:val="3"/>
        <w:widowControl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r>
        <w:rPr>
          <w:rFonts w:hint="eastAsia"/>
          <w:lang w:eastAsia="zh-CN"/>
        </w:rPr>
        <w:t>一、</w:t>
      </w:r>
      <w:r>
        <w:t>项目背景</w:t>
      </w:r>
    </w:p>
    <w:p>
      <w:pPr>
        <w:pStyle w:val="19"/>
        <w:widowControl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仿宋_GB2312"/>
          <w:sz w:val="32"/>
          <w:szCs w:val="32"/>
        </w:rPr>
        <w:t>为进一步提升梧桐山滨水两岸服务配套水平，丰富游客消费体验，推动滨水空间资源活化利用，深圳市罗湖文旅投资有限公司拟打造“梧桐山河市集”项目。项目拟采取轻量化、低投入、可调整的试运营模式，在滨水区域先行打造周末市集消费场景，通过引入特色消费业态，完善游客服务配套，提升区域人气和文旅消费活力，为后续沿线物业活化运营及商业业态导入提供实践基础。</w:t>
      </w:r>
      <w:r>
        <w:rPr>
          <w:rFonts w:hint="eastAsia" w:cs="仿宋_GB2312"/>
          <w:sz w:val="32"/>
          <w:szCs w:val="32"/>
          <w:lang w:val="en-US" w:eastAsia="zh-CN"/>
        </w:rPr>
        <w:t>深圳市罗湖文旅投资有限公司拟委托第三方专业机构（以下简称：乙方）提供</w:t>
      </w:r>
      <w:r>
        <w:t>梧桐山河</w:t>
      </w:r>
      <w:r>
        <w:rPr>
          <w:rFonts w:hint="eastAsia"/>
          <w:lang w:val="en-US" w:eastAsia="zh-CN"/>
        </w:rPr>
        <w:t>滨水</w:t>
      </w:r>
      <w:r>
        <w:t>市集</w:t>
      </w:r>
      <w:r>
        <w:rPr>
          <w:rFonts w:hint="eastAsia"/>
          <w:lang w:val="en-US" w:eastAsia="zh-CN"/>
        </w:rPr>
        <w:t>项目建设运营服务。</w:t>
      </w:r>
    </w:p>
    <w:p>
      <w:pPr>
        <w:pStyle w:val="3"/>
        <w:widowControl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r>
        <w:rPr>
          <w:rFonts w:hint="eastAsia"/>
          <w:lang w:eastAsia="zh-CN"/>
        </w:rPr>
        <w:t>二、</w:t>
      </w:r>
      <w:r>
        <w:t>服务内容</w:t>
      </w:r>
      <w:bookmarkStart w:id="0" w:name="_GoBack"/>
      <w:bookmarkEnd w:id="0"/>
    </w:p>
    <w:p>
      <w:pPr>
        <w:pStyle w:val="4"/>
        <w:widowControl/>
        <w:numPr>
          <w:ilvl w:val="0"/>
          <w:numId w:val="0"/>
        </w:numPr>
        <w:topLinePunct w:val="0"/>
        <w:ind w:left="0" w:leftChars="0" w:firstLine="640"/>
        <w:rPr>
          <w:rFonts w:hint="eastAsia" w:ascii="楷体_GB2312" w:hAnsi="楷体_GB2312" w:eastAsia="楷体_GB2312" w:cs="楷体_GB2312"/>
          <w:b w:val="0"/>
        </w:rPr>
      </w:pPr>
      <w:r>
        <w:rPr>
          <w:rFonts w:hint="eastAsia"/>
          <w:lang w:eastAsia="zh-CN"/>
        </w:rPr>
        <w:t>（一）</w:t>
      </w:r>
      <w:r>
        <w:t>市集整体策划及运营方案制定</w:t>
      </w:r>
    </w:p>
    <w:p>
      <w:pPr>
        <w:pStyle w:val="19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负责梧桐山河市集整体运营策划，包括项目定位、主题策划、空间布局、业态规划、运营机制、活动组织等内容，形成符合滨水生态场景的运营方案。</w:t>
      </w:r>
    </w:p>
    <w:p>
      <w:pPr>
        <w:pStyle w:val="4"/>
        <w:widowControl/>
        <w:numPr>
          <w:ilvl w:val="0"/>
          <w:numId w:val="0"/>
        </w:numPr>
        <w:topLinePunct w:val="0"/>
        <w:ind w:left="0" w:leftChars="0" w:firstLine="640"/>
        <w:rPr>
          <w:rFonts w:hint="eastAsia" w:ascii="楷体_GB2312" w:hAnsi="楷体_GB2312" w:eastAsia="楷体_GB2312" w:cs="楷体_GB2312"/>
          <w:b w:val="0"/>
        </w:rPr>
      </w:pPr>
      <w:r>
        <w:rPr>
          <w:rFonts w:hint="eastAsia"/>
          <w:lang w:eastAsia="zh-CN"/>
        </w:rPr>
        <w:t>（二）</w:t>
      </w:r>
      <w:r>
        <w:t>市集摊位建设及基础配置</w:t>
      </w:r>
    </w:p>
    <w:p>
      <w:pPr>
        <w:pStyle w:val="19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根据现场空间条件，完成一期</w:t>
      </w:r>
      <w:r>
        <w:rPr>
          <w:rFonts w:hint="eastAsia" w:cs="仿宋_GB2312"/>
          <w:sz w:val="32"/>
          <w:szCs w:val="32"/>
          <w:lang w:val="en-US" w:eastAsia="zh-CN"/>
        </w:rPr>
        <w:t>6~10</w:t>
      </w:r>
      <w:r>
        <w:rPr>
          <w:rFonts w:ascii="Times New Roman" w:hAnsi="Times New Roman" w:eastAsia="仿宋_GB2312" w:cs="仿宋_GB2312"/>
          <w:sz w:val="32"/>
          <w:szCs w:val="32"/>
        </w:rPr>
        <w:t>个市集摊位的规划布局及基础配置</w:t>
      </w:r>
      <w:r>
        <w:rPr>
          <w:rFonts w:hint="eastAsia" w:cs="仿宋_GB2312"/>
          <w:sz w:val="32"/>
          <w:szCs w:val="32"/>
          <w:lang w:eastAsia="zh-CN"/>
        </w:rPr>
        <w:t>（实际市集摊位数量以最终招募人确定为准）</w:t>
      </w:r>
      <w:r>
        <w:rPr>
          <w:rFonts w:ascii="Times New Roman" w:hAnsi="Times New Roman" w:eastAsia="仿宋_GB2312" w:cs="仿宋_GB2312"/>
          <w:sz w:val="32"/>
          <w:szCs w:val="32"/>
        </w:rPr>
        <w:t>，包括但不限于：</w:t>
      </w:r>
    </w:p>
    <w:p>
      <w:pPr>
        <w:pStyle w:val="19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1.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轻量化标准摊位设计及布置；</w:t>
      </w:r>
    </w:p>
    <w:p>
      <w:pPr>
        <w:pStyle w:val="19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2.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摊位形象统一设计；</w:t>
      </w:r>
    </w:p>
    <w:p>
      <w:pPr>
        <w:pStyle w:val="19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3.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基础用电、照明、安全设施配置；</w:t>
      </w:r>
    </w:p>
    <w:p>
      <w:pPr>
        <w:pStyle w:val="19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4.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现场导视、运营规则、安全提示等公共设施设置。</w:t>
      </w:r>
    </w:p>
    <w:p>
      <w:pPr>
        <w:pStyle w:val="19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确保市集空间安全、美观、实用，满足周末运营需求。</w:t>
      </w:r>
    </w:p>
    <w:p>
      <w:pPr>
        <w:pStyle w:val="4"/>
        <w:widowControl/>
        <w:numPr>
          <w:ilvl w:val="0"/>
          <w:numId w:val="0"/>
        </w:numPr>
        <w:topLinePunct w:val="0"/>
        <w:ind w:left="0" w:leftChars="0" w:firstLine="640"/>
        <w:rPr>
          <w:rFonts w:hint="eastAsia" w:ascii="楷体_GB2312" w:hAnsi="楷体_GB2312" w:eastAsia="楷体_GB2312" w:cs="楷体_GB2312"/>
          <w:b w:val="0"/>
        </w:rPr>
      </w:pPr>
      <w:r>
        <w:rPr>
          <w:rFonts w:hint="eastAsia"/>
          <w:lang w:eastAsia="zh-CN"/>
        </w:rPr>
        <w:t>（三）</w:t>
      </w:r>
      <w:r>
        <w:t>招商及商户运营管理</w:t>
      </w:r>
    </w:p>
    <w:p>
      <w:pPr>
        <w:pStyle w:val="19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负责开展市集招商工作，引入符合项目定位的优质商户资源。</w:t>
      </w:r>
    </w:p>
    <w:p>
      <w:pPr>
        <w:pStyle w:val="19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招商业态原则包括：</w:t>
      </w:r>
    </w:p>
    <w:p>
      <w:pPr>
        <w:pStyle w:val="19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Style w:val="164"/>
          <w:rFonts w:hint="eastAsia"/>
          <w:lang w:eastAsia="zh-CN"/>
        </w:rPr>
        <w:t>1.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Style w:val="164"/>
        </w:rPr>
        <w:t>轻餐饮类</w:t>
      </w:r>
      <w:r>
        <w:rPr>
          <w:rFonts w:ascii="Times New Roman" w:hAnsi="Times New Roman" w:eastAsia="仿宋_GB2312" w:cs="仿宋_GB2312"/>
          <w:sz w:val="32"/>
          <w:szCs w:val="32"/>
        </w:rPr>
        <w:t>：咖啡、茶饮、烘焙、轻食、特色饮品等；</w:t>
      </w:r>
    </w:p>
    <w:p>
      <w:pPr>
        <w:pStyle w:val="19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Style w:val="164"/>
          <w:rFonts w:hint="eastAsia"/>
          <w:lang w:eastAsia="zh-CN"/>
        </w:rPr>
        <w:t>2.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Style w:val="164"/>
        </w:rPr>
        <w:t>文创体验类</w:t>
      </w:r>
      <w:r>
        <w:rPr>
          <w:rFonts w:ascii="Times New Roman" w:hAnsi="Times New Roman" w:eastAsia="仿宋_GB2312" w:cs="仿宋_GB2312"/>
          <w:sz w:val="32"/>
          <w:szCs w:val="32"/>
        </w:rPr>
        <w:t>：文创产品、旅游纪念品、手工体验等；</w:t>
      </w:r>
    </w:p>
    <w:p>
      <w:pPr>
        <w:pStyle w:val="19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Style w:val="164"/>
          <w:rFonts w:hint="eastAsia"/>
          <w:lang w:eastAsia="zh-CN"/>
        </w:rPr>
        <w:t>3.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Style w:val="164"/>
        </w:rPr>
        <w:t>休闲服务类</w:t>
      </w:r>
      <w:r>
        <w:rPr>
          <w:rFonts w:ascii="Times New Roman" w:hAnsi="Times New Roman" w:eastAsia="仿宋_GB2312" w:cs="仿宋_GB2312"/>
          <w:sz w:val="32"/>
          <w:szCs w:val="32"/>
        </w:rPr>
        <w:t>：游客服务、主题活动、特色快闪等。</w:t>
      </w:r>
    </w:p>
    <w:p>
      <w:pPr>
        <w:pStyle w:val="19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负责商户筛选、入驻管理、经营规范管理及日常沟通协调，确保经营品质。</w:t>
      </w:r>
    </w:p>
    <w:p>
      <w:pPr>
        <w:pStyle w:val="4"/>
        <w:widowControl/>
        <w:numPr>
          <w:ilvl w:val="0"/>
          <w:numId w:val="0"/>
        </w:numPr>
        <w:topLinePunct w:val="0"/>
        <w:ind w:left="0" w:leftChars="0" w:firstLine="640"/>
        <w:rPr>
          <w:rFonts w:hint="eastAsia" w:ascii="楷体_GB2312" w:hAnsi="楷体_GB2312" w:eastAsia="楷体_GB2312" w:cs="楷体_GB2312"/>
          <w:b w:val="0"/>
        </w:rPr>
      </w:pPr>
      <w:r>
        <w:rPr>
          <w:rFonts w:hint="eastAsia"/>
          <w:lang w:eastAsia="zh-CN"/>
        </w:rPr>
        <w:t>（四）</w:t>
      </w:r>
      <w:r>
        <w:t>日常运营管理及活动策划</w:t>
      </w:r>
    </w:p>
    <w:p>
      <w:pPr>
        <w:pStyle w:val="19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负责市集试运营期间现场管理工作，包括：</w:t>
      </w:r>
    </w:p>
    <w:p>
      <w:pPr>
        <w:pStyle w:val="19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1.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周末及节假日市集运营组织；</w:t>
      </w:r>
    </w:p>
    <w:p>
      <w:pPr>
        <w:pStyle w:val="19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2.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现场秩序维护、环境卫生管理；</w:t>
      </w:r>
    </w:p>
    <w:p>
      <w:pPr>
        <w:pStyle w:val="19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3.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商户运营协调及服务保障；</w:t>
      </w:r>
    </w:p>
    <w:p>
      <w:pPr>
        <w:pStyle w:val="19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4.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客流数据、营业数据统计分析；</w:t>
      </w:r>
    </w:p>
    <w:p>
      <w:pPr>
        <w:pStyle w:val="19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5.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主题活动活动策划执行。</w:t>
      </w:r>
    </w:p>
    <w:p>
      <w:pPr>
        <w:pStyle w:val="19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通过持续运营提升市集影响力和消费吸引力。</w:t>
      </w:r>
    </w:p>
    <w:p>
      <w:pPr>
        <w:pStyle w:val="4"/>
        <w:widowControl/>
        <w:numPr>
          <w:ilvl w:val="0"/>
          <w:numId w:val="0"/>
        </w:numPr>
        <w:topLinePunct w:val="0"/>
        <w:ind w:left="0" w:leftChars="0" w:firstLine="640"/>
        <w:rPr>
          <w:rFonts w:hint="eastAsia" w:ascii="楷体_GB2312" w:hAnsi="楷体_GB2312" w:eastAsia="楷体_GB2312" w:cs="楷体_GB2312"/>
          <w:b w:val="0"/>
        </w:rPr>
      </w:pPr>
      <w:r>
        <w:rPr>
          <w:rFonts w:hint="eastAsia"/>
          <w:lang w:eastAsia="zh-CN"/>
        </w:rPr>
        <w:t>（五）</w:t>
      </w:r>
      <w:r>
        <w:t>数据统计及运营评估</w:t>
      </w:r>
    </w:p>
    <w:p>
      <w:pPr>
        <w:pStyle w:val="19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建立项目运营台账，定期形成运营分析报告，包括：</w:t>
      </w:r>
    </w:p>
    <w:p>
      <w:pPr>
        <w:pStyle w:val="19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1.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客流情况；</w:t>
      </w:r>
    </w:p>
    <w:p>
      <w:pPr>
        <w:pStyle w:val="19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2.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商户经营情况；</w:t>
      </w:r>
    </w:p>
    <w:p>
      <w:pPr>
        <w:pStyle w:val="19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3.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消费数据分析；</w:t>
      </w:r>
    </w:p>
    <w:p>
      <w:pPr>
        <w:pStyle w:val="19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4.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游客反馈情况；</w:t>
      </w:r>
    </w:p>
    <w:p>
      <w:pPr>
        <w:pStyle w:val="19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5.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项目优化建议。</w:t>
      </w:r>
    </w:p>
    <w:p>
      <w:pPr>
        <w:pStyle w:val="19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为后续滨水空间商业开发提供决策依据。</w:t>
      </w:r>
    </w:p>
    <w:p>
      <w:pPr>
        <w:pStyle w:val="3"/>
        <w:widowControl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r>
        <w:rPr>
          <w:rFonts w:hint="eastAsia"/>
          <w:lang w:eastAsia="zh-CN"/>
        </w:rPr>
        <w:t>三、</w:t>
      </w:r>
      <w:r>
        <w:t>项目合作模式</w:t>
      </w:r>
    </w:p>
    <w:p>
      <w:pPr>
        <w:pStyle w:val="19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项目拟采用市场化收益分成模式，由第三方运营单位负责日常经营管理，并按照双方约定比例向文旅公司支付运营收益分成。</w:t>
      </w:r>
    </w:p>
    <w:p>
      <w:pPr>
        <w:pStyle w:val="3"/>
        <w:widowControl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r>
        <w:rPr>
          <w:rFonts w:hint="eastAsia"/>
          <w:lang w:val="en-US" w:eastAsia="zh-CN"/>
        </w:rPr>
        <w:t>四</w:t>
      </w:r>
      <w:r>
        <w:rPr>
          <w:rFonts w:hint="eastAsia"/>
          <w:lang w:eastAsia="zh-CN"/>
        </w:rPr>
        <w:t>、</w:t>
      </w:r>
      <w:r>
        <w:t>有关要求</w:t>
      </w:r>
    </w:p>
    <w:p>
      <w:pPr>
        <w:pStyle w:val="4"/>
        <w:widowControl/>
        <w:numPr>
          <w:ilvl w:val="0"/>
          <w:numId w:val="0"/>
        </w:numPr>
        <w:topLinePunct w:val="0"/>
        <w:ind w:left="0" w:leftChars="0" w:firstLine="640"/>
        <w:rPr>
          <w:rFonts w:hint="eastAsia" w:ascii="楷体_GB2312" w:hAnsi="楷体_GB2312" w:eastAsia="楷体_GB2312" w:cs="楷体_GB2312"/>
          <w:b w:val="0"/>
        </w:rPr>
      </w:pPr>
      <w:r>
        <w:rPr>
          <w:rFonts w:hint="eastAsia"/>
          <w:lang w:eastAsia="zh-CN"/>
        </w:rPr>
        <w:t>（一）</w:t>
      </w:r>
      <w:r>
        <w:t>资格要求</w:t>
      </w:r>
    </w:p>
    <w:p>
      <w:pPr>
        <w:pStyle w:val="19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1.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具有独立法人资格，具备承担项目实施的能力；</w:t>
      </w:r>
    </w:p>
    <w:p>
      <w:pPr>
        <w:pStyle w:val="19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2.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具有市集运营、商业空间运营、文旅消费场景打造等相关经验；</w:t>
      </w:r>
    </w:p>
    <w:p>
      <w:pPr>
        <w:pStyle w:val="19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3.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具备专业运营团队和成熟招商资源；</w:t>
      </w:r>
    </w:p>
    <w:p>
      <w:pPr>
        <w:pStyle w:val="19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4.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具有良好的商业信誉和安全管理能力。</w:t>
      </w:r>
    </w:p>
    <w:p>
      <w:pPr>
        <w:pStyle w:val="4"/>
        <w:widowControl/>
        <w:numPr>
          <w:ilvl w:val="0"/>
          <w:numId w:val="0"/>
        </w:numPr>
        <w:topLinePunct w:val="0"/>
        <w:ind w:left="0" w:leftChars="0" w:firstLine="640"/>
        <w:rPr>
          <w:rFonts w:hint="eastAsia" w:ascii="楷体_GB2312" w:hAnsi="楷体_GB2312" w:eastAsia="楷体_GB2312" w:cs="楷体_GB2312"/>
          <w:b w:val="0"/>
        </w:rPr>
      </w:pPr>
      <w:r>
        <w:rPr>
          <w:rFonts w:hint="eastAsia"/>
          <w:lang w:eastAsia="zh-CN"/>
        </w:rPr>
        <w:t>（二）</w:t>
      </w:r>
      <w:r>
        <w:t>服务时间</w:t>
      </w:r>
    </w:p>
    <w:p>
      <w:pPr>
        <w:pStyle w:val="19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自合同签订之日起</w:t>
      </w:r>
      <w:r>
        <w:rPr>
          <w:rFonts w:hint="eastAsia" w:cs="仿宋_GB2312"/>
          <w:sz w:val="32"/>
          <w:szCs w:val="32"/>
          <w:lang w:val="en-US" w:eastAsia="zh-CN"/>
        </w:rPr>
        <w:t>1个月</w:t>
      </w:r>
      <w:r>
        <w:rPr>
          <w:rFonts w:ascii="Times New Roman" w:hAnsi="Times New Roman" w:eastAsia="仿宋_GB2312" w:cs="仿宋_GB2312"/>
          <w:sz w:val="32"/>
          <w:szCs w:val="32"/>
        </w:rPr>
        <w:t>。</w:t>
      </w:r>
    </w:p>
    <w:p>
      <w:pPr>
        <w:pStyle w:val="4"/>
        <w:widowControl/>
        <w:numPr>
          <w:ilvl w:val="0"/>
          <w:numId w:val="0"/>
        </w:numPr>
        <w:topLinePunct w:val="0"/>
        <w:ind w:left="0" w:leftChars="0" w:firstLine="640"/>
        <w:rPr>
          <w:rFonts w:hint="eastAsia" w:ascii="楷体_GB2312" w:hAnsi="楷体_GB2312" w:eastAsia="楷体_GB2312" w:cs="楷体_GB2312"/>
          <w:b w:val="0"/>
        </w:rPr>
      </w:pPr>
      <w:r>
        <w:rPr>
          <w:rFonts w:hint="eastAsia"/>
          <w:lang w:eastAsia="zh-CN"/>
        </w:rPr>
        <w:t>（三）</w:t>
      </w:r>
      <w:r>
        <w:t>服务要求</w:t>
      </w:r>
    </w:p>
    <w:p>
      <w:pPr>
        <w:pStyle w:val="19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1.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乙方应安排固定项目团队负责本项目实施；</w:t>
      </w:r>
      <w:r>
        <w:rPr>
          <w:rFonts w:hint="eastAsia" w:cs="仿宋_GB2312"/>
          <w:sz w:val="32"/>
          <w:szCs w:val="32"/>
          <w:lang w:eastAsia="zh-CN"/>
        </w:rPr>
        <w:t>2.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项目负责人应具备较强的项目统筹、资源整合及运营管理能力；</w:t>
      </w:r>
      <w:r>
        <w:rPr>
          <w:rFonts w:hint="eastAsia" w:cs="仿宋_GB2312"/>
          <w:sz w:val="32"/>
          <w:szCs w:val="32"/>
          <w:lang w:eastAsia="zh-CN"/>
        </w:rPr>
        <w:t>3.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服务期间应严格落实生态保护、安全生产、食品安全及环境管理要求；</w:t>
      </w:r>
    </w:p>
    <w:p>
      <w:pPr>
        <w:pStyle w:val="3"/>
        <w:widowControl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r>
        <w:rPr>
          <w:rFonts w:hint="eastAsia"/>
          <w:lang w:eastAsia="zh-CN"/>
        </w:rPr>
        <w:t>五、</w:t>
      </w:r>
      <w:r>
        <w:t>评分标准</w:t>
      </w:r>
    </w:p>
    <w:p>
      <w:pPr>
        <w:pStyle w:val="19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（</w:t>
      </w:r>
      <w:r>
        <w:rPr>
          <w:rFonts w:hint="eastAsia" w:cs="仿宋_GB2312"/>
          <w:sz w:val="32"/>
          <w:szCs w:val="32"/>
          <w:lang w:val="en-US" w:eastAsia="zh-CN"/>
        </w:rPr>
        <w:t>一）营收分成比例</w:t>
      </w:r>
      <w:r>
        <w:rPr>
          <w:rFonts w:ascii="Times New Roman" w:hAnsi="Times New Roman" w:eastAsia="仿宋_GB2312" w:cs="仿宋_GB2312"/>
          <w:sz w:val="32"/>
          <w:szCs w:val="32"/>
        </w:rPr>
        <w:t>（20分）</w:t>
      </w:r>
    </w:p>
    <w:p>
      <w:pPr>
        <w:pStyle w:val="19"/>
        <w:widowControl/>
        <w:numPr>
          <w:ilvl w:val="0"/>
          <w:numId w:val="0"/>
        </w:numPr>
        <w:ind w:left="0" w:leftChars="0" w:firstLine="616"/>
        <w:rPr>
          <w:rFonts w:hint="eastAsia" w:cs="仿宋_GB2312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营收分成比例得分</w:t>
      </w:r>
      <w:r>
        <w:rPr>
          <w:rFonts w:hint="eastAsia" w:cs="仿宋_GB2312"/>
          <w:sz w:val="32"/>
          <w:szCs w:val="32"/>
        </w:rPr>
        <w:t>采用以下计算方法：</w:t>
      </w:r>
    </w:p>
    <w:p>
      <w:pPr>
        <w:pStyle w:val="19"/>
        <w:widowControl/>
        <w:numPr>
          <w:ilvl w:val="0"/>
          <w:numId w:val="0"/>
        </w:numPr>
        <w:ind w:left="0" w:leftChars="0" w:firstLine="616"/>
        <w:rPr>
          <w:rFonts w:hint="eastAsia" w:cs="仿宋_GB2312"/>
          <w:sz w:val="32"/>
          <w:szCs w:val="32"/>
        </w:rPr>
      </w:pPr>
      <w:r>
        <w:rPr>
          <w:rFonts w:hint="eastAsia" w:cs="仿宋_GB2312"/>
          <w:sz w:val="32"/>
          <w:szCs w:val="32"/>
        </w:rPr>
        <w:t>满足</w:t>
      </w:r>
      <w:r>
        <w:rPr>
          <w:rFonts w:hint="eastAsia" w:cs="仿宋_GB2312"/>
          <w:sz w:val="32"/>
          <w:szCs w:val="32"/>
          <w:lang w:eastAsia="zh-CN"/>
        </w:rPr>
        <w:t>本</w:t>
      </w:r>
      <w:r>
        <w:rPr>
          <w:rFonts w:hint="eastAsia" w:cs="仿宋_GB2312"/>
          <w:sz w:val="32"/>
          <w:szCs w:val="32"/>
        </w:rPr>
        <w:t>项目需求书要求的最高</w:t>
      </w:r>
      <w:r>
        <w:rPr>
          <w:rFonts w:hint="eastAsia" w:cs="仿宋_GB2312"/>
          <w:sz w:val="32"/>
          <w:szCs w:val="32"/>
          <w:lang w:eastAsia="zh-CN"/>
        </w:rPr>
        <w:t>有效报价</w:t>
      </w:r>
      <w:r>
        <w:rPr>
          <w:rFonts w:hint="eastAsia" w:cs="仿宋_GB2312"/>
          <w:sz w:val="32"/>
          <w:szCs w:val="32"/>
        </w:rPr>
        <w:t>为本</w:t>
      </w:r>
      <w:r>
        <w:rPr>
          <w:rFonts w:hint="eastAsia" w:cs="仿宋_GB2312"/>
          <w:sz w:val="32"/>
          <w:szCs w:val="32"/>
          <w:lang w:eastAsia="zh-CN"/>
        </w:rPr>
        <w:t>项目“</w:t>
      </w:r>
      <w:r>
        <w:rPr>
          <w:rFonts w:hint="eastAsia" w:cs="仿宋_GB2312"/>
          <w:sz w:val="32"/>
          <w:szCs w:val="32"/>
        </w:rPr>
        <w:t>评审基准</w:t>
      </w:r>
      <w:r>
        <w:rPr>
          <w:rFonts w:hint="eastAsia" w:cs="仿宋_GB2312"/>
          <w:sz w:val="32"/>
          <w:szCs w:val="32"/>
          <w:lang w:eastAsia="zh-CN"/>
        </w:rPr>
        <w:t>价”</w:t>
      </w:r>
      <w:r>
        <w:rPr>
          <w:rFonts w:hint="eastAsia" w:cs="仿宋_GB2312"/>
          <w:sz w:val="32"/>
          <w:szCs w:val="32"/>
        </w:rPr>
        <w:t>，其</w:t>
      </w:r>
      <w:r>
        <w:rPr>
          <w:rFonts w:hint="eastAsia" w:cs="仿宋_GB2312"/>
          <w:sz w:val="32"/>
          <w:szCs w:val="32"/>
          <w:lang w:val="en-US" w:eastAsia="zh-CN"/>
        </w:rPr>
        <w:t>营收分成比例得分</w:t>
      </w:r>
      <w:r>
        <w:rPr>
          <w:rFonts w:hint="eastAsia" w:cs="仿宋_GB2312"/>
          <w:sz w:val="32"/>
          <w:szCs w:val="32"/>
        </w:rPr>
        <w:t>为满分。其他应答人的</w:t>
      </w:r>
      <w:r>
        <w:rPr>
          <w:rFonts w:hint="eastAsia" w:cs="仿宋_GB2312"/>
          <w:sz w:val="32"/>
          <w:szCs w:val="32"/>
          <w:lang w:eastAsia="zh-CN"/>
        </w:rPr>
        <w:t>营收分成比例得</w:t>
      </w:r>
      <w:r>
        <w:rPr>
          <w:rFonts w:hint="eastAsia" w:cs="仿宋_GB2312"/>
          <w:sz w:val="32"/>
          <w:szCs w:val="32"/>
        </w:rPr>
        <w:t>分统一按照下列公式计算：</w:t>
      </w:r>
    </w:p>
    <w:p>
      <w:pPr>
        <w:pStyle w:val="19"/>
        <w:widowControl/>
        <w:numPr>
          <w:ilvl w:val="0"/>
          <w:numId w:val="0"/>
        </w:numPr>
        <w:ind w:left="0" w:leftChars="0" w:firstLine="616"/>
        <w:rPr>
          <w:rFonts w:hint="eastAsia" w:cs="仿宋_GB2312"/>
          <w:sz w:val="32"/>
          <w:szCs w:val="32"/>
          <w:lang w:val="en-US" w:eastAsia="zh-CN"/>
        </w:rPr>
      </w:pPr>
      <w:r>
        <w:rPr>
          <w:rFonts w:hint="eastAsia" w:cs="仿宋_GB2312"/>
          <w:sz w:val="32"/>
          <w:szCs w:val="32"/>
          <w:lang w:eastAsia="zh-CN"/>
        </w:rPr>
        <w:t>营收</w:t>
      </w:r>
      <w:r>
        <w:rPr>
          <w:rFonts w:hint="eastAsia" w:cs="仿宋_GB2312"/>
          <w:sz w:val="32"/>
          <w:szCs w:val="32"/>
        </w:rPr>
        <w:t>分成比例得分＝(</w:t>
      </w:r>
      <w:r>
        <w:rPr>
          <w:rFonts w:hint="eastAsia" w:cs="仿宋_GB2312"/>
          <w:sz w:val="32"/>
          <w:szCs w:val="32"/>
          <w:lang w:eastAsia="zh-CN"/>
        </w:rPr>
        <w:t>评审价</w:t>
      </w:r>
      <w:r>
        <w:rPr>
          <w:rFonts w:hint="eastAsia" w:cs="仿宋_GB2312"/>
          <w:sz w:val="32"/>
          <w:szCs w:val="32"/>
        </w:rPr>
        <w:t>÷评审基准</w:t>
      </w:r>
      <w:r>
        <w:rPr>
          <w:rFonts w:hint="eastAsia" w:cs="仿宋_GB2312"/>
          <w:sz w:val="32"/>
          <w:szCs w:val="32"/>
          <w:lang w:eastAsia="zh-CN"/>
        </w:rPr>
        <w:t>价</w:t>
      </w:r>
      <w:r>
        <w:rPr>
          <w:rFonts w:hint="eastAsia" w:cs="仿宋_GB2312"/>
          <w:sz w:val="32"/>
          <w:szCs w:val="32"/>
        </w:rPr>
        <w:t>)×</w:t>
      </w:r>
      <w:r>
        <w:rPr>
          <w:rFonts w:hint="eastAsia" w:cs="仿宋_GB2312"/>
          <w:sz w:val="32"/>
          <w:szCs w:val="32"/>
          <w:lang w:val="en-US" w:eastAsia="zh-CN"/>
        </w:rPr>
        <w:t>20</w:t>
      </w:r>
    </w:p>
    <w:p>
      <w:pPr>
        <w:pStyle w:val="19"/>
        <w:widowControl/>
        <w:numPr>
          <w:ilvl w:val="0"/>
          <w:numId w:val="0"/>
        </w:numPr>
        <w:ind w:left="0" w:leftChars="0" w:firstLine="616"/>
        <w:rPr>
          <w:rFonts w:hint="eastAsia" w:cs="仿宋_GB2312"/>
          <w:sz w:val="32"/>
          <w:szCs w:val="32"/>
        </w:rPr>
      </w:pPr>
      <w:r>
        <w:rPr>
          <w:rFonts w:hint="eastAsia" w:cs="仿宋_GB2312"/>
          <w:spacing w:val="-6"/>
          <w:sz w:val="32"/>
          <w:szCs w:val="32"/>
        </w:rPr>
        <w:t>备注：</w:t>
      </w:r>
      <w:r>
        <w:rPr>
          <w:rFonts w:hint="eastAsia" w:cs="仿宋_GB2312"/>
          <w:spacing w:val="-6"/>
          <w:sz w:val="32"/>
          <w:szCs w:val="32"/>
          <w:lang w:val="en-US" w:eastAsia="zh-CN"/>
        </w:rPr>
        <w:t>营收分成比例</w:t>
      </w:r>
      <w:r>
        <w:rPr>
          <w:rFonts w:hint="eastAsia" w:cs="仿宋_GB2312"/>
          <w:spacing w:val="-6"/>
          <w:sz w:val="32"/>
          <w:szCs w:val="32"/>
        </w:rPr>
        <w:t>得分四舍五入后，小数点后保留</w:t>
      </w:r>
      <w:r>
        <w:rPr>
          <w:rFonts w:hint="eastAsia" w:cs="仿宋_GB2312"/>
          <w:sz w:val="32"/>
          <w:szCs w:val="32"/>
        </w:rPr>
        <w:t>两位。</w:t>
      </w:r>
    </w:p>
    <w:p>
      <w:pPr>
        <w:pStyle w:val="19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（</w:t>
      </w:r>
      <w:r>
        <w:rPr>
          <w:rFonts w:hint="eastAsia" w:cs="仿宋_GB2312"/>
          <w:sz w:val="32"/>
          <w:szCs w:val="32"/>
          <w:lang w:val="en-US" w:eastAsia="zh-CN"/>
        </w:rPr>
        <w:t>二）</w:t>
      </w:r>
      <w:r>
        <w:rPr>
          <w:rFonts w:ascii="Times New Roman" w:hAnsi="Times New Roman" w:eastAsia="仿宋_GB2312" w:cs="仿宋_GB2312"/>
          <w:sz w:val="32"/>
          <w:szCs w:val="32"/>
        </w:rPr>
        <w:t>公司综合实力（20分）</w:t>
      </w:r>
    </w:p>
    <w:p>
      <w:pPr>
        <w:pStyle w:val="19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1.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同类项目业绩情况（5分）；</w:t>
      </w:r>
    </w:p>
    <w:p>
      <w:pPr>
        <w:pStyle w:val="19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2.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拟安排的项目团队情况（10分）；</w:t>
      </w:r>
    </w:p>
    <w:p>
      <w:pPr>
        <w:pStyle w:val="19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3.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公司资质及相关荣誉情况（5分）。</w:t>
      </w:r>
    </w:p>
    <w:p>
      <w:pPr>
        <w:pStyle w:val="19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（</w:t>
      </w:r>
      <w:r>
        <w:rPr>
          <w:rFonts w:hint="eastAsia" w:cs="仿宋_GB2312"/>
          <w:sz w:val="32"/>
          <w:szCs w:val="32"/>
          <w:lang w:val="en-US" w:eastAsia="zh-CN"/>
        </w:rPr>
        <w:t>三）</w:t>
      </w:r>
      <w:r>
        <w:rPr>
          <w:rFonts w:ascii="Times New Roman" w:hAnsi="Times New Roman" w:eastAsia="仿宋_GB2312" w:cs="仿宋_GB2312"/>
          <w:sz w:val="32"/>
          <w:szCs w:val="32"/>
        </w:rPr>
        <w:t>方案质量（60分）</w:t>
      </w:r>
    </w:p>
    <w:p>
      <w:pPr>
        <w:pStyle w:val="19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1.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项目总体理解（15分）；</w:t>
      </w:r>
    </w:p>
    <w:p>
      <w:pPr>
        <w:pStyle w:val="19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2.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项目工作思路（20分）；</w:t>
      </w:r>
    </w:p>
    <w:p>
      <w:pPr>
        <w:pStyle w:val="19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3.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时间推进节奏制定及保障方案（25分）。</w:t>
      </w:r>
    </w:p>
    <w:p>
      <w:pPr>
        <w:pStyle w:val="19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总分：100分。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ind w:left="0" w:leftChars="0" w:right="0" w:rightChars="0" w:firstLine="0" w:firstLineChars="0"/>
        <w:jc w:val="right"/>
        <w:textAlignment w:val="auto"/>
        <w:rPr>
          <w:rFonts w:hint="eastAsia"/>
          <w:sz w:val="32"/>
          <w:szCs w:val="32"/>
          <w:lang w:val="en-US" w:eastAsia="zh-CN"/>
        </w:rPr>
      </w:pPr>
      <mc:AlternateContent>
        <mc:Choice Requires="wpsCustomData">
          <wpsCustomData:docfieldStart id="1" docfieldname="发文机关署名_1" hidden="0" print="1" readonly="0" index="11"/>
        </mc:Choice>
      </mc:AlternateContent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ind w:left="0" w:leftChars="0" w:right="0" w:rightChars="0" w:firstLine="0" w:firstLineChars="0"/>
        <w:jc w:val="right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深圳市罗湖文旅投资有限公司</w:t>
      </w:r>
      <mc:AlternateContent>
        <mc:Choice Requires="wpsCustomData">
          <wpsCustomData:docfieldEnd id="1"/>
        </mc:Choice>
      </mc:AlternateContent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ind w:left="0" w:leftChars="0" w:right="1236" w:rightChars="0" w:firstLine="0" w:firstLineChars="0"/>
        <w:jc w:val="right"/>
        <w:textAlignment w:val="auto"/>
        <w:rPr>
          <w:rFonts w:hint="eastAsia"/>
          <w:sz w:val="32"/>
          <w:szCs w:val="32"/>
          <w:lang w:val="en-US" w:eastAsia="zh-CN"/>
        </w:rPr>
      </w:pPr>
      <mc:AlternateContent>
        <mc:Choice Requires="wpsCustomData">
          <wpsCustomData:docfieldStart id="2" docfieldname="成文日期_1" hidden="0" print="1" readonly="0" index="12"/>
        </mc:Choice>
      </mc:AlternateContent>
      <w:r>
        <w:rPr>
          <w:rFonts w:hint="eastAsia"/>
          <w:sz w:val="32"/>
          <w:szCs w:val="32"/>
          <w:lang w:val="en-US" w:eastAsia="zh-CN"/>
        </w:rPr>
        <w:t>2026年9月7日</w:t>
      </w:r>
      <mc:AlternateContent>
        <mc:Choice Requires="wpsCustomData">
          <wpsCustomData:docfieldEnd id="2"/>
        </mc:Choice>
      </mc:AlternateContent>
    </w:p>
    <w:p>
      <w:pPr>
        <w:pStyle w:val="19"/>
        <w:widowControl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</w:p>
    <w:sectPr>
      <w:headerReference r:id="rId5" w:type="default"/>
      <w:footerReference r:id="rId7" w:type="default"/>
      <w:headerReference r:id="rId6" w:type="even"/>
      <w:footerReference r:id="rId8" w:type="even"/>
      <w:pgSz w:w="12240" w:h="15840"/>
      <w:pgMar w:top="2098" w:right="1474" w:bottom="1984" w:left="1587" w:header="851" w:footer="1417" w:gutter="0"/>
      <w:pgNumType w:fmt="decimal" w:start="1"/>
      <w:cols w:space="720" w:num="1"/>
      <w:docGrid w:type="linesAndChars" w:linePitch="534" w:charSpace="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汉仪中等线B5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汉仪中等线B5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ＭＳ 明朝">
    <w:altName w:val="方正书宋_GBK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urier">
    <w:altName w:val="DejaVu Math TeX Gyre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汉仪中等线B5">
    <w:panose1 w:val="0101010401010101010B"/>
    <w:charset w:val="86"/>
    <w:family w:val="auto"/>
    <w:pitch w:val="default"/>
    <w:sig w:usb0="800000A3" w:usb1="00497878" w:usb2="00000000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ambria">
    <w:altName w:val="FreeSerif"/>
    <w:panose1 w:val="02040503050406030204"/>
    <w:charset w:val="00"/>
    <w:family w:val="auto"/>
    <w:pitch w:val="default"/>
    <w:sig w:usb0="00000000" w:usb1="00000000" w:usb2="02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ＭＳ ゴシック">
    <w:altName w:val="方正书宋_GBK"/>
    <w:panose1 w:val="020B0609070205080204"/>
    <w:charset w:val="80"/>
    <w:family w:val="auto"/>
    <w:pitch w:val="default"/>
    <w:sig w:usb0="00000000" w:usb1="00000000" w:usb2="08000012" w:usb3="00000000" w:csb0="4002009F" w:csb1="DFD70000"/>
  </w:font>
  <w:font w:name="MS Gothic">
    <w:altName w:val="方正书宋_GBK"/>
    <w:panose1 w:val="020B0609070205080204"/>
    <w:charset w:val="80"/>
    <w:family w:val="modern"/>
    <w:pitch w:val="default"/>
    <w:sig w:usb0="00000000" w:usb1="00000000" w:usb2="08000012" w:usb3="00000000" w:csb0="4002009F" w:csb1="DFD7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4"/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4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>
                    <w:pPr>
                      <w:pStyle w:val="24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4"/>
    </w:pP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4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>
                    <w:pPr>
                      <w:pStyle w:val="24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evenAndOddHeaders w:val="1"/>
  <w:drawingGridHorizontalSpacing w:val="164"/>
  <w:drawingGridVerticalSpacing w:val="267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72D4D2F"/>
    <w:rsid w:val="3C2F33EE"/>
    <w:rsid w:val="5FCFBA8C"/>
    <w:rsid w:val="5FFF72CC"/>
    <w:rsid w:val="6FA36659"/>
    <w:rsid w:val="73EB05CF"/>
    <w:rsid w:val="77F75768"/>
    <w:rsid w:val="7EBA16CA"/>
    <w:rsid w:val="7FEF7737"/>
    <w:rsid w:val="977F8917"/>
    <w:rsid w:val="9F5BBE32"/>
    <w:rsid w:val="DFC767CB"/>
    <w:rsid w:val="E5FF3DC3"/>
    <w:rsid w:val="F27FA48B"/>
    <w:rsid w:val="FDAF2881"/>
    <w:rsid w:val="FDB392B5"/>
    <w:rsid w:val="FEE6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宋体" w:hAnsi="宋体" w:eastAsiaTheme="minorEastAsia" w:cstheme="minorBidi"/>
      <w:sz w:val="24"/>
      <w:szCs w:val="22"/>
      <w:lang w:val="en-US" w:eastAsia="en-US" w:bidi="ar-SA"/>
    </w:rPr>
  </w:style>
  <w:style w:type="paragraph" w:styleId="3">
    <w:name w:val="heading 1"/>
    <w:next w:val="1"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4">
    <w:name w:val="heading 2"/>
    <w:next w:val="1"/>
    <w:unhideWhenUsed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5">
    <w:name w:val="heading 3"/>
    <w:next w:val="1"/>
    <w:link w:val="164"/>
    <w:unhideWhenUsed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4"/>
    <w:next w:val="1"/>
    <w:semiHidden/>
    <w:unhideWhenUsed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5"/>
    <w:next w:val="1"/>
    <w:semiHidden/>
    <w:unhideWhenUsed/>
    <w:qFormat/>
    <w:uiPriority w:val="9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6"/>
    <w:next w:val="1"/>
    <w:semiHidden/>
    <w:unhideWhenUsed/>
    <w:qFormat/>
    <w:uiPriority w:val="9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7"/>
    <w:next w:val="1"/>
    <w:semiHidden/>
    <w:unhideWhenUsed/>
    <w:qFormat/>
    <w:uiPriority w:val="9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8"/>
    <w:next w:val="1"/>
    <w:semiHidden/>
    <w:unhideWhenUsed/>
    <w:qFormat/>
    <w:uiPriority w:val="9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1">
    <w:name w:val="heading 9"/>
    <w:next w:val="1"/>
    <w:semiHidden/>
    <w:unhideWhenUsed/>
    <w:qFormat/>
    <w:uiPriority w:val="9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link w:val="144"/>
    <w:unhideWhenUsed/>
    <w:qFormat/>
    <w:uiPriority w:val="99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next w:val="1"/>
    <w:qFormat/>
    <w:uiPriority w:val="11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next w:val="1"/>
    <w:link w:val="141"/>
    <w:qFormat/>
    <w:uiPriority w:val="1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link w:val="31"/>
    <w:qFormat/>
    <w:uiPriority w:val="10"/>
    <w:rPr>
      <w:rFonts w:ascii="MS Gothic" w:hAnsi="MS Gothic" w:eastAsia="MS Gothic" w:cs="MS Gothic"/>
      <w:sz w:val="44"/>
      <w:szCs w:val="44"/>
      <w:lang w:val="zh-CN"/>
    </w:rPr>
  </w:style>
  <w:style w:type="character" w:customStyle="1" w:styleId="142">
    <w:name w:val="Subtitle Char"/>
    <w:basedOn w:val="13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link w:val="19"/>
    <w:qFormat/>
    <w:uiPriority w:val="99"/>
    <w:rPr>
      <w:rFonts w:ascii="Times New Roman" w:hAnsi="Times New Roman" w:eastAsia="ＭＳ 明朝" w:cs="ＭＳ 明朝"/>
      <w:spacing w:val="-6"/>
      <w:sz w:val="32"/>
      <w:szCs w:val="32"/>
    </w:rPr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  <w:style w:type="character" w:customStyle="1" w:styleId="164">
    <w:name w:val="标题 3 Char"/>
    <w:link w:val="5"/>
    <w:qFormat/>
    <w:uiPriority w:val="9"/>
    <w:rPr>
      <w:rFonts w:ascii="Times New Roman" w:hAnsi="Times New Roman" w:eastAsia="仿宋_GB2312" w:cs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1511</Words>
  <Characters>1554</Characters>
  <Lines>0</Lines>
  <Paragraphs>0</Paragraphs>
  <TotalTime>22</TotalTime>
  <ScaleCrop>false</ScaleCrop>
  <LinksUpToDate>false</LinksUpToDate>
  <CharactersWithSpaces>1587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2013-12-26T23:15:00Z</dcterms:created>
  <dc:creator>python-docx</dc:creator>
  <dc:description>generated by python-docx</dc:description>
  <cp:lastModifiedBy>huawei</cp:lastModifiedBy>
  <dcterms:modified xsi:type="dcterms:W3CDTF">2026-09-07T18:57:25Z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eyJoZGlkIjoiZmJiYjNiMDhjZTI1MTE3MjAxN2U5ZWZiYWJmOTA3NWQiLCJ1c2VySWQiOiIzOTA4ODg0MTkifQ==</vt:lpwstr>
  </property>
  <property fmtid="{D5CDD505-2E9C-101B-9397-08002B2CF9AE}" pid="3" name="KSOProductBuildVer">
    <vt:lpwstr>2052-11.8.2.11764</vt:lpwstr>
  </property>
  <property fmtid="{D5CDD505-2E9C-101B-9397-08002B2CF9AE}" pid="4" name="ICV">
    <vt:lpwstr>C0AB4DC1D61F4A5791710BA592A31B85_13</vt:lpwstr>
  </property>
</Properties>
</file>