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0D962F">
      <w:pPr>
        <w:widowControl w:val="0"/>
        <w:autoSpaceDE w:val="0"/>
        <w:autoSpaceDN w:val="0"/>
        <w:adjustRightInd w:val="0"/>
        <w:snapToGrid w:val="0"/>
        <w:ind w:firstLine="0" w:firstLineChars="0"/>
        <w:jc w:val="center"/>
        <w:outlineLvl w:val="0"/>
        <w:rPr>
          <w:rFonts w:hint="eastAsia" w:ascii="宋体" w:hAnsi="宋体"/>
          <w:b/>
          <w:sz w:val="96"/>
          <w:szCs w:val="96"/>
          <w:highlight w:val="none"/>
          <w14:shadow w14:blurRad="50800" w14:dist="38100" w14:dir="2700000" w14:sx="100000" w14:sy="100000" w14:kx="0" w14:ky="0" w14:algn="tl">
            <w14:srgbClr w14:val="000000">
              <w14:alpha w14:val="60000"/>
            </w14:srgbClr>
          </w14:shadow>
        </w:rPr>
      </w:pPr>
      <w:bookmarkStart w:id="0" w:name="_Toc3434"/>
      <w:bookmarkStart w:id="1" w:name="_Toc144974478"/>
      <w:bookmarkStart w:id="2" w:name="_Toc152042286"/>
      <w:bookmarkStart w:id="3" w:name="_Hlk532133368"/>
      <w:bookmarkStart w:id="56" w:name="_GoBack"/>
      <w:r>
        <w:rPr>
          <w:rFonts w:hint="eastAsia" w:ascii="宋体" w:hAnsi="宋体"/>
          <w:b/>
          <w:sz w:val="96"/>
          <w:szCs w:val="96"/>
          <w:highlight w:val="none"/>
          <w14:shadow w14:blurRad="50800" w14:dist="38100" w14:dir="2700000" w14:sx="100000" w14:sy="100000" w14:kx="0" w14:ky="0" w14:algn="tl">
            <w14:srgbClr w14:val="000000">
              <w14:alpha w14:val="60000"/>
            </w14:srgbClr>
          </w14:shadow>
        </w:rPr>
        <w:t>采</w:t>
      </w:r>
      <w:bookmarkEnd w:id="0"/>
    </w:p>
    <w:p w14:paraId="182E412C">
      <w:pPr>
        <w:widowControl w:val="0"/>
        <w:autoSpaceDE w:val="0"/>
        <w:autoSpaceDN w:val="0"/>
        <w:adjustRightInd w:val="0"/>
        <w:snapToGrid w:val="0"/>
        <w:ind w:firstLine="0" w:firstLineChars="0"/>
        <w:jc w:val="center"/>
        <w:outlineLvl w:val="0"/>
        <w:rPr>
          <w:rFonts w:hint="eastAsia" w:ascii="宋体" w:hAnsi="宋体"/>
          <w:b/>
          <w:sz w:val="96"/>
          <w:szCs w:val="96"/>
          <w:highlight w:val="none"/>
          <w14:shadow w14:blurRad="50800" w14:dist="38100" w14:dir="2700000" w14:sx="100000" w14:sy="100000" w14:kx="0" w14:ky="0" w14:algn="tl">
            <w14:srgbClr w14:val="000000">
              <w14:alpha w14:val="60000"/>
            </w14:srgbClr>
          </w14:shadow>
        </w:rPr>
      </w:pPr>
      <w:bookmarkStart w:id="4" w:name="_Toc21225"/>
      <w:r>
        <w:rPr>
          <w:rFonts w:hint="eastAsia" w:ascii="宋体" w:hAnsi="宋体"/>
          <w:b/>
          <w:sz w:val="96"/>
          <w:szCs w:val="96"/>
          <w:highlight w:val="none"/>
          <w14:shadow w14:blurRad="50800" w14:dist="38100" w14:dir="2700000" w14:sx="100000" w14:sy="100000" w14:kx="0" w14:ky="0" w14:algn="tl">
            <w14:srgbClr w14:val="000000">
              <w14:alpha w14:val="60000"/>
            </w14:srgbClr>
          </w14:shadow>
        </w:rPr>
        <w:t>购</w:t>
      </w:r>
      <w:bookmarkEnd w:id="4"/>
    </w:p>
    <w:p w14:paraId="685F77D4">
      <w:pPr>
        <w:widowControl w:val="0"/>
        <w:autoSpaceDE w:val="0"/>
        <w:autoSpaceDN w:val="0"/>
        <w:adjustRightInd w:val="0"/>
        <w:snapToGrid w:val="0"/>
        <w:ind w:firstLine="0" w:firstLineChars="0"/>
        <w:jc w:val="center"/>
        <w:outlineLvl w:val="0"/>
        <w:rPr>
          <w:rFonts w:hint="eastAsia" w:ascii="宋体" w:hAnsi="宋体"/>
          <w:b/>
          <w:sz w:val="96"/>
          <w:szCs w:val="96"/>
          <w:highlight w:val="none"/>
          <w:lang w:val="en-US" w:eastAsia="zh-CN"/>
          <w14:shadow w14:blurRad="50800" w14:dist="38100" w14:dir="2700000" w14:sx="100000" w14:sy="100000" w14:kx="0" w14:ky="0" w14:algn="tl">
            <w14:srgbClr w14:val="000000">
              <w14:alpha w14:val="60000"/>
            </w14:srgbClr>
          </w14:shadow>
        </w:rPr>
      </w:pPr>
      <w:bookmarkStart w:id="5" w:name="_Toc22921"/>
      <w:r>
        <w:rPr>
          <w:rFonts w:hint="eastAsia" w:ascii="宋体" w:hAnsi="宋体"/>
          <w:b/>
          <w:sz w:val="96"/>
          <w:szCs w:val="96"/>
          <w:highlight w:val="none"/>
          <w:lang w:val="en-US" w:eastAsia="zh-CN"/>
          <w14:shadow w14:blurRad="50800" w14:dist="38100" w14:dir="2700000" w14:sx="100000" w14:sy="100000" w14:kx="0" w14:ky="0" w14:algn="tl">
            <w14:srgbClr w14:val="000000">
              <w14:alpha w14:val="60000"/>
            </w14:srgbClr>
          </w14:shadow>
        </w:rPr>
        <w:t>文</w:t>
      </w:r>
      <w:bookmarkEnd w:id="5"/>
    </w:p>
    <w:p w14:paraId="71AD750B">
      <w:pPr>
        <w:widowControl w:val="0"/>
        <w:autoSpaceDE w:val="0"/>
        <w:autoSpaceDN w:val="0"/>
        <w:adjustRightInd w:val="0"/>
        <w:snapToGrid w:val="0"/>
        <w:ind w:firstLine="0" w:firstLineChars="0"/>
        <w:jc w:val="center"/>
        <w:outlineLvl w:val="0"/>
        <w:rPr>
          <w:rFonts w:ascii="宋体" w:hAnsi="宋体"/>
          <w:sz w:val="96"/>
          <w:szCs w:val="96"/>
          <w:highlight w:val="none"/>
        </w:rPr>
      </w:pPr>
      <w:bookmarkStart w:id="6" w:name="_Toc22460"/>
      <w:r>
        <w:rPr>
          <w:rFonts w:hint="eastAsia" w:ascii="宋体" w:hAnsi="宋体"/>
          <w:b/>
          <w:sz w:val="96"/>
          <w:szCs w:val="96"/>
          <w:highlight w:val="none"/>
          <w:lang w:val="en-US" w:eastAsia="zh-CN"/>
          <w14:shadow w14:blurRad="50800" w14:dist="38100" w14:dir="2700000" w14:sx="100000" w14:sy="100000" w14:kx="0" w14:ky="0" w14:algn="tl">
            <w14:srgbClr w14:val="000000">
              <w14:alpha w14:val="60000"/>
            </w14:srgbClr>
          </w14:shadow>
        </w:rPr>
        <w:t>件</w:t>
      </w:r>
      <w:bookmarkEnd w:id="6"/>
    </w:p>
    <w:p w14:paraId="1F8F3555">
      <w:pPr>
        <w:widowControl w:val="0"/>
        <w:autoSpaceDE w:val="0"/>
        <w:autoSpaceDN w:val="0"/>
        <w:adjustRightInd w:val="0"/>
        <w:snapToGrid w:val="0"/>
        <w:ind w:firstLine="0" w:firstLineChars="0"/>
        <w:rPr>
          <w:rFonts w:hint="eastAsia" w:ascii="宋体" w:hAnsi="宋体"/>
          <w:sz w:val="48"/>
          <w:szCs w:val="48"/>
          <w:highlight w:val="none"/>
        </w:rPr>
      </w:pPr>
    </w:p>
    <w:tbl>
      <w:tblPr>
        <w:tblStyle w:val="49"/>
        <w:tblpPr w:leftFromText="180" w:rightFromText="180" w:vertAnchor="text" w:horzAnchor="page" w:tblpX="1487" w:tblpY="652"/>
        <w:tblOverlap w:val="never"/>
        <w:tblW w:w="5252" w:type="pct"/>
        <w:tblInd w:w="0" w:type="dxa"/>
        <w:tblLayout w:type="autofit"/>
        <w:tblCellMar>
          <w:top w:w="0" w:type="dxa"/>
          <w:left w:w="108" w:type="dxa"/>
          <w:bottom w:w="0" w:type="dxa"/>
          <w:right w:w="108" w:type="dxa"/>
        </w:tblCellMar>
      </w:tblPr>
      <w:tblGrid>
        <w:gridCol w:w="2363"/>
        <w:gridCol w:w="7273"/>
      </w:tblGrid>
      <w:tr w14:paraId="4FB5914A">
        <w:tblPrEx>
          <w:tblCellMar>
            <w:top w:w="0" w:type="dxa"/>
            <w:left w:w="108" w:type="dxa"/>
            <w:bottom w:w="0" w:type="dxa"/>
            <w:right w:w="108" w:type="dxa"/>
          </w:tblCellMar>
        </w:tblPrEx>
        <w:trPr>
          <w:trHeight w:val="724" w:hRule="atLeast"/>
        </w:trPr>
        <w:tc>
          <w:tcPr>
            <w:tcW w:w="1226" w:type="pct"/>
            <w:noWrap w:val="0"/>
            <w:vAlign w:val="center"/>
          </w:tcPr>
          <w:p w14:paraId="572A081B">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z w:val="32"/>
                <w:szCs w:val="32"/>
                <w:highlight w:val="none"/>
              </w:rPr>
              <w:t>项目名称：</w:t>
            </w:r>
          </w:p>
        </w:tc>
        <w:tc>
          <w:tcPr>
            <w:tcW w:w="3773" w:type="pct"/>
            <w:noWrap w:val="0"/>
            <w:vAlign w:val="center"/>
          </w:tcPr>
          <w:p w14:paraId="36B44019">
            <w:pPr>
              <w:widowControl w:val="0"/>
              <w:autoSpaceDE w:val="0"/>
              <w:autoSpaceDN w:val="0"/>
              <w:adjustRightInd w:val="0"/>
              <w:snapToGrid w:val="0"/>
              <w:ind w:firstLine="0" w:firstLineChars="0"/>
              <w:rPr>
                <w:rFonts w:ascii="宋体" w:hAnsi="宋体"/>
                <w:b w:val="0"/>
                <w:bCs/>
                <w:sz w:val="32"/>
                <w:szCs w:val="32"/>
                <w:highlight w:val="none"/>
                <w:u w:val="single"/>
              </w:rPr>
            </w:pPr>
            <w:r>
              <w:rPr>
                <w:rFonts w:hint="eastAsia" w:ascii="宋体" w:hAnsi="宋体"/>
                <w:b w:val="0"/>
                <w:bCs/>
                <w:sz w:val="32"/>
                <w:szCs w:val="32"/>
                <w:highlight w:val="none"/>
                <w:u w:val="single"/>
              </w:rPr>
              <w:t xml:space="preserve"> </w:t>
            </w:r>
            <w:r>
              <w:rPr>
                <w:rFonts w:hint="eastAsia" w:ascii="宋体" w:hAnsi="宋体"/>
                <w:b w:val="0"/>
                <w:bCs/>
                <w:sz w:val="32"/>
                <w:szCs w:val="32"/>
                <w:highlight w:val="none"/>
                <w:u w:val="single"/>
                <w:lang w:eastAsia="zh-CN"/>
              </w:rPr>
              <w:t>深圳书城龙岗城（金旭大楼）2026-2028年度LED显示屏维保服务（二次）</w:t>
            </w:r>
            <w:r>
              <w:rPr>
                <w:rFonts w:hint="eastAsia" w:ascii="宋体" w:hAnsi="宋体"/>
                <w:b w:val="0"/>
                <w:bCs/>
                <w:sz w:val="32"/>
                <w:szCs w:val="32"/>
                <w:highlight w:val="none"/>
                <w:u w:val="single"/>
              </w:rPr>
              <w:t xml:space="preserve">     </w:t>
            </w:r>
            <w:r>
              <w:rPr>
                <w:rFonts w:ascii="宋体" w:hAnsi="宋体"/>
                <w:b w:val="0"/>
                <w:bCs/>
                <w:sz w:val="32"/>
                <w:szCs w:val="32"/>
                <w:highlight w:val="none"/>
                <w:u w:val="single"/>
              </w:rPr>
              <w:t xml:space="preserve">                       </w:t>
            </w:r>
            <w:r>
              <w:rPr>
                <w:rFonts w:hint="eastAsia" w:ascii="宋体" w:hAnsi="宋体"/>
                <w:b w:val="0"/>
                <w:bCs/>
                <w:sz w:val="32"/>
                <w:szCs w:val="32"/>
                <w:highlight w:val="none"/>
                <w:u w:val="single"/>
              </w:rPr>
              <w:t xml:space="preserve">  </w:t>
            </w:r>
          </w:p>
        </w:tc>
      </w:tr>
      <w:tr w14:paraId="2971B18A">
        <w:tblPrEx>
          <w:tblCellMar>
            <w:top w:w="0" w:type="dxa"/>
            <w:left w:w="108" w:type="dxa"/>
            <w:bottom w:w="0" w:type="dxa"/>
            <w:right w:w="108" w:type="dxa"/>
          </w:tblCellMar>
        </w:tblPrEx>
        <w:trPr>
          <w:trHeight w:val="724" w:hRule="atLeast"/>
        </w:trPr>
        <w:tc>
          <w:tcPr>
            <w:tcW w:w="1226" w:type="pct"/>
            <w:noWrap w:val="0"/>
            <w:vAlign w:val="center"/>
          </w:tcPr>
          <w:p w14:paraId="03BDBEFE">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pacing w:val="0"/>
                <w:w w:val="100"/>
                <w:kern w:val="0"/>
                <w:sz w:val="32"/>
                <w:szCs w:val="32"/>
                <w:highlight w:val="none"/>
                <w:fitText w:val="1600" w:id="1522415956"/>
                <w:lang w:val="en-US" w:eastAsia="zh-CN"/>
              </w:rPr>
              <w:t>采购</w:t>
            </w:r>
            <w:r>
              <w:rPr>
                <w:rFonts w:hint="eastAsia" w:ascii="宋体" w:hAnsi="宋体"/>
                <w:b/>
                <w:spacing w:val="0"/>
                <w:kern w:val="0"/>
                <w:sz w:val="32"/>
                <w:szCs w:val="32"/>
                <w:highlight w:val="none"/>
                <w:fitText w:val="1600" w:id="1522415956"/>
                <w:lang w:val="en-US" w:eastAsia="zh-CN"/>
              </w:rPr>
              <w:t>单位</w:t>
            </w:r>
            <w:r>
              <w:rPr>
                <w:rFonts w:hint="eastAsia" w:ascii="宋体" w:hAnsi="宋体"/>
                <w:b/>
                <w:spacing w:val="0"/>
                <w:w w:val="100"/>
                <w:kern w:val="0"/>
                <w:sz w:val="32"/>
                <w:szCs w:val="32"/>
                <w:highlight w:val="none"/>
                <w:fitText w:val="1600" w:id="1522415956"/>
              </w:rPr>
              <w:t>：</w:t>
            </w:r>
          </w:p>
        </w:tc>
        <w:tc>
          <w:tcPr>
            <w:tcW w:w="3773" w:type="pct"/>
            <w:noWrap w:val="0"/>
            <w:vAlign w:val="center"/>
          </w:tcPr>
          <w:p w14:paraId="5C124FC3">
            <w:pPr>
              <w:widowControl w:val="0"/>
              <w:autoSpaceDE w:val="0"/>
              <w:autoSpaceDN w:val="0"/>
              <w:adjustRightInd w:val="0"/>
              <w:snapToGrid w:val="0"/>
              <w:ind w:firstLine="0" w:firstLineChars="0"/>
              <w:rPr>
                <w:rFonts w:ascii="宋体" w:hAnsi="宋体"/>
                <w:b w:val="0"/>
                <w:bCs/>
                <w:sz w:val="32"/>
                <w:szCs w:val="32"/>
                <w:highlight w:val="none"/>
                <w:u w:val="single"/>
              </w:rPr>
            </w:pPr>
            <w:r>
              <w:rPr>
                <w:rFonts w:hint="eastAsia" w:ascii="宋体" w:hAnsi="宋体"/>
                <w:b w:val="0"/>
                <w:bCs/>
                <w:sz w:val="32"/>
                <w:szCs w:val="32"/>
                <w:highlight w:val="none"/>
                <w:u w:val="single"/>
              </w:rPr>
              <w:t xml:space="preserve"> 深圳书城龙岗城实业有限公司      </w:t>
            </w:r>
            <w:r>
              <w:rPr>
                <w:rFonts w:ascii="宋体" w:hAnsi="宋体"/>
                <w:b w:val="0"/>
                <w:bCs/>
                <w:sz w:val="32"/>
                <w:szCs w:val="32"/>
                <w:highlight w:val="none"/>
                <w:u w:val="single"/>
              </w:rPr>
              <w:t xml:space="preserve">                       </w:t>
            </w:r>
            <w:r>
              <w:rPr>
                <w:rFonts w:hint="eastAsia" w:ascii="宋体" w:hAnsi="宋体"/>
                <w:b w:val="0"/>
                <w:bCs/>
                <w:sz w:val="32"/>
                <w:szCs w:val="32"/>
                <w:highlight w:val="none"/>
                <w:u w:val="single"/>
              </w:rPr>
              <w:t xml:space="preserve">  </w:t>
            </w:r>
          </w:p>
        </w:tc>
      </w:tr>
      <w:tr w14:paraId="6BDB0FAF">
        <w:tblPrEx>
          <w:tblCellMar>
            <w:top w:w="0" w:type="dxa"/>
            <w:left w:w="108" w:type="dxa"/>
            <w:bottom w:w="0" w:type="dxa"/>
            <w:right w:w="108" w:type="dxa"/>
          </w:tblCellMar>
        </w:tblPrEx>
        <w:trPr>
          <w:trHeight w:val="724" w:hRule="atLeast"/>
        </w:trPr>
        <w:tc>
          <w:tcPr>
            <w:tcW w:w="1226" w:type="pct"/>
            <w:noWrap w:val="0"/>
            <w:vAlign w:val="center"/>
          </w:tcPr>
          <w:p w14:paraId="6660D836">
            <w:pPr>
              <w:widowControl w:val="0"/>
              <w:autoSpaceDE w:val="0"/>
              <w:autoSpaceDN w:val="0"/>
              <w:adjustRightInd w:val="0"/>
              <w:snapToGrid w:val="0"/>
              <w:ind w:firstLine="0" w:firstLineChars="0"/>
              <w:rPr>
                <w:rFonts w:ascii="宋体" w:hAnsi="宋体"/>
                <w:b/>
                <w:sz w:val="32"/>
                <w:szCs w:val="32"/>
                <w:highlight w:val="none"/>
              </w:rPr>
            </w:pPr>
            <w:r>
              <w:rPr>
                <w:rFonts w:hint="eastAsia" w:ascii="宋体" w:hAnsi="宋体"/>
                <w:b/>
                <w:spacing w:val="80"/>
                <w:kern w:val="0"/>
                <w:sz w:val="32"/>
                <w:szCs w:val="32"/>
                <w:highlight w:val="none"/>
                <w:fitText w:val="1600" w:id="1624920733"/>
                <w:lang w:val="en-US" w:eastAsia="zh-CN"/>
              </w:rPr>
              <w:t>地 址</w:t>
            </w:r>
            <w:r>
              <w:rPr>
                <w:rFonts w:hint="eastAsia" w:ascii="宋体" w:hAnsi="宋体"/>
                <w:b/>
                <w:spacing w:val="0"/>
                <w:kern w:val="0"/>
                <w:sz w:val="32"/>
                <w:szCs w:val="32"/>
                <w:highlight w:val="none"/>
                <w:fitText w:val="1600" w:id="1624920733"/>
              </w:rPr>
              <w:t>：</w:t>
            </w:r>
          </w:p>
        </w:tc>
        <w:tc>
          <w:tcPr>
            <w:tcW w:w="3773" w:type="pct"/>
            <w:noWrap w:val="0"/>
            <w:vAlign w:val="center"/>
          </w:tcPr>
          <w:p w14:paraId="32D0A443">
            <w:pPr>
              <w:widowControl w:val="0"/>
              <w:autoSpaceDE w:val="0"/>
              <w:autoSpaceDN w:val="0"/>
              <w:adjustRightInd w:val="0"/>
              <w:snapToGrid w:val="0"/>
              <w:ind w:firstLine="0" w:firstLineChars="0"/>
              <w:rPr>
                <w:rFonts w:ascii="宋体" w:hAnsi="宋体"/>
                <w:b w:val="0"/>
                <w:bCs/>
                <w:sz w:val="32"/>
                <w:szCs w:val="32"/>
                <w:highlight w:val="none"/>
                <w:u w:val="single"/>
              </w:rPr>
            </w:pPr>
            <w:r>
              <w:rPr>
                <w:rFonts w:hint="eastAsia" w:ascii="宋体" w:hAnsi="宋体"/>
                <w:b w:val="0"/>
                <w:bCs/>
                <w:sz w:val="32"/>
                <w:szCs w:val="32"/>
                <w:highlight w:val="none"/>
                <w:u w:val="single"/>
              </w:rPr>
              <w:t xml:space="preserve"> </w:t>
            </w:r>
            <w:r>
              <w:rPr>
                <w:rFonts w:hint="default" w:ascii="宋体" w:hAnsi="宋体"/>
                <w:b w:val="0"/>
                <w:bCs/>
                <w:sz w:val="32"/>
                <w:szCs w:val="32"/>
                <w:highlight w:val="none"/>
                <w:u w:val="single"/>
              </w:rPr>
              <w:t>深圳市龙岗区龙城街道龙翔大道8028-4号</w:t>
            </w:r>
            <w:r>
              <w:rPr>
                <w:rFonts w:hint="eastAsia" w:ascii="宋体" w:hAnsi="宋体"/>
                <w:b w:val="0"/>
                <w:bCs/>
                <w:sz w:val="32"/>
                <w:szCs w:val="32"/>
                <w:highlight w:val="none"/>
                <w:u w:val="single"/>
              </w:rPr>
              <w:t xml:space="preserve">     </w:t>
            </w:r>
            <w:r>
              <w:rPr>
                <w:rFonts w:ascii="宋体" w:hAnsi="宋体"/>
                <w:b w:val="0"/>
                <w:bCs/>
                <w:sz w:val="32"/>
                <w:szCs w:val="32"/>
                <w:highlight w:val="none"/>
                <w:u w:val="single"/>
              </w:rPr>
              <w:t xml:space="preserve">                       </w:t>
            </w:r>
            <w:r>
              <w:rPr>
                <w:rFonts w:hint="eastAsia" w:ascii="宋体" w:hAnsi="宋体"/>
                <w:b w:val="0"/>
                <w:bCs/>
                <w:sz w:val="32"/>
                <w:szCs w:val="32"/>
                <w:highlight w:val="none"/>
                <w:u w:val="single"/>
              </w:rPr>
              <w:t xml:space="preserve">  </w:t>
            </w:r>
          </w:p>
        </w:tc>
      </w:tr>
    </w:tbl>
    <w:p w14:paraId="264223A6">
      <w:pPr>
        <w:widowControl w:val="0"/>
        <w:autoSpaceDE w:val="0"/>
        <w:autoSpaceDN w:val="0"/>
        <w:adjustRightInd w:val="0"/>
        <w:snapToGrid w:val="0"/>
        <w:ind w:firstLine="0" w:firstLineChars="0"/>
        <w:rPr>
          <w:rFonts w:hint="eastAsia" w:ascii="宋体" w:hAnsi="宋体"/>
          <w:sz w:val="48"/>
          <w:szCs w:val="48"/>
          <w:highlight w:val="none"/>
        </w:rPr>
      </w:pPr>
    </w:p>
    <w:p w14:paraId="5236DECB">
      <w:pPr>
        <w:widowControl w:val="0"/>
        <w:autoSpaceDE w:val="0"/>
        <w:autoSpaceDN w:val="0"/>
        <w:adjustRightInd w:val="0"/>
        <w:snapToGrid w:val="0"/>
        <w:ind w:firstLine="0" w:firstLineChars="0"/>
        <w:rPr>
          <w:rFonts w:ascii="宋体" w:hAnsi="宋体" w:cs="Courier New"/>
          <w:b/>
          <w:bCs/>
          <w:sz w:val="32"/>
          <w:szCs w:val="32"/>
          <w:highlight w:val="none"/>
        </w:rPr>
      </w:pPr>
    </w:p>
    <w:bookmarkEnd w:id="1"/>
    <w:bookmarkEnd w:id="2"/>
    <w:p w14:paraId="31390072">
      <w:pPr>
        <w:spacing w:before="0" w:beforeLines="0" w:after="0" w:afterLines="0" w:line="480" w:lineRule="auto"/>
        <w:ind w:left="0" w:leftChars="0" w:right="0" w:rightChars="0" w:firstLine="0" w:firstLineChars="0"/>
        <w:jc w:val="center"/>
        <w:rPr>
          <w:rFonts w:hint="eastAsia" w:ascii="宋体" w:hAnsi="宋体" w:eastAsia="宋体" w:cs="宋体"/>
          <w:b/>
          <w:bCs/>
          <w:sz w:val="52"/>
          <w:szCs w:val="52"/>
          <w:highlight w:val="none"/>
        </w:rPr>
      </w:pPr>
      <w:bookmarkStart w:id="7" w:name="_Toc4185"/>
      <w:r>
        <w:rPr>
          <w:rFonts w:hint="eastAsia" w:ascii="宋体" w:hAnsi="宋体" w:eastAsia="宋体" w:cs="宋体"/>
          <w:b/>
          <w:bCs/>
          <w:sz w:val="52"/>
          <w:szCs w:val="52"/>
          <w:highlight w:val="none"/>
        </w:rPr>
        <w:t>目录</w:t>
      </w:r>
    </w:p>
    <w:p w14:paraId="2FAF8863">
      <w:pPr>
        <w:pStyle w:val="389"/>
        <w:tabs>
          <w:tab w:val="right" w:leader="dot" w:pos="8958"/>
        </w:tabs>
        <w:rPr>
          <w:sz w:val="44"/>
          <w:szCs w:val="44"/>
          <w:highlight w:val="none"/>
        </w:rPr>
      </w:pPr>
      <w:r>
        <w:rPr>
          <w:rFonts w:ascii="宋体" w:hAnsi="宋体" w:cs="Courier New"/>
          <w:b/>
          <w:bCs/>
          <w:sz w:val="96"/>
          <w:szCs w:val="96"/>
          <w:highlight w:val="none"/>
          <w:lang w:eastAsia="en-US"/>
        </w:rPr>
        <w:fldChar w:fldCharType="begin"/>
      </w:r>
      <w:r>
        <w:rPr>
          <w:rFonts w:ascii="宋体" w:hAnsi="宋体" w:cs="Courier New"/>
          <w:b/>
          <w:bCs/>
          <w:sz w:val="96"/>
          <w:szCs w:val="96"/>
          <w:highlight w:val="none"/>
          <w:lang w:eastAsia="en-US"/>
        </w:rPr>
        <w:instrText xml:space="preserve">TOC \o "1-1" \h \u </w:instrText>
      </w:r>
      <w:r>
        <w:rPr>
          <w:rFonts w:ascii="宋体" w:hAnsi="宋体" w:cs="Courier New"/>
          <w:b/>
          <w:bCs/>
          <w:sz w:val="96"/>
          <w:szCs w:val="96"/>
          <w:highlight w:val="none"/>
          <w:lang w:eastAsia="en-US"/>
        </w:rPr>
        <w:fldChar w:fldCharType="separate"/>
      </w:r>
    </w:p>
    <w:p w14:paraId="3430AE19">
      <w:pPr>
        <w:pStyle w:val="389"/>
        <w:tabs>
          <w:tab w:val="right" w:leader="dot" w:pos="8958"/>
        </w:tabs>
        <w:spacing w:line="360" w:lineRule="auto"/>
        <w:rPr>
          <w:rFonts w:hint="eastAsia" w:ascii="仿宋_GB2312" w:hAnsi="仿宋_GB2312" w:eastAsia="仿宋_GB2312" w:cs="仿宋_GB2312"/>
          <w:sz w:val="32"/>
          <w:szCs w:val="32"/>
          <w:highlight w:val="none"/>
        </w:rPr>
      </w:pPr>
      <w:r>
        <w:rPr>
          <w:rFonts w:hint="eastAsia" w:ascii="仿宋_GB2312" w:hAnsi="仿宋_GB2312" w:eastAsia="仿宋_GB2312" w:cs="仿宋_GB2312"/>
          <w:bCs/>
          <w:sz w:val="32"/>
          <w:szCs w:val="32"/>
          <w:highlight w:val="none"/>
          <w:lang w:eastAsia="en-US"/>
        </w:rPr>
        <w:fldChar w:fldCharType="begin"/>
      </w:r>
      <w:r>
        <w:rPr>
          <w:rFonts w:hint="eastAsia" w:ascii="仿宋_GB2312" w:hAnsi="仿宋_GB2312" w:eastAsia="仿宋_GB2312" w:cs="仿宋_GB2312"/>
          <w:bCs/>
          <w:sz w:val="32"/>
          <w:szCs w:val="32"/>
          <w:highlight w:val="none"/>
          <w:lang w:eastAsia="en-US"/>
        </w:rPr>
        <w:instrText xml:space="preserve"> HYPERLINK \l _Toc8349 </w:instrText>
      </w:r>
      <w:r>
        <w:rPr>
          <w:rFonts w:hint="eastAsia" w:ascii="仿宋_GB2312" w:hAnsi="仿宋_GB2312" w:eastAsia="仿宋_GB2312" w:cs="仿宋_GB2312"/>
          <w:bCs/>
          <w:sz w:val="32"/>
          <w:szCs w:val="32"/>
          <w:highlight w:val="none"/>
          <w:lang w:eastAsia="en-US"/>
        </w:rPr>
        <w:fldChar w:fldCharType="separate"/>
      </w:r>
      <w:r>
        <w:rPr>
          <w:rFonts w:hint="eastAsia" w:ascii="仿宋_GB2312" w:hAnsi="仿宋_GB2312" w:eastAsia="仿宋_GB2312" w:cs="仿宋_GB2312"/>
          <w:bCs/>
          <w:sz w:val="32"/>
          <w:szCs w:val="32"/>
          <w:highlight w:val="none"/>
          <w:lang w:val="en-US" w:eastAsia="zh-CN"/>
        </w:rPr>
        <w:t>采购公告</w:t>
      </w:r>
      <w:r>
        <w:rPr>
          <w:rFonts w:hint="eastAsia" w:ascii="仿宋_GB2312" w:hAnsi="仿宋_GB2312" w:eastAsia="仿宋_GB2312" w:cs="仿宋_GB2312"/>
          <w:sz w:val="32"/>
          <w:szCs w:val="32"/>
          <w:highlight w:val="none"/>
        </w:rPr>
        <w:tab/>
      </w: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PAGEREF _Toc8349 \h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val="en-US" w:eastAsia="zh-CN"/>
        </w:rPr>
        <w:t>3</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bCs/>
          <w:sz w:val="32"/>
          <w:szCs w:val="32"/>
          <w:highlight w:val="none"/>
          <w:lang w:eastAsia="en-US"/>
        </w:rPr>
        <w:fldChar w:fldCharType="end"/>
      </w:r>
    </w:p>
    <w:p w14:paraId="52C17092">
      <w:pPr>
        <w:pStyle w:val="389"/>
        <w:tabs>
          <w:tab w:val="right" w:leader="dot" w:pos="8958"/>
        </w:tabs>
        <w:spacing w:line="360" w:lineRule="auto"/>
        <w:rPr>
          <w:rFonts w:hint="eastAsia" w:ascii="仿宋_GB2312" w:hAnsi="仿宋_GB2312" w:eastAsia="仿宋_GB2312" w:cs="仿宋_GB2312"/>
          <w:sz w:val="32"/>
          <w:szCs w:val="32"/>
          <w:highlight w:val="none"/>
        </w:rPr>
      </w:pPr>
      <w:r>
        <w:rPr>
          <w:rFonts w:hint="eastAsia" w:ascii="仿宋_GB2312" w:hAnsi="仿宋_GB2312" w:eastAsia="仿宋_GB2312" w:cs="仿宋_GB2312"/>
          <w:bCs/>
          <w:sz w:val="32"/>
          <w:szCs w:val="32"/>
          <w:highlight w:val="none"/>
          <w:lang w:eastAsia="en-US"/>
        </w:rPr>
        <w:fldChar w:fldCharType="begin"/>
      </w:r>
      <w:r>
        <w:rPr>
          <w:rFonts w:hint="eastAsia" w:ascii="仿宋_GB2312" w:hAnsi="仿宋_GB2312" w:eastAsia="仿宋_GB2312" w:cs="仿宋_GB2312"/>
          <w:bCs/>
          <w:sz w:val="32"/>
          <w:szCs w:val="32"/>
          <w:highlight w:val="none"/>
          <w:lang w:eastAsia="en-US"/>
        </w:rPr>
        <w:instrText xml:space="preserve"> HYPERLINK \l _Toc20097 </w:instrText>
      </w:r>
      <w:r>
        <w:rPr>
          <w:rFonts w:hint="eastAsia" w:ascii="仿宋_GB2312" w:hAnsi="仿宋_GB2312" w:eastAsia="仿宋_GB2312" w:cs="仿宋_GB2312"/>
          <w:bCs/>
          <w:sz w:val="32"/>
          <w:szCs w:val="32"/>
          <w:highlight w:val="none"/>
          <w:lang w:eastAsia="en-US"/>
        </w:rPr>
        <w:fldChar w:fldCharType="separate"/>
      </w:r>
      <w:r>
        <w:rPr>
          <w:rFonts w:hint="eastAsia" w:ascii="仿宋_GB2312" w:hAnsi="仿宋_GB2312" w:eastAsia="仿宋_GB2312" w:cs="仿宋_GB2312"/>
          <w:bCs/>
          <w:sz w:val="32"/>
          <w:szCs w:val="32"/>
          <w:highlight w:val="none"/>
        </w:rPr>
        <w:t xml:space="preserve">第一章 </w:t>
      </w:r>
      <w:r>
        <w:rPr>
          <w:rFonts w:hint="eastAsia" w:ascii="仿宋_GB2312" w:hAnsi="仿宋_GB2312" w:eastAsia="仿宋_GB2312" w:cs="仿宋_GB2312"/>
          <w:bCs/>
          <w:sz w:val="32"/>
          <w:szCs w:val="32"/>
          <w:highlight w:val="none"/>
          <w:lang w:val="en-US" w:eastAsia="zh-CN"/>
        </w:rPr>
        <w:t>报价</w:t>
      </w:r>
      <w:r>
        <w:rPr>
          <w:rFonts w:hint="eastAsia" w:ascii="仿宋_GB2312" w:hAnsi="仿宋_GB2312" w:eastAsia="仿宋_GB2312" w:cs="仿宋_GB2312"/>
          <w:bCs/>
          <w:sz w:val="32"/>
          <w:szCs w:val="32"/>
          <w:highlight w:val="none"/>
        </w:rPr>
        <w:t>人须知</w:t>
      </w:r>
      <w:r>
        <w:rPr>
          <w:rFonts w:hint="eastAsia" w:ascii="仿宋_GB2312" w:hAnsi="仿宋_GB2312" w:eastAsia="仿宋_GB2312" w:cs="仿宋_GB2312"/>
          <w:sz w:val="32"/>
          <w:szCs w:val="32"/>
          <w:highlight w:val="none"/>
        </w:rPr>
        <w:tab/>
      </w: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PAGEREF _Toc20097 \h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t>8</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bCs/>
          <w:sz w:val="32"/>
          <w:szCs w:val="32"/>
          <w:highlight w:val="none"/>
          <w:lang w:eastAsia="en-US"/>
        </w:rPr>
        <w:fldChar w:fldCharType="end"/>
      </w:r>
    </w:p>
    <w:p w14:paraId="0654D639">
      <w:pPr>
        <w:pStyle w:val="389"/>
        <w:tabs>
          <w:tab w:val="right" w:leader="dot" w:pos="8958"/>
        </w:tabs>
        <w:spacing w:line="360" w:lineRule="auto"/>
        <w:rPr>
          <w:rFonts w:hint="eastAsia" w:ascii="仿宋_GB2312" w:hAnsi="仿宋_GB2312" w:eastAsia="仿宋_GB2312" w:cs="仿宋_GB2312"/>
          <w:sz w:val="32"/>
          <w:szCs w:val="32"/>
          <w:highlight w:val="none"/>
        </w:rPr>
      </w:pPr>
      <w:r>
        <w:rPr>
          <w:rFonts w:hint="eastAsia" w:ascii="仿宋_GB2312" w:hAnsi="仿宋_GB2312" w:eastAsia="仿宋_GB2312" w:cs="仿宋_GB2312"/>
          <w:bCs/>
          <w:sz w:val="32"/>
          <w:szCs w:val="32"/>
          <w:highlight w:val="none"/>
          <w:lang w:eastAsia="en-US"/>
        </w:rPr>
        <w:fldChar w:fldCharType="begin"/>
      </w:r>
      <w:r>
        <w:rPr>
          <w:rFonts w:hint="eastAsia" w:ascii="仿宋_GB2312" w:hAnsi="仿宋_GB2312" w:eastAsia="仿宋_GB2312" w:cs="仿宋_GB2312"/>
          <w:bCs/>
          <w:sz w:val="32"/>
          <w:szCs w:val="32"/>
          <w:highlight w:val="none"/>
          <w:lang w:eastAsia="en-US"/>
        </w:rPr>
        <w:instrText xml:space="preserve"> HYPERLINK \l _Toc29294 </w:instrText>
      </w:r>
      <w:r>
        <w:rPr>
          <w:rFonts w:hint="eastAsia" w:ascii="仿宋_GB2312" w:hAnsi="仿宋_GB2312" w:eastAsia="仿宋_GB2312" w:cs="仿宋_GB2312"/>
          <w:bCs/>
          <w:sz w:val="32"/>
          <w:szCs w:val="32"/>
          <w:highlight w:val="none"/>
          <w:lang w:eastAsia="en-US"/>
        </w:rPr>
        <w:fldChar w:fldCharType="separate"/>
      </w:r>
      <w:r>
        <w:rPr>
          <w:rFonts w:hint="eastAsia" w:ascii="仿宋_GB2312" w:hAnsi="仿宋_GB2312" w:eastAsia="仿宋_GB2312" w:cs="仿宋_GB2312"/>
          <w:bCs/>
          <w:sz w:val="32"/>
          <w:szCs w:val="32"/>
          <w:highlight w:val="none"/>
        </w:rPr>
        <w:t xml:space="preserve">第二章 </w:t>
      </w:r>
      <w:r>
        <w:rPr>
          <w:rFonts w:hint="eastAsia" w:ascii="仿宋_GB2312" w:hAnsi="仿宋_GB2312" w:eastAsia="仿宋_GB2312" w:cs="仿宋_GB2312"/>
          <w:bCs/>
          <w:sz w:val="32"/>
          <w:szCs w:val="32"/>
          <w:highlight w:val="none"/>
          <w:lang w:val="en-US" w:eastAsia="zh-CN"/>
        </w:rPr>
        <w:t>响应文件编制要求</w:t>
      </w:r>
      <w:r>
        <w:rPr>
          <w:rFonts w:hint="eastAsia" w:ascii="仿宋_GB2312" w:hAnsi="仿宋_GB2312" w:eastAsia="仿宋_GB2312" w:cs="仿宋_GB2312"/>
          <w:sz w:val="32"/>
          <w:szCs w:val="32"/>
          <w:highlight w:val="none"/>
        </w:rPr>
        <w:tab/>
      </w: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PAGEREF _Toc29294 \h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t>9</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bCs/>
          <w:sz w:val="32"/>
          <w:szCs w:val="32"/>
          <w:highlight w:val="none"/>
          <w:lang w:eastAsia="en-US"/>
        </w:rPr>
        <w:fldChar w:fldCharType="end"/>
      </w:r>
    </w:p>
    <w:p w14:paraId="4C82051E">
      <w:pPr>
        <w:pStyle w:val="389"/>
        <w:tabs>
          <w:tab w:val="right" w:leader="dot" w:pos="8958"/>
        </w:tabs>
        <w:spacing w:line="360" w:lineRule="auto"/>
        <w:rPr>
          <w:rFonts w:hint="eastAsia" w:ascii="仿宋_GB2312" w:hAnsi="仿宋_GB2312" w:eastAsia="仿宋_GB2312" w:cs="仿宋_GB2312"/>
          <w:sz w:val="32"/>
          <w:szCs w:val="32"/>
          <w:highlight w:val="none"/>
        </w:rPr>
      </w:pPr>
      <w:r>
        <w:rPr>
          <w:rFonts w:hint="eastAsia" w:ascii="仿宋_GB2312" w:hAnsi="仿宋_GB2312" w:eastAsia="仿宋_GB2312" w:cs="仿宋_GB2312"/>
          <w:bCs/>
          <w:sz w:val="32"/>
          <w:szCs w:val="32"/>
          <w:highlight w:val="none"/>
          <w:lang w:eastAsia="en-US"/>
        </w:rPr>
        <w:fldChar w:fldCharType="begin"/>
      </w:r>
      <w:r>
        <w:rPr>
          <w:rFonts w:hint="eastAsia" w:ascii="仿宋_GB2312" w:hAnsi="仿宋_GB2312" w:eastAsia="仿宋_GB2312" w:cs="仿宋_GB2312"/>
          <w:bCs/>
          <w:sz w:val="32"/>
          <w:szCs w:val="32"/>
          <w:highlight w:val="none"/>
          <w:lang w:eastAsia="en-US"/>
        </w:rPr>
        <w:instrText xml:space="preserve"> HYPERLINK \l _Toc26702 </w:instrText>
      </w:r>
      <w:r>
        <w:rPr>
          <w:rFonts w:hint="eastAsia" w:ascii="仿宋_GB2312" w:hAnsi="仿宋_GB2312" w:eastAsia="仿宋_GB2312" w:cs="仿宋_GB2312"/>
          <w:bCs/>
          <w:sz w:val="32"/>
          <w:szCs w:val="32"/>
          <w:highlight w:val="none"/>
          <w:lang w:eastAsia="en-US"/>
        </w:rPr>
        <w:fldChar w:fldCharType="separate"/>
      </w:r>
      <w:r>
        <w:rPr>
          <w:rFonts w:hint="eastAsia" w:ascii="仿宋_GB2312" w:hAnsi="仿宋_GB2312" w:eastAsia="仿宋_GB2312" w:cs="仿宋_GB2312"/>
          <w:bCs/>
          <w:kern w:val="2"/>
          <w:sz w:val="32"/>
          <w:szCs w:val="32"/>
          <w:highlight w:val="none"/>
          <w:lang w:val="en-US" w:eastAsia="zh-CN" w:bidi="ar-SA"/>
        </w:rPr>
        <w:t>第三章 评审响应文件</w:t>
      </w:r>
      <w:r>
        <w:rPr>
          <w:rFonts w:hint="eastAsia" w:ascii="仿宋_GB2312" w:hAnsi="仿宋_GB2312" w:eastAsia="仿宋_GB2312" w:cs="仿宋_GB2312"/>
          <w:sz w:val="32"/>
          <w:szCs w:val="32"/>
          <w:highlight w:val="none"/>
        </w:rPr>
        <w:tab/>
      </w: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PAGEREF _Toc26702 \h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t>12</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bCs/>
          <w:sz w:val="32"/>
          <w:szCs w:val="32"/>
          <w:highlight w:val="none"/>
          <w:lang w:eastAsia="en-US"/>
        </w:rPr>
        <w:fldChar w:fldCharType="end"/>
      </w:r>
    </w:p>
    <w:p w14:paraId="11F5B3C4">
      <w:pPr>
        <w:pStyle w:val="389"/>
        <w:tabs>
          <w:tab w:val="right" w:leader="dot" w:pos="8958"/>
        </w:tabs>
        <w:spacing w:line="360" w:lineRule="auto"/>
        <w:rPr>
          <w:rFonts w:hint="eastAsia" w:ascii="仿宋_GB2312" w:hAnsi="仿宋_GB2312" w:eastAsia="仿宋_GB2312" w:cs="仿宋_GB2312"/>
          <w:sz w:val="32"/>
          <w:szCs w:val="32"/>
          <w:highlight w:val="none"/>
        </w:rPr>
      </w:pPr>
      <w:r>
        <w:rPr>
          <w:rFonts w:hint="eastAsia" w:ascii="仿宋_GB2312" w:hAnsi="仿宋_GB2312" w:eastAsia="仿宋_GB2312" w:cs="仿宋_GB2312"/>
          <w:bCs/>
          <w:sz w:val="32"/>
          <w:szCs w:val="32"/>
          <w:highlight w:val="none"/>
          <w:lang w:eastAsia="en-US"/>
        </w:rPr>
        <w:fldChar w:fldCharType="begin"/>
      </w:r>
      <w:r>
        <w:rPr>
          <w:rFonts w:hint="eastAsia" w:ascii="仿宋_GB2312" w:hAnsi="仿宋_GB2312" w:eastAsia="仿宋_GB2312" w:cs="仿宋_GB2312"/>
          <w:bCs/>
          <w:sz w:val="32"/>
          <w:szCs w:val="32"/>
          <w:highlight w:val="none"/>
          <w:lang w:eastAsia="en-US"/>
        </w:rPr>
        <w:instrText xml:space="preserve"> HYPERLINK \l _Toc25190 </w:instrText>
      </w:r>
      <w:r>
        <w:rPr>
          <w:rFonts w:hint="eastAsia" w:ascii="仿宋_GB2312" w:hAnsi="仿宋_GB2312" w:eastAsia="仿宋_GB2312" w:cs="仿宋_GB2312"/>
          <w:bCs/>
          <w:sz w:val="32"/>
          <w:szCs w:val="32"/>
          <w:highlight w:val="none"/>
          <w:lang w:eastAsia="en-US"/>
        </w:rPr>
        <w:fldChar w:fldCharType="separate"/>
      </w:r>
      <w:r>
        <w:rPr>
          <w:rFonts w:hint="eastAsia" w:ascii="仿宋_GB2312" w:hAnsi="仿宋_GB2312" w:eastAsia="仿宋_GB2312" w:cs="仿宋_GB2312"/>
          <w:bCs/>
          <w:sz w:val="32"/>
          <w:szCs w:val="32"/>
          <w:highlight w:val="none"/>
        </w:rPr>
        <w:t>第</w:t>
      </w:r>
      <w:r>
        <w:rPr>
          <w:rFonts w:hint="eastAsia" w:ascii="仿宋_GB2312" w:hAnsi="仿宋_GB2312" w:eastAsia="仿宋_GB2312" w:cs="仿宋_GB2312"/>
          <w:bCs/>
          <w:sz w:val="32"/>
          <w:szCs w:val="32"/>
          <w:highlight w:val="none"/>
          <w:lang w:val="en-US" w:eastAsia="zh-CN"/>
        </w:rPr>
        <w:t>四</w:t>
      </w:r>
      <w:r>
        <w:rPr>
          <w:rFonts w:hint="eastAsia" w:ascii="仿宋_GB2312" w:hAnsi="仿宋_GB2312" w:eastAsia="仿宋_GB2312" w:cs="仿宋_GB2312"/>
          <w:bCs/>
          <w:sz w:val="32"/>
          <w:szCs w:val="32"/>
          <w:highlight w:val="none"/>
        </w:rPr>
        <w:t>章 合同条款及格式</w:t>
      </w:r>
      <w:r>
        <w:rPr>
          <w:rFonts w:hint="eastAsia" w:ascii="仿宋_GB2312" w:hAnsi="仿宋_GB2312" w:eastAsia="仿宋_GB2312" w:cs="仿宋_GB2312"/>
          <w:sz w:val="32"/>
          <w:szCs w:val="32"/>
          <w:highlight w:val="none"/>
        </w:rPr>
        <w:tab/>
      </w: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PAGEREF _Toc25190 \h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t>17</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bCs/>
          <w:sz w:val="32"/>
          <w:szCs w:val="32"/>
          <w:highlight w:val="none"/>
          <w:lang w:eastAsia="en-US"/>
        </w:rPr>
        <w:fldChar w:fldCharType="end"/>
      </w:r>
    </w:p>
    <w:p w14:paraId="72E251F2">
      <w:pPr>
        <w:pStyle w:val="389"/>
        <w:tabs>
          <w:tab w:val="right" w:leader="dot" w:pos="8958"/>
        </w:tabs>
        <w:spacing w:line="360" w:lineRule="auto"/>
        <w:rPr>
          <w:rFonts w:hint="eastAsia" w:ascii="仿宋_GB2312" w:hAnsi="仿宋_GB2312" w:eastAsia="仿宋_GB2312" w:cs="仿宋_GB2312"/>
          <w:sz w:val="32"/>
          <w:szCs w:val="32"/>
          <w:highlight w:val="none"/>
        </w:rPr>
      </w:pPr>
      <w:r>
        <w:rPr>
          <w:rFonts w:hint="eastAsia" w:ascii="仿宋_GB2312" w:hAnsi="仿宋_GB2312" w:eastAsia="仿宋_GB2312" w:cs="仿宋_GB2312"/>
          <w:bCs/>
          <w:sz w:val="32"/>
          <w:szCs w:val="32"/>
          <w:highlight w:val="none"/>
          <w:lang w:eastAsia="en-US"/>
        </w:rPr>
        <w:fldChar w:fldCharType="begin"/>
      </w:r>
      <w:r>
        <w:rPr>
          <w:rFonts w:hint="eastAsia" w:ascii="仿宋_GB2312" w:hAnsi="仿宋_GB2312" w:eastAsia="仿宋_GB2312" w:cs="仿宋_GB2312"/>
          <w:bCs/>
          <w:sz w:val="32"/>
          <w:szCs w:val="32"/>
          <w:highlight w:val="none"/>
          <w:lang w:eastAsia="en-US"/>
        </w:rPr>
        <w:instrText xml:space="preserve"> HYPERLINK \l _Toc7914 </w:instrText>
      </w:r>
      <w:r>
        <w:rPr>
          <w:rFonts w:hint="eastAsia" w:ascii="仿宋_GB2312" w:hAnsi="仿宋_GB2312" w:eastAsia="仿宋_GB2312" w:cs="仿宋_GB2312"/>
          <w:bCs/>
          <w:sz w:val="32"/>
          <w:szCs w:val="32"/>
          <w:highlight w:val="none"/>
          <w:lang w:eastAsia="en-US"/>
        </w:rPr>
        <w:fldChar w:fldCharType="separate"/>
      </w:r>
      <w:r>
        <w:rPr>
          <w:rFonts w:hint="eastAsia" w:ascii="仿宋_GB2312" w:hAnsi="仿宋_GB2312" w:eastAsia="仿宋_GB2312" w:cs="仿宋_GB2312"/>
          <w:bCs/>
          <w:kern w:val="2"/>
          <w:sz w:val="32"/>
          <w:szCs w:val="32"/>
          <w:highlight w:val="none"/>
          <w:lang w:val="en-US" w:eastAsia="zh-CN" w:bidi="ar-SA"/>
        </w:rPr>
        <w:t>第五章 响应文件格式</w:t>
      </w:r>
      <w:r>
        <w:rPr>
          <w:rFonts w:hint="eastAsia" w:ascii="仿宋_GB2312" w:hAnsi="仿宋_GB2312" w:eastAsia="仿宋_GB2312" w:cs="仿宋_GB2312"/>
          <w:sz w:val="32"/>
          <w:szCs w:val="32"/>
          <w:highlight w:val="none"/>
        </w:rPr>
        <w:tab/>
      </w: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PAGEREF _Toc7914 \h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rPr>
        <w:t>25</w:t>
      </w:r>
      <w:r>
        <w:rPr>
          <w:rFonts w:hint="eastAsia" w:ascii="仿宋_GB2312" w:hAnsi="仿宋_GB2312" w:eastAsia="仿宋_GB2312" w:cs="仿宋_GB2312"/>
          <w:sz w:val="32"/>
          <w:szCs w:val="32"/>
          <w:highlight w:val="none"/>
        </w:rPr>
        <w:fldChar w:fldCharType="end"/>
      </w:r>
      <w:r>
        <w:rPr>
          <w:rFonts w:hint="eastAsia" w:ascii="仿宋_GB2312" w:hAnsi="仿宋_GB2312" w:eastAsia="仿宋_GB2312" w:cs="仿宋_GB2312"/>
          <w:bCs/>
          <w:sz w:val="32"/>
          <w:szCs w:val="32"/>
          <w:highlight w:val="none"/>
          <w:lang w:eastAsia="en-US"/>
        </w:rPr>
        <w:fldChar w:fldCharType="end"/>
      </w:r>
    </w:p>
    <w:p w14:paraId="087D9BC5">
      <w:pPr>
        <w:pStyle w:val="389"/>
        <w:tabs>
          <w:tab w:val="right" w:leader="dot" w:pos="8958"/>
        </w:tabs>
        <w:rPr>
          <w:sz w:val="44"/>
          <w:szCs w:val="44"/>
          <w:highlight w:val="none"/>
        </w:rPr>
      </w:pPr>
    </w:p>
    <w:p w14:paraId="5C720C1A">
      <w:pPr>
        <w:widowControl w:val="0"/>
        <w:autoSpaceDE w:val="0"/>
        <w:autoSpaceDN w:val="0"/>
        <w:adjustRightInd w:val="0"/>
        <w:snapToGrid w:val="0"/>
        <w:spacing w:line="480" w:lineRule="auto"/>
        <w:ind w:firstLine="0" w:firstLineChars="0"/>
        <w:jc w:val="center"/>
        <w:outlineLvl w:val="9"/>
        <w:rPr>
          <w:rFonts w:ascii="宋体" w:hAnsi="宋体" w:cs="Courier New"/>
          <w:bCs/>
          <w:szCs w:val="32"/>
          <w:highlight w:val="none"/>
          <w:lang w:eastAsia="en-US"/>
        </w:rPr>
        <w:sectPr>
          <w:headerReference r:id="rId7" w:type="first"/>
          <w:footerReference r:id="rId10" w:type="first"/>
          <w:headerReference r:id="rId5" w:type="default"/>
          <w:footerReference r:id="rId8" w:type="default"/>
          <w:headerReference r:id="rId6" w:type="even"/>
          <w:footerReference r:id="rId9" w:type="even"/>
          <w:pgSz w:w="11906" w:h="16838"/>
          <w:pgMar w:top="1814" w:right="1474" w:bottom="1814" w:left="1474" w:header="567" w:footer="567" w:gutter="0"/>
          <w:pgNumType w:fmt="decimal"/>
          <w:cols w:space="720" w:num="1"/>
          <w:docGrid w:linePitch="286" w:charSpace="0"/>
        </w:sectPr>
      </w:pPr>
      <w:r>
        <w:rPr>
          <w:rFonts w:ascii="宋体" w:hAnsi="宋体" w:cs="Courier New"/>
          <w:bCs/>
          <w:sz w:val="48"/>
          <w:szCs w:val="96"/>
          <w:highlight w:val="none"/>
          <w:lang w:eastAsia="en-US"/>
        </w:rPr>
        <w:fldChar w:fldCharType="end"/>
      </w:r>
    </w:p>
    <w:bookmarkEnd w:id="3"/>
    <w:bookmarkEnd w:id="7"/>
    <w:p w14:paraId="5FCB194C">
      <w:pPr>
        <w:widowControl w:val="0"/>
        <w:autoSpaceDE w:val="0"/>
        <w:autoSpaceDN w:val="0"/>
        <w:adjustRightInd w:val="0"/>
        <w:snapToGrid w:val="0"/>
        <w:ind w:firstLine="0" w:firstLineChars="0"/>
        <w:jc w:val="center"/>
        <w:outlineLvl w:val="0"/>
        <w:rPr>
          <w:rFonts w:hint="eastAsia" w:ascii="宋体" w:hAnsi="宋体" w:cs="宋体"/>
          <w:b/>
          <w:bCs/>
          <w:sz w:val="52"/>
          <w:szCs w:val="52"/>
          <w:highlight w:val="none"/>
        </w:rPr>
      </w:pPr>
      <w:r>
        <w:rPr>
          <w:rFonts w:hint="eastAsia" w:ascii="宋体" w:hAnsi="宋体" w:cs="宋体"/>
          <w:b/>
          <w:bCs/>
          <w:sz w:val="52"/>
          <w:szCs w:val="52"/>
          <w:highlight w:val="none"/>
          <w:lang w:val="en-US" w:eastAsia="zh-CN"/>
        </w:rPr>
        <w:t>采购公告</w:t>
      </w:r>
    </w:p>
    <w:p w14:paraId="6A867966">
      <w:pPr>
        <w:keepNext w:val="0"/>
        <w:keepLines w:val="0"/>
        <w:pageBreakBefore w:val="0"/>
        <w:kinsoku/>
        <w:wordWrap/>
        <w:overflowPunct/>
        <w:topLinePunct w:val="0"/>
        <w:autoSpaceDE/>
        <w:autoSpaceDN/>
        <w:bidi w:val="0"/>
        <w:adjustRightInd/>
        <w:spacing w:line="560" w:lineRule="exact"/>
        <w:ind w:left="0" w:leftChars="0" w:firstLine="0" w:firstLine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各</w:t>
      </w:r>
      <w:r>
        <w:rPr>
          <w:rFonts w:hint="eastAsia" w:ascii="仿宋_GB2312" w:hAnsi="仿宋_GB2312" w:eastAsia="仿宋_GB2312" w:cs="仿宋_GB2312"/>
          <w:sz w:val="32"/>
          <w:szCs w:val="32"/>
          <w:highlight w:val="none"/>
          <w:lang w:val="en-US" w:eastAsia="zh-CN"/>
        </w:rPr>
        <w:t>响应单位</w:t>
      </w:r>
      <w:r>
        <w:rPr>
          <w:rFonts w:hint="eastAsia" w:ascii="仿宋_GB2312" w:hAnsi="仿宋_GB2312" w:eastAsia="仿宋_GB2312" w:cs="仿宋_GB2312"/>
          <w:sz w:val="32"/>
          <w:szCs w:val="32"/>
          <w:highlight w:val="none"/>
        </w:rPr>
        <w:t>：</w:t>
      </w:r>
    </w:p>
    <w:p w14:paraId="5BE2CAA9">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为保证我司的LED显示屏的正常运行和正常显示，现就</w:t>
      </w:r>
      <w:r>
        <w:rPr>
          <w:rFonts w:hint="eastAsia" w:ascii="仿宋_GB2312" w:hAnsi="仿宋_GB2312" w:eastAsia="仿宋_GB2312" w:cs="仿宋_GB2312"/>
          <w:sz w:val="32"/>
          <w:szCs w:val="32"/>
          <w:highlight w:val="none"/>
          <w:u w:val="single"/>
          <w:lang w:val="en-US" w:eastAsia="zh-CN"/>
        </w:rPr>
        <w:t>深圳书城龙岗城（金旭大楼）2026-2028年度LED显示屏维保服务</w:t>
      </w:r>
      <w:r>
        <w:rPr>
          <w:rFonts w:hint="eastAsia" w:ascii="仿宋_GB2312" w:hAnsi="仿宋_GB2312" w:eastAsia="仿宋_GB2312" w:cs="仿宋_GB2312"/>
          <w:sz w:val="32"/>
          <w:szCs w:val="32"/>
          <w:highlight w:val="none"/>
          <w:lang w:val="en-US" w:eastAsia="zh-CN"/>
        </w:rPr>
        <w:t>项目进行公开采购，欢迎符合资格的单位参与报价，具体如下</w:t>
      </w:r>
      <w:r>
        <w:rPr>
          <w:rFonts w:hint="eastAsia" w:ascii="仿宋_GB2312" w:hAnsi="仿宋_GB2312" w:eastAsia="仿宋_GB2312" w:cs="仿宋_GB2312"/>
          <w:sz w:val="32"/>
          <w:szCs w:val="32"/>
          <w:highlight w:val="none"/>
        </w:rPr>
        <w:t>：</w:t>
      </w:r>
    </w:p>
    <w:p w14:paraId="5DB922F9">
      <w:pPr>
        <w:keepNext w:val="0"/>
        <w:keepLines w:val="0"/>
        <w:pageBreakBefore w:val="0"/>
        <w:numPr>
          <w:ilvl w:val="0"/>
          <w:numId w:val="1"/>
        </w:numPr>
        <w:shd w:val="clear" w:color="auto" w:fill="auto"/>
        <w:kinsoku/>
        <w:wordWrap/>
        <w:overflowPunct/>
        <w:topLinePunct w:val="0"/>
        <w:autoSpaceDE/>
        <w:autoSpaceDN/>
        <w:bidi w:val="0"/>
        <w:adjustRightInd/>
        <w:spacing w:line="560" w:lineRule="exact"/>
        <w:ind w:firstLine="640" w:firstLineChars="200"/>
        <w:textAlignment w:val="auto"/>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情况介绍</w:t>
      </w:r>
    </w:p>
    <w:p w14:paraId="6AE58044">
      <w:pPr>
        <w:keepNext w:val="0"/>
        <w:keepLines w:val="0"/>
        <w:pageBreakBefore w:val="0"/>
        <w:widowControl/>
        <w:shd w:val="clear" w:color="auto" w:fill="auto"/>
        <w:kinsoku/>
        <w:wordWrap/>
        <w:overflowPunct/>
        <w:topLinePunct w:val="0"/>
        <w:autoSpaceDE/>
        <w:autoSpaceDN/>
        <w:bidi w:val="0"/>
        <w:adjustRightInd/>
        <w:snapToGrid w:val="0"/>
        <w:spacing w:line="560" w:lineRule="exact"/>
        <w:ind w:firstLine="560"/>
        <w:textAlignment w:val="auto"/>
        <w:rPr>
          <w:rFonts w:eastAsia="仿宋_GB2312"/>
          <w:kern w:val="0"/>
          <w:sz w:val="32"/>
          <w:szCs w:val="32"/>
          <w:highlight w:val="none"/>
        </w:rPr>
      </w:pPr>
      <w:r>
        <w:rPr>
          <w:rFonts w:hint="eastAsia" w:ascii="楷体" w:hAnsi="楷体" w:eastAsia="楷体" w:cs="楷体"/>
          <w:b/>
          <w:bCs/>
          <w:sz w:val="32"/>
          <w:szCs w:val="32"/>
          <w:highlight w:val="none"/>
          <w:lang w:val="en-US" w:eastAsia="zh-CN"/>
        </w:rPr>
        <w:t>（一）采购单位：</w:t>
      </w:r>
      <w:r>
        <w:rPr>
          <w:rFonts w:hint="eastAsia" w:ascii="仿宋_GB2312" w:hAnsi="仿宋_GB2312" w:eastAsia="仿宋_GB2312" w:cs="仿宋_GB2312"/>
          <w:sz w:val="32"/>
          <w:szCs w:val="32"/>
          <w:highlight w:val="none"/>
        </w:rPr>
        <w:t>深圳书城龙岗城实业有限公司</w:t>
      </w:r>
    </w:p>
    <w:p w14:paraId="68237854">
      <w:pPr>
        <w:keepNext w:val="0"/>
        <w:keepLines w:val="0"/>
        <w:pageBreakBefore w:val="0"/>
        <w:widowControl/>
        <w:shd w:val="clear" w:color="auto" w:fill="auto"/>
        <w:kinsoku/>
        <w:wordWrap/>
        <w:overflowPunct/>
        <w:topLinePunct w:val="0"/>
        <w:autoSpaceDE/>
        <w:autoSpaceDN/>
        <w:bidi w:val="0"/>
        <w:adjustRightInd/>
        <w:snapToGrid w:val="0"/>
        <w:spacing w:line="560" w:lineRule="exact"/>
        <w:ind w:firstLine="560"/>
        <w:textAlignment w:val="auto"/>
        <w:rPr>
          <w:rFonts w:hint="eastAsia" w:ascii="仿宋_GB2312" w:hAnsi="仿宋_GB2312" w:eastAsia="仿宋_GB2312" w:cs="仿宋_GB2312"/>
          <w:sz w:val="32"/>
          <w:szCs w:val="32"/>
          <w:highlight w:val="none"/>
        </w:rPr>
      </w:pPr>
      <w:r>
        <w:rPr>
          <w:rFonts w:hint="eastAsia" w:ascii="楷体" w:hAnsi="楷体" w:eastAsia="楷体" w:cs="楷体"/>
          <w:b/>
          <w:bCs/>
          <w:sz w:val="32"/>
          <w:szCs w:val="32"/>
          <w:highlight w:val="none"/>
          <w:lang w:val="en-US" w:eastAsia="zh-CN"/>
        </w:rPr>
        <w:t>（二）项目名称：</w:t>
      </w:r>
      <w:r>
        <w:rPr>
          <w:rFonts w:hint="eastAsia" w:ascii="仿宋_GB2312" w:hAnsi="仿宋_GB2312" w:eastAsia="仿宋_GB2312" w:cs="仿宋_GB2312"/>
          <w:sz w:val="32"/>
          <w:szCs w:val="32"/>
          <w:highlight w:val="none"/>
          <w:lang w:eastAsia="zh-CN"/>
        </w:rPr>
        <w:t>深圳书城龙岗城（金旭大楼）2026-2028年度LED显示屏维保服务（二次）</w:t>
      </w:r>
      <w:r>
        <w:rPr>
          <w:rFonts w:hint="eastAsia" w:ascii="仿宋_GB2312" w:hAnsi="仿宋_GB2312" w:eastAsia="仿宋_GB2312" w:cs="仿宋_GB2312"/>
          <w:sz w:val="32"/>
          <w:szCs w:val="32"/>
          <w:highlight w:val="none"/>
        </w:rPr>
        <w:t>。</w:t>
      </w:r>
    </w:p>
    <w:p w14:paraId="195F6A4B">
      <w:pPr>
        <w:keepNext w:val="0"/>
        <w:keepLines w:val="0"/>
        <w:pageBreakBefore w:val="0"/>
        <w:widowControl w:val="0"/>
        <w:kinsoku/>
        <w:wordWrap/>
        <w:overflowPunct/>
        <w:topLinePunct w:val="0"/>
        <w:autoSpaceDE/>
        <w:autoSpaceDN/>
        <w:bidi w:val="0"/>
        <w:adjustRightInd/>
        <w:spacing w:before="174" w:line="560" w:lineRule="exact"/>
        <w:ind w:left="784" w:firstLine="0" w:firstLineChars="0"/>
        <w:textAlignment w:val="auto"/>
        <w:rPr>
          <w:rFonts w:ascii="楷体" w:hAnsi="楷体" w:eastAsia="楷体" w:cs="楷体"/>
          <w:sz w:val="32"/>
          <w:szCs w:val="32"/>
          <w:highlight w:val="none"/>
        </w:rPr>
      </w:pPr>
      <w:r>
        <w:rPr>
          <w:rFonts w:hint="eastAsia" w:ascii="楷体" w:hAnsi="楷体" w:eastAsia="楷体" w:cs="楷体"/>
          <w:b/>
          <w:bCs/>
          <w:sz w:val="32"/>
          <w:szCs w:val="32"/>
          <w:highlight w:val="none"/>
          <w:lang w:val="en-US" w:eastAsia="zh-CN"/>
        </w:rPr>
        <w:t>（三）</w:t>
      </w:r>
      <w:r>
        <w:rPr>
          <w:rFonts w:ascii="楷体" w:hAnsi="楷体" w:eastAsia="楷体" w:cs="楷体"/>
          <w:b/>
          <w:bCs/>
          <w:spacing w:val="9"/>
          <w:sz w:val="32"/>
          <w:szCs w:val="32"/>
          <w:highlight w:val="none"/>
        </w:rPr>
        <w:t>服务内容：</w:t>
      </w:r>
    </w:p>
    <w:p w14:paraId="7D62D245">
      <w:pPr>
        <w:keepNext w:val="0"/>
        <w:keepLines w:val="0"/>
        <w:pageBreakBefore w:val="0"/>
        <w:widowControl/>
        <w:shd w:val="clear" w:color="auto" w:fill="auto"/>
        <w:kinsoku/>
        <w:wordWrap/>
        <w:overflowPunct/>
        <w:topLinePunct w:val="0"/>
        <w:autoSpaceDE/>
        <w:autoSpaceDN/>
        <w:bidi w:val="0"/>
        <w:adjustRightInd/>
        <w:snapToGrid w:val="0"/>
        <w:spacing w:line="50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1.每月定期到现场对深圳书城龙岗城（金旭大楼）南立面、南北大门上方斜面、四楼、五楼共5块LED显示屏进行检查和清理维护，并对有故障的地方进行免费维修或更换，确保LED屏的正常运行和使用；</w:t>
      </w:r>
    </w:p>
    <w:p w14:paraId="01DF6B75">
      <w:pPr>
        <w:keepNext w:val="0"/>
        <w:keepLines w:val="0"/>
        <w:pageBreakBefore w:val="0"/>
        <w:widowControl/>
        <w:shd w:val="clear" w:color="auto" w:fill="auto"/>
        <w:kinsoku/>
        <w:wordWrap/>
        <w:overflowPunct/>
        <w:topLinePunct w:val="0"/>
        <w:autoSpaceDE/>
        <w:autoSpaceDN/>
        <w:bidi w:val="0"/>
        <w:adjustRightInd/>
        <w:snapToGrid w:val="0"/>
        <w:spacing w:line="50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2.在接到报修信息后，应在6小时内响应，12小时内应赶到现场，对屏体及系统部分进行检查或更换并调试，及时排除故障。</w:t>
      </w:r>
    </w:p>
    <w:p w14:paraId="100096D1">
      <w:pPr>
        <w:keepNext w:val="0"/>
        <w:keepLines w:val="0"/>
        <w:pageBreakBefore w:val="0"/>
        <w:widowControl/>
        <w:shd w:val="clear" w:color="auto" w:fill="auto"/>
        <w:kinsoku/>
        <w:wordWrap/>
        <w:overflowPunct/>
        <w:topLinePunct w:val="0"/>
        <w:autoSpaceDE/>
        <w:autoSpaceDN/>
        <w:bidi w:val="0"/>
        <w:adjustRightInd/>
        <w:snapToGrid w:val="0"/>
        <w:spacing w:line="500" w:lineRule="exact"/>
        <w:ind w:firstLine="643" w:firstLineChars="200"/>
        <w:textAlignment w:val="auto"/>
        <w:rPr>
          <w:rFonts w:hint="eastAsia" w:ascii="楷体" w:hAnsi="楷体" w:eastAsia="楷体" w:cs="楷体"/>
          <w:b/>
          <w:bCs/>
          <w:sz w:val="32"/>
          <w:szCs w:val="32"/>
          <w:highlight w:val="none"/>
          <w:lang w:val="en-US" w:eastAsia="zh-CN"/>
        </w:rPr>
      </w:pPr>
      <w:r>
        <w:rPr>
          <w:rFonts w:hint="eastAsia" w:ascii="楷体" w:hAnsi="楷体" w:eastAsia="楷体" w:cs="楷体"/>
          <w:b/>
          <w:bCs/>
          <w:sz w:val="32"/>
          <w:szCs w:val="32"/>
          <w:highlight w:val="none"/>
          <w:lang w:val="en-US" w:eastAsia="zh-CN"/>
        </w:rPr>
        <w:t>（四） LED 显示屏设备清单：</w:t>
      </w:r>
    </w:p>
    <w:tbl>
      <w:tblPr>
        <w:tblStyle w:val="49"/>
        <w:tblW w:w="106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44"/>
        <w:gridCol w:w="2525"/>
        <w:gridCol w:w="1740"/>
        <w:gridCol w:w="3622"/>
        <w:gridCol w:w="823"/>
        <w:gridCol w:w="1183"/>
      </w:tblGrid>
      <w:tr w14:paraId="361870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8" w:hRule="atLeast"/>
          <w:jc w:val="center"/>
        </w:trPr>
        <w:tc>
          <w:tcPr>
            <w:tcW w:w="744" w:type="dxa"/>
            <w:tcBorders>
              <w:top w:val="single" w:color="000000" w:sz="4" w:space="0"/>
              <w:left w:val="single" w:color="000000" w:sz="4" w:space="0"/>
              <w:bottom w:val="single" w:color="000000" w:sz="4" w:space="0"/>
              <w:right w:val="single" w:color="000000" w:sz="4" w:space="0"/>
            </w:tcBorders>
            <w:noWrap/>
            <w:vAlign w:val="center"/>
          </w:tcPr>
          <w:p w14:paraId="30207CC4">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2525" w:type="dxa"/>
            <w:tcBorders>
              <w:top w:val="single" w:color="000000" w:sz="4" w:space="0"/>
              <w:left w:val="single" w:color="000000" w:sz="4" w:space="0"/>
              <w:bottom w:val="single" w:color="000000" w:sz="4" w:space="0"/>
              <w:right w:val="single" w:color="000000" w:sz="4" w:space="0"/>
            </w:tcBorders>
            <w:noWrap/>
            <w:vAlign w:val="center"/>
          </w:tcPr>
          <w:p w14:paraId="15FDE4D4">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LED屏安装位置</w:t>
            </w:r>
          </w:p>
        </w:tc>
        <w:tc>
          <w:tcPr>
            <w:tcW w:w="1740" w:type="dxa"/>
            <w:tcBorders>
              <w:top w:val="single" w:color="000000" w:sz="4" w:space="0"/>
              <w:left w:val="single" w:color="000000" w:sz="4" w:space="0"/>
              <w:bottom w:val="single" w:color="000000" w:sz="4" w:space="0"/>
              <w:right w:val="single" w:color="000000" w:sz="4" w:space="0"/>
            </w:tcBorders>
            <w:noWrap/>
            <w:vAlign w:val="center"/>
          </w:tcPr>
          <w:p w14:paraId="13058FBE">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型号</w:t>
            </w:r>
          </w:p>
        </w:tc>
        <w:tc>
          <w:tcPr>
            <w:tcW w:w="3622" w:type="dxa"/>
            <w:tcBorders>
              <w:top w:val="single" w:color="000000" w:sz="4" w:space="0"/>
              <w:left w:val="single" w:color="000000" w:sz="4" w:space="0"/>
              <w:bottom w:val="single" w:color="000000" w:sz="4" w:space="0"/>
              <w:right w:val="single" w:color="000000" w:sz="4" w:space="0"/>
            </w:tcBorders>
            <w:noWrap/>
            <w:vAlign w:val="center"/>
          </w:tcPr>
          <w:p w14:paraId="1E0E01D4">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配套设备说明</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400B6904">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0DAC4834">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单位</w:t>
            </w:r>
          </w:p>
        </w:tc>
      </w:tr>
      <w:tr w14:paraId="654EE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744" w:type="dxa"/>
            <w:tcBorders>
              <w:top w:val="single" w:color="000000" w:sz="4" w:space="0"/>
              <w:left w:val="single" w:color="000000" w:sz="4" w:space="0"/>
              <w:bottom w:val="single" w:color="000000" w:sz="4" w:space="0"/>
              <w:right w:val="single" w:color="000000" w:sz="4" w:space="0"/>
            </w:tcBorders>
            <w:noWrap/>
            <w:vAlign w:val="center"/>
          </w:tcPr>
          <w:p w14:paraId="2227F9A3">
            <w:pPr>
              <w:keepNext w:val="0"/>
              <w:keepLines w:val="0"/>
              <w:widowControl/>
              <w:suppressLineNumbers w:val="0"/>
              <w:spacing w:line="240" w:lineRule="auto"/>
              <w:ind w:firstLine="0" w:firstLineChars="0"/>
              <w:jc w:val="center"/>
              <w:textAlignment w:val="center"/>
              <w:rPr>
                <w:rFonts w:hint="eastAsia" w:ascii="宋体" w:hAnsi="宋体" w:eastAsia="宋体" w:cs="宋体"/>
                <w:b w:val="0"/>
                <w:bCs w:val="0"/>
                <w:i w:val="0"/>
                <w:iCs w:val="0"/>
                <w:color w:val="000000"/>
                <w:sz w:val="28"/>
                <w:szCs w:val="28"/>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2525" w:type="dxa"/>
            <w:tcBorders>
              <w:top w:val="single" w:color="000000" w:sz="4" w:space="0"/>
              <w:left w:val="single" w:color="000000" w:sz="4" w:space="0"/>
              <w:bottom w:val="single" w:color="000000" w:sz="4" w:space="0"/>
              <w:right w:val="single" w:color="000000" w:sz="4" w:space="0"/>
            </w:tcBorders>
            <w:noWrap/>
            <w:vAlign w:val="center"/>
          </w:tcPr>
          <w:p w14:paraId="4D07D63C">
            <w:pPr>
              <w:keepNext w:val="0"/>
              <w:keepLines w:val="0"/>
              <w:widowControl/>
              <w:suppressLineNumbers w:val="0"/>
              <w:spacing w:line="240" w:lineRule="auto"/>
              <w:ind w:firstLine="0" w:firstLineChars="0"/>
              <w:jc w:val="left"/>
              <w:textAlignment w:val="center"/>
              <w:rPr>
                <w:rFonts w:hint="eastAsia" w:ascii="宋体" w:hAnsi="宋体" w:eastAsia="宋体" w:cs="宋体"/>
                <w:b w:val="0"/>
                <w:bCs w:val="0"/>
                <w:i w:val="0"/>
                <w:iCs w:val="0"/>
                <w:color w:val="000000"/>
                <w:sz w:val="28"/>
                <w:szCs w:val="28"/>
                <w:highlight w:val="none"/>
                <w:u w:val="none"/>
              </w:rPr>
            </w:pPr>
            <w:r>
              <w:rPr>
                <w:rFonts w:hint="eastAsia" w:ascii="宋体" w:hAnsi="宋体" w:eastAsia="宋体" w:cs="宋体"/>
                <w:b w:val="0"/>
                <w:bCs w:val="0"/>
                <w:i w:val="0"/>
                <w:iCs w:val="0"/>
                <w:color w:val="000000"/>
                <w:kern w:val="0"/>
                <w:sz w:val="28"/>
                <w:szCs w:val="28"/>
                <w:highlight w:val="none"/>
                <w:u w:val="none"/>
                <w:lang w:val="en-US" w:eastAsia="zh-CN" w:bidi="ar"/>
              </w:rPr>
              <w:t>南立面户外LED屏</w:t>
            </w:r>
          </w:p>
        </w:tc>
        <w:tc>
          <w:tcPr>
            <w:tcW w:w="1740" w:type="dxa"/>
            <w:tcBorders>
              <w:top w:val="single" w:color="000000" w:sz="4" w:space="0"/>
              <w:left w:val="single" w:color="000000" w:sz="4" w:space="0"/>
              <w:bottom w:val="single" w:color="000000" w:sz="4" w:space="0"/>
              <w:right w:val="single" w:color="000000" w:sz="4" w:space="0"/>
            </w:tcBorders>
            <w:noWrap/>
            <w:vAlign w:val="center"/>
          </w:tcPr>
          <w:p w14:paraId="3DB24C61">
            <w:pPr>
              <w:widowControl w:val="0"/>
              <w:spacing w:line="240" w:lineRule="auto"/>
              <w:ind w:firstLine="0" w:firstLineChars="0"/>
              <w:jc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i w:val="0"/>
                <w:iCs w:val="0"/>
                <w:color w:val="000000"/>
                <w:kern w:val="0"/>
                <w:sz w:val="24"/>
                <w:szCs w:val="24"/>
                <w:highlight w:val="none"/>
                <w:u w:val="none"/>
                <w:lang w:val="en-US" w:eastAsia="zh-CN" w:bidi="ar"/>
              </w:rPr>
              <w:t>P10户外全彩</w:t>
            </w:r>
          </w:p>
        </w:tc>
        <w:tc>
          <w:tcPr>
            <w:tcW w:w="3622" w:type="dxa"/>
            <w:tcBorders>
              <w:top w:val="single" w:color="000000" w:sz="4" w:space="0"/>
              <w:left w:val="single" w:color="000000" w:sz="4" w:space="0"/>
              <w:bottom w:val="single" w:color="000000" w:sz="4" w:space="0"/>
              <w:right w:val="single" w:color="000000" w:sz="4" w:space="0"/>
            </w:tcBorders>
            <w:noWrap/>
            <w:vAlign w:val="center"/>
          </w:tcPr>
          <w:p w14:paraId="4C76C11D">
            <w:pPr>
              <w:widowControl w:val="0"/>
              <w:spacing w:line="240" w:lineRule="auto"/>
              <w:ind w:firstLine="0" w:firstLineChars="0"/>
              <w:rPr>
                <w:rFonts w:hint="eastAsia" w:ascii="宋体" w:hAnsi="宋体" w:eastAsia="宋体" w:cs="宋体"/>
                <w:b/>
                <w:bCs/>
                <w:i w:val="0"/>
                <w:iCs w:val="0"/>
                <w:color w:val="000000"/>
                <w:sz w:val="28"/>
                <w:szCs w:val="28"/>
                <w:highlight w:val="none"/>
                <w:u w:val="none"/>
                <w:lang w:eastAsia="zh-CN"/>
              </w:rPr>
            </w:pPr>
            <w:r>
              <w:rPr>
                <w:rFonts w:hint="eastAsia" w:ascii="宋体" w:hAnsi="宋体" w:eastAsia="宋体" w:cs="宋体"/>
                <w:i w:val="0"/>
                <w:iCs w:val="0"/>
                <w:color w:val="000000"/>
                <w:kern w:val="0"/>
                <w:sz w:val="24"/>
                <w:szCs w:val="24"/>
                <w:highlight w:val="none"/>
                <w:u w:val="none"/>
                <w:lang w:val="en-US" w:eastAsia="zh-CN" w:bidi="ar"/>
              </w:rPr>
              <w:t>光纤盒及跳线、光纤收发器</w:t>
            </w:r>
            <w:r>
              <w:rPr>
                <w:rFonts w:hint="eastAsia" w:ascii="宋体" w:hAnsi="宋体" w:eastAsia="宋体" w:cs="宋体"/>
                <w:i w:val="0"/>
                <w:iCs w:val="0"/>
                <w:caps w:val="0"/>
                <w:color w:val="333333"/>
                <w:spacing w:val="0"/>
                <w:sz w:val="24"/>
                <w:szCs w:val="24"/>
                <w:highlight w:val="none"/>
                <w:shd w:val="clear" w:color="auto" w:fill="FFFFFF"/>
              </w:rPr>
              <w:t>、</w:t>
            </w:r>
            <w:r>
              <w:rPr>
                <w:rFonts w:hint="eastAsia" w:ascii="宋体" w:hAnsi="宋体" w:eastAsia="宋体" w:cs="宋体"/>
                <w:i w:val="0"/>
                <w:iCs w:val="0"/>
                <w:color w:val="000000"/>
                <w:kern w:val="0"/>
                <w:sz w:val="24"/>
                <w:szCs w:val="24"/>
                <w:highlight w:val="none"/>
                <w:u w:val="none"/>
                <w:lang w:val="en-US" w:eastAsia="zh-CN" w:bidi="ar"/>
              </w:rPr>
              <w:t>发送卡、</w:t>
            </w:r>
            <w:r>
              <w:rPr>
                <w:rFonts w:hint="eastAsia" w:ascii="宋体" w:hAnsi="宋体" w:eastAsia="宋体" w:cs="宋体"/>
                <w:i w:val="0"/>
                <w:iCs w:val="0"/>
                <w:caps w:val="0"/>
                <w:color w:val="333333"/>
                <w:spacing w:val="0"/>
                <w:sz w:val="24"/>
                <w:szCs w:val="24"/>
                <w:highlight w:val="none"/>
                <w:shd w:val="clear" w:color="auto" w:fill="FFFFFF"/>
              </w:rPr>
              <w:t>接收卡、</w:t>
            </w:r>
            <w:r>
              <w:rPr>
                <w:rFonts w:hint="eastAsia" w:ascii="宋体" w:hAnsi="宋体" w:eastAsia="宋体" w:cs="宋体"/>
                <w:i w:val="0"/>
                <w:iCs w:val="0"/>
                <w:caps w:val="0"/>
                <w:color w:val="333333"/>
                <w:spacing w:val="0"/>
                <w:sz w:val="24"/>
                <w:szCs w:val="24"/>
                <w:highlight w:val="none"/>
                <w:shd w:val="clear" w:color="auto" w:fill="FFFFFF"/>
                <w:lang w:val="en-US" w:eastAsia="zh-CN"/>
              </w:rPr>
              <w:t>开关</w:t>
            </w:r>
            <w:r>
              <w:rPr>
                <w:rFonts w:hint="eastAsia" w:ascii="宋体" w:hAnsi="宋体" w:eastAsia="宋体" w:cs="宋体"/>
                <w:i w:val="0"/>
                <w:iCs w:val="0"/>
                <w:caps w:val="0"/>
                <w:color w:val="333333"/>
                <w:spacing w:val="0"/>
                <w:sz w:val="24"/>
                <w:szCs w:val="24"/>
                <w:highlight w:val="none"/>
                <w:shd w:val="clear" w:color="auto" w:fill="FFFFFF"/>
              </w:rPr>
              <w:t>电源、电源线、排线</w:t>
            </w:r>
            <w:r>
              <w:rPr>
                <w:rFonts w:hint="eastAsia" w:ascii="宋体" w:hAnsi="宋体" w:eastAsia="宋体" w:cs="宋体"/>
                <w:i w:val="0"/>
                <w:iCs w:val="0"/>
                <w:caps w:val="0"/>
                <w:color w:val="333333"/>
                <w:spacing w:val="0"/>
                <w:sz w:val="24"/>
                <w:szCs w:val="24"/>
                <w:highlight w:val="none"/>
                <w:shd w:val="clear" w:color="auto" w:fill="FFFFFF"/>
                <w:lang w:eastAsia="zh-CN"/>
              </w:rPr>
              <w:t>、</w:t>
            </w:r>
            <w:r>
              <w:rPr>
                <w:rFonts w:hint="eastAsia" w:ascii="宋体" w:hAnsi="宋体" w:eastAsia="宋体" w:cs="宋体"/>
                <w:i w:val="0"/>
                <w:iCs w:val="0"/>
                <w:color w:val="000000"/>
                <w:kern w:val="0"/>
                <w:sz w:val="24"/>
                <w:szCs w:val="24"/>
                <w:highlight w:val="none"/>
                <w:u w:val="none"/>
                <w:lang w:val="en-US" w:eastAsia="zh-CN" w:bidi="ar"/>
              </w:rPr>
              <w:t>控制电脑、视频处理器、配电柜</w:t>
            </w:r>
          </w:p>
        </w:tc>
        <w:tc>
          <w:tcPr>
            <w:tcW w:w="823" w:type="dxa"/>
            <w:tcBorders>
              <w:top w:val="single" w:color="000000" w:sz="4" w:space="0"/>
              <w:left w:val="single" w:color="000000" w:sz="4" w:space="0"/>
              <w:bottom w:val="single" w:color="000000" w:sz="4" w:space="0"/>
              <w:right w:val="single" w:color="000000" w:sz="4" w:space="0"/>
            </w:tcBorders>
            <w:noWrap/>
            <w:vAlign w:val="center"/>
          </w:tcPr>
          <w:p w14:paraId="64578C69">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i w:val="0"/>
                <w:iCs w:val="0"/>
                <w:color w:val="000000"/>
                <w:kern w:val="0"/>
                <w:sz w:val="24"/>
                <w:szCs w:val="24"/>
                <w:highlight w:val="none"/>
                <w:u w:val="none"/>
                <w:lang w:val="en-US" w:eastAsia="zh-CN" w:bidi="ar"/>
              </w:rPr>
              <w:t>69.88</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249311CE">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8"/>
                <w:szCs w:val="28"/>
                <w:highlight w:val="none"/>
                <w:u w:val="none"/>
              </w:rPr>
            </w:pPr>
            <w:r>
              <w:rPr>
                <w:rFonts w:hint="eastAsia" w:ascii="宋体" w:hAnsi="宋体" w:eastAsia="宋体" w:cs="宋体"/>
                <w:i w:val="0"/>
                <w:iCs w:val="0"/>
                <w:color w:val="000000"/>
                <w:kern w:val="0"/>
                <w:sz w:val="24"/>
                <w:szCs w:val="24"/>
                <w:highlight w:val="none"/>
                <w:u w:val="none"/>
                <w:lang w:val="en-US" w:eastAsia="zh-CN" w:bidi="ar"/>
              </w:rPr>
              <w:t>平方米</w:t>
            </w:r>
          </w:p>
        </w:tc>
      </w:tr>
      <w:tr w14:paraId="2714A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jc w:val="center"/>
        </w:trPr>
        <w:tc>
          <w:tcPr>
            <w:tcW w:w="744" w:type="dxa"/>
            <w:tcBorders>
              <w:top w:val="single" w:color="000000" w:sz="4" w:space="0"/>
              <w:left w:val="single" w:color="000000" w:sz="4" w:space="0"/>
              <w:bottom w:val="single" w:color="000000" w:sz="4" w:space="0"/>
              <w:right w:val="single" w:color="000000" w:sz="4" w:space="0"/>
            </w:tcBorders>
            <w:noWrap/>
            <w:vAlign w:val="center"/>
          </w:tcPr>
          <w:p w14:paraId="7F5009F7">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2525" w:type="dxa"/>
            <w:tcBorders>
              <w:top w:val="single" w:color="000000" w:sz="4" w:space="0"/>
              <w:left w:val="single" w:color="000000" w:sz="4" w:space="0"/>
              <w:bottom w:val="single" w:color="000000" w:sz="4" w:space="0"/>
              <w:right w:val="single" w:color="000000" w:sz="4" w:space="0"/>
            </w:tcBorders>
            <w:noWrap w:val="0"/>
            <w:vAlign w:val="center"/>
          </w:tcPr>
          <w:p w14:paraId="728F49CD">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斜面屏户外LED屏（面朝南）</w:t>
            </w:r>
          </w:p>
        </w:tc>
        <w:tc>
          <w:tcPr>
            <w:tcW w:w="1740" w:type="dxa"/>
            <w:tcBorders>
              <w:top w:val="single" w:color="000000" w:sz="4" w:space="0"/>
              <w:left w:val="single" w:color="000000" w:sz="4" w:space="0"/>
              <w:bottom w:val="single" w:color="000000" w:sz="4" w:space="0"/>
              <w:right w:val="single" w:color="000000" w:sz="4" w:space="0"/>
            </w:tcBorders>
            <w:noWrap/>
            <w:vAlign w:val="center"/>
          </w:tcPr>
          <w:p w14:paraId="1198F530">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P10户外全彩</w:t>
            </w:r>
          </w:p>
        </w:tc>
        <w:tc>
          <w:tcPr>
            <w:tcW w:w="3622" w:type="dxa"/>
            <w:tcBorders>
              <w:top w:val="single" w:color="000000" w:sz="4" w:space="0"/>
              <w:left w:val="single" w:color="000000" w:sz="4" w:space="0"/>
              <w:bottom w:val="single" w:color="000000" w:sz="4" w:space="0"/>
              <w:right w:val="single" w:color="000000" w:sz="4" w:space="0"/>
            </w:tcBorders>
            <w:noWrap/>
            <w:vAlign w:val="center"/>
          </w:tcPr>
          <w:p w14:paraId="64217FCB">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光纤盒及跳线、光纤收发器</w:t>
            </w:r>
            <w:r>
              <w:rPr>
                <w:rFonts w:hint="eastAsia" w:ascii="宋体" w:hAnsi="宋体" w:eastAsia="宋体" w:cs="宋体"/>
                <w:i w:val="0"/>
                <w:iCs w:val="0"/>
                <w:caps w:val="0"/>
                <w:color w:val="333333"/>
                <w:spacing w:val="0"/>
                <w:sz w:val="24"/>
                <w:szCs w:val="24"/>
                <w:highlight w:val="none"/>
                <w:shd w:val="clear" w:color="auto" w:fill="FFFFFF"/>
              </w:rPr>
              <w:t>、</w:t>
            </w:r>
            <w:r>
              <w:rPr>
                <w:rFonts w:hint="eastAsia" w:ascii="宋体" w:hAnsi="宋体" w:eastAsia="宋体" w:cs="宋体"/>
                <w:i w:val="0"/>
                <w:iCs w:val="0"/>
                <w:color w:val="000000"/>
                <w:kern w:val="0"/>
                <w:sz w:val="24"/>
                <w:szCs w:val="24"/>
                <w:highlight w:val="none"/>
                <w:u w:val="none"/>
                <w:lang w:val="en-US" w:eastAsia="zh-CN" w:bidi="ar"/>
              </w:rPr>
              <w:t>发送卡、</w:t>
            </w:r>
            <w:r>
              <w:rPr>
                <w:rFonts w:hint="eastAsia" w:ascii="宋体" w:hAnsi="宋体" w:eastAsia="宋体" w:cs="宋体"/>
                <w:i w:val="0"/>
                <w:iCs w:val="0"/>
                <w:caps w:val="0"/>
                <w:color w:val="333333"/>
                <w:spacing w:val="0"/>
                <w:sz w:val="24"/>
                <w:szCs w:val="24"/>
                <w:highlight w:val="none"/>
                <w:shd w:val="clear" w:color="auto" w:fill="FFFFFF"/>
              </w:rPr>
              <w:t>接收卡、</w:t>
            </w:r>
            <w:r>
              <w:rPr>
                <w:rFonts w:hint="eastAsia" w:ascii="宋体" w:hAnsi="宋体" w:eastAsia="宋体" w:cs="宋体"/>
                <w:i w:val="0"/>
                <w:iCs w:val="0"/>
                <w:caps w:val="0"/>
                <w:color w:val="333333"/>
                <w:spacing w:val="0"/>
                <w:sz w:val="24"/>
                <w:szCs w:val="24"/>
                <w:highlight w:val="none"/>
                <w:shd w:val="clear" w:color="auto" w:fill="FFFFFF"/>
                <w:lang w:val="en-US" w:eastAsia="zh-CN"/>
              </w:rPr>
              <w:t>开关</w:t>
            </w:r>
            <w:r>
              <w:rPr>
                <w:rFonts w:hint="eastAsia" w:ascii="宋体" w:hAnsi="宋体" w:eastAsia="宋体" w:cs="宋体"/>
                <w:i w:val="0"/>
                <w:iCs w:val="0"/>
                <w:caps w:val="0"/>
                <w:color w:val="333333"/>
                <w:spacing w:val="0"/>
                <w:sz w:val="24"/>
                <w:szCs w:val="24"/>
                <w:highlight w:val="none"/>
                <w:shd w:val="clear" w:color="auto" w:fill="FFFFFF"/>
              </w:rPr>
              <w:t>电源、电源线、排线</w:t>
            </w:r>
            <w:r>
              <w:rPr>
                <w:rFonts w:hint="eastAsia" w:ascii="宋体" w:hAnsi="宋体" w:eastAsia="宋体" w:cs="宋体"/>
                <w:i w:val="0"/>
                <w:iCs w:val="0"/>
                <w:caps w:val="0"/>
                <w:color w:val="333333"/>
                <w:spacing w:val="0"/>
                <w:sz w:val="24"/>
                <w:szCs w:val="24"/>
                <w:highlight w:val="none"/>
                <w:shd w:val="clear" w:color="auto" w:fill="FFFFFF"/>
                <w:lang w:eastAsia="zh-CN"/>
              </w:rPr>
              <w:t>、</w:t>
            </w:r>
            <w:r>
              <w:rPr>
                <w:rFonts w:hint="eastAsia" w:ascii="宋体" w:hAnsi="宋体" w:eastAsia="宋体" w:cs="宋体"/>
                <w:i w:val="0"/>
                <w:iCs w:val="0"/>
                <w:color w:val="000000"/>
                <w:kern w:val="0"/>
                <w:sz w:val="24"/>
                <w:szCs w:val="24"/>
                <w:highlight w:val="none"/>
                <w:u w:val="none"/>
                <w:lang w:val="en-US" w:eastAsia="zh-CN" w:bidi="ar"/>
              </w:rPr>
              <w:t>控制电脑、视频处理器、配电柜</w:t>
            </w:r>
          </w:p>
        </w:tc>
        <w:tc>
          <w:tcPr>
            <w:tcW w:w="823" w:type="dxa"/>
            <w:tcBorders>
              <w:top w:val="single" w:color="000000" w:sz="4" w:space="0"/>
              <w:left w:val="single" w:color="000000" w:sz="4" w:space="0"/>
              <w:bottom w:val="single" w:color="000000" w:sz="4" w:space="0"/>
              <w:right w:val="single" w:color="000000" w:sz="4" w:space="0"/>
            </w:tcBorders>
            <w:noWrap/>
            <w:vAlign w:val="center"/>
          </w:tcPr>
          <w:p w14:paraId="72140CD1">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42.85</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4D966587">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平方米</w:t>
            </w:r>
          </w:p>
        </w:tc>
      </w:tr>
      <w:tr w14:paraId="58665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744" w:type="dxa"/>
            <w:tcBorders>
              <w:top w:val="single" w:color="000000" w:sz="4" w:space="0"/>
              <w:left w:val="single" w:color="000000" w:sz="4" w:space="0"/>
              <w:bottom w:val="single" w:color="000000" w:sz="4" w:space="0"/>
              <w:right w:val="single" w:color="000000" w:sz="4" w:space="0"/>
            </w:tcBorders>
            <w:noWrap/>
            <w:vAlign w:val="center"/>
          </w:tcPr>
          <w:p w14:paraId="02C5A801">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2525" w:type="dxa"/>
            <w:tcBorders>
              <w:top w:val="single" w:color="000000" w:sz="4" w:space="0"/>
              <w:left w:val="single" w:color="000000" w:sz="4" w:space="0"/>
              <w:bottom w:val="single" w:color="000000" w:sz="4" w:space="0"/>
              <w:right w:val="single" w:color="000000" w:sz="4" w:space="0"/>
            </w:tcBorders>
            <w:noWrap/>
            <w:vAlign w:val="center"/>
          </w:tcPr>
          <w:p w14:paraId="63B46299">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斜面屏</w:t>
            </w:r>
            <w:r>
              <w:rPr>
                <w:rFonts w:hint="eastAsia" w:ascii="宋体" w:hAnsi="宋体" w:eastAsia="宋体" w:cs="宋体"/>
                <w:i w:val="0"/>
                <w:iCs w:val="0"/>
                <w:color w:val="000000"/>
                <w:sz w:val="24"/>
                <w:szCs w:val="24"/>
                <w:highlight w:val="none"/>
                <w:u w:val="none"/>
                <w:lang w:val="en-US" w:eastAsia="zh-CN"/>
              </w:rPr>
              <w:t>户外</w:t>
            </w:r>
            <w:r>
              <w:rPr>
                <w:rFonts w:hint="eastAsia" w:ascii="宋体" w:hAnsi="宋体" w:eastAsia="宋体" w:cs="宋体"/>
                <w:i w:val="0"/>
                <w:iCs w:val="0"/>
                <w:color w:val="000000"/>
                <w:sz w:val="24"/>
                <w:szCs w:val="24"/>
                <w:highlight w:val="none"/>
                <w:u w:val="none"/>
              </w:rPr>
              <w:t>LED屏（面朝北）</w:t>
            </w:r>
          </w:p>
        </w:tc>
        <w:tc>
          <w:tcPr>
            <w:tcW w:w="1740" w:type="dxa"/>
            <w:tcBorders>
              <w:top w:val="single" w:color="000000" w:sz="4" w:space="0"/>
              <w:left w:val="single" w:color="000000" w:sz="4" w:space="0"/>
              <w:bottom w:val="single" w:color="000000" w:sz="4" w:space="0"/>
              <w:right w:val="single" w:color="000000" w:sz="4" w:space="0"/>
            </w:tcBorders>
            <w:noWrap/>
            <w:vAlign w:val="center"/>
          </w:tcPr>
          <w:p w14:paraId="2508B5E7">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P10户外全彩</w:t>
            </w:r>
          </w:p>
        </w:tc>
        <w:tc>
          <w:tcPr>
            <w:tcW w:w="3622" w:type="dxa"/>
            <w:tcBorders>
              <w:top w:val="single" w:color="000000" w:sz="4" w:space="0"/>
              <w:left w:val="single" w:color="000000" w:sz="4" w:space="0"/>
              <w:bottom w:val="single" w:color="000000" w:sz="4" w:space="0"/>
              <w:right w:val="single" w:color="000000" w:sz="4" w:space="0"/>
            </w:tcBorders>
            <w:noWrap/>
            <w:vAlign w:val="center"/>
          </w:tcPr>
          <w:p w14:paraId="6A00F5EE">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光纤盒及跳线、光纤收发器</w:t>
            </w:r>
            <w:r>
              <w:rPr>
                <w:rFonts w:hint="eastAsia" w:ascii="宋体" w:hAnsi="宋体" w:eastAsia="宋体" w:cs="宋体"/>
                <w:i w:val="0"/>
                <w:iCs w:val="0"/>
                <w:caps w:val="0"/>
                <w:color w:val="333333"/>
                <w:spacing w:val="0"/>
                <w:sz w:val="24"/>
                <w:szCs w:val="24"/>
                <w:highlight w:val="none"/>
                <w:shd w:val="clear" w:color="auto" w:fill="FFFFFF"/>
              </w:rPr>
              <w:t>、</w:t>
            </w:r>
            <w:r>
              <w:rPr>
                <w:rFonts w:hint="eastAsia" w:ascii="宋体" w:hAnsi="宋体" w:eastAsia="宋体" w:cs="宋体"/>
                <w:i w:val="0"/>
                <w:iCs w:val="0"/>
                <w:color w:val="000000"/>
                <w:kern w:val="0"/>
                <w:sz w:val="24"/>
                <w:szCs w:val="24"/>
                <w:highlight w:val="none"/>
                <w:u w:val="none"/>
                <w:lang w:val="en-US" w:eastAsia="zh-CN" w:bidi="ar"/>
              </w:rPr>
              <w:t>发送卡、</w:t>
            </w:r>
            <w:r>
              <w:rPr>
                <w:rFonts w:hint="eastAsia" w:ascii="宋体" w:hAnsi="宋体" w:eastAsia="宋体" w:cs="宋体"/>
                <w:i w:val="0"/>
                <w:iCs w:val="0"/>
                <w:caps w:val="0"/>
                <w:color w:val="333333"/>
                <w:spacing w:val="0"/>
                <w:sz w:val="24"/>
                <w:szCs w:val="24"/>
                <w:highlight w:val="none"/>
                <w:shd w:val="clear" w:color="auto" w:fill="FFFFFF"/>
              </w:rPr>
              <w:t>接收卡、</w:t>
            </w:r>
            <w:r>
              <w:rPr>
                <w:rFonts w:hint="eastAsia" w:ascii="宋体" w:hAnsi="宋体" w:eastAsia="宋体" w:cs="宋体"/>
                <w:i w:val="0"/>
                <w:iCs w:val="0"/>
                <w:caps w:val="0"/>
                <w:color w:val="333333"/>
                <w:spacing w:val="0"/>
                <w:sz w:val="24"/>
                <w:szCs w:val="24"/>
                <w:highlight w:val="none"/>
                <w:shd w:val="clear" w:color="auto" w:fill="FFFFFF"/>
                <w:lang w:val="en-US" w:eastAsia="zh-CN"/>
              </w:rPr>
              <w:t>开关</w:t>
            </w:r>
            <w:r>
              <w:rPr>
                <w:rFonts w:hint="eastAsia" w:ascii="宋体" w:hAnsi="宋体" w:eastAsia="宋体" w:cs="宋体"/>
                <w:i w:val="0"/>
                <w:iCs w:val="0"/>
                <w:caps w:val="0"/>
                <w:color w:val="333333"/>
                <w:spacing w:val="0"/>
                <w:sz w:val="24"/>
                <w:szCs w:val="24"/>
                <w:highlight w:val="none"/>
                <w:shd w:val="clear" w:color="auto" w:fill="FFFFFF"/>
              </w:rPr>
              <w:t>电源、电源线、排线</w:t>
            </w:r>
            <w:r>
              <w:rPr>
                <w:rFonts w:hint="eastAsia" w:ascii="宋体" w:hAnsi="宋体" w:eastAsia="宋体" w:cs="宋体"/>
                <w:i w:val="0"/>
                <w:iCs w:val="0"/>
                <w:caps w:val="0"/>
                <w:color w:val="333333"/>
                <w:spacing w:val="0"/>
                <w:sz w:val="24"/>
                <w:szCs w:val="24"/>
                <w:highlight w:val="none"/>
                <w:shd w:val="clear" w:color="auto" w:fill="FFFFFF"/>
                <w:lang w:eastAsia="zh-CN"/>
              </w:rPr>
              <w:t>、</w:t>
            </w:r>
            <w:r>
              <w:rPr>
                <w:rFonts w:hint="eastAsia" w:ascii="宋体" w:hAnsi="宋体" w:eastAsia="宋体" w:cs="宋体"/>
                <w:i w:val="0"/>
                <w:iCs w:val="0"/>
                <w:color w:val="000000"/>
                <w:kern w:val="0"/>
                <w:sz w:val="24"/>
                <w:szCs w:val="24"/>
                <w:highlight w:val="none"/>
                <w:u w:val="none"/>
                <w:lang w:val="en-US" w:eastAsia="zh-CN" w:bidi="ar"/>
              </w:rPr>
              <w:t>控制电脑、视频处理器、配电柜</w:t>
            </w:r>
          </w:p>
        </w:tc>
        <w:tc>
          <w:tcPr>
            <w:tcW w:w="823" w:type="dxa"/>
            <w:tcBorders>
              <w:top w:val="single" w:color="000000" w:sz="4" w:space="0"/>
              <w:left w:val="single" w:color="000000" w:sz="4" w:space="0"/>
              <w:bottom w:val="single" w:color="000000" w:sz="4" w:space="0"/>
              <w:right w:val="single" w:color="000000" w:sz="4" w:space="0"/>
            </w:tcBorders>
            <w:noWrap/>
            <w:vAlign w:val="center"/>
          </w:tcPr>
          <w:p w14:paraId="1D58185E">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42.85</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4A076096">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平方米</w:t>
            </w:r>
          </w:p>
        </w:tc>
      </w:tr>
      <w:tr w14:paraId="60AFF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9" w:hRule="atLeast"/>
          <w:jc w:val="center"/>
        </w:trPr>
        <w:tc>
          <w:tcPr>
            <w:tcW w:w="744" w:type="dxa"/>
            <w:tcBorders>
              <w:top w:val="single" w:color="000000" w:sz="4" w:space="0"/>
              <w:left w:val="single" w:color="000000" w:sz="4" w:space="0"/>
              <w:bottom w:val="single" w:color="000000" w:sz="4" w:space="0"/>
              <w:right w:val="single" w:color="000000" w:sz="4" w:space="0"/>
            </w:tcBorders>
            <w:noWrap/>
            <w:vAlign w:val="center"/>
          </w:tcPr>
          <w:p w14:paraId="7D17FA6B">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2525" w:type="dxa"/>
            <w:tcBorders>
              <w:top w:val="single" w:color="000000" w:sz="4" w:space="0"/>
              <w:left w:val="single" w:color="000000" w:sz="4" w:space="0"/>
              <w:bottom w:val="single" w:color="000000" w:sz="4" w:space="0"/>
              <w:right w:val="single" w:color="000000" w:sz="4" w:space="0"/>
            </w:tcBorders>
            <w:noWrap/>
            <w:vAlign w:val="center"/>
          </w:tcPr>
          <w:p w14:paraId="10EDA4F0">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室内LED屏（五</w:t>
            </w:r>
            <w:r>
              <w:rPr>
                <w:rFonts w:hint="eastAsia" w:ascii="宋体" w:hAnsi="宋体" w:eastAsia="宋体" w:cs="宋体"/>
                <w:i w:val="0"/>
                <w:iCs w:val="0"/>
                <w:color w:val="000000"/>
                <w:sz w:val="24"/>
                <w:szCs w:val="24"/>
                <w:highlight w:val="none"/>
                <w:u w:val="none"/>
                <w:lang w:val="en-US" w:eastAsia="zh-CN"/>
              </w:rPr>
              <w:t>楼</w:t>
            </w:r>
            <w:r>
              <w:rPr>
                <w:rFonts w:hint="eastAsia" w:ascii="宋体" w:hAnsi="宋体" w:eastAsia="宋体" w:cs="宋体"/>
                <w:i w:val="0"/>
                <w:iCs w:val="0"/>
                <w:color w:val="000000"/>
                <w:sz w:val="24"/>
                <w:szCs w:val="24"/>
                <w:highlight w:val="none"/>
                <w:u w:val="none"/>
              </w:rPr>
              <w:t>多功能厅）</w:t>
            </w:r>
          </w:p>
        </w:tc>
        <w:tc>
          <w:tcPr>
            <w:tcW w:w="1740" w:type="dxa"/>
            <w:tcBorders>
              <w:top w:val="single" w:color="000000" w:sz="4" w:space="0"/>
              <w:left w:val="single" w:color="000000" w:sz="4" w:space="0"/>
              <w:bottom w:val="single" w:color="000000" w:sz="4" w:space="0"/>
              <w:right w:val="single" w:color="000000" w:sz="4" w:space="0"/>
            </w:tcBorders>
            <w:noWrap/>
            <w:vAlign w:val="center"/>
          </w:tcPr>
          <w:p w14:paraId="6354C7F6">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P2.5室内全彩</w:t>
            </w:r>
          </w:p>
        </w:tc>
        <w:tc>
          <w:tcPr>
            <w:tcW w:w="3622" w:type="dxa"/>
            <w:tcBorders>
              <w:top w:val="single" w:color="000000" w:sz="4" w:space="0"/>
              <w:left w:val="single" w:color="000000" w:sz="4" w:space="0"/>
              <w:bottom w:val="single" w:color="000000" w:sz="4" w:space="0"/>
              <w:right w:val="single" w:color="000000" w:sz="4" w:space="0"/>
            </w:tcBorders>
            <w:noWrap/>
            <w:vAlign w:val="center"/>
          </w:tcPr>
          <w:p w14:paraId="17C78121">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光纤盒及跳线、光纤收发器</w:t>
            </w:r>
            <w:r>
              <w:rPr>
                <w:rFonts w:hint="eastAsia" w:ascii="宋体" w:hAnsi="宋体" w:eastAsia="宋体" w:cs="宋体"/>
                <w:i w:val="0"/>
                <w:iCs w:val="0"/>
                <w:caps w:val="0"/>
                <w:color w:val="333333"/>
                <w:spacing w:val="0"/>
                <w:sz w:val="24"/>
                <w:szCs w:val="24"/>
                <w:highlight w:val="none"/>
                <w:shd w:val="clear" w:color="auto" w:fill="FFFFFF"/>
              </w:rPr>
              <w:t>、</w:t>
            </w:r>
            <w:r>
              <w:rPr>
                <w:rFonts w:hint="eastAsia" w:ascii="宋体" w:hAnsi="宋体" w:eastAsia="宋体" w:cs="宋体"/>
                <w:i w:val="0"/>
                <w:iCs w:val="0"/>
                <w:color w:val="000000"/>
                <w:kern w:val="0"/>
                <w:sz w:val="24"/>
                <w:szCs w:val="24"/>
                <w:highlight w:val="none"/>
                <w:u w:val="none"/>
                <w:lang w:val="en-US" w:eastAsia="zh-CN" w:bidi="ar"/>
              </w:rPr>
              <w:t>发送卡、</w:t>
            </w:r>
            <w:r>
              <w:rPr>
                <w:rFonts w:hint="eastAsia" w:ascii="宋体" w:hAnsi="宋体" w:eastAsia="宋体" w:cs="宋体"/>
                <w:i w:val="0"/>
                <w:iCs w:val="0"/>
                <w:caps w:val="0"/>
                <w:color w:val="333333"/>
                <w:spacing w:val="0"/>
                <w:sz w:val="24"/>
                <w:szCs w:val="24"/>
                <w:highlight w:val="none"/>
                <w:shd w:val="clear" w:color="auto" w:fill="FFFFFF"/>
              </w:rPr>
              <w:t>接收卡、</w:t>
            </w:r>
            <w:r>
              <w:rPr>
                <w:rFonts w:hint="eastAsia" w:ascii="宋体" w:hAnsi="宋体" w:eastAsia="宋体" w:cs="宋体"/>
                <w:i w:val="0"/>
                <w:iCs w:val="0"/>
                <w:caps w:val="0"/>
                <w:color w:val="333333"/>
                <w:spacing w:val="0"/>
                <w:sz w:val="24"/>
                <w:szCs w:val="24"/>
                <w:highlight w:val="none"/>
                <w:shd w:val="clear" w:color="auto" w:fill="FFFFFF"/>
                <w:lang w:val="en-US" w:eastAsia="zh-CN"/>
              </w:rPr>
              <w:t>开关</w:t>
            </w:r>
            <w:r>
              <w:rPr>
                <w:rFonts w:hint="eastAsia" w:ascii="宋体" w:hAnsi="宋体" w:eastAsia="宋体" w:cs="宋体"/>
                <w:i w:val="0"/>
                <w:iCs w:val="0"/>
                <w:caps w:val="0"/>
                <w:color w:val="333333"/>
                <w:spacing w:val="0"/>
                <w:sz w:val="24"/>
                <w:szCs w:val="24"/>
                <w:highlight w:val="none"/>
                <w:shd w:val="clear" w:color="auto" w:fill="FFFFFF"/>
              </w:rPr>
              <w:t>电源、电源线、排线</w:t>
            </w:r>
            <w:r>
              <w:rPr>
                <w:rFonts w:hint="eastAsia" w:ascii="宋体" w:hAnsi="宋体" w:eastAsia="宋体" w:cs="宋体"/>
                <w:i w:val="0"/>
                <w:iCs w:val="0"/>
                <w:caps w:val="0"/>
                <w:color w:val="333333"/>
                <w:spacing w:val="0"/>
                <w:sz w:val="24"/>
                <w:szCs w:val="24"/>
                <w:highlight w:val="none"/>
                <w:shd w:val="clear" w:color="auto" w:fill="FFFFFF"/>
                <w:lang w:eastAsia="zh-CN"/>
              </w:rPr>
              <w:t>、</w:t>
            </w:r>
            <w:r>
              <w:rPr>
                <w:rFonts w:hint="eastAsia" w:ascii="宋体" w:hAnsi="宋体" w:eastAsia="宋体" w:cs="宋体"/>
                <w:i w:val="0"/>
                <w:iCs w:val="0"/>
                <w:color w:val="000000"/>
                <w:kern w:val="0"/>
                <w:sz w:val="24"/>
                <w:szCs w:val="24"/>
                <w:highlight w:val="none"/>
                <w:u w:val="none"/>
                <w:lang w:val="en-US" w:eastAsia="zh-CN" w:bidi="ar"/>
              </w:rPr>
              <w:t>控制电脑、视频处理器、配电柜</w:t>
            </w:r>
          </w:p>
        </w:tc>
        <w:tc>
          <w:tcPr>
            <w:tcW w:w="823" w:type="dxa"/>
            <w:tcBorders>
              <w:top w:val="single" w:color="000000" w:sz="4" w:space="0"/>
              <w:left w:val="single" w:color="000000" w:sz="4" w:space="0"/>
              <w:bottom w:val="single" w:color="000000" w:sz="4" w:space="0"/>
              <w:right w:val="single" w:color="000000" w:sz="4" w:space="0"/>
            </w:tcBorders>
            <w:noWrap/>
            <w:vAlign w:val="center"/>
          </w:tcPr>
          <w:p w14:paraId="5C71F753">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13</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0D3F1584">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平方米</w:t>
            </w:r>
          </w:p>
        </w:tc>
      </w:tr>
      <w:tr w14:paraId="048F5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6" w:hRule="atLeast"/>
          <w:jc w:val="center"/>
        </w:trPr>
        <w:tc>
          <w:tcPr>
            <w:tcW w:w="744" w:type="dxa"/>
            <w:tcBorders>
              <w:top w:val="single" w:color="000000" w:sz="4" w:space="0"/>
              <w:left w:val="single" w:color="000000" w:sz="4" w:space="0"/>
              <w:bottom w:val="single" w:color="000000" w:sz="4" w:space="0"/>
              <w:right w:val="single" w:color="000000" w:sz="4" w:space="0"/>
            </w:tcBorders>
            <w:noWrap/>
            <w:vAlign w:val="center"/>
          </w:tcPr>
          <w:p w14:paraId="4C2D424D">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2525" w:type="dxa"/>
            <w:tcBorders>
              <w:top w:val="single" w:color="000000" w:sz="4" w:space="0"/>
              <w:left w:val="single" w:color="000000" w:sz="4" w:space="0"/>
              <w:bottom w:val="single" w:color="000000" w:sz="4" w:space="0"/>
              <w:right w:val="single" w:color="000000" w:sz="4" w:space="0"/>
            </w:tcBorders>
            <w:noWrap/>
            <w:vAlign w:val="center"/>
          </w:tcPr>
          <w:p w14:paraId="683A822E">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室内LED屏（四</w:t>
            </w:r>
            <w:r>
              <w:rPr>
                <w:rFonts w:hint="eastAsia" w:ascii="宋体" w:hAnsi="宋体" w:eastAsia="宋体" w:cs="宋体"/>
                <w:i w:val="0"/>
                <w:iCs w:val="0"/>
                <w:color w:val="000000"/>
                <w:sz w:val="24"/>
                <w:szCs w:val="24"/>
                <w:highlight w:val="none"/>
                <w:u w:val="none"/>
                <w:lang w:val="en-US" w:eastAsia="zh-CN"/>
              </w:rPr>
              <w:t>楼大台阶处</w:t>
            </w:r>
            <w:r>
              <w:rPr>
                <w:rFonts w:hint="eastAsia" w:ascii="宋体" w:hAnsi="宋体" w:eastAsia="宋体" w:cs="宋体"/>
                <w:i w:val="0"/>
                <w:iCs w:val="0"/>
                <w:color w:val="000000"/>
                <w:sz w:val="24"/>
                <w:szCs w:val="24"/>
                <w:highlight w:val="none"/>
                <w:u w:val="none"/>
              </w:rPr>
              <w:t>）</w:t>
            </w:r>
          </w:p>
        </w:tc>
        <w:tc>
          <w:tcPr>
            <w:tcW w:w="1740" w:type="dxa"/>
            <w:tcBorders>
              <w:top w:val="single" w:color="000000" w:sz="4" w:space="0"/>
              <w:left w:val="single" w:color="000000" w:sz="4" w:space="0"/>
              <w:bottom w:val="single" w:color="000000" w:sz="4" w:space="0"/>
              <w:right w:val="single" w:color="000000" w:sz="4" w:space="0"/>
            </w:tcBorders>
            <w:noWrap/>
            <w:vAlign w:val="center"/>
          </w:tcPr>
          <w:p w14:paraId="7BF15DDC">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P2.5室内全彩</w:t>
            </w:r>
          </w:p>
        </w:tc>
        <w:tc>
          <w:tcPr>
            <w:tcW w:w="3622" w:type="dxa"/>
            <w:tcBorders>
              <w:top w:val="single" w:color="000000" w:sz="4" w:space="0"/>
              <w:left w:val="single" w:color="000000" w:sz="4" w:space="0"/>
              <w:bottom w:val="single" w:color="000000" w:sz="4" w:space="0"/>
              <w:right w:val="single" w:color="000000" w:sz="4" w:space="0"/>
            </w:tcBorders>
            <w:noWrap/>
            <w:vAlign w:val="center"/>
          </w:tcPr>
          <w:p w14:paraId="5B8708C7">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光纤盒及跳线、光纤收发器</w:t>
            </w:r>
            <w:r>
              <w:rPr>
                <w:rFonts w:hint="eastAsia" w:ascii="宋体" w:hAnsi="宋体" w:eastAsia="宋体" w:cs="宋体"/>
                <w:i w:val="0"/>
                <w:iCs w:val="0"/>
                <w:caps w:val="0"/>
                <w:color w:val="333333"/>
                <w:spacing w:val="0"/>
                <w:sz w:val="24"/>
                <w:szCs w:val="24"/>
                <w:highlight w:val="none"/>
                <w:shd w:val="clear" w:color="auto" w:fill="FFFFFF"/>
              </w:rPr>
              <w:t>、</w:t>
            </w:r>
            <w:r>
              <w:rPr>
                <w:rFonts w:hint="eastAsia" w:ascii="宋体" w:hAnsi="宋体" w:eastAsia="宋体" w:cs="宋体"/>
                <w:i w:val="0"/>
                <w:iCs w:val="0"/>
                <w:color w:val="000000"/>
                <w:kern w:val="0"/>
                <w:sz w:val="24"/>
                <w:szCs w:val="24"/>
                <w:highlight w:val="none"/>
                <w:u w:val="none"/>
                <w:lang w:val="en-US" w:eastAsia="zh-CN" w:bidi="ar"/>
              </w:rPr>
              <w:t>发送卡、</w:t>
            </w:r>
            <w:r>
              <w:rPr>
                <w:rFonts w:hint="eastAsia" w:ascii="宋体" w:hAnsi="宋体" w:eastAsia="宋体" w:cs="宋体"/>
                <w:i w:val="0"/>
                <w:iCs w:val="0"/>
                <w:caps w:val="0"/>
                <w:color w:val="333333"/>
                <w:spacing w:val="0"/>
                <w:sz w:val="24"/>
                <w:szCs w:val="24"/>
                <w:highlight w:val="none"/>
                <w:shd w:val="clear" w:color="auto" w:fill="FFFFFF"/>
              </w:rPr>
              <w:t>接收卡、</w:t>
            </w:r>
            <w:r>
              <w:rPr>
                <w:rFonts w:hint="eastAsia" w:ascii="宋体" w:hAnsi="宋体" w:eastAsia="宋体" w:cs="宋体"/>
                <w:i w:val="0"/>
                <w:iCs w:val="0"/>
                <w:caps w:val="0"/>
                <w:color w:val="333333"/>
                <w:spacing w:val="0"/>
                <w:sz w:val="24"/>
                <w:szCs w:val="24"/>
                <w:highlight w:val="none"/>
                <w:shd w:val="clear" w:color="auto" w:fill="FFFFFF"/>
                <w:lang w:val="en-US" w:eastAsia="zh-CN"/>
              </w:rPr>
              <w:t>开关</w:t>
            </w:r>
            <w:r>
              <w:rPr>
                <w:rFonts w:hint="eastAsia" w:ascii="宋体" w:hAnsi="宋体" w:eastAsia="宋体" w:cs="宋体"/>
                <w:i w:val="0"/>
                <w:iCs w:val="0"/>
                <w:caps w:val="0"/>
                <w:color w:val="333333"/>
                <w:spacing w:val="0"/>
                <w:sz w:val="24"/>
                <w:szCs w:val="24"/>
                <w:highlight w:val="none"/>
                <w:shd w:val="clear" w:color="auto" w:fill="FFFFFF"/>
              </w:rPr>
              <w:t>电源、电源线、排线</w:t>
            </w:r>
            <w:r>
              <w:rPr>
                <w:rFonts w:hint="eastAsia" w:ascii="宋体" w:hAnsi="宋体" w:eastAsia="宋体" w:cs="宋体"/>
                <w:i w:val="0"/>
                <w:iCs w:val="0"/>
                <w:caps w:val="0"/>
                <w:color w:val="333333"/>
                <w:spacing w:val="0"/>
                <w:sz w:val="24"/>
                <w:szCs w:val="24"/>
                <w:highlight w:val="none"/>
                <w:shd w:val="clear" w:color="auto" w:fill="FFFFFF"/>
                <w:lang w:eastAsia="zh-CN"/>
              </w:rPr>
              <w:t>、</w:t>
            </w:r>
            <w:r>
              <w:rPr>
                <w:rFonts w:hint="eastAsia" w:ascii="宋体" w:hAnsi="宋体" w:eastAsia="宋体" w:cs="宋体"/>
                <w:i w:val="0"/>
                <w:iCs w:val="0"/>
                <w:color w:val="000000"/>
                <w:kern w:val="0"/>
                <w:sz w:val="24"/>
                <w:szCs w:val="24"/>
                <w:highlight w:val="none"/>
                <w:u w:val="none"/>
                <w:lang w:val="en-US" w:eastAsia="zh-CN" w:bidi="ar"/>
              </w:rPr>
              <w:t>控制电脑、视频处理器、配电柜</w:t>
            </w:r>
          </w:p>
        </w:tc>
        <w:tc>
          <w:tcPr>
            <w:tcW w:w="823" w:type="dxa"/>
            <w:tcBorders>
              <w:top w:val="single" w:color="000000" w:sz="4" w:space="0"/>
              <w:left w:val="single" w:color="000000" w:sz="4" w:space="0"/>
              <w:bottom w:val="single" w:color="000000" w:sz="4" w:space="0"/>
              <w:right w:val="single" w:color="000000" w:sz="4" w:space="0"/>
            </w:tcBorders>
            <w:noWrap/>
            <w:vAlign w:val="center"/>
          </w:tcPr>
          <w:p w14:paraId="15363928">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c>
          <w:tcPr>
            <w:tcW w:w="1183" w:type="dxa"/>
            <w:tcBorders>
              <w:top w:val="single" w:color="000000" w:sz="4" w:space="0"/>
              <w:left w:val="single" w:color="000000" w:sz="4" w:space="0"/>
              <w:bottom w:val="single" w:color="000000" w:sz="4" w:space="0"/>
              <w:right w:val="single" w:color="000000" w:sz="4" w:space="0"/>
            </w:tcBorders>
            <w:noWrap/>
            <w:vAlign w:val="center"/>
          </w:tcPr>
          <w:p w14:paraId="1958E502">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平方米</w:t>
            </w:r>
          </w:p>
        </w:tc>
      </w:tr>
    </w:tbl>
    <w:p w14:paraId="2769BC45">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黑体" w:hAnsi="黑体" w:eastAsia="黑体"/>
          <w:sz w:val="32"/>
          <w:szCs w:val="32"/>
          <w:highlight w:val="none"/>
          <w:lang w:val="en-US" w:eastAsia="zh-CN"/>
        </w:rPr>
      </w:pPr>
      <w:r>
        <w:rPr>
          <w:rFonts w:hint="eastAsia" w:ascii="黑体" w:hAnsi="黑体" w:eastAsia="黑体"/>
          <w:sz w:val="32"/>
          <w:szCs w:val="32"/>
          <w:highlight w:val="none"/>
          <w:lang w:val="en-US" w:eastAsia="zh-CN"/>
        </w:rPr>
        <w:t>二、项目期限及限价</w:t>
      </w:r>
    </w:p>
    <w:p w14:paraId="38B9ECB8">
      <w:pPr>
        <w:keepNext w:val="0"/>
        <w:keepLines w:val="0"/>
        <w:pageBreakBefore w:val="0"/>
        <w:kinsoku/>
        <w:wordWrap/>
        <w:overflowPunct/>
        <w:topLinePunct w:val="0"/>
        <w:autoSpaceDE/>
        <w:autoSpaceDN/>
        <w:bidi w:val="0"/>
        <w:adjustRightInd/>
        <w:spacing w:line="560" w:lineRule="exact"/>
        <w:ind w:firstLine="643" w:firstLineChars="200"/>
        <w:textAlignment w:val="auto"/>
        <w:rPr>
          <w:rFonts w:hint="eastAsia" w:ascii="仿宋_GB2312" w:hAnsi="仿宋_GB2312" w:eastAsia="仿宋_GB2312" w:cs="仿宋_GB2312"/>
          <w:sz w:val="32"/>
          <w:szCs w:val="32"/>
          <w:highlight w:val="none"/>
          <w:lang w:val="en-US" w:eastAsia="zh-CN"/>
        </w:rPr>
      </w:pPr>
      <w:r>
        <w:rPr>
          <w:rFonts w:hint="eastAsia" w:ascii="楷体" w:hAnsi="楷体" w:eastAsia="楷体" w:cs="楷体"/>
          <w:b/>
          <w:bCs/>
          <w:sz w:val="32"/>
          <w:szCs w:val="32"/>
          <w:highlight w:val="none"/>
          <w:lang w:val="en-US" w:eastAsia="zh-CN"/>
        </w:rPr>
        <w:t>（一）服务期限：</w:t>
      </w:r>
      <w:r>
        <w:rPr>
          <w:rFonts w:hint="eastAsia" w:ascii="仿宋_GB2312" w:hAnsi="仿宋_GB2312" w:eastAsia="仿宋_GB2312" w:cs="仿宋_GB2312"/>
          <w:sz w:val="32"/>
          <w:szCs w:val="32"/>
          <w:highlight w:val="none"/>
          <w:lang w:val="en-US" w:eastAsia="zh-CN"/>
        </w:rPr>
        <w:t>两年（具体起止时间以合同约定为准）。</w:t>
      </w:r>
    </w:p>
    <w:p w14:paraId="6C0CCFF2">
      <w:pPr>
        <w:keepNext w:val="0"/>
        <w:keepLines w:val="0"/>
        <w:pageBreakBefore w:val="0"/>
        <w:widowControl/>
        <w:suppressLineNumbers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_GB2312" w:eastAsia="仿宋_GB2312" w:cs="仿宋_GB2312"/>
          <w:color w:val="000000"/>
          <w:kern w:val="0"/>
          <w:sz w:val="32"/>
          <w:szCs w:val="32"/>
          <w:highlight w:val="none"/>
          <w:lang w:val="en-US" w:eastAsia="zh-CN" w:bidi="ar"/>
        </w:rPr>
      </w:pPr>
      <w:r>
        <w:rPr>
          <w:rFonts w:hint="eastAsia" w:ascii="楷体" w:hAnsi="楷体" w:eastAsia="楷体" w:cs="楷体"/>
          <w:b/>
          <w:bCs/>
          <w:sz w:val="32"/>
          <w:szCs w:val="32"/>
          <w:highlight w:val="none"/>
          <w:lang w:val="en-US" w:eastAsia="zh-CN"/>
        </w:rPr>
        <w:t>（二）项目最高限价：</w:t>
      </w:r>
      <w:r>
        <w:rPr>
          <w:rFonts w:hint="eastAsia" w:ascii="仿宋_GB2312" w:hAnsi="仿宋_GB2312" w:eastAsia="仿宋_GB2312" w:cs="仿宋_GB2312"/>
          <w:color w:val="000000"/>
          <w:kern w:val="0"/>
          <w:sz w:val="31"/>
          <w:szCs w:val="31"/>
          <w:highlight w:val="none"/>
          <w:lang w:val="en-US" w:eastAsia="zh-CN" w:bidi="ar"/>
        </w:rPr>
        <w:t>¥</w:t>
      </w:r>
      <w:r>
        <w:rPr>
          <w:rFonts w:hint="eastAsia" w:ascii="仿宋_GB2312" w:hAnsi="仿宋_GB2312" w:eastAsia="仿宋_GB2312" w:cs="仿宋_GB2312"/>
          <w:color w:val="000000"/>
          <w:kern w:val="0"/>
          <w:sz w:val="32"/>
          <w:szCs w:val="32"/>
          <w:highlight w:val="none"/>
          <w:lang w:val="en-US" w:eastAsia="zh-CN" w:bidi="ar"/>
        </w:rPr>
        <w:t>8万元/两年（含本数，含增值税专用发票税税费）。供应商的总报价不得超过最高限价，否则其报价无效。</w:t>
      </w:r>
    </w:p>
    <w:p w14:paraId="44DBD058">
      <w:pPr>
        <w:keepNext w:val="0"/>
        <w:keepLines w:val="0"/>
        <w:pageBreakBefore w:val="0"/>
        <w:widowControl/>
        <w:suppressLineNumbers w:val="0"/>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仿宋_GB2312" w:eastAsia="仿宋_GB2312" w:cs="仿宋_GB2312"/>
          <w:color w:val="000000"/>
          <w:kern w:val="0"/>
          <w:sz w:val="32"/>
          <w:szCs w:val="32"/>
          <w:highlight w:val="none"/>
          <w:lang w:val="en-US" w:eastAsia="zh-CN" w:bidi="ar"/>
        </w:rPr>
      </w:pPr>
      <w:r>
        <w:rPr>
          <w:rFonts w:hint="eastAsia" w:ascii="楷体" w:hAnsi="楷体" w:eastAsia="楷体" w:cs="楷体"/>
          <w:b/>
          <w:bCs/>
          <w:sz w:val="32"/>
          <w:szCs w:val="32"/>
          <w:highlight w:val="none"/>
          <w:lang w:val="en-US" w:eastAsia="zh-CN"/>
        </w:rPr>
        <w:t>（三）项目报价要求：</w:t>
      </w:r>
      <w:r>
        <w:rPr>
          <w:rFonts w:hint="eastAsia" w:ascii="仿宋_GB2312" w:hAnsi="仿宋_GB2312" w:eastAsia="仿宋_GB2312" w:cs="仿宋_GB2312"/>
          <w:color w:val="000000"/>
          <w:kern w:val="0"/>
          <w:sz w:val="32"/>
          <w:szCs w:val="32"/>
          <w:highlight w:val="none"/>
          <w:lang w:val="en-US" w:eastAsia="zh-CN" w:bidi="ar"/>
        </w:rPr>
        <w:t>维保履行期内，对深圳书城龙岗城（金旭大楼）南立面、南北大门上方斜面、四楼、五楼共5块LED显示屏提供全包全保服务，包括但不限于显示板、电源、控制系统、驱动、显示屏操作软件升级、维护人员上门费、高空车操作费用、维修技术人员差旅费、维修服务费、材料费、税费（增值税专用发票）等因履行合同需承担的所有费用，采购单位无须向维保单位再支付其他任何费用。</w:t>
      </w:r>
    </w:p>
    <w:p w14:paraId="703057C2">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黑体" w:hAnsi="黑体" w:eastAsia="黑体"/>
          <w:sz w:val="32"/>
          <w:szCs w:val="32"/>
          <w:highlight w:val="none"/>
          <w:lang w:val="en-US" w:eastAsia="zh-CN"/>
        </w:rPr>
      </w:pPr>
      <w:r>
        <w:rPr>
          <w:rFonts w:hint="eastAsia" w:ascii="黑体" w:hAnsi="黑体" w:eastAsia="黑体"/>
          <w:sz w:val="32"/>
          <w:szCs w:val="32"/>
          <w:highlight w:val="none"/>
          <w:lang w:val="en-US" w:eastAsia="zh-CN"/>
        </w:rPr>
        <w:t>三、服务要求</w:t>
      </w:r>
    </w:p>
    <w:p w14:paraId="58B75582">
      <w:pPr>
        <w:keepNext w:val="0"/>
        <w:keepLines w:val="0"/>
        <w:pageBreakBefore w:val="0"/>
        <w:numPr>
          <w:ilvl w:val="0"/>
          <w:numId w:val="0"/>
        </w:numPr>
        <w:kinsoku/>
        <w:wordWrap/>
        <w:overflowPunct/>
        <w:topLinePunct w:val="0"/>
        <w:autoSpaceDE/>
        <w:autoSpaceDN/>
        <w:bidi w:val="0"/>
        <w:adjustRightInd/>
        <w:spacing w:line="560" w:lineRule="exact"/>
        <w:ind w:firstLine="620" w:firstLineChars="200"/>
        <w:textAlignment w:val="auto"/>
        <w:rPr>
          <w:rFonts w:hint="eastAsia" w:ascii="仿宋_GB2312" w:hAnsi="仿宋_GB2312" w:eastAsia="仿宋_GB2312" w:cs="仿宋_GB2312"/>
          <w:color w:val="000000"/>
          <w:kern w:val="0"/>
          <w:sz w:val="31"/>
          <w:szCs w:val="31"/>
          <w:highlight w:val="none"/>
          <w:lang w:val="en-US" w:eastAsia="zh-CN" w:bidi="ar"/>
        </w:rPr>
      </w:pPr>
      <w:r>
        <w:rPr>
          <w:rFonts w:hint="eastAsia" w:ascii="仿宋_GB2312" w:hAnsi="仿宋_GB2312" w:eastAsia="仿宋_GB2312" w:cs="仿宋_GB2312"/>
          <w:color w:val="000000"/>
          <w:kern w:val="0"/>
          <w:sz w:val="31"/>
          <w:szCs w:val="31"/>
          <w:highlight w:val="none"/>
          <w:lang w:val="en-US" w:eastAsia="zh-CN" w:bidi="ar"/>
        </w:rPr>
        <w:t>（一）到场进行维保人员必须是2名具有专业技术人员，并持有高空作业证。</w:t>
      </w:r>
    </w:p>
    <w:p w14:paraId="02373425">
      <w:pPr>
        <w:keepNext w:val="0"/>
        <w:keepLines w:val="0"/>
        <w:pageBreakBefore w:val="0"/>
        <w:numPr>
          <w:ilvl w:val="0"/>
          <w:numId w:val="0"/>
        </w:numPr>
        <w:kinsoku/>
        <w:wordWrap/>
        <w:overflowPunct/>
        <w:topLinePunct w:val="0"/>
        <w:autoSpaceDE/>
        <w:autoSpaceDN/>
        <w:bidi w:val="0"/>
        <w:adjustRightInd/>
        <w:spacing w:line="560" w:lineRule="exact"/>
        <w:ind w:firstLine="620" w:firstLineChars="200"/>
        <w:textAlignment w:val="auto"/>
        <w:rPr>
          <w:rFonts w:hint="eastAsia" w:ascii="仿宋_GB2312" w:hAnsi="仿宋_GB2312" w:eastAsia="仿宋_GB2312" w:cs="仿宋_GB2312"/>
          <w:color w:val="000000"/>
          <w:kern w:val="0"/>
          <w:sz w:val="31"/>
          <w:szCs w:val="31"/>
          <w:highlight w:val="none"/>
          <w:lang w:val="en-US" w:eastAsia="zh-CN" w:bidi="ar"/>
        </w:rPr>
      </w:pPr>
      <w:r>
        <w:rPr>
          <w:rFonts w:hint="eastAsia" w:ascii="仿宋_GB2312" w:hAnsi="仿宋_GB2312" w:eastAsia="仿宋_GB2312" w:cs="仿宋_GB2312"/>
          <w:color w:val="000000"/>
          <w:kern w:val="0"/>
          <w:sz w:val="31"/>
          <w:szCs w:val="31"/>
          <w:highlight w:val="none"/>
          <w:lang w:val="en-US" w:eastAsia="zh-CN" w:bidi="ar"/>
        </w:rPr>
        <w:t>（二）维修人员应遵守我司的各项规章制度和操作规程，服从我司的工作指导和工作安排。按LED显示屏设备清单内容进行每月不少于一次逐项保养检查，发现故障应及时修复，保证LED显示屏的正常运行并记录故障修复的全过程。</w:t>
      </w:r>
    </w:p>
    <w:p w14:paraId="42D3FD11">
      <w:pPr>
        <w:keepNext w:val="0"/>
        <w:keepLines w:val="0"/>
        <w:pageBreakBefore w:val="0"/>
        <w:numPr>
          <w:ilvl w:val="0"/>
          <w:numId w:val="0"/>
        </w:numPr>
        <w:kinsoku/>
        <w:wordWrap/>
        <w:overflowPunct/>
        <w:topLinePunct w:val="0"/>
        <w:autoSpaceDE/>
        <w:autoSpaceDN/>
        <w:bidi w:val="0"/>
        <w:adjustRightInd/>
        <w:spacing w:line="560" w:lineRule="exact"/>
        <w:ind w:firstLine="620" w:firstLineChars="200"/>
        <w:textAlignment w:val="auto"/>
        <w:rPr>
          <w:rFonts w:hint="eastAsia" w:ascii="仿宋_GB2312" w:hAnsi="仿宋_GB2312" w:eastAsia="仿宋_GB2312" w:cs="仿宋_GB2312"/>
          <w:color w:val="000000"/>
          <w:kern w:val="0"/>
          <w:sz w:val="31"/>
          <w:szCs w:val="31"/>
          <w:highlight w:val="none"/>
          <w:lang w:val="en-US" w:eastAsia="zh-CN" w:bidi="ar"/>
        </w:rPr>
      </w:pPr>
      <w:r>
        <w:rPr>
          <w:rFonts w:hint="eastAsia" w:ascii="仿宋_GB2312" w:hAnsi="仿宋_GB2312" w:eastAsia="仿宋_GB2312" w:cs="仿宋_GB2312"/>
          <w:color w:val="000000"/>
          <w:kern w:val="0"/>
          <w:sz w:val="31"/>
          <w:szCs w:val="31"/>
          <w:highlight w:val="none"/>
          <w:lang w:val="en-US" w:eastAsia="zh-CN" w:bidi="ar"/>
        </w:rPr>
        <w:t>（三）每季度进行一次全面清洁维护保养，并会同我司工作人员共同签字确认。</w:t>
      </w:r>
    </w:p>
    <w:p w14:paraId="54AB7EF3">
      <w:pPr>
        <w:keepNext w:val="0"/>
        <w:keepLines w:val="0"/>
        <w:pageBreakBefore w:val="0"/>
        <w:numPr>
          <w:ilvl w:val="0"/>
          <w:numId w:val="0"/>
        </w:numPr>
        <w:kinsoku/>
        <w:wordWrap/>
        <w:overflowPunct/>
        <w:topLinePunct w:val="0"/>
        <w:autoSpaceDE/>
        <w:autoSpaceDN/>
        <w:bidi w:val="0"/>
        <w:adjustRightInd/>
        <w:spacing w:line="560" w:lineRule="exact"/>
        <w:ind w:firstLine="620" w:firstLineChars="200"/>
        <w:textAlignment w:val="auto"/>
        <w:rPr>
          <w:rFonts w:hint="eastAsia" w:ascii="仿宋_GB2312" w:hAnsi="仿宋_GB2312" w:eastAsia="仿宋_GB2312" w:cs="仿宋_GB2312"/>
          <w:color w:val="000000"/>
          <w:kern w:val="0"/>
          <w:sz w:val="31"/>
          <w:szCs w:val="31"/>
          <w:highlight w:val="none"/>
          <w:lang w:val="en-US" w:eastAsia="zh-CN" w:bidi="ar"/>
        </w:rPr>
      </w:pPr>
      <w:r>
        <w:rPr>
          <w:rFonts w:hint="eastAsia" w:ascii="仿宋_GB2312" w:hAnsi="仿宋_GB2312" w:eastAsia="仿宋_GB2312" w:cs="仿宋_GB2312"/>
          <w:color w:val="000000"/>
          <w:kern w:val="0"/>
          <w:sz w:val="31"/>
          <w:szCs w:val="31"/>
          <w:highlight w:val="none"/>
          <w:lang w:val="en-US" w:eastAsia="zh-CN" w:bidi="ar"/>
        </w:rPr>
        <w:t>（四）当LED屏发生故障时，维保单位在接到我司的电话或其他途径的通知后，应派1-4人组成的专业维修队在12小时内赶到现场进行处理，并保证处理措施正确、有效。对LED屏出现的故障及时修复，保证其正常运行。</w:t>
      </w:r>
    </w:p>
    <w:p w14:paraId="07308B35">
      <w:pPr>
        <w:keepNext w:val="0"/>
        <w:keepLines w:val="0"/>
        <w:pageBreakBefore w:val="0"/>
        <w:numPr>
          <w:ilvl w:val="0"/>
          <w:numId w:val="0"/>
        </w:numPr>
        <w:kinsoku/>
        <w:wordWrap/>
        <w:overflowPunct/>
        <w:topLinePunct w:val="0"/>
        <w:autoSpaceDE/>
        <w:autoSpaceDN/>
        <w:bidi w:val="0"/>
        <w:adjustRightInd/>
        <w:spacing w:line="560" w:lineRule="exact"/>
        <w:ind w:firstLine="620" w:firstLineChars="200"/>
        <w:textAlignment w:val="auto"/>
        <w:rPr>
          <w:rFonts w:hint="eastAsia" w:ascii="仿宋_GB2312" w:hAnsi="仿宋_GB2312" w:eastAsia="仿宋_GB2312" w:cs="仿宋_GB2312"/>
          <w:color w:val="000000"/>
          <w:kern w:val="0"/>
          <w:sz w:val="31"/>
          <w:szCs w:val="31"/>
          <w:highlight w:val="none"/>
          <w:lang w:val="en-US" w:eastAsia="zh-CN" w:bidi="ar"/>
        </w:rPr>
      </w:pPr>
      <w:r>
        <w:rPr>
          <w:rFonts w:hint="eastAsia" w:ascii="仿宋_GB2312" w:hAnsi="仿宋_GB2312" w:eastAsia="仿宋_GB2312" w:cs="仿宋_GB2312"/>
          <w:color w:val="000000"/>
          <w:kern w:val="0"/>
          <w:sz w:val="31"/>
          <w:szCs w:val="31"/>
          <w:highlight w:val="none"/>
          <w:lang w:val="en-US" w:eastAsia="zh-CN" w:bidi="ar"/>
        </w:rPr>
        <w:t>（五）自行配备维修、维护作业所需要的工具及设备，作业时现场应放置安全警示标识。</w:t>
      </w:r>
    </w:p>
    <w:p w14:paraId="40BBA95B">
      <w:pPr>
        <w:keepNext w:val="0"/>
        <w:keepLines w:val="0"/>
        <w:pageBreakBefore w:val="0"/>
        <w:numPr>
          <w:ilvl w:val="0"/>
          <w:numId w:val="0"/>
        </w:numPr>
        <w:kinsoku/>
        <w:wordWrap/>
        <w:overflowPunct/>
        <w:topLinePunct w:val="0"/>
        <w:autoSpaceDE/>
        <w:autoSpaceDN/>
        <w:bidi w:val="0"/>
        <w:adjustRightInd/>
        <w:spacing w:line="560" w:lineRule="exact"/>
        <w:ind w:firstLine="620" w:firstLineChars="200"/>
        <w:textAlignment w:val="auto"/>
        <w:rPr>
          <w:rFonts w:hint="eastAsia" w:ascii="仿宋_GB2312" w:hAnsi="仿宋_GB2312" w:eastAsia="仿宋_GB2312" w:cs="仿宋_GB2312"/>
          <w:color w:val="000000"/>
          <w:kern w:val="0"/>
          <w:sz w:val="31"/>
          <w:szCs w:val="31"/>
          <w:highlight w:val="none"/>
          <w:lang w:val="en-US" w:eastAsia="zh-CN" w:bidi="ar"/>
        </w:rPr>
      </w:pPr>
      <w:r>
        <w:rPr>
          <w:rFonts w:hint="eastAsia" w:ascii="仿宋_GB2312" w:hAnsi="仿宋_GB2312" w:eastAsia="仿宋_GB2312" w:cs="仿宋_GB2312"/>
          <w:color w:val="000000"/>
          <w:kern w:val="0"/>
          <w:sz w:val="31"/>
          <w:szCs w:val="31"/>
          <w:highlight w:val="none"/>
          <w:lang w:val="en-US" w:eastAsia="zh-CN" w:bidi="ar"/>
        </w:rPr>
        <w:t>（六）维护保养中发现需更换的材料、设备，由维保单位书面报告我司，由我司书面确认后进行更换，更换的设备或配件的型号参数不得低于原设备或配件型号参数，并记入设备维修（更换）记录单，显示屏所需更换的材料、设备费用均包含在维护费用，我司不再支付其他费用（除不可抗力或人为原因非法造成显示屏大面积的损坏以外）。</w:t>
      </w:r>
    </w:p>
    <w:p w14:paraId="7206F127">
      <w:pPr>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黑体" w:eastAsia="黑体"/>
          <w:sz w:val="32"/>
          <w:szCs w:val="32"/>
          <w:highlight w:val="none"/>
          <w:lang w:val="en-US" w:eastAsia="zh-CN"/>
        </w:rPr>
      </w:pPr>
      <w:r>
        <w:rPr>
          <w:rFonts w:hint="eastAsia" w:ascii="黑体" w:hAnsi="黑体" w:eastAsia="黑体"/>
          <w:sz w:val="32"/>
          <w:szCs w:val="32"/>
          <w:highlight w:val="none"/>
          <w:lang w:val="en-US" w:eastAsia="zh-CN"/>
        </w:rPr>
        <w:t>四、采购方式</w:t>
      </w:r>
    </w:p>
    <w:p w14:paraId="779F2617">
      <w:pPr>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公开竞争性谈判采购。</w:t>
      </w:r>
    </w:p>
    <w:p w14:paraId="49CC35A8">
      <w:pPr>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黑体" w:hAnsi="黑体" w:eastAsia="黑体"/>
          <w:sz w:val="32"/>
          <w:szCs w:val="32"/>
          <w:highlight w:val="none"/>
          <w:lang w:val="en-US" w:eastAsia="zh-CN"/>
        </w:rPr>
      </w:pPr>
      <w:r>
        <w:rPr>
          <w:rFonts w:hint="eastAsia" w:ascii="黑体" w:hAnsi="黑体" w:eastAsia="黑体" w:cs="黑体"/>
          <w:b w:val="0"/>
          <w:bCs w:val="0"/>
          <w:kern w:val="2"/>
          <w:sz w:val="32"/>
          <w:szCs w:val="32"/>
          <w:highlight w:val="none"/>
          <w:lang w:val="en-US" w:eastAsia="zh-CN" w:bidi="ar-SA"/>
        </w:rPr>
        <w:t>五、</w:t>
      </w:r>
      <w:r>
        <w:rPr>
          <w:rFonts w:hint="eastAsia" w:ascii="黑体" w:hAnsi="黑体" w:eastAsia="黑体"/>
          <w:sz w:val="32"/>
          <w:szCs w:val="32"/>
          <w:highlight w:val="none"/>
          <w:lang w:val="en-US" w:eastAsia="zh-CN"/>
        </w:rPr>
        <w:t>供应商资格要求</w:t>
      </w:r>
    </w:p>
    <w:p w14:paraId="4759B133">
      <w:pPr>
        <w:keepNext w:val="0"/>
        <w:keepLines w:val="0"/>
        <w:pageBreakBefore w:val="0"/>
        <w:widowControl/>
        <w:suppressLineNumbers w:val="0"/>
        <w:kinsoku/>
        <w:wordWrap/>
        <w:overflowPunct/>
        <w:topLinePunct w:val="0"/>
        <w:autoSpaceDE/>
        <w:autoSpaceDN/>
        <w:bidi w:val="0"/>
        <w:adjustRightInd/>
        <w:spacing w:line="540" w:lineRule="exact"/>
        <w:ind w:firstLine="640" w:firstLineChars="200"/>
        <w:jc w:val="left"/>
        <w:textAlignment w:val="auto"/>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（一）必须为中华人民共和国注册的独立法人且具有相关营业执照（营业执照须具备智能化和电子显示屏经营范围）。</w:t>
      </w:r>
    </w:p>
    <w:p w14:paraId="774C7752">
      <w:pPr>
        <w:keepNext w:val="0"/>
        <w:keepLines w:val="0"/>
        <w:pageBreakBefore w:val="0"/>
        <w:widowControl/>
        <w:suppressLineNumbers w:val="0"/>
        <w:kinsoku/>
        <w:wordWrap/>
        <w:overflowPunct/>
        <w:topLinePunct w:val="0"/>
        <w:autoSpaceDE/>
        <w:autoSpaceDN/>
        <w:bidi w:val="0"/>
        <w:adjustRightInd/>
        <w:spacing w:line="540" w:lineRule="exact"/>
        <w:ind w:firstLine="640" w:firstLineChars="200"/>
        <w:jc w:val="left"/>
        <w:textAlignment w:val="auto"/>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（二）没有被列入“信用中国”网站（www.creditchina.gov.cn）的“失信被执行人”“重大税收违法案件当事人名单”“政府采购严重违法失信行为记录名单”的情况。</w:t>
      </w:r>
    </w:p>
    <w:p w14:paraId="7A3AA7EF">
      <w:pPr>
        <w:keepNext w:val="0"/>
        <w:keepLines w:val="0"/>
        <w:pageBreakBefore w:val="0"/>
        <w:widowControl/>
        <w:suppressLineNumbers w:val="0"/>
        <w:kinsoku/>
        <w:wordWrap/>
        <w:overflowPunct/>
        <w:topLinePunct w:val="0"/>
        <w:autoSpaceDE/>
        <w:autoSpaceDN/>
        <w:bidi w:val="0"/>
        <w:adjustRightInd/>
        <w:spacing w:line="540" w:lineRule="exact"/>
        <w:ind w:firstLine="640" w:firstLineChars="200"/>
        <w:jc w:val="left"/>
        <w:textAlignment w:val="auto"/>
        <w:rPr>
          <w:rFonts w:hint="eastAsia"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（三）没有被列入集团供应商黑名单。</w:t>
      </w:r>
    </w:p>
    <w:p w14:paraId="19006B78">
      <w:pPr>
        <w:keepNext w:val="0"/>
        <w:keepLines w:val="0"/>
        <w:pageBreakBefore w:val="0"/>
        <w:widowControl/>
        <w:suppressLineNumbers w:val="0"/>
        <w:kinsoku/>
        <w:wordWrap/>
        <w:overflowPunct/>
        <w:topLinePunct w:val="0"/>
        <w:autoSpaceDE/>
        <w:autoSpaceDN/>
        <w:bidi w:val="0"/>
        <w:adjustRightInd/>
        <w:spacing w:line="540" w:lineRule="exact"/>
        <w:ind w:firstLine="640" w:firstLineChars="200"/>
        <w:jc w:val="left"/>
        <w:textAlignment w:val="auto"/>
        <w:rPr>
          <w:rFonts w:hint="default" w:ascii="仿宋_GB2312" w:hAnsi="仿宋_GB2312" w:eastAsia="仿宋_GB2312" w:cs="仿宋_GB2312"/>
          <w:color w:val="000000"/>
          <w:kern w:val="0"/>
          <w:sz w:val="32"/>
          <w:szCs w:val="32"/>
          <w:highlight w:val="none"/>
          <w:lang w:val="en-US" w:eastAsia="zh-CN" w:bidi="ar"/>
        </w:rPr>
      </w:pPr>
      <w:r>
        <w:rPr>
          <w:rFonts w:hint="eastAsia" w:ascii="仿宋_GB2312" w:hAnsi="仿宋_GB2312" w:eastAsia="仿宋_GB2312" w:cs="仿宋_GB2312"/>
          <w:color w:val="000000"/>
          <w:kern w:val="0"/>
          <w:sz w:val="32"/>
          <w:szCs w:val="32"/>
          <w:highlight w:val="none"/>
          <w:lang w:val="en-US" w:eastAsia="zh-CN" w:bidi="ar"/>
        </w:rPr>
        <w:t>（四）近三年无司法行政处罚记录。</w:t>
      </w:r>
    </w:p>
    <w:p w14:paraId="48DF5816">
      <w:pPr>
        <w:keepNext w:val="0"/>
        <w:keepLines w:val="0"/>
        <w:pageBreakBefore w:val="0"/>
        <w:widowControl/>
        <w:shd w:val="clear" w:color="auto" w:fill="auto"/>
        <w:kinsoku/>
        <w:wordWrap/>
        <w:overflowPunct/>
        <w:topLinePunct w:val="0"/>
        <w:autoSpaceDE/>
        <w:autoSpaceDN/>
        <w:bidi w:val="0"/>
        <w:adjustRightInd/>
        <w:snapToGrid w:val="0"/>
        <w:spacing w:line="560" w:lineRule="exact"/>
        <w:ind w:left="638" w:leftChars="304" w:firstLine="0" w:firstLineChars="0"/>
        <w:jc w:val="left"/>
        <w:textAlignment w:val="auto"/>
        <w:rPr>
          <w:rFonts w:hint="default" w:ascii="黑体" w:hAnsi="黑体" w:eastAsia="黑体"/>
          <w:sz w:val="32"/>
          <w:szCs w:val="32"/>
          <w:highlight w:val="none"/>
          <w:lang w:val="en-US" w:eastAsia="zh-CN"/>
        </w:rPr>
      </w:pPr>
      <w:r>
        <w:rPr>
          <w:rFonts w:hint="eastAsia" w:ascii="仿宋_GB2312" w:hAnsi="仿宋_GB2312" w:eastAsia="仿宋_GB2312" w:cs="仿宋_GB2312"/>
          <w:color w:val="000000"/>
          <w:kern w:val="0"/>
          <w:sz w:val="32"/>
          <w:szCs w:val="32"/>
          <w:highlight w:val="none"/>
          <w:lang w:val="en-US" w:eastAsia="zh-CN" w:bidi="ar"/>
        </w:rPr>
        <w:t>（五）本项目不接受联合体投标，也不允许分包或转包。</w:t>
      </w:r>
      <w:r>
        <w:rPr>
          <w:rFonts w:hint="eastAsia" w:ascii="黑体" w:hAnsi="黑体" w:eastAsia="黑体"/>
          <w:sz w:val="32"/>
          <w:szCs w:val="32"/>
          <w:highlight w:val="none"/>
          <w:lang w:val="en-US" w:eastAsia="zh-CN"/>
        </w:rPr>
        <w:t>六、采购文件获取</w:t>
      </w:r>
    </w:p>
    <w:p w14:paraId="73588AE9">
      <w:pPr>
        <w:keepNext w:val="0"/>
        <w:keepLines w:val="0"/>
        <w:pageBreakBefore w:val="0"/>
        <w:shd w:val="clear" w:color="auto" w:fill="auto"/>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（一）</w:t>
      </w:r>
      <w:r>
        <w:rPr>
          <w:rFonts w:hint="eastAsia" w:ascii="仿宋_GB2312" w:hAnsi="仿宋_GB2312" w:eastAsia="仿宋_GB2312" w:cs="仿宋_GB2312"/>
          <w:sz w:val="32"/>
          <w:szCs w:val="32"/>
          <w:highlight w:val="none"/>
          <w:lang w:eastAsia="zh-CN"/>
        </w:rPr>
        <w:t>获取采购文件的时间：</w:t>
      </w:r>
      <w:r>
        <w:rPr>
          <w:rFonts w:hint="eastAsia" w:ascii="仿宋_GB2312" w:hAnsi="仿宋_GB2312" w:eastAsia="仿宋_GB2312" w:cs="仿宋_GB2312"/>
          <w:sz w:val="32"/>
          <w:szCs w:val="32"/>
          <w:highlight w:val="none"/>
          <w:lang w:eastAsia="zh-CN"/>
        </w:rPr>
        <w:t>202</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lang w:eastAsia="zh-CN"/>
        </w:rPr>
        <w:t>年</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lang w:eastAsia="zh-CN"/>
        </w:rPr>
        <w:t>月</w:t>
      </w:r>
      <w:r>
        <w:rPr>
          <w:rFonts w:hint="eastAsia" w:ascii="仿宋_GB2312" w:hAnsi="仿宋_GB2312" w:eastAsia="仿宋_GB2312" w:cs="仿宋_GB2312"/>
          <w:sz w:val="32"/>
          <w:szCs w:val="32"/>
          <w:highlight w:val="none"/>
          <w:lang w:val="en-US" w:eastAsia="zh-CN"/>
        </w:rPr>
        <w:t>29</w:t>
      </w:r>
      <w:r>
        <w:rPr>
          <w:rFonts w:hint="eastAsia" w:ascii="仿宋_GB2312" w:hAnsi="仿宋_GB2312" w:eastAsia="仿宋_GB2312" w:cs="仿宋_GB2312"/>
          <w:sz w:val="32"/>
          <w:szCs w:val="32"/>
          <w:highlight w:val="none"/>
          <w:lang w:eastAsia="zh-CN"/>
        </w:rPr>
        <w:t>日至202</w:t>
      </w:r>
      <w:r>
        <w:rPr>
          <w:rFonts w:hint="eastAsia" w:ascii="仿宋_GB2312" w:hAnsi="仿宋_GB2312" w:eastAsia="仿宋_GB2312" w:cs="仿宋_GB2312"/>
          <w:sz w:val="32"/>
          <w:szCs w:val="32"/>
          <w:highlight w:val="none"/>
          <w:lang w:val="en-US" w:eastAsia="zh-CN"/>
        </w:rPr>
        <w:t>6</w:t>
      </w:r>
      <w:r>
        <w:rPr>
          <w:rFonts w:hint="eastAsia" w:ascii="仿宋_GB2312" w:hAnsi="仿宋_GB2312" w:eastAsia="仿宋_GB2312" w:cs="仿宋_GB2312"/>
          <w:sz w:val="32"/>
          <w:szCs w:val="32"/>
          <w:highlight w:val="none"/>
          <w:lang w:eastAsia="zh-CN"/>
        </w:rPr>
        <w:t>年</w:t>
      </w:r>
      <w:r>
        <w:rPr>
          <w:rFonts w:hint="eastAsia" w:ascii="仿宋_GB2312" w:hAnsi="仿宋_GB2312" w:eastAsia="仿宋_GB2312" w:cs="仿宋_GB2312"/>
          <w:sz w:val="32"/>
          <w:szCs w:val="32"/>
          <w:highlight w:val="none"/>
          <w:lang w:val="en-US" w:eastAsia="zh-CN"/>
        </w:rPr>
        <w:t>10</w:t>
      </w:r>
      <w:r>
        <w:rPr>
          <w:rFonts w:hint="eastAsia" w:ascii="仿宋_GB2312" w:hAnsi="仿宋_GB2312" w:eastAsia="仿宋_GB2312" w:cs="仿宋_GB2312"/>
          <w:sz w:val="32"/>
          <w:szCs w:val="32"/>
          <w:highlight w:val="none"/>
          <w:lang w:eastAsia="zh-CN"/>
        </w:rPr>
        <w:t>月</w:t>
      </w:r>
      <w:r>
        <w:rPr>
          <w:rFonts w:hint="eastAsia" w:ascii="仿宋_GB2312" w:hAnsi="仿宋_GB2312" w:eastAsia="仿宋_GB2312" w:cs="仿宋_GB2312"/>
          <w:sz w:val="32"/>
          <w:szCs w:val="32"/>
          <w:highlight w:val="none"/>
          <w:lang w:val="en-US" w:eastAsia="zh-CN"/>
        </w:rPr>
        <w:t>9</w:t>
      </w:r>
      <w:r>
        <w:rPr>
          <w:rFonts w:hint="eastAsia" w:ascii="仿宋_GB2312" w:hAnsi="仿宋_GB2312" w:eastAsia="仿宋_GB2312" w:cs="仿宋_GB2312"/>
          <w:sz w:val="32"/>
          <w:szCs w:val="32"/>
          <w:highlight w:val="none"/>
          <w:lang w:eastAsia="zh-CN"/>
        </w:rPr>
        <w:t>日；</w:t>
      </w:r>
    </w:p>
    <w:p w14:paraId="55E9485B">
      <w:pPr>
        <w:keepNext w:val="0"/>
        <w:keepLines w:val="0"/>
        <w:pageBreakBefore w:val="0"/>
        <w:shd w:val="clear" w:color="auto" w:fill="auto"/>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（二）获取采购文件的方式：邮件联系项目联系人（809113167@qq.com)</w:t>
      </w:r>
      <w:r>
        <w:rPr>
          <w:rFonts w:hint="eastAsia" w:ascii="仿宋_GB2312" w:hAnsi="仿宋_GB2312" w:eastAsia="仿宋_GB2312" w:cs="仿宋_GB2312"/>
          <w:sz w:val="32"/>
          <w:szCs w:val="32"/>
          <w:highlight w:val="none"/>
          <w:lang w:eastAsia="zh-CN"/>
        </w:rPr>
        <w:t>；</w:t>
      </w:r>
    </w:p>
    <w:p w14:paraId="2A6BD63A">
      <w:pPr>
        <w:pStyle w:val="390"/>
        <w:keepNext w:val="0"/>
        <w:keepLines w:val="0"/>
        <w:pageBreakBefore w:val="0"/>
        <w:kinsoku/>
        <w:wordWrap/>
        <w:overflowPunct/>
        <w:topLinePunct w:val="0"/>
        <w:autoSpaceDE/>
        <w:autoSpaceDN/>
        <w:bidi w:val="0"/>
        <w:adjustRightInd/>
        <w:spacing w:line="560" w:lineRule="exact"/>
        <w:textAlignment w:val="auto"/>
        <w:rPr>
          <w:rFonts w:hint="eastAsia"/>
          <w:highlight w:val="none"/>
          <w:lang w:eastAsia="zh-CN"/>
        </w:rPr>
      </w:pPr>
      <w:r>
        <w:rPr>
          <w:rFonts w:hint="eastAsia"/>
          <w:highlight w:val="none"/>
          <w:lang w:eastAsia="zh-CN"/>
        </w:rPr>
        <w:t>（1）标题：领取“深圳书城龙岗城（金旭大楼）2026-2028年度LED显示屏维保服务项目”</w:t>
      </w:r>
      <w:r>
        <w:rPr>
          <w:rFonts w:hint="eastAsia"/>
          <w:highlight w:val="none"/>
          <w:lang w:val="en-US" w:eastAsia="zh-CN"/>
        </w:rPr>
        <w:t>采购</w:t>
      </w:r>
      <w:r>
        <w:rPr>
          <w:rFonts w:hint="eastAsia"/>
          <w:highlight w:val="none"/>
          <w:lang w:eastAsia="zh-CN"/>
        </w:rPr>
        <w:t>文件。</w:t>
      </w:r>
    </w:p>
    <w:p w14:paraId="64B6BFB5">
      <w:pPr>
        <w:pStyle w:val="390"/>
        <w:keepNext w:val="0"/>
        <w:keepLines w:val="0"/>
        <w:pageBreakBefore w:val="0"/>
        <w:kinsoku/>
        <w:wordWrap/>
        <w:overflowPunct/>
        <w:topLinePunct w:val="0"/>
        <w:autoSpaceDE/>
        <w:autoSpaceDN/>
        <w:bidi w:val="0"/>
        <w:adjustRightInd/>
        <w:spacing w:line="560" w:lineRule="exact"/>
        <w:textAlignment w:val="auto"/>
        <w:rPr>
          <w:rFonts w:hint="eastAsia"/>
          <w:highlight w:val="none"/>
          <w:lang w:eastAsia="zh-CN"/>
        </w:rPr>
      </w:pPr>
      <w:r>
        <w:rPr>
          <w:rFonts w:hint="eastAsia"/>
          <w:highlight w:val="none"/>
          <w:lang w:eastAsia="zh-CN"/>
        </w:rPr>
        <w:t>（2）备注：意向投标单位名称＋联系人＋联系方式。</w:t>
      </w:r>
    </w:p>
    <w:p w14:paraId="645D49D1">
      <w:pPr>
        <w:keepNext w:val="0"/>
        <w:keepLines w:val="0"/>
        <w:pageBreakBefore w:val="0"/>
        <w:shd w:val="clear" w:color="auto" w:fill="auto"/>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val="en-US" w:eastAsia="zh-CN"/>
        </w:rPr>
        <w:t>（三）</w:t>
      </w:r>
      <w:r>
        <w:rPr>
          <w:rFonts w:hint="eastAsia" w:ascii="仿宋_GB2312" w:hAnsi="仿宋_GB2312" w:eastAsia="仿宋_GB2312" w:cs="仿宋_GB2312"/>
          <w:sz w:val="32"/>
          <w:szCs w:val="32"/>
          <w:highlight w:val="none"/>
          <w:lang w:eastAsia="zh-CN"/>
        </w:rPr>
        <w:t>采购文件每套售价0元（电子采购文件）。</w:t>
      </w:r>
    </w:p>
    <w:p w14:paraId="717CF050">
      <w:pPr>
        <w:keepNext w:val="0"/>
        <w:keepLines w:val="0"/>
        <w:pageBreakBefore w:val="0"/>
        <w:widowControl/>
        <w:shd w:val="clear" w:color="auto" w:fill="auto"/>
        <w:kinsoku/>
        <w:wordWrap/>
        <w:overflowPunct/>
        <w:topLinePunct w:val="0"/>
        <w:autoSpaceDE/>
        <w:autoSpaceDN/>
        <w:bidi w:val="0"/>
        <w:adjustRightInd/>
        <w:snapToGrid w:val="0"/>
        <w:spacing w:line="560" w:lineRule="exact"/>
        <w:ind w:firstLine="560"/>
        <w:jc w:val="left"/>
        <w:textAlignment w:val="auto"/>
        <w:rPr>
          <w:rFonts w:hint="eastAsia" w:ascii="黑体" w:hAnsi="黑体" w:eastAsia="黑体"/>
          <w:sz w:val="32"/>
          <w:szCs w:val="32"/>
          <w:highlight w:val="none"/>
          <w:lang w:val="en-US" w:eastAsia="zh-CN"/>
        </w:rPr>
      </w:pPr>
      <w:r>
        <w:rPr>
          <w:rFonts w:hint="eastAsia" w:ascii="黑体" w:hAnsi="黑体" w:eastAsia="黑体"/>
          <w:sz w:val="32"/>
          <w:szCs w:val="32"/>
          <w:highlight w:val="none"/>
          <w:lang w:val="en-US" w:eastAsia="zh-CN"/>
        </w:rPr>
        <w:t>七、提交响应文件时间及地点</w:t>
      </w:r>
    </w:p>
    <w:p w14:paraId="3FD3A177">
      <w:pPr>
        <w:keepNext w:val="0"/>
        <w:keepLines w:val="0"/>
        <w:pageBreakBefore w:val="0"/>
        <w:shd w:val="clear" w:color="auto" w:fill="auto"/>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（一）提交响应文件截止时间： 2026年10月14日</w:t>
      </w:r>
      <w:r>
        <w:rPr>
          <w:rFonts w:hint="eastAsia" w:ascii="仿宋_GB2312" w:hAnsi="仿宋_GB2312" w:eastAsia="仿宋_GB2312" w:cs="仿宋_GB2312"/>
          <w:sz w:val="32"/>
          <w:szCs w:val="32"/>
          <w:highlight w:val="none"/>
          <w:lang w:eastAsia="zh-CN"/>
        </w:rPr>
        <w:t>上午</w:t>
      </w:r>
      <w:r>
        <w:rPr>
          <w:rFonts w:hint="eastAsia" w:ascii="仿宋_GB2312" w:hAnsi="仿宋_GB2312" w:eastAsia="仿宋_GB2312" w:cs="仿宋_GB2312"/>
          <w:sz w:val="32"/>
          <w:szCs w:val="32"/>
          <w:highlight w:val="none"/>
          <w:lang w:val="en-US" w:eastAsia="zh-CN"/>
        </w:rPr>
        <w:t>12:00前。</w:t>
      </w:r>
    </w:p>
    <w:p w14:paraId="43799FCD">
      <w:pPr>
        <w:keepNext w:val="0"/>
        <w:keepLines w:val="0"/>
        <w:pageBreakBefore w:val="0"/>
        <w:shd w:val="clear" w:color="auto" w:fill="auto"/>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（二）提交响应文件地点：深圳市龙岗区龙城街道龙翔大道8028-4号深圳书城龙岗城南区负一楼物业管理部。</w:t>
      </w:r>
    </w:p>
    <w:p w14:paraId="5D566590">
      <w:pPr>
        <w:keepNext w:val="0"/>
        <w:keepLines w:val="0"/>
        <w:pageBreakBefore w:val="0"/>
        <w:shd w:val="clear" w:color="auto" w:fill="auto"/>
        <w:kinsoku/>
        <w:wordWrap/>
        <w:overflowPunct/>
        <w:topLinePunct w:val="0"/>
        <w:autoSpaceDE/>
        <w:autoSpaceDN/>
        <w:bidi w:val="0"/>
        <w:adjustRightInd/>
        <w:spacing w:line="560" w:lineRule="exact"/>
        <w:ind w:firstLine="640" w:firstLineChars="200"/>
        <w:textAlignment w:val="auto"/>
        <w:rPr>
          <w:rFonts w:hint="default"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（三）采购过程中所发生的一切费用均由各供应商自理。</w:t>
      </w:r>
    </w:p>
    <w:p w14:paraId="49BEAAC1">
      <w:pPr>
        <w:keepNext w:val="0"/>
        <w:keepLines w:val="0"/>
        <w:pageBreakBefore w:val="0"/>
        <w:widowControl/>
        <w:shd w:val="clear" w:color="auto" w:fill="auto"/>
        <w:kinsoku/>
        <w:wordWrap/>
        <w:overflowPunct/>
        <w:topLinePunct w:val="0"/>
        <w:autoSpaceDE/>
        <w:autoSpaceDN/>
        <w:bidi w:val="0"/>
        <w:adjustRightInd/>
        <w:snapToGrid w:val="0"/>
        <w:spacing w:line="560" w:lineRule="exact"/>
        <w:ind w:firstLine="560"/>
        <w:jc w:val="left"/>
        <w:textAlignment w:val="auto"/>
        <w:rPr>
          <w:rFonts w:hint="eastAsia" w:ascii="黑体" w:hAnsi="黑体" w:eastAsia="黑体"/>
          <w:sz w:val="32"/>
          <w:szCs w:val="32"/>
          <w:highlight w:val="none"/>
          <w:lang w:val="en-US" w:eastAsia="zh-CN"/>
        </w:rPr>
      </w:pPr>
      <w:r>
        <w:rPr>
          <w:rFonts w:hint="eastAsia" w:ascii="黑体" w:hAnsi="黑体" w:eastAsia="黑体"/>
          <w:sz w:val="32"/>
          <w:szCs w:val="32"/>
          <w:highlight w:val="none"/>
          <w:lang w:val="en-US" w:eastAsia="zh-CN"/>
        </w:rPr>
        <w:t>八、联系方式</w:t>
      </w:r>
    </w:p>
    <w:p w14:paraId="23CC7C92">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联系人：</w:t>
      </w:r>
      <w:r>
        <w:rPr>
          <w:rFonts w:hint="eastAsia" w:ascii="仿宋_GB2312" w:hAnsi="仿宋_GB2312" w:eastAsia="仿宋_GB2312" w:cs="仿宋_GB2312"/>
          <w:sz w:val="32"/>
          <w:szCs w:val="32"/>
          <w:highlight w:val="none"/>
          <w:lang w:val="en-US" w:eastAsia="zh-CN"/>
        </w:rPr>
        <w:t>张小姐</w:t>
      </w:r>
    </w:p>
    <w:p w14:paraId="39DFC1A0">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电话：</w:t>
      </w:r>
      <w:r>
        <w:rPr>
          <w:rFonts w:hint="eastAsia" w:ascii="仿宋_GB2312" w:hAnsi="仿宋_GB2312" w:eastAsia="仿宋_GB2312" w:cs="仿宋_GB2312"/>
          <w:sz w:val="32"/>
          <w:szCs w:val="32"/>
          <w:highlight w:val="none"/>
          <w:lang w:val="en-US" w:eastAsia="zh-CN"/>
        </w:rPr>
        <w:t>13480928147、</w:t>
      </w:r>
      <w:r>
        <w:rPr>
          <w:rFonts w:hint="eastAsia" w:ascii="仿宋_GB2312" w:hAnsi="仿宋_GB2312" w:eastAsia="仿宋_GB2312" w:cs="仿宋_GB2312"/>
          <w:sz w:val="32"/>
          <w:szCs w:val="32"/>
          <w:highlight w:val="none"/>
          <w:lang w:eastAsia="zh-CN"/>
        </w:rPr>
        <w:t>0755-28280771</w:t>
      </w:r>
    </w:p>
    <w:p w14:paraId="0DE996E7">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电子邮箱： </w:t>
      </w:r>
      <w:r>
        <w:rPr>
          <w:rFonts w:hint="eastAsia" w:ascii="仿宋_GB2312" w:hAnsi="仿宋_GB2312" w:eastAsia="仿宋_GB2312" w:cs="仿宋_GB2312"/>
          <w:sz w:val="32"/>
          <w:szCs w:val="32"/>
          <w:highlight w:val="none"/>
          <w:lang w:eastAsia="zh-CN"/>
        </w:rPr>
        <w:fldChar w:fldCharType="begin"/>
      </w:r>
      <w:r>
        <w:rPr>
          <w:rFonts w:hint="eastAsia" w:ascii="仿宋_GB2312" w:hAnsi="仿宋_GB2312" w:eastAsia="仿宋_GB2312" w:cs="仿宋_GB2312"/>
          <w:sz w:val="32"/>
          <w:szCs w:val="32"/>
          <w:highlight w:val="none"/>
          <w:lang w:eastAsia="zh-CN"/>
        </w:rPr>
        <w:instrText xml:space="preserve"> HYPERLINK "mailto:915936828@qq.com" </w:instrText>
      </w:r>
      <w:r>
        <w:rPr>
          <w:rFonts w:hint="eastAsia" w:ascii="仿宋_GB2312" w:hAnsi="仿宋_GB2312" w:eastAsia="仿宋_GB2312" w:cs="仿宋_GB2312"/>
          <w:sz w:val="32"/>
          <w:szCs w:val="32"/>
          <w:highlight w:val="none"/>
          <w:lang w:eastAsia="zh-CN"/>
        </w:rPr>
        <w:fldChar w:fldCharType="separate"/>
      </w:r>
      <w:r>
        <w:rPr>
          <w:rFonts w:hint="eastAsia" w:ascii="仿宋_GB2312" w:hAnsi="仿宋_GB2312" w:eastAsia="仿宋_GB2312" w:cs="仿宋_GB2312"/>
          <w:sz w:val="32"/>
          <w:szCs w:val="32"/>
          <w:highlight w:val="none"/>
          <w:lang w:val="en-US" w:eastAsia="zh-CN"/>
        </w:rPr>
        <w:t>809113167</w:t>
      </w:r>
      <w:r>
        <w:rPr>
          <w:rFonts w:hint="eastAsia" w:ascii="仿宋_GB2312" w:hAnsi="仿宋_GB2312" w:eastAsia="仿宋_GB2312" w:cs="仿宋_GB2312"/>
          <w:sz w:val="32"/>
          <w:szCs w:val="32"/>
          <w:highlight w:val="none"/>
          <w:lang w:eastAsia="zh-CN"/>
        </w:rPr>
        <w:t>@qq.com</w:t>
      </w:r>
      <w:r>
        <w:rPr>
          <w:rFonts w:hint="eastAsia" w:ascii="仿宋_GB2312" w:hAnsi="仿宋_GB2312" w:eastAsia="仿宋_GB2312" w:cs="仿宋_GB2312"/>
          <w:sz w:val="32"/>
          <w:szCs w:val="32"/>
          <w:highlight w:val="none"/>
          <w:lang w:eastAsia="zh-CN"/>
        </w:rPr>
        <w:fldChar w:fldCharType="end"/>
      </w:r>
    </w:p>
    <w:p w14:paraId="3B8298A5">
      <w:pPr>
        <w:keepNext w:val="0"/>
        <w:keepLines w:val="0"/>
        <w:pageBreakBefore w:val="0"/>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邮寄地址：广东省深圳市龙岗区龙城街道龙翔大道8028-4号深圳书城龙岗城南区负一楼物业管理部</w:t>
      </w:r>
    </w:p>
    <w:p w14:paraId="1A1EFC75">
      <w:pPr>
        <w:keepNext w:val="0"/>
        <w:keepLines w:val="0"/>
        <w:pageBreakBefore w:val="0"/>
        <w:widowControl/>
        <w:shd w:val="clear" w:color="auto" w:fill="auto"/>
        <w:kinsoku/>
        <w:wordWrap/>
        <w:overflowPunct/>
        <w:topLinePunct w:val="0"/>
        <w:autoSpaceDE/>
        <w:autoSpaceDN/>
        <w:bidi w:val="0"/>
        <w:adjustRightInd/>
        <w:snapToGrid w:val="0"/>
        <w:spacing w:line="560" w:lineRule="exact"/>
        <w:ind w:firstLine="560"/>
        <w:jc w:val="left"/>
        <w:textAlignment w:val="auto"/>
        <w:rPr>
          <w:rFonts w:hint="eastAsia" w:ascii="黑体" w:hAnsi="黑体" w:eastAsia="黑体" w:cs="Times New Roman"/>
          <w:sz w:val="32"/>
          <w:szCs w:val="32"/>
          <w:highlight w:val="none"/>
          <w:lang w:val="en-US" w:eastAsia="zh-CN"/>
        </w:rPr>
      </w:pPr>
      <w:r>
        <w:rPr>
          <w:rFonts w:hint="eastAsia" w:ascii="黑体" w:hAnsi="黑体" w:eastAsia="黑体" w:cs="Times New Roman"/>
          <w:sz w:val="32"/>
          <w:szCs w:val="32"/>
          <w:highlight w:val="none"/>
          <w:lang w:val="en-US" w:eastAsia="zh-CN"/>
        </w:rPr>
        <w:t>九、公告平台与公告期限</w:t>
      </w:r>
    </w:p>
    <w:p w14:paraId="6CD9FE22">
      <w:pPr>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kern w:val="2"/>
          <w:sz w:val="32"/>
          <w:szCs w:val="32"/>
          <w:highlight w:val="none"/>
          <w:lang w:val="en-US" w:eastAsia="zh-CN" w:bidi="ar-SA"/>
        </w:rPr>
        <w:t>（</w:t>
      </w:r>
      <w:r>
        <w:rPr>
          <w:rFonts w:hint="eastAsia" w:ascii="仿宋_GB2312" w:hAnsi="仿宋_GB2312" w:eastAsia="仿宋_GB2312" w:cs="仿宋_GB2312"/>
          <w:sz w:val="32"/>
          <w:szCs w:val="32"/>
          <w:highlight w:val="none"/>
          <w:lang w:val="en-US" w:eastAsia="zh-CN"/>
        </w:rPr>
        <w:t>一）公告平台：市属国企阳光采购服务平台和深圳出版集团官网发布采购公告。</w:t>
      </w:r>
    </w:p>
    <w:p w14:paraId="36F33766">
      <w:pPr>
        <w:pStyle w:val="390"/>
        <w:keepNext w:val="0"/>
        <w:keepLines w:val="0"/>
        <w:pageBreakBefore w:val="0"/>
        <w:kinsoku/>
        <w:wordWrap/>
        <w:overflowPunct/>
        <w:topLinePunct w:val="0"/>
        <w:autoSpaceDE/>
        <w:autoSpaceDN/>
        <w:bidi w:val="0"/>
        <w:adjustRightInd/>
        <w:spacing w:line="560" w:lineRule="exact"/>
        <w:ind w:left="0" w:leftChars="0" w:firstLine="640" w:firstLineChars="200"/>
        <w:textAlignment w:val="auto"/>
        <w:rPr>
          <w:rFonts w:hint="default"/>
          <w:highlight w:val="none"/>
          <w:lang w:val="en-US" w:eastAsia="zh-CN"/>
        </w:rPr>
      </w:pPr>
      <w:r>
        <w:rPr>
          <w:rFonts w:hint="eastAsia" w:hAnsi="仿宋_GB2312" w:cs="仿宋_GB2312"/>
          <w:sz w:val="32"/>
          <w:szCs w:val="32"/>
          <w:highlight w:val="none"/>
          <w:lang w:val="en-US" w:eastAsia="zh-CN"/>
        </w:rPr>
        <w:t>（二）</w:t>
      </w:r>
      <w:r>
        <w:rPr>
          <w:rFonts w:hint="eastAsia" w:ascii="仿宋_GB2312" w:hAnsi="仿宋_GB2312" w:eastAsia="仿宋_GB2312" w:cs="仿宋_GB2312"/>
          <w:sz w:val="32"/>
          <w:szCs w:val="32"/>
          <w:highlight w:val="none"/>
          <w:lang w:val="en-US" w:eastAsia="zh-CN"/>
        </w:rPr>
        <w:t>公告</w:t>
      </w:r>
      <w:r>
        <w:rPr>
          <w:rFonts w:hint="eastAsia" w:hAnsi="仿宋_GB2312" w:cs="仿宋_GB2312"/>
          <w:sz w:val="32"/>
          <w:szCs w:val="32"/>
          <w:highlight w:val="none"/>
          <w:lang w:val="en-US" w:eastAsia="zh-CN"/>
        </w:rPr>
        <w:t>期限：2026年9月29日至10月14日。</w:t>
      </w:r>
    </w:p>
    <w:p w14:paraId="1AD9F109">
      <w:pPr>
        <w:widowControl w:val="0"/>
        <w:numPr>
          <w:ilvl w:val="0"/>
          <w:numId w:val="0"/>
        </w:numPr>
        <w:tabs>
          <w:tab w:val="left" w:pos="709"/>
          <w:tab w:val="left" w:pos="993"/>
        </w:tabs>
        <w:wordWrap w:val="0"/>
        <w:autoSpaceDE w:val="0"/>
        <w:autoSpaceDN w:val="0"/>
        <w:adjustRightInd w:val="0"/>
        <w:snapToGrid w:val="0"/>
        <w:ind w:leftChars="0"/>
        <w:jc w:val="center"/>
        <w:outlineLvl w:val="0"/>
        <w:rPr>
          <w:rFonts w:ascii="宋体" w:hAnsi="宋体"/>
          <w:snapToGrid w:val="0"/>
          <w:kern w:val="0"/>
          <w:sz w:val="52"/>
          <w:szCs w:val="52"/>
          <w:highlight w:val="none"/>
        </w:rPr>
      </w:pPr>
      <w:r>
        <w:rPr>
          <w:rFonts w:ascii="宋体" w:hAnsi="宋体"/>
          <w:snapToGrid w:val="0"/>
          <w:kern w:val="0"/>
          <w:szCs w:val="21"/>
          <w:highlight w:val="none"/>
        </w:rPr>
        <w:br w:type="page"/>
      </w:r>
      <w:bookmarkStart w:id="8" w:name="_Toc152042287"/>
      <w:bookmarkStart w:id="9" w:name="_Toc144974479"/>
      <w:bookmarkStart w:id="10" w:name="_Toc152045511"/>
      <w:bookmarkStart w:id="11" w:name="_Toc49247153"/>
      <w:bookmarkStart w:id="12" w:name="_Toc14082"/>
      <w:bookmarkStart w:id="13" w:name="_Toc7530"/>
      <w:bookmarkStart w:id="14" w:name="_Toc21692"/>
      <w:bookmarkStart w:id="15" w:name="_Toc20097"/>
      <w:r>
        <w:rPr>
          <w:rFonts w:hint="eastAsia" w:ascii="宋体" w:hAnsi="宋体"/>
          <w:b/>
          <w:bCs/>
          <w:sz w:val="44"/>
          <w:szCs w:val="44"/>
          <w:highlight w:val="none"/>
        </w:rPr>
        <w:t>第一章</w:t>
      </w:r>
      <w:bookmarkEnd w:id="8"/>
      <w:bookmarkEnd w:id="9"/>
      <w:bookmarkEnd w:id="10"/>
      <w:r>
        <w:rPr>
          <w:rFonts w:hint="eastAsia" w:ascii="宋体" w:hAnsi="宋体"/>
          <w:b/>
          <w:bCs/>
          <w:sz w:val="44"/>
          <w:szCs w:val="44"/>
          <w:highlight w:val="none"/>
        </w:rPr>
        <w:t xml:space="preserve"> </w:t>
      </w:r>
      <w:r>
        <w:rPr>
          <w:rFonts w:hint="eastAsia" w:ascii="宋体" w:hAnsi="宋体"/>
          <w:b/>
          <w:bCs/>
          <w:sz w:val="44"/>
          <w:szCs w:val="44"/>
          <w:highlight w:val="none"/>
          <w:lang w:val="en-US" w:eastAsia="zh-CN"/>
        </w:rPr>
        <w:t>报价</w:t>
      </w:r>
      <w:r>
        <w:rPr>
          <w:rFonts w:hint="eastAsia" w:ascii="宋体" w:hAnsi="宋体"/>
          <w:b/>
          <w:bCs/>
          <w:sz w:val="44"/>
          <w:szCs w:val="44"/>
          <w:highlight w:val="none"/>
        </w:rPr>
        <w:t>人须知</w:t>
      </w:r>
      <w:bookmarkEnd w:id="11"/>
      <w:bookmarkEnd w:id="12"/>
      <w:bookmarkEnd w:id="13"/>
      <w:bookmarkEnd w:id="14"/>
      <w:bookmarkEnd w:id="15"/>
    </w:p>
    <w:p w14:paraId="78D9350A">
      <w:pPr>
        <w:rPr>
          <w:rFonts w:hint="eastAsia" w:ascii="黑体" w:hAnsi="黑体" w:eastAsia="黑体" w:cs="黑体"/>
          <w:sz w:val="32"/>
          <w:szCs w:val="32"/>
          <w:highlight w:val="none"/>
        </w:rPr>
      </w:pPr>
      <w:bookmarkStart w:id="16" w:name="_Toc144974565"/>
      <w:bookmarkStart w:id="17" w:name="_Toc152045598"/>
      <w:bookmarkStart w:id="18" w:name="_Toc152042375"/>
      <w:bookmarkStart w:id="19" w:name="_Hlk532142035"/>
      <w:r>
        <w:rPr>
          <w:rFonts w:hint="eastAsia" w:ascii="黑体" w:hAnsi="黑体" w:eastAsia="黑体" w:cs="黑体"/>
          <w:sz w:val="32"/>
          <w:szCs w:val="32"/>
          <w:highlight w:val="none"/>
          <w:lang w:val="en-US" w:eastAsia="zh-CN"/>
        </w:rPr>
        <w:t>一、报价人</w:t>
      </w:r>
      <w:r>
        <w:rPr>
          <w:rFonts w:hint="eastAsia" w:ascii="黑体" w:hAnsi="黑体" w:eastAsia="黑体" w:cs="黑体"/>
          <w:sz w:val="32"/>
          <w:szCs w:val="32"/>
          <w:highlight w:val="none"/>
        </w:rPr>
        <w:t>须知前附表</w:t>
      </w:r>
    </w:p>
    <w:tbl>
      <w:tblPr>
        <w:tblStyle w:val="50"/>
        <w:tblW w:w="92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2125"/>
        <w:gridCol w:w="6183"/>
      </w:tblGrid>
      <w:tr w14:paraId="1A5A2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jc w:val="center"/>
        </w:trPr>
        <w:tc>
          <w:tcPr>
            <w:tcW w:w="971" w:type="dxa"/>
            <w:noWrap w:val="0"/>
            <w:vAlign w:val="center"/>
          </w:tcPr>
          <w:p w14:paraId="4059776C">
            <w:pPr>
              <w:tabs>
                <w:tab w:val="left" w:pos="840"/>
              </w:tabs>
              <w:ind w:left="0" w:leftChars="0" w:right="176" w:rightChars="84" w:firstLine="0" w:firstLineChars="0"/>
              <w:jc w:val="center"/>
              <w:rPr>
                <w:rFonts w:ascii="Calibri" w:hAnsi="Calibri"/>
                <w:b/>
                <w:bCs/>
                <w:highlight w:val="none"/>
              </w:rPr>
            </w:pPr>
            <w:r>
              <w:rPr>
                <w:rFonts w:hint="eastAsia" w:ascii="Calibri" w:hAnsi="Calibri"/>
                <w:b/>
                <w:bCs/>
                <w:highlight w:val="none"/>
              </w:rPr>
              <w:t>序号</w:t>
            </w:r>
          </w:p>
        </w:tc>
        <w:tc>
          <w:tcPr>
            <w:tcW w:w="2125" w:type="dxa"/>
            <w:noWrap w:val="0"/>
            <w:vAlign w:val="center"/>
          </w:tcPr>
          <w:p w14:paraId="3E48B850">
            <w:pPr>
              <w:spacing w:line="240" w:lineRule="auto"/>
              <w:ind w:left="0" w:leftChars="0" w:firstLine="0" w:firstLineChars="0"/>
              <w:jc w:val="center"/>
              <w:rPr>
                <w:rFonts w:ascii="Calibri" w:hAnsi="Calibri"/>
                <w:b/>
                <w:bCs/>
                <w:highlight w:val="none"/>
              </w:rPr>
            </w:pPr>
            <w:r>
              <w:rPr>
                <w:rFonts w:hint="eastAsia" w:ascii="Calibri" w:hAnsi="Calibri"/>
                <w:b/>
                <w:bCs/>
                <w:highlight w:val="none"/>
              </w:rPr>
              <w:t>条款内容</w:t>
            </w:r>
          </w:p>
        </w:tc>
        <w:tc>
          <w:tcPr>
            <w:tcW w:w="6183" w:type="dxa"/>
            <w:noWrap w:val="0"/>
            <w:vAlign w:val="center"/>
          </w:tcPr>
          <w:p w14:paraId="24F6D2B8">
            <w:pPr>
              <w:spacing w:line="240" w:lineRule="auto"/>
              <w:ind w:left="0" w:leftChars="0" w:firstLine="0" w:firstLineChars="0"/>
              <w:jc w:val="center"/>
              <w:rPr>
                <w:rFonts w:ascii="Calibri" w:hAnsi="Calibri"/>
                <w:b/>
                <w:bCs/>
                <w:highlight w:val="none"/>
              </w:rPr>
            </w:pPr>
            <w:r>
              <w:rPr>
                <w:rFonts w:hint="eastAsia" w:ascii="Calibri" w:hAnsi="Calibri"/>
                <w:b/>
                <w:bCs/>
                <w:highlight w:val="none"/>
              </w:rPr>
              <w:t>编列内容</w:t>
            </w:r>
          </w:p>
        </w:tc>
      </w:tr>
      <w:tr w14:paraId="6C3A7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971" w:type="dxa"/>
            <w:noWrap w:val="0"/>
            <w:vAlign w:val="center"/>
          </w:tcPr>
          <w:p w14:paraId="71818AF5">
            <w:pPr>
              <w:numPr>
                <w:ilvl w:val="0"/>
                <w:numId w:val="0"/>
              </w:numPr>
              <w:spacing w:line="240" w:lineRule="auto"/>
              <w:ind w:left="0" w:leftChars="0" w:right="0" w:rightChars="0" w:firstLine="0" w:firstLineChars="0"/>
              <w:jc w:val="center"/>
              <w:rPr>
                <w:rFonts w:ascii="Calibri" w:hAnsi="Calibri"/>
                <w:highlight w:val="none"/>
              </w:rPr>
            </w:pPr>
            <w:r>
              <w:rPr>
                <w:rFonts w:hint="eastAsia" w:ascii="Calibri" w:hAnsi="Calibri"/>
                <w:highlight w:val="none"/>
              </w:rPr>
              <w:t>1</w:t>
            </w:r>
          </w:p>
        </w:tc>
        <w:tc>
          <w:tcPr>
            <w:tcW w:w="2125" w:type="dxa"/>
            <w:noWrap w:val="0"/>
            <w:vAlign w:val="center"/>
          </w:tcPr>
          <w:p w14:paraId="42133B5E">
            <w:pPr>
              <w:spacing w:line="240" w:lineRule="auto"/>
              <w:ind w:left="0" w:leftChars="0" w:firstLine="0" w:firstLineChars="0"/>
              <w:jc w:val="center"/>
              <w:rPr>
                <w:rFonts w:ascii="Calibri" w:hAnsi="Calibri"/>
                <w:highlight w:val="none"/>
              </w:rPr>
            </w:pPr>
            <w:r>
              <w:rPr>
                <w:rFonts w:hint="eastAsia" w:ascii="Calibri" w:hAnsi="Calibri"/>
                <w:highlight w:val="none"/>
              </w:rPr>
              <w:t>采购人</w:t>
            </w:r>
          </w:p>
        </w:tc>
        <w:tc>
          <w:tcPr>
            <w:tcW w:w="6183" w:type="dxa"/>
            <w:noWrap w:val="0"/>
            <w:vAlign w:val="center"/>
          </w:tcPr>
          <w:p w14:paraId="5FF3129F">
            <w:pPr>
              <w:spacing w:line="240" w:lineRule="auto"/>
              <w:ind w:left="0" w:leftChars="0" w:firstLine="0" w:firstLineChars="0"/>
              <w:jc w:val="left"/>
              <w:rPr>
                <w:rFonts w:ascii="Calibri" w:hAnsi="Calibri"/>
                <w:highlight w:val="none"/>
              </w:rPr>
            </w:pPr>
            <w:r>
              <w:rPr>
                <w:rFonts w:hint="eastAsia" w:ascii="Calibri" w:hAnsi="Calibri"/>
                <w:highlight w:val="none"/>
              </w:rPr>
              <w:t>深圳书城龙岗城实业有限公司</w:t>
            </w:r>
          </w:p>
        </w:tc>
      </w:tr>
      <w:tr w14:paraId="4F52B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971" w:type="dxa"/>
            <w:noWrap w:val="0"/>
            <w:vAlign w:val="center"/>
          </w:tcPr>
          <w:p w14:paraId="6881098F">
            <w:pPr>
              <w:numPr>
                <w:ilvl w:val="0"/>
                <w:numId w:val="0"/>
              </w:numPr>
              <w:spacing w:line="240" w:lineRule="auto"/>
              <w:ind w:left="0" w:leftChars="0" w:right="0" w:rightChars="0" w:firstLine="0" w:firstLineChars="0"/>
              <w:jc w:val="center"/>
              <w:rPr>
                <w:rFonts w:ascii="Calibri" w:hAnsi="Calibri"/>
                <w:highlight w:val="none"/>
              </w:rPr>
            </w:pPr>
            <w:r>
              <w:rPr>
                <w:rFonts w:hint="eastAsia" w:ascii="Calibri" w:hAnsi="Calibri"/>
                <w:highlight w:val="none"/>
              </w:rPr>
              <w:t>2</w:t>
            </w:r>
          </w:p>
        </w:tc>
        <w:tc>
          <w:tcPr>
            <w:tcW w:w="2125" w:type="dxa"/>
            <w:noWrap w:val="0"/>
            <w:vAlign w:val="center"/>
          </w:tcPr>
          <w:p w14:paraId="4FF6537F">
            <w:pPr>
              <w:spacing w:line="240" w:lineRule="auto"/>
              <w:ind w:left="0" w:leftChars="0" w:firstLine="0" w:firstLineChars="0"/>
              <w:jc w:val="center"/>
              <w:rPr>
                <w:rFonts w:ascii="Calibri" w:hAnsi="Calibri"/>
                <w:highlight w:val="none"/>
              </w:rPr>
            </w:pPr>
            <w:r>
              <w:rPr>
                <w:rFonts w:hint="eastAsia" w:ascii="Calibri" w:hAnsi="Calibri"/>
                <w:highlight w:val="none"/>
              </w:rPr>
              <w:t>项目名称</w:t>
            </w:r>
          </w:p>
        </w:tc>
        <w:tc>
          <w:tcPr>
            <w:tcW w:w="6183" w:type="dxa"/>
            <w:noWrap w:val="0"/>
            <w:vAlign w:val="center"/>
          </w:tcPr>
          <w:p w14:paraId="4F92DA9D">
            <w:pPr>
              <w:spacing w:line="240" w:lineRule="auto"/>
              <w:ind w:left="0" w:leftChars="0" w:firstLine="0" w:firstLineChars="0"/>
              <w:jc w:val="left"/>
              <w:rPr>
                <w:rFonts w:hint="eastAsia" w:ascii="Calibri" w:hAnsi="Calibri" w:eastAsia="宋体"/>
                <w:highlight w:val="none"/>
                <w:lang w:eastAsia="zh-CN"/>
              </w:rPr>
            </w:pPr>
            <w:r>
              <w:rPr>
                <w:rFonts w:hint="eastAsia" w:ascii="Calibri" w:hAnsi="Calibri"/>
                <w:highlight w:val="none"/>
                <w:lang w:eastAsia="zh-CN"/>
              </w:rPr>
              <w:t>深圳书城龙岗城（金旭大楼）2026-2028年度LED显示屏维保服务（二次）</w:t>
            </w:r>
          </w:p>
        </w:tc>
      </w:tr>
      <w:tr w14:paraId="5A5BF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971" w:type="dxa"/>
            <w:noWrap w:val="0"/>
            <w:vAlign w:val="center"/>
          </w:tcPr>
          <w:p w14:paraId="6885A80C">
            <w:pPr>
              <w:numPr>
                <w:ilvl w:val="0"/>
                <w:numId w:val="0"/>
              </w:numPr>
              <w:spacing w:line="240" w:lineRule="auto"/>
              <w:ind w:left="0" w:leftChars="0" w:right="0" w:rightChars="0" w:firstLine="0" w:firstLineChars="0"/>
              <w:jc w:val="center"/>
              <w:rPr>
                <w:rFonts w:ascii="Calibri" w:hAnsi="Calibri"/>
                <w:highlight w:val="none"/>
              </w:rPr>
            </w:pPr>
            <w:r>
              <w:rPr>
                <w:rFonts w:hint="eastAsia" w:ascii="Calibri" w:hAnsi="Calibri"/>
                <w:highlight w:val="none"/>
              </w:rPr>
              <w:t>3</w:t>
            </w:r>
          </w:p>
        </w:tc>
        <w:tc>
          <w:tcPr>
            <w:tcW w:w="2125" w:type="dxa"/>
            <w:noWrap w:val="0"/>
            <w:vAlign w:val="center"/>
          </w:tcPr>
          <w:p w14:paraId="6A391275">
            <w:pPr>
              <w:spacing w:line="240" w:lineRule="auto"/>
              <w:ind w:left="0" w:leftChars="0" w:firstLine="0" w:firstLineChars="0"/>
              <w:jc w:val="center"/>
              <w:rPr>
                <w:rFonts w:ascii="Calibri" w:hAnsi="Calibri"/>
                <w:highlight w:val="none"/>
              </w:rPr>
            </w:pPr>
            <w:r>
              <w:rPr>
                <w:rFonts w:hint="eastAsia" w:ascii="Calibri" w:hAnsi="Calibri"/>
                <w:highlight w:val="none"/>
              </w:rPr>
              <w:t>项目地点</w:t>
            </w:r>
          </w:p>
        </w:tc>
        <w:tc>
          <w:tcPr>
            <w:tcW w:w="6183" w:type="dxa"/>
            <w:noWrap w:val="0"/>
            <w:vAlign w:val="center"/>
          </w:tcPr>
          <w:p w14:paraId="3800480C">
            <w:pPr>
              <w:spacing w:line="240" w:lineRule="auto"/>
              <w:ind w:left="0" w:leftChars="0" w:firstLine="0" w:firstLineChars="0"/>
              <w:jc w:val="left"/>
              <w:rPr>
                <w:rFonts w:ascii="Calibri" w:hAnsi="Calibri"/>
                <w:highlight w:val="none"/>
              </w:rPr>
            </w:pPr>
            <w:r>
              <w:rPr>
                <w:rFonts w:hint="eastAsia" w:ascii="Calibri" w:hAnsi="Calibri"/>
                <w:highlight w:val="none"/>
              </w:rPr>
              <w:t>深圳市龙岗区龙城街道龙翔大道8028-4号</w:t>
            </w:r>
          </w:p>
        </w:tc>
      </w:tr>
      <w:tr w14:paraId="5BCB8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971" w:type="dxa"/>
            <w:noWrap w:val="0"/>
            <w:vAlign w:val="center"/>
          </w:tcPr>
          <w:p w14:paraId="4686AA40">
            <w:pPr>
              <w:numPr>
                <w:ilvl w:val="0"/>
                <w:numId w:val="0"/>
              </w:numPr>
              <w:spacing w:line="240" w:lineRule="auto"/>
              <w:ind w:left="0" w:leftChars="0" w:right="0" w:rightChars="0" w:firstLine="0" w:firstLineChars="0"/>
              <w:jc w:val="center"/>
              <w:rPr>
                <w:rFonts w:ascii="Calibri" w:hAnsi="Calibri"/>
                <w:highlight w:val="none"/>
              </w:rPr>
            </w:pPr>
            <w:r>
              <w:rPr>
                <w:rFonts w:hint="eastAsia" w:ascii="Calibri" w:hAnsi="Calibri"/>
                <w:highlight w:val="none"/>
              </w:rPr>
              <w:t>4</w:t>
            </w:r>
          </w:p>
        </w:tc>
        <w:tc>
          <w:tcPr>
            <w:tcW w:w="2125" w:type="dxa"/>
            <w:noWrap w:val="0"/>
            <w:vAlign w:val="center"/>
          </w:tcPr>
          <w:p w14:paraId="2B456778">
            <w:pPr>
              <w:spacing w:line="240" w:lineRule="auto"/>
              <w:ind w:left="0" w:leftChars="0" w:firstLine="0" w:firstLineChars="0"/>
              <w:jc w:val="center"/>
              <w:rPr>
                <w:rFonts w:hint="default" w:ascii="Calibri" w:hAnsi="Calibri" w:eastAsia="宋体"/>
                <w:highlight w:val="none"/>
                <w:lang w:val="en-US" w:eastAsia="zh-CN"/>
              </w:rPr>
            </w:pPr>
            <w:r>
              <w:rPr>
                <w:rFonts w:hint="eastAsia" w:ascii="Calibri" w:hAnsi="Calibri"/>
                <w:highlight w:val="none"/>
                <w:lang w:val="en-US" w:eastAsia="zh-CN"/>
              </w:rPr>
              <w:t>项目规模</w:t>
            </w:r>
          </w:p>
        </w:tc>
        <w:tc>
          <w:tcPr>
            <w:tcW w:w="6183" w:type="dxa"/>
            <w:noWrap w:val="0"/>
            <w:vAlign w:val="center"/>
          </w:tcPr>
          <w:p w14:paraId="1C55E538">
            <w:pPr>
              <w:spacing w:line="240" w:lineRule="auto"/>
              <w:ind w:left="0" w:leftChars="0" w:firstLine="0" w:firstLineChars="0"/>
              <w:jc w:val="left"/>
              <w:rPr>
                <w:rFonts w:hint="default" w:ascii="Calibri" w:hAnsi="Calibri" w:eastAsia="宋体"/>
                <w:highlight w:val="none"/>
                <w:lang w:val="en-US" w:eastAsia="zh-CN"/>
              </w:rPr>
            </w:pPr>
            <w:r>
              <w:rPr>
                <w:rFonts w:hint="eastAsia" w:ascii="Calibri" w:hAnsi="Calibri"/>
                <w:highlight w:val="none"/>
                <w:lang w:val="en-US" w:eastAsia="zh-CN"/>
              </w:rPr>
              <w:t>详见采购公告中的LED 显示屏设备清单</w:t>
            </w:r>
          </w:p>
        </w:tc>
      </w:tr>
      <w:tr w14:paraId="55757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971" w:type="dxa"/>
            <w:noWrap w:val="0"/>
            <w:vAlign w:val="center"/>
          </w:tcPr>
          <w:p w14:paraId="79716595">
            <w:pPr>
              <w:numPr>
                <w:ilvl w:val="0"/>
                <w:numId w:val="0"/>
              </w:numPr>
              <w:spacing w:line="240" w:lineRule="auto"/>
              <w:ind w:left="0" w:leftChars="0" w:right="0" w:rightChars="0" w:firstLine="0" w:firstLineChars="0"/>
              <w:jc w:val="center"/>
              <w:rPr>
                <w:rFonts w:ascii="Calibri" w:hAnsi="Calibri"/>
                <w:highlight w:val="none"/>
              </w:rPr>
            </w:pPr>
            <w:r>
              <w:rPr>
                <w:rFonts w:hint="eastAsia" w:ascii="Calibri" w:hAnsi="Calibri"/>
                <w:highlight w:val="none"/>
              </w:rPr>
              <w:t>5</w:t>
            </w:r>
          </w:p>
        </w:tc>
        <w:tc>
          <w:tcPr>
            <w:tcW w:w="2125" w:type="dxa"/>
            <w:noWrap w:val="0"/>
            <w:vAlign w:val="center"/>
          </w:tcPr>
          <w:p w14:paraId="474EAEFE">
            <w:pPr>
              <w:spacing w:line="240" w:lineRule="auto"/>
              <w:ind w:left="0" w:leftChars="0" w:firstLine="0" w:firstLineChars="0"/>
              <w:jc w:val="center"/>
              <w:rPr>
                <w:rFonts w:ascii="Calibri" w:hAnsi="Calibri"/>
                <w:highlight w:val="none"/>
              </w:rPr>
            </w:pPr>
            <w:r>
              <w:rPr>
                <w:rFonts w:hint="eastAsia" w:ascii="Calibri" w:hAnsi="Calibri"/>
                <w:highlight w:val="none"/>
              </w:rPr>
              <w:t>服务期限</w:t>
            </w:r>
          </w:p>
        </w:tc>
        <w:tc>
          <w:tcPr>
            <w:tcW w:w="6183" w:type="dxa"/>
            <w:noWrap w:val="0"/>
            <w:vAlign w:val="center"/>
          </w:tcPr>
          <w:p w14:paraId="2B844435">
            <w:pPr>
              <w:spacing w:line="240" w:lineRule="auto"/>
              <w:ind w:left="0" w:leftChars="0" w:firstLine="0" w:firstLineChars="0"/>
              <w:jc w:val="left"/>
              <w:rPr>
                <w:rFonts w:ascii="Calibri" w:hAnsi="Calibri"/>
                <w:highlight w:val="none"/>
              </w:rPr>
            </w:pPr>
            <w:r>
              <w:rPr>
                <w:rFonts w:hint="eastAsia" w:ascii="Calibri" w:hAnsi="Calibri"/>
                <w:highlight w:val="none"/>
                <w:lang w:val="en-US" w:eastAsia="zh-CN"/>
              </w:rPr>
              <w:t>两</w:t>
            </w:r>
            <w:r>
              <w:rPr>
                <w:rFonts w:hint="eastAsia" w:ascii="Calibri" w:hAnsi="Calibri"/>
                <w:highlight w:val="none"/>
              </w:rPr>
              <w:t>年。</w:t>
            </w:r>
          </w:p>
        </w:tc>
      </w:tr>
      <w:tr w14:paraId="26C08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971" w:type="dxa"/>
            <w:noWrap w:val="0"/>
            <w:vAlign w:val="center"/>
          </w:tcPr>
          <w:p w14:paraId="0B1EBF08">
            <w:pPr>
              <w:numPr>
                <w:ilvl w:val="0"/>
                <w:numId w:val="0"/>
              </w:numPr>
              <w:spacing w:line="240" w:lineRule="auto"/>
              <w:ind w:left="0" w:leftChars="0" w:right="0" w:rightChars="0" w:firstLine="0" w:firstLineChars="0"/>
              <w:jc w:val="center"/>
              <w:rPr>
                <w:rFonts w:ascii="Calibri" w:hAnsi="Calibri"/>
                <w:highlight w:val="none"/>
              </w:rPr>
            </w:pPr>
            <w:r>
              <w:rPr>
                <w:rFonts w:hint="eastAsia" w:ascii="Calibri" w:hAnsi="Calibri"/>
                <w:highlight w:val="none"/>
              </w:rPr>
              <w:t>6</w:t>
            </w:r>
          </w:p>
        </w:tc>
        <w:tc>
          <w:tcPr>
            <w:tcW w:w="2125" w:type="dxa"/>
            <w:noWrap w:val="0"/>
            <w:vAlign w:val="center"/>
          </w:tcPr>
          <w:p w14:paraId="469042F0">
            <w:pPr>
              <w:spacing w:line="240" w:lineRule="auto"/>
              <w:ind w:left="0" w:leftChars="0" w:firstLine="0" w:firstLineChars="0"/>
              <w:jc w:val="center"/>
              <w:rPr>
                <w:rFonts w:ascii="Calibri" w:hAnsi="Calibri"/>
                <w:highlight w:val="none"/>
              </w:rPr>
            </w:pPr>
            <w:r>
              <w:rPr>
                <w:rFonts w:hint="eastAsia" w:ascii="Calibri" w:hAnsi="Calibri"/>
                <w:highlight w:val="none"/>
              </w:rPr>
              <w:t>响应保证金</w:t>
            </w:r>
          </w:p>
        </w:tc>
        <w:tc>
          <w:tcPr>
            <w:tcW w:w="6183" w:type="dxa"/>
            <w:noWrap w:val="0"/>
            <w:vAlign w:val="center"/>
          </w:tcPr>
          <w:p w14:paraId="69CBF62C">
            <w:pPr>
              <w:spacing w:line="240" w:lineRule="auto"/>
              <w:ind w:left="0" w:leftChars="0" w:firstLine="0" w:firstLineChars="0"/>
              <w:jc w:val="left"/>
              <w:rPr>
                <w:rFonts w:ascii="Calibri" w:hAnsi="Calibri"/>
                <w:highlight w:val="none"/>
              </w:rPr>
            </w:pPr>
            <w:r>
              <w:rPr>
                <w:rFonts w:hint="eastAsia" w:ascii="Calibri" w:hAnsi="Calibri"/>
                <w:highlight w:val="none"/>
              </w:rPr>
              <w:t>不要求缴纳保证金</w:t>
            </w:r>
          </w:p>
        </w:tc>
      </w:tr>
      <w:tr w14:paraId="54C86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971" w:type="dxa"/>
            <w:noWrap w:val="0"/>
            <w:vAlign w:val="center"/>
          </w:tcPr>
          <w:p w14:paraId="001E1804">
            <w:pPr>
              <w:numPr>
                <w:ilvl w:val="0"/>
                <w:numId w:val="0"/>
              </w:numPr>
              <w:spacing w:line="240" w:lineRule="auto"/>
              <w:ind w:left="0" w:leftChars="0" w:right="0" w:rightChars="0" w:firstLine="0" w:firstLineChars="0"/>
              <w:jc w:val="center"/>
              <w:rPr>
                <w:rFonts w:ascii="Calibri" w:hAnsi="Calibri"/>
                <w:highlight w:val="none"/>
              </w:rPr>
            </w:pPr>
            <w:r>
              <w:rPr>
                <w:rFonts w:hint="eastAsia" w:ascii="Calibri" w:hAnsi="Calibri"/>
                <w:highlight w:val="none"/>
              </w:rPr>
              <w:t>7</w:t>
            </w:r>
          </w:p>
        </w:tc>
        <w:tc>
          <w:tcPr>
            <w:tcW w:w="2125" w:type="dxa"/>
            <w:noWrap w:val="0"/>
            <w:vAlign w:val="center"/>
          </w:tcPr>
          <w:p w14:paraId="6B499CEA">
            <w:pPr>
              <w:spacing w:line="240" w:lineRule="auto"/>
              <w:ind w:left="0" w:leftChars="0" w:firstLine="0" w:firstLineChars="0"/>
              <w:jc w:val="center"/>
              <w:rPr>
                <w:rFonts w:ascii="Calibri" w:hAnsi="Calibri"/>
                <w:highlight w:val="none"/>
              </w:rPr>
            </w:pPr>
            <w:r>
              <w:rPr>
                <w:rFonts w:hint="eastAsia" w:ascii="Calibri" w:hAnsi="Calibri"/>
                <w:highlight w:val="none"/>
              </w:rPr>
              <w:t>响应文件有效期</w:t>
            </w:r>
          </w:p>
        </w:tc>
        <w:tc>
          <w:tcPr>
            <w:tcW w:w="6183" w:type="dxa"/>
            <w:noWrap w:val="0"/>
            <w:vAlign w:val="center"/>
          </w:tcPr>
          <w:p w14:paraId="42BD1A1F">
            <w:pPr>
              <w:spacing w:line="240" w:lineRule="auto"/>
              <w:ind w:left="0" w:leftChars="0" w:firstLine="0" w:firstLineChars="0"/>
              <w:jc w:val="left"/>
              <w:rPr>
                <w:rFonts w:ascii="Calibri" w:hAnsi="Calibri"/>
                <w:highlight w:val="none"/>
              </w:rPr>
            </w:pPr>
            <w:r>
              <w:rPr>
                <w:rFonts w:hint="eastAsia" w:ascii="Calibri" w:hAnsi="Calibri"/>
                <w:highlight w:val="none"/>
              </w:rPr>
              <w:t>自递交响应文件起</w:t>
            </w:r>
            <w:r>
              <w:rPr>
                <w:rFonts w:hint="eastAsia" w:ascii="Calibri" w:hAnsi="Calibri"/>
                <w:highlight w:val="none"/>
                <w:lang w:val="en-US" w:eastAsia="zh-CN"/>
              </w:rPr>
              <w:t>9</w:t>
            </w:r>
            <w:r>
              <w:rPr>
                <w:rFonts w:hint="eastAsia" w:ascii="Calibri" w:hAnsi="Calibri"/>
                <w:highlight w:val="none"/>
              </w:rPr>
              <w:t>0日</w:t>
            </w:r>
          </w:p>
        </w:tc>
      </w:tr>
      <w:tr w14:paraId="2A7CA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971" w:type="dxa"/>
            <w:noWrap w:val="0"/>
            <w:vAlign w:val="center"/>
          </w:tcPr>
          <w:p w14:paraId="1A3559B7">
            <w:pPr>
              <w:numPr>
                <w:ilvl w:val="0"/>
                <w:numId w:val="0"/>
              </w:numPr>
              <w:spacing w:line="240" w:lineRule="auto"/>
              <w:ind w:left="0" w:leftChars="0" w:right="0" w:rightChars="0" w:firstLine="0" w:firstLineChars="0"/>
              <w:jc w:val="center"/>
              <w:rPr>
                <w:rFonts w:ascii="Calibri" w:hAnsi="Calibri"/>
                <w:highlight w:val="none"/>
              </w:rPr>
            </w:pPr>
            <w:r>
              <w:rPr>
                <w:rFonts w:hint="eastAsia" w:ascii="Calibri" w:hAnsi="Calibri"/>
                <w:highlight w:val="none"/>
              </w:rPr>
              <w:t>8</w:t>
            </w:r>
          </w:p>
        </w:tc>
        <w:tc>
          <w:tcPr>
            <w:tcW w:w="2125" w:type="dxa"/>
            <w:noWrap w:val="0"/>
            <w:vAlign w:val="center"/>
          </w:tcPr>
          <w:p w14:paraId="6B6B30FA">
            <w:pPr>
              <w:spacing w:line="240" w:lineRule="auto"/>
              <w:ind w:left="0" w:leftChars="0" w:firstLine="0" w:firstLineChars="0"/>
              <w:jc w:val="center"/>
              <w:rPr>
                <w:rFonts w:ascii="Calibri" w:hAnsi="Calibri"/>
                <w:highlight w:val="none"/>
              </w:rPr>
            </w:pPr>
            <w:r>
              <w:rPr>
                <w:rFonts w:hint="eastAsia" w:ascii="Calibri" w:hAnsi="Calibri"/>
                <w:highlight w:val="none"/>
              </w:rPr>
              <w:t>响应文件份数</w:t>
            </w:r>
          </w:p>
        </w:tc>
        <w:tc>
          <w:tcPr>
            <w:tcW w:w="6183" w:type="dxa"/>
            <w:noWrap w:val="0"/>
            <w:vAlign w:val="center"/>
          </w:tcPr>
          <w:p w14:paraId="4CBB1882">
            <w:pPr>
              <w:spacing w:line="240" w:lineRule="auto"/>
              <w:ind w:left="0" w:leftChars="0" w:firstLine="0" w:firstLineChars="0"/>
              <w:jc w:val="left"/>
              <w:rPr>
                <w:rFonts w:hint="eastAsia" w:ascii="Calibri" w:hAnsi="Calibri" w:eastAsia="宋体"/>
                <w:highlight w:val="none"/>
                <w:lang w:eastAsia="zh-CN"/>
              </w:rPr>
            </w:pPr>
            <w:r>
              <w:rPr>
                <w:rFonts w:hint="eastAsia" w:ascii="Calibri" w:hAnsi="Calibri"/>
                <w:highlight w:val="none"/>
              </w:rPr>
              <w:t>一正本二副本</w:t>
            </w:r>
          </w:p>
        </w:tc>
      </w:tr>
      <w:tr w14:paraId="1BD4A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971" w:type="dxa"/>
            <w:noWrap w:val="0"/>
            <w:vAlign w:val="center"/>
          </w:tcPr>
          <w:p w14:paraId="02DB6FA3">
            <w:pPr>
              <w:numPr>
                <w:ilvl w:val="0"/>
                <w:numId w:val="0"/>
              </w:numPr>
              <w:spacing w:line="240" w:lineRule="auto"/>
              <w:ind w:left="0" w:leftChars="0" w:right="0" w:rightChars="0" w:firstLine="0" w:firstLineChars="0"/>
              <w:jc w:val="center"/>
              <w:rPr>
                <w:rFonts w:ascii="Calibri" w:hAnsi="Calibri"/>
                <w:highlight w:val="none"/>
              </w:rPr>
            </w:pPr>
            <w:r>
              <w:rPr>
                <w:rFonts w:hint="eastAsia" w:ascii="Calibri" w:hAnsi="Calibri"/>
                <w:highlight w:val="none"/>
              </w:rPr>
              <w:t>9</w:t>
            </w:r>
          </w:p>
        </w:tc>
        <w:tc>
          <w:tcPr>
            <w:tcW w:w="2125" w:type="dxa"/>
            <w:noWrap w:val="0"/>
            <w:vAlign w:val="center"/>
          </w:tcPr>
          <w:p w14:paraId="276B4A51">
            <w:pPr>
              <w:spacing w:line="240" w:lineRule="auto"/>
              <w:ind w:left="0" w:leftChars="0" w:firstLine="0" w:firstLineChars="0"/>
              <w:jc w:val="center"/>
              <w:rPr>
                <w:rFonts w:ascii="Calibri" w:hAnsi="Calibri"/>
                <w:highlight w:val="none"/>
              </w:rPr>
            </w:pPr>
            <w:r>
              <w:rPr>
                <w:rFonts w:hint="eastAsia" w:ascii="Calibri" w:hAnsi="Calibri"/>
                <w:highlight w:val="none"/>
                <w:lang w:val="en-US" w:eastAsia="zh-CN"/>
              </w:rPr>
              <w:t>谈判</w:t>
            </w:r>
            <w:r>
              <w:rPr>
                <w:rFonts w:hint="eastAsia" w:ascii="Calibri" w:hAnsi="Calibri"/>
                <w:highlight w:val="none"/>
              </w:rPr>
              <w:t>小组的组建</w:t>
            </w:r>
          </w:p>
        </w:tc>
        <w:tc>
          <w:tcPr>
            <w:tcW w:w="6183" w:type="dxa"/>
            <w:noWrap w:val="0"/>
            <w:vAlign w:val="center"/>
          </w:tcPr>
          <w:p w14:paraId="7E5D6891">
            <w:pPr>
              <w:spacing w:line="240" w:lineRule="auto"/>
              <w:ind w:left="0" w:leftChars="0" w:firstLine="0" w:firstLineChars="0"/>
              <w:jc w:val="left"/>
              <w:rPr>
                <w:rFonts w:ascii="Calibri" w:hAnsi="Calibri"/>
                <w:highlight w:val="none"/>
              </w:rPr>
            </w:pPr>
            <w:r>
              <w:rPr>
                <w:rFonts w:hint="eastAsia" w:ascii="Calibri" w:hAnsi="Calibri"/>
                <w:highlight w:val="none"/>
              </w:rPr>
              <w:t>由采购人组建</w:t>
            </w:r>
            <w:r>
              <w:rPr>
                <w:rFonts w:hint="eastAsia" w:ascii="Calibri" w:hAnsi="Calibri"/>
                <w:highlight w:val="none"/>
                <w:lang w:val="en-US" w:eastAsia="zh-CN"/>
              </w:rPr>
              <w:t>谈判</w:t>
            </w:r>
            <w:r>
              <w:rPr>
                <w:rFonts w:hint="eastAsia" w:ascii="Calibri" w:hAnsi="Calibri"/>
                <w:highlight w:val="none"/>
              </w:rPr>
              <w:t>小组，小组成员为3人以上单数组成。</w:t>
            </w:r>
          </w:p>
        </w:tc>
      </w:tr>
      <w:tr w14:paraId="7EDAA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971" w:type="dxa"/>
            <w:noWrap w:val="0"/>
            <w:vAlign w:val="center"/>
          </w:tcPr>
          <w:p w14:paraId="26E2E1C9">
            <w:pPr>
              <w:numPr>
                <w:ilvl w:val="0"/>
                <w:numId w:val="0"/>
              </w:numPr>
              <w:spacing w:line="240" w:lineRule="auto"/>
              <w:ind w:left="0" w:leftChars="0" w:right="0" w:rightChars="0" w:firstLine="0" w:firstLineChars="0"/>
              <w:jc w:val="center"/>
              <w:rPr>
                <w:rFonts w:ascii="Calibri" w:hAnsi="Calibri"/>
                <w:highlight w:val="none"/>
              </w:rPr>
            </w:pPr>
            <w:r>
              <w:rPr>
                <w:rFonts w:hint="eastAsia" w:ascii="Calibri" w:hAnsi="Calibri"/>
                <w:highlight w:val="none"/>
              </w:rPr>
              <w:t>10</w:t>
            </w:r>
          </w:p>
        </w:tc>
        <w:tc>
          <w:tcPr>
            <w:tcW w:w="2125" w:type="dxa"/>
            <w:noWrap w:val="0"/>
            <w:vAlign w:val="center"/>
          </w:tcPr>
          <w:p w14:paraId="249600A0">
            <w:pPr>
              <w:spacing w:line="240" w:lineRule="auto"/>
              <w:ind w:left="0" w:leftChars="0" w:firstLine="0" w:firstLineChars="0"/>
              <w:jc w:val="center"/>
              <w:rPr>
                <w:rFonts w:ascii="Calibri" w:hAnsi="Calibri"/>
                <w:highlight w:val="none"/>
              </w:rPr>
            </w:pPr>
            <w:r>
              <w:rPr>
                <w:rFonts w:hint="eastAsia" w:ascii="Calibri" w:hAnsi="Calibri"/>
                <w:highlight w:val="none"/>
              </w:rPr>
              <w:t>评审方法</w:t>
            </w:r>
          </w:p>
        </w:tc>
        <w:tc>
          <w:tcPr>
            <w:tcW w:w="6183" w:type="dxa"/>
            <w:noWrap w:val="0"/>
            <w:vAlign w:val="center"/>
          </w:tcPr>
          <w:p w14:paraId="5853C26A">
            <w:pPr>
              <w:spacing w:line="240" w:lineRule="auto"/>
              <w:ind w:left="0" w:leftChars="0" w:firstLine="0" w:firstLineChars="0"/>
              <w:jc w:val="left"/>
              <w:rPr>
                <w:rFonts w:ascii="Calibri" w:hAnsi="Calibri"/>
                <w:highlight w:val="none"/>
              </w:rPr>
            </w:pPr>
            <w:r>
              <w:rPr>
                <w:rFonts w:hint="eastAsia" w:ascii="Calibri" w:hAnsi="Calibri"/>
                <w:highlight w:val="none"/>
              </w:rPr>
              <w:t>综合评分法</w:t>
            </w:r>
          </w:p>
        </w:tc>
      </w:tr>
      <w:tr w14:paraId="0BD67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971" w:type="dxa"/>
            <w:noWrap w:val="0"/>
            <w:vAlign w:val="center"/>
          </w:tcPr>
          <w:p w14:paraId="303BAA62">
            <w:pPr>
              <w:numPr>
                <w:ilvl w:val="0"/>
                <w:numId w:val="0"/>
              </w:numPr>
              <w:spacing w:line="240" w:lineRule="auto"/>
              <w:ind w:left="0" w:leftChars="0" w:right="0" w:rightChars="0" w:firstLine="0" w:firstLineChars="0"/>
              <w:jc w:val="center"/>
              <w:rPr>
                <w:rFonts w:ascii="Calibri" w:hAnsi="Calibri"/>
                <w:highlight w:val="none"/>
              </w:rPr>
            </w:pPr>
            <w:r>
              <w:rPr>
                <w:rFonts w:hint="eastAsia" w:ascii="Calibri" w:hAnsi="Calibri"/>
                <w:highlight w:val="none"/>
              </w:rPr>
              <w:t>11</w:t>
            </w:r>
          </w:p>
        </w:tc>
        <w:tc>
          <w:tcPr>
            <w:tcW w:w="2125" w:type="dxa"/>
            <w:noWrap w:val="0"/>
            <w:vAlign w:val="center"/>
          </w:tcPr>
          <w:p w14:paraId="132C2280">
            <w:pPr>
              <w:spacing w:line="240" w:lineRule="auto"/>
              <w:ind w:left="0" w:leftChars="0" w:firstLine="0" w:firstLineChars="0"/>
              <w:jc w:val="center"/>
              <w:rPr>
                <w:rFonts w:ascii="Calibri" w:hAnsi="Calibri"/>
                <w:highlight w:val="none"/>
              </w:rPr>
            </w:pPr>
            <w:r>
              <w:rPr>
                <w:rFonts w:hint="eastAsia" w:ascii="Calibri" w:hAnsi="Calibri"/>
                <w:highlight w:val="none"/>
              </w:rPr>
              <w:t>最高限价</w:t>
            </w:r>
          </w:p>
        </w:tc>
        <w:tc>
          <w:tcPr>
            <w:tcW w:w="6183" w:type="dxa"/>
            <w:noWrap w:val="0"/>
            <w:vAlign w:val="center"/>
          </w:tcPr>
          <w:p w14:paraId="21C39F7F">
            <w:pPr>
              <w:spacing w:line="240" w:lineRule="auto"/>
              <w:ind w:left="0" w:leftChars="0" w:firstLine="0" w:firstLineChars="0"/>
              <w:jc w:val="left"/>
              <w:rPr>
                <w:rFonts w:ascii="Calibri" w:hAnsi="Calibri"/>
                <w:highlight w:val="none"/>
              </w:rPr>
            </w:pPr>
            <w:r>
              <w:rPr>
                <w:rFonts w:hint="eastAsia" w:ascii="Calibri" w:hAnsi="Calibri"/>
                <w:highlight w:val="none"/>
              </w:rPr>
              <w:t>人民币：</w:t>
            </w:r>
            <w:r>
              <w:rPr>
                <w:rFonts w:hint="eastAsia" w:ascii="Calibri" w:hAnsi="Calibri"/>
                <w:highlight w:val="none"/>
                <w:lang w:eastAsia="zh-CN"/>
              </w:rPr>
              <w:t>¥ 8万元/两年（含本数，含增值税专用发票税税费）</w:t>
            </w:r>
            <w:r>
              <w:rPr>
                <w:rFonts w:ascii="Calibri" w:hAnsi="Calibri"/>
                <w:highlight w:val="none"/>
              </w:rPr>
              <w:t>。总报价超过最高限价，则报价无效；</w:t>
            </w:r>
          </w:p>
        </w:tc>
      </w:tr>
      <w:tr w14:paraId="249A0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0" w:hRule="atLeast"/>
          <w:jc w:val="center"/>
        </w:trPr>
        <w:tc>
          <w:tcPr>
            <w:tcW w:w="971" w:type="dxa"/>
            <w:noWrap w:val="0"/>
            <w:vAlign w:val="center"/>
          </w:tcPr>
          <w:p w14:paraId="33212331">
            <w:pPr>
              <w:numPr>
                <w:ilvl w:val="0"/>
                <w:numId w:val="0"/>
              </w:numPr>
              <w:spacing w:line="240" w:lineRule="auto"/>
              <w:ind w:left="0" w:leftChars="0" w:right="0" w:rightChars="0" w:firstLine="0" w:firstLineChars="0"/>
              <w:jc w:val="center"/>
              <w:rPr>
                <w:rFonts w:ascii="Calibri" w:hAnsi="Calibri"/>
                <w:highlight w:val="none"/>
              </w:rPr>
            </w:pPr>
            <w:r>
              <w:rPr>
                <w:rFonts w:hint="eastAsia" w:ascii="Calibri" w:hAnsi="Calibri"/>
                <w:highlight w:val="none"/>
              </w:rPr>
              <w:t>12</w:t>
            </w:r>
          </w:p>
        </w:tc>
        <w:tc>
          <w:tcPr>
            <w:tcW w:w="2125" w:type="dxa"/>
            <w:noWrap w:val="0"/>
            <w:vAlign w:val="center"/>
          </w:tcPr>
          <w:p w14:paraId="01E755D2">
            <w:pPr>
              <w:spacing w:line="240" w:lineRule="auto"/>
              <w:ind w:left="0" w:leftChars="0" w:firstLine="0" w:firstLineChars="0"/>
              <w:jc w:val="center"/>
              <w:rPr>
                <w:rFonts w:ascii="Calibri" w:hAnsi="Calibri"/>
                <w:highlight w:val="none"/>
              </w:rPr>
            </w:pPr>
            <w:r>
              <w:rPr>
                <w:rFonts w:hint="eastAsia" w:ascii="Calibri" w:hAnsi="Calibri"/>
                <w:highlight w:val="none"/>
              </w:rPr>
              <w:t>报价方式和内容</w:t>
            </w:r>
          </w:p>
        </w:tc>
        <w:tc>
          <w:tcPr>
            <w:tcW w:w="6183" w:type="dxa"/>
            <w:noWrap w:val="0"/>
            <w:vAlign w:val="center"/>
          </w:tcPr>
          <w:p w14:paraId="0FA6BDDC">
            <w:pPr>
              <w:spacing w:line="240" w:lineRule="auto"/>
              <w:ind w:left="0" w:leftChars="0" w:firstLine="0" w:firstLineChars="0"/>
              <w:jc w:val="left"/>
              <w:rPr>
                <w:rFonts w:ascii="Calibri" w:hAnsi="Calibri"/>
                <w:highlight w:val="none"/>
              </w:rPr>
            </w:pPr>
            <w:r>
              <w:rPr>
                <w:rFonts w:ascii="Calibri" w:hAnsi="Calibri"/>
                <w:highlight w:val="none"/>
              </w:rPr>
              <w:t>1</w:t>
            </w:r>
            <w:r>
              <w:rPr>
                <w:rFonts w:hint="eastAsia" w:ascii="Calibri" w:hAnsi="Calibri"/>
                <w:highlight w:val="none"/>
              </w:rPr>
              <w:t>.</w:t>
            </w:r>
            <w:r>
              <w:rPr>
                <w:rFonts w:ascii="Calibri" w:hAnsi="Calibri"/>
                <w:highlight w:val="none"/>
              </w:rPr>
              <w:t>报价单位为：元（小数点后保留两位）</w:t>
            </w:r>
            <w:r>
              <w:rPr>
                <w:rFonts w:hint="eastAsia" w:ascii="Calibri" w:hAnsi="Calibri"/>
                <w:highlight w:val="none"/>
              </w:rPr>
              <w:t>，仅接受一个总报价，任何</w:t>
            </w:r>
            <w:r>
              <w:rPr>
                <w:rFonts w:ascii="Calibri" w:hAnsi="Calibri"/>
                <w:highlight w:val="none"/>
              </w:rPr>
              <w:t>有选择的报价</w:t>
            </w:r>
            <w:r>
              <w:rPr>
                <w:rFonts w:hint="eastAsia" w:ascii="Calibri" w:hAnsi="Calibri"/>
                <w:highlight w:val="none"/>
              </w:rPr>
              <w:t>视为无效报价</w:t>
            </w:r>
            <w:r>
              <w:rPr>
                <w:rFonts w:ascii="Calibri" w:hAnsi="Calibri"/>
                <w:highlight w:val="none"/>
              </w:rPr>
              <w:t>。</w:t>
            </w:r>
          </w:p>
          <w:p w14:paraId="75D173AD">
            <w:pPr>
              <w:spacing w:line="240" w:lineRule="auto"/>
              <w:ind w:left="0" w:leftChars="0" w:firstLine="0" w:firstLineChars="0"/>
              <w:jc w:val="left"/>
              <w:rPr>
                <w:rFonts w:ascii="Calibri" w:hAnsi="Calibri"/>
                <w:highlight w:val="none"/>
              </w:rPr>
            </w:pPr>
            <w:r>
              <w:rPr>
                <w:rFonts w:ascii="Calibri" w:hAnsi="Calibri"/>
                <w:highlight w:val="none"/>
              </w:rPr>
              <w:t>2</w:t>
            </w:r>
            <w:r>
              <w:rPr>
                <w:rFonts w:hint="eastAsia" w:ascii="Calibri" w:hAnsi="Calibri"/>
                <w:highlight w:val="none"/>
              </w:rPr>
              <w:t>.维保履行期内，对深圳书城龙岗城（金旭大楼）南立面、南北大门上方斜面、四楼、五楼共5块LED显示屏提供全包全保服务，包括但不限于显示板、电源、控制系统、驱动、显示屏操作软件升级、维护人员上门费、高空车操作费用、维修技术人员差旅费、维修服务费、材料费、税费（增值税专用发票）等因履行合同需承担的所有费用，采购单位无须向维保单位再支付其他任何费用。</w:t>
            </w:r>
          </w:p>
        </w:tc>
      </w:tr>
      <w:tr w14:paraId="3ED2A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971" w:type="dxa"/>
            <w:noWrap w:val="0"/>
            <w:vAlign w:val="center"/>
          </w:tcPr>
          <w:p w14:paraId="737F8359">
            <w:pPr>
              <w:numPr>
                <w:ilvl w:val="0"/>
                <w:numId w:val="0"/>
              </w:numPr>
              <w:spacing w:line="240" w:lineRule="auto"/>
              <w:ind w:left="0" w:leftChars="0" w:right="0" w:rightChars="0" w:firstLine="0" w:firstLineChars="0"/>
              <w:jc w:val="center"/>
              <w:rPr>
                <w:rFonts w:ascii="Calibri" w:hAnsi="Calibri"/>
                <w:highlight w:val="none"/>
              </w:rPr>
            </w:pPr>
            <w:r>
              <w:rPr>
                <w:rFonts w:hint="eastAsia" w:ascii="Calibri" w:hAnsi="Calibri"/>
                <w:highlight w:val="none"/>
              </w:rPr>
              <w:t>13</w:t>
            </w:r>
          </w:p>
        </w:tc>
        <w:tc>
          <w:tcPr>
            <w:tcW w:w="2125" w:type="dxa"/>
            <w:noWrap w:val="0"/>
            <w:vAlign w:val="center"/>
          </w:tcPr>
          <w:p w14:paraId="4FC04008">
            <w:pPr>
              <w:spacing w:line="240" w:lineRule="auto"/>
              <w:ind w:left="0" w:leftChars="0" w:firstLine="0" w:firstLineChars="0"/>
              <w:jc w:val="center"/>
              <w:rPr>
                <w:rFonts w:hint="eastAsia" w:ascii="Calibri" w:hAnsi="Calibri" w:eastAsia="宋体"/>
                <w:highlight w:val="none"/>
                <w:lang w:val="en-US" w:eastAsia="zh-CN"/>
              </w:rPr>
            </w:pPr>
            <w:r>
              <w:rPr>
                <w:rFonts w:hint="eastAsia" w:ascii="Calibri" w:hAnsi="Calibri" w:eastAsia="宋体"/>
                <w:highlight w:val="none"/>
                <w:lang w:val="en-US" w:eastAsia="zh-CN"/>
              </w:rPr>
              <w:t>响应保证金、履约保证金</w:t>
            </w:r>
          </w:p>
        </w:tc>
        <w:tc>
          <w:tcPr>
            <w:tcW w:w="6183" w:type="dxa"/>
            <w:noWrap w:val="0"/>
            <w:vAlign w:val="center"/>
          </w:tcPr>
          <w:p w14:paraId="13AAA157">
            <w:pPr>
              <w:spacing w:line="240" w:lineRule="auto"/>
              <w:ind w:left="0" w:leftChars="0" w:firstLine="0" w:firstLineChars="0"/>
              <w:jc w:val="left"/>
              <w:rPr>
                <w:rFonts w:hint="eastAsia" w:ascii="Calibri" w:hAnsi="Calibri" w:eastAsia="宋体"/>
                <w:highlight w:val="none"/>
                <w:lang w:val="en-US" w:eastAsia="zh-CN"/>
              </w:rPr>
            </w:pPr>
            <w:r>
              <w:rPr>
                <w:rFonts w:hint="eastAsia" w:ascii="Calibri" w:hAnsi="Calibri"/>
                <w:highlight w:val="none"/>
                <w:lang w:val="en-US" w:eastAsia="zh-CN"/>
              </w:rPr>
              <w:t>无</w:t>
            </w:r>
          </w:p>
        </w:tc>
      </w:tr>
      <w:tr w14:paraId="3A531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971" w:type="dxa"/>
            <w:noWrap w:val="0"/>
            <w:vAlign w:val="center"/>
          </w:tcPr>
          <w:p w14:paraId="2814DC91">
            <w:pPr>
              <w:tabs>
                <w:tab w:val="left" w:pos="840"/>
              </w:tabs>
              <w:spacing w:line="240" w:lineRule="auto"/>
              <w:ind w:left="0" w:leftChars="0" w:right="0" w:rightChars="0" w:firstLine="0" w:firstLineChars="0"/>
              <w:jc w:val="center"/>
              <w:rPr>
                <w:rFonts w:hint="eastAsia" w:ascii="Calibri" w:hAnsi="Calibri" w:eastAsia="宋体"/>
                <w:highlight w:val="none"/>
                <w:lang w:eastAsia="zh-CN"/>
              </w:rPr>
            </w:pPr>
            <w:r>
              <w:rPr>
                <w:rFonts w:ascii="Calibri" w:hAnsi="Calibri"/>
                <w:highlight w:val="none"/>
              </w:rPr>
              <w:t>1</w:t>
            </w:r>
            <w:r>
              <w:rPr>
                <w:rFonts w:hint="eastAsia" w:ascii="Calibri" w:hAnsi="Calibri"/>
                <w:highlight w:val="none"/>
                <w:lang w:val="en-US" w:eastAsia="zh-CN"/>
              </w:rPr>
              <w:t>4</w:t>
            </w:r>
          </w:p>
        </w:tc>
        <w:tc>
          <w:tcPr>
            <w:tcW w:w="2125" w:type="dxa"/>
            <w:noWrap w:val="0"/>
            <w:vAlign w:val="center"/>
          </w:tcPr>
          <w:p w14:paraId="00F4DA3C">
            <w:pPr>
              <w:spacing w:line="240" w:lineRule="auto"/>
              <w:ind w:left="0" w:leftChars="0" w:firstLine="0" w:firstLineChars="0"/>
              <w:jc w:val="center"/>
              <w:rPr>
                <w:rFonts w:ascii="Calibri" w:hAnsi="Calibri"/>
                <w:highlight w:val="none"/>
              </w:rPr>
            </w:pPr>
            <w:r>
              <w:rPr>
                <w:rFonts w:hint="eastAsia" w:ascii="Calibri" w:hAnsi="Calibri"/>
                <w:highlight w:val="none"/>
              </w:rPr>
              <w:t>格审查方式</w:t>
            </w:r>
          </w:p>
        </w:tc>
        <w:tc>
          <w:tcPr>
            <w:tcW w:w="6183" w:type="dxa"/>
            <w:noWrap w:val="0"/>
            <w:vAlign w:val="center"/>
          </w:tcPr>
          <w:p w14:paraId="69740280">
            <w:pPr>
              <w:spacing w:line="240" w:lineRule="auto"/>
              <w:ind w:left="0" w:leftChars="0" w:firstLine="0" w:firstLineChars="0"/>
              <w:jc w:val="left"/>
              <w:rPr>
                <w:rFonts w:ascii="Calibri" w:hAnsi="Calibri"/>
                <w:highlight w:val="none"/>
              </w:rPr>
            </w:pPr>
            <w:r>
              <w:rPr>
                <w:rFonts w:hint="eastAsia" w:ascii="Calibri" w:hAnsi="Calibri"/>
                <w:highlight w:val="none"/>
              </w:rPr>
              <w:t>资格后审</w:t>
            </w:r>
          </w:p>
        </w:tc>
      </w:tr>
      <w:tr w14:paraId="0905D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7" w:hRule="atLeast"/>
          <w:jc w:val="center"/>
        </w:trPr>
        <w:tc>
          <w:tcPr>
            <w:tcW w:w="971" w:type="dxa"/>
            <w:noWrap w:val="0"/>
            <w:vAlign w:val="center"/>
          </w:tcPr>
          <w:p w14:paraId="073B55D1">
            <w:pPr>
              <w:spacing w:line="240" w:lineRule="auto"/>
              <w:ind w:left="18" w:leftChars="0" w:right="0" w:rightChars="0" w:hanging="18" w:hangingChars="9"/>
              <w:jc w:val="center"/>
              <w:rPr>
                <w:rFonts w:hint="default" w:ascii="Calibri" w:hAnsi="Calibri" w:eastAsia="宋体"/>
                <w:highlight w:val="none"/>
                <w:lang w:val="en-US" w:eastAsia="zh-CN"/>
              </w:rPr>
            </w:pPr>
            <w:r>
              <w:rPr>
                <w:rFonts w:hint="eastAsia" w:ascii="Calibri" w:hAnsi="Calibri"/>
                <w:highlight w:val="none"/>
                <w:lang w:val="en-US" w:eastAsia="zh-CN"/>
              </w:rPr>
              <w:t>15</w:t>
            </w:r>
          </w:p>
        </w:tc>
        <w:tc>
          <w:tcPr>
            <w:tcW w:w="2125" w:type="dxa"/>
            <w:noWrap w:val="0"/>
            <w:vAlign w:val="center"/>
          </w:tcPr>
          <w:p w14:paraId="1F257A7E">
            <w:pPr>
              <w:spacing w:line="240" w:lineRule="auto"/>
              <w:ind w:left="18" w:leftChars="0" w:hanging="18" w:hangingChars="9"/>
              <w:jc w:val="center"/>
              <w:rPr>
                <w:rFonts w:hint="eastAsia" w:ascii="Calibri" w:hAnsi="Calibri"/>
                <w:kern w:val="2"/>
                <w:sz w:val="21"/>
                <w:szCs w:val="24"/>
                <w:highlight w:val="none"/>
                <w:lang w:val="en-US" w:eastAsia="zh-CN" w:bidi="ar-SA"/>
              </w:rPr>
            </w:pPr>
            <w:r>
              <w:rPr>
                <w:rFonts w:hint="eastAsia" w:ascii="Calibri" w:hAnsi="Calibri"/>
                <w:highlight w:val="none"/>
              </w:rPr>
              <w:t>其他</w:t>
            </w:r>
          </w:p>
        </w:tc>
        <w:tc>
          <w:tcPr>
            <w:tcW w:w="6183" w:type="dxa"/>
            <w:noWrap w:val="0"/>
            <w:vAlign w:val="center"/>
          </w:tcPr>
          <w:p w14:paraId="4576E76D">
            <w:pPr>
              <w:spacing w:line="240" w:lineRule="auto"/>
              <w:ind w:left="18" w:leftChars="0" w:hanging="18" w:hangingChars="9"/>
              <w:jc w:val="left"/>
              <w:rPr>
                <w:rFonts w:ascii="Calibri" w:hAnsi="Calibri"/>
                <w:highlight w:val="none"/>
              </w:rPr>
            </w:pPr>
            <w:r>
              <w:rPr>
                <w:rFonts w:hint="eastAsia" w:ascii="Calibri" w:hAnsi="Calibri"/>
                <w:highlight w:val="none"/>
              </w:rPr>
              <w:t>1</w:t>
            </w:r>
            <w:r>
              <w:rPr>
                <w:rFonts w:ascii="Calibri" w:hAnsi="Calibri"/>
                <w:highlight w:val="none"/>
              </w:rPr>
              <w:t>.</w:t>
            </w:r>
            <w:r>
              <w:rPr>
                <w:rFonts w:hint="eastAsia" w:ascii="Calibri" w:hAnsi="Calibri"/>
                <w:highlight w:val="none"/>
              </w:rPr>
              <w:t>采购人不集中组织现场踏勘，供应商报名参加此项目后，按需联系采购人进行现场踏勘；</w:t>
            </w:r>
          </w:p>
          <w:p w14:paraId="17272616">
            <w:pPr>
              <w:spacing w:line="240" w:lineRule="auto"/>
              <w:ind w:left="18" w:leftChars="0" w:hanging="18" w:hangingChars="9"/>
              <w:jc w:val="left"/>
              <w:rPr>
                <w:rFonts w:ascii="Calibri" w:hAnsi="Calibri"/>
                <w:highlight w:val="none"/>
              </w:rPr>
            </w:pPr>
            <w:r>
              <w:rPr>
                <w:rFonts w:hint="eastAsia" w:ascii="Calibri" w:hAnsi="Calibri"/>
                <w:highlight w:val="none"/>
              </w:rPr>
              <w:t>2</w:t>
            </w:r>
            <w:r>
              <w:rPr>
                <w:rFonts w:ascii="Calibri" w:hAnsi="Calibri"/>
                <w:highlight w:val="none"/>
              </w:rPr>
              <w:t>.</w:t>
            </w:r>
            <w:r>
              <w:rPr>
                <w:rFonts w:hint="eastAsia" w:ascii="Calibri" w:hAnsi="Calibri"/>
                <w:highlight w:val="none"/>
              </w:rPr>
              <w:t>采购过程中所发生的一切费用均由各供应商自理；</w:t>
            </w:r>
          </w:p>
          <w:p w14:paraId="37175F92">
            <w:pPr>
              <w:spacing w:line="240" w:lineRule="auto"/>
              <w:ind w:left="18" w:leftChars="0" w:hanging="18" w:hangingChars="9"/>
              <w:jc w:val="left"/>
              <w:rPr>
                <w:rFonts w:ascii="Calibri" w:hAnsi="Calibri"/>
                <w:highlight w:val="none"/>
              </w:rPr>
            </w:pPr>
            <w:r>
              <w:rPr>
                <w:rFonts w:ascii="Calibri" w:hAnsi="Calibri"/>
                <w:highlight w:val="none"/>
              </w:rPr>
              <w:t>3.本项目不允许转包和分包，否则采购人有权终止合同；</w:t>
            </w:r>
          </w:p>
          <w:p w14:paraId="628E04EC">
            <w:pPr>
              <w:spacing w:line="240" w:lineRule="auto"/>
              <w:ind w:left="18" w:leftChars="0" w:hanging="18" w:hangingChars="9"/>
              <w:jc w:val="left"/>
              <w:rPr>
                <w:rFonts w:ascii="Calibri" w:hAnsi="Calibri"/>
                <w:kern w:val="2"/>
                <w:sz w:val="21"/>
                <w:szCs w:val="24"/>
                <w:highlight w:val="none"/>
                <w:lang w:val="en-US" w:eastAsia="zh-CN" w:bidi="ar-SA"/>
              </w:rPr>
            </w:pPr>
            <w:r>
              <w:rPr>
                <w:rFonts w:ascii="Calibri" w:hAnsi="Calibri"/>
                <w:highlight w:val="none"/>
              </w:rPr>
              <w:t>4.采购人在结果确定后的</w:t>
            </w:r>
            <w:r>
              <w:rPr>
                <w:rFonts w:hint="eastAsia" w:ascii="Calibri" w:hAnsi="Calibri"/>
                <w:highlight w:val="none"/>
              </w:rPr>
              <w:t>5</w:t>
            </w:r>
            <w:r>
              <w:rPr>
                <w:rFonts w:ascii="Calibri" w:hAnsi="Calibri"/>
                <w:highlight w:val="none"/>
              </w:rPr>
              <w:t>个工作日内通知中选供应商，并向</w:t>
            </w:r>
            <w:r>
              <w:rPr>
                <w:rFonts w:hint="eastAsia" w:ascii="Calibri" w:hAnsi="Calibri"/>
                <w:highlight w:val="none"/>
              </w:rPr>
              <w:t>其</w:t>
            </w:r>
            <w:r>
              <w:rPr>
                <w:rFonts w:ascii="Calibri" w:hAnsi="Calibri"/>
                <w:highlight w:val="none"/>
              </w:rPr>
              <w:t>发出</w:t>
            </w:r>
            <w:r>
              <w:rPr>
                <w:rFonts w:hint="eastAsia" w:ascii="Calibri" w:hAnsi="Calibri"/>
                <w:highlight w:val="none"/>
                <w:lang w:val="en-US" w:eastAsia="zh-CN"/>
              </w:rPr>
              <w:t>成交</w:t>
            </w:r>
            <w:r>
              <w:rPr>
                <w:rFonts w:ascii="Calibri" w:hAnsi="Calibri"/>
                <w:highlight w:val="none"/>
              </w:rPr>
              <w:t>通知</w:t>
            </w:r>
            <w:r>
              <w:rPr>
                <w:rFonts w:hint="eastAsia" w:ascii="Calibri" w:hAnsi="Calibri"/>
                <w:highlight w:val="none"/>
                <w:lang w:val="en-US" w:eastAsia="zh-CN"/>
              </w:rPr>
              <w:t>书</w:t>
            </w:r>
            <w:r>
              <w:rPr>
                <w:rFonts w:ascii="Calibri" w:hAnsi="Calibri"/>
                <w:highlight w:val="none"/>
              </w:rPr>
              <w:t>。</w:t>
            </w:r>
          </w:p>
        </w:tc>
      </w:tr>
    </w:tbl>
    <w:p w14:paraId="30DB87CA">
      <w:pPr>
        <w:widowControl w:val="0"/>
        <w:numPr>
          <w:ilvl w:val="0"/>
          <w:numId w:val="0"/>
        </w:numPr>
        <w:tabs>
          <w:tab w:val="left" w:pos="709"/>
          <w:tab w:val="left" w:pos="993"/>
        </w:tabs>
        <w:wordWrap w:val="0"/>
        <w:autoSpaceDE w:val="0"/>
        <w:autoSpaceDN w:val="0"/>
        <w:adjustRightInd w:val="0"/>
        <w:snapToGrid w:val="0"/>
        <w:ind w:leftChars="0"/>
        <w:jc w:val="center"/>
        <w:outlineLvl w:val="0"/>
        <w:rPr>
          <w:rFonts w:hint="default" w:ascii="宋体" w:hAnsi="宋体" w:eastAsia="宋体" w:cs="Times New Roman"/>
          <w:b/>
          <w:bCs/>
          <w:sz w:val="44"/>
          <w:szCs w:val="44"/>
          <w:highlight w:val="none"/>
          <w:lang w:val="en-US" w:eastAsia="zh-CN"/>
        </w:rPr>
      </w:pPr>
      <w:bookmarkStart w:id="20" w:name="_Toc30469"/>
      <w:bookmarkStart w:id="21" w:name="_Toc49247157"/>
      <w:bookmarkStart w:id="22" w:name="_Toc411"/>
      <w:bookmarkStart w:id="23" w:name="_Toc20519"/>
      <w:bookmarkStart w:id="24" w:name="_Toc29294"/>
      <w:r>
        <w:rPr>
          <w:rFonts w:hint="eastAsia" w:ascii="宋体" w:hAnsi="宋体" w:eastAsia="宋体" w:cs="Times New Roman"/>
          <w:b/>
          <w:bCs/>
          <w:sz w:val="44"/>
          <w:szCs w:val="44"/>
          <w:highlight w:val="none"/>
        </w:rPr>
        <w:t xml:space="preserve">第二章 </w:t>
      </w:r>
      <w:bookmarkEnd w:id="16"/>
      <w:bookmarkEnd w:id="17"/>
      <w:bookmarkEnd w:id="18"/>
      <w:bookmarkEnd w:id="20"/>
      <w:bookmarkEnd w:id="21"/>
      <w:bookmarkEnd w:id="22"/>
      <w:bookmarkEnd w:id="23"/>
      <w:bookmarkStart w:id="25" w:name="_Toc379581361"/>
      <w:bookmarkStart w:id="26" w:name="_Toc152042377"/>
      <w:bookmarkStart w:id="27" w:name="_Toc330213998"/>
      <w:bookmarkStart w:id="28" w:name="_Toc152045600"/>
      <w:bookmarkStart w:id="29" w:name="_Toc144974567"/>
      <w:r>
        <w:rPr>
          <w:rFonts w:hint="eastAsia" w:ascii="宋体" w:hAnsi="宋体" w:eastAsia="宋体" w:cs="Times New Roman"/>
          <w:b/>
          <w:bCs/>
          <w:sz w:val="44"/>
          <w:szCs w:val="44"/>
          <w:highlight w:val="none"/>
          <w:lang w:val="en-US" w:eastAsia="zh-CN"/>
        </w:rPr>
        <w:t>响应文件编制要求</w:t>
      </w:r>
      <w:bookmarkEnd w:id="24"/>
    </w:p>
    <w:p w14:paraId="2C74E4AA">
      <w:pPr>
        <w:keepNext w:val="0"/>
        <w:keepLines w:val="0"/>
        <w:pageBreakBefore w:val="0"/>
        <w:widowControl/>
        <w:tabs>
          <w:tab w:val="left" w:pos="-360"/>
          <w:tab w:val="left" w:pos="567"/>
        </w:tabs>
        <w:kinsoku/>
        <w:wordWrap/>
        <w:overflowPunct/>
        <w:topLinePunct w:val="0"/>
        <w:autoSpaceDE w:val="0"/>
        <w:autoSpaceDN w:val="0"/>
        <w:bidi w:val="0"/>
        <w:adjustRightInd/>
        <w:spacing w:line="560" w:lineRule="exact"/>
        <w:ind w:firstLine="600" w:firstLineChars="200"/>
        <w:textAlignment w:val="bottom"/>
        <w:rPr>
          <w:rFonts w:hint="eastAsia" w:ascii="黑体" w:hAnsi="黑体" w:eastAsia="黑体" w:cs="Times New Roman"/>
          <w:sz w:val="30"/>
          <w:szCs w:val="30"/>
          <w:highlight w:val="none"/>
          <w:lang w:val="en-US" w:eastAsia="zh-CN"/>
        </w:rPr>
      </w:pPr>
      <w:r>
        <w:rPr>
          <w:rFonts w:hint="eastAsia" w:ascii="黑体" w:hAnsi="黑体" w:eastAsia="黑体" w:cs="Times New Roman"/>
          <w:sz w:val="30"/>
          <w:szCs w:val="30"/>
          <w:highlight w:val="none"/>
          <w:lang w:val="en-US" w:eastAsia="zh-CN"/>
        </w:rPr>
        <w:t>一、响应文件的组成</w:t>
      </w:r>
    </w:p>
    <w:p w14:paraId="017E0600">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（一）响应函（加盖公章）；</w:t>
      </w:r>
    </w:p>
    <w:p w14:paraId="0FF19989">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（二）供应商营业执照证明文件（加盖公章）；</w:t>
      </w:r>
    </w:p>
    <w:p w14:paraId="2A4E6315">
      <w:pPr>
        <w:spacing w:line="560" w:lineRule="exact"/>
        <w:ind w:firstLine="640"/>
        <w:jc w:val="left"/>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没有被列入“信用中国”网站（www.creditchina.gov.cn）的“失信被执行人”“重大税收违法失信主体”“政府采购严重违法失信行为记录名单”（查询路径：网站首页“专项查询”中对应节点下搜索输入投标单位名称，点击投标单位名称进行查看，提供截图情况），</w:t>
      </w:r>
      <w:bookmarkStart w:id="30" w:name="OLE_LINK11"/>
      <w:r>
        <w:rPr>
          <w:rFonts w:hint="eastAsia" w:ascii="仿宋_GB2312" w:hAnsi="仿宋_GB2312" w:eastAsia="仿宋_GB2312" w:cs="仿宋_GB2312"/>
          <w:b/>
          <w:bCs/>
          <w:sz w:val="32"/>
          <w:szCs w:val="32"/>
          <w:highlight w:val="none"/>
        </w:rPr>
        <w:t>截图显示查询日期早于采购公告公布之日的视作无效响应，仅提供信用信息报告的视作无效响应</w:t>
      </w:r>
      <w:bookmarkEnd w:id="30"/>
      <w:r>
        <w:rPr>
          <w:rFonts w:hint="eastAsia" w:ascii="仿宋_GB2312" w:hAnsi="仿宋_GB2312" w:eastAsia="仿宋_GB2312" w:cs="仿宋_GB2312"/>
          <w:b/>
          <w:bCs/>
          <w:sz w:val="32"/>
          <w:szCs w:val="32"/>
          <w:highlight w:val="none"/>
        </w:rPr>
        <w:t>，加盖公章。</w:t>
      </w:r>
    </w:p>
    <w:p w14:paraId="6196F85E">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drawing>
          <wp:anchor distT="0" distB="0" distL="0" distR="0" simplePos="0" relativeHeight="251666432" behindDoc="1" locked="0" layoutInCell="1" allowOverlap="1">
            <wp:simplePos x="0" y="0"/>
            <wp:positionH relativeFrom="column">
              <wp:posOffset>271780</wp:posOffset>
            </wp:positionH>
            <wp:positionV relativeFrom="page">
              <wp:posOffset>5624195</wp:posOffset>
            </wp:positionV>
            <wp:extent cx="5442585" cy="3609975"/>
            <wp:effectExtent l="0" t="0" r="5715" b="0"/>
            <wp:wrapThrough wrapText="bothSides">
              <wp:wrapPolygon>
                <wp:start x="21591" y="-2"/>
                <wp:lineTo x="0" y="0"/>
                <wp:lineTo x="0" y="21600"/>
                <wp:lineTo x="21591" y="21602"/>
                <wp:lineTo x="8" y="21602"/>
                <wp:lineTo x="21599" y="21600"/>
                <wp:lineTo x="21599" y="0"/>
                <wp:lineTo x="8" y="-2"/>
                <wp:lineTo x="21591" y="-2"/>
              </wp:wrapPolygon>
            </wp:wrapThrough>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4"/>
                    <a:stretch>
                      <a:fillRect/>
                    </a:stretch>
                  </pic:blipFill>
                  <pic:spPr>
                    <a:xfrm>
                      <a:off x="0" y="0"/>
                      <a:ext cx="5442585" cy="3609975"/>
                    </a:xfrm>
                    <a:prstGeom prst="rect">
                      <a:avLst/>
                    </a:prstGeom>
                    <a:noFill/>
                    <a:ln>
                      <a:noFill/>
                    </a:ln>
                  </pic:spPr>
                </pic:pic>
              </a:graphicData>
            </a:graphic>
          </wp:anchor>
        </w:drawing>
      </w:r>
      <w:r>
        <w:rPr>
          <w:rFonts w:hint="eastAsia" w:ascii="仿宋_GB2312" w:hAnsi="仿宋_GB2312" w:eastAsia="仿宋_GB2312" w:cs="仿宋_GB2312"/>
          <w:b/>
          <w:bCs/>
          <w:sz w:val="32"/>
          <w:szCs w:val="32"/>
          <w:highlight w:val="none"/>
        </w:rPr>
        <w:t>查询截图应包含电脑显示的时间</w:t>
      </w:r>
      <w:r>
        <w:rPr>
          <w:rFonts w:hint="eastAsia" w:ascii="仿宋_GB2312" w:hAnsi="仿宋_GB2312" w:eastAsia="仿宋_GB2312" w:cs="仿宋_GB2312"/>
          <w:sz w:val="32"/>
          <w:szCs w:val="32"/>
          <w:highlight w:val="none"/>
        </w:rPr>
        <w:t>，示例：</w:t>
      </w:r>
    </w:p>
    <w:p w14:paraId="6153F5D8">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（四）法定代表人资格证明及法定代表人身份证复印件；如非法定代表人亲自作为谈判代表，则需法定代表人授权委托书及被授权人身份证复印件（委托人不得有挂靠行为，加盖公章）；</w:t>
      </w:r>
    </w:p>
    <w:p w14:paraId="4576FAC2">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（五）供应商基本情况表（加盖公章）；</w:t>
      </w:r>
    </w:p>
    <w:p w14:paraId="56E028A5">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（六）报价文件（加盖公章）；</w:t>
      </w:r>
    </w:p>
    <w:p w14:paraId="20789E3F">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（七）商务文件；</w:t>
      </w:r>
    </w:p>
    <w:p w14:paraId="6E062980">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（八）技术及服务方案文件；</w:t>
      </w:r>
    </w:p>
    <w:p w14:paraId="77EBE363">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（九）供应商认为需要提供的其他资料。</w:t>
      </w:r>
    </w:p>
    <w:p w14:paraId="40FEBFE2">
      <w:pPr>
        <w:keepNext w:val="0"/>
        <w:keepLines w:val="0"/>
        <w:pageBreakBefore w:val="0"/>
        <w:kinsoku/>
        <w:wordWrap/>
        <w:overflowPunct/>
        <w:topLinePunct w:val="0"/>
        <w:bidi w:val="0"/>
        <w:adjustRightInd/>
        <w:snapToGrid w:val="0"/>
        <w:spacing w:line="560" w:lineRule="exact"/>
        <w:ind w:firstLine="643" w:firstLineChars="200"/>
        <w:rPr>
          <w:rFonts w:hint="eastAsia"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rPr>
        <w:t>以上所有文件</w:t>
      </w:r>
      <w:r>
        <w:rPr>
          <w:rFonts w:hint="eastAsia" w:ascii="仿宋_GB2312" w:hAnsi="仿宋_GB2312" w:eastAsia="仿宋_GB2312" w:cs="仿宋_GB2312"/>
          <w:b/>
          <w:sz w:val="32"/>
          <w:szCs w:val="32"/>
          <w:highlight w:val="none"/>
          <w:lang w:eastAsia="zh-CN"/>
        </w:rPr>
        <w:t>须加盖</w:t>
      </w:r>
      <w:r>
        <w:rPr>
          <w:rFonts w:hint="eastAsia" w:ascii="仿宋_GB2312" w:hAnsi="仿宋_GB2312" w:eastAsia="仿宋_GB2312" w:cs="仿宋_GB2312"/>
          <w:b/>
          <w:sz w:val="32"/>
          <w:szCs w:val="32"/>
          <w:highlight w:val="none"/>
        </w:rPr>
        <w:t>公章并按规定进行密封。</w:t>
      </w:r>
    </w:p>
    <w:p w14:paraId="01142F8D">
      <w:pPr>
        <w:keepNext w:val="0"/>
        <w:keepLines w:val="0"/>
        <w:pageBreakBefore w:val="0"/>
        <w:widowControl/>
        <w:tabs>
          <w:tab w:val="left" w:pos="-360"/>
          <w:tab w:val="left" w:pos="567"/>
        </w:tabs>
        <w:kinsoku/>
        <w:wordWrap/>
        <w:overflowPunct/>
        <w:topLinePunct w:val="0"/>
        <w:autoSpaceDE w:val="0"/>
        <w:autoSpaceDN w:val="0"/>
        <w:bidi w:val="0"/>
        <w:adjustRightInd/>
        <w:spacing w:line="560" w:lineRule="exact"/>
        <w:ind w:firstLine="600" w:firstLineChars="200"/>
        <w:textAlignment w:val="bottom"/>
        <w:rPr>
          <w:rFonts w:hint="eastAsia" w:ascii="黑体" w:hAnsi="黑体" w:eastAsia="黑体" w:cs="Times New Roman"/>
          <w:sz w:val="30"/>
          <w:szCs w:val="30"/>
          <w:highlight w:val="none"/>
          <w:lang w:val="en-US" w:eastAsia="zh-CN"/>
        </w:rPr>
      </w:pPr>
      <w:r>
        <w:rPr>
          <w:rFonts w:hint="eastAsia" w:ascii="黑体" w:hAnsi="黑体" w:eastAsia="黑体" w:cs="Times New Roman"/>
          <w:sz w:val="30"/>
          <w:szCs w:val="30"/>
          <w:highlight w:val="none"/>
          <w:lang w:val="en-US" w:eastAsia="zh-CN"/>
        </w:rPr>
        <w:t>二、响应文件的递交</w:t>
      </w:r>
    </w:p>
    <w:p w14:paraId="0474FDEA">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（一）响应文件需</w:t>
      </w:r>
      <w:r>
        <w:rPr>
          <w:rFonts w:hint="eastAsia" w:ascii="仿宋_GB2312" w:hAnsi="仿宋_GB2312" w:eastAsia="仿宋_GB2312" w:cs="仿宋_GB2312"/>
          <w:sz w:val="32"/>
          <w:szCs w:val="32"/>
          <w:highlight w:val="none"/>
          <w:lang w:val="en-US" w:eastAsia="zh-CN"/>
        </w:rPr>
        <w:t>进行</w:t>
      </w:r>
      <w:r>
        <w:rPr>
          <w:rFonts w:hint="eastAsia" w:ascii="仿宋_GB2312" w:hAnsi="仿宋_GB2312" w:eastAsia="仿宋_GB2312" w:cs="仿宋_GB2312"/>
          <w:sz w:val="32"/>
          <w:szCs w:val="32"/>
          <w:highlight w:val="none"/>
        </w:rPr>
        <w:t>密封；密封文件分别准备</w:t>
      </w:r>
      <w:r>
        <w:rPr>
          <w:rFonts w:hint="eastAsia" w:ascii="仿宋_GB2312" w:hAnsi="仿宋_GB2312" w:eastAsia="仿宋_GB2312" w:cs="仿宋_GB2312"/>
          <w:b/>
          <w:sz w:val="32"/>
          <w:szCs w:val="32"/>
          <w:highlight w:val="none"/>
        </w:rPr>
        <w:t>一份</w:t>
      </w:r>
      <w:r>
        <w:rPr>
          <w:rFonts w:hint="eastAsia" w:ascii="仿宋_GB2312" w:hAnsi="仿宋_GB2312" w:eastAsia="仿宋_GB2312" w:cs="仿宋_GB2312"/>
          <w:b/>
          <w:sz w:val="32"/>
          <w:szCs w:val="32"/>
          <w:highlight w:val="none"/>
          <w:lang w:val="en-US" w:eastAsia="zh-CN"/>
        </w:rPr>
        <w:t>正本和</w:t>
      </w:r>
      <w:r>
        <w:rPr>
          <w:rFonts w:hint="eastAsia" w:ascii="仿宋_GB2312" w:hAnsi="仿宋_GB2312" w:eastAsia="仿宋_GB2312" w:cs="仿宋_GB2312"/>
          <w:b/>
          <w:sz w:val="32"/>
          <w:szCs w:val="32"/>
          <w:highlight w:val="none"/>
        </w:rPr>
        <w:t>两份副本</w:t>
      </w:r>
      <w:r>
        <w:rPr>
          <w:rFonts w:hint="eastAsia" w:ascii="仿宋_GB2312" w:hAnsi="仿宋_GB2312" w:eastAsia="仿宋_GB2312" w:cs="仿宋_GB2312"/>
          <w:sz w:val="32"/>
          <w:szCs w:val="32"/>
          <w:highlight w:val="none"/>
        </w:rPr>
        <w:t>，装订成册，</w:t>
      </w:r>
      <w:r>
        <w:rPr>
          <w:rFonts w:hint="eastAsia" w:ascii="仿宋_GB2312" w:hAnsi="仿宋_GB2312" w:eastAsia="仿宋_GB2312" w:cs="仿宋_GB2312"/>
          <w:b/>
          <w:sz w:val="32"/>
          <w:szCs w:val="32"/>
          <w:highlight w:val="none"/>
        </w:rPr>
        <w:t>制订目录并编上页码</w:t>
      </w:r>
      <w:r>
        <w:rPr>
          <w:rFonts w:hint="eastAsia" w:ascii="仿宋_GB2312" w:hAnsi="仿宋_GB2312" w:eastAsia="仿宋_GB2312" w:cs="仿宋_GB2312"/>
          <w:sz w:val="32"/>
          <w:szCs w:val="32"/>
          <w:highlight w:val="none"/>
        </w:rPr>
        <w:t>，文件封面上要明确注明“正本”或“副本”字样，同时注明项目名称、供应商名称等必要信息。响应文件正本应加盖公章（多页加盖骑缝章）。响应文件的副本可采用正本的复印件（多页加盖骑缝章）。</w:t>
      </w:r>
    </w:p>
    <w:p w14:paraId="7C217289">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（二）供应商应按照上述“响应文件的组成”顺序整理响应文件并装订成册，在文件密封处标注响应项目名称并加盖供应商骑缝章。</w:t>
      </w:r>
    </w:p>
    <w:p w14:paraId="6B134DDE">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（三）响应文件有效期从递交响应文件截止之日起90个日历日。</w:t>
      </w:r>
    </w:p>
    <w:p w14:paraId="06DF0076">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（四）采购人将拒绝在递交响应文件截止时间后递交的任何响应文件。</w:t>
      </w:r>
    </w:p>
    <w:p w14:paraId="26B068E9">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五）在采购文件规定的递交响应文件截止时间之前，供应商可修改、补充或撤回已经递交的响应文件。供应商修改、补充或撤回响应文件的，应在响应文件的修改、补充文件或撤回响应文件的通知上按采购文件规定签字并盖章。采购人收到供应商撤回响应文件通知并检查确认无误后，留存其撤回通知，退回其已经递交的响应文件。</w:t>
      </w:r>
    </w:p>
    <w:p w14:paraId="4BF103D1">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六）采购人应安排专人在采购文件规定的时间和地点接收响应文件，记录响应文件送达时间以及其他情况，并检查各响应文件的密封情况并签收按照采购文件要求密封的响应文件，对未按照采购文件要求密封的响应文件予以拒收。</w:t>
      </w:r>
    </w:p>
    <w:p w14:paraId="764D9EBD">
      <w:pPr>
        <w:tabs>
          <w:tab w:val="left" w:pos="-360"/>
          <w:tab w:val="left" w:pos="567"/>
        </w:tabs>
        <w:autoSpaceDE w:val="0"/>
        <w:autoSpaceDN w:val="0"/>
        <w:spacing w:line="560" w:lineRule="exact"/>
        <w:ind w:firstLine="640"/>
        <w:textAlignment w:val="bottom"/>
        <w:rPr>
          <w:rFonts w:hint="eastAsia" w:ascii="黑体" w:hAnsi="黑体" w:eastAsia="黑体"/>
          <w:sz w:val="32"/>
          <w:szCs w:val="32"/>
          <w:highlight w:val="none"/>
        </w:rPr>
      </w:pPr>
      <w:r>
        <w:rPr>
          <w:rFonts w:hint="eastAsia" w:ascii="黑体" w:hAnsi="黑体" w:eastAsia="黑体"/>
          <w:sz w:val="32"/>
          <w:szCs w:val="32"/>
          <w:highlight w:val="none"/>
        </w:rPr>
        <w:t>三、采购文件的澄清、修改</w:t>
      </w:r>
    </w:p>
    <w:p w14:paraId="2A2F9E55">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供应商对采购文件如有疑点要求澄清，或认为有必要与采购人进行澄清时，可用书面或邮件的形式通知项目联系人，但通知不得迟于开启响应文件时间的前48小时，采购人可选择将答复内容包括原提出的问题（但不标明问题查询的来源），分</w:t>
      </w:r>
      <w:r>
        <w:rPr>
          <w:rFonts w:hint="eastAsia" w:ascii="仿宋_GB2312" w:hAnsi="仿宋_GB2312" w:eastAsia="仿宋_GB2312" w:cs="仿宋_GB2312"/>
          <w:sz w:val="32"/>
          <w:szCs w:val="32"/>
          <w:highlight w:val="none"/>
          <w:lang w:eastAsia="zh-CN"/>
        </w:rPr>
        <w:t>发给</w:t>
      </w:r>
      <w:r>
        <w:rPr>
          <w:rFonts w:hint="eastAsia" w:ascii="仿宋_GB2312" w:hAnsi="仿宋_GB2312" w:eastAsia="仿宋_GB2312" w:cs="仿宋_GB2312"/>
          <w:sz w:val="32"/>
          <w:szCs w:val="32"/>
          <w:highlight w:val="none"/>
        </w:rPr>
        <w:t>取得同一采购文件的所有供应商。</w:t>
      </w:r>
    </w:p>
    <w:p w14:paraId="14744E60">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2.本采购文件的解释权归采购人。供应商对采购人提供的采购文件所做出的推论、解释和结论，采购人概不负责。供应商未成交的原因，采购人没有义务解释。</w:t>
      </w:r>
    </w:p>
    <w:p w14:paraId="48071E92">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3.采购人有权对已发出的采购文件进行必要的澄清、修改或撤销。采购文件的澄清、修改文件是采购文件的组成部分。</w:t>
      </w:r>
    </w:p>
    <w:p w14:paraId="498E7D68">
      <w:pPr>
        <w:pStyle w:val="390"/>
        <w:rPr>
          <w:rFonts w:hint="eastAsia"/>
          <w:highlight w:val="none"/>
        </w:rPr>
      </w:pPr>
    </w:p>
    <w:p w14:paraId="5B2F1FFE">
      <w:pPr>
        <w:pStyle w:val="2"/>
        <w:spacing w:line="460" w:lineRule="exact"/>
        <w:jc w:val="center"/>
        <w:rPr>
          <w:rFonts w:hint="eastAsia" w:ascii="宋体" w:hAnsi="宋体" w:eastAsia="宋体" w:cs="Times New Roman"/>
          <w:b/>
          <w:bCs/>
          <w:kern w:val="2"/>
          <w:sz w:val="44"/>
          <w:szCs w:val="44"/>
          <w:highlight w:val="none"/>
          <w:lang w:val="en-US" w:eastAsia="zh-CN" w:bidi="ar-SA"/>
        </w:rPr>
      </w:pPr>
      <w:bookmarkStart w:id="31" w:name="_Toc26702"/>
      <w:bookmarkStart w:id="32" w:name="_Toc79177135"/>
      <w:r>
        <w:rPr>
          <w:rFonts w:hint="eastAsia" w:ascii="宋体" w:hAnsi="宋体" w:eastAsia="宋体" w:cs="Times New Roman"/>
          <w:b/>
          <w:bCs/>
          <w:kern w:val="2"/>
          <w:sz w:val="44"/>
          <w:szCs w:val="44"/>
          <w:highlight w:val="none"/>
          <w:lang w:val="en-US" w:eastAsia="zh-CN" w:bidi="ar-SA"/>
        </w:rPr>
        <w:t>第三章  评审响应文件</w:t>
      </w:r>
      <w:bookmarkEnd w:id="31"/>
      <w:bookmarkEnd w:id="32"/>
    </w:p>
    <w:p w14:paraId="041DA52A">
      <w:pPr>
        <w:tabs>
          <w:tab w:val="left" w:pos="-360"/>
          <w:tab w:val="left" w:pos="567"/>
        </w:tabs>
        <w:autoSpaceDE w:val="0"/>
        <w:autoSpaceDN w:val="0"/>
        <w:spacing w:line="560" w:lineRule="exact"/>
        <w:ind w:firstLine="640"/>
        <w:textAlignment w:val="bottom"/>
        <w:rPr>
          <w:rFonts w:hint="eastAsia" w:ascii="黑体" w:hAnsi="黑体" w:eastAsia="黑体"/>
          <w:sz w:val="32"/>
          <w:szCs w:val="32"/>
          <w:highlight w:val="none"/>
        </w:rPr>
      </w:pPr>
      <w:r>
        <w:rPr>
          <w:rFonts w:hint="eastAsia" w:ascii="黑体" w:hAnsi="黑体" w:eastAsia="黑体" w:cs="Times New Roman"/>
          <w:kern w:val="2"/>
          <w:sz w:val="30"/>
          <w:szCs w:val="30"/>
          <w:highlight w:val="none"/>
          <w:lang w:val="en-US" w:eastAsia="zh-CN" w:bidi="ar-SA"/>
        </w:rPr>
        <w:t>一、</w:t>
      </w:r>
      <w:r>
        <w:rPr>
          <w:rFonts w:hint="eastAsia" w:ascii="黑体" w:hAnsi="黑体" w:eastAsia="黑体"/>
          <w:sz w:val="32"/>
          <w:szCs w:val="32"/>
          <w:highlight w:val="none"/>
        </w:rPr>
        <w:t>谈判小组</w:t>
      </w:r>
    </w:p>
    <w:p w14:paraId="29001C5E">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评审工作由采购人组建的3人谈判小组负责。</w:t>
      </w:r>
    </w:p>
    <w:p w14:paraId="7915C0F6">
      <w:pPr>
        <w:spacing w:line="560" w:lineRule="exact"/>
        <w:ind w:firstLine="640"/>
        <w:rPr>
          <w:rFonts w:hint="eastAsia" w:ascii="黑体" w:hAnsi="黑体" w:eastAsia="黑体" w:cs="Times New Roman"/>
          <w:kern w:val="2"/>
          <w:sz w:val="30"/>
          <w:szCs w:val="30"/>
          <w:highlight w:val="none"/>
          <w:lang w:val="en-US" w:eastAsia="zh-CN" w:bidi="ar-SA"/>
        </w:rPr>
      </w:pPr>
      <w:r>
        <w:rPr>
          <w:rFonts w:hint="eastAsia" w:ascii="黑体" w:hAnsi="黑体" w:eastAsia="黑体" w:cs="Times New Roman"/>
          <w:kern w:val="2"/>
          <w:sz w:val="30"/>
          <w:szCs w:val="30"/>
          <w:highlight w:val="none"/>
          <w:lang w:val="en-US" w:eastAsia="zh-CN" w:bidi="ar-SA"/>
        </w:rPr>
        <w:t>二、评审</w:t>
      </w:r>
      <w:bookmarkStart w:id="33" w:name="_Toc229236501"/>
      <w:bookmarkStart w:id="34" w:name="_Toc177546571"/>
      <w:bookmarkStart w:id="35" w:name="_Toc209869262"/>
    </w:p>
    <w:p w14:paraId="56F6F727">
      <w:pPr>
        <w:pStyle w:val="390"/>
        <w:spacing w:line="560" w:lineRule="exact"/>
        <w:ind w:left="0" w:leftChars="0" w:firstLine="640" w:firstLineChars="200"/>
        <w:rPr>
          <w:rFonts w:hint="eastAsia" w:hAnsi="仿宋_GB2312"/>
          <w:highlight w:val="none"/>
        </w:rPr>
      </w:pPr>
      <w:r>
        <w:rPr>
          <w:rFonts w:hint="eastAsia" w:hAnsi="仿宋_GB2312"/>
          <w:highlight w:val="none"/>
        </w:rPr>
        <w:t>（一）资格评审</w:t>
      </w:r>
    </w:p>
    <w:p w14:paraId="63CABAD4">
      <w:pPr>
        <w:pStyle w:val="390"/>
        <w:spacing w:line="560" w:lineRule="exact"/>
        <w:ind w:left="0" w:leftChars="0" w:firstLine="640" w:firstLineChars="200"/>
        <w:rPr>
          <w:rFonts w:hint="eastAsia" w:hAnsi="仿宋_GB2312"/>
          <w:highlight w:val="none"/>
        </w:rPr>
      </w:pPr>
      <w:r>
        <w:rPr>
          <w:rFonts w:hint="eastAsia" w:hAnsi="仿宋_GB2312"/>
          <w:highlight w:val="none"/>
        </w:rPr>
        <w:t>谈判小组于2026年</w:t>
      </w:r>
      <w:r>
        <w:rPr>
          <w:rFonts w:hint="eastAsia" w:hAnsi="仿宋_GB2312"/>
          <w:highlight w:val="none"/>
          <w:lang w:val="en-US" w:eastAsia="zh-CN"/>
        </w:rPr>
        <w:t>10</w:t>
      </w:r>
      <w:r>
        <w:rPr>
          <w:rFonts w:hint="eastAsia" w:hAnsi="仿宋_GB2312"/>
          <w:highlight w:val="none"/>
        </w:rPr>
        <w:t>月</w:t>
      </w:r>
      <w:r>
        <w:rPr>
          <w:rFonts w:hint="eastAsia" w:hAnsi="仿宋_GB2312"/>
          <w:highlight w:val="none"/>
          <w:lang w:val="en-US" w:eastAsia="zh-CN"/>
        </w:rPr>
        <w:t>14</w:t>
      </w:r>
      <w:r>
        <w:rPr>
          <w:rFonts w:hint="eastAsia" w:hAnsi="仿宋_GB2312"/>
          <w:highlight w:val="none"/>
        </w:rPr>
        <w:t>日1</w:t>
      </w:r>
      <w:r>
        <w:rPr>
          <w:rFonts w:hint="eastAsia" w:hAnsi="仿宋_GB2312"/>
          <w:highlight w:val="none"/>
          <w:lang w:val="en-US" w:eastAsia="zh-CN"/>
        </w:rPr>
        <w:t>4</w:t>
      </w:r>
      <w:r>
        <w:rPr>
          <w:rFonts w:hint="eastAsia" w:hAnsi="仿宋_GB2312"/>
          <w:highlight w:val="none"/>
        </w:rPr>
        <w:t>:</w:t>
      </w:r>
      <w:r>
        <w:rPr>
          <w:rFonts w:hint="eastAsia" w:hAnsi="仿宋_GB2312"/>
          <w:highlight w:val="none"/>
          <w:lang w:val="en-US" w:eastAsia="zh-CN"/>
        </w:rPr>
        <w:t>3</w:t>
      </w:r>
      <w:r>
        <w:rPr>
          <w:rFonts w:hint="eastAsia" w:hAnsi="仿宋_GB2312"/>
          <w:highlight w:val="none"/>
        </w:rPr>
        <w:t>0开启响应文件进行资格评审（根据实际调整时间）。参与竞争性谈判的供应商数量须为2家以上，若出现参与谈判的供应商数量不足的情况，我方可以根据实际情况对响应文件截止提交日期进行适当延长。</w:t>
      </w:r>
    </w:p>
    <w:p w14:paraId="492F005A">
      <w:pPr>
        <w:pStyle w:val="390"/>
        <w:spacing w:line="560" w:lineRule="exact"/>
        <w:ind w:left="0" w:leftChars="0" w:firstLine="640" w:firstLineChars="200"/>
        <w:rPr>
          <w:rFonts w:hint="eastAsia" w:hAnsi="仿宋_GB2312"/>
          <w:highlight w:val="none"/>
        </w:rPr>
      </w:pPr>
      <w:r>
        <w:rPr>
          <w:rFonts w:hint="eastAsia" w:hAnsi="仿宋_GB2312"/>
          <w:highlight w:val="none"/>
        </w:rPr>
        <w:t>由谈判小组进行资格评审，有一项不符合评标标准的，评审人员应当否决其响应。审查的结论是“通过”或“不通过”，只有结论为“通过”的资格审查供应商才能进入现场谈判环节。</w:t>
      </w:r>
    </w:p>
    <w:p w14:paraId="213D05D7">
      <w:pPr>
        <w:pStyle w:val="390"/>
        <w:spacing w:line="560" w:lineRule="exact"/>
        <w:ind w:left="0" w:leftChars="0" w:firstLine="640" w:firstLineChars="200"/>
        <w:rPr>
          <w:rFonts w:hint="eastAsia" w:hAnsi="仿宋_GB2312"/>
          <w:highlight w:val="none"/>
        </w:rPr>
      </w:pPr>
      <w:r>
        <w:rPr>
          <w:rFonts w:hint="eastAsia" w:hAnsi="仿宋_GB2312"/>
          <w:highlight w:val="none"/>
        </w:rPr>
        <w:t>（二）现场谈判</w:t>
      </w:r>
    </w:p>
    <w:p w14:paraId="0E9A22D5">
      <w:pPr>
        <w:pStyle w:val="390"/>
        <w:spacing w:line="560" w:lineRule="exact"/>
        <w:ind w:left="0" w:leftChars="0" w:firstLine="640" w:firstLineChars="200"/>
        <w:rPr>
          <w:rFonts w:hint="eastAsia" w:hAnsi="仿宋_GB2312"/>
          <w:highlight w:val="none"/>
        </w:rPr>
      </w:pPr>
      <w:r>
        <w:rPr>
          <w:rFonts w:hint="eastAsia" w:hAnsi="仿宋_GB2312"/>
          <w:highlight w:val="none"/>
        </w:rPr>
        <w:t>1.完成资格审查后组织谈判，现场谈判时间一般安排在资格评审结束后3天内进行（根据实际调整），具体谈判时间、地点仍需以采购人通知为准。</w:t>
      </w:r>
    </w:p>
    <w:p w14:paraId="4085D373">
      <w:pPr>
        <w:pStyle w:val="390"/>
        <w:spacing w:line="560" w:lineRule="exact"/>
        <w:ind w:left="0" w:leftChars="0" w:firstLine="640" w:firstLineChars="200"/>
        <w:rPr>
          <w:rFonts w:hint="eastAsia" w:hAnsi="仿宋_GB2312"/>
          <w:highlight w:val="none"/>
        </w:rPr>
      </w:pPr>
      <w:r>
        <w:rPr>
          <w:rFonts w:hint="eastAsia" w:hAnsi="仿宋_GB2312"/>
          <w:highlight w:val="none"/>
        </w:rPr>
        <w:t>2.供应商委派参加谈判的人员为法定代表人（或被授权代表）且均须持本人有效身份证明按时到达指定地点进行谈判。不参加或参加人员不符合要求的视为放弃谈判，属于无效响应。</w:t>
      </w:r>
    </w:p>
    <w:p w14:paraId="7E16F444">
      <w:pPr>
        <w:pStyle w:val="390"/>
        <w:spacing w:line="560" w:lineRule="exact"/>
        <w:ind w:left="0" w:leftChars="0" w:firstLine="640" w:firstLineChars="200"/>
        <w:rPr>
          <w:rFonts w:hint="eastAsia" w:hAnsi="仿宋_GB2312"/>
          <w:highlight w:val="none"/>
        </w:rPr>
      </w:pPr>
      <w:r>
        <w:rPr>
          <w:rFonts w:hint="eastAsia" w:hAnsi="仿宋_GB2312"/>
          <w:highlight w:val="none"/>
        </w:rPr>
        <w:t>3.采购人逐一与供应商就价格、项目实施方案、拟派驻团队要求等内容进行谈判，采购人可根据谈判实际情况提请供应商对响应文件进行修改和补充。</w:t>
      </w:r>
    </w:p>
    <w:p w14:paraId="7AF37B94">
      <w:pPr>
        <w:pStyle w:val="390"/>
        <w:spacing w:line="560" w:lineRule="exact"/>
        <w:ind w:left="0" w:leftChars="0" w:firstLine="640" w:firstLineChars="200"/>
        <w:rPr>
          <w:rFonts w:hint="eastAsia" w:hAnsi="仿宋_GB2312"/>
          <w:highlight w:val="none"/>
        </w:rPr>
      </w:pPr>
      <w:r>
        <w:rPr>
          <w:rFonts w:hint="eastAsia" w:hAnsi="仿宋_GB2312"/>
          <w:highlight w:val="none"/>
        </w:rPr>
        <w:t>4.供应商根据谈判情况可对原响应文件进行修改，采购人将对谈判过程和重要谈判内容形成记录，供应商代表签字后作为评审的依据。</w:t>
      </w:r>
    </w:p>
    <w:p w14:paraId="76776182">
      <w:pPr>
        <w:pStyle w:val="390"/>
        <w:spacing w:line="560" w:lineRule="exact"/>
        <w:ind w:left="0" w:leftChars="0" w:firstLine="640" w:firstLineChars="200"/>
        <w:rPr>
          <w:rFonts w:hint="eastAsia" w:hAnsi="仿宋_GB2312"/>
          <w:highlight w:val="none"/>
        </w:rPr>
      </w:pPr>
      <w:r>
        <w:rPr>
          <w:rFonts w:hint="eastAsia" w:hAnsi="仿宋_GB2312"/>
          <w:highlight w:val="none"/>
        </w:rPr>
        <w:t>5.供应商代表在谈判中做出的承诺构成响应文件的组成部分，且组成部分具有同等效力。</w:t>
      </w:r>
    </w:p>
    <w:p w14:paraId="377ECF2C">
      <w:pPr>
        <w:pStyle w:val="390"/>
        <w:spacing w:line="560" w:lineRule="exact"/>
        <w:ind w:left="420"/>
        <w:rPr>
          <w:rFonts w:hint="eastAsia" w:hAnsi="仿宋_GB2312"/>
          <w:highlight w:val="none"/>
        </w:rPr>
      </w:pPr>
      <w:r>
        <w:rPr>
          <w:rFonts w:hint="eastAsia" w:hAnsi="仿宋_GB2312"/>
          <w:highlight w:val="none"/>
        </w:rPr>
        <w:t>（三）评审方法：综合评分法</w:t>
      </w:r>
    </w:p>
    <w:p w14:paraId="61E6BF2B">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响应文件满足采购文件的所有资格条件下，谈判小组与所有参与谈判的供应商进行谈判后，由谈判小组根据采购评审细则要求，结合供应商响应文件和谈判结果进行评分，最后选取综合评分最高的投标人为第一成交候选人。</w:t>
      </w:r>
    </w:p>
    <w:p w14:paraId="76194CAC">
      <w:pPr>
        <w:pStyle w:val="390"/>
        <w:spacing w:line="560" w:lineRule="exact"/>
        <w:ind w:left="420"/>
        <w:rPr>
          <w:rFonts w:hAnsi="仿宋_GB2312"/>
          <w:highlight w:val="none"/>
        </w:rPr>
      </w:pPr>
      <w:r>
        <w:rPr>
          <w:rFonts w:hint="eastAsia" w:hAnsi="仿宋_GB2312"/>
          <w:highlight w:val="none"/>
        </w:rPr>
        <w:t>（四）评审细则</w:t>
      </w:r>
    </w:p>
    <w:p w14:paraId="362F16E4">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谈判小组按价格标、商务标和技术标评分标准规定的评审因素和分值进行评分，评分分值计算保留小数点后两位，小数点后第三位“四舍五入”。</w:t>
      </w:r>
    </w:p>
    <w:tbl>
      <w:tblPr>
        <w:tblStyle w:val="49"/>
        <w:tblW w:w="8051" w:type="dxa"/>
        <w:jc w:val="center"/>
        <w:tblLayout w:type="autofit"/>
        <w:tblCellMar>
          <w:top w:w="0" w:type="dxa"/>
          <w:left w:w="108" w:type="dxa"/>
          <w:bottom w:w="0" w:type="dxa"/>
          <w:right w:w="108" w:type="dxa"/>
        </w:tblCellMar>
      </w:tblPr>
      <w:tblGrid>
        <w:gridCol w:w="1843"/>
        <w:gridCol w:w="1837"/>
        <w:gridCol w:w="2103"/>
        <w:gridCol w:w="2268"/>
      </w:tblGrid>
      <w:tr w14:paraId="161D58A9">
        <w:trPr>
          <w:trHeight w:val="544" w:hRule="atLeast"/>
          <w:jc w:val="center"/>
        </w:trPr>
        <w:tc>
          <w:tcPr>
            <w:tcW w:w="8051" w:type="dxa"/>
            <w:gridSpan w:val="4"/>
            <w:tcBorders>
              <w:top w:val="nil"/>
              <w:left w:val="nil"/>
              <w:bottom w:val="nil"/>
              <w:right w:val="nil"/>
            </w:tcBorders>
            <w:noWrap/>
            <w:vAlign w:val="center"/>
          </w:tcPr>
          <w:p w14:paraId="7CB3DB2D">
            <w:pPr>
              <w:widowControl/>
              <w:spacing w:line="240" w:lineRule="auto"/>
              <w:ind w:firstLine="0" w:firstLineChars="0"/>
              <w:jc w:val="center"/>
              <w:rPr>
                <w:rFonts w:ascii="仿宋_GB2312" w:hAnsi="等线" w:eastAsia="仿宋_GB2312" w:cs="宋体"/>
                <w:b/>
                <w:bCs/>
                <w:color w:val="000000"/>
                <w:kern w:val="0"/>
                <w:sz w:val="28"/>
                <w:szCs w:val="28"/>
                <w:highlight w:val="none"/>
              </w:rPr>
            </w:pPr>
            <w:r>
              <w:rPr>
                <w:rFonts w:hint="eastAsia" w:ascii="仿宋_GB2312" w:hAnsi="等线" w:eastAsia="仿宋_GB2312" w:cs="宋体"/>
                <w:b/>
                <w:bCs/>
                <w:color w:val="000000"/>
                <w:kern w:val="0"/>
                <w:sz w:val="28"/>
                <w:szCs w:val="28"/>
                <w:highlight w:val="none"/>
              </w:rPr>
              <w:t>《价格部分、技术部分、商务部分权重表和综合得分汇总》</w:t>
            </w:r>
          </w:p>
        </w:tc>
      </w:tr>
      <w:tr w14:paraId="4D16C275">
        <w:tblPrEx>
          <w:tblCellMar>
            <w:top w:w="0" w:type="dxa"/>
            <w:left w:w="108" w:type="dxa"/>
            <w:bottom w:w="0" w:type="dxa"/>
            <w:right w:w="108" w:type="dxa"/>
          </w:tblCellMar>
        </w:tblPrEx>
        <w:trPr>
          <w:trHeight w:val="372" w:hRule="atLeast"/>
          <w:jc w:val="center"/>
        </w:trPr>
        <w:tc>
          <w:tcPr>
            <w:tcW w:w="1843" w:type="dxa"/>
            <w:tcBorders>
              <w:top w:val="single" w:color="auto" w:sz="4" w:space="0"/>
              <w:left w:val="single" w:color="auto" w:sz="4" w:space="0"/>
              <w:bottom w:val="single" w:color="auto" w:sz="4" w:space="0"/>
              <w:right w:val="single" w:color="auto" w:sz="4" w:space="0"/>
            </w:tcBorders>
            <w:noWrap/>
            <w:vAlign w:val="center"/>
          </w:tcPr>
          <w:p w14:paraId="424695D2">
            <w:pPr>
              <w:widowControl/>
              <w:spacing w:line="240" w:lineRule="auto"/>
              <w:ind w:firstLine="0" w:firstLineChars="0"/>
              <w:jc w:val="center"/>
              <w:rPr>
                <w:rFonts w:hint="eastAsia" w:ascii="仿宋_GB2312" w:hAnsi="等线" w:eastAsia="仿宋_GB2312" w:cs="宋体"/>
                <w:color w:val="000000"/>
                <w:kern w:val="0"/>
                <w:sz w:val="24"/>
                <w:szCs w:val="24"/>
                <w:highlight w:val="none"/>
              </w:rPr>
            </w:pPr>
            <w:r>
              <w:rPr>
                <w:rFonts w:hint="eastAsia" w:ascii="仿宋_GB2312" w:hAnsi="等线" w:eastAsia="仿宋_GB2312" w:cs="宋体"/>
                <w:color w:val="000000"/>
                <w:kern w:val="0"/>
                <w:sz w:val="24"/>
                <w:szCs w:val="24"/>
                <w:highlight w:val="none"/>
              </w:rPr>
              <w:t>权重名称</w:t>
            </w:r>
          </w:p>
        </w:tc>
        <w:tc>
          <w:tcPr>
            <w:tcW w:w="1837" w:type="dxa"/>
            <w:tcBorders>
              <w:top w:val="single" w:color="auto" w:sz="4" w:space="0"/>
              <w:left w:val="nil"/>
              <w:bottom w:val="single" w:color="auto" w:sz="4" w:space="0"/>
              <w:right w:val="single" w:color="auto" w:sz="4" w:space="0"/>
            </w:tcBorders>
            <w:noWrap/>
            <w:vAlign w:val="center"/>
          </w:tcPr>
          <w:p w14:paraId="15D9057C">
            <w:pPr>
              <w:widowControl/>
              <w:spacing w:line="240" w:lineRule="auto"/>
              <w:ind w:firstLine="0" w:firstLineChars="0"/>
              <w:jc w:val="center"/>
              <w:rPr>
                <w:rFonts w:hint="eastAsia" w:ascii="仿宋_GB2312" w:hAnsi="等线" w:eastAsia="仿宋_GB2312" w:cs="宋体"/>
                <w:color w:val="000000"/>
                <w:kern w:val="0"/>
                <w:sz w:val="24"/>
                <w:szCs w:val="24"/>
                <w:highlight w:val="none"/>
              </w:rPr>
            </w:pPr>
            <w:r>
              <w:rPr>
                <w:rFonts w:hint="eastAsia" w:ascii="仿宋_GB2312" w:hAnsi="等线" w:eastAsia="仿宋_GB2312" w:cs="宋体"/>
                <w:color w:val="000000"/>
                <w:kern w:val="0"/>
                <w:sz w:val="24"/>
                <w:szCs w:val="24"/>
                <w:highlight w:val="none"/>
              </w:rPr>
              <w:t>价格权重</w:t>
            </w:r>
          </w:p>
        </w:tc>
        <w:tc>
          <w:tcPr>
            <w:tcW w:w="2103" w:type="dxa"/>
            <w:tcBorders>
              <w:top w:val="single" w:color="auto" w:sz="4" w:space="0"/>
              <w:left w:val="nil"/>
              <w:bottom w:val="single" w:color="auto" w:sz="4" w:space="0"/>
              <w:right w:val="single" w:color="auto" w:sz="4" w:space="0"/>
            </w:tcBorders>
            <w:noWrap/>
            <w:vAlign w:val="center"/>
          </w:tcPr>
          <w:p w14:paraId="6B0F6B30">
            <w:pPr>
              <w:widowControl/>
              <w:spacing w:line="240" w:lineRule="auto"/>
              <w:ind w:firstLine="0" w:firstLineChars="0"/>
              <w:jc w:val="center"/>
              <w:rPr>
                <w:rFonts w:hint="eastAsia" w:ascii="仿宋_GB2312" w:hAnsi="等线" w:eastAsia="仿宋_GB2312" w:cs="宋体"/>
                <w:color w:val="000000"/>
                <w:kern w:val="0"/>
                <w:sz w:val="24"/>
                <w:szCs w:val="24"/>
                <w:highlight w:val="none"/>
              </w:rPr>
            </w:pPr>
            <w:r>
              <w:rPr>
                <w:rFonts w:hint="eastAsia" w:ascii="仿宋_GB2312" w:hAnsi="等线" w:eastAsia="仿宋_GB2312" w:cs="宋体"/>
                <w:color w:val="000000"/>
                <w:kern w:val="0"/>
                <w:sz w:val="24"/>
                <w:szCs w:val="24"/>
                <w:highlight w:val="none"/>
              </w:rPr>
              <w:t>技术权重</w:t>
            </w:r>
          </w:p>
        </w:tc>
        <w:tc>
          <w:tcPr>
            <w:tcW w:w="2268" w:type="dxa"/>
            <w:tcBorders>
              <w:top w:val="single" w:color="auto" w:sz="4" w:space="0"/>
              <w:left w:val="nil"/>
              <w:bottom w:val="single" w:color="auto" w:sz="4" w:space="0"/>
              <w:right w:val="single" w:color="auto" w:sz="4" w:space="0"/>
            </w:tcBorders>
            <w:noWrap/>
            <w:vAlign w:val="center"/>
          </w:tcPr>
          <w:p w14:paraId="42544580">
            <w:pPr>
              <w:widowControl/>
              <w:spacing w:line="240" w:lineRule="auto"/>
              <w:ind w:firstLine="0" w:firstLineChars="0"/>
              <w:jc w:val="center"/>
              <w:rPr>
                <w:rFonts w:hint="eastAsia" w:ascii="仿宋_GB2312" w:hAnsi="等线" w:eastAsia="仿宋_GB2312" w:cs="宋体"/>
                <w:color w:val="000000"/>
                <w:kern w:val="0"/>
                <w:sz w:val="24"/>
                <w:szCs w:val="24"/>
                <w:highlight w:val="none"/>
              </w:rPr>
            </w:pPr>
            <w:r>
              <w:rPr>
                <w:rFonts w:hint="eastAsia" w:ascii="仿宋_GB2312" w:hAnsi="等线" w:eastAsia="仿宋_GB2312" w:cs="宋体"/>
                <w:color w:val="000000"/>
                <w:kern w:val="0"/>
                <w:sz w:val="24"/>
                <w:szCs w:val="24"/>
                <w:highlight w:val="none"/>
              </w:rPr>
              <w:t>商务权重</w:t>
            </w:r>
          </w:p>
        </w:tc>
      </w:tr>
      <w:tr w14:paraId="56470C7F">
        <w:tblPrEx>
          <w:tblCellMar>
            <w:top w:w="0" w:type="dxa"/>
            <w:left w:w="108" w:type="dxa"/>
            <w:bottom w:w="0" w:type="dxa"/>
            <w:right w:w="108" w:type="dxa"/>
          </w:tblCellMar>
        </w:tblPrEx>
        <w:trPr>
          <w:trHeight w:val="405" w:hRule="atLeast"/>
          <w:jc w:val="center"/>
        </w:trPr>
        <w:tc>
          <w:tcPr>
            <w:tcW w:w="1843" w:type="dxa"/>
            <w:tcBorders>
              <w:top w:val="nil"/>
              <w:left w:val="single" w:color="auto" w:sz="4" w:space="0"/>
              <w:bottom w:val="single" w:color="auto" w:sz="4" w:space="0"/>
              <w:right w:val="single" w:color="auto" w:sz="4" w:space="0"/>
            </w:tcBorders>
            <w:noWrap/>
            <w:vAlign w:val="center"/>
          </w:tcPr>
          <w:p w14:paraId="4BEF8B58">
            <w:pPr>
              <w:widowControl/>
              <w:spacing w:line="240" w:lineRule="auto"/>
              <w:ind w:firstLine="0" w:firstLineChars="0"/>
              <w:jc w:val="center"/>
              <w:rPr>
                <w:rFonts w:hint="eastAsia" w:ascii="仿宋_GB2312" w:hAnsi="等线" w:eastAsia="仿宋_GB2312" w:cs="宋体"/>
                <w:color w:val="000000"/>
                <w:kern w:val="0"/>
                <w:sz w:val="24"/>
                <w:szCs w:val="24"/>
                <w:highlight w:val="none"/>
              </w:rPr>
            </w:pPr>
            <w:r>
              <w:rPr>
                <w:rFonts w:hint="eastAsia" w:ascii="仿宋_GB2312" w:hAnsi="等线" w:eastAsia="仿宋_GB2312" w:cs="宋体"/>
                <w:color w:val="000000"/>
                <w:kern w:val="0"/>
                <w:sz w:val="24"/>
                <w:szCs w:val="24"/>
                <w:highlight w:val="none"/>
              </w:rPr>
              <w:t>权重</w:t>
            </w:r>
          </w:p>
        </w:tc>
        <w:tc>
          <w:tcPr>
            <w:tcW w:w="1837" w:type="dxa"/>
            <w:tcBorders>
              <w:top w:val="nil"/>
              <w:left w:val="nil"/>
              <w:bottom w:val="single" w:color="auto" w:sz="4" w:space="0"/>
              <w:right w:val="single" w:color="auto" w:sz="4" w:space="0"/>
            </w:tcBorders>
            <w:noWrap/>
            <w:vAlign w:val="center"/>
          </w:tcPr>
          <w:p w14:paraId="26D4D5E5">
            <w:pPr>
              <w:widowControl/>
              <w:spacing w:line="240" w:lineRule="auto"/>
              <w:ind w:firstLine="0" w:firstLineChars="0"/>
              <w:jc w:val="center"/>
              <w:rPr>
                <w:rFonts w:hint="eastAsia" w:ascii="仿宋_GB2312" w:hAnsi="等线" w:eastAsia="仿宋_GB2312" w:cs="宋体"/>
                <w:color w:val="000000"/>
                <w:kern w:val="0"/>
                <w:sz w:val="24"/>
                <w:szCs w:val="24"/>
                <w:highlight w:val="none"/>
              </w:rPr>
            </w:pPr>
            <w:r>
              <w:rPr>
                <w:rFonts w:hint="eastAsia" w:ascii="仿宋_GB2312" w:hAnsi="等线" w:eastAsia="仿宋_GB2312" w:cs="宋体"/>
                <w:color w:val="000000"/>
                <w:kern w:val="0"/>
                <w:sz w:val="24"/>
                <w:szCs w:val="24"/>
                <w:highlight w:val="none"/>
                <w:lang w:val="en-US" w:eastAsia="zh-CN"/>
              </w:rPr>
              <w:t>35</w:t>
            </w:r>
            <w:r>
              <w:rPr>
                <w:rFonts w:hint="eastAsia" w:ascii="仿宋_GB2312" w:hAnsi="等线" w:eastAsia="仿宋_GB2312" w:cs="宋体"/>
                <w:color w:val="000000"/>
                <w:kern w:val="0"/>
                <w:sz w:val="24"/>
                <w:szCs w:val="24"/>
                <w:highlight w:val="none"/>
              </w:rPr>
              <w:t>%</w:t>
            </w:r>
          </w:p>
        </w:tc>
        <w:tc>
          <w:tcPr>
            <w:tcW w:w="2103" w:type="dxa"/>
            <w:tcBorders>
              <w:top w:val="nil"/>
              <w:left w:val="nil"/>
              <w:bottom w:val="single" w:color="auto" w:sz="4" w:space="0"/>
              <w:right w:val="single" w:color="auto" w:sz="4" w:space="0"/>
            </w:tcBorders>
            <w:noWrap/>
            <w:vAlign w:val="center"/>
          </w:tcPr>
          <w:p w14:paraId="0A51A6AB">
            <w:pPr>
              <w:widowControl/>
              <w:spacing w:line="240" w:lineRule="auto"/>
              <w:ind w:firstLine="0" w:firstLineChars="0"/>
              <w:jc w:val="center"/>
              <w:rPr>
                <w:rFonts w:hint="eastAsia" w:ascii="仿宋_GB2312" w:hAnsi="等线" w:eastAsia="仿宋_GB2312" w:cs="宋体"/>
                <w:color w:val="000000"/>
                <w:kern w:val="0"/>
                <w:sz w:val="24"/>
                <w:szCs w:val="24"/>
                <w:highlight w:val="none"/>
              </w:rPr>
            </w:pPr>
            <w:r>
              <w:rPr>
                <w:rFonts w:hint="eastAsia" w:ascii="仿宋_GB2312" w:hAnsi="等线" w:eastAsia="仿宋_GB2312" w:cs="宋体"/>
                <w:color w:val="000000"/>
                <w:kern w:val="0"/>
                <w:sz w:val="24"/>
                <w:szCs w:val="24"/>
                <w:highlight w:val="none"/>
                <w:lang w:val="en-US" w:eastAsia="zh-CN"/>
              </w:rPr>
              <w:t>45</w:t>
            </w:r>
            <w:r>
              <w:rPr>
                <w:rFonts w:hint="eastAsia" w:ascii="仿宋_GB2312" w:hAnsi="等线" w:eastAsia="仿宋_GB2312" w:cs="宋体"/>
                <w:color w:val="000000"/>
                <w:kern w:val="0"/>
                <w:sz w:val="24"/>
                <w:szCs w:val="24"/>
                <w:highlight w:val="none"/>
              </w:rPr>
              <w:t>%</w:t>
            </w:r>
          </w:p>
        </w:tc>
        <w:tc>
          <w:tcPr>
            <w:tcW w:w="2268" w:type="dxa"/>
            <w:tcBorders>
              <w:top w:val="nil"/>
              <w:left w:val="nil"/>
              <w:bottom w:val="single" w:color="auto" w:sz="4" w:space="0"/>
              <w:right w:val="single" w:color="auto" w:sz="4" w:space="0"/>
            </w:tcBorders>
            <w:noWrap/>
            <w:vAlign w:val="center"/>
          </w:tcPr>
          <w:p w14:paraId="22EB0B5B">
            <w:pPr>
              <w:widowControl/>
              <w:spacing w:line="240" w:lineRule="auto"/>
              <w:ind w:firstLine="0" w:firstLineChars="0"/>
              <w:jc w:val="center"/>
              <w:rPr>
                <w:rFonts w:hint="eastAsia" w:ascii="仿宋_GB2312" w:hAnsi="等线" w:eastAsia="仿宋_GB2312" w:cs="宋体"/>
                <w:color w:val="000000"/>
                <w:kern w:val="0"/>
                <w:sz w:val="24"/>
                <w:szCs w:val="24"/>
                <w:highlight w:val="none"/>
              </w:rPr>
            </w:pPr>
            <w:r>
              <w:rPr>
                <w:rFonts w:hint="eastAsia" w:ascii="仿宋_GB2312" w:hAnsi="等线" w:eastAsia="仿宋_GB2312" w:cs="宋体"/>
                <w:color w:val="000000"/>
                <w:kern w:val="0"/>
                <w:sz w:val="24"/>
                <w:szCs w:val="24"/>
                <w:highlight w:val="none"/>
                <w:lang w:val="en-US" w:eastAsia="zh-CN"/>
              </w:rPr>
              <w:t>20</w:t>
            </w:r>
            <w:r>
              <w:rPr>
                <w:rFonts w:hint="eastAsia" w:ascii="仿宋_GB2312" w:hAnsi="等线" w:eastAsia="仿宋_GB2312" w:cs="宋体"/>
                <w:color w:val="000000"/>
                <w:kern w:val="0"/>
                <w:sz w:val="24"/>
                <w:szCs w:val="24"/>
                <w:highlight w:val="none"/>
              </w:rPr>
              <w:t>%</w:t>
            </w:r>
          </w:p>
        </w:tc>
      </w:tr>
      <w:tr w14:paraId="537D0BDF">
        <w:tblPrEx>
          <w:tblCellMar>
            <w:top w:w="0" w:type="dxa"/>
            <w:left w:w="108" w:type="dxa"/>
            <w:bottom w:w="0" w:type="dxa"/>
            <w:right w:w="108" w:type="dxa"/>
          </w:tblCellMar>
        </w:tblPrEx>
        <w:trPr>
          <w:trHeight w:val="513" w:hRule="atLeast"/>
          <w:jc w:val="center"/>
        </w:trPr>
        <w:tc>
          <w:tcPr>
            <w:tcW w:w="1843" w:type="dxa"/>
            <w:tcBorders>
              <w:top w:val="nil"/>
              <w:left w:val="single" w:color="auto" w:sz="4" w:space="0"/>
              <w:bottom w:val="single" w:color="auto" w:sz="4" w:space="0"/>
              <w:right w:val="single" w:color="auto" w:sz="4" w:space="0"/>
            </w:tcBorders>
            <w:noWrap/>
            <w:vAlign w:val="center"/>
          </w:tcPr>
          <w:p w14:paraId="55291801">
            <w:pPr>
              <w:widowControl/>
              <w:spacing w:line="240" w:lineRule="auto"/>
              <w:ind w:firstLine="0" w:firstLineChars="0"/>
              <w:jc w:val="center"/>
              <w:rPr>
                <w:rFonts w:hint="eastAsia" w:ascii="仿宋_GB2312" w:hAnsi="等线" w:eastAsia="仿宋_GB2312" w:cs="宋体"/>
                <w:color w:val="000000"/>
                <w:kern w:val="0"/>
                <w:sz w:val="24"/>
                <w:szCs w:val="24"/>
                <w:highlight w:val="none"/>
              </w:rPr>
            </w:pPr>
            <w:r>
              <w:rPr>
                <w:rFonts w:hint="eastAsia" w:ascii="仿宋_GB2312" w:hAnsi="等线" w:eastAsia="仿宋_GB2312" w:cs="宋体"/>
                <w:color w:val="000000"/>
                <w:kern w:val="0"/>
                <w:sz w:val="24"/>
                <w:szCs w:val="24"/>
                <w:highlight w:val="none"/>
              </w:rPr>
              <w:t>满分</w:t>
            </w:r>
          </w:p>
        </w:tc>
        <w:tc>
          <w:tcPr>
            <w:tcW w:w="1837" w:type="dxa"/>
            <w:tcBorders>
              <w:top w:val="nil"/>
              <w:left w:val="nil"/>
              <w:bottom w:val="single" w:color="auto" w:sz="4" w:space="0"/>
              <w:right w:val="single" w:color="auto" w:sz="4" w:space="0"/>
            </w:tcBorders>
            <w:noWrap/>
            <w:vAlign w:val="center"/>
          </w:tcPr>
          <w:p w14:paraId="17EFF2BD">
            <w:pPr>
              <w:widowControl/>
              <w:spacing w:line="240" w:lineRule="auto"/>
              <w:ind w:firstLine="0" w:firstLineChars="0"/>
              <w:jc w:val="center"/>
              <w:rPr>
                <w:rFonts w:hint="eastAsia" w:ascii="仿宋_GB2312" w:hAnsi="等线" w:eastAsia="仿宋_GB2312" w:cs="宋体"/>
                <w:color w:val="000000"/>
                <w:kern w:val="0"/>
                <w:sz w:val="24"/>
                <w:szCs w:val="24"/>
                <w:highlight w:val="none"/>
              </w:rPr>
            </w:pPr>
            <w:r>
              <w:rPr>
                <w:rFonts w:ascii="仿宋_GB2312" w:hAnsi="等线" w:eastAsia="仿宋_GB2312" w:cs="宋体"/>
                <w:color w:val="000000"/>
                <w:kern w:val="0"/>
                <w:sz w:val="24"/>
                <w:szCs w:val="24"/>
                <w:highlight w:val="none"/>
              </w:rPr>
              <w:t xml:space="preserve"> </w:t>
            </w:r>
            <w:r>
              <w:rPr>
                <w:rFonts w:hint="eastAsia" w:ascii="仿宋_GB2312" w:hAnsi="等线" w:eastAsia="仿宋_GB2312" w:cs="宋体"/>
                <w:color w:val="000000"/>
                <w:kern w:val="0"/>
                <w:sz w:val="24"/>
                <w:szCs w:val="24"/>
                <w:highlight w:val="none"/>
                <w:lang w:val="en-US" w:eastAsia="zh-CN"/>
              </w:rPr>
              <w:t>35</w:t>
            </w:r>
            <w:r>
              <w:rPr>
                <w:rFonts w:hint="eastAsia" w:ascii="仿宋_GB2312" w:hAnsi="等线" w:eastAsia="仿宋_GB2312" w:cs="宋体"/>
                <w:color w:val="000000"/>
                <w:kern w:val="0"/>
                <w:sz w:val="24"/>
                <w:szCs w:val="24"/>
                <w:highlight w:val="none"/>
              </w:rPr>
              <w:t>分</w:t>
            </w:r>
          </w:p>
        </w:tc>
        <w:tc>
          <w:tcPr>
            <w:tcW w:w="2103" w:type="dxa"/>
            <w:tcBorders>
              <w:top w:val="nil"/>
              <w:left w:val="nil"/>
              <w:bottom w:val="single" w:color="auto" w:sz="4" w:space="0"/>
              <w:right w:val="single" w:color="auto" w:sz="4" w:space="0"/>
            </w:tcBorders>
            <w:noWrap/>
            <w:vAlign w:val="center"/>
          </w:tcPr>
          <w:p w14:paraId="3AC41591">
            <w:pPr>
              <w:widowControl/>
              <w:spacing w:line="240" w:lineRule="auto"/>
              <w:ind w:firstLine="0" w:firstLineChars="0"/>
              <w:jc w:val="center"/>
              <w:rPr>
                <w:rFonts w:hint="eastAsia" w:ascii="仿宋_GB2312" w:hAnsi="等线" w:eastAsia="仿宋_GB2312" w:cs="宋体"/>
                <w:color w:val="000000"/>
                <w:kern w:val="0"/>
                <w:sz w:val="24"/>
                <w:szCs w:val="24"/>
                <w:highlight w:val="none"/>
              </w:rPr>
            </w:pPr>
            <w:r>
              <w:rPr>
                <w:rFonts w:hint="eastAsia" w:ascii="仿宋_GB2312" w:hAnsi="等线" w:eastAsia="仿宋_GB2312" w:cs="宋体"/>
                <w:color w:val="000000"/>
                <w:kern w:val="0"/>
                <w:sz w:val="24"/>
                <w:szCs w:val="24"/>
                <w:highlight w:val="none"/>
                <w:lang w:val="en-US" w:eastAsia="zh-CN"/>
              </w:rPr>
              <w:t>45</w:t>
            </w:r>
            <w:r>
              <w:rPr>
                <w:rFonts w:hint="eastAsia" w:ascii="仿宋_GB2312" w:hAnsi="等线" w:eastAsia="仿宋_GB2312" w:cs="宋体"/>
                <w:color w:val="000000"/>
                <w:kern w:val="0"/>
                <w:sz w:val="24"/>
                <w:szCs w:val="24"/>
                <w:highlight w:val="none"/>
              </w:rPr>
              <w:t>分</w:t>
            </w:r>
          </w:p>
        </w:tc>
        <w:tc>
          <w:tcPr>
            <w:tcW w:w="2268" w:type="dxa"/>
            <w:tcBorders>
              <w:top w:val="nil"/>
              <w:left w:val="nil"/>
              <w:bottom w:val="single" w:color="auto" w:sz="4" w:space="0"/>
              <w:right w:val="single" w:color="auto" w:sz="4" w:space="0"/>
            </w:tcBorders>
            <w:noWrap/>
            <w:vAlign w:val="center"/>
          </w:tcPr>
          <w:p w14:paraId="7361042B">
            <w:pPr>
              <w:widowControl/>
              <w:spacing w:line="240" w:lineRule="auto"/>
              <w:ind w:firstLine="0" w:firstLineChars="0"/>
              <w:jc w:val="center"/>
              <w:rPr>
                <w:rFonts w:hint="eastAsia" w:ascii="仿宋_GB2312" w:hAnsi="等线" w:eastAsia="仿宋_GB2312" w:cs="宋体"/>
                <w:color w:val="000000"/>
                <w:kern w:val="0"/>
                <w:sz w:val="24"/>
                <w:szCs w:val="24"/>
                <w:highlight w:val="none"/>
              </w:rPr>
            </w:pPr>
            <w:r>
              <w:rPr>
                <w:rFonts w:hint="eastAsia" w:ascii="仿宋_GB2312" w:hAnsi="等线" w:eastAsia="仿宋_GB2312" w:cs="宋体"/>
                <w:color w:val="000000"/>
                <w:kern w:val="0"/>
                <w:sz w:val="24"/>
                <w:szCs w:val="24"/>
                <w:highlight w:val="none"/>
                <w:lang w:val="en-US" w:eastAsia="zh-CN"/>
              </w:rPr>
              <w:t>20</w:t>
            </w:r>
            <w:r>
              <w:rPr>
                <w:rFonts w:hint="eastAsia" w:ascii="仿宋_GB2312" w:hAnsi="等线" w:eastAsia="仿宋_GB2312" w:cs="宋体"/>
                <w:color w:val="000000"/>
                <w:kern w:val="0"/>
                <w:sz w:val="24"/>
                <w:szCs w:val="24"/>
                <w:highlight w:val="none"/>
              </w:rPr>
              <w:t>分</w:t>
            </w:r>
          </w:p>
        </w:tc>
      </w:tr>
      <w:tr w14:paraId="577ECB79">
        <w:tblPrEx>
          <w:tblCellMar>
            <w:top w:w="0" w:type="dxa"/>
            <w:left w:w="108" w:type="dxa"/>
            <w:bottom w:w="0" w:type="dxa"/>
            <w:right w:w="108" w:type="dxa"/>
          </w:tblCellMar>
        </w:tblPrEx>
        <w:trPr>
          <w:trHeight w:val="493" w:hRule="atLeast"/>
          <w:jc w:val="center"/>
        </w:trPr>
        <w:tc>
          <w:tcPr>
            <w:tcW w:w="1843" w:type="dxa"/>
            <w:tcBorders>
              <w:top w:val="nil"/>
              <w:left w:val="single" w:color="auto" w:sz="4" w:space="0"/>
              <w:bottom w:val="single" w:color="auto" w:sz="4" w:space="0"/>
              <w:right w:val="single" w:color="auto" w:sz="4" w:space="0"/>
            </w:tcBorders>
            <w:noWrap/>
            <w:vAlign w:val="center"/>
          </w:tcPr>
          <w:p w14:paraId="0014E0C5">
            <w:pPr>
              <w:widowControl/>
              <w:spacing w:line="240" w:lineRule="auto"/>
              <w:ind w:firstLine="0" w:firstLineChars="0"/>
              <w:jc w:val="center"/>
              <w:rPr>
                <w:rFonts w:hint="eastAsia" w:ascii="仿宋_GB2312" w:hAnsi="等线" w:eastAsia="仿宋_GB2312" w:cs="宋体"/>
                <w:color w:val="000000"/>
                <w:kern w:val="0"/>
                <w:sz w:val="22"/>
                <w:szCs w:val="22"/>
                <w:highlight w:val="none"/>
              </w:rPr>
            </w:pPr>
            <w:r>
              <w:rPr>
                <w:rFonts w:hint="eastAsia" w:ascii="仿宋_GB2312" w:hAnsi="等线" w:eastAsia="仿宋_GB2312" w:cs="宋体"/>
                <w:color w:val="000000"/>
                <w:kern w:val="0"/>
                <w:sz w:val="22"/>
                <w:szCs w:val="22"/>
                <w:highlight w:val="none"/>
              </w:rPr>
              <w:t>投标人综合得分</w:t>
            </w:r>
          </w:p>
        </w:tc>
        <w:tc>
          <w:tcPr>
            <w:tcW w:w="6208" w:type="dxa"/>
            <w:gridSpan w:val="3"/>
            <w:tcBorders>
              <w:top w:val="single" w:color="auto" w:sz="4" w:space="0"/>
              <w:left w:val="nil"/>
              <w:bottom w:val="single" w:color="auto" w:sz="4" w:space="0"/>
              <w:right w:val="single" w:color="000000" w:sz="4" w:space="0"/>
            </w:tcBorders>
            <w:noWrap/>
            <w:vAlign w:val="center"/>
          </w:tcPr>
          <w:p w14:paraId="6B0700C3">
            <w:pPr>
              <w:widowControl/>
              <w:spacing w:line="240" w:lineRule="auto"/>
              <w:ind w:firstLine="0" w:firstLineChars="0"/>
              <w:jc w:val="center"/>
              <w:rPr>
                <w:rFonts w:hint="eastAsia" w:ascii="仿宋_GB2312" w:hAnsi="等线" w:eastAsia="仿宋_GB2312" w:cs="宋体"/>
                <w:color w:val="000000"/>
                <w:kern w:val="0"/>
                <w:sz w:val="22"/>
                <w:szCs w:val="22"/>
                <w:highlight w:val="none"/>
              </w:rPr>
            </w:pPr>
            <w:r>
              <w:rPr>
                <w:rFonts w:hint="eastAsia" w:ascii="仿宋_GB2312" w:hAnsi="等线" w:eastAsia="仿宋_GB2312" w:cs="宋体"/>
                <w:color w:val="000000"/>
                <w:kern w:val="0"/>
                <w:sz w:val="24"/>
                <w:szCs w:val="24"/>
                <w:highlight w:val="none"/>
              </w:rPr>
              <w:t>价格得分+技术得分+商务得分</w:t>
            </w:r>
          </w:p>
        </w:tc>
      </w:tr>
    </w:tbl>
    <w:p w14:paraId="3075D2FA">
      <w:pPr>
        <w:keepNext w:val="0"/>
        <w:keepLines w:val="0"/>
        <w:pageBreakBefore w:val="0"/>
        <w:widowControl w:val="0"/>
        <w:tabs>
          <w:tab w:val="left" w:pos="0"/>
        </w:tabs>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1.价格分计算方法：</w:t>
      </w:r>
    </w:p>
    <w:p w14:paraId="6424ECFD">
      <w:pPr>
        <w:keepNext w:val="0"/>
        <w:keepLines w:val="0"/>
        <w:pageBreakBefore w:val="0"/>
        <w:widowControl w:val="0"/>
        <w:tabs>
          <w:tab w:val="left" w:pos="0"/>
        </w:tabs>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A.确定评审基准价：本次项目的评审基准价，是所有通过资格评审且最后报价不超过项目最高限价的所有效投标报价中的算术平均价；</w:t>
      </w:r>
    </w:p>
    <w:p w14:paraId="4EA16194">
      <w:pPr>
        <w:keepNext w:val="0"/>
        <w:keepLines w:val="0"/>
        <w:pageBreakBefore w:val="0"/>
        <w:widowControl w:val="0"/>
        <w:tabs>
          <w:tab w:val="left" w:pos="0"/>
        </w:tabs>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B.计算价格得分时，取基准分为35分，各投标人的价格分统一按照下列公式计算：</w:t>
      </w:r>
    </w:p>
    <w:p w14:paraId="541BA054">
      <w:pPr>
        <w:keepNext w:val="0"/>
        <w:keepLines w:val="0"/>
        <w:pageBreakBefore w:val="0"/>
        <w:widowControl w:val="0"/>
        <w:tabs>
          <w:tab w:val="left" w:pos="0"/>
        </w:tabs>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投标报价得分=[1–|1–最后报价/基准价｜]×35。当价格分&lt;0时，取0。</w:t>
      </w:r>
    </w:p>
    <w:p w14:paraId="1872EF74">
      <w:pPr>
        <w:keepNext w:val="0"/>
        <w:keepLines w:val="0"/>
        <w:pageBreakBefore w:val="0"/>
        <w:widowControl w:val="0"/>
        <w:tabs>
          <w:tab w:val="left" w:pos="0"/>
        </w:tabs>
        <w:kinsoku/>
        <w:wordWrap/>
        <w:overflowPunct/>
        <w:topLinePunct w:val="0"/>
        <w:autoSpaceDE/>
        <w:autoSpaceDN/>
        <w:bidi w:val="0"/>
        <w:adjustRightInd/>
        <w:snapToGrid/>
        <w:spacing w:line="540" w:lineRule="exact"/>
        <w:ind w:left="0" w:leftChars="0"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2.技术部分的评分标准：</w:t>
      </w:r>
    </w:p>
    <w:tbl>
      <w:tblPr>
        <w:tblStyle w:val="49"/>
        <w:tblW w:w="9699" w:type="dxa"/>
        <w:jc w:val="center"/>
        <w:tblLayout w:type="fixed"/>
        <w:tblCellMar>
          <w:top w:w="0" w:type="dxa"/>
          <w:left w:w="108" w:type="dxa"/>
          <w:bottom w:w="0" w:type="dxa"/>
          <w:right w:w="108" w:type="dxa"/>
        </w:tblCellMar>
      </w:tblPr>
      <w:tblGrid>
        <w:gridCol w:w="620"/>
        <w:gridCol w:w="818"/>
        <w:gridCol w:w="6339"/>
        <w:gridCol w:w="1001"/>
        <w:gridCol w:w="921"/>
      </w:tblGrid>
      <w:tr w14:paraId="1CCC5AA8">
        <w:tblPrEx>
          <w:tblCellMar>
            <w:top w:w="0" w:type="dxa"/>
            <w:left w:w="108" w:type="dxa"/>
            <w:bottom w:w="0" w:type="dxa"/>
            <w:right w:w="108" w:type="dxa"/>
          </w:tblCellMar>
        </w:tblPrEx>
        <w:trPr>
          <w:trHeight w:val="635" w:hRule="atLeast"/>
          <w:jc w:val="center"/>
        </w:trPr>
        <w:tc>
          <w:tcPr>
            <w:tcW w:w="620" w:type="dxa"/>
            <w:tcBorders>
              <w:top w:val="single" w:color="auto" w:sz="4" w:space="0"/>
              <w:left w:val="single" w:color="auto" w:sz="4" w:space="0"/>
              <w:bottom w:val="single" w:color="auto" w:sz="4" w:space="0"/>
              <w:right w:val="single" w:color="auto" w:sz="4" w:space="0"/>
            </w:tcBorders>
            <w:noWrap/>
            <w:vAlign w:val="center"/>
          </w:tcPr>
          <w:p w14:paraId="080ED7B6">
            <w:pPr>
              <w:widowControl/>
              <w:spacing w:line="240" w:lineRule="auto"/>
              <w:ind w:firstLine="0" w:firstLineChar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序号</w:t>
            </w:r>
          </w:p>
        </w:tc>
        <w:tc>
          <w:tcPr>
            <w:tcW w:w="818" w:type="dxa"/>
            <w:tcBorders>
              <w:top w:val="single" w:color="auto" w:sz="4" w:space="0"/>
              <w:left w:val="nil"/>
              <w:bottom w:val="single" w:color="auto" w:sz="4" w:space="0"/>
              <w:right w:val="single" w:color="auto" w:sz="4" w:space="0"/>
            </w:tcBorders>
            <w:noWrap/>
            <w:vAlign w:val="center"/>
          </w:tcPr>
          <w:p w14:paraId="7BEECCFE">
            <w:pPr>
              <w:widowControl/>
              <w:spacing w:line="240" w:lineRule="auto"/>
              <w:ind w:firstLine="0" w:firstLineChar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评标项目</w:t>
            </w:r>
          </w:p>
        </w:tc>
        <w:tc>
          <w:tcPr>
            <w:tcW w:w="6339" w:type="dxa"/>
            <w:tcBorders>
              <w:top w:val="single" w:color="auto" w:sz="4" w:space="0"/>
              <w:left w:val="nil"/>
              <w:bottom w:val="single" w:color="auto" w:sz="4" w:space="0"/>
              <w:right w:val="single" w:color="auto" w:sz="4" w:space="0"/>
            </w:tcBorders>
            <w:noWrap/>
            <w:vAlign w:val="center"/>
          </w:tcPr>
          <w:p w14:paraId="5A6703BD">
            <w:pPr>
              <w:widowControl/>
              <w:spacing w:line="240" w:lineRule="auto"/>
              <w:ind w:firstLine="0" w:firstLineChar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评标标准</w:t>
            </w:r>
          </w:p>
        </w:tc>
        <w:tc>
          <w:tcPr>
            <w:tcW w:w="1001" w:type="dxa"/>
            <w:tcBorders>
              <w:top w:val="single" w:color="auto" w:sz="4" w:space="0"/>
              <w:left w:val="nil"/>
              <w:bottom w:val="single" w:color="auto" w:sz="4" w:space="0"/>
              <w:right w:val="single" w:color="auto" w:sz="4" w:space="0"/>
            </w:tcBorders>
            <w:noWrap/>
            <w:vAlign w:val="center"/>
          </w:tcPr>
          <w:p w14:paraId="0C541D85">
            <w:pPr>
              <w:widowControl/>
              <w:spacing w:line="240" w:lineRule="auto"/>
              <w:ind w:firstLine="0" w:firstLineChars="0"/>
              <w:jc w:val="center"/>
              <w:rPr>
                <w:rFonts w:hint="default" w:ascii="宋体" w:hAnsi="宋体" w:eastAsia="宋体" w:cs="宋体"/>
                <w:color w:val="000000"/>
                <w:kern w:val="0"/>
                <w:sz w:val="24"/>
                <w:szCs w:val="24"/>
                <w:highlight w:val="none"/>
                <w:lang w:val="en-US" w:eastAsia="zh-CN"/>
              </w:rPr>
            </w:pPr>
            <w:r>
              <w:rPr>
                <w:rFonts w:hint="eastAsia" w:ascii="宋体" w:hAnsi="宋体" w:eastAsia="宋体" w:cs="宋体"/>
                <w:color w:val="000000"/>
                <w:kern w:val="0"/>
                <w:sz w:val="24"/>
                <w:szCs w:val="24"/>
                <w:highlight w:val="none"/>
                <w:lang w:val="en-US" w:eastAsia="zh-CN"/>
              </w:rPr>
              <w:t>证明文件</w:t>
            </w:r>
          </w:p>
        </w:tc>
        <w:tc>
          <w:tcPr>
            <w:tcW w:w="921" w:type="dxa"/>
            <w:tcBorders>
              <w:top w:val="single" w:color="auto" w:sz="4" w:space="0"/>
              <w:left w:val="nil"/>
              <w:bottom w:val="single" w:color="auto" w:sz="4" w:space="0"/>
              <w:right w:val="single" w:color="auto" w:sz="4" w:space="0"/>
            </w:tcBorders>
            <w:noWrap/>
            <w:vAlign w:val="center"/>
          </w:tcPr>
          <w:p w14:paraId="6A443B69">
            <w:pPr>
              <w:widowControl/>
              <w:spacing w:line="240" w:lineRule="auto"/>
              <w:ind w:firstLine="0" w:firstLineChar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分值</w:t>
            </w:r>
          </w:p>
        </w:tc>
      </w:tr>
      <w:tr w14:paraId="74EF2DBB">
        <w:tblPrEx>
          <w:tblCellMar>
            <w:top w:w="0" w:type="dxa"/>
            <w:left w:w="108" w:type="dxa"/>
            <w:bottom w:w="0" w:type="dxa"/>
            <w:right w:w="108" w:type="dxa"/>
          </w:tblCellMar>
        </w:tblPrEx>
        <w:trPr>
          <w:trHeight w:val="3759" w:hRule="atLeast"/>
          <w:jc w:val="center"/>
        </w:trPr>
        <w:tc>
          <w:tcPr>
            <w:tcW w:w="620" w:type="dxa"/>
            <w:tcBorders>
              <w:top w:val="single" w:color="auto" w:sz="4" w:space="0"/>
              <w:left w:val="single" w:color="auto" w:sz="4" w:space="0"/>
              <w:bottom w:val="single" w:color="auto" w:sz="4" w:space="0"/>
              <w:right w:val="single" w:color="auto" w:sz="4" w:space="0"/>
            </w:tcBorders>
            <w:noWrap/>
            <w:vAlign w:val="center"/>
          </w:tcPr>
          <w:p w14:paraId="6AEB54B2">
            <w:pPr>
              <w:widowControl/>
              <w:spacing w:line="240" w:lineRule="auto"/>
              <w:ind w:firstLine="0" w:firstLineChars="0"/>
              <w:jc w:val="center"/>
              <w:rPr>
                <w:rFonts w:hint="eastAsia"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1</w:t>
            </w:r>
          </w:p>
        </w:tc>
        <w:tc>
          <w:tcPr>
            <w:tcW w:w="818" w:type="dxa"/>
            <w:tcBorders>
              <w:top w:val="single" w:color="auto" w:sz="4" w:space="0"/>
              <w:left w:val="nil"/>
              <w:bottom w:val="single" w:color="auto" w:sz="4" w:space="0"/>
              <w:right w:val="single" w:color="auto" w:sz="4" w:space="0"/>
            </w:tcBorders>
            <w:noWrap/>
            <w:vAlign w:val="center"/>
          </w:tcPr>
          <w:p w14:paraId="639FEFEF">
            <w:pPr>
              <w:widowControl/>
              <w:spacing w:line="240" w:lineRule="auto"/>
              <w:ind w:firstLine="0" w:firstLineChars="0"/>
              <w:jc w:val="center"/>
              <w:rPr>
                <w:rFonts w:hint="eastAsia"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项目整体服务</w:t>
            </w:r>
          </w:p>
        </w:tc>
        <w:tc>
          <w:tcPr>
            <w:tcW w:w="6339" w:type="dxa"/>
            <w:tcBorders>
              <w:top w:val="single" w:color="auto" w:sz="4" w:space="0"/>
              <w:left w:val="nil"/>
              <w:bottom w:val="single" w:color="auto" w:sz="4" w:space="0"/>
              <w:right w:val="single" w:color="auto" w:sz="4" w:space="0"/>
            </w:tcBorders>
            <w:noWrap w:val="0"/>
            <w:vAlign w:val="center"/>
          </w:tcPr>
          <w:p w14:paraId="3CC5597D">
            <w:pPr>
              <w:widowControl w:val="0"/>
              <w:spacing w:line="240" w:lineRule="auto"/>
              <w:ind w:firstLine="0" w:firstLineChars="0"/>
              <w:rPr>
                <w:rFonts w:hint="eastAsia" w:ascii="宋体" w:hAnsi="宋体" w:eastAsia="宋体" w:cs="宋体"/>
                <w:szCs w:val="22"/>
                <w:highlight w:val="none"/>
              </w:rPr>
            </w:pPr>
            <w:r>
              <w:rPr>
                <w:rFonts w:hint="eastAsia" w:ascii="宋体" w:hAnsi="宋体" w:eastAsia="宋体" w:cs="宋体"/>
                <w:szCs w:val="22"/>
                <w:highlight w:val="none"/>
                <w:lang w:val="en-US" w:eastAsia="zh-CN"/>
              </w:rPr>
              <w:t>由投标人</w:t>
            </w:r>
            <w:r>
              <w:rPr>
                <w:rFonts w:hint="eastAsia" w:ascii="宋体" w:hAnsi="宋体" w:eastAsia="宋体" w:cs="宋体"/>
                <w:szCs w:val="22"/>
                <w:highlight w:val="none"/>
              </w:rPr>
              <w:t>结合书城现有</w:t>
            </w:r>
            <w:r>
              <w:rPr>
                <w:rFonts w:hint="eastAsia" w:ascii="宋体" w:hAnsi="宋体" w:eastAsia="宋体" w:cs="宋体"/>
                <w:szCs w:val="22"/>
                <w:highlight w:val="none"/>
                <w:lang w:val="en-US" w:eastAsia="zh-CN"/>
              </w:rPr>
              <w:t>电子屏</w:t>
            </w:r>
            <w:r>
              <w:rPr>
                <w:rFonts w:hint="eastAsia" w:ascii="宋体" w:hAnsi="宋体" w:eastAsia="宋体" w:cs="宋体"/>
                <w:szCs w:val="22"/>
                <w:highlight w:val="none"/>
              </w:rPr>
              <w:t>设备品牌型号及使用环境制定切实可行的维保方案</w:t>
            </w:r>
            <w:r>
              <w:rPr>
                <w:rFonts w:hint="eastAsia" w:ascii="宋体" w:hAnsi="宋体" w:eastAsia="宋体" w:cs="宋体"/>
                <w:szCs w:val="22"/>
                <w:highlight w:val="none"/>
                <w:lang w:eastAsia="zh-CN"/>
              </w:rPr>
              <w:t>，</w:t>
            </w:r>
            <w:r>
              <w:rPr>
                <w:rFonts w:hint="eastAsia" w:ascii="宋体" w:hAnsi="宋体" w:eastAsia="宋体" w:cs="宋体"/>
                <w:szCs w:val="22"/>
                <w:highlight w:val="none"/>
              </w:rPr>
              <w:t>根据投标人</w:t>
            </w:r>
            <w:r>
              <w:rPr>
                <w:rFonts w:hint="eastAsia" w:ascii="宋体" w:hAnsi="宋体" w:eastAsia="宋体" w:cs="宋体"/>
                <w:szCs w:val="22"/>
                <w:highlight w:val="none"/>
                <w:lang w:val="en-US" w:eastAsia="zh-CN"/>
              </w:rPr>
              <w:t>提供维保服务工作方案</w:t>
            </w:r>
            <w:r>
              <w:rPr>
                <w:rFonts w:hint="eastAsia" w:ascii="宋体" w:hAnsi="宋体" w:eastAsia="宋体" w:cs="宋体"/>
                <w:szCs w:val="22"/>
                <w:highlight w:val="none"/>
              </w:rPr>
              <w:t>（维保内容</w:t>
            </w:r>
            <w:r>
              <w:rPr>
                <w:rFonts w:hint="eastAsia" w:ascii="宋体" w:hAnsi="宋体" w:eastAsia="宋体" w:cs="宋体"/>
                <w:szCs w:val="22"/>
                <w:highlight w:val="none"/>
                <w:lang w:eastAsia="zh-CN"/>
              </w:rPr>
              <w:t>、巡检计划、故障处理流程</w:t>
            </w:r>
            <w:r>
              <w:rPr>
                <w:rFonts w:hint="eastAsia" w:ascii="宋体" w:hAnsi="宋体" w:eastAsia="宋体" w:cs="宋体"/>
                <w:szCs w:val="22"/>
                <w:highlight w:val="none"/>
              </w:rPr>
              <w:t>等）。进行评分：</w:t>
            </w:r>
          </w:p>
          <w:p w14:paraId="6CA48B08">
            <w:pPr>
              <w:widowControl w:val="0"/>
              <w:spacing w:line="240" w:lineRule="auto"/>
              <w:ind w:firstLine="0" w:firstLineChars="0"/>
              <w:rPr>
                <w:rFonts w:hint="eastAsia" w:ascii="宋体" w:hAnsi="宋体" w:eastAsia="宋体" w:cs="宋体"/>
                <w:szCs w:val="22"/>
                <w:highlight w:val="none"/>
              </w:rPr>
            </w:pPr>
            <w:r>
              <w:rPr>
                <w:rFonts w:hint="eastAsia" w:ascii="宋体" w:hAnsi="宋体" w:eastAsia="宋体" w:cs="宋体"/>
                <w:szCs w:val="22"/>
                <w:highlight w:val="none"/>
                <w:lang w:val="en-US" w:eastAsia="zh-CN"/>
              </w:rPr>
              <w:t>（1）</w:t>
            </w:r>
            <w:r>
              <w:rPr>
                <w:rFonts w:hint="eastAsia" w:ascii="宋体" w:hAnsi="宋体" w:eastAsia="宋体" w:cs="宋体"/>
                <w:szCs w:val="22"/>
                <w:highlight w:val="none"/>
              </w:rPr>
              <w:t>维保方案内容完整、科学合理，巡检计划详细，故障处理流程清晰，备件更换方案明确，具有针对性和可操作性，完全满足甚至优于采购需求：</w:t>
            </w:r>
            <w:r>
              <w:rPr>
                <w:rFonts w:hint="eastAsia" w:ascii="宋体" w:hAnsi="宋体" w:eastAsia="宋体" w:cs="宋体"/>
                <w:szCs w:val="22"/>
                <w:highlight w:val="none"/>
                <w:lang w:val="en-US" w:eastAsia="zh-CN"/>
              </w:rPr>
              <w:t>20</w:t>
            </w:r>
            <w:r>
              <w:rPr>
                <w:rFonts w:hint="eastAsia" w:ascii="宋体" w:hAnsi="宋体" w:eastAsia="宋体" w:cs="宋体"/>
                <w:szCs w:val="22"/>
                <w:highlight w:val="none"/>
              </w:rPr>
              <w:t>-</w:t>
            </w:r>
            <w:r>
              <w:rPr>
                <w:rFonts w:hint="eastAsia" w:ascii="宋体" w:hAnsi="宋体" w:eastAsia="宋体" w:cs="宋体"/>
                <w:szCs w:val="22"/>
                <w:highlight w:val="none"/>
                <w:lang w:val="en-US" w:eastAsia="zh-CN"/>
              </w:rPr>
              <w:t>2</w:t>
            </w:r>
            <w:r>
              <w:rPr>
                <w:rFonts w:hint="eastAsia" w:ascii="宋体" w:hAnsi="宋体" w:eastAsia="宋体" w:cs="宋体"/>
                <w:szCs w:val="22"/>
                <w:highlight w:val="none"/>
              </w:rPr>
              <w:t>5分；</w:t>
            </w:r>
          </w:p>
          <w:p w14:paraId="7C88221C">
            <w:pPr>
              <w:widowControl w:val="0"/>
              <w:spacing w:line="240" w:lineRule="auto"/>
              <w:ind w:firstLine="0" w:firstLineChars="0"/>
              <w:rPr>
                <w:rFonts w:hint="eastAsia" w:ascii="宋体" w:hAnsi="宋体" w:eastAsia="宋体" w:cs="宋体"/>
                <w:szCs w:val="22"/>
                <w:highlight w:val="none"/>
              </w:rPr>
            </w:pPr>
            <w:r>
              <w:rPr>
                <w:rFonts w:hint="eastAsia" w:ascii="宋体" w:hAnsi="宋体" w:eastAsia="宋体" w:cs="宋体"/>
                <w:szCs w:val="22"/>
                <w:highlight w:val="none"/>
                <w:lang w:val="en-US" w:eastAsia="zh-CN"/>
              </w:rPr>
              <w:t>（2）</w:t>
            </w:r>
            <w:r>
              <w:rPr>
                <w:rFonts w:hint="eastAsia" w:ascii="宋体" w:hAnsi="宋体" w:eastAsia="宋体" w:cs="宋体"/>
                <w:szCs w:val="22"/>
                <w:highlight w:val="none"/>
              </w:rPr>
              <w:t>维保方案内容较完整，巡检计划合理，故障处理流程明确，能满足采购需求：</w:t>
            </w:r>
            <w:r>
              <w:rPr>
                <w:rFonts w:hint="eastAsia" w:ascii="宋体" w:hAnsi="宋体" w:eastAsia="宋体" w:cs="宋体"/>
                <w:szCs w:val="22"/>
                <w:highlight w:val="none"/>
                <w:lang w:val="en-US" w:eastAsia="zh-CN"/>
              </w:rPr>
              <w:t>15</w:t>
            </w:r>
            <w:r>
              <w:rPr>
                <w:rFonts w:hint="eastAsia" w:ascii="宋体" w:hAnsi="宋体" w:eastAsia="宋体" w:cs="宋体"/>
                <w:szCs w:val="22"/>
                <w:highlight w:val="none"/>
              </w:rPr>
              <w:t>-1</w:t>
            </w:r>
            <w:r>
              <w:rPr>
                <w:rFonts w:hint="eastAsia" w:ascii="宋体" w:hAnsi="宋体" w:eastAsia="宋体" w:cs="宋体"/>
                <w:szCs w:val="22"/>
                <w:highlight w:val="none"/>
                <w:lang w:val="en-US" w:eastAsia="zh-CN"/>
              </w:rPr>
              <w:t>9</w:t>
            </w:r>
            <w:r>
              <w:rPr>
                <w:rFonts w:hint="eastAsia" w:ascii="宋体" w:hAnsi="宋体" w:eastAsia="宋体" w:cs="宋体"/>
                <w:szCs w:val="22"/>
                <w:highlight w:val="none"/>
              </w:rPr>
              <w:t>分；</w:t>
            </w:r>
          </w:p>
          <w:p w14:paraId="24CFC2B0">
            <w:pPr>
              <w:widowControl w:val="0"/>
              <w:spacing w:line="240" w:lineRule="auto"/>
              <w:ind w:firstLine="0" w:firstLineChars="0"/>
              <w:rPr>
                <w:rFonts w:hint="eastAsia" w:ascii="宋体" w:hAnsi="宋体" w:eastAsia="宋体" w:cs="宋体"/>
                <w:szCs w:val="22"/>
                <w:highlight w:val="none"/>
                <w:lang w:eastAsia="zh-CN"/>
              </w:rPr>
            </w:pPr>
            <w:r>
              <w:rPr>
                <w:rFonts w:hint="eastAsia" w:ascii="宋体" w:hAnsi="宋体" w:eastAsia="宋体" w:cs="宋体"/>
                <w:szCs w:val="22"/>
                <w:highlight w:val="none"/>
                <w:lang w:val="en-US" w:eastAsia="zh-CN"/>
              </w:rPr>
              <w:t>（3）</w:t>
            </w:r>
            <w:r>
              <w:rPr>
                <w:rFonts w:hint="eastAsia" w:ascii="宋体" w:hAnsi="宋体" w:eastAsia="宋体" w:cs="宋体"/>
                <w:szCs w:val="22"/>
                <w:highlight w:val="none"/>
              </w:rPr>
              <w:t>维保方案基本满足要求，但部分内容不够详细或针对性不足：</w:t>
            </w:r>
            <w:r>
              <w:rPr>
                <w:rFonts w:hint="eastAsia" w:ascii="宋体" w:hAnsi="宋体" w:eastAsia="宋体" w:cs="宋体"/>
                <w:szCs w:val="22"/>
                <w:highlight w:val="none"/>
                <w:lang w:val="en-US" w:eastAsia="zh-CN"/>
              </w:rPr>
              <w:t>7</w:t>
            </w:r>
            <w:r>
              <w:rPr>
                <w:rFonts w:hint="eastAsia" w:ascii="宋体" w:hAnsi="宋体" w:eastAsia="宋体" w:cs="宋体"/>
                <w:szCs w:val="22"/>
                <w:highlight w:val="none"/>
              </w:rPr>
              <w:t>-</w:t>
            </w:r>
            <w:r>
              <w:rPr>
                <w:rFonts w:hint="eastAsia" w:ascii="宋体" w:hAnsi="宋体" w:eastAsia="宋体" w:cs="宋体"/>
                <w:szCs w:val="22"/>
                <w:highlight w:val="none"/>
                <w:lang w:val="en-US" w:eastAsia="zh-CN"/>
              </w:rPr>
              <w:t>14</w:t>
            </w:r>
            <w:r>
              <w:rPr>
                <w:rFonts w:hint="eastAsia" w:ascii="宋体" w:hAnsi="宋体" w:eastAsia="宋体" w:cs="宋体"/>
                <w:szCs w:val="22"/>
                <w:highlight w:val="none"/>
              </w:rPr>
              <w:t>分</w:t>
            </w:r>
            <w:r>
              <w:rPr>
                <w:rFonts w:hint="eastAsia" w:ascii="宋体" w:hAnsi="宋体" w:eastAsia="宋体" w:cs="宋体"/>
                <w:szCs w:val="22"/>
                <w:highlight w:val="none"/>
                <w:lang w:eastAsia="zh-CN"/>
              </w:rPr>
              <w:t>；</w:t>
            </w:r>
          </w:p>
          <w:p w14:paraId="17B22438">
            <w:pPr>
              <w:widowControl w:val="0"/>
              <w:spacing w:line="240" w:lineRule="auto"/>
              <w:ind w:firstLine="0" w:firstLineChars="0"/>
              <w:rPr>
                <w:rFonts w:hint="eastAsia" w:ascii="宋体" w:hAnsi="宋体" w:eastAsia="宋体" w:cs="宋体"/>
                <w:szCs w:val="22"/>
                <w:highlight w:val="none"/>
              </w:rPr>
            </w:pPr>
            <w:r>
              <w:rPr>
                <w:rFonts w:hint="eastAsia" w:ascii="宋体" w:hAnsi="宋体" w:eastAsia="宋体" w:cs="宋体"/>
                <w:szCs w:val="22"/>
                <w:highlight w:val="none"/>
                <w:lang w:val="en-US" w:eastAsia="zh-CN"/>
              </w:rPr>
              <w:t>（4）</w:t>
            </w:r>
            <w:r>
              <w:rPr>
                <w:rFonts w:hint="eastAsia" w:ascii="宋体" w:hAnsi="宋体" w:eastAsia="宋体" w:cs="宋体"/>
                <w:szCs w:val="22"/>
                <w:highlight w:val="none"/>
              </w:rPr>
              <w:t>维保方案内容不完整，或缺乏可操作性，或与采购需求存在较大偏差：0-</w:t>
            </w:r>
            <w:r>
              <w:rPr>
                <w:rFonts w:hint="eastAsia" w:ascii="宋体" w:hAnsi="宋体" w:eastAsia="宋体" w:cs="宋体"/>
                <w:szCs w:val="22"/>
                <w:highlight w:val="none"/>
                <w:lang w:val="en-US" w:eastAsia="zh-CN"/>
              </w:rPr>
              <w:t>6</w:t>
            </w:r>
            <w:r>
              <w:rPr>
                <w:rFonts w:hint="eastAsia" w:ascii="宋体" w:hAnsi="宋体" w:eastAsia="宋体" w:cs="宋体"/>
                <w:szCs w:val="22"/>
                <w:highlight w:val="none"/>
              </w:rPr>
              <w:t>分。</w:t>
            </w:r>
          </w:p>
        </w:tc>
        <w:tc>
          <w:tcPr>
            <w:tcW w:w="1001" w:type="dxa"/>
            <w:tcBorders>
              <w:top w:val="single" w:color="auto" w:sz="4" w:space="0"/>
              <w:left w:val="nil"/>
              <w:bottom w:val="single" w:color="auto" w:sz="4" w:space="0"/>
              <w:right w:val="single" w:color="auto" w:sz="4" w:space="0"/>
            </w:tcBorders>
            <w:noWrap w:val="0"/>
            <w:vAlign w:val="center"/>
          </w:tcPr>
          <w:p w14:paraId="0971B9BC">
            <w:pPr>
              <w:widowControl w:val="0"/>
              <w:spacing w:line="240" w:lineRule="auto"/>
              <w:ind w:firstLine="0" w:firstLineChars="0"/>
              <w:jc w:val="center"/>
              <w:rPr>
                <w:rFonts w:hint="eastAsia" w:ascii="宋体" w:hAnsi="宋体" w:eastAsia="宋体" w:cs="宋体"/>
                <w:kern w:val="0"/>
                <w:szCs w:val="21"/>
                <w:highlight w:val="none"/>
              </w:rPr>
            </w:pPr>
            <w:r>
              <w:rPr>
                <w:rFonts w:hint="eastAsia" w:ascii="宋体" w:hAnsi="宋体" w:eastAsia="宋体" w:cs="宋体"/>
                <w:szCs w:val="22"/>
                <w:highlight w:val="none"/>
              </w:rPr>
              <w:t>维保</w:t>
            </w:r>
            <w:r>
              <w:rPr>
                <w:rFonts w:hint="eastAsia" w:ascii="宋体" w:hAnsi="宋体" w:eastAsia="宋体" w:cs="宋体"/>
                <w:szCs w:val="22"/>
                <w:highlight w:val="none"/>
                <w:lang w:val="en-US" w:eastAsia="zh-CN"/>
              </w:rPr>
              <w:t>服务工作</w:t>
            </w:r>
            <w:r>
              <w:rPr>
                <w:rFonts w:hint="eastAsia" w:ascii="宋体" w:hAnsi="宋体" w:eastAsia="宋体" w:cs="宋体"/>
                <w:szCs w:val="22"/>
                <w:highlight w:val="none"/>
              </w:rPr>
              <w:t>方案</w:t>
            </w:r>
          </w:p>
          <w:p w14:paraId="1439FDB9">
            <w:pPr>
              <w:widowControl/>
              <w:spacing w:line="240" w:lineRule="auto"/>
              <w:ind w:firstLine="0" w:firstLineChars="0"/>
              <w:jc w:val="center"/>
              <w:rPr>
                <w:rFonts w:hint="default" w:ascii="宋体" w:hAnsi="宋体" w:eastAsia="宋体" w:cs="宋体"/>
                <w:color w:val="000000"/>
                <w:kern w:val="0"/>
                <w:sz w:val="22"/>
                <w:szCs w:val="22"/>
                <w:highlight w:val="none"/>
                <w:lang w:val="en-US" w:eastAsia="zh-CN"/>
              </w:rPr>
            </w:pPr>
          </w:p>
        </w:tc>
        <w:tc>
          <w:tcPr>
            <w:tcW w:w="921" w:type="dxa"/>
            <w:tcBorders>
              <w:top w:val="single" w:color="auto" w:sz="4" w:space="0"/>
              <w:left w:val="nil"/>
              <w:bottom w:val="single" w:color="auto" w:sz="4" w:space="0"/>
              <w:right w:val="single" w:color="auto" w:sz="4" w:space="0"/>
            </w:tcBorders>
            <w:noWrap/>
            <w:vAlign w:val="center"/>
          </w:tcPr>
          <w:p w14:paraId="13F1F7E6">
            <w:pPr>
              <w:widowControl/>
              <w:spacing w:line="240" w:lineRule="auto"/>
              <w:ind w:firstLine="0" w:firstLineChars="0"/>
              <w:jc w:val="center"/>
              <w:rPr>
                <w:rFonts w:hint="eastAsia"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lang w:val="en-US" w:eastAsia="zh-CN"/>
              </w:rPr>
              <w:t>25</w:t>
            </w:r>
            <w:r>
              <w:rPr>
                <w:rFonts w:hint="eastAsia" w:ascii="宋体" w:hAnsi="宋体" w:eastAsia="宋体" w:cs="宋体"/>
                <w:color w:val="000000"/>
                <w:kern w:val="0"/>
                <w:sz w:val="22"/>
                <w:szCs w:val="22"/>
                <w:highlight w:val="none"/>
              </w:rPr>
              <w:t>分　</w:t>
            </w:r>
          </w:p>
        </w:tc>
      </w:tr>
      <w:tr w14:paraId="03A433C3">
        <w:tblPrEx>
          <w:tblCellMar>
            <w:top w:w="0" w:type="dxa"/>
            <w:left w:w="108" w:type="dxa"/>
            <w:bottom w:w="0" w:type="dxa"/>
            <w:right w:w="108" w:type="dxa"/>
          </w:tblCellMar>
        </w:tblPrEx>
        <w:trPr>
          <w:trHeight w:val="3447" w:hRule="atLeast"/>
          <w:jc w:val="center"/>
        </w:trPr>
        <w:tc>
          <w:tcPr>
            <w:tcW w:w="620" w:type="dxa"/>
            <w:tcBorders>
              <w:top w:val="single" w:color="auto" w:sz="4" w:space="0"/>
              <w:left w:val="single" w:color="auto" w:sz="4" w:space="0"/>
              <w:bottom w:val="single" w:color="auto" w:sz="4" w:space="0"/>
              <w:right w:val="single" w:color="auto" w:sz="4" w:space="0"/>
            </w:tcBorders>
            <w:noWrap/>
            <w:vAlign w:val="center"/>
          </w:tcPr>
          <w:p w14:paraId="32D3E189">
            <w:pPr>
              <w:widowControl/>
              <w:spacing w:line="240" w:lineRule="auto"/>
              <w:ind w:firstLine="0" w:firstLineChars="0"/>
              <w:jc w:val="center"/>
              <w:rPr>
                <w:rFonts w:hint="eastAsia" w:ascii="宋体" w:hAnsi="宋体" w:eastAsia="宋体" w:cs="宋体"/>
                <w:color w:val="000000"/>
                <w:kern w:val="0"/>
                <w:sz w:val="22"/>
                <w:szCs w:val="22"/>
                <w:highlight w:val="none"/>
                <w:lang w:val="en-US" w:eastAsia="zh-CN"/>
              </w:rPr>
            </w:pPr>
            <w:r>
              <w:rPr>
                <w:rFonts w:hint="eastAsia" w:ascii="宋体" w:hAnsi="宋体" w:eastAsia="宋体" w:cs="宋体"/>
                <w:color w:val="000000"/>
                <w:kern w:val="0"/>
                <w:sz w:val="22"/>
                <w:szCs w:val="22"/>
                <w:highlight w:val="none"/>
                <w:lang w:val="en-US" w:eastAsia="zh-CN"/>
              </w:rPr>
              <w:t>2</w:t>
            </w:r>
          </w:p>
        </w:tc>
        <w:tc>
          <w:tcPr>
            <w:tcW w:w="818" w:type="dxa"/>
            <w:tcBorders>
              <w:top w:val="single" w:color="auto" w:sz="4" w:space="0"/>
              <w:left w:val="nil"/>
              <w:bottom w:val="single" w:color="auto" w:sz="4" w:space="0"/>
              <w:right w:val="single" w:color="auto" w:sz="4" w:space="0"/>
            </w:tcBorders>
            <w:noWrap/>
            <w:vAlign w:val="center"/>
          </w:tcPr>
          <w:p w14:paraId="393916B8">
            <w:pPr>
              <w:widowControl w:val="0"/>
              <w:spacing w:line="240" w:lineRule="auto"/>
              <w:ind w:firstLine="0" w:firstLineChars="0"/>
              <w:jc w:val="center"/>
              <w:rPr>
                <w:rFonts w:hint="eastAsia" w:ascii="Calibri" w:hAnsi="Calibri" w:eastAsia="宋体" w:cs="Times New Roman"/>
                <w:szCs w:val="22"/>
                <w:highlight w:val="none"/>
              </w:rPr>
            </w:pPr>
            <w:r>
              <w:rPr>
                <w:rFonts w:hint="eastAsia" w:ascii="Calibri" w:hAnsi="Calibri" w:eastAsia="宋体" w:cs="Times New Roman"/>
                <w:szCs w:val="22"/>
                <w:highlight w:val="none"/>
              </w:rPr>
              <w:t>故障响应能力</w:t>
            </w:r>
          </w:p>
        </w:tc>
        <w:tc>
          <w:tcPr>
            <w:tcW w:w="6339" w:type="dxa"/>
            <w:tcBorders>
              <w:top w:val="single" w:color="auto" w:sz="4" w:space="0"/>
              <w:left w:val="nil"/>
              <w:bottom w:val="single" w:color="auto" w:sz="4" w:space="0"/>
              <w:right w:val="single" w:color="auto" w:sz="4" w:space="0"/>
            </w:tcBorders>
            <w:noWrap w:val="0"/>
            <w:vAlign w:val="center"/>
          </w:tcPr>
          <w:p w14:paraId="62D65588">
            <w:pPr>
              <w:widowControl w:val="0"/>
              <w:spacing w:line="240" w:lineRule="auto"/>
              <w:ind w:firstLine="0" w:firstLineChars="0"/>
              <w:rPr>
                <w:rFonts w:hint="eastAsia" w:ascii="宋体" w:hAnsi="宋体" w:eastAsia="宋体" w:cs="宋体"/>
                <w:szCs w:val="22"/>
                <w:highlight w:val="none"/>
              </w:rPr>
            </w:pPr>
            <w:r>
              <w:rPr>
                <w:rFonts w:hint="eastAsia" w:ascii="宋体" w:hAnsi="宋体" w:eastAsia="宋体" w:cs="宋体"/>
                <w:szCs w:val="22"/>
                <w:highlight w:val="none"/>
              </w:rPr>
              <w:t>根据投标人</w:t>
            </w:r>
            <w:r>
              <w:rPr>
                <w:rFonts w:hint="eastAsia" w:ascii="宋体" w:hAnsi="宋体" w:eastAsia="宋体" w:cs="宋体"/>
                <w:szCs w:val="22"/>
                <w:highlight w:val="none"/>
                <w:lang w:val="en-US" w:eastAsia="zh-CN"/>
              </w:rPr>
              <w:t>提供</w:t>
            </w:r>
            <w:r>
              <w:rPr>
                <w:rFonts w:hint="eastAsia" w:ascii="宋体" w:hAnsi="宋体" w:eastAsia="宋体" w:cs="宋体"/>
                <w:szCs w:val="22"/>
                <w:highlight w:val="none"/>
              </w:rPr>
              <w:t>突发故障的应急响应</w:t>
            </w:r>
            <w:r>
              <w:rPr>
                <w:rFonts w:hint="eastAsia" w:ascii="宋体" w:hAnsi="宋体" w:eastAsia="宋体" w:cs="宋体"/>
                <w:szCs w:val="22"/>
                <w:highlight w:val="none"/>
                <w:lang w:val="en-US" w:eastAsia="zh-CN"/>
              </w:rPr>
              <w:t>方案</w:t>
            </w:r>
            <w:r>
              <w:rPr>
                <w:rFonts w:hint="eastAsia" w:ascii="宋体" w:hAnsi="宋体" w:eastAsia="宋体" w:cs="宋体"/>
                <w:szCs w:val="22"/>
                <w:highlight w:val="none"/>
              </w:rPr>
              <w:t>（响应时间、到场时间、应急处理流程、备品备件配置情况等）进行评分：</w:t>
            </w:r>
          </w:p>
          <w:p w14:paraId="2F98CEA8">
            <w:pPr>
              <w:widowControl w:val="0"/>
              <w:spacing w:line="240" w:lineRule="auto"/>
              <w:ind w:firstLine="0" w:firstLineChars="0"/>
              <w:rPr>
                <w:rFonts w:hint="eastAsia" w:ascii="宋体" w:hAnsi="宋体" w:eastAsia="宋体" w:cs="宋体"/>
                <w:szCs w:val="22"/>
                <w:highlight w:val="none"/>
              </w:rPr>
            </w:pPr>
            <w:r>
              <w:rPr>
                <w:rFonts w:hint="eastAsia" w:ascii="宋体" w:hAnsi="宋体" w:eastAsia="宋体" w:cs="宋体"/>
                <w:szCs w:val="22"/>
                <w:highlight w:val="none"/>
                <w:lang w:val="en-US" w:eastAsia="zh-CN"/>
              </w:rPr>
              <w:t>（1）</w:t>
            </w:r>
            <w:r>
              <w:rPr>
                <w:rFonts w:hint="eastAsia" w:ascii="宋体" w:hAnsi="宋体" w:eastAsia="宋体" w:cs="宋体"/>
                <w:szCs w:val="22"/>
                <w:highlight w:val="none"/>
              </w:rPr>
              <w:t>响应机制完善，7×24小时响应，一般故障1-2小时内到达现场，重大故障0.5-1小时内到达</w:t>
            </w:r>
            <w:r>
              <w:rPr>
                <w:rFonts w:hint="eastAsia" w:ascii="宋体" w:hAnsi="宋体" w:eastAsia="宋体" w:cs="宋体"/>
                <w:szCs w:val="22"/>
                <w:highlight w:val="none"/>
                <w:lang w:eastAsia="zh-CN"/>
              </w:rPr>
              <w:t>。</w:t>
            </w:r>
            <w:r>
              <w:rPr>
                <w:rFonts w:hint="eastAsia" w:ascii="宋体" w:hAnsi="宋体" w:eastAsia="宋体" w:cs="宋体"/>
                <w:szCs w:val="22"/>
                <w:highlight w:val="none"/>
              </w:rPr>
              <w:t>有明确的备机备件保障措施</w:t>
            </w:r>
            <w:r>
              <w:rPr>
                <w:rFonts w:hint="eastAsia" w:ascii="宋体" w:hAnsi="宋体" w:eastAsia="宋体" w:cs="宋体"/>
                <w:szCs w:val="22"/>
                <w:highlight w:val="none"/>
                <w:lang w:eastAsia="zh-CN"/>
              </w:rPr>
              <w:t>，备件储备种类齐全，数量充足，包含全系列模组、电源、接收卡、发送卡、排线等核心备件，备件清单详细</w:t>
            </w:r>
            <w:r>
              <w:rPr>
                <w:rFonts w:hint="eastAsia" w:ascii="宋体" w:hAnsi="宋体" w:eastAsia="宋体" w:cs="宋体"/>
                <w:szCs w:val="22"/>
                <w:highlight w:val="none"/>
              </w:rPr>
              <w:t>：</w:t>
            </w:r>
            <w:r>
              <w:rPr>
                <w:rFonts w:hint="eastAsia" w:ascii="宋体" w:hAnsi="宋体" w:eastAsia="宋体" w:cs="宋体"/>
                <w:szCs w:val="22"/>
                <w:highlight w:val="none"/>
                <w:lang w:val="en-US" w:eastAsia="zh-CN"/>
              </w:rPr>
              <w:t>16</w:t>
            </w:r>
            <w:r>
              <w:rPr>
                <w:rFonts w:hint="eastAsia" w:ascii="宋体" w:hAnsi="宋体" w:eastAsia="宋体" w:cs="宋体"/>
                <w:szCs w:val="22"/>
                <w:highlight w:val="none"/>
              </w:rPr>
              <w:t>-</w:t>
            </w:r>
            <w:r>
              <w:rPr>
                <w:rFonts w:hint="eastAsia" w:ascii="宋体" w:hAnsi="宋体" w:eastAsia="宋体" w:cs="宋体"/>
                <w:szCs w:val="22"/>
                <w:highlight w:val="none"/>
                <w:lang w:val="en-US" w:eastAsia="zh-CN"/>
              </w:rPr>
              <w:t>20</w:t>
            </w:r>
            <w:r>
              <w:rPr>
                <w:rFonts w:hint="eastAsia" w:ascii="宋体" w:hAnsi="宋体" w:eastAsia="宋体" w:cs="宋体"/>
                <w:szCs w:val="22"/>
                <w:highlight w:val="none"/>
              </w:rPr>
              <w:t>分；</w:t>
            </w:r>
          </w:p>
          <w:p w14:paraId="3CF70037">
            <w:pPr>
              <w:widowControl w:val="0"/>
              <w:spacing w:line="240" w:lineRule="auto"/>
              <w:ind w:firstLine="0" w:firstLineChars="0"/>
              <w:rPr>
                <w:rFonts w:hint="eastAsia" w:ascii="宋体" w:hAnsi="宋体" w:eastAsia="宋体" w:cs="宋体"/>
                <w:szCs w:val="22"/>
                <w:highlight w:val="none"/>
              </w:rPr>
            </w:pPr>
            <w:r>
              <w:rPr>
                <w:rFonts w:hint="eastAsia" w:ascii="宋体" w:hAnsi="宋体" w:eastAsia="宋体" w:cs="宋体"/>
                <w:szCs w:val="22"/>
                <w:highlight w:val="none"/>
                <w:lang w:val="en-US" w:eastAsia="zh-CN"/>
              </w:rPr>
              <w:t>（2）</w:t>
            </w:r>
            <w:r>
              <w:rPr>
                <w:rFonts w:hint="eastAsia" w:ascii="宋体" w:hAnsi="宋体" w:eastAsia="宋体" w:cs="宋体"/>
                <w:szCs w:val="22"/>
                <w:highlight w:val="none"/>
              </w:rPr>
              <w:t>响应机制较完善，一般故障4小时内到达，重大故障2小时内到达，备件储备较齐全，核心备件有储备，备件清单较完整：</w:t>
            </w:r>
            <w:r>
              <w:rPr>
                <w:rFonts w:hint="eastAsia" w:ascii="宋体" w:hAnsi="宋体" w:eastAsia="宋体" w:cs="宋体"/>
                <w:szCs w:val="22"/>
                <w:highlight w:val="none"/>
                <w:lang w:val="en-US" w:eastAsia="zh-CN"/>
              </w:rPr>
              <w:t>10</w:t>
            </w:r>
            <w:r>
              <w:rPr>
                <w:rFonts w:hint="eastAsia" w:ascii="宋体" w:hAnsi="宋体" w:eastAsia="宋体" w:cs="宋体"/>
                <w:szCs w:val="22"/>
                <w:highlight w:val="none"/>
              </w:rPr>
              <w:t>-</w:t>
            </w:r>
            <w:r>
              <w:rPr>
                <w:rFonts w:hint="eastAsia" w:ascii="宋体" w:hAnsi="宋体" w:eastAsia="宋体" w:cs="宋体"/>
                <w:szCs w:val="22"/>
                <w:highlight w:val="none"/>
                <w:lang w:val="en-US" w:eastAsia="zh-CN"/>
              </w:rPr>
              <w:t>15</w:t>
            </w:r>
            <w:r>
              <w:rPr>
                <w:rFonts w:hint="eastAsia" w:ascii="宋体" w:hAnsi="宋体" w:eastAsia="宋体" w:cs="宋体"/>
                <w:szCs w:val="22"/>
                <w:highlight w:val="none"/>
              </w:rPr>
              <w:t>分；</w:t>
            </w:r>
          </w:p>
          <w:p w14:paraId="77783A6B">
            <w:pPr>
              <w:widowControl w:val="0"/>
              <w:spacing w:line="240" w:lineRule="auto"/>
              <w:ind w:firstLine="0" w:firstLineChars="0"/>
              <w:rPr>
                <w:rFonts w:hint="eastAsia" w:ascii="宋体" w:hAnsi="宋体" w:eastAsia="宋体" w:cs="宋体"/>
                <w:szCs w:val="22"/>
                <w:highlight w:val="none"/>
                <w:lang w:val="en-US" w:eastAsia="zh-CN"/>
              </w:rPr>
            </w:pPr>
            <w:r>
              <w:rPr>
                <w:rFonts w:hint="eastAsia" w:ascii="宋体" w:hAnsi="宋体" w:eastAsia="宋体" w:cs="宋体"/>
                <w:szCs w:val="22"/>
                <w:highlight w:val="none"/>
                <w:lang w:val="en-US" w:eastAsia="zh-CN"/>
              </w:rPr>
              <w:t>（3）响应机制基本满足要求，但在到达时效或修复效率上有一定不足</w:t>
            </w:r>
            <w:r>
              <w:rPr>
                <w:rFonts w:hint="eastAsia" w:ascii="宋体" w:hAnsi="宋体" w:eastAsia="宋体" w:cs="宋体"/>
                <w:szCs w:val="22"/>
                <w:highlight w:val="none"/>
                <w:lang w:eastAsia="zh-CN"/>
              </w:rPr>
              <w:t>，</w:t>
            </w:r>
            <w:r>
              <w:rPr>
                <w:rFonts w:hint="eastAsia" w:ascii="宋体" w:hAnsi="宋体" w:eastAsia="宋体" w:cs="宋体"/>
                <w:szCs w:val="22"/>
                <w:highlight w:val="none"/>
              </w:rPr>
              <w:t>备件储备基本满足日常维修需求，但部分核心备件需临时采购：</w:t>
            </w:r>
            <w:r>
              <w:rPr>
                <w:rFonts w:hint="eastAsia" w:ascii="宋体" w:hAnsi="宋体" w:eastAsia="宋体" w:cs="宋体"/>
                <w:szCs w:val="22"/>
                <w:highlight w:val="none"/>
                <w:lang w:val="en-US" w:eastAsia="zh-CN"/>
              </w:rPr>
              <w:t>6</w:t>
            </w:r>
            <w:r>
              <w:rPr>
                <w:rFonts w:hint="eastAsia" w:ascii="宋体" w:hAnsi="宋体" w:eastAsia="宋体" w:cs="宋体"/>
                <w:szCs w:val="22"/>
                <w:highlight w:val="none"/>
              </w:rPr>
              <w:t>-</w:t>
            </w:r>
            <w:r>
              <w:rPr>
                <w:rFonts w:hint="eastAsia" w:ascii="宋体" w:hAnsi="宋体" w:eastAsia="宋体" w:cs="宋体"/>
                <w:szCs w:val="22"/>
                <w:highlight w:val="none"/>
                <w:lang w:val="en-US" w:eastAsia="zh-CN"/>
              </w:rPr>
              <w:t>9</w:t>
            </w:r>
            <w:r>
              <w:rPr>
                <w:rFonts w:hint="eastAsia" w:ascii="宋体" w:hAnsi="宋体" w:eastAsia="宋体" w:cs="宋体"/>
                <w:szCs w:val="22"/>
                <w:highlight w:val="none"/>
              </w:rPr>
              <w:t>分</w:t>
            </w:r>
            <w:r>
              <w:rPr>
                <w:rFonts w:hint="eastAsia" w:ascii="宋体" w:hAnsi="宋体" w:eastAsia="宋体" w:cs="宋体"/>
                <w:szCs w:val="22"/>
                <w:highlight w:val="none"/>
                <w:lang w:eastAsia="zh-CN"/>
              </w:rPr>
              <w:t>；</w:t>
            </w:r>
          </w:p>
          <w:p w14:paraId="64EE8799">
            <w:pPr>
              <w:widowControl w:val="0"/>
              <w:spacing w:line="240" w:lineRule="auto"/>
              <w:ind w:firstLine="0" w:firstLineChars="0"/>
              <w:rPr>
                <w:rFonts w:hint="eastAsia" w:ascii="Calibri" w:hAnsi="Calibri" w:eastAsia="宋体" w:cs="Times New Roman"/>
                <w:szCs w:val="22"/>
                <w:highlight w:val="none"/>
              </w:rPr>
            </w:pPr>
            <w:r>
              <w:rPr>
                <w:rFonts w:hint="eastAsia" w:ascii="宋体" w:hAnsi="宋体" w:eastAsia="宋体" w:cs="宋体"/>
                <w:szCs w:val="22"/>
                <w:highlight w:val="none"/>
                <w:lang w:val="en-US" w:eastAsia="zh-CN"/>
              </w:rPr>
              <w:t>（4）</w:t>
            </w:r>
            <w:r>
              <w:rPr>
                <w:rFonts w:hint="eastAsia" w:ascii="宋体" w:hAnsi="宋体" w:eastAsia="宋体" w:cs="宋体"/>
                <w:szCs w:val="22"/>
                <w:highlight w:val="none"/>
              </w:rPr>
              <w:t>响应机制不明确</w:t>
            </w:r>
            <w:r>
              <w:rPr>
                <w:rFonts w:hint="eastAsia" w:ascii="宋体" w:hAnsi="宋体" w:eastAsia="宋体" w:cs="宋体"/>
                <w:szCs w:val="22"/>
                <w:highlight w:val="none"/>
                <w:lang w:eastAsia="zh-CN"/>
              </w:rPr>
              <w:t>、</w:t>
            </w:r>
            <w:r>
              <w:rPr>
                <w:rFonts w:hint="eastAsia" w:ascii="宋体" w:hAnsi="宋体" w:eastAsia="宋体" w:cs="宋体"/>
                <w:szCs w:val="22"/>
                <w:highlight w:val="none"/>
                <w:lang w:val="en-US" w:eastAsia="zh-CN"/>
              </w:rPr>
              <w:t>不合理</w:t>
            </w:r>
            <w:r>
              <w:rPr>
                <w:rFonts w:hint="eastAsia" w:ascii="宋体" w:hAnsi="宋体" w:eastAsia="宋体" w:cs="宋体"/>
                <w:szCs w:val="22"/>
                <w:highlight w:val="none"/>
              </w:rPr>
              <w:t>或缺失：0-</w:t>
            </w:r>
            <w:r>
              <w:rPr>
                <w:rFonts w:hint="eastAsia" w:ascii="宋体" w:hAnsi="宋体" w:eastAsia="宋体" w:cs="宋体"/>
                <w:szCs w:val="22"/>
                <w:highlight w:val="none"/>
                <w:lang w:val="en-US" w:eastAsia="zh-CN"/>
              </w:rPr>
              <w:t>5</w:t>
            </w:r>
            <w:r>
              <w:rPr>
                <w:rFonts w:hint="eastAsia" w:ascii="宋体" w:hAnsi="宋体" w:eastAsia="宋体" w:cs="宋体"/>
                <w:szCs w:val="22"/>
                <w:highlight w:val="none"/>
              </w:rPr>
              <w:t>分。</w:t>
            </w:r>
          </w:p>
        </w:tc>
        <w:tc>
          <w:tcPr>
            <w:tcW w:w="1001" w:type="dxa"/>
            <w:tcBorders>
              <w:top w:val="single" w:color="auto" w:sz="4" w:space="0"/>
              <w:left w:val="nil"/>
              <w:bottom w:val="single" w:color="auto" w:sz="4" w:space="0"/>
              <w:right w:val="single" w:color="auto" w:sz="4" w:space="0"/>
            </w:tcBorders>
            <w:noWrap w:val="0"/>
            <w:vAlign w:val="center"/>
          </w:tcPr>
          <w:p w14:paraId="5A48E77B">
            <w:pPr>
              <w:widowControl w:val="0"/>
              <w:spacing w:line="240" w:lineRule="auto"/>
              <w:ind w:firstLine="0" w:firstLineChars="0"/>
              <w:jc w:val="center"/>
              <w:rPr>
                <w:rFonts w:hint="default" w:ascii="Calibri" w:hAnsi="Calibri" w:eastAsia="宋体" w:cs="Times New Roman"/>
                <w:szCs w:val="22"/>
                <w:highlight w:val="none"/>
                <w:lang w:val="en-US" w:eastAsia="zh-CN"/>
              </w:rPr>
            </w:pPr>
            <w:r>
              <w:rPr>
                <w:rFonts w:hint="eastAsia" w:ascii="Calibri" w:hAnsi="Calibri" w:eastAsia="宋体" w:cs="Times New Roman"/>
                <w:szCs w:val="22"/>
                <w:highlight w:val="none"/>
                <w:lang w:val="en-US" w:eastAsia="zh-CN"/>
              </w:rPr>
              <w:t>故障</w:t>
            </w:r>
            <w:r>
              <w:rPr>
                <w:rFonts w:hint="default" w:ascii="Calibri" w:hAnsi="Calibri" w:eastAsia="宋体" w:cs="Times New Roman"/>
                <w:szCs w:val="22"/>
                <w:highlight w:val="none"/>
                <w:lang w:val="en-US" w:eastAsia="zh-CN"/>
              </w:rPr>
              <w:t>响应方案</w:t>
            </w:r>
          </w:p>
        </w:tc>
        <w:tc>
          <w:tcPr>
            <w:tcW w:w="921" w:type="dxa"/>
            <w:tcBorders>
              <w:top w:val="single" w:color="auto" w:sz="4" w:space="0"/>
              <w:left w:val="nil"/>
              <w:bottom w:val="single" w:color="auto" w:sz="4" w:space="0"/>
              <w:right w:val="single" w:color="auto" w:sz="4" w:space="0"/>
            </w:tcBorders>
            <w:noWrap/>
            <w:vAlign w:val="center"/>
          </w:tcPr>
          <w:p w14:paraId="33A6832E">
            <w:pPr>
              <w:widowControl/>
              <w:spacing w:line="240" w:lineRule="auto"/>
              <w:ind w:firstLine="0" w:firstLineChars="0"/>
              <w:jc w:val="center"/>
              <w:rPr>
                <w:rFonts w:hint="default" w:ascii="宋体" w:hAnsi="宋体" w:eastAsia="宋体" w:cs="宋体"/>
                <w:color w:val="000000"/>
                <w:kern w:val="0"/>
                <w:sz w:val="22"/>
                <w:szCs w:val="22"/>
                <w:highlight w:val="none"/>
                <w:lang w:val="en-US" w:eastAsia="zh-CN"/>
              </w:rPr>
            </w:pPr>
            <w:r>
              <w:rPr>
                <w:rFonts w:hint="eastAsia" w:ascii="宋体" w:hAnsi="宋体" w:eastAsia="宋体" w:cs="宋体"/>
                <w:color w:val="000000"/>
                <w:kern w:val="0"/>
                <w:sz w:val="22"/>
                <w:szCs w:val="22"/>
                <w:highlight w:val="none"/>
                <w:lang w:val="en-US" w:eastAsia="zh-CN"/>
              </w:rPr>
              <w:t>20分</w:t>
            </w:r>
          </w:p>
        </w:tc>
      </w:tr>
      <w:tr w14:paraId="14AD7266">
        <w:tblPrEx>
          <w:tblCellMar>
            <w:top w:w="0" w:type="dxa"/>
            <w:left w:w="108" w:type="dxa"/>
            <w:bottom w:w="0" w:type="dxa"/>
            <w:right w:w="108" w:type="dxa"/>
          </w:tblCellMar>
        </w:tblPrEx>
        <w:trPr>
          <w:trHeight w:val="342" w:hRule="atLeast"/>
          <w:jc w:val="center"/>
        </w:trPr>
        <w:tc>
          <w:tcPr>
            <w:tcW w:w="8778" w:type="dxa"/>
            <w:gridSpan w:val="4"/>
            <w:tcBorders>
              <w:top w:val="single" w:color="auto" w:sz="4" w:space="0"/>
              <w:left w:val="single" w:color="auto" w:sz="4" w:space="0"/>
              <w:bottom w:val="single" w:color="auto" w:sz="4" w:space="0"/>
              <w:right w:val="single" w:color="auto" w:sz="4" w:space="0"/>
            </w:tcBorders>
            <w:noWrap/>
            <w:vAlign w:val="center"/>
          </w:tcPr>
          <w:p w14:paraId="47C36427">
            <w:pPr>
              <w:widowControl/>
              <w:spacing w:line="240" w:lineRule="auto"/>
              <w:ind w:firstLine="0" w:firstLineChars="0"/>
              <w:jc w:val="center"/>
              <w:rPr>
                <w:rFonts w:hint="eastAsia" w:ascii="宋体" w:hAnsi="宋体" w:eastAsia="宋体" w:cs="宋体"/>
                <w:color w:val="000000"/>
                <w:kern w:val="0"/>
                <w:sz w:val="22"/>
                <w:szCs w:val="22"/>
                <w:highlight w:val="none"/>
              </w:rPr>
            </w:pPr>
            <w:r>
              <w:rPr>
                <w:rFonts w:hint="eastAsia" w:ascii="宋体" w:hAnsi="宋体" w:eastAsia="宋体" w:cs="宋体"/>
                <w:color w:val="000000"/>
                <w:kern w:val="0"/>
                <w:sz w:val="24"/>
                <w:szCs w:val="24"/>
                <w:highlight w:val="none"/>
              </w:rPr>
              <w:t>合  计</w:t>
            </w:r>
          </w:p>
        </w:tc>
        <w:tc>
          <w:tcPr>
            <w:tcW w:w="921" w:type="dxa"/>
            <w:tcBorders>
              <w:top w:val="single" w:color="auto" w:sz="4" w:space="0"/>
              <w:left w:val="nil"/>
              <w:bottom w:val="single" w:color="auto" w:sz="4" w:space="0"/>
              <w:right w:val="single" w:color="auto" w:sz="4" w:space="0"/>
            </w:tcBorders>
            <w:noWrap/>
            <w:vAlign w:val="center"/>
          </w:tcPr>
          <w:p w14:paraId="2051C161">
            <w:pPr>
              <w:widowControl/>
              <w:spacing w:line="240" w:lineRule="auto"/>
              <w:ind w:firstLine="0" w:firstLineChars="0"/>
              <w:jc w:val="center"/>
              <w:rPr>
                <w:rFonts w:hint="eastAsia"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lang w:val="en-US" w:eastAsia="zh-CN"/>
              </w:rPr>
              <w:t>45</w:t>
            </w:r>
            <w:r>
              <w:rPr>
                <w:rFonts w:hint="eastAsia" w:ascii="宋体" w:hAnsi="宋体" w:eastAsia="宋体" w:cs="宋体"/>
                <w:color w:val="000000"/>
                <w:kern w:val="0"/>
                <w:sz w:val="22"/>
                <w:szCs w:val="22"/>
                <w:highlight w:val="none"/>
              </w:rPr>
              <w:t>分　</w:t>
            </w:r>
          </w:p>
        </w:tc>
      </w:tr>
    </w:tbl>
    <w:p w14:paraId="12870900">
      <w:pPr>
        <w:keepNext w:val="0"/>
        <w:keepLines w:val="0"/>
        <w:pageBreakBefore w:val="0"/>
        <w:widowControl/>
        <w:kinsoku/>
        <w:wordWrap/>
        <w:overflowPunct/>
        <w:topLinePunct w:val="0"/>
        <w:autoSpaceDE/>
        <w:autoSpaceDN/>
        <w:bidi w:val="0"/>
        <w:adjustRightInd/>
        <w:snapToGrid/>
        <w:spacing w:line="240" w:lineRule="auto"/>
        <w:ind w:firstLine="640" w:firstLineChars="200"/>
        <w:jc w:val="left"/>
        <w:textAlignment w:val="auto"/>
        <w:rPr>
          <w:rFonts w:hint="eastAsia" w:ascii="仿宋_GB2312" w:hAnsi="仿宋_GB2312" w:eastAsia="仿宋_GB2312" w:cs="仿宋_GB2312"/>
          <w:b w:val="0"/>
          <w:bCs/>
          <w:sz w:val="32"/>
          <w:szCs w:val="32"/>
          <w:highlight w:val="none"/>
          <w:lang w:val="en-US" w:eastAsia="zh-CN"/>
        </w:rPr>
      </w:pPr>
      <w:r>
        <w:rPr>
          <w:rFonts w:hint="eastAsia" w:ascii="仿宋_GB2312" w:hAnsi="仿宋_GB2312" w:eastAsia="仿宋_GB2312" w:cs="仿宋_GB2312"/>
          <w:b w:val="0"/>
          <w:bCs/>
          <w:sz w:val="32"/>
          <w:szCs w:val="32"/>
          <w:highlight w:val="none"/>
          <w:lang w:val="en-US" w:eastAsia="zh-CN"/>
        </w:rPr>
        <w:t>3.商务部分的评分标准：</w:t>
      </w:r>
    </w:p>
    <w:tbl>
      <w:tblPr>
        <w:tblStyle w:val="49"/>
        <w:tblW w:w="9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1555"/>
        <w:gridCol w:w="4049"/>
        <w:gridCol w:w="2111"/>
        <w:gridCol w:w="836"/>
      </w:tblGrid>
      <w:tr w14:paraId="76EF3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800" w:type="dxa"/>
            <w:noWrap/>
            <w:vAlign w:val="center"/>
          </w:tcPr>
          <w:p w14:paraId="763BEB60">
            <w:pPr>
              <w:widowControl/>
              <w:spacing w:line="240" w:lineRule="auto"/>
              <w:ind w:firstLine="0" w:firstLineChar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序号</w:t>
            </w:r>
          </w:p>
        </w:tc>
        <w:tc>
          <w:tcPr>
            <w:tcW w:w="1555" w:type="dxa"/>
            <w:noWrap/>
            <w:vAlign w:val="center"/>
          </w:tcPr>
          <w:p w14:paraId="6976F813">
            <w:pPr>
              <w:widowControl/>
              <w:spacing w:line="240" w:lineRule="auto"/>
              <w:ind w:firstLine="0" w:firstLineChar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评标项目</w:t>
            </w:r>
          </w:p>
        </w:tc>
        <w:tc>
          <w:tcPr>
            <w:tcW w:w="4049" w:type="dxa"/>
            <w:noWrap/>
            <w:vAlign w:val="center"/>
          </w:tcPr>
          <w:p w14:paraId="5F02035C">
            <w:pPr>
              <w:widowControl/>
              <w:spacing w:line="240" w:lineRule="auto"/>
              <w:ind w:firstLine="0" w:firstLineChar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评标标准</w:t>
            </w:r>
          </w:p>
        </w:tc>
        <w:tc>
          <w:tcPr>
            <w:tcW w:w="2111" w:type="dxa"/>
            <w:noWrap/>
            <w:vAlign w:val="center"/>
          </w:tcPr>
          <w:p w14:paraId="02391050">
            <w:pPr>
              <w:widowControl/>
              <w:spacing w:line="240" w:lineRule="auto"/>
              <w:ind w:firstLine="0" w:firstLineChar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证明材料</w:t>
            </w:r>
          </w:p>
        </w:tc>
        <w:tc>
          <w:tcPr>
            <w:tcW w:w="836" w:type="dxa"/>
            <w:noWrap/>
            <w:vAlign w:val="center"/>
          </w:tcPr>
          <w:p w14:paraId="6F7138D8">
            <w:pPr>
              <w:widowControl/>
              <w:spacing w:line="240" w:lineRule="auto"/>
              <w:ind w:firstLine="0" w:firstLineChars="0"/>
              <w:jc w:val="center"/>
              <w:rPr>
                <w:rFonts w:hint="eastAsia" w:ascii="宋体" w:hAnsi="宋体" w:eastAsia="宋体" w:cs="宋体"/>
                <w:color w:val="000000"/>
                <w:kern w:val="0"/>
                <w:sz w:val="24"/>
                <w:szCs w:val="24"/>
                <w:highlight w:val="none"/>
              </w:rPr>
            </w:pPr>
            <w:r>
              <w:rPr>
                <w:rFonts w:hint="eastAsia" w:ascii="宋体" w:hAnsi="宋体" w:eastAsia="宋体" w:cs="宋体"/>
                <w:color w:val="000000"/>
                <w:kern w:val="0"/>
                <w:sz w:val="24"/>
                <w:szCs w:val="24"/>
                <w:highlight w:val="none"/>
              </w:rPr>
              <w:t>分值</w:t>
            </w:r>
          </w:p>
        </w:tc>
      </w:tr>
      <w:tr w14:paraId="1478D0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00" w:type="dxa"/>
            <w:noWrap/>
            <w:vAlign w:val="center"/>
          </w:tcPr>
          <w:p w14:paraId="5FDFEA42">
            <w:pPr>
              <w:widowControl/>
              <w:spacing w:line="240" w:lineRule="auto"/>
              <w:ind w:firstLine="0" w:firstLineChars="0"/>
              <w:jc w:val="center"/>
              <w:rPr>
                <w:rFonts w:hint="eastAsia"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1</w:t>
            </w:r>
          </w:p>
        </w:tc>
        <w:tc>
          <w:tcPr>
            <w:tcW w:w="1555" w:type="dxa"/>
            <w:noWrap/>
            <w:vAlign w:val="center"/>
          </w:tcPr>
          <w:p w14:paraId="78CB3B95">
            <w:pPr>
              <w:widowControl w:val="0"/>
              <w:spacing w:line="240" w:lineRule="auto"/>
              <w:ind w:firstLine="0" w:firstLineChars="0"/>
              <w:jc w:val="center"/>
              <w:rPr>
                <w:rFonts w:hint="eastAsia" w:ascii="宋体" w:hAnsi="宋体" w:eastAsia="宋体" w:cs="宋体"/>
                <w:szCs w:val="22"/>
                <w:highlight w:val="none"/>
              </w:rPr>
            </w:pPr>
            <w:r>
              <w:rPr>
                <w:rFonts w:hint="eastAsia" w:ascii="宋体" w:hAnsi="宋体" w:eastAsia="宋体" w:cs="宋体"/>
                <w:szCs w:val="22"/>
                <w:highlight w:val="none"/>
              </w:rPr>
              <w:t>同类业绩</w:t>
            </w:r>
          </w:p>
        </w:tc>
        <w:tc>
          <w:tcPr>
            <w:tcW w:w="4049" w:type="dxa"/>
            <w:noWrap w:val="0"/>
            <w:vAlign w:val="center"/>
          </w:tcPr>
          <w:p w14:paraId="4A09769C">
            <w:pPr>
              <w:widowControl w:val="0"/>
              <w:spacing w:line="240" w:lineRule="auto"/>
              <w:ind w:firstLine="0" w:firstLineChars="0"/>
              <w:rPr>
                <w:rFonts w:hint="eastAsia" w:ascii="宋体" w:hAnsi="宋体" w:eastAsia="宋体" w:cs="宋体"/>
                <w:szCs w:val="22"/>
                <w:highlight w:val="none"/>
                <w:lang w:val="en-US" w:eastAsia="zh-CN"/>
              </w:rPr>
            </w:pPr>
            <w:r>
              <w:rPr>
                <w:rFonts w:hint="eastAsia" w:ascii="宋体" w:hAnsi="宋体" w:eastAsia="宋体" w:cs="宋体"/>
                <w:szCs w:val="22"/>
                <w:highlight w:val="none"/>
                <w:lang w:val="en-US" w:eastAsia="zh-CN"/>
              </w:rPr>
              <w:t>提供近三年（以合同签订时间为准）电子屏维保服务合同业绩。（注：业绩材料限5份，超过5份的以前5份为准。）</w:t>
            </w:r>
          </w:p>
          <w:p w14:paraId="0D4FED29">
            <w:pPr>
              <w:widowControl w:val="0"/>
              <w:spacing w:line="240" w:lineRule="auto"/>
              <w:ind w:firstLine="0" w:firstLineChars="0"/>
              <w:rPr>
                <w:rFonts w:hint="eastAsia" w:ascii="宋体" w:hAnsi="宋体" w:eastAsia="宋体" w:cs="宋体"/>
                <w:szCs w:val="22"/>
                <w:highlight w:val="none"/>
                <w:lang w:val="en-US" w:eastAsia="zh-CN"/>
              </w:rPr>
            </w:pPr>
            <w:r>
              <w:rPr>
                <w:rFonts w:hint="eastAsia" w:ascii="宋体" w:hAnsi="宋体" w:eastAsia="宋体" w:cs="宋体"/>
                <w:szCs w:val="22"/>
                <w:highlight w:val="none"/>
                <w:lang w:val="en-US" w:eastAsia="zh-CN"/>
              </w:rPr>
              <w:t>1.业绩规模：单个合同金额≥5万元，每提供一项得1分，最高5分。</w:t>
            </w:r>
          </w:p>
          <w:p w14:paraId="67135508">
            <w:pPr>
              <w:widowControl w:val="0"/>
              <w:spacing w:line="240" w:lineRule="auto"/>
              <w:ind w:firstLine="0" w:firstLineChars="0"/>
              <w:rPr>
                <w:rFonts w:hint="eastAsia" w:ascii="宋体" w:hAnsi="宋体" w:eastAsia="宋体" w:cs="宋体"/>
                <w:szCs w:val="22"/>
                <w:highlight w:val="none"/>
                <w:lang w:val="en-US" w:eastAsia="zh-CN"/>
              </w:rPr>
            </w:pPr>
            <w:r>
              <w:rPr>
                <w:rFonts w:hint="eastAsia" w:ascii="宋体" w:hAnsi="宋体" w:eastAsia="宋体" w:cs="宋体"/>
                <w:szCs w:val="22"/>
                <w:highlight w:val="none"/>
                <w:lang w:val="en-US" w:eastAsia="zh-CN"/>
              </w:rPr>
              <w:t>2.客户评价：提供客户出具的服务评价证明，评价为优秀/满意/良好得1分，无评价或评价一般不得分，最高5分。</w:t>
            </w:r>
          </w:p>
          <w:p w14:paraId="2F196E95">
            <w:pPr>
              <w:widowControl w:val="0"/>
              <w:spacing w:line="240" w:lineRule="auto"/>
              <w:ind w:firstLine="0" w:firstLineChars="0"/>
              <w:rPr>
                <w:rFonts w:hint="eastAsia" w:ascii="宋体" w:hAnsi="宋体" w:eastAsia="宋体" w:cs="宋体"/>
                <w:szCs w:val="22"/>
                <w:highlight w:val="none"/>
                <w:lang w:eastAsia="zh-CN"/>
              </w:rPr>
            </w:pPr>
            <w:r>
              <w:rPr>
                <w:rFonts w:hint="eastAsia" w:ascii="宋体" w:hAnsi="宋体" w:eastAsia="宋体" w:cs="宋体"/>
                <w:szCs w:val="22"/>
                <w:highlight w:val="none"/>
                <w:lang w:val="en-US" w:eastAsia="zh-CN"/>
              </w:rPr>
              <w:t>3.不符合或不提交的不得分。</w:t>
            </w:r>
          </w:p>
        </w:tc>
        <w:tc>
          <w:tcPr>
            <w:tcW w:w="2111" w:type="dxa"/>
            <w:noWrap w:val="0"/>
            <w:vAlign w:val="center"/>
          </w:tcPr>
          <w:p w14:paraId="1A6FF834">
            <w:pPr>
              <w:widowControl w:val="0"/>
              <w:spacing w:line="240" w:lineRule="auto"/>
              <w:ind w:firstLine="0" w:firstLineChars="0"/>
              <w:rPr>
                <w:rFonts w:hint="eastAsia" w:ascii="宋体" w:hAnsi="宋体" w:eastAsia="宋体" w:cs="宋体"/>
                <w:szCs w:val="22"/>
                <w:highlight w:val="none"/>
              </w:rPr>
            </w:pPr>
          </w:p>
          <w:p w14:paraId="0517BF7E">
            <w:pPr>
              <w:widowControl w:val="0"/>
              <w:spacing w:line="240" w:lineRule="auto"/>
              <w:ind w:firstLine="0" w:firstLineChars="0"/>
              <w:rPr>
                <w:rFonts w:hint="eastAsia" w:ascii="宋体" w:hAnsi="宋体" w:eastAsia="宋体" w:cs="宋体"/>
                <w:szCs w:val="22"/>
                <w:highlight w:val="none"/>
              </w:rPr>
            </w:pPr>
          </w:p>
          <w:p w14:paraId="06867AFD">
            <w:pPr>
              <w:widowControl w:val="0"/>
              <w:spacing w:line="240" w:lineRule="auto"/>
              <w:ind w:firstLine="0" w:firstLineChars="0"/>
              <w:rPr>
                <w:rFonts w:hint="eastAsia" w:ascii="宋体" w:hAnsi="宋体" w:eastAsia="宋体" w:cs="宋体"/>
                <w:szCs w:val="22"/>
                <w:highlight w:val="none"/>
              </w:rPr>
            </w:pPr>
            <w:r>
              <w:rPr>
                <w:rFonts w:hint="eastAsia" w:ascii="宋体" w:hAnsi="宋体" w:eastAsia="宋体" w:cs="宋体"/>
                <w:szCs w:val="22"/>
                <w:highlight w:val="none"/>
                <w:lang w:val="en-US" w:eastAsia="zh-CN"/>
              </w:rPr>
              <w:t>1.</w:t>
            </w:r>
            <w:r>
              <w:rPr>
                <w:rFonts w:hint="eastAsia" w:ascii="宋体" w:hAnsi="宋体" w:eastAsia="宋体" w:cs="宋体"/>
                <w:szCs w:val="22"/>
                <w:highlight w:val="none"/>
              </w:rPr>
              <w:t>提供《同类业绩一览表》，并按表格顺序提供合同复印件（包括但不限于合同首页、项目内容页、金额页、签订时间页、双方盖章页）</w:t>
            </w:r>
          </w:p>
          <w:p w14:paraId="76AA24B2">
            <w:pPr>
              <w:widowControl w:val="0"/>
              <w:spacing w:line="240" w:lineRule="auto"/>
              <w:ind w:firstLine="0" w:firstLineChars="0"/>
              <w:rPr>
                <w:rFonts w:hint="eastAsia" w:ascii="宋体" w:hAnsi="宋体" w:eastAsia="宋体" w:cs="宋体"/>
                <w:szCs w:val="22"/>
                <w:highlight w:val="none"/>
              </w:rPr>
            </w:pPr>
            <w:r>
              <w:rPr>
                <w:rFonts w:hint="eastAsia" w:ascii="宋体" w:hAnsi="宋体" w:eastAsia="宋体" w:cs="宋体"/>
                <w:szCs w:val="22"/>
                <w:highlight w:val="none"/>
                <w:lang w:val="en-US" w:eastAsia="zh-CN"/>
              </w:rPr>
              <w:t>2.提供</w:t>
            </w:r>
            <w:r>
              <w:rPr>
                <w:rFonts w:hint="eastAsia" w:ascii="宋体" w:hAnsi="宋体" w:eastAsia="宋体" w:cs="宋体"/>
                <w:szCs w:val="22"/>
                <w:highlight w:val="none"/>
              </w:rPr>
              <w:t>客户</w:t>
            </w:r>
            <w:r>
              <w:rPr>
                <w:rFonts w:hint="eastAsia" w:ascii="宋体" w:hAnsi="宋体" w:eastAsia="宋体" w:cs="宋体"/>
                <w:szCs w:val="22"/>
                <w:highlight w:val="none"/>
                <w:lang w:val="en-US" w:eastAsia="zh-CN"/>
              </w:rPr>
              <w:t>公章</w:t>
            </w:r>
            <w:r>
              <w:rPr>
                <w:rFonts w:hint="eastAsia" w:ascii="宋体" w:hAnsi="宋体" w:eastAsia="宋体" w:cs="宋体"/>
                <w:szCs w:val="22"/>
                <w:highlight w:val="none"/>
              </w:rPr>
              <w:t>出具的服务评价证明。</w:t>
            </w:r>
          </w:p>
        </w:tc>
        <w:tc>
          <w:tcPr>
            <w:tcW w:w="836" w:type="dxa"/>
            <w:noWrap/>
            <w:vAlign w:val="center"/>
          </w:tcPr>
          <w:p w14:paraId="75EF7ADD">
            <w:pPr>
              <w:widowControl/>
              <w:spacing w:line="240" w:lineRule="auto"/>
              <w:ind w:firstLine="0" w:firstLineChars="0"/>
              <w:jc w:val="center"/>
              <w:rPr>
                <w:rFonts w:hint="eastAsia"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1</w:t>
            </w:r>
            <w:r>
              <w:rPr>
                <w:rFonts w:hint="eastAsia" w:ascii="宋体" w:hAnsi="宋体" w:eastAsia="宋体" w:cs="宋体"/>
                <w:color w:val="000000"/>
                <w:kern w:val="0"/>
                <w:sz w:val="22"/>
                <w:szCs w:val="22"/>
                <w:highlight w:val="none"/>
                <w:lang w:val="en-US" w:eastAsia="zh-CN"/>
              </w:rPr>
              <w:t>0</w:t>
            </w:r>
            <w:r>
              <w:rPr>
                <w:rFonts w:hint="eastAsia" w:ascii="宋体" w:hAnsi="宋体" w:eastAsia="宋体" w:cs="宋体"/>
                <w:color w:val="000000"/>
                <w:kern w:val="0"/>
                <w:sz w:val="22"/>
                <w:szCs w:val="22"/>
                <w:highlight w:val="none"/>
              </w:rPr>
              <w:t>分</w:t>
            </w:r>
          </w:p>
        </w:tc>
      </w:tr>
      <w:tr w14:paraId="15656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00" w:type="dxa"/>
            <w:noWrap/>
            <w:vAlign w:val="center"/>
          </w:tcPr>
          <w:p w14:paraId="27020BFF">
            <w:pPr>
              <w:widowControl/>
              <w:spacing w:line="240" w:lineRule="auto"/>
              <w:ind w:firstLine="0" w:firstLineChars="0"/>
              <w:jc w:val="center"/>
              <w:rPr>
                <w:rFonts w:hint="eastAsia" w:ascii="宋体" w:hAnsi="宋体" w:eastAsia="宋体" w:cs="宋体"/>
                <w:color w:val="000000"/>
                <w:kern w:val="0"/>
                <w:sz w:val="22"/>
                <w:szCs w:val="22"/>
                <w:highlight w:val="none"/>
                <w:lang w:val="en-US" w:eastAsia="zh-CN" w:bidi="ar-SA"/>
              </w:rPr>
            </w:pPr>
            <w:r>
              <w:rPr>
                <w:rFonts w:hint="eastAsia" w:ascii="宋体" w:hAnsi="宋体" w:eastAsia="宋体" w:cs="宋体"/>
                <w:color w:val="000000"/>
                <w:kern w:val="0"/>
                <w:sz w:val="22"/>
                <w:szCs w:val="22"/>
                <w:highlight w:val="none"/>
                <w:lang w:val="en-US" w:eastAsia="zh-CN"/>
              </w:rPr>
              <w:t>2</w:t>
            </w:r>
          </w:p>
        </w:tc>
        <w:tc>
          <w:tcPr>
            <w:tcW w:w="1555" w:type="dxa"/>
            <w:noWrap/>
            <w:vAlign w:val="center"/>
          </w:tcPr>
          <w:p w14:paraId="1E89A44D">
            <w:pPr>
              <w:widowControl w:val="0"/>
              <w:spacing w:line="240" w:lineRule="auto"/>
              <w:ind w:firstLine="0" w:firstLineChars="0"/>
              <w:rPr>
                <w:rFonts w:hint="eastAsia" w:ascii="宋体" w:hAnsi="宋体" w:eastAsia="宋体" w:cs="宋体"/>
                <w:szCs w:val="22"/>
                <w:highlight w:val="none"/>
                <w:lang w:val="en-US" w:eastAsia="zh-CN"/>
              </w:rPr>
            </w:pPr>
            <w:r>
              <w:rPr>
                <w:rFonts w:hint="eastAsia" w:ascii="宋体" w:hAnsi="宋体" w:eastAsia="宋体" w:cs="宋体"/>
                <w:szCs w:val="22"/>
                <w:highlight w:val="none"/>
                <w:lang w:val="en-US" w:eastAsia="zh-CN"/>
              </w:rPr>
              <w:t>项目团队配置</w:t>
            </w:r>
          </w:p>
        </w:tc>
        <w:tc>
          <w:tcPr>
            <w:tcW w:w="4049" w:type="dxa"/>
            <w:noWrap w:val="0"/>
            <w:vAlign w:val="center"/>
          </w:tcPr>
          <w:p w14:paraId="341E198F">
            <w:pPr>
              <w:widowControl w:val="0"/>
              <w:spacing w:line="240" w:lineRule="auto"/>
              <w:ind w:firstLine="0" w:firstLineChars="0"/>
              <w:rPr>
                <w:rFonts w:hint="eastAsia" w:ascii="宋体" w:hAnsi="宋体" w:eastAsia="宋体" w:cs="宋体"/>
                <w:szCs w:val="22"/>
                <w:highlight w:val="none"/>
                <w:lang w:val="en-US" w:eastAsia="zh-CN"/>
              </w:rPr>
            </w:pPr>
            <w:r>
              <w:rPr>
                <w:rFonts w:hint="eastAsia" w:ascii="宋体" w:hAnsi="宋体" w:eastAsia="宋体" w:cs="宋体"/>
                <w:szCs w:val="22"/>
                <w:highlight w:val="none"/>
                <w:lang w:val="en-US" w:eastAsia="zh-CN"/>
              </w:rPr>
              <w:t>1.技术团队（6分）：项目负责人或技术人员持有电子、电气、自动化、信息系统等相关专业证书或职称（以在投标人单位注册的证书扫描件及近三个月社保证明为准）；具有相关专业高级职称的加2分，中级职称加1分，本项累计最高6分。</w:t>
            </w:r>
          </w:p>
          <w:p w14:paraId="01902E73">
            <w:pPr>
              <w:widowControl w:val="0"/>
              <w:spacing w:line="240" w:lineRule="auto"/>
              <w:ind w:firstLine="0" w:firstLineChars="0"/>
              <w:rPr>
                <w:rFonts w:hint="eastAsia" w:ascii="宋体" w:hAnsi="宋体" w:eastAsia="宋体" w:cs="宋体"/>
                <w:szCs w:val="22"/>
                <w:highlight w:val="none"/>
                <w:lang w:val="en-US" w:eastAsia="zh-CN"/>
              </w:rPr>
            </w:pPr>
            <w:r>
              <w:rPr>
                <w:rFonts w:hint="eastAsia" w:ascii="宋体" w:hAnsi="宋体" w:eastAsia="宋体" w:cs="宋体"/>
                <w:szCs w:val="22"/>
                <w:highlight w:val="none"/>
                <w:lang w:val="en-US" w:eastAsia="zh-CN"/>
              </w:rPr>
              <w:t>2.企业资质（2分）：</w:t>
            </w:r>
            <w:r>
              <w:rPr>
                <w:rFonts w:hint="eastAsia" w:ascii="宋体" w:hAnsi="宋体" w:eastAsia="宋体" w:cs="宋体"/>
                <w:szCs w:val="22"/>
                <w:highlight w:val="none"/>
              </w:rPr>
              <w:t>具备安全生产许可证或相关安全施工证书</w:t>
            </w:r>
            <w:r>
              <w:rPr>
                <w:rFonts w:hint="eastAsia" w:ascii="宋体" w:hAnsi="宋体" w:eastAsia="宋体" w:cs="宋体"/>
                <w:szCs w:val="22"/>
                <w:highlight w:val="none"/>
                <w:lang w:eastAsia="zh-CN"/>
              </w:rPr>
              <w:t>，</w:t>
            </w:r>
            <w:r>
              <w:rPr>
                <w:rFonts w:hint="eastAsia" w:ascii="宋体" w:hAnsi="宋体" w:eastAsia="宋体" w:cs="宋体"/>
                <w:szCs w:val="22"/>
                <w:highlight w:val="none"/>
                <w:lang w:val="en-US" w:eastAsia="zh-CN"/>
              </w:rPr>
              <w:t>加1分；</w:t>
            </w:r>
            <w:r>
              <w:rPr>
                <w:rFonts w:hint="eastAsia" w:ascii="宋体" w:hAnsi="宋体" w:eastAsia="宋体" w:cs="宋体"/>
                <w:szCs w:val="22"/>
                <w:highlight w:val="none"/>
              </w:rPr>
              <w:t>具有ISO管理体系认证</w:t>
            </w:r>
            <w:r>
              <w:rPr>
                <w:rFonts w:hint="eastAsia" w:ascii="宋体" w:hAnsi="宋体" w:eastAsia="宋体" w:cs="宋体"/>
                <w:szCs w:val="22"/>
                <w:highlight w:val="none"/>
                <w:lang w:eastAsia="zh-CN"/>
              </w:rPr>
              <w:t>、</w:t>
            </w:r>
            <w:r>
              <w:rPr>
                <w:rFonts w:hint="eastAsia" w:ascii="宋体" w:hAnsi="宋体" w:eastAsia="宋体" w:cs="宋体"/>
                <w:szCs w:val="22"/>
                <w:highlight w:val="none"/>
              </w:rPr>
              <w:t>相关行业资质、高新技术企业、守合同重信用企业等（每项0.5分，最高1分）</w:t>
            </w:r>
            <w:r>
              <w:rPr>
                <w:rFonts w:hint="eastAsia" w:ascii="宋体" w:hAnsi="宋体" w:eastAsia="宋体" w:cs="宋体"/>
                <w:szCs w:val="22"/>
                <w:highlight w:val="none"/>
                <w:lang w:eastAsia="zh-CN"/>
              </w:rPr>
              <w:t>。</w:t>
            </w:r>
          </w:p>
          <w:p w14:paraId="71A3862E">
            <w:pPr>
              <w:widowControl w:val="0"/>
              <w:spacing w:line="240" w:lineRule="auto"/>
              <w:ind w:firstLine="0" w:firstLineChars="0"/>
              <w:rPr>
                <w:rFonts w:hint="eastAsia" w:ascii="宋体" w:hAnsi="宋体" w:eastAsia="宋体" w:cs="宋体"/>
                <w:szCs w:val="22"/>
                <w:highlight w:val="none"/>
                <w:lang w:val="en-US" w:eastAsia="zh-CN"/>
              </w:rPr>
            </w:pPr>
            <w:r>
              <w:rPr>
                <w:rFonts w:hint="eastAsia" w:ascii="宋体" w:hAnsi="宋体" w:eastAsia="宋体" w:cs="宋体"/>
                <w:szCs w:val="22"/>
                <w:highlight w:val="none"/>
                <w:lang w:val="en-US" w:eastAsia="zh-CN"/>
              </w:rPr>
              <w:t>3.人员稳定性承诺（2分）：承诺核心技术人员在服务期内保持稳定，具有AB角替代机制且负责人具有3年以上电子屏维保经验。</w:t>
            </w:r>
          </w:p>
        </w:tc>
        <w:tc>
          <w:tcPr>
            <w:tcW w:w="2111" w:type="dxa"/>
            <w:noWrap w:val="0"/>
            <w:vAlign w:val="center"/>
          </w:tcPr>
          <w:p w14:paraId="1650D0A4">
            <w:pPr>
              <w:widowControl w:val="0"/>
              <w:spacing w:line="240" w:lineRule="auto"/>
              <w:ind w:firstLine="0" w:firstLineChars="0"/>
              <w:rPr>
                <w:rFonts w:hint="eastAsia" w:ascii="宋体" w:hAnsi="宋体" w:eastAsia="宋体" w:cs="宋体"/>
                <w:szCs w:val="22"/>
                <w:highlight w:val="none"/>
                <w:lang w:val="en-US" w:eastAsia="zh-CN"/>
              </w:rPr>
            </w:pPr>
            <w:r>
              <w:rPr>
                <w:rFonts w:hint="eastAsia" w:ascii="宋体" w:hAnsi="宋体" w:eastAsia="宋体" w:cs="宋体"/>
                <w:szCs w:val="22"/>
                <w:highlight w:val="none"/>
                <w:lang w:val="en-US" w:eastAsia="zh-CN"/>
              </w:rPr>
              <w:t>提供人员配置方案，包括项目技术团队人员的资格或者职称证书、近三个月社保证明、企业资质、人员稳定性承诺</w:t>
            </w:r>
          </w:p>
        </w:tc>
        <w:tc>
          <w:tcPr>
            <w:tcW w:w="836" w:type="dxa"/>
            <w:noWrap/>
            <w:vAlign w:val="center"/>
          </w:tcPr>
          <w:p w14:paraId="6C8F2210">
            <w:pPr>
              <w:widowControl w:val="0"/>
              <w:spacing w:line="240" w:lineRule="auto"/>
              <w:ind w:firstLine="0" w:firstLineChars="0"/>
              <w:rPr>
                <w:rFonts w:hint="eastAsia" w:ascii="宋体" w:hAnsi="宋体" w:eastAsia="宋体" w:cs="宋体"/>
                <w:szCs w:val="22"/>
                <w:highlight w:val="none"/>
                <w:lang w:val="en-US" w:eastAsia="zh-CN"/>
              </w:rPr>
            </w:pPr>
            <w:r>
              <w:rPr>
                <w:rFonts w:hint="eastAsia" w:ascii="宋体" w:hAnsi="宋体" w:eastAsia="宋体" w:cs="宋体"/>
                <w:szCs w:val="22"/>
                <w:highlight w:val="none"/>
                <w:lang w:val="en-US" w:eastAsia="zh-CN"/>
              </w:rPr>
              <w:t>10</w:t>
            </w:r>
            <w:r>
              <w:rPr>
                <w:rFonts w:hint="eastAsia" w:ascii="宋体" w:hAnsi="宋体" w:eastAsia="宋体" w:cs="宋体"/>
                <w:szCs w:val="22"/>
                <w:highlight w:val="none"/>
              </w:rPr>
              <w:t>分</w:t>
            </w:r>
          </w:p>
        </w:tc>
      </w:tr>
      <w:tr w14:paraId="35F0D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8515" w:type="dxa"/>
            <w:gridSpan w:val="4"/>
            <w:noWrap/>
            <w:vAlign w:val="center"/>
          </w:tcPr>
          <w:p w14:paraId="6AD9753A">
            <w:pPr>
              <w:widowControl/>
              <w:spacing w:line="240" w:lineRule="auto"/>
              <w:ind w:firstLine="0" w:firstLineChars="0"/>
              <w:jc w:val="center"/>
              <w:rPr>
                <w:rFonts w:hint="eastAsia"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rPr>
              <w:t>合计</w:t>
            </w:r>
          </w:p>
        </w:tc>
        <w:tc>
          <w:tcPr>
            <w:tcW w:w="836" w:type="dxa"/>
            <w:noWrap/>
            <w:vAlign w:val="center"/>
          </w:tcPr>
          <w:p w14:paraId="3EC0CB56">
            <w:pPr>
              <w:widowControl/>
              <w:spacing w:line="240" w:lineRule="auto"/>
              <w:ind w:firstLine="0" w:firstLineChars="0"/>
              <w:jc w:val="center"/>
              <w:rPr>
                <w:rFonts w:hint="eastAsia" w:ascii="宋体" w:hAnsi="宋体" w:eastAsia="宋体" w:cs="宋体"/>
                <w:color w:val="000000"/>
                <w:kern w:val="0"/>
                <w:sz w:val="22"/>
                <w:szCs w:val="22"/>
                <w:highlight w:val="none"/>
              </w:rPr>
            </w:pPr>
            <w:r>
              <w:rPr>
                <w:rFonts w:hint="eastAsia" w:ascii="宋体" w:hAnsi="宋体" w:eastAsia="宋体" w:cs="宋体"/>
                <w:color w:val="000000"/>
                <w:kern w:val="0"/>
                <w:sz w:val="22"/>
                <w:szCs w:val="22"/>
                <w:highlight w:val="none"/>
                <w:lang w:val="en-US" w:eastAsia="zh-CN"/>
              </w:rPr>
              <w:t>20</w:t>
            </w:r>
            <w:r>
              <w:rPr>
                <w:rFonts w:hint="eastAsia" w:ascii="宋体" w:hAnsi="宋体" w:eastAsia="宋体" w:cs="宋体"/>
                <w:color w:val="000000"/>
                <w:kern w:val="0"/>
                <w:sz w:val="22"/>
                <w:szCs w:val="22"/>
                <w:highlight w:val="none"/>
              </w:rPr>
              <w:t>分</w:t>
            </w:r>
          </w:p>
        </w:tc>
      </w:tr>
    </w:tbl>
    <w:p w14:paraId="57B25C39">
      <w:pPr>
        <w:spacing w:line="560" w:lineRule="exact"/>
        <w:ind w:firstLine="640"/>
        <w:rPr>
          <w:rFonts w:hint="eastAsia" w:ascii="黑体" w:hAnsi="黑体" w:eastAsia="黑体" w:cs="Times New Roman"/>
          <w:kern w:val="2"/>
          <w:sz w:val="30"/>
          <w:szCs w:val="30"/>
          <w:highlight w:val="none"/>
          <w:lang w:val="en-US" w:eastAsia="zh-CN" w:bidi="ar-SA"/>
        </w:rPr>
      </w:pPr>
      <w:r>
        <w:rPr>
          <w:rFonts w:hint="eastAsia" w:ascii="黑体" w:hAnsi="黑体" w:eastAsia="黑体" w:cs="Times New Roman"/>
          <w:kern w:val="2"/>
          <w:sz w:val="30"/>
          <w:szCs w:val="30"/>
          <w:highlight w:val="none"/>
          <w:lang w:val="en-US" w:eastAsia="zh-CN" w:bidi="ar-SA"/>
        </w:rPr>
        <w:t>三、响应无效情形</w:t>
      </w:r>
    </w:p>
    <w:p w14:paraId="15470886">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1.响应文件未按要求密封、签署、盖章的。</w:t>
      </w:r>
    </w:p>
    <w:p w14:paraId="7AF9E0D5">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2.项目总报价超过本项目最高限价的。</w:t>
      </w:r>
    </w:p>
    <w:p w14:paraId="73AF318D">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3.不具备采购文件中规定的资格要求或未按采购文件规定的要求提供资格证明文件的。</w:t>
      </w:r>
    </w:p>
    <w:p w14:paraId="4CF02499">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4.供应商报价清单存在漏项或者不按照采购文件报价清单提供的数量填写。</w:t>
      </w:r>
    </w:p>
    <w:p w14:paraId="3907E05E">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5.增加不能接受的附加条件。</w:t>
      </w:r>
    </w:p>
    <w:p w14:paraId="2D9C526E">
      <w:pPr>
        <w:spacing w:line="560" w:lineRule="exact"/>
        <w:ind w:firstLine="640"/>
        <w:rPr>
          <w:rFonts w:hint="eastAsia" w:ascii="黑体" w:hAnsi="黑体" w:eastAsia="黑体" w:cs="黑体"/>
          <w:sz w:val="32"/>
          <w:szCs w:val="32"/>
          <w:highlight w:val="none"/>
        </w:rPr>
      </w:pPr>
      <w:r>
        <w:rPr>
          <w:rFonts w:hint="eastAsia" w:ascii="黑体" w:hAnsi="黑体" w:eastAsia="黑体" w:cs="黑体"/>
          <w:sz w:val="32"/>
          <w:szCs w:val="32"/>
          <w:highlight w:val="none"/>
          <w:lang w:val="en-US" w:eastAsia="zh-CN"/>
        </w:rPr>
        <w:t>四、</w:t>
      </w:r>
      <w:r>
        <w:rPr>
          <w:rFonts w:hint="eastAsia" w:ascii="黑体" w:hAnsi="黑体" w:eastAsia="黑体" w:cs="黑体"/>
          <w:sz w:val="32"/>
          <w:szCs w:val="32"/>
          <w:highlight w:val="none"/>
        </w:rPr>
        <w:t>评标结果</w:t>
      </w:r>
    </w:p>
    <w:p w14:paraId="736552E3">
      <w:pPr>
        <w:spacing w:line="560" w:lineRule="exact"/>
        <w:ind w:firstLine="64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谈判小组成员进行综合评审打分后，按得分由高到低的顺序形成对报价人进行排序的谈判报告，得分最高的报价人推荐为成交供应商。得分相同的，按单项得分从高到低进行排序，单项得分考虑因素排序为：价格得分、技术部分得分、商务部分得分。采购人根据谈判报告和成交建议确定成交供应商。</w:t>
      </w:r>
    </w:p>
    <w:p w14:paraId="1CDE7349">
      <w:pPr>
        <w:spacing w:line="560" w:lineRule="exact"/>
        <w:ind w:firstLine="640"/>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五、保密</w:t>
      </w:r>
    </w:p>
    <w:p w14:paraId="6452845C">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参与采购活动的各方应对采购文件和响应文件中的商业、技术和人员等信息保密，违者应对由此造成的后果承担法律责任。</w:t>
      </w:r>
    </w:p>
    <w:p w14:paraId="4A5BEC81">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黑体" w:hAnsi="黑体" w:eastAsia="黑体" w:cs="Times New Roman"/>
          <w:kern w:val="2"/>
          <w:sz w:val="32"/>
          <w:szCs w:val="32"/>
          <w:highlight w:val="none"/>
          <w:lang w:val="en-US" w:eastAsia="zh-CN" w:bidi="ar-SA"/>
        </w:rPr>
      </w:pPr>
      <w:r>
        <w:rPr>
          <w:rFonts w:hint="eastAsia" w:ascii="黑体" w:hAnsi="黑体" w:eastAsia="黑体" w:cs="Times New Roman"/>
          <w:kern w:val="2"/>
          <w:sz w:val="32"/>
          <w:szCs w:val="32"/>
          <w:highlight w:val="none"/>
          <w:lang w:val="en-US" w:eastAsia="zh-CN" w:bidi="ar-SA"/>
        </w:rPr>
        <w:t>六、成交通知书</w:t>
      </w:r>
    </w:p>
    <w:p w14:paraId="233EA5C3">
      <w:pPr>
        <w:keepNext w:val="0"/>
        <w:keepLines w:val="0"/>
        <w:pageBreakBefore w:val="0"/>
        <w:widowControl/>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采购人应当自开启响应文件之日起5个工作日内通知成交供应商，并应当向中选供应商发出成交通知书。如接到有关投诉举报，采购人将可能暂停发出成交通知书。</w:t>
      </w:r>
    </w:p>
    <w:bookmarkEnd w:id="19"/>
    <w:bookmarkEnd w:id="25"/>
    <w:bookmarkEnd w:id="26"/>
    <w:bookmarkEnd w:id="27"/>
    <w:bookmarkEnd w:id="28"/>
    <w:bookmarkEnd w:id="29"/>
    <w:bookmarkEnd w:id="33"/>
    <w:bookmarkEnd w:id="34"/>
    <w:bookmarkEnd w:id="35"/>
    <w:p w14:paraId="42BBD864">
      <w:pPr>
        <w:widowControl w:val="0"/>
        <w:numPr>
          <w:ilvl w:val="0"/>
          <w:numId w:val="0"/>
        </w:numPr>
        <w:tabs>
          <w:tab w:val="left" w:pos="709"/>
          <w:tab w:val="left" w:pos="993"/>
        </w:tabs>
        <w:wordWrap w:val="0"/>
        <w:autoSpaceDE w:val="0"/>
        <w:autoSpaceDN w:val="0"/>
        <w:adjustRightInd w:val="0"/>
        <w:snapToGrid w:val="0"/>
        <w:ind w:leftChars="0"/>
        <w:jc w:val="center"/>
        <w:outlineLvl w:val="9"/>
        <w:rPr>
          <w:rFonts w:hint="eastAsia" w:ascii="宋体" w:hAnsi="宋体" w:eastAsia="宋体" w:cs="Times New Roman"/>
          <w:b/>
          <w:bCs/>
          <w:sz w:val="44"/>
          <w:szCs w:val="44"/>
          <w:highlight w:val="none"/>
        </w:rPr>
      </w:pPr>
      <w:bookmarkStart w:id="36" w:name="_Toc7436"/>
      <w:bookmarkStart w:id="37" w:name="_Toc49247161"/>
      <w:bookmarkStart w:id="38" w:name="_Toc152042387"/>
      <w:bookmarkStart w:id="39" w:name="_Toc152045609"/>
      <w:bookmarkStart w:id="40" w:name="_Toc22737"/>
      <w:bookmarkStart w:id="41" w:name="_Toc403513554"/>
      <w:bookmarkStart w:id="42" w:name="_Toc19606"/>
      <w:bookmarkStart w:id="43" w:name="_Toc144974577"/>
      <w:r>
        <w:rPr>
          <w:rFonts w:hint="eastAsia" w:ascii="宋体" w:hAnsi="宋体" w:eastAsia="宋体" w:cs="Times New Roman"/>
          <w:b/>
          <w:bCs/>
          <w:sz w:val="52"/>
          <w:szCs w:val="52"/>
          <w:highlight w:val="none"/>
        </w:rPr>
        <w:br w:type="page"/>
      </w:r>
      <w:bookmarkStart w:id="44" w:name="_Toc25190"/>
      <w:r>
        <w:rPr>
          <w:rFonts w:hint="eastAsia" w:ascii="宋体" w:hAnsi="宋体" w:eastAsia="宋体" w:cs="Times New Roman"/>
          <w:b/>
          <w:bCs/>
          <w:sz w:val="44"/>
          <w:szCs w:val="44"/>
          <w:highlight w:val="none"/>
        </w:rPr>
        <w:t>第</w:t>
      </w:r>
      <w:r>
        <w:rPr>
          <w:rFonts w:hint="eastAsia" w:ascii="宋体" w:hAnsi="宋体" w:eastAsia="宋体" w:cs="Times New Roman"/>
          <w:b/>
          <w:bCs/>
          <w:sz w:val="44"/>
          <w:szCs w:val="44"/>
          <w:highlight w:val="none"/>
          <w:lang w:val="en-US" w:eastAsia="zh-CN"/>
        </w:rPr>
        <w:t>四</w:t>
      </w:r>
      <w:r>
        <w:rPr>
          <w:rFonts w:hint="eastAsia" w:ascii="宋体" w:hAnsi="宋体" w:eastAsia="宋体" w:cs="Times New Roman"/>
          <w:b/>
          <w:bCs/>
          <w:sz w:val="44"/>
          <w:szCs w:val="44"/>
          <w:highlight w:val="none"/>
        </w:rPr>
        <w:t>章 合同条款及格式</w:t>
      </w:r>
      <w:bookmarkEnd w:id="36"/>
      <w:bookmarkEnd w:id="37"/>
      <w:bookmarkEnd w:id="38"/>
      <w:bookmarkEnd w:id="39"/>
      <w:bookmarkEnd w:id="40"/>
      <w:bookmarkEnd w:id="41"/>
      <w:bookmarkEnd w:id="42"/>
      <w:bookmarkEnd w:id="43"/>
      <w:bookmarkEnd w:id="44"/>
      <w:bookmarkStart w:id="45" w:name="_Toc31028"/>
      <w:bookmarkStart w:id="46" w:name="_Toc485"/>
      <w:bookmarkStart w:id="47" w:name="_Toc49247163"/>
      <w:bookmarkStart w:id="48" w:name="_Toc406669470"/>
      <w:bookmarkStart w:id="49" w:name="_Toc403513619"/>
    </w:p>
    <w:bookmarkEnd w:id="45"/>
    <w:bookmarkEnd w:id="46"/>
    <w:bookmarkEnd w:id="47"/>
    <w:bookmarkEnd w:id="48"/>
    <w:bookmarkEnd w:id="49"/>
    <w:p w14:paraId="3A72AF17">
      <w:pPr>
        <w:pageBreakBefore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8"/>
          <w:szCs w:val="48"/>
          <w:highlight w:val="none"/>
          <w:lang w:val="en-US" w:eastAsia="zh-CN"/>
        </w:rPr>
      </w:pPr>
      <w:bookmarkStart w:id="50" w:name="_Toc407023750"/>
      <w:r>
        <w:rPr>
          <w:rFonts w:hint="eastAsia" w:ascii="宋体" w:hAnsi="宋体" w:eastAsia="宋体" w:cs="宋体"/>
          <w:b/>
          <w:bCs/>
          <w:sz w:val="48"/>
          <w:szCs w:val="48"/>
          <w:highlight w:val="none"/>
          <w:lang w:val="en-US" w:eastAsia="zh-CN"/>
        </w:rPr>
        <w:t>深圳书城龙岗城实业有限公司</w:t>
      </w:r>
    </w:p>
    <w:p w14:paraId="04BB53C1">
      <w:pPr>
        <w:pageBreakBefore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bCs/>
          <w:sz w:val="48"/>
          <w:szCs w:val="48"/>
          <w:highlight w:val="none"/>
        </w:rPr>
      </w:pPr>
      <w:r>
        <w:rPr>
          <w:rFonts w:hint="eastAsia" w:ascii="宋体" w:hAnsi="宋体" w:eastAsia="宋体" w:cs="宋体"/>
          <w:b/>
          <w:bCs/>
          <w:sz w:val="48"/>
          <w:szCs w:val="48"/>
          <w:highlight w:val="none"/>
          <w:lang w:val="en-US" w:eastAsia="zh-CN"/>
        </w:rPr>
        <w:t>LED显示屏维保服务合同</w:t>
      </w:r>
    </w:p>
    <w:tbl>
      <w:tblPr>
        <w:tblStyle w:val="50"/>
        <w:tblW w:w="100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289"/>
        <w:gridCol w:w="4771"/>
      </w:tblGrid>
      <w:tr w14:paraId="2A996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6" w:hRule="atLeast"/>
          <w:jc w:val="center"/>
        </w:trPr>
        <w:tc>
          <w:tcPr>
            <w:tcW w:w="5289" w:type="dxa"/>
            <w:noWrap w:val="0"/>
            <w:vAlign w:val="top"/>
          </w:tcPr>
          <w:p w14:paraId="18B65384">
            <w:pPr>
              <w:pageBreakBefore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b/>
                <w:sz w:val="24"/>
                <w:szCs w:val="24"/>
                <w:highlight w:val="none"/>
              </w:rPr>
              <w:t>甲方：</w:t>
            </w:r>
            <w:r>
              <w:rPr>
                <w:rFonts w:hint="eastAsia" w:ascii="仿宋_GB2312" w:hAnsi="仿宋_GB2312" w:eastAsia="仿宋_GB2312" w:cs="仿宋_GB2312"/>
                <w:sz w:val="24"/>
                <w:szCs w:val="24"/>
                <w:highlight w:val="none"/>
                <w:lang w:val="en-US" w:eastAsia="zh-CN"/>
              </w:rPr>
              <w:t>深圳书城龙岗城实业有限公司</w:t>
            </w:r>
          </w:p>
          <w:p w14:paraId="5D8C19C6">
            <w:pPr>
              <w:pageBreakBefore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统一社会信用代码：</w:t>
            </w:r>
            <w:r>
              <w:rPr>
                <w:rFonts w:hint="eastAsia" w:ascii="仿宋_GB2312" w:hAnsi="仿宋_GB2312" w:eastAsia="仿宋_GB2312" w:cs="仿宋_GB2312"/>
                <w:sz w:val="24"/>
                <w:szCs w:val="24"/>
                <w:highlight w:val="none"/>
                <w:lang w:val="en-US" w:eastAsia="zh-CN"/>
              </w:rPr>
              <w:t>91440300MA5DDJ844N</w:t>
            </w:r>
          </w:p>
          <w:p w14:paraId="3D3BB7E4">
            <w:pPr>
              <w:pageBreakBefore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法定代表人：</w:t>
            </w:r>
          </w:p>
          <w:p w14:paraId="385ECD09">
            <w:pPr>
              <w:pageBreakBefore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联系人：</w:t>
            </w:r>
          </w:p>
          <w:p w14:paraId="44526561">
            <w:pPr>
              <w:pageBreakBefore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sz w:val="24"/>
                <w:szCs w:val="24"/>
                <w:highlight w:val="none"/>
                <w:lang w:val="en-US" w:eastAsia="zh-CN"/>
              </w:rPr>
              <w:t xml:space="preserve"> </w:t>
            </w:r>
            <w:r>
              <w:rPr>
                <w:rFonts w:hint="eastAsia" w:ascii="仿宋_GB2312" w:hAnsi="仿宋_GB2312" w:eastAsia="仿宋_GB2312" w:cs="仿宋_GB2312"/>
                <w:b/>
                <w:bCs/>
                <w:sz w:val="24"/>
                <w:szCs w:val="24"/>
                <w:highlight w:val="none"/>
                <w:lang w:val="en-US" w:eastAsia="zh-CN"/>
              </w:rPr>
              <w:t>联系电话：</w:t>
            </w:r>
          </w:p>
          <w:p w14:paraId="140518FB">
            <w:pPr>
              <w:pageBreakBefore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_GB2312" w:hAnsi="仿宋_GB2312" w:eastAsia="仿宋_GB2312" w:cs="仿宋_GB2312"/>
                <w:b/>
                <w:sz w:val="24"/>
                <w:szCs w:val="24"/>
                <w:highlight w:val="none"/>
                <w:vertAlign w:val="baseline"/>
              </w:rPr>
            </w:pPr>
            <w:r>
              <w:rPr>
                <w:rFonts w:hint="eastAsia" w:ascii="仿宋_GB2312" w:hAnsi="仿宋_GB2312" w:eastAsia="仿宋_GB2312" w:cs="仿宋_GB2312"/>
                <w:b/>
                <w:bCs/>
                <w:sz w:val="24"/>
                <w:szCs w:val="24"/>
                <w:highlight w:val="none"/>
                <w:lang w:val="en-US" w:eastAsia="zh-CN"/>
              </w:rPr>
              <w:t>地址：</w:t>
            </w:r>
            <w:r>
              <w:rPr>
                <w:rFonts w:hint="eastAsia" w:ascii="仿宋_GB2312" w:hAnsi="仿宋_GB2312" w:eastAsia="仿宋_GB2312" w:cs="仿宋_GB2312"/>
                <w:sz w:val="24"/>
                <w:szCs w:val="24"/>
                <w:highlight w:val="none"/>
                <w:lang w:val="en-US" w:eastAsia="zh-CN"/>
              </w:rPr>
              <w:t>深圳市龙岗区龙翔大道8028-4号深圳书城龙岗城（金旭大楼）</w:t>
            </w:r>
          </w:p>
        </w:tc>
        <w:tc>
          <w:tcPr>
            <w:tcW w:w="4771" w:type="dxa"/>
            <w:noWrap w:val="0"/>
            <w:vAlign w:val="top"/>
          </w:tcPr>
          <w:p w14:paraId="51BF7AEF">
            <w:pPr>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b/>
                <w:sz w:val="24"/>
                <w:szCs w:val="24"/>
                <w:highlight w:val="none"/>
              </w:rPr>
              <w:t>乙方：</w:t>
            </w:r>
          </w:p>
          <w:p w14:paraId="166D2D45">
            <w:pPr>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统一社会信用代码：</w:t>
            </w:r>
          </w:p>
          <w:p w14:paraId="5B2BAA2A">
            <w:pPr>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仿宋_GB2312" w:eastAsia="仿宋_GB2312" w:cs="仿宋_GB2312"/>
                <w:b/>
                <w:bCs/>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法定代表人：</w:t>
            </w:r>
          </w:p>
          <w:p w14:paraId="54D55B13">
            <w:pPr>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仿宋_GB2312" w:eastAsia="仿宋_GB2312" w:cs="仿宋_GB2312"/>
                <w:b/>
                <w:bCs/>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联系人：</w:t>
            </w:r>
            <w:r>
              <w:rPr>
                <w:rFonts w:hint="eastAsia" w:ascii="仿宋_GB2312" w:hAnsi="仿宋_GB2312" w:eastAsia="仿宋_GB2312" w:cs="仿宋_GB2312"/>
                <w:sz w:val="24"/>
                <w:szCs w:val="24"/>
                <w:highlight w:val="none"/>
                <w:lang w:val="en-US" w:eastAsia="zh-CN"/>
              </w:rPr>
              <w:t xml:space="preserve">        </w:t>
            </w:r>
            <w:r>
              <w:rPr>
                <w:rFonts w:hint="eastAsia" w:ascii="仿宋_GB2312" w:hAnsi="仿宋_GB2312" w:eastAsia="仿宋_GB2312" w:cs="仿宋_GB2312"/>
                <w:b/>
                <w:bCs/>
                <w:sz w:val="24"/>
                <w:szCs w:val="24"/>
                <w:highlight w:val="none"/>
                <w:lang w:val="en-US" w:eastAsia="zh-CN"/>
              </w:rPr>
              <w:t xml:space="preserve"> </w:t>
            </w:r>
          </w:p>
          <w:p w14:paraId="7EBC3203">
            <w:pPr>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联系电话：</w:t>
            </w:r>
          </w:p>
          <w:p w14:paraId="0FE2CCB3">
            <w:pPr>
              <w:pageBreakBefore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仿宋_GB2312" w:eastAsia="仿宋_GB2312" w:cs="仿宋_GB2312"/>
                <w:b/>
                <w:bCs/>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地址：</w:t>
            </w:r>
          </w:p>
          <w:p w14:paraId="4CA75ED6">
            <w:pPr>
              <w:pageBreakBefore w:val="0"/>
              <w:kinsoku/>
              <w:wordWrap/>
              <w:overflowPunct/>
              <w:topLinePunct w:val="0"/>
              <w:autoSpaceDE/>
              <w:autoSpaceDN/>
              <w:bidi w:val="0"/>
              <w:adjustRightInd/>
              <w:snapToGrid/>
              <w:spacing w:line="560" w:lineRule="exact"/>
              <w:ind w:left="840"/>
              <w:jc w:val="left"/>
              <w:textAlignment w:val="auto"/>
              <w:rPr>
                <w:rFonts w:hint="eastAsia" w:ascii="仿宋_GB2312" w:hAnsi="仿宋_GB2312" w:eastAsia="仿宋_GB2312" w:cs="仿宋_GB2312"/>
                <w:b/>
                <w:sz w:val="24"/>
                <w:szCs w:val="24"/>
                <w:highlight w:val="none"/>
                <w:vertAlign w:val="baseline"/>
              </w:rPr>
            </w:pPr>
          </w:p>
        </w:tc>
      </w:tr>
    </w:tbl>
    <w:p w14:paraId="2CE82F43">
      <w:pPr>
        <w:pageBreakBefore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sz w:val="32"/>
          <w:szCs w:val="32"/>
          <w:highlight w:val="none"/>
        </w:rPr>
        <w:t>双方依据《中华人民共和国</w:t>
      </w:r>
      <w:r>
        <w:rPr>
          <w:rFonts w:hint="eastAsia" w:ascii="仿宋_GB2312" w:hAnsi="仿宋_GB2312" w:eastAsia="仿宋_GB2312" w:cs="仿宋_GB2312"/>
          <w:sz w:val="32"/>
          <w:szCs w:val="32"/>
          <w:highlight w:val="none"/>
          <w:lang w:val="en-US" w:eastAsia="zh-CN"/>
        </w:rPr>
        <w:t>民法典</w:t>
      </w:r>
      <w:r>
        <w:rPr>
          <w:rFonts w:hint="eastAsia" w:ascii="仿宋_GB2312" w:hAnsi="仿宋_GB2312" w:eastAsia="仿宋_GB2312" w:cs="仿宋_GB2312"/>
          <w:sz w:val="32"/>
          <w:szCs w:val="32"/>
          <w:highlight w:val="none"/>
        </w:rPr>
        <w:t>》，就甲方委托乙方承接</w:t>
      </w:r>
      <w:r>
        <w:rPr>
          <w:rFonts w:hint="eastAsia" w:ascii="仿宋_GB2312" w:hAnsi="仿宋_GB2312" w:eastAsia="仿宋_GB2312" w:cs="仿宋_GB2312"/>
          <w:sz w:val="32"/>
          <w:szCs w:val="32"/>
          <w:highlight w:val="none"/>
          <w:u w:val="single"/>
          <w:lang w:val="en-US" w:eastAsia="zh-CN"/>
        </w:rPr>
        <w:t>深圳书城龙岗城（金旭大楼）</w:t>
      </w:r>
      <w:r>
        <w:rPr>
          <w:rFonts w:hint="eastAsia" w:ascii="仿宋_GB2312" w:hAnsi="仿宋_GB2312" w:eastAsia="仿宋_GB2312" w:cs="仿宋_GB2312"/>
          <w:sz w:val="32"/>
          <w:szCs w:val="32"/>
          <w:highlight w:val="none"/>
          <w:u w:val="single"/>
        </w:rPr>
        <w:t>LED显示屏维修、维护、保养工程</w:t>
      </w:r>
      <w:r>
        <w:rPr>
          <w:rFonts w:hint="eastAsia" w:ascii="仿宋_GB2312" w:hAnsi="仿宋_GB2312" w:eastAsia="仿宋_GB2312" w:cs="仿宋_GB2312"/>
          <w:sz w:val="32"/>
          <w:szCs w:val="32"/>
          <w:highlight w:val="none"/>
        </w:rPr>
        <w:t>一事协商一致，签订本合同。</w:t>
      </w:r>
    </w:p>
    <w:p w14:paraId="3C07E1E4">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一、合同总价及付款方式</w:t>
      </w:r>
    </w:p>
    <w:p w14:paraId="2AB11789">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sz w:val="32"/>
          <w:szCs w:val="32"/>
          <w:highlight w:val="none"/>
          <w:lang w:eastAsia="zh-CN"/>
        </w:rPr>
      </w:pPr>
      <w:r>
        <w:rPr>
          <w:rFonts w:hint="eastAsia" w:ascii="仿宋_GB2312" w:hAnsi="仿宋_GB2312" w:eastAsia="仿宋_GB2312" w:cs="仿宋_GB2312"/>
          <w:b/>
          <w:bCs/>
          <w:sz w:val="32"/>
          <w:szCs w:val="32"/>
          <w:highlight w:val="none"/>
          <w:lang w:val="en-US" w:eastAsia="zh-CN"/>
        </w:rPr>
        <w:t xml:space="preserve">1.1 </w:t>
      </w:r>
      <w:r>
        <w:rPr>
          <w:rFonts w:hint="eastAsia" w:ascii="仿宋_GB2312" w:hAnsi="仿宋_GB2312" w:eastAsia="仿宋_GB2312" w:cs="仿宋_GB2312"/>
          <w:b/>
          <w:bCs/>
          <w:sz w:val="32"/>
          <w:szCs w:val="32"/>
          <w:highlight w:val="none"/>
        </w:rPr>
        <w:t>合同总价</w:t>
      </w:r>
      <w:r>
        <w:rPr>
          <w:rFonts w:hint="eastAsia" w:ascii="仿宋_GB2312" w:hAnsi="仿宋_GB2312" w:eastAsia="仿宋_GB2312" w:cs="仿宋_GB2312"/>
          <w:b/>
          <w:bCs/>
          <w:sz w:val="32"/>
          <w:szCs w:val="32"/>
          <w:highlight w:val="none"/>
          <w:lang w:eastAsia="zh-CN"/>
        </w:rPr>
        <w:t>款</w:t>
      </w:r>
    </w:p>
    <w:p w14:paraId="0D2EE6F2">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合同总</w:t>
      </w:r>
      <w:r>
        <w:rPr>
          <w:rFonts w:hint="eastAsia" w:ascii="仿宋_GB2312" w:hAnsi="仿宋_GB2312" w:eastAsia="仿宋_GB2312" w:cs="仿宋_GB2312"/>
          <w:sz w:val="32"/>
          <w:szCs w:val="32"/>
          <w:highlight w:val="none"/>
          <w:lang w:val="en-US" w:eastAsia="zh-CN"/>
        </w:rPr>
        <w:t>价款</w:t>
      </w:r>
      <w:r>
        <w:rPr>
          <w:rFonts w:hint="eastAsia" w:ascii="仿宋_GB2312" w:hAnsi="仿宋_GB2312" w:eastAsia="仿宋_GB2312" w:cs="仿宋_GB2312"/>
          <w:sz w:val="32"/>
          <w:szCs w:val="32"/>
          <w:highlight w:val="none"/>
        </w:rPr>
        <w:t>为：</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u w:val="single"/>
        </w:rPr>
        <w:t>元</w:t>
      </w:r>
      <w:r>
        <w:rPr>
          <w:rFonts w:hint="eastAsia" w:ascii="仿宋_GB2312" w:hAnsi="仿宋_GB2312" w:eastAsia="仿宋_GB2312" w:cs="仿宋_GB2312"/>
          <w:sz w:val="32"/>
          <w:szCs w:val="32"/>
          <w:highlight w:val="none"/>
        </w:rPr>
        <w:t>（大写</w:t>
      </w:r>
      <w:r>
        <w:rPr>
          <w:rFonts w:hint="eastAsia" w:ascii="仿宋_GB2312" w:hAnsi="仿宋_GB2312" w:eastAsia="仿宋_GB2312" w:cs="仿宋_GB2312"/>
          <w:sz w:val="32"/>
          <w:szCs w:val="32"/>
          <w:highlight w:val="none"/>
          <w:u w:val="single"/>
        </w:rPr>
        <w:t>：</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rPr>
        <w:t>元整），合同金额包括：</w:t>
      </w:r>
      <w:r>
        <w:rPr>
          <w:rFonts w:hint="eastAsia" w:ascii="仿宋_GB2312" w:hAnsi="仿宋_GB2312" w:eastAsia="仿宋_GB2312" w:cs="仿宋_GB2312"/>
          <w:sz w:val="32"/>
          <w:szCs w:val="32"/>
          <w:highlight w:val="none"/>
          <w:lang w:val="en-US" w:eastAsia="zh-CN"/>
        </w:rPr>
        <w:t>在维保履行期内，对深圳书城龙岗城（金旭大楼）南立面、南北大门上方斜面、四楼、五楼共5块LED显示屏提供全包全保服务，包括但不限于显示板、电源、控制系统、驱动、显示屏操作软件升级、维护人员上门费、高空车操作费用、维修技术人员差旅费、维修服务费、材料费、税费（增值税专用发票）等因履行合同需承担的所有费用，</w:t>
      </w:r>
      <w:r>
        <w:rPr>
          <w:rFonts w:hint="eastAsia" w:ascii="仿宋_GB2312" w:hAnsi="仿宋_GB2312" w:eastAsia="仿宋_GB2312" w:cs="仿宋_GB2312"/>
          <w:sz w:val="32"/>
          <w:szCs w:val="32"/>
          <w:highlight w:val="none"/>
        </w:rPr>
        <w:t>除此之外，乙方不得再要求甲方支付任何费用</w:t>
      </w:r>
      <w:r>
        <w:rPr>
          <w:rFonts w:hint="eastAsia" w:ascii="仿宋_GB2312" w:hAnsi="仿宋_GB2312" w:eastAsia="仿宋_GB2312" w:cs="仿宋_GB2312"/>
          <w:sz w:val="32"/>
          <w:szCs w:val="32"/>
          <w:highlight w:val="none"/>
          <w:lang w:eastAsia="zh-CN"/>
        </w:rPr>
        <w:t>。</w:t>
      </w:r>
    </w:p>
    <w:p w14:paraId="49105E1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val="0"/>
          <w:sz w:val="32"/>
          <w:szCs w:val="32"/>
          <w:highlight w:val="none"/>
        </w:rPr>
      </w:pPr>
      <w:r>
        <w:rPr>
          <w:rFonts w:hint="eastAsia" w:ascii="仿宋_GB2312" w:hAnsi="仿宋_GB2312" w:eastAsia="仿宋_GB2312" w:cs="仿宋_GB2312"/>
          <w:b/>
          <w:bCs w:val="0"/>
          <w:sz w:val="32"/>
          <w:szCs w:val="32"/>
          <w:highlight w:val="none"/>
          <w:lang w:val="en-US" w:eastAsia="zh-CN"/>
        </w:rPr>
        <w:t xml:space="preserve">1.2 </w:t>
      </w:r>
      <w:r>
        <w:rPr>
          <w:rFonts w:hint="eastAsia" w:ascii="仿宋_GB2312" w:hAnsi="仿宋_GB2312" w:eastAsia="仿宋_GB2312" w:cs="仿宋_GB2312"/>
          <w:b/>
          <w:bCs w:val="0"/>
          <w:sz w:val="32"/>
          <w:szCs w:val="32"/>
          <w:highlight w:val="none"/>
        </w:rPr>
        <w:t>付款方式</w:t>
      </w:r>
    </w:p>
    <w:p w14:paraId="55D8676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val="0"/>
          <w:bCs/>
          <w:sz w:val="32"/>
          <w:szCs w:val="32"/>
          <w:highlight w:val="none"/>
          <w:lang w:val="en-US" w:eastAsia="zh-CN"/>
        </w:rPr>
        <w:t>1.2.</w:t>
      </w:r>
      <w:r>
        <w:rPr>
          <w:rFonts w:hint="eastAsia" w:ascii="仿宋_GB2312" w:hAnsi="仿宋_GB2312" w:eastAsia="仿宋_GB2312" w:cs="仿宋_GB2312"/>
          <w:b w:val="0"/>
          <w:bCs/>
          <w:sz w:val="32"/>
          <w:szCs w:val="32"/>
          <w:highlight w:val="none"/>
        </w:rPr>
        <w:t>1</w:t>
      </w:r>
      <w:r>
        <w:rPr>
          <w:rFonts w:hint="eastAsia" w:ascii="仿宋_GB2312" w:hAnsi="仿宋_GB2312" w:eastAsia="仿宋_GB2312" w:cs="仿宋_GB2312"/>
          <w:b w:val="0"/>
          <w:bCs/>
          <w:sz w:val="32"/>
          <w:szCs w:val="32"/>
          <w:highlight w:val="none"/>
          <w:lang w:val="en-US" w:eastAsia="zh-CN"/>
        </w:rPr>
        <w:t xml:space="preserve"> 合同期限从</w:t>
      </w:r>
      <w:r>
        <w:rPr>
          <w:rFonts w:hint="eastAsia" w:ascii="仿宋_GB2312" w:hAnsi="仿宋_GB2312" w:eastAsia="仿宋_GB2312" w:cs="仿宋_GB2312"/>
          <w:b w:val="0"/>
          <w:bCs/>
          <w:sz w:val="32"/>
          <w:szCs w:val="32"/>
          <w:highlight w:val="none"/>
          <w:u w:val="single"/>
          <w:lang w:val="en-US" w:eastAsia="zh-CN"/>
        </w:rPr>
        <w:t>2026年 月 日至2028年 月 日</w:t>
      </w:r>
      <w:r>
        <w:rPr>
          <w:rFonts w:hint="eastAsia" w:ascii="仿宋_GB2312" w:hAnsi="仿宋_GB2312" w:eastAsia="仿宋_GB2312" w:cs="仿宋_GB2312"/>
          <w:b w:val="0"/>
          <w:bCs/>
          <w:sz w:val="32"/>
          <w:szCs w:val="32"/>
          <w:highlight w:val="none"/>
          <w:lang w:val="en-US" w:eastAsia="zh-CN"/>
        </w:rPr>
        <w:t>，有效期</w:t>
      </w:r>
      <w:r>
        <w:rPr>
          <w:rFonts w:hint="eastAsia" w:ascii="仿宋_GB2312" w:hAnsi="仿宋_GB2312" w:eastAsia="仿宋_GB2312" w:cs="仿宋_GB2312"/>
          <w:b w:val="0"/>
          <w:bCs/>
          <w:sz w:val="32"/>
          <w:szCs w:val="32"/>
          <w:highlight w:val="none"/>
          <w:u w:val="single"/>
          <w:lang w:val="en-US" w:eastAsia="zh-CN"/>
        </w:rPr>
        <w:t>两</w:t>
      </w:r>
      <w:r>
        <w:rPr>
          <w:rFonts w:hint="eastAsia" w:ascii="仿宋_GB2312" w:hAnsi="仿宋_GB2312" w:eastAsia="仿宋_GB2312" w:cs="仿宋_GB2312"/>
          <w:b w:val="0"/>
          <w:bCs/>
          <w:sz w:val="32"/>
          <w:szCs w:val="32"/>
          <w:highlight w:val="none"/>
          <w:lang w:val="en-US" w:eastAsia="zh-CN"/>
        </w:rPr>
        <w:t>年，</w:t>
      </w:r>
      <w:r>
        <w:rPr>
          <w:rFonts w:hint="eastAsia" w:ascii="仿宋_GB2312" w:hAnsi="仿宋_GB2312" w:eastAsia="仿宋_GB2312" w:cs="仿宋_GB2312"/>
          <w:sz w:val="32"/>
          <w:szCs w:val="32"/>
          <w:highlight w:val="none"/>
        </w:rPr>
        <w:t>合同签订后，</w:t>
      </w:r>
      <w:r>
        <w:rPr>
          <w:rFonts w:hint="eastAsia" w:ascii="仿宋_GB2312" w:hAnsi="仿宋_GB2312" w:eastAsia="仿宋_GB2312" w:cs="仿宋_GB2312"/>
          <w:sz w:val="32"/>
          <w:szCs w:val="32"/>
          <w:highlight w:val="none"/>
          <w:lang w:val="en-US" w:eastAsia="zh-CN"/>
        </w:rPr>
        <w:t>乙方即进入维保履行期，按合同履行维保义务，合同开始起算每一个季度，即三个月为乙方计算一次维保费用，费用为合同总价款的25%</w:t>
      </w:r>
      <w:r>
        <w:rPr>
          <w:rFonts w:hint="eastAsia" w:ascii="仿宋_GB2312" w:hAnsi="仿宋_GB2312" w:eastAsia="仿宋_GB2312" w:cs="仿宋_GB2312"/>
          <w:sz w:val="32"/>
          <w:szCs w:val="32"/>
          <w:highlight w:val="none"/>
        </w:rPr>
        <w:t>即</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u w:val="single"/>
        </w:rPr>
        <w:t>元</w:t>
      </w:r>
      <w:r>
        <w:rPr>
          <w:rFonts w:hint="eastAsia" w:ascii="仿宋_GB2312" w:hAnsi="仿宋_GB2312" w:eastAsia="仿宋_GB2312" w:cs="仿宋_GB2312"/>
          <w:sz w:val="32"/>
          <w:szCs w:val="32"/>
          <w:highlight w:val="none"/>
        </w:rPr>
        <w:t>整</w:t>
      </w:r>
      <w:r>
        <w:rPr>
          <w:rFonts w:hint="eastAsia" w:ascii="仿宋_GB2312" w:hAnsi="仿宋_GB2312" w:eastAsia="仿宋_GB2312" w:cs="仿宋_GB2312"/>
          <w:sz w:val="32"/>
          <w:szCs w:val="32"/>
          <w:highlight w:val="none"/>
          <w:lang w:eastAsia="zh-CN"/>
        </w:rPr>
        <w:t>，并将每一季度费用付款至乙方指定收款账户。</w:t>
      </w:r>
    </w:p>
    <w:p w14:paraId="3CDDE33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val="0"/>
          <w:bCs/>
          <w:sz w:val="32"/>
          <w:szCs w:val="32"/>
          <w:highlight w:val="none"/>
          <w:lang w:val="en-US" w:eastAsia="zh-CN"/>
        </w:rPr>
        <w:t xml:space="preserve">1.2.2 </w:t>
      </w:r>
      <w:r>
        <w:rPr>
          <w:rFonts w:hint="eastAsia" w:ascii="仿宋_GB2312" w:hAnsi="仿宋_GB2312" w:eastAsia="仿宋_GB2312" w:cs="仿宋_GB2312"/>
          <w:sz w:val="32"/>
          <w:szCs w:val="32"/>
          <w:highlight w:val="none"/>
        </w:rPr>
        <w:t>首次服务费用的付款时间在甲、乙双方合同开始起算后的第四个月，乙方</w:t>
      </w:r>
      <w:r>
        <w:rPr>
          <w:rFonts w:hint="eastAsia" w:ascii="仿宋_GB2312" w:hAnsi="仿宋_GB2312" w:eastAsia="仿宋_GB2312" w:cs="仿宋_GB2312"/>
          <w:sz w:val="32"/>
          <w:szCs w:val="32"/>
          <w:highlight w:val="none"/>
          <w:lang w:eastAsia="zh-CN"/>
        </w:rPr>
        <w:t>应在</w:t>
      </w:r>
      <w:r>
        <w:rPr>
          <w:rFonts w:hint="eastAsia" w:ascii="仿宋_GB2312" w:hAnsi="仿宋_GB2312" w:eastAsia="仿宋_GB2312" w:cs="仿宋_GB2312"/>
          <w:sz w:val="32"/>
          <w:szCs w:val="32"/>
          <w:highlight w:val="none"/>
        </w:rPr>
        <w:t>第四个月5日前向甲方提供上季度服务费的增值税专用发票和维保记录，甲方在收到发票和维保记录后，按内部财务审批流程办理上季度或累积未付款月份的付款手续。因乙方不能及时提供正规发票而导致甲方迟延付款的，甲方不承担任何责任。</w:t>
      </w:r>
    </w:p>
    <w:p w14:paraId="513F66A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bCs/>
          <w:sz w:val="32"/>
          <w:szCs w:val="32"/>
          <w:highlight w:val="none"/>
          <w:lang w:val="en-US" w:eastAsia="zh-CN"/>
        </w:rPr>
        <w:t xml:space="preserve">1.2.3 </w:t>
      </w:r>
      <w:r>
        <w:rPr>
          <w:rFonts w:hint="eastAsia" w:ascii="仿宋_GB2312" w:hAnsi="仿宋_GB2312" w:eastAsia="仿宋_GB2312" w:cs="仿宋_GB2312"/>
          <w:sz w:val="32"/>
          <w:szCs w:val="32"/>
          <w:highlight w:val="none"/>
        </w:rPr>
        <w:t>乙方</w:t>
      </w:r>
      <w:r>
        <w:rPr>
          <w:rFonts w:hint="eastAsia" w:ascii="仿宋_GB2312" w:hAnsi="仿宋_GB2312" w:eastAsia="仿宋_GB2312" w:cs="仿宋_GB2312"/>
          <w:sz w:val="32"/>
          <w:szCs w:val="32"/>
          <w:highlight w:val="none"/>
          <w:lang w:eastAsia="zh-CN"/>
        </w:rPr>
        <w:t>指定</w:t>
      </w:r>
      <w:r>
        <w:rPr>
          <w:rFonts w:hint="eastAsia" w:ascii="仿宋_GB2312" w:hAnsi="仿宋_GB2312" w:eastAsia="仿宋_GB2312" w:cs="仿宋_GB2312"/>
          <w:sz w:val="32"/>
          <w:szCs w:val="32"/>
          <w:highlight w:val="none"/>
        </w:rPr>
        <w:t>收款账号信息</w:t>
      </w:r>
      <w:r>
        <w:rPr>
          <w:rFonts w:hint="eastAsia" w:ascii="仿宋_GB2312" w:hAnsi="仿宋_GB2312" w:eastAsia="仿宋_GB2312" w:cs="仿宋_GB2312"/>
          <w:sz w:val="32"/>
          <w:szCs w:val="32"/>
          <w:highlight w:val="none"/>
          <w:lang w:eastAsia="zh-CN"/>
        </w:rPr>
        <w:t>：</w:t>
      </w:r>
    </w:p>
    <w:p w14:paraId="5797BC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u w:val="single"/>
        </w:rPr>
      </w:pPr>
      <w:r>
        <w:rPr>
          <w:rFonts w:hint="eastAsia" w:ascii="仿宋_GB2312" w:hAnsi="仿宋_GB2312" w:eastAsia="仿宋_GB2312" w:cs="仿宋_GB2312"/>
          <w:sz w:val="32"/>
          <w:szCs w:val="32"/>
          <w:highlight w:val="none"/>
        </w:rPr>
        <w:t>开户名称：</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u w:val="single"/>
        </w:rPr>
        <w:t xml:space="preserve">   </w:t>
      </w:r>
    </w:p>
    <w:p w14:paraId="3D4CC37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u w:val="single"/>
        </w:rPr>
      </w:pPr>
      <w:r>
        <w:rPr>
          <w:rFonts w:hint="eastAsia" w:ascii="仿宋_GB2312" w:hAnsi="仿宋_GB2312" w:eastAsia="仿宋_GB2312" w:cs="仿宋_GB2312"/>
          <w:sz w:val="32"/>
          <w:szCs w:val="32"/>
          <w:highlight w:val="none"/>
        </w:rPr>
        <w:t>纳税人识别号：</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u w:val="single"/>
        </w:rPr>
        <w:t xml:space="preserve">            </w:t>
      </w:r>
    </w:p>
    <w:p w14:paraId="07868D5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u w:val="single"/>
        </w:rPr>
      </w:pPr>
      <w:r>
        <w:rPr>
          <w:rFonts w:hint="eastAsia" w:ascii="仿宋_GB2312" w:hAnsi="仿宋_GB2312" w:eastAsia="仿宋_GB2312" w:cs="仿宋_GB2312"/>
          <w:sz w:val="32"/>
          <w:szCs w:val="32"/>
          <w:highlight w:val="none"/>
        </w:rPr>
        <w:t>开户银行：</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u w:val="single"/>
        </w:rPr>
        <w:t xml:space="preserve">         </w:t>
      </w:r>
    </w:p>
    <w:p w14:paraId="2A8C14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u w:val="single"/>
        </w:rPr>
      </w:pPr>
      <w:r>
        <w:rPr>
          <w:rFonts w:hint="eastAsia" w:ascii="仿宋_GB2312" w:hAnsi="仿宋_GB2312" w:eastAsia="仿宋_GB2312" w:cs="仿宋_GB2312"/>
          <w:sz w:val="32"/>
          <w:szCs w:val="32"/>
          <w:highlight w:val="none"/>
        </w:rPr>
        <w:t>银行账号：</w:t>
      </w:r>
      <w:r>
        <w:rPr>
          <w:rFonts w:hint="eastAsia" w:ascii="仿宋_GB2312" w:hAnsi="仿宋_GB2312" w:eastAsia="仿宋_GB2312" w:cs="仿宋_GB2312"/>
          <w:sz w:val="32"/>
          <w:szCs w:val="32"/>
          <w:highlight w:val="none"/>
          <w:u w:val="single"/>
        </w:rPr>
        <w:t xml:space="preserve"> </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u w:val="single"/>
        </w:rPr>
        <w:t xml:space="preserve">     </w:t>
      </w:r>
    </w:p>
    <w:p w14:paraId="7E92547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bCs/>
          <w:sz w:val="32"/>
          <w:szCs w:val="32"/>
          <w:highlight w:val="none"/>
          <w:lang w:eastAsia="zh-CN"/>
        </w:rPr>
      </w:pPr>
      <w:r>
        <w:rPr>
          <w:rFonts w:hint="eastAsia" w:ascii="仿宋_GB2312" w:hAnsi="仿宋_GB2312" w:eastAsia="仿宋_GB2312" w:cs="仿宋_GB2312"/>
          <w:b w:val="0"/>
          <w:bCs/>
          <w:sz w:val="32"/>
          <w:szCs w:val="32"/>
          <w:highlight w:val="none"/>
          <w:lang w:val="en-US" w:eastAsia="zh-CN"/>
        </w:rPr>
        <w:t xml:space="preserve">1.2.4 </w:t>
      </w:r>
      <w:r>
        <w:rPr>
          <w:rFonts w:hint="eastAsia" w:ascii="仿宋_GB2312" w:hAnsi="仿宋_GB2312" w:eastAsia="仿宋_GB2312" w:cs="仿宋_GB2312"/>
          <w:sz w:val="32"/>
          <w:szCs w:val="32"/>
          <w:highlight w:val="none"/>
          <w:u w:val="none"/>
        </w:rPr>
        <w:t>乙方申请付款前，必须提交符合甲方要求的请款资料和合法有效的专用发票（税率</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u w:val="none"/>
        </w:rPr>
        <w:t>%），否则甲方有权不予支付，且不承担任何违约责任。</w:t>
      </w:r>
      <w:r>
        <w:rPr>
          <w:rFonts w:hint="eastAsia" w:ascii="仿宋_GB2312" w:hAnsi="仿宋_GB2312" w:eastAsia="仿宋_GB2312" w:cs="仿宋_GB2312"/>
          <w:sz w:val="32"/>
          <w:szCs w:val="32"/>
          <w:highlight w:val="none"/>
          <w:u w:val="none"/>
          <w:lang w:eastAsia="zh-CN"/>
        </w:rPr>
        <w:t>若因甲方财政审批等问题导致付款延迟的，甲方无须因此承担违约责任。</w:t>
      </w:r>
    </w:p>
    <w:p w14:paraId="04E2A34C">
      <w:pPr>
        <w:keepNext w:val="0"/>
        <w:keepLines w:val="0"/>
        <w:pageBreakBefore w:val="0"/>
        <w:widowControl w:val="0"/>
        <w:kinsoku/>
        <w:wordWrap/>
        <w:overflowPunct/>
        <w:topLinePunct w:val="0"/>
        <w:autoSpaceDE/>
        <w:autoSpaceDN/>
        <w:bidi w:val="0"/>
        <w:adjustRightInd/>
        <w:snapToGrid/>
        <w:spacing w:line="560" w:lineRule="exact"/>
        <w:ind w:firstLine="643" w:firstLineChars="200"/>
        <w:jc w:val="left"/>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t>二、甲、乙双方责任</w:t>
      </w:r>
    </w:p>
    <w:p w14:paraId="09A93C58">
      <w:pPr>
        <w:keepNext w:val="0"/>
        <w:keepLines w:val="0"/>
        <w:pageBreakBefore w:val="0"/>
        <w:widowControl w:val="0"/>
        <w:kinsoku/>
        <w:wordWrap/>
        <w:overflowPunct/>
        <w:topLinePunct w:val="0"/>
        <w:autoSpaceDE/>
        <w:autoSpaceDN/>
        <w:bidi w:val="0"/>
        <w:adjustRightInd/>
        <w:snapToGrid/>
        <w:spacing w:line="560" w:lineRule="exact"/>
        <w:ind w:left="14" w:firstLine="643" w:firstLineChars="200"/>
        <w:jc w:val="left"/>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lang w:val="en-US" w:eastAsia="zh-CN"/>
        </w:rPr>
        <w:t xml:space="preserve">2.1 </w:t>
      </w:r>
      <w:r>
        <w:rPr>
          <w:rFonts w:hint="eastAsia" w:ascii="仿宋_GB2312" w:hAnsi="仿宋_GB2312" w:eastAsia="仿宋_GB2312" w:cs="仿宋_GB2312"/>
          <w:b/>
          <w:bCs/>
          <w:sz w:val="32"/>
          <w:szCs w:val="32"/>
          <w:highlight w:val="none"/>
        </w:rPr>
        <w:t>甲方责任：</w:t>
      </w:r>
    </w:p>
    <w:p w14:paraId="0718D8F3">
      <w:pPr>
        <w:keepNext w:val="0"/>
        <w:keepLines w:val="0"/>
        <w:pageBreakBefore w:val="0"/>
        <w:widowControl w:val="0"/>
        <w:kinsoku/>
        <w:wordWrap/>
        <w:overflowPunct/>
        <w:topLinePunct w:val="0"/>
        <w:autoSpaceDE/>
        <w:autoSpaceDN/>
        <w:bidi w:val="0"/>
        <w:adjustRightInd/>
        <w:snapToGrid/>
        <w:spacing w:line="560" w:lineRule="exact"/>
        <w:ind w:left="-10" w:leftChars="-5"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bCs w:val="0"/>
          <w:sz w:val="32"/>
          <w:szCs w:val="32"/>
          <w:highlight w:val="none"/>
          <w:lang w:val="en-US" w:eastAsia="zh-CN"/>
        </w:rPr>
        <w:t>2.1.</w:t>
      </w:r>
      <w:r>
        <w:rPr>
          <w:rFonts w:hint="eastAsia" w:ascii="仿宋_GB2312" w:hAnsi="仿宋_GB2312" w:eastAsia="仿宋_GB2312" w:cs="仿宋_GB2312"/>
          <w:b w:val="0"/>
          <w:bCs w:val="0"/>
          <w:sz w:val="32"/>
          <w:szCs w:val="32"/>
          <w:highlight w:val="none"/>
        </w:rPr>
        <w:t>1</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甲方负责合同款项的按时支付；</w:t>
      </w:r>
    </w:p>
    <w:p w14:paraId="5DE74C8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bCs w:val="0"/>
          <w:sz w:val="32"/>
          <w:szCs w:val="32"/>
          <w:highlight w:val="none"/>
          <w:lang w:val="en-US" w:eastAsia="zh-CN"/>
        </w:rPr>
        <w:t>2.1.</w:t>
      </w: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协调及配合</w:t>
      </w:r>
      <w:r>
        <w:rPr>
          <w:rFonts w:hint="eastAsia" w:ascii="仿宋_GB2312" w:hAnsi="仿宋_GB2312" w:eastAsia="仿宋_GB2312" w:cs="仿宋_GB2312"/>
          <w:sz w:val="32"/>
          <w:szCs w:val="32"/>
          <w:highlight w:val="none"/>
          <w:lang w:val="en-US" w:eastAsia="zh-CN"/>
        </w:rPr>
        <w:t>甲方</w:t>
      </w:r>
      <w:r>
        <w:rPr>
          <w:rFonts w:hint="eastAsia" w:ascii="仿宋_GB2312" w:hAnsi="仿宋_GB2312" w:eastAsia="仿宋_GB2312" w:cs="仿宋_GB2312"/>
          <w:sz w:val="32"/>
          <w:szCs w:val="32"/>
          <w:highlight w:val="none"/>
        </w:rPr>
        <w:t>维修技术人员，为乙方提供必要的维修条件。</w:t>
      </w:r>
    </w:p>
    <w:p w14:paraId="572B3B8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lang w:val="en-US" w:eastAsia="zh-CN"/>
        </w:rPr>
        <w:t xml:space="preserve">2.2 </w:t>
      </w:r>
      <w:r>
        <w:rPr>
          <w:rFonts w:hint="eastAsia" w:ascii="仿宋_GB2312" w:hAnsi="仿宋_GB2312" w:eastAsia="仿宋_GB2312" w:cs="仿宋_GB2312"/>
          <w:b/>
          <w:sz w:val="32"/>
          <w:szCs w:val="32"/>
          <w:highlight w:val="none"/>
        </w:rPr>
        <w:t>乙方责任：</w:t>
      </w:r>
    </w:p>
    <w:p w14:paraId="3A7745F8">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bCs w:val="0"/>
          <w:sz w:val="32"/>
          <w:szCs w:val="32"/>
          <w:highlight w:val="none"/>
          <w:lang w:val="en-US" w:eastAsia="zh-CN"/>
        </w:rPr>
        <w:t>2.2.</w:t>
      </w:r>
      <w:r>
        <w:rPr>
          <w:rFonts w:hint="eastAsia" w:ascii="仿宋_GB2312" w:hAnsi="仿宋_GB2312" w:eastAsia="仿宋_GB2312" w:cs="仿宋_GB2312"/>
          <w:sz w:val="32"/>
          <w:szCs w:val="32"/>
          <w:highlight w:val="none"/>
        </w:rPr>
        <w:t>1</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负责</w:t>
      </w:r>
      <w:r>
        <w:rPr>
          <w:rFonts w:hint="eastAsia" w:ascii="仿宋_GB2312" w:hAnsi="仿宋_GB2312" w:eastAsia="仿宋_GB2312" w:cs="仿宋_GB2312"/>
          <w:sz w:val="32"/>
          <w:szCs w:val="32"/>
          <w:highlight w:val="none"/>
          <w:u w:val="single"/>
        </w:rPr>
        <w:t>对深圳书城龙岗城（金旭大楼）LED显示屏（维保清单详见附件）</w:t>
      </w:r>
      <w:r>
        <w:rPr>
          <w:rFonts w:hint="eastAsia" w:ascii="仿宋_GB2312" w:hAnsi="仿宋_GB2312" w:eastAsia="仿宋_GB2312" w:cs="仿宋_GB2312"/>
          <w:sz w:val="32"/>
          <w:szCs w:val="32"/>
          <w:highlight w:val="none"/>
          <w:lang w:val="en-US" w:eastAsia="zh-CN"/>
        </w:rPr>
        <w:t>两</w:t>
      </w:r>
      <w:r>
        <w:rPr>
          <w:rFonts w:hint="eastAsia" w:ascii="仿宋_GB2312" w:hAnsi="仿宋_GB2312" w:eastAsia="仿宋_GB2312" w:cs="仿宋_GB2312"/>
          <w:sz w:val="32"/>
          <w:szCs w:val="32"/>
          <w:highlight w:val="none"/>
        </w:rPr>
        <w:t>年的维修、维护和保养，工作内容包括但不限于以下内容：</w:t>
      </w:r>
    </w:p>
    <w:p w14:paraId="0D80C6CE">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bCs w:val="0"/>
          <w:sz w:val="32"/>
          <w:szCs w:val="32"/>
          <w:highlight w:val="none"/>
          <w:lang w:val="en-US" w:eastAsia="zh-CN"/>
        </w:rPr>
        <w:t>2.2.</w:t>
      </w:r>
      <w:r>
        <w:rPr>
          <w:rFonts w:hint="eastAsia" w:ascii="仿宋_GB2312" w:hAnsi="仿宋_GB2312" w:eastAsia="仿宋_GB2312" w:cs="仿宋_GB2312"/>
          <w:sz w:val="32"/>
          <w:szCs w:val="32"/>
          <w:highlight w:val="none"/>
          <w:lang w:val="en-US" w:eastAsia="zh-CN"/>
        </w:rPr>
        <w:t>1.1 每月定期到现场对深圳书城龙岗城（金旭大楼）南立面、南北大门上方斜面、四楼、五楼共5块LED显示屏进行检查和清理维护，</w:t>
      </w:r>
      <w:r>
        <w:rPr>
          <w:rFonts w:hint="eastAsia" w:ascii="仿宋_GB2312" w:hAnsi="仿宋_GB2312" w:eastAsia="仿宋_GB2312" w:cs="仿宋_GB2312"/>
          <w:sz w:val="32"/>
          <w:szCs w:val="32"/>
          <w:highlight w:val="none"/>
        </w:rPr>
        <w:t>并对有故障的地方进行免费维修或更换，确保LED屏的正常运行和使用；</w:t>
      </w:r>
    </w:p>
    <w:p w14:paraId="067208F3">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bCs w:val="0"/>
          <w:sz w:val="32"/>
          <w:szCs w:val="32"/>
          <w:highlight w:val="none"/>
          <w:lang w:val="en-US" w:eastAsia="zh-CN"/>
        </w:rPr>
        <w:t>2.2.</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2</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对出现故障的控制部件和供电开关电源进行更换和调试；</w:t>
      </w:r>
    </w:p>
    <w:p w14:paraId="471A62F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bCs w:val="0"/>
          <w:sz w:val="32"/>
          <w:szCs w:val="32"/>
          <w:highlight w:val="none"/>
          <w:lang w:val="en-US" w:eastAsia="zh-CN"/>
        </w:rPr>
        <w:t>2.2.</w:t>
      </w:r>
      <w:r>
        <w:rPr>
          <w:rFonts w:hint="eastAsia" w:ascii="仿宋_GB2312" w:hAnsi="仿宋_GB2312" w:eastAsia="仿宋_GB2312" w:cs="仿宋_GB2312"/>
          <w:sz w:val="32"/>
          <w:szCs w:val="32"/>
          <w:highlight w:val="none"/>
          <w:lang w:val="en-US" w:eastAsia="zh-CN"/>
        </w:rPr>
        <w:t>1.</w:t>
      </w:r>
      <w:r>
        <w:rPr>
          <w:rFonts w:hint="eastAsia" w:ascii="仿宋_GB2312" w:hAnsi="仿宋_GB2312" w:eastAsia="仿宋_GB2312" w:cs="仿宋_GB2312"/>
          <w:sz w:val="32"/>
          <w:szCs w:val="32"/>
          <w:highlight w:val="none"/>
        </w:rPr>
        <w:t>3</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对整屏进行检测和调试，确保LED屏的正常运行。</w:t>
      </w:r>
    </w:p>
    <w:p w14:paraId="604EB38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bCs w:val="0"/>
          <w:sz w:val="32"/>
          <w:szCs w:val="32"/>
          <w:highlight w:val="none"/>
          <w:lang w:val="en-US" w:eastAsia="zh-CN"/>
        </w:rPr>
        <w:t xml:space="preserve">2.2.2 </w:t>
      </w:r>
      <w:r>
        <w:rPr>
          <w:rFonts w:hint="eastAsia" w:ascii="仿宋_GB2312" w:hAnsi="仿宋_GB2312" w:eastAsia="仿宋_GB2312" w:cs="仿宋_GB2312"/>
          <w:sz w:val="32"/>
          <w:szCs w:val="32"/>
          <w:highlight w:val="none"/>
        </w:rPr>
        <w:t>乙方不得对LED显示屏系统进行加密等未经甲方同意的设置。</w:t>
      </w:r>
    </w:p>
    <w:p w14:paraId="3213F636">
      <w:pPr>
        <w:pStyle w:val="39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b w:val="0"/>
          <w:bCs w:val="0"/>
          <w:sz w:val="32"/>
          <w:szCs w:val="32"/>
          <w:highlight w:val="none"/>
          <w:lang w:val="en-US" w:eastAsia="zh-CN"/>
        </w:rPr>
        <w:t xml:space="preserve">2.2.3 </w:t>
      </w:r>
      <w:r>
        <w:rPr>
          <w:rFonts w:hint="eastAsia" w:ascii="仿宋_GB2312" w:hAnsi="仿宋_GB2312" w:eastAsia="仿宋_GB2312" w:cs="仿宋_GB2312"/>
          <w:sz w:val="32"/>
          <w:szCs w:val="32"/>
          <w:highlight w:val="none"/>
        </w:rPr>
        <w:t>乙方在接到甲方的报修信息后，</w:t>
      </w:r>
      <w:r>
        <w:rPr>
          <w:rFonts w:hint="eastAsia" w:ascii="仿宋_GB2312" w:hAnsi="仿宋_GB2312" w:eastAsia="仿宋_GB2312" w:cs="仿宋_GB2312"/>
          <w:sz w:val="32"/>
          <w:szCs w:val="32"/>
          <w:highlight w:val="none"/>
          <w:u w:val="single"/>
        </w:rPr>
        <w:t>应在</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u w:val="single"/>
        </w:rPr>
        <w:t>小时内响应，</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u w:val="single"/>
        </w:rPr>
        <w:t>小时内到达现场维修并排除故障</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以响应文件中的故障响应方案承诺为准）</w:t>
      </w:r>
      <w:r>
        <w:rPr>
          <w:rFonts w:hint="eastAsia" w:ascii="仿宋_GB2312" w:hAnsi="仿宋_GB2312" w:eastAsia="仿宋_GB2312" w:cs="仿宋_GB2312"/>
          <w:sz w:val="32"/>
          <w:szCs w:val="32"/>
          <w:highlight w:val="none"/>
        </w:rPr>
        <w:t>，乙方在甲方报修通知后</w:t>
      </w:r>
      <w:r>
        <w:rPr>
          <w:rFonts w:hint="eastAsia" w:ascii="仿宋_GB2312" w:hAnsi="仿宋_GB2312" w:eastAsia="仿宋_GB2312" w:cs="仿宋_GB2312"/>
          <w:sz w:val="32"/>
          <w:szCs w:val="32"/>
          <w:highlight w:val="none"/>
          <w:lang w:val="en-US" w:eastAsia="zh-CN"/>
        </w:rPr>
        <w:t>12</w:t>
      </w:r>
      <w:r>
        <w:rPr>
          <w:rFonts w:hint="eastAsia" w:ascii="仿宋_GB2312" w:hAnsi="仿宋_GB2312" w:eastAsia="仿宋_GB2312" w:cs="仿宋_GB2312"/>
          <w:sz w:val="32"/>
          <w:szCs w:val="32"/>
          <w:highlight w:val="none"/>
        </w:rPr>
        <w:t>小时内未到达现场的，甲方有权另行委托第三方进行维修，相关费用由乙方承担，甲方有权在剩余未付合同价款中直接扣除。</w:t>
      </w:r>
    </w:p>
    <w:p w14:paraId="7D561EFB">
      <w:pPr>
        <w:pStyle w:val="39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 xml:space="preserve">2.2.4 </w:t>
      </w:r>
      <w:r>
        <w:rPr>
          <w:rFonts w:hint="eastAsia" w:ascii="仿宋_GB2312" w:hAnsi="仿宋_GB2312" w:eastAsia="仿宋_GB2312" w:cs="仿宋_GB2312"/>
          <w:sz w:val="32"/>
          <w:szCs w:val="32"/>
          <w:highlight w:val="none"/>
        </w:rPr>
        <w:t>乙方应在甲方要求的期限内完成维修工作，否则甲方有权按合同总价</w:t>
      </w:r>
      <w:r>
        <w:rPr>
          <w:rFonts w:hint="eastAsia" w:ascii="仿宋_GB2312" w:hAnsi="仿宋_GB2312" w:eastAsia="仿宋_GB2312" w:cs="仿宋_GB2312"/>
          <w:sz w:val="32"/>
          <w:szCs w:val="32"/>
          <w:highlight w:val="none"/>
          <w:lang w:eastAsia="zh-CN"/>
        </w:rPr>
        <w:t>款</w:t>
      </w:r>
      <w:r>
        <w:rPr>
          <w:rFonts w:hint="eastAsia" w:ascii="仿宋_GB2312" w:hAnsi="仿宋_GB2312" w:eastAsia="仿宋_GB2312" w:cs="仿宋_GB2312"/>
          <w:sz w:val="32"/>
          <w:szCs w:val="32"/>
          <w:highlight w:val="none"/>
        </w:rPr>
        <w:t>千分之二/天计付逾期履行违约金，同时甲方有权另行委托第三方进行维修，相关费用由乙方承担，甲方有权在剩余未付合同价款中直接扣除。</w:t>
      </w:r>
      <w:r>
        <w:rPr>
          <w:rFonts w:hint="eastAsia" w:ascii="仿宋_GB2312" w:hAnsi="仿宋_GB2312" w:eastAsia="仿宋_GB2312" w:cs="仿宋_GB2312"/>
          <w:sz w:val="32"/>
          <w:szCs w:val="32"/>
          <w:highlight w:val="none"/>
          <w:lang w:eastAsia="zh-CN"/>
        </w:rPr>
        <w:t>而且，甲方有权因此单方解除</w:t>
      </w:r>
      <w:r>
        <w:rPr>
          <w:rFonts w:hint="eastAsia" w:ascii="仿宋_GB2312" w:hAnsi="仿宋_GB2312" w:eastAsia="仿宋_GB2312" w:cs="仿宋_GB2312"/>
          <w:sz w:val="32"/>
          <w:szCs w:val="32"/>
          <w:highlight w:val="none"/>
          <w:lang w:val="en-US" w:eastAsia="zh-CN"/>
        </w:rPr>
        <w:t>/终止合同。</w:t>
      </w:r>
    </w:p>
    <w:p w14:paraId="1CCA6A3D">
      <w:pPr>
        <w:keepNext w:val="0"/>
        <w:keepLines w:val="0"/>
        <w:pageBreakBefore w:val="0"/>
        <w:widowControl w:val="0"/>
        <w:kinsoku/>
        <w:wordWrap/>
        <w:overflowPunct/>
        <w:topLinePunct w:val="0"/>
        <w:autoSpaceDE/>
        <w:autoSpaceDN/>
        <w:bidi w:val="0"/>
        <w:adjustRightInd/>
        <w:snapToGrid/>
        <w:spacing w:line="560" w:lineRule="exact"/>
        <w:ind w:left="17"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b w:val="0"/>
          <w:bCs w:val="0"/>
          <w:sz w:val="32"/>
          <w:szCs w:val="32"/>
          <w:highlight w:val="none"/>
          <w:lang w:val="en-US" w:eastAsia="zh-CN"/>
        </w:rPr>
        <w:t xml:space="preserve">2.2.5 </w:t>
      </w:r>
      <w:r>
        <w:rPr>
          <w:rFonts w:hint="eastAsia" w:ascii="仿宋_GB2312" w:hAnsi="仿宋_GB2312" w:eastAsia="仿宋_GB2312" w:cs="仿宋_GB2312"/>
          <w:color w:val="000000"/>
          <w:sz w:val="32"/>
          <w:szCs w:val="32"/>
          <w:highlight w:val="none"/>
        </w:rPr>
        <w:t>每次维修、维护、保养工作完成后，乙方需提供维保记录表，由甲方确认。</w:t>
      </w:r>
    </w:p>
    <w:p w14:paraId="7E259AFB">
      <w:pPr>
        <w:keepNext w:val="0"/>
        <w:keepLines w:val="0"/>
        <w:pageBreakBefore w:val="0"/>
        <w:widowControl w:val="0"/>
        <w:kinsoku/>
        <w:wordWrap/>
        <w:overflowPunct/>
        <w:topLinePunct w:val="0"/>
        <w:autoSpaceDE/>
        <w:autoSpaceDN/>
        <w:bidi w:val="0"/>
        <w:adjustRightInd/>
        <w:snapToGrid/>
        <w:spacing w:line="560" w:lineRule="exact"/>
        <w:ind w:left="17"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 xml:space="preserve">2.2.6 </w:t>
      </w:r>
      <w:r>
        <w:rPr>
          <w:rFonts w:hint="eastAsia" w:ascii="仿宋_GB2312" w:hAnsi="仿宋_GB2312" w:eastAsia="仿宋_GB2312" w:cs="仿宋_GB2312"/>
          <w:sz w:val="32"/>
          <w:szCs w:val="32"/>
          <w:highlight w:val="none"/>
        </w:rPr>
        <w:t>报修维护电话：</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，维修联系人：</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 xml:space="preserve"> 电话：</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乙方与其工作人员发生劳动、劳务纠纷、维修过程中出现事故造成工作人员自身或第三方人身和财产损害的与甲方无关，甲方不承担因此引发的一切经济、法律责任。</w:t>
      </w:r>
      <w:r>
        <w:rPr>
          <w:rFonts w:hint="eastAsia" w:ascii="仿宋_GB2312" w:hAnsi="仿宋_GB2312" w:eastAsia="仿宋_GB2312" w:cs="仿宋_GB2312"/>
          <w:sz w:val="32"/>
          <w:szCs w:val="32"/>
          <w:highlight w:val="none"/>
          <w:lang w:eastAsia="zh-CN"/>
        </w:rPr>
        <w:t>而且，甲方有权因此单方解除</w:t>
      </w:r>
      <w:r>
        <w:rPr>
          <w:rFonts w:hint="eastAsia" w:ascii="仿宋_GB2312" w:hAnsi="仿宋_GB2312" w:eastAsia="仿宋_GB2312" w:cs="仿宋_GB2312"/>
          <w:sz w:val="32"/>
          <w:szCs w:val="32"/>
          <w:highlight w:val="none"/>
          <w:lang w:val="en-US" w:eastAsia="zh-CN"/>
        </w:rPr>
        <w:t>/终止合同。</w:t>
      </w:r>
    </w:p>
    <w:p w14:paraId="7F04BD03">
      <w:pPr>
        <w:keepNext w:val="0"/>
        <w:keepLines w:val="0"/>
        <w:pageBreakBefore w:val="0"/>
        <w:widowControl w:val="0"/>
        <w:kinsoku/>
        <w:wordWrap/>
        <w:overflowPunct/>
        <w:topLinePunct w:val="0"/>
        <w:autoSpaceDE/>
        <w:autoSpaceDN/>
        <w:bidi w:val="0"/>
        <w:adjustRightInd/>
        <w:snapToGrid/>
        <w:spacing w:line="560" w:lineRule="exact"/>
        <w:ind w:left="17" w:firstLine="640" w:firstLineChars="200"/>
        <w:textAlignment w:val="auto"/>
        <w:rPr>
          <w:rFonts w:hint="eastAsia" w:ascii="仿宋_GB2312" w:hAnsi="仿宋_GB2312" w:eastAsia="仿宋_GB2312" w:cs="仿宋_GB2312"/>
          <w:i w:val="0"/>
          <w:iCs w:val="0"/>
          <w:caps w:val="0"/>
          <w:color w:val="000000"/>
          <w:spacing w:val="0"/>
          <w:sz w:val="32"/>
          <w:szCs w:val="32"/>
          <w:highlight w:val="none"/>
          <w:shd w:val="clear" w:color="auto" w:fill="auto"/>
        </w:rPr>
      </w:pPr>
      <w:r>
        <w:rPr>
          <w:rFonts w:hint="eastAsia" w:ascii="仿宋_GB2312" w:hAnsi="仿宋_GB2312" w:eastAsia="仿宋_GB2312" w:cs="仿宋_GB2312"/>
          <w:sz w:val="32"/>
          <w:szCs w:val="32"/>
          <w:highlight w:val="none"/>
          <w:lang w:val="en-US" w:eastAsia="zh-CN"/>
        </w:rPr>
        <w:t>2.2.7</w:t>
      </w:r>
      <w:r>
        <w:rPr>
          <w:rFonts w:hint="eastAsia" w:ascii="仿宋_GB2312" w:hAnsi="仿宋_GB2312" w:eastAsia="仿宋_GB2312" w:cs="仿宋_GB2312"/>
          <w:i w:val="0"/>
          <w:iCs w:val="0"/>
          <w:caps w:val="0"/>
          <w:color w:val="000000"/>
          <w:spacing w:val="0"/>
          <w:sz w:val="32"/>
          <w:szCs w:val="32"/>
          <w:highlight w:val="none"/>
          <w:shd w:val="clear" w:color="auto" w:fill="auto"/>
        </w:rPr>
        <w:t>违约金不足以弥补甲方违约给乙方造成的损失的，</w:t>
      </w:r>
      <w:r>
        <w:rPr>
          <w:rFonts w:hint="eastAsia" w:ascii="仿宋_GB2312" w:hAnsi="仿宋_GB2312" w:eastAsia="仿宋_GB2312" w:cs="仿宋_GB2312"/>
          <w:i w:val="0"/>
          <w:iCs w:val="0"/>
          <w:caps w:val="0"/>
          <w:spacing w:val="0"/>
          <w:sz w:val="32"/>
          <w:szCs w:val="32"/>
          <w:highlight w:val="none"/>
          <w:shd w:val="clear" w:color="auto" w:fill="auto"/>
          <w:lang w:eastAsia="zh-CN"/>
        </w:rPr>
        <w:t>甲</w:t>
      </w:r>
      <w:r>
        <w:rPr>
          <w:rFonts w:hint="eastAsia" w:ascii="仿宋_GB2312" w:hAnsi="仿宋_GB2312" w:eastAsia="仿宋_GB2312" w:cs="仿宋_GB2312"/>
          <w:i w:val="0"/>
          <w:iCs w:val="0"/>
          <w:caps w:val="0"/>
          <w:color w:val="000000"/>
          <w:spacing w:val="0"/>
          <w:sz w:val="32"/>
          <w:szCs w:val="32"/>
          <w:highlight w:val="none"/>
          <w:shd w:val="clear" w:color="auto" w:fill="auto"/>
        </w:rPr>
        <w:t>方有权要求</w:t>
      </w:r>
      <w:r>
        <w:rPr>
          <w:rFonts w:hint="eastAsia" w:ascii="仿宋_GB2312" w:hAnsi="仿宋_GB2312" w:eastAsia="仿宋_GB2312" w:cs="仿宋_GB2312"/>
          <w:i w:val="0"/>
          <w:iCs w:val="0"/>
          <w:caps w:val="0"/>
          <w:spacing w:val="0"/>
          <w:sz w:val="32"/>
          <w:szCs w:val="32"/>
          <w:highlight w:val="none"/>
          <w:shd w:val="clear" w:color="auto" w:fill="auto"/>
          <w:lang w:eastAsia="zh-CN"/>
        </w:rPr>
        <w:t>乙</w:t>
      </w:r>
      <w:r>
        <w:rPr>
          <w:rFonts w:hint="eastAsia" w:ascii="仿宋_GB2312" w:hAnsi="仿宋_GB2312" w:eastAsia="仿宋_GB2312" w:cs="仿宋_GB2312"/>
          <w:i w:val="0"/>
          <w:iCs w:val="0"/>
          <w:caps w:val="0"/>
          <w:color w:val="000000"/>
          <w:spacing w:val="0"/>
          <w:sz w:val="32"/>
          <w:szCs w:val="32"/>
          <w:highlight w:val="none"/>
          <w:shd w:val="clear" w:color="auto" w:fill="auto"/>
        </w:rPr>
        <w:t>方赔偿违约行为造成的损失包括但不限于经济损失、名誉损失以及</w:t>
      </w:r>
      <w:r>
        <w:rPr>
          <w:rFonts w:hint="eastAsia" w:ascii="仿宋_GB2312" w:hAnsi="仿宋_GB2312" w:eastAsia="仿宋_GB2312" w:cs="仿宋_GB2312"/>
          <w:i w:val="0"/>
          <w:iCs w:val="0"/>
          <w:caps w:val="0"/>
          <w:spacing w:val="0"/>
          <w:sz w:val="32"/>
          <w:szCs w:val="32"/>
          <w:highlight w:val="none"/>
          <w:shd w:val="clear" w:color="auto" w:fill="auto"/>
          <w:lang w:eastAsia="zh-CN"/>
        </w:rPr>
        <w:t>甲</w:t>
      </w:r>
      <w:r>
        <w:rPr>
          <w:rFonts w:hint="eastAsia" w:ascii="仿宋_GB2312" w:hAnsi="仿宋_GB2312" w:eastAsia="仿宋_GB2312" w:cs="仿宋_GB2312"/>
          <w:i w:val="0"/>
          <w:iCs w:val="0"/>
          <w:caps w:val="0"/>
          <w:color w:val="000000"/>
          <w:spacing w:val="0"/>
          <w:sz w:val="32"/>
          <w:szCs w:val="32"/>
          <w:highlight w:val="none"/>
          <w:shd w:val="clear" w:color="auto" w:fill="auto"/>
        </w:rPr>
        <w:t>方因维权所需支出的律师费、</w:t>
      </w:r>
      <w:r>
        <w:rPr>
          <w:rFonts w:hint="eastAsia" w:ascii="仿宋_GB2312" w:hAnsi="仿宋_GB2312" w:eastAsia="仿宋_GB2312" w:cs="仿宋_GB2312"/>
          <w:i w:val="0"/>
          <w:iCs w:val="0"/>
          <w:caps w:val="0"/>
          <w:spacing w:val="0"/>
          <w:sz w:val="32"/>
          <w:szCs w:val="32"/>
          <w:highlight w:val="none"/>
          <w:shd w:val="clear" w:color="auto" w:fill="auto"/>
          <w:lang w:eastAsia="zh-CN"/>
        </w:rPr>
        <w:t>诉讼费、</w:t>
      </w:r>
      <w:r>
        <w:rPr>
          <w:rFonts w:hint="eastAsia" w:ascii="仿宋_GB2312" w:hAnsi="仿宋_GB2312" w:eastAsia="仿宋_GB2312" w:cs="仿宋_GB2312"/>
          <w:i w:val="0"/>
          <w:iCs w:val="0"/>
          <w:caps w:val="0"/>
          <w:color w:val="000000"/>
          <w:spacing w:val="0"/>
          <w:sz w:val="32"/>
          <w:szCs w:val="32"/>
          <w:highlight w:val="none"/>
          <w:shd w:val="clear" w:color="auto" w:fill="auto"/>
        </w:rPr>
        <w:t>保全费、担保函费、公证费、鉴定费、评估费、差旅费等费用。经济损失、名誉损失难以估计的，按照本合同总</w:t>
      </w:r>
      <w:r>
        <w:rPr>
          <w:rFonts w:hint="eastAsia" w:ascii="仿宋_GB2312" w:hAnsi="仿宋_GB2312" w:eastAsia="仿宋_GB2312" w:cs="仿宋_GB2312"/>
          <w:i w:val="0"/>
          <w:iCs w:val="0"/>
          <w:caps w:val="0"/>
          <w:spacing w:val="0"/>
          <w:sz w:val="32"/>
          <w:szCs w:val="32"/>
          <w:highlight w:val="none"/>
          <w:shd w:val="clear" w:color="auto" w:fill="auto"/>
          <w:lang w:eastAsia="zh-CN"/>
        </w:rPr>
        <w:t>价款的</w:t>
      </w:r>
      <w:r>
        <w:rPr>
          <w:rFonts w:hint="eastAsia" w:ascii="仿宋_GB2312" w:hAnsi="仿宋_GB2312" w:eastAsia="仿宋_GB2312" w:cs="仿宋_GB2312"/>
          <w:i w:val="0"/>
          <w:iCs w:val="0"/>
          <w:caps w:val="0"/>
          <w:color w:val="000000"/>
          <w:spacing w:val="0"/>
          <w:sz w:val="32"/>
          <w:szCs w:val="32"/>
          <w:highlight w:val="none"/>
          <w:shd w:val="clear" w:color="auto" w:fill="auto"/>
          <w:lang w:val="en-US" w:eastAsia="zh-CN"/>
        </w:rPr>
        <w:t>30</w:t>
      </w:r>
      <w:r>
        <w:rPr>
          <w:rFonts w:hint="eastAsia" w:ascii="仿宋_GB2312" w:hAnsi="仿宋_GB2312" w:eastAsia="仿宋_GB2312" w:cs="仿宋_GB2312"/>
          <w:i w:val="0"/>
          <w:iCs w:val="0"/>
          <w:caps w:val="0"/>
          <w:color w:val="000000"/>
          <w:spacing w:val="0"/>
          <w:sz w:val="32"/>
          <w:szCs w:val="32"/>
          <w:highlight w:val="none"/>
          <w:shd w:val="clear" w:color="auto" w:fill="auto"/>
        </w:rPr>
        <w:t> %计算违约金。</w:t>
      </w:r>
    </w:p>
    <w:p w14:paraId="4A844F8A">
      <w:pPr>
        <w:spacing w:line="5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i w:val="0"/>
          <w:iCs w:val="0"/>
          <w:caps w:val="0"/>
          <w:color w:val="000000"/>
          <w:spacing w:val="0"/>
          <w:sz w:val="32"/>
          <w:szCs w:val="32"/>
          <w:highlight w:val="none"/>
          <w:shd w:val="clear" w:color="auto" w:fill="auto"/>
          <w:lang w:val="en-US" w:eastAsia="zh-CN"/>
        </w:rPr>
        <w:t>2.2.8 乙方应</w:t>
      </w:r>
      <w:r>
        <w:rPr>
          <w:rFonts w:hint="eastAsia" w:ascii="仿宋_GB2312" w:hAnsi="仿宋_GB2312" w:eastAsia="仿宋_GB2312" w:cs="仿宋_GB2312"/>
          <w:sz w:val="32"/>
          <w:szCs w:val="32"/>
          <w:highlight w:val="none"/>
        </w:rPr>
        <w:t>指派有</w:t>
      </w:r>
      <w:r>
        <w:rPr>
          <w:rFonts w:hint="eastAsia" w:ascii="仿宋_GB2312" w:hAnsi="仿宋_GB2312" w:eastAsia="仿宋_GB2312" w:cs="仿宋_GB2312"/>
          <w:sz w:val="32"/>
          <w:szCs w:val="32"/>
          <w:highlight w:val="none"/>
          <w:lang w:val="en-US" w:eastAsia="zh-CN"/>
        </w:rPr>
        <w:t>相关作业</w:t>
      </w:r>
      <w:r>
        <w:rPr>
          <w:rFonts w:hint="eastAsia" w:ascii="仿宋_GB2312" w:hAnsi="仿宋_GB2312" w:eastAsia="仿宋_GB2312" w:cs="仿宋_GB2312"/>
          <w:sz w:val="32"/>
          <w:szCs w:val="32"/>
          <w:highlight w:val="none"/>
        </w:rPr>
        <w:t>资格</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包括但不限于高空作业资质等</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的人员及经检定合格的设备进行工作，并根据</w:t>
      </w:r>
      <w:r>
        <w:rPr>
          <w:rFonts w:hint="eastAsia" w:ascii="仿宋_GB2312" w:hAnsi="仿宋_GB2312" w:eastAsia="仿宋_GB2312" w:cs="仿宋_GB2312"/>
          <w:sz w:val="32"/>
          <w:szCs w:val="32"/>
          <w:highlight w:val="none"/>
          <w:lang w:val="en-US" w:eastAsia="zh-CN"/>
        </w:rPr>
        <w:t>甲方</w:t>
      </w:r>
      <w:r>
        <w:rPr>
          <w:rFonts w:hint="eastAsia" w:ascii="仿宋_GB2312" w:hAnsi="仿宋_GB2312" w:eastAsia="仿宋_GB2312" w:cs="仿宋_GB2312"/>
          <w:sz w:val="32"/>
          <w:szCs w:val="32"/>
          <w:highlight w:val="none"/>
        </w:rPr>
        <w:t>需要派遣足够数量的</w:t>
      </w:r>
      <w:r>
        <w:rPr>
          <w:rFonts w:hint="eastAsia" w:ascii="仿宋_GB2312" w:hAnsi="仿宋_GB2312" w:eastAsia="仿宋_GB2312" w:cs="仿宋_GB2312"/>
          <w:sz w:val="32"/>
          <w:szCs w:val="32"/>
          <w:highlight w:val="none"/>
          <w:lang w:val="en-US" w:eastAsia="zh-CN"/>
        </w:rPr>
        <w:t>工作</w:t>
      </w:r>
      <w:r>
        <w:rPr>
          <w:rFonts w:hint="eastAsia" w:ascii="仿宋_GB2312" w:hAnsi="仿宋_GB2312" w:eastAsia="仿宋_GB2312" w:cs="仿宋_GB2312"/>
          <w:sz w:val="32"/>
          <w:szCs w:val="32"/>
          <w:highlight w:val="none"/>
        </w:rPr>
        <w:t>人员，以保证</w:t>
      </w:r>
      <w:r>
        <w:rPr>
          <w:rFonts w:hint="eastAsia" w:ascii="仿宋_GB2312" w:hAnsi="仿宋_GB2312" w:eastAsia="仿宋_GB2312" w:cs="仿宋_GB2312"/>
          <w:sz w:val="32"/>
          <w:szCs w:val="32"/>
          <w:highlight w:val="none"/>
          <w:lang w:val="en-US" w:eastAsia="zh-CN"/>
        </w:rPr>
        <w:t>项目</w:t>
      </w:r>
      <w:r>
        <w:rPr>
          <w:rFonts w:hint="eastAsia" w:ascii="仿宋_GB2312" w:hAnsi="仿宋_GB2312" w:eastAsia="仿宋_GB2312" w:cs="仿宋_GB2312"/>
          <w:sz w:val="32"/>
          <w:szCs w:val="32"/>
          <w:highlight w:val="none"/>
        </w:rPr>
        <w:t>进度。应甲方要求，乙方应提供</w:t>
      </w:r>
      <w:r>
        <w:rPr>
          <w:rFonts w:ascii="仿宋_GB2312" w:hAnsi="仿宋_GB2312" w:eastAsia="仿宋_GB2312" w:cs="仿宋_GB2312"/>
          <w:sz w:val="32"/>
          <w:szCs w:val="32"/>
          <w:highlight w:val="none"/>
        </w:rPr>
        <w:t>拟投入本项目</w:t>
      </w:r>
      <w:r>
        <w:rPr>
          <w:rFonts w:hint="eastAsia" w:ascii="仿宋_GB2312" w:hAnsi="仿宋_GB2312" w:eastAsia="仿宋_GB2312" w:cs="仿宋_GB2312"/>
          <w:sz w:val="32"/>
          <w:szCs w:val="32"/>
          <w:highlight w:val="none"/>
          <w:lang w:val="en-US" w:eastAsia="zh-CN"/>
        </w:rPr>
        <w:t>具有</w:t>
      </w:r>
      <w:r>
        <w:rPr>
          <w:rFonts w:ascii="仿宋_GB2312" w:hAnsi="仿宋_GB2312" w:eastAsia="仿宋_GB2312" w:cs="仿宋_GB2312"/>
          <w:sz w:val="32"/>
          <w:szCs w:val="32"/>
          <w:highlight w:val="none"/>
        </w:rPr>
        <w:t>执业资格人员</w:t>
      </w:r>
      <w:r>
        <w:rPr>
          <w:rFonts w:hint="eastAsia" w:ascii="仿宋_GB2312" w:hAnsi="仿宋_GB2312" w:eastAsia="仿宋_GB2312" w:cs="仿宋_GB2312"/>
          <w:sz w:val="32"/>
          <w:szCs w:val="32"/>
          <w:highlight w:val="none"/>
          <w:lang w:val="en-US" w:eastAsia="zh-CN"/>
        </w:rPr>
        <w:t>的</w:t>
      </w:r>
      <w:r>
        <w:rPr>
          <w:rFonts w:ascii="仿宋_GB2312" w:hAnsi="仿宋_GB2312" w:eastAsia="仿宋_GB2312" w:cs="仿宋_GB2312"/>
          <w:sz w:val="32"/>
          <w:szCs w:val="32"/>
          <w:highlight w:val="none"/>
        </w:rPr>
        <w:t>名单、资格证书复印件及经检定合格的设备清单</w:t>
      </w:r>
      <w:r>
        <w:rPr>
          <w:rFonts w:hint="eastAsia" w:ascii="仿宋_GB2312" w:hAnsi="仿宋_GB2312" w:eastAsia="仿宋_GB2312" w:cs="仿宋_GB2312"/>
          <w:sz w:val="32"/>
          <w:szCs w:val="32"/>
          <w:highlight w:val="none"/>
        </w:rPr>
        <w:t>。前述</w:t>
      </w:r>
      <w:r>
        <w:rPr>
          <w:rFonts w:ascii="仿宋_GB2312" w:hAnsi="仿宋_GB2312" w:eastAsia="仿宋_GB2312" w:cs="仿宋_GB2312"/>
          <w:sz w:val="32"/>
          <w:szCs w:val="32"/>
          <w:highlight w:val="none"/>
        </w:rPr>
        <w:t>人员、设备和方案，乙方不得擅自变更；确需变更的，应提前书面通知甲方并说明理由，经甲方书面同意后方可更换，更换后的人员资质、设备性能不得低于原标准。</w:t>
      </w:r>
    </w:p>
    <w:p w14:paraId="0C0061C7">
      <w:pPr>
        <w:adjustRightInd w:val="0"/>
        <w:snapToGrid w:val="0"/>
        <w:spacing w:line="5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2</w:t>
      </w:r>
      <w:r>
        <w:rPr>
          <w:rFonts w:ascii="仿宋_GB2312" w:hAnsi="仿宋_GB2312" w:eastAsia="仿宋_GB2312" w:cs="仿宋_GB2312"/>
          <w:sz w:val="32"/>
          <w:szCs w:val="32"/>
          <w:highlight w:val="none"/>
        </w:rPr>
        <w:t>.</w:t>
      </w:r>
      <w:r>
        <w:rPr>
          <w:rFonts w:hint="eastAsia" w:ascii="仿宋_GB2312" w:hAnsi="仿宋_GB2312" w:eastAsia="仿宋_GB2312" w:cs="仿宋_GB2312"/>
          <w:sz w:val="32"/>
          <w:szCs w:val="32"/>
          <w:highlight w:val="none"/>
          <w:lang w:val="en-US" w:eastAsia="zh-CN"/>
        </w:rPr>
        <w:t>2.9</w:t>
      </w:r>
      <w:r>
        <w:rPr>
          <w:rFonts w:ascii="仿宋_GB2312" w:hAnsi="仿宋_GB2312" w:eastAsia="仿宋_GB2312" w:cs="仿宋_GB2312"/>
          <w:sz w:val="32"/>
          <w:szCs w:val="32"/>
          <w:highlight w:val="none"/>
        </w:rPr>
        <w:t xml:space="preserve"> 乙方不得将本合同项下的</w:t>
      </w:r>
      <w:r>
        <w:rPr>
          <w:rFonts w:hint="eastAsia" w:ascii="仿宋_GB2312" w:hAnsi="仿宋_GB2312" w:eastAsia="仿宋_GB2312" w:cs="仿宋_GB2312"/>
          <w:sz w:val="32"/>
          <w:szCs w:val="32"/>
          <w:highlight w:val="none"/>
          <w:lang w:val="en-US" w:eastAsia="zh-CN"/>
        </w:rPr>
        <w:t>维保履行义务</w:t>
      </w:r>
      <w:r>
        <w:rPr>
          <w:rFonts w:ascii="仿宋_GB2312" w:hAnsi="仿宋_GB2312" w:eastAsia="仿宋_GB2312" w:cs="仿宋_GB2312"/>
          <w:sz w:val="32"/>
          <w:szCs w:val="32"/>
          <w:highlight w:val="none"/>
        </w:rPr>
        <w:t>转包给任何第三方。未经甲方书面同意，乙方不得将</w:t>
      </w:r>
      <w:r>
        <w:rPr>
          <w:rFonts w:hint="eastAsia" w:ascii="仿宋_GB2312" w:hAnsi="仿宋_GB2312" w:eastAsia="仿宋_GB2312" w:cs="仿宋_GB2312"/>
          <w:sz w:val="32"/>
          <w:szCs w:val="32"/>
          <w:highlight w:val="none"/>
          <w:lang w:val="en-US" w:eastAsia="zh-CN"/>
        </w:rPr>
        <w:t>维保履行义务</w:t>
      </w:r>
      <w:r>
        <w:rPr>
          <w:rFonts w:ascii="仿宋_GB2312" w:hAnsi="仿宋_GB2312" w:eastAsia="仿宋_GB2312" w:cs="仿宋_GB2312"/>
          <w:sz w:val="32"/>
          <w:szCs w:val="32"/>
          <w:highlight w:val="none"/>
        </w:rPr>
        <w:t>的任何部分分包。若乙方违反本条约定，甲方有权单方解除合同，乙方应退还甲方已支付的全部费用，并按照合同总价款的100%向甲方支付违约金，同时赔偿由此给甲方造成的全部损失。</w:t>
      </w:r>
    </w:p>
    <w:p w14:paraId="7059A58C">
      <w:pPr>
        <w:keepNext w:val="0"/>
        <w:keepLines w:val="0"/>
        <w:pageBreakBefore w:val="0"/>
        <w:widowControl w:val="0"/>
        <w:kinsoku/>
        <w:wordWrap/>
        <w:overflowPunct/>
        <w:topLinePunct w:val="0"/>
        <w:autoSpaceDE/>
        <w:autoSpaceDN/>
        <w:bidi w:val="0"/>
        <w:adjustRightInd/>
        <w:snapToGrid/>
        <w:spacing w:line="560" w:lineRule="exact"/>
        <w:ind w:left="17" w:firstLine="643" w:firstLineChars="200"/>
        <w:textAlignment w:val="auto"/>
        <w:rPr>
          <w:rFonts w:hint="eastAsia" w:ascii="仿宋_GB2312" w:hAnsi="仿宋_GB2312" w:eastAsia="仿宋_GB2312" w:cs="仿宋_GB2312"/>
          <w:b/>
          <w:bCs/>
          <w:i w:val="0"/>
          <w:iCs w:val="0"/>
          <w:caps w:val="0"/>
          <w:color w:val="000000"/>
          <w:spacing w:val="0"/>
          <w:sz w:val="32"/>
          <w:szCs w:val="32"/>
          <w:highlight w:val="none"/>
          <w:shd w:val="clear" w:color="auto" w:fill="auto"/>
          <w:lang w:val="en-US" w:eastAsia="zh-CN"/>
        </w:rPr>
      </w:pPr>
      <w:r>
        <w:rPr>
          <w:rFonts w:hint="eastAsia" w:ascii="仿宋_GB2312" w:hAnsi="仿宋_GB2312" w:eastAsia="仿宋_GB2312" w:cs="仿宋_GB2312"/>
          <w:b/>
          <w:bCs/>
          <w:i w:val="0"/>
          <w:iCs w:val="0"/>
          <w:caps w:val="0"/>
          <w:color w:val="000000"/>
          <w:spacing w:val="0"/>
          <w:sz w:val="32"/>
          <w:szCs w:val="32"/>
          <w:highlight w:val="none"/>
          <w:shd w:val="clear" w:color="auto" w:fill="auto"/>
          <w:lang w:val="en-US" w:eastAsia="zh-CN"/>
        </w:rPr>
        <w:t>三、意识形态合规承诺</w:t>
      </w:r>
    </w:p>
    <w:p w14:paraId="017C07AA">
      <w:pPr>
        <w:keepNext w:val="0"/>
        <w:keepLines w:val="0"/>
        <w:pageBreakBefore w:val="0"/>
        <w:widowControl w:val="0"/>
        <w:kinsoku/>
        <w:wordWrap/>
        <w:overflowPunct/>
        <w:topLinePunct w:val="0"/>
        <w:autoSpaceDE/>
        <w:autoSpaceDN/>
        <w:bidi w:val="0"/>
        <w:adjustRightInd/>
        <w:snapToGrid/>
        <w:spacing w:line="560" w:lineRule="exact"/>
        <w:ind w:left="17" w:firstLine="640" w:firstLineChars="200"/>
        <w:textAlignment w:val="auto"/>
        <w:rPr>
          <w:rFonts w:hint="eastAsia" w:ascii="仿宋_GB2312" w:hAnsi="仿宋_GB2312" w:eastAsia="仿宋_GB2312" w:cs="仿宋_GB2312"/>
          <w:i w:val="0"/>
          <w:iCs w:val="0"/>
          <w:caps w:val="0"/>
          <w:color w:val="000000"/>
          <w:spacing w:val="0"/>
          <w:sz w:val="32"/>
          <w:szCs w:val="32"/>
          <w:highlight w:val="none"/>
          <w:shd w:val="clear" w:color="auto" w:fill="auto"/>
          <w:lang w:val="en-US" w:eastAsia="zh-CN"/>
        </w:rPr>
      </w:pPr>
      <w:r>
        <w:rPr>
          <w:rFonts w:hint="eastAsia" w:ascii="仿宋_GB2312" w:hAnsi="仿宋_GB2312" w:eastAsia="仿宋_GB2312" w:cs="仿宋_GB2312"/>
          <w:i w:val="0"/>
          <w:iCs w:val="0"/>
          <w:caps w:val="0"/>
          <w:color w:val="000000"/>
          <w:spacing w:val="0"/>
          <w:sz w:val="32"/>
          <w:szCs w:val="32"/>
          <w:highlight w:val="none"/>
          <w:shd w:val="clear" w:color="auto" w:fill="auto"/>
          <w:lang w:val="en-US" w:eastAsia="zh-CN"/>
        </w:rPr>
        <w:t>3.1 甲乙双方均应当严格遵守中华人民共和国法律法规、国家政策及公序良俗，坚持正确的政治方向、舆论导向和价值取向，自觉践行社会主义核心价值观。</w:t>
      </w:r>
    </w:p>
    <w:p w14:paraId="69876253">
      <w:pPr>
        <w:keepNext w:val="0"/>
        <w:keepLines w:val="0"/>
        <w:pageBreakBefore w:val="0"/>
        <w:widowControl w:val="0"/>
        <w:kinsoku/>
        <w:wordWrap/>
        <w:overflowPunct/>
        <w:topLinePunct w:val="0"/>
        <w:autoSpaceDE/>
        <w:autoSpaceDN/>
        <w:bidi w:val="0"/>
        <w:adjustRightInd/>
        <w:snapToGrid/>
        <w:spacing w:line="560" w:lineRule="exact"/>
        <w:ind w:left="17" w:firstLine="640" w:firstLineChars="200"/>
        <w:textAlignment w:val="auto"/>
        <w:rPr>
          <w:rFonts w:hint="eastAsia" w:ascii="仿宋_GB2312" w:hAnsi="仿宋_GB2312" w:eastAsia="仿宋_GB2312" w:cs="仿宋_GB2312"/>
          <w:i w:val="0"/>
          <w:iCs w:val="0"/>
          <w:caps w:val="0"/>
          <w:color w:val="000000"/>
          <w:spacing w:val="0"/>
          <w:sz w:val="32"/>
          <w:szCs w:val="32"/>
          <w:highlight w:val="none"/>
          <w:shd w:val="clear" w:color="auto" w:fill="auto"/>
          <w:lang w:val="en-US" w:eastAsia="zh-CN"/>
        </w:rPr>
      </w:pPr>
      <w:r>
        <w:rPr>
          <w:rFonts w:hint="eastAsia" w:ascii="仿宋_GB2312" w:hAnsi="仿宋_GB2312" w:eastAsia="仿宋_GB2312" w:cs="仿宋_GB2312"/>
          <w:i w:val="0"/>
          <w:iCs w:val="0"/>
          <w:caps w:val="0"/>
          <w:color w:val="000000"/>
          <w:spacing w:val="0"/>
          <w:sz w:val="32"/>
          <w:szCs w:val="32"/>
          <w:highlight w:val="none"/>
          <w:shd w:val="clear" w:color="auto" w:fill="auto"/>
          <w:lang w:val="en-US" w:eastAsia="zh-CN"/>
        </w:rPr>
        <w:t>3.2 甲乙双方在合同履行全过程中，确保相关工作人员在履行合同职责时，严格遵守国家意识形态相关规定，所有言行均符合意识形态安全要求。</w:t>
      </w:r>
    </w:p>
    <w:p w14:paraId="7B40ED68">
      <w:pPr>
        <w:keepNext w:val="0"/>
        <w:keepLines w:val="0"/>
        <w:pageBreakBefore w:val="0"/>
        <w:widowControl w:val="0"/>
        <w:kinsoku/>
        <w:wordWrap/>
        <w:overflowPunct/>
        <w:topLinePunct w:val="0"/>
        <w:autoSpaceDE/>
        <w:autoSpaceDN/>
        <w:bidi w:val="0"/>
        <w:adjustRightInd/>
        <w:snapToGrid/>
        <w:spacing w:line="560" w:lineRule="exact"/>
        <w:ind w:left="17" w:firstLine="640" w:firstLineChars="200"/>
        <w:textAlignment w:val="auto"/>
        <w:rPr>
          <w:rFonts w:hint="eastAsia" w:ascii="仿宋_GB2312" w:hAnsi="仿宋_GB2312" w:eastAsia="仿宋_GB2312" w:cs="仿宋_GB2312"/>
          <w:i w:val="0"/>
          <w:iCs w:val="0"/>
          <w:caps w:val="0"/>
          <w:color w:val="000000"/>
          <w:spacing w:val="0"/>
          <w:sz w:val="32"/>
          <w:szCs w:val="32"/>
          <w:highlight w:val="none"/>
          <w:shd w:val="clear" w:color="auto" w:fill="auto"/>
          <w:lang w:val="en-US" w:eastAsia="zh-CN"/>
        </w:rPr>
      </w:pPr>
      <w:r>
        <w:rPr>
          <w:rFonts w:hint="eastAsia" w:ascii="仿宋_GB2312" w:hAnsi="仿宋_GB2312" w:eastAsia="仿宋_GB2312" w:cs="仿宋_GB2312"/>
          <w:i w:val="0"/>
          <w:iCs w:val="0"/>
          <w:caps w:val="0"/>
          <w:color w:val="000000"/>
          <w:spacing w:val="0"/>
          <w:sz w:val="32"/>
          <w:szCs w:val="32"/>
          <w:highlight w:val="none"/>
          <w:shd w:val="clear" w:color="auto" w:fill="auto"/>
          <w:lang w:val="en-US" w:eastAsia="zh-CN"/>
        </w:rPr>
        <w:t>3.3 相对方应保证自身主体资格合法，其提供的产品、服务、技术、资料等全部与合同相关的内容，均不包含任何违背国家意识形态、危害国家安全、损害国家形象、破坏民族团结、传播不良信息的内容；不得利用本合同从事任何危害国家意识形态安全的活动，不得借助合同约定规避意识形态相关监管要求。</w:t>
      </w:r>
    </w:p>
    <w:p w14:paraId="71B19518">
      <w:pPr>
        <w:numPr>
          <w:ilvl w:val="0"/>
          <w:numId w:val="0"/>
        </w:numPr>
        <w:shd w:val="clear" w:color="auto" w:fill="auto"/>
        <w:spacing w:line="560" w:lineRule="exact"/>
        <w:ind w:left="0" w:leftChars="0" w:firstLine="643" w:firstLineChars="200"/>
        <w:rPr>
          <w:rFonts w:hint="eastAsia" w:ascii="仿宋_GB2312" w:hAnsi="仿宋_GB2312" w:eastAsia="仿宋_GB2312" w:cs="仿宋_GB2312"/>
          <w:b/>
          <w:kern w:val="2"/>
          <w:sz w:val="32"/>
          <w:szCs w:val="32"/>
          <w:highlight w:val="none"/>
          <w:lang w:val="en-US" w:eastAsia="zh-CN" w:bidi="ar-SA"/>
        </w:rPr>
      </w:pPr>
      <w:r>
        <w:rPr>
          <w:rFonts w:hint="eastAsia" w:ascii="仿宋_GB2312" w:hAnsi="仿宋_GB2312" w:eastAsia="仿宋_GB2312" w:cs="仿宋_GB2312"/>
          <w:b/>
          <w:kern w:val="2"/>
          <w:sz w:val="32"/>
          <w:szCs w:val="32"/>
          <w:highlight w:val="none"/>
          <w:lang w:val="en-US" w:eastAsia="zh-CN" w:bidi="ar-SA"/>
        </w:rPr>
        <w:t>四、保密条款</w:t>
      </w:r>
    </w:p>
    <w:p w14:paraId="777BE096">
      <w:pPr>
        <w:numPr>
          <w:ilvl w:val="0"/>
          <w:numId w:val="0"/>
        </w:numPr>
        <w:shd w:val="clear" w:color="auto" w:fill="auto"/>
        <w:spacing w:line="560" w:lineRule="exact"/>
        <w:ind w:left="0" w:leftChars="0" w:firstLine="640" w:firstLineChars="200"/>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4.1双方应对本合同下向对方提供的资料、信息（包括但不限于商业秘密、技术资料、图纸、数据，以及与业务有关的客户的信息及其他信息等）承担保密责任，除正常履行本合同项下权利和义务外，不得以任何形式对外披露上述资料和信息，否则违约方应负全责。</w:t>
      </w:r>
    </w:p>
    <w:p w14:paraId="5C5C5428">
      <w:pPr>
        <w:spacing w:line="5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bCs/>
          <w:sz w:val="32"/>
          <w:szCs w:val="32"/>
          <w:highlight w:val="none"/>
          <w:lang w:val="en-US" w:eastAsia="zh-CN"/>
        </w:rPr>
        <w:t>4.2本保密条款具有独立性，不受本合同的终止或解除的影响，直至该保密信息通过合法途径为公众所知悉。如因乙方的原因致使本协议约定保密事项泄漏的，乙方应当向甲方承担损害赔偿责任，并按照本协议约定总价款的100%向甲方支付违约金。</w:t>
      </w:r>
      <w:r>
        <w:rPr>
          <w:rFonts w:hint="eastAsia" w:ascii="仿宋_GB2312" w:hAnsi="仿宋_GB2312" w:eastAsia="仿宋_GB2312" w:cs="仿宋_GB2312"/>
          <w:sz w:val="32"/>
          <w:szCs w:val="32"/>
          <w:highlight w:val="none"/>
        </w:rPr>
        <w:t>如前述违约金不足以补偿甲方损失的（含直接损失、间接损失以及为维权支出的合理费用等损失），乙方应继续承担损害赔偿责任。</w:t>
      </w:r>
    </w:p>
    <w:p w14:paraId="2CAC8DF4">
      <w:pPr>
        <w:numPr>
          <w:ilvl w:val="0"/>
          <w:numId w:val="0"/>
        </w:numPr>
        <w:shd w:val="clear" w:color="auto" w:fill="auto"/>
        <w:spacing w:line="560" w:lineRule="exact"/>
        <w:ind w:left="0" w:leftChars="0" w:firstLine="643" w:firstLineChars="200"/>
        <w:rPr>
          <w:rFonts w:hint="eastAsia" w:ascii="仿宋_GB2312" w:hAnsi="仿宋_GB2312" w:eastAsia="仿宋_GB2312" w:cs="仿宋_GB2312"/>
          <w:b/>
          <w:kern w:val="2"/>
          <w:sz w:val="32"/>
          <w:szCs w:val="32"/>
          <w:highlight w:val="none"/>
          <w:lang w:val="en-US" w:eastAsia="zh-CN" w:bidi="ar-SA"/>
        </w:rPr>
      </w:pPr>
      <w:r>
        <w:rPr>
          <w:rFonts w:hint="eastAsia" w:ascii="仿宋_GB2312" w:hAnsi="仿宋_GB2312" w:eastAsia="仿宋_GB2312" w:cs="仿宋_GB2312"/>
          <w:b/>
          <w:kern w:val="2"/>
          <w:sz w:val="32"/>
          <w:szCs w:val="32"/>
          <w:highlight w:val="none"/>
          <w:lang w:val="en-US" w:eastAsia="zh-CN" w:bidi="ar-SA"/>
        </w:rPr>
        <w:t>五、廉洁条款</w:t>
      </w:r>
    </w:p>
    <w:p w14:paraId="0BDB0474">
      <w:pPr>
        <w:numPr>
          <w:ilvl w:val="0"/>
          <w:numId w:val="0"/>
        </w:numPr>
        <w:shd w:val="clear" w:color="auto" w:fill="auto"/>
        <w:spacing w:line="560" w:lineRule="exact"/>
        <w:ind w:left="0" w:leftChars="0" w:firstLine="640" w:firstLineChars="200"/>
        <w:rPr>
          <w:rFonts w:hint="eastAsia" w:ascii="仿宋_GB2312" w:hAnsi="仿宋_GB2312" w:eastAsia="仿宋_GB2312" w:cs="仿宋_GB2312"/>
          <w:bCs/>
          <w:sz w:val="32"/>
          <w:szCs w:val="32"/>
          <w:highlight w:val="none"/>
          <w:lang w:val="en-US" w:eastAsia="zh-CN"/>
        </w:rPr>
      </w:pPr>
      <w:r>
        <w:rPr>
          <w:rFonts w:hint="eastAsia" w:ascii="仿宋_GB2312" w:hAnsi="仿宋_GB2312" w:eastAsia="仿宋_GB2312" w:cs="仿宋_GB2312"/>
          <w:bCs/>
          <w:sz w:val="32"/>
          <w:szCs w:val="32"/>
          <w:highlight w:val="none"/>
          <w:lang w:val="en-US" w:eastAsia="zh-CN"/>
        </w:rPr>
        <w:t>5.1甲、乙双方陈述并保证，其没有也不会违反任何有关反贿赂、反回扣、反洗钱或反恐怖组织融资的法律或法规。甲、乙方进一步陈述并保证，在从事与本合同项下交易相关或与涉及与对方的任何交易相关的活动中，其工作人员均没有且不会直接或间接地向任何政府公职人员给付任何款项或任何价值的礼物；亦不会在任何涉及甲方的交易过程中支付任何人情费用。</w:t>
      </w:r>
    </w:p>
    <w:p w14:paraId="3C8C8857">
      <w:pPr>
        <w:keepNext w:val="0"/>
        <w:keepLines w:val="0"/>
        <w:pageBreakBefore w:val="0"/>
        <w:widowControl w:val="0"/>
        <w:kinsoku/>
        <w:wordWrap/>
        <w:overflowPunct/>
        <w:topLinePunct w:val="0"/>
        <w:autoSpaceDE/>
        <w:autoSpaceDN/>
        <w:bidi w:val="0"/>
        <w:adjustRightInd/>
        <w:snapToGrid/>
        <w:spacing w:line="560" w:lineRule="exact"/>
        <w:ind w:left="17" w:firstLine="640" w:firstLineChars="200"/>
        <w:textAlignment w:val="auto"/>
        <w:rPr>
          <w:rFonts w:hint="eastAsia" w:ascii="仿宋_GB2312" w:hAnsi="仿宋_GB2312" w:eastAsia="仿宋_GB2312" w:cs="仿宋_GB2312"/>
          <w:i w:val="0"/>
          <w:iCs w:val="0"/>
          <w:caps w:val="0"/>
          <w:color w:val="000000"/>
          <w:spacing w:val="0"/>
          <w:sz w:val="32"/>
          <w:szCs w:val="32"/>
          <w:highlight w:val="none"/>
          <w:shd w:val="clear" w:color="auto" w:fill="auto"/>
        </w:rPr>
      </w:pPr>
      <w:r>
        <w:rPr>
          <w:rFonts w:hint="eastAsia" w:ascii="仿宋_GB2312" w:hAnsi="仿宋_GB2312" w:eastAsia="仿宋_GB2312" w:cs="仿宋_GB2312"/>
          <w:bCs/>
          <w:sz w:val="32"/>
          <w:szCs w:val="32"/>
          <w:highlight w:val="none"/>
          <w:lang w:val="en-US" w:eastAsia="zh-CN"/>
        </w:rPr>
        <w:t>5.2如一方违反上述陈述和保证的，守约方有权采取所有的救济方式，包括但不限于要求违约方赔偿损失。</w:t>
      </w:r>
    </w:p>
    <w:p w14:paraId="21CF761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13" w:leftChars="0" w:firstLine="643" w:firstLineChars="0"/>
        <w:textAlignment w:val="auto"/>
        <w:rPr>
          <w:rFonts w:hint="eastAsia" w:ascii="仿宋_GB2312" w:hAnsi="仿宋_GB2312" w:eastAsia="仿宋_GB2312" w:cs="仿宋_GB2312"/>
          <w:b/>
          <w:bCs/>
          <w:i w:val="0"/>
          <w:iCs w:val="0"/>
          <w:caps w:val="0"/>
          <w:color w:val="000000"/>
          <w:spacing w:val="0"/>
          <w:sz w:val="32"/>
          <w:szCs w:val="32"/>
          <w:highlight w:val="none"/>
          <w:shd w:val="clear" w:color="auto" w:fill="auto"/>
          <w:lang w:val="en-US" w:eastAsia="zh-CN"/>
        </w:rPr>
      </w:pPr>
      <w:r>
        <w:rPr>
          <w:rFonts w:hint="eastAsia" w:ascii="仿宋_GB2312" w:hAnsi="仿宋_GB2312" w:eastAsia="仿宋_GB2312" w:cs="仿宋_GB2312"/>
          <w:b/>
          <w:bCs/>
          <w:i w:val="0"/>
          <w:iCs w:val="0"/>
          <w:caps w:val="0"/>
          <w:color w:val="000000"/>
          <w:spacing w:val="0"/>
          <w:kern w:val="2"/>
          <w:sz w:val="32"/>
          <w:szCs w:val="32"/>
          <w:highlight w:val="none"/>
          <w:shd w:val="clear" w:color="auto" w:fill="auto"/>
          <w:lang w:val="en-US" w:eastAsia="zh-CN" w:bidi="ar-SA"/>
        </w:rPr>
        <w:t>六、</w:t>
      </w:r>
      <w:r>
        <w:rPr>
          <w:rFonts w:hint="eastAsia" w:ascii="仿宋_GB2312" w:hAnsi="仿宋_GB2312" w:eastAsia="仿宋_GB2312" w:cs="仿宋_GB2312"/>
          <w:b/>
          <w:bCs/>
          <w:i w:val="0"/>
          <w:iCs w:val="0"/>
          <w:caps w:val="0"/>
          <w:color w:val="000000"/>
          <w:spacing w:val="0"/>
          <w:sz w:val="32"/>
          <w:szCs w:val="32"/>
          <w:highlight w:val="none"/>
          <w:shd w:val="clear" w:color="auto" w:fill="auto"/>
          <w:lang w:val="en-US" w:eastAsia="zh-CN"/>
        </w:rPr>
        <w:t>违约条款</w:t>
      </w:r>
    </w:p>
    <w:p w14:paraId="29EFE1C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shd w:val="clear" w:color="auto" w:fill="auto"/>
        </w:rPr>
      </w:pPr>
      <w:r>
        <w:rPr>
          <w:rFonts w:hint="eastAsia" w:ascii="仿宋_GB2312" w:hAnsi="仿宋_GB2312" w:eastAsia="仿宋_GB2312" w:cs="仿宋_GB2312"/>
          <w:color w:val="000000"/>
          <w:sz w:val="32"/>
          <w:szCs w:val="32"/>
          <w:highlight w:val="none"/>
          <w:shd w:val="clear" w:color="auto" w:fill="auto"/>
          <w:lang w:val="en-US" w:eastAsia="zh-CN"/>
        </w:rPr>
        <w:t xml:space="preserve">6.1 </w:t>
      </w:r>
      <w:r>
        <w:rPr>
          <w:rFonts w:hint="eastAsia" w:ascii="仿宋_GB2312" w:hAnsi="仿宋_GB2312" w:eastAsia="仿宋_GB2312" w:cs="仿宋_GB2312"/>
          <w:color w:val="000000"/>
          <w:sz w:val="32"/>
          <w:szCs w:val="32"/>
          <w:highlight w:val="none"/>
          <w:shd w:val="clear" w:color="auto" w:fill="auto"/>
        </w:rPr>
        <w:t>乙方发生如下情况之一的，甲方可随时书面通知乙方即时终止合同而无须承担任何责任，同时有权要求乙方赔偿甲方因此遭受的全部损失且向乙方主张合同总价的</w:t>
      </w:r>
      <w:r>
        <w:rPr>
          <w:rFonts w:hint="eastAsia" w:ascii="仿宋_GB2312" w:hAnsi="仿宋_GB2312" w:eastAsia="仿宋_GB2312" w:cs="仿宋_GB2312"/>
          <w:color w:val="000000"/>
          <w:sz w:val="32"/>
          <w:szCs w:val="32"/>
          <w:highlight w:val="none"/>
          <w:shd w:val="clear" w:color="auto" w:fill="auto"/>
          <w:lang w:val="en-US" w:eastAsia="zh-CN"/>
        </w:rPr>
        <w:t>25</w:t>
      </w:r>
      <w:r>
        <w:rPr>
          <w:rFonts w:hint="eastAsia" w:ascii="仿宋_GB2312" w:hAnsi="仿宋_GB2312" w:eastAsia="仿宋_GB2312" w:cs="仿宋_GB2312"/>
          <w:color w:val="000000"/>
          <w:sz w:val="32"/>
          <w:szCs w:val="32"/>
          <w:highlight w:val="none"/>
          <w:shd w:val="clear" w:color="auto" w:fill="auto"/>
        </w:rPr>
        <w:t>%的违约金：</w:t>
      </w:r>
    </w:p>
    <w:p w14:paraId="4B6FBE32">
      <w:pPr>
        <w:keepNext w:val="0"/>
        <w:keepLines w:val="0"/>
        <w:pageBreakBefore w:val="0"/>
        <w:widowControl w:val="0"/>
        <w:kinsoku/>
        <w:wordWrap/>
        <w:overflowPunct/>
        <w:topLinePunct w:val="0"/>
        <w:autoSpaceDE/>
        <w:autoSpaceDN/>
        <w:bidi w:val="0"/>
        <w:adjustRightInd/>
        <w:snapToGrid/>
        <w:spacing w:line="560" w:lineRule="exact"/>
        <w:ind w:left="17" w:firstLine="640" w:firstLineChars="200"/>
        <w:textAlignment w:val="auto"/>
        <w:rPr>
          <w:rFonts w:hint="eastAsia" w:ascii="仿宋_GB2312" w:hAnsi="仿宋_GB2312" w:eastAsia="仿宋_GB2312" w:cs="仿宋_GB2312"/>
          <w:color w:val="000000"/>
          <w:sz w:val="32"/>
          <w:szCs w:val="32"/>
          <w:highlight w:val="none"/>
          <w:shd w:val="clear" w:color="auto" w:fill="auto"/>
        </w:rPr>
      </w:pPr>
      <w:r>
        <w:rPr>
          <w:rFonts w:hint="eastAsia" w:ascii="仿宋_GB2312" w:hAnsi="仿宋_GB2312" w:eastAsia="仿宋_GB2312" w:cs="仿宋_GB2312"/>
          <w:color w:val="000000"/>
          <w:sz w:val="32"/>
          <w:szCs w:val="32"/>
          <w:highlight w:val="none"/>
          <w:shd w:val="clear" w:color="auto" w:fill="auto"/>
          <w:lang w:val="en-US" w:eastAsia="zh-CN"/>
        </w:rPr>
        <w:t>6</w:t>
      </w:r>
      <w:r>
        <w:rPr>
          <w:rFonts w:hint="eastAsia" w:ascii="仿宋_GB2312" w:hAnsi="仿宋_GB2312" w:eastAsia="仿宋_GB2312" w:cs="仿宋_GB2312"/>
          <w:color w:val="000000"/>
          <w:sz w:val="32"/>
          <w:szCs w:val="32"/>
          <w:highlight w:val="none"/>
          <w:shd w:val="clear" w:color="auto" w:fill="auto"/>
        </w:rPr>
        <w:t>.2</w:t>
      </w:r>
      <w:r>
        <w:rPr>
          <w:rFonts w:hint="eastAsia" w:ascii="仿宋_GB2312" w:hAnsi="仿宋_GB2312" w:eastAsia="仿宋_GB2312" w:cs="仿宋_GB2312"/>
          <w:color w:val="000000"/>
          <w:sz w:val="32"/>
          <w:szCs w:val="32"/>
          <w:highlight w:val="none"/>
          <w:shd w:val="clear" w:color="auto" w:fill="auto"/>
          <w:lang w:val="en-US" w:eastAsia="zh-CN"/>
        </w:rPr>
        <w:t xml:space="preserve"> </w:t>
      </w:r>
      <w:r>
        <w:rPr>
          <w:rFonts w:hint="eastAsia" w:ascii="仿宋_GB2312" w:hAnsi="仿宋_GB2312" w:eastAsia="仿宋_GB2312" w:cs="仿宋_GB2312"/>
          <w:color w:val="000000"/>
          <w:sz w:val="32"/>
          <w:szCs w:val="32"/>
          <w:highlight w:val="none"/>
          <w:shd w:val="clear" w:color="auto" w:fill="auto"/>
        </w:rPr>
        <w:t>若乙方违反本合同约定，经甲方两次书面通知后仍未有改善。</w:t>
      </w:r>
    </w:p>
    <w:p w14:paraId="51C7438B">
      <w:pPr>
        <w:keepNext w:val="0"/>
        <w:keepLines w:val="0"/>
        <w:pageBreakBefore w:val="0"/>
        <w:widowControl w:val="0"/>
        <w:kinsoku/>
        <w:wordWrap/>
        <w:overflowPunct/>
        <w:topLinePunct w:val="0"/>
        <w:autoSpaceDE/>
        <w:autoSpaceDN/>
        <w:bidi w:val="0"/>
        <w:adjustRightInd/>
        <w:snapToGrid/>
        <w:spacing w:line="560" w:lineRule="exact"/>
        <w:ind w:left="17" w:firstLine="640" w:firstLineChars="200"/>
        <w:textAlignment w:val="auto"/>
        <w:rPr>
          <w:rFonts w:hint="eastAsia" w:ascii="仿宋_GB2312" w:hAnsi="仿宋_GB2312" w:eastAsia="仿宋_GB2312" w:cs="仿宋_GB2312"/>
          <w:color w:val="000000"/>
          <w:sz w:val="32"/>
          <w:szCs w:val="32"/>
          <w:highlight w:val="none"/>
          <w:shd w:val="clear" w:color="auto" w:fill="auto"/>
        </w:rPr>
      </w:pPr>
      <w:r>
        <w:rPr>
          <w:rFonts w:hint="eastAsia" w:ascii="仿宋_GB2312" w:hAnsi="仿宋_GB2312" w:eastAsia="仿宋_GB2312" w:cs="仿宋_GB2312"/>
          <w:color w:val="000000"/>
          <w:sz w:val="32"/>
          <w:szCs w:val="32"/>
          <w:highlight w:val="none"/>
          <w:shd w:val="clear" w:color="auto" w:fill="auto"/>
          <w:lang w:val="en-US" w:eastAsia="zh-CN"/>
        </w:rPr>
        <w:t xml:space="preserve">6.3 </w:t>
      </w:r>
      <w:r>
        <w:rPr>
          <w:rFonts w:hint="eastAsia" w:ascii="仿宋_GB2312" w:hAnsi="仿宋_GB2312" w:eastAsia="仿宋_GB2312" w:cs="仿宋_GB2312"/>
          <w:color w:val="000000"/>
          <w:sz w:val="32"/>
          <w:szCs w:val="32"/>
          <w:highlight w:val="none"/>
          <w:shd w:val="clear" w:color="auto" w:fill="auto"/>
        </w:rPr>
        <w:t>乙方当月被有效投诉累积</w:t>
      </w:r>
      <w:r>
        <w:rPr>
          <w:rFonts w:hint="eastAsia" w:ascii="仿宋_GB2312" w:hAnsi="仿宋_GB2312" w:eastAsia="仿宋_GB2312" w:cs="仿宋_GB2312"/>
          <w:color w:val="000000"/>
          <w:sz w:val="32"/>
          <w:szCs w:val="32"/>
          <w:highlight w:val="none"/>
          <w:shd w:val="clear" w:color="auto" w:fill="auto"/>
          <w:lang w:val="en-US" w:eastAsia="zh-CN"/>
        </w:rPr>
        <w:t>3</w:t>
      </w:r>
      <w:r>
        <w:rPr>
          <w:rFonts w:hint="eastAsia" w:ascii="仿宋_GB2312" w:hAnsi="仿宋_GB2312" w:eastAsia="仿宋_GB2312" w:cs="仿宋_GB2312"/>
          <w:color w:val="000000"/>
          <w:sz w:val="32"/>
          <w:szCs w:val="32"/>
          <w:highlight w:val="none"/>
          <w:shd w:val="clear" w:color="auto" w:fill="auto"/>
        </w:rPr>
        <w:t>次以上或维护保养期限内被有效投诉次数累计</w:t>
      </w:r>
      <w:r>
        <w:rPr>
          <w:rFonts w:hint="eastAsia" w:ascii="仿宋_GB2312" w:hAnsi="仿宋_GB2312" w:eastAsia="仿宋_GB2312" w:cs="仿宋_GB2312"/>
          <w:color w:val="000000"/>
          <w:sz w:val="32"/>
          <w:szCs w:val="32"/>
          <w:highlight w:val="none"/>
          <w:shd w:val="clear" w:color="auto" w:fill="auto"/>
          <w:lang w:val="en-US" w:eastAsia="zh-CN"/>
        </w:rPr>
        <w:t>12</w:t>
      </w:r>
      <w:r>
        <w:rPr>
          <w:rFonts w:hint="eastAsia" w:ascii="仿宋_GB2312" w:hAnsi="仿宋_GB2312" w:eastAsia="仿宋_GB2312" w:cs="仿宋_GB2312"/>
          <w:color w:val="000000"/>
          <w:sz w:val="32"/>
          <w:szCs w:val="32"/>
          <w:highlight w:val="none"/>
          <w:shd w:val="clear" w:color="auto" w:fill="auto"/>
        </w:rPr>
        <w:t xml:space="preserve">次的。  </w:t>
      </w:r>
    </w:p>
    <w:p w14:paraId="27F67B47">
      <w:pPr>
        <w:keepNext w:val="0"/>
        <w:keepLines w:val="0"/>
        <w:pageBreakBefore w:val="0"/>
        <w:widowControl w:val="0"/>
        <w:kinsoku/>
        <w:wordWrap/>
        <w:overflowPunct/>
        <w:topLinePunct w:val="0"/>
        <w:autoSpaceDE/>
        <w:autoSpaceDN/>
        <w:bidi w:val="0"/>
        <w:adjustRightInd/>
        <w:snapToGrid/>
        <w:spacing w:line="560" w:lineRule="exact"/>
        <w:ind w:left="17" w:firstLine="640" w:firstLineChars="200"/>
        <w:textAlignment w:val="auto"/>
        <w:rPr>
          <w:rFonts w:hint="eastAsia" w:ascii="仿宋_GB2312" w:hAnsi="仿宋_GB2312" w:eastAsia="仿宋_GB2312" w:cs="仿宋_GB2312"/>
          <w:color w:val="000000"/>
          <w:sz w:val="32"/>
          <w:szCs w:val="32"/>
          <w:highlight w:val="none"/>
          <w:shd w:val="clear" w:color="auto" w:fill="auto"/>
        </w:rPr>
      </w:pPr>
      <w:r>
        <w:rPr>
          <w:rFonts w:hint="eastAsia" w:ascii="仿宋_GB2312" w:hAnsi="仿宋_GB2312" w:eastAsia="仿宋_GB2312" w:cs="仿宋_GB2312"/>
          <w:color w:val="000000"/>
          <w:sz w:val="32"/>
          <w:szCs w:val="32"/>
          <w:highlight w:val="none"/>
          <w:shd w:val="clear" w:color="auto" w:fill="auto"/>
          <w:lang w:val="en-US" w:eastAsia="zh-CN"/>
        </w:rPr>
        <w:t>6.4</w:t>
      </w:r>
      <w:r>
        <w:rPr>
          <w:rFonts w:hint="eastAsia" w:ascii="仿宋_GB2312" w:hAnsi="仿宋_GB2312" w:eastAsia="仿宋_GB2312" w:cs="仿宋_GB2312"/>
          <w:color w:val="000000"/>
          <w:sz w:val="32"/>
          <w:szCs w:val="32"/>
          <w:highlight w:val="none"/>
          <w:shd w:val="clear" w:color="auto" w:fill="auto"/>
        </w:rPr>
        <w:t>乙方服务未达到合同的服务标准，经甲方书面通知二十个工作日内仍不能整改，或累计未达标的情形达三次的。</w:t>
      </w:r>
    </w:p>
    <w:p w14:paraId="51A13EB5">
      <w:pPr>
        <w:keepNext w:val="0"/>
        <w:keepLines w:val="0"/>
        <w:pageBreakBefore w:val="0"/>
        <w:widowControl w:val="0"/>
        <w:kinsoku/>
        <w:wordWrap/>
        <w:overflowPunct/>
        <w:topLinePunct w:val="0"/>
        <w:autoSpaceDE/>
        <w:autoSpaceDN/>
        <w:bidi w:val="0"/>
        <w:adjustRightInd/>
        <w:snapToGrid/>
        <w:spacing w:line="560" w:lineRule="exact"/>
        <w:ind w:left="17" w:firstLine="640" w:firstLineChars="200"/>
        <w:textAlignment w:val="auto"/>
        <w:rPr>
          <w:rFonts w:hint="eastAsia" w:ascii="仿宋_GB2312" w:hAnsi="仿宋_GB2312" w:eastAsia="仿宋_GB2312" w:cs="仿宋_GB2312"/>
          <w:color w:val="000000"/>
          <w:sz w:val="32"/>
          <w:szCs w:val="32"/>
          <w:highlight w:val="none"/>
          <w:shd w:val="clear" w:color="auto" w:fill="auto"/>
        </w:rPr>
      </w:pPr>
      <w:r>
        <w:rPr>
          <w:rFonts w:hint="eastAsia" w:ascii="仿宋_GB2312" w:hAnsi="仿宋_GB2312" w:eastAsia="仿宋_GB2312" w:cs="仿宋_GB2312"/>
          <w:color w:val="000000"/>
          <w:sz w:val="32"/>
          <w:szCs w:val="32"/>
          <w:highlight w:val="none"/>
          <w:shd w:val="clear" w:color="auto" w:fill="auto"/>
          <w:lang w:val="en-US" w:eastAsia="zh-CN"/>
        </w:rPr>
        <w:t>6</w:t>
      </w:r>
      <w:r>
        <w:rPr>
          <w:rFonts w:hint="eastAsia" w:ascii="仿宋_GB2312" w:hAnsi="仿宋_GB2312" w:eastAsia="仿宋_GB2312" w:cs="仿宋_GB2312"/>
          <w:color w:val="000000"/>
          <w:sz w:val="32"/>
          <w:szCs w:val="32"/>
          <w:highlight w:val="none"/>
          <w:shd w:val="clear" w:color="auto" w:fill="auto"/>
        </w:rPr>
        <w:t>.5未经甲方书面同意，乙方擅自将本项目分包或转包给第三人。</w:t>
      </w:r>
    </w:p>
    <w:p w14:paraId="1A37595C">
      <w:pPr>
        <w:keepNext w:val="0"/>
        <w:keepLines w:val="0"/>
        <w:pageBreakBefore w:val="0"/>
        <w:widowControl w:val="0"/>
        <w:kinsoku/>
        <w:wordWrap/>
        <w:overflowPunct/>
        <w:topLinePunct w:val="0"/>
        <w:autoSpaceDE/>
        <w:autoSpaceDN/>
        <w:bidi w:val="0"/>
        <w:adjustRightInd/>
        <w:snapToGrid/>
        <w:spacing w:line="560" w:lineRule="exact"/>
        <w:ind w:left="17" w:firstLine="640" w:firstLineChars="200"/>
        <w:textAlignment w:val="auto"/>
        <w:rPr>
          <w:rFonts w:hint="eastAsia" w:ascii="仿宋_GB2312" w:hAnsi="仿宋_GB2312" w:eastAsia="仿宋_GB2312" w:cs="仿宋_GB2312"/>
          <w:color w:val="000000"/>
          <w:sz w:val="32"/>
          <w:szCs w:val="32"/>
          <w:highlight w:val="none"/>
          <w:shd w:val="clear" w:color="auto" w:fill="auto"/>
        </w:rPr>
      </w:pPr>
      <w:r>
        <w:rPr>
          <w:rFonts w:hint="eastAsia" w:ascii="仿宋_GB2312" w:hAnsi="仿宋_GB2312" w:eastAsia="仿宋_GB2312" w:cs="仿宋_GB2312"/>
          <w:color w:val="000000"/>
          <w:sz w:val="32"/>
          <w:szCs w:val="32"/>
          <w:highlight w:val="none"/>
          <w:shd w:val="clear" w:color="auto" w:fill="auto"/>
          <w:lang w:val="en-US" w:eastAsia="zh-CN"/>
        </w:rPr>
        <w:t>6</w:t>
      </w:r>
      <w:r>
        <w:rPr>
          <w:rFonts w:hint="eastAsia" w:ascii="仿宋_GB2312" w:hAnsi="仿宋_GB2312" w:eastAsia="仿宋_GB2312" w:cs="仿宋_GB2312"/>
          <w:color w:val="000000"/>
          <w:sz w:val="32"/>
          <w:szCs w:val="32"/>
          <w:highlight w:val="none"/>
          <w:shd w:val="clear" w:color="auto" w:fill="auto"/>
        </w:rPr>
        <w:t>.6乙方未能有效履行合同所约定的义务，严重影响甲方管理项目或致甲方</w:t>
      </w:r>
      <w:r>
        <w:rPr>
          <w:rFonts w:hint="eastAsia" w:ascii="仿宋_GB2312" w:hAnsi="仿宋_GB2312" w:eastAsia="仿宋_GB2312" w:cs="仿宋_GB2312"/>
          <w:color w:val="000000"/>
          <w:sz w:val="32"/>
          <w:szCs w:val="32"/>
          <w:highlight w:val="none"/>
          <w:shd w:val="clear" w:color="auto" w:fill="auto"/>
          <w:lang w:eastAsia="zh-CN"/>
        </w:rPr>
        <w:t>其他方面</w:t>
      </w:r>
      <w:r>
        <w:rPr>
          <w:rFonts w:hint="eastAsia" w:ascii="仿宋_GB2312" w:hAnsi="仿宋_GB2312" w:eastAsia="仿宋_GB2312" w:cs="仿宋_GB2312"/>
          <w:color w:val="000000"/>
          <w:sz w:val="32"/>
          <w:szCs w:val="32"/>
          <w:highlight w:val="none"/>
          <w:shd w:val="clear" w:color="auto" w:fill="auto"/>
        </w:rPr>
        <w:t>的严重损害。因不可抗力（如自然灾害、社会异常事件）导致的除外。</w:t>
      </w:r>
    </w:p>
    <w:p w14:paraId="3D6CA697">
      <w:pPr>
        <w:keepNext w:val="0"/>
        <w:keepLines w:val="0"/>
        <w:pageBreakBefore w:val="0"/>
        <w:widowControl w:val="0"/>
        <w:kinsoku/>
        <w:wordWrap/>
        <w:overflowPunct/>
        <w:topLinePunct w:val="0"/>
        <w:autoSpaceDE/>
        <w:autoSpaceDN/>
        <w:bidi w:val="0"/>
        <w:adjustRightInd/>
        <w:snapToGrid/>
        <w:spacing w:line="560" w:lineRule="exact"/>
        <w:ind w:left="17" w:firstLine="640" w:firstLineChars="200"/>
        <w:textAlignment w:val="auto"/>
        <w:rPr>
          <w:rFonts w:hint="eastAsia" w:ascii="仿宋_GB2312" w:hAnsi="仿宋_GB2312" w:eastAsia="仿宋_GB2312" w:cs="仿宋_GB2312"/>
          <w:color w:val="000000"/>
          <w:sz w:val="32"/>
          <w:szCs w:val="32"/>
          <w:highlight w:val="none"/>
          <w:shd w:val="clear" w:color="auto" w:fill="auto"/>
        </w:rPr>
      </w:pPr>
      <w:r>
        <w:rPr>
          <w:rFonts w:hint="eastAsia" w:ascii="仿宋_GB2312" w:hAnsi="仿宋_GB2312" w:eastAsia="仿宋_GB2312" w:cs="仿宋_GB2312"/>
          <w:color w:val="000000"/>
          <w:sz w:val="32"/>
          <w:szCs w:val="32"/>
          <w:highlight w:val="none"/>
          <w:shd w:val="clear" w:color="auto" w:fill="auto"/>
          <w:lang w:val="en-US" w:eastAsia="zh-CN"/>
        </w:rPr>
        <w:t>6</w:t>
      </w:r>
      <w:r>
        <w:rPr>
          <w:rFonts w:hint="eastAsia" w:ascii="仿宋_GB2312" w:hAnsi="仿宋_GB2312" w:eastAsia="仿宋_GB2312" w:cs="仿宋_GB2312"/>
          <w:color w:val="000000"/>
          <w:sz w:val="32"/>
          <w:szCs w:val="32"/>
          <w:highlight w:val="none"/>
          <w:shd w:val="clear" w:color="auto" w:fill="auto"/>
        </w:rPr>
        <w:t>.7若乙方发生</w:t>
      </w:r>
      <w:r>
        <w:rPr>
          <w:rFonts w:hint="eastAsia" w:ascii="仿宋_GB2312" w:hAnsi="仿宋_GB2312" w:eastAsia="仿宋_GB2312" w:cs="仿宋_GB2312"/>
          <w:color w:val="000000"/>
          <w:sz w:val="32"/>
          <w:szCs w:val="32"/>
          <w:highlight w:val="none"/>
          <w:shd w:val="clear" w:color="auto" w:fill="auto"/>
          <w:lang w:val="en-US" w:eastAsia="zh-CN"/>
        </w:rPr>
        <w:t>以下任意一种情形的：</w:t>
      </w:r>
      <w:r>
        <w:rPr>
          <w:rFonts w:hint="eastAsia" w:ascii="仿宋_GB2312" w:hAnsi="仿宋_GB2312" w:eastAsia="仿宋_GB2312" w:cs="仿宋_GB2312"/>
          <w:color w:val="000000"/>
          <w:sz w:val="32"/>
          <w:szCs w:val="32"/>
          <w:highlight w:val="none"/>
          <w:shd w:val="clear" w:color="auto" w:fill="auto"/>
          <w:lang w:eastAsia="zh-CN"/>
        </w:rPr>
        <w:t>（</w:t>
      </w:r>
      <w:r>
        <w:rPr>
          <w:rFonts w:hint="eastAsia" w:ascii="仿宋_GB2312" w:hAnsi="仿宋_GB2312" w:eastAsia="仿宋_GB2312" w:cs="仿宋_GB2312"/>
          <w:color w:val="000000"/>
          <w:sz w:val="32"/>
          <w:szCs w:val="32"/>
          <w:highlight w:val="none"/>
          <w:shd w:val="clear" w:color="auto" w:fill="auto"/>
          <w:lang w:val="en-US" w:eastAsia="zh-CN"/>
        </w:rPr>
        <w:t>1）</w:t>
      </w:r>
      <w:r>
        <w:rPr>
          <w:rFonts w:hint="eastAsia" w:ascii="仿宋_GB2312" w:hAnsi="仿宋_GB2312" w:eastAsia="仿宋_GB2312" w:cs="仿宋_GB2312"/>
          <w:sz w:val="32"/>
          <w:szCs w:val="32"/>
          <w:highlight w:val="none"/>
          <w:lang w:val="en-US" w:eastAsia="zh-CN"/>
        </w:rPr>
        <w:t>履行本合同项下义务所需</w:t>
      </w:r>
      <w:r>
        <w:rPr>
          <w:rFonts w:ascii="仿宋_GB2312" w:hAnsi="仿宋_GB2312" w:eastAsia="仿宋_GB2312" w:cs="仿宋_GB2312"/>
          <w:sz w:val="32"/>
          <w:szCs w:val="32"/>
          <w:highlight w:val="none"/>
        </w:rPr>
        <w:t>资质证书被吊销、注销或失效，或其</w:t>
      </w:r>
      <w:r>
        <w:rPr>
          <w:rFonts w:hint="eastAsia" w:ascii="仿宋_GB2312" w:hAnsi="仿宋_GB2312" w:eastAsia="仿宋_GB2312" w:cs="仿宋_GB2312"/>
          <w:sz w:val="32"/>
          <w:szCs w:val="32"/>
          <w:highlight w:val="none"/>
          <w:lang w:val="en-US" w:eastAsia="zh-CN"/>
        </w:rPr>
        <w:t>作业</w:t>
      </w:r>
      <w:r>
        <w:rPr>
          <w:rFonts w:ascii="仿宋_GB2312" w:hAnsi="仿宋_GB2312" w:eastAsia="仿宋_GB2312" w:cs="仿宋_GB2312"/>
          <w:sz w:val="32"/>
          <w:szCs w:val="32"/>
          <w:highlight w:val="none"/>
        </w:rPr>
        <w:t>能力不再符合法定要求</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2</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color w:val="000000"/>
          <w:sz w:val="32"/>
          <w:szCs w:val="32"/>
          <w:highlight w:val="none"/>
          <w:shd w:val="clear" w:color="auto" w:fill="auto"/>
        </w:rPr>
        <w:t>破产</w:t>
      </w:r>
      <w:r>
        <w:rPr>
          <w:rFonts w:hint="eastAsia" w:ascii="仿宋_GB2312" w:hAnsi="仿宋_GB2312" w:eastAsia="仿宋_GB2312" w:cs="仿宋_GB2312"/>
          <w:color w:val="000000"/>
          <w:sz w:val="32"/>
          <w:szCs w:val="32"/>
          <w:highlight w:val="none"/>
          <w:shd w:val="clear" w:color="auto" w:fill="auto"/>
          <w:lang w:eastAsia="zh-CN"/>
        </w:rPr>
        <w:t>；（</w:t>
      </w:r>
      <w:r>
        <w:rPr>
          <w:rFonts w:hint="eastAsia" w:ascii="仿宋_GB2312" w:hAnsi="仿宋_GB2312" w:eastAsia="仿宋_GB2312" w:cs="仿宋_GB2312"/>
          <w:color w:val="000000"/>
          <w:sz w:val="32"/>
          <w:szCs w:val="32"/>
          <w:highlight w:val="none"/>
          <w:shd w:val="clear" w:color="auto" w:fill="auto"/>
          <w:lang w:val="en-US" w:eastAsia="zh-CN"/>
        </w:rPr>
        <w:t>3</w:t>
      </w:r>
      <w:r>
        <w:rPr>
          <w:rFonts w:hint="eastAsia" w:ascii="仿宋_GB2312" w:hAnsi="仿宋_GB2312" w:eastAsia="仿宋_GB2312" w:cs="仿宋_GB2312"/>
          <w:color w:val="000000"/>
          <w:sz w:val="32"/>
          <w:szCs w:val="32"/>
          <w:highlight w:val="none"/>
          <w:shd w:val="clear" w:color="auto" w:fill="auto"/>
          <w:lang w:eastAsia="zh-CN"/>
        </w:rPr>
        <w:t>）</w:t>
      </w:r>
      <w:r>
        <w:rPr>
          <w:rFonts w:hint="eastAsia" w:ascii="仿宋_GB2312" w:hAnsi="仿宋_GB2312" w:eastAsia="仿宋_GB2312" w:cs="仿宋_GB2312"/>
          <w:color w:val="000000"/>
          <w:sz w:val="32"/>
          <w:szCs w:val="32"/>
          <w:highlight w:val="none"/>
          <w:shd w:val="clear" w:color="auto" w:fill="auto"/>
        </w:rPr>
        <w:t>清算</w:t>
      </w:r>
      <w:r>
        <w:rPr>
          <w:rFonts w:hint="eastAsia" w:ascii="仿宋_GB2312" w:hAnsi="仿宋_GB2312" w:eastAsia="仿宋_GB2312" w:cs="仿宋_GB2312"/>
          <w:color w:val="000000"/>
          <w:sz w:val="32"/>
          <w:szCs w:val="32"/>
          <w:highlight w:val="none"/>
          <w:shd w:val="clear" w:color="auto" w:fill="auto"/>
          <w:lang w:eastAsia="zh-CN"/>
        </w:rPr>
        <w:t>；（</w:t>
      </w:r>
      <w:r>
        <w:rPr>
          <w:rFonts w:hint="eastAsia" w:ascii="仿宋_GB2312" w:hAnsi="仿宋_GB2312" w:eastAsia="仿宋_GB2312" w:cs="仿宋_GB2312"/>
          <w:color w:val="000000"/>
          <w:sz w:val="32"/>
          <w:szCs w:val="32"/>
          <w:highlight w:val="none"/>
          <w:shd w:val="clear" w:color="auto" w:fill="auto"/>
          <w:lang w:val="en-US" w:eastAsia="zh-CN"/>
        </w:rPr>
        <w:t>4</w:t>
      </w:r>
      <w:r>
        <w:rPr>
          <w:rFonts w:hint="eastAsia" w:ascii="仿宋_GB2312" w:hAnsi="仿宋_GB2312" w:eastAsia="仿宋_GB2312" w:cs="仿宋_GB2312"/>
          <w:color w:val="000000"/>
          <w:sz w:val="32"/>
          <w:szCs w:val="32"/>
          <w:highlight w:val="none"/>
          <w:shd w:val="clear" w:color="auto" w:fill="auto"/>
          <w:lang w:eastAsia="zh-CN"/>
        </w:rPr>
        <w:t>）</w:t>
      </w:r>
      <w:r>
        <w:rPr>
          <w:rFonts w:hint="eastAsia" w:ascii="仿宋_GB2312" w:hAnsi="仿宋_GB2312" w:eastAsia="仿宋_GB2312" w:cs="仿宋_GB2312"/>
          <w:color w:val="000000"/>
          <w:sz w:val="32"/>
          <w:szCs w:val="32"/>
          <w:highlight w:val="none"/>
          <w:shd w:val="clear" w:color="auto" w:fill="auto"/>
        </w:rPr>
        <w:t>被接收</w:t>
      </w:r>
      <w:r>
        <w:rPr>
          <w:rFonts w:hint="eastAsia" w:ascii="仿宋_GB2312" w:hAnsi="仿宋_GB2312" w:eastAsia="仿宋_GB2312" w:cs="仿宋_GB2312"/>
          <w:color w:val="000000"/>
          <w:sz w:val="32"/>
          <w:szCs w:val="32"/>
          <w:highlight w:val="none"/>
          <w:shd w:val="clear" w:color="auto" w:fill="auto"/>
          <w:lang w:eastAsia="zh-CN"/>
        </w:rPr>
        <w:t>；（</w:t>
      </w:r>
      <w:r>
        <w:rPr>
          <w:rFonts w:hint="eastAsia" w:ascii="仿宋_GB2312" w:hAnsi="仿宋_GB2312" w:eastAsia="仿宋_GB2312" w:cs="仿宋_GB2312"/>
          <w:color w:val="000000"/>
          <w:sz w:val="32"/>
          <w:szCs w:val="32"/>
          <w:highlight w:val="none"/>
          <w:shd w:val="clear" w:color="auto" w:fill="auto"/>
          <w:lang w:val="en-US" w:eastAsia="zh-CN"/>
        </w:rPr>
        <w:t>5</w:t>
      </w:r>
      <w:r>
        <w:rPr>
          <w:rFonts w:hint="eastAsia" w:ascii="仿宋_GB2312" w:hAnsi="仿宋_GB2312" w:eastAsia="仿宋_GB2312" w:cs="仿宋_GB2312"/>
          <w:color w:val="000000"/>
          <w:sz w:val="32"/>
          <w:szCs w:val="32"/>
          <w:highlight w:val="none"/>
          <w:shd w:val="clear" w:color="auto" w:fill="auto"/>
          <w:lang w:eastAsia="zh-CN"/>
        </w:rPr>
        <w:t>）</w:t>
      </w:r>
      <w:r>
        <w:rPr>
          <w:rFonts w:hint="eastAsia" w:ascii="仿宋_GB2312" w:hAnsi="仿宋_GB2312" w:eastAsia="仿宋_GB2312" w:cs="仿宋_GB2312"/>
          <w:color w:val="000000"/>
          <w:sz w:val="32"/>
          <w:szCs w:val="32"/>
          <w:highlight w:val="none"/>
          <w:shd w:val="clear" w:color="auto" w:fill="auto"/>
        </w:rPr>
        <w:t>被接管</w:t>
      </w:r>
      <w:r>
        <w:rPr>
          <w:rFonts w:hint="eastAsia" w:ascii="仿宋_GB2312" w:hAnsi="仿宋_GB2312" w:eastAsia="仿宋_GB2312" w:cs="仿宋_GB2312"/>
          <w:color w:val="000000"/>
          <w:sz w:val="32"/>
          <w:szCs w:val="32"/>
          <w:highlight w:val="none"/>
          <w:shd w:val="clear" w:color="auto" w:fill="auto"/>
          <w:lang w:eastAsia="zh-CN"/>
        </w:rPr>
        <w:t>；（</w:t>
      </w:r>
      <w:r>
        <w:rPr>
          <w:rFonts w:hint="eastAsia" w:ascii="仿宋_GB2312" w:hAnsi="仿宋_GB2312" w:eastAsia="仿宋_GB2312" w:cs="仿宋_GB2312"/>
          <w:color w:val="000000"/>
          <w:sz w:val="32"/>
          <w:szCs w:val="32"/>
          <w:highlight w:val="none"/>
          <w:shd w:val="clear" w:color="auto" w:fill="auto"/>
          <w:lang w:val="en-US" w:eastAsia="zh-CN"/>
        </w:rPr>
        <w:t>6</w:t>
      </w:r>
      <w:r>
        <w:rPr>
          <w:rFonts w:hint="eastAsia" w:ascii="仿宋_GB2312" w:hAnsi="仿宋_GB2312" w:eastAsia="仿宋_GB2312" w:cs="仿宋_GB2312"/>
          <w:color w:val="000000"/>
          <w:sz w:val="32"/>
          <w:szCs w:val="32"/>
          <w:highlight w:val="none"/>
          <w:shd w:val="clear" w:color="auto" w:fill="auto"/>
          <w:lang w:eastAsia="zh-CN"/>
        </w:rPr>
        <w:t>）</w:t>
      </w:r>
      <w:r>
        <w:rPr>
          <w:rFonts w:hint="eastAsia" w:ascii="仿宋_GB2312" w:hAnsi="仿宋_GB2312" w:eastAsia="仿宋_GB2312" w:cs="仿宋_GB2312"/>
          <w:color w:val="000000"/>
          <w:sz w:val="32"/>
          <w:szCs w:val="32"/>
          <w:highlight w:val="none"/>
          <w:shd w:val="clear" w:color="auto" w:fill="auto"/>
        </w:rPr>
        <w:t>解散</w:t>
      </w:r>
      <w:r>
        <w:rPr>
          <w:rFonts w:hint="eastAsia" w:ascii="仿宋_GB2312" w:hAnsi="仿宋_GB2312" w:eastAsia="仿宋_GB2312" w:cs="仿宋_GB2312"/>
          <w:color w:val="000000"/>
          <w:sz w:val="32"/>
          <w:szCs w:val="32"/>
          <w:highlight w:val="none"/>
          <w:shd w:val="clear" w:color="auto" w:fill="auto"/>
          <w:lang w:eastAsia="zh-CN"/>
        </w:rPr>
        <w:t>；（</w:t>
      </w:r>
      <w:r>
        <w:rPr>
          <w:rFonts w:hint="eastAsia" w:ascii="仿宋_GB2312" w:hAnsi="仿宋_GB2312" w:eastAsia="仿宋_GB2312" w:cs="仿宋_GB2312"/>
          <w:color w:val="000000"/>
          <w:sz w:val="32"/>
          <w:szCs w:val="32"/>
          <w:highlight w:val="none"/>
          <w:shd w:val="clear" w:color="auto" w:fill="auto"/>
          <w:lang w:val="en-US" w:eastAsia="zh-CN"/>
        </w:rPr>
        <w:t>7</w:t>
      </w:r>
      <w:r>
        <w:rPr>
          <w:rFonts w:hint="eastAsia" w:ascii="仿宋_GB2312" w:hAnsi="仿宋_GB2312" w:eastAsia="仿宋_GB2312" w:cs="仿宋_GB2312"/>
          <w:color w:val="000000"/>
          <w:sz w:val="32"/>
          <w:szCs w:val="32"/>
          <w:highlight w:val="none"/>
          <w:shd w:val="clear" w:color="auto" w:fill="auto"/>
          <w:lang w:eastAsia="zh-CN"/>
        </w:rPr>
        <w:t>）</w:t>
      </w:r>
      <w:r>
        <w:rPr>
          <w:rFonts w:hint="eastAsia" w:ascii="仿宋_GB2312" w:hAnsi="仿宋_GB2312" w:eastAsia="仿宋_GB2312" w:cs="仿宋_GB2312"/>
          <w:color w:val="000000"/>
          <w:sz w:val="32"/>
          <w:szCs w:val="32"/>
          <w:highlight w:val="none"/>
          <w:shd w:val="clear" w:color="auto" w:fill="auto"/>
        </w:rPr>
        <w:t>或</w:t>
      </w:r>
      <w:r>
        <w:rPr>
          <w:rFonts w:hint="eastAsia" w:ascii="仿宋_GB2312" w:hAnsi="仿宋_GB2312" w:eastAsia="仿宋_GB2312" w:cs="仿宋_GB2312"/>
          <w:color w:val="000000"/>
          <w:sz w:val="32"/>
          <w:szCs w:val="32"/>
          <w:highlight w:val="none"/>
          <w:shd w:val="clear" w:color="auto" w:fill="auto"/>
          <w:lang w:val="en-US" w:eastAsia="zh-CN"/>
        </w:rPr>
        <w:t>与前述情形</w:t>
      </w:r>
      <w:r>
        <w:rPr>
          <w:rFonts w:hint="eastAsia" w:ascii="仿宋_GB2312" w:hAnsi="仿宋_GB2312" w:eastAsia="仿宋_GB2312" w:cs="仿宋_GB2312"/>
          <w:color w:val="000000"/>
          <w:sz w:val="32"/>
          <w:szCs w:val="32"/>
          <w:highlight w:val="none"/>
          <w:shd w:val="clear" w:color="auto" w:fill="auto"/>
        </w:rPr>
        <w:t>相似之情况，以致乙方不再适合执行本合同。</w:t>
      </w:r>
    </w:p>
    <w:p w14:paraId="76FA6BD4">
      <w:pPr>
        <w:keepNext w:val="0"/>
        <w:keepLines w:val="0"/>
        <w:pageBreakBefore w:val="0"/>
        <w:widowControl w:val="0"/>
        <w:kinsoku/>
        <w:wordWrap/>
        <w:overflowPunct/>
        <w:topLinePunct w:val="0"/>
        <w:autoSpaceDE/>
        <w:autoSpaceDN/>
        <w:bidi w:val="0"/>
        <w:adjustRightInd/>
        <w:snapToGrid/>
        <w:spacing w:line="560" w:lineRule="exact"/>
        <w:ind w:left="17" w:firstLine="640" w:firstLineChars="200"/>
        <w:textAlignment w:val="auto"/>
        <w:rPr>
          <w:rFonts w:hint="eastAsia" w:ascii="仿宋_GB2312" w:hAnsi="仿宋_GB2312" w:eastAsia="仿宋_GB2312" w:cs="仿宋_GB2312"/>
          <w:color w:val="000000"/>
          <w:sz w:val="32"/>
          <w:szCs w:val="32"/>
          <w:highlight w:val="none"/>
          <w:shd w:val="clear" w:color="auto" w:fill="auto"/>
        </w:rPr>
      </w:pPr>
      <w:r>
        <w:rPr>
          <w:rFonts w:hint="eastAsia" w:ascii="仿宋_GB2312" w:hAnsi="仿宋_GB2312" w:eastAsia="仿宋_GB2312" w:cs="仿宋_GB2312"/>
          <w:color w:val="000000"/>
          <w:sz w:val="32"/>
          <w:szCs w:val="32"/>
          <w:highlight w:val="none"/>
          <w:shd w:val="clear" w:color="auto" w:fill="auto"/>
          <w:lang w:val="en-US" w:eastAsia="zh-CN"/>
        </w:rPr>
        <w:t>6.8</w:t>
      </w:r>
      <w:r>
        <w:rPr>
          <w:rFonts w:hint="eastAsia" w:ascii="仿宋_GB2312" w:hAnsi="仿宋_GB2312" w:eastAsia="仿宋_GB2312" w:cs="仿宋_GB2312"/>
          <w:color w:val="000000"/>
          <w:sz w:val="32"/>
          <w:szCs w:val="32"/>
          <w:highlight w:val="none"/>
          <w:shd w:val="clear" w:color="auto" w:fill="auto"/>
        </w:rPr>
        <w:t>乙方未履行合同中的相关条款，甲方有权根据合同的约定，视具体情况，扣除当月维护保养费用的3%。</w:t>
      </w:r>
    </w:p>
    <w:p w14:paraId="61C15811">
      <w:pPr>
        <w:spacing w:after="0" w:line="240" w:lineRule="auto"/>
        <w:jc w:val="both"/>
        <w:rPr>
          <w:rFonts w:hint="eastAsia" w:ascii="仿宋_GB2312" w:hAnsi="仿宋_GB2312" w:eastAsia="仿宋_GB2312" w:cs="仿宋_GB2312"/>
          <w:color w:val="000000"/>
          <w:sz w:val="32"/>
          <w:szCs w:val="32"/>
          <w:highlight w:val="none"/>
          <w:shd w:val="clear" w:color="auto" w:fill="auto"/>
        </w:rPr>
      </w:pPr>
      <w:r>
        <w:rPr>
          <w:rFonts w:hint="eastAsia" w:ascii="仿宋_GB2312" w:hAnsi="仿宋_GB2312" w:eastAsia="仿宋_GB2312" w:cs="仿宋_GB2312"/>
          <w:color w:val="000000"/>
          <w:sz w:val="32"/>
          <w:szCs w:val="32"/>
          <w:highlight w:val="none"/>
          <w:shd w:val="clear" w:color="auto" w:fill="auto"/>
          <w:lang w:val="en-US" w:eastAsia="zh-CN"/>
        </w:rPr>
        <w:t>6.9</w:t>
      </w:r>
      <w:r>
        <w:rPr>
          <w:rFonts w:hint="eastAsia" w:ascii="仿宋_GB2312" w:hAnsi="仿宋_GB2312" w:eastAsia="仿宋_GB2312" w:cs="仿宋_GB2312"/>
          <w:color w:val="000000"/>
          <w:sz w:val="32"/>
          <w:szCs w:val="32"/>
          <w:highlight w:val="none"/>
          <w:shd w:val="clear" w:color="auto" w:fill="auto"/>
        </w:rPr>
        <w:t>任何一方违反意识形态合规条款相关约定，即构成违约，违约方应承担全部法律责任及经济赔偿。若守约方因此先行承担了赔偿责任，守约方有权向违约方全额追偿，并有权要求违约方承担追偿过程中产生的所有费用（包括但不限于诉讼费、律师费、差旅费、舆情处置费等）。</w:t>
      </w:r>
    </w:p>
    <w:p w14:paraId="61547105">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sz w:val="32"/>
          <w:szCs w:val="32"/>
          <w:highlight w:val="none"/>
        </w:rPr>
      </w:pPr>
      <w:r>
        <w:rPr>
          <w:rFonts w:hint="eastAsia" w:ascii="仿宋_GB2312" w:hAnsi="仿宋_GB2312" w:eastAsia="仿宋_GB2312" w:cs="仿宋_GB2312"/>
          <w:b/>
          <w:sz w:val="32"/>
          <w:szCs w:val="32"/>
          <w:highlight w:val="none"/>
          <w:lang w:val="en-US" w:eastAsia="zh-CN"/>
        </w:rPr>
        <w:t>七</w:t>
      </w:r>
      <w:r>
        <w:rPr>
          <w:rFonts w:hint="eastAsia" w:ascii="仿宋_GB2312" w:hAnsi="仿宋_GB2312" w:eastAsia="仿宋_GB2312" w:cs="仿宋_GB2312"/>
          <w:b/>
          <w:sz w:val="32"/>
          <w:szCs w:val="32"/>
          <w:highlight w:val="none"/>
        </w:rPr>
        <w:t>、争议解决</w:t>
      </w:r>
    </w:p>
    <w:p w14:paraId="043511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本合同在履行过程中如发生争议，应由</w:t>
      </w:r>
      <w:r>
        <w:rPr>
          <w:rFonts w:hint="eastAsia" w:ascii="仿宋_GB2312" w:hAnsi="仿宋_GB2312" w:eastAsia="仿宋_GB2312" w:cs="仿宋_GB2312"/>
          <w:color w:val="000000"/>
          <w:sz w:val="32"/>
          <w:szCs w:val="32"/>
          <w:highlight w:val="none"/>
        </w:rPr>
        <w:t>双方本着互谅互让的精神协商解决</w:t>
      </w:r>
      <w:r>
        <w:rPr>
          <w:rFonts w:hint="eastAsia" w:ascii="仿宋_GB2312" w:hAnsi="仿宋_GB2312" w:eastAsia="仿宋_GB2312" w:cs="仿宋_GB2312"/>
          <w:sz w:val="32"/>
          <w:szCs w:val="32"/>
          <w:highlight w:val="none"/>
        </w:rPr>
        <w:t>，协商不成时，本合同双方同意向甲方所在地人民法院提起诉讼。</w:t>
      </w:r>
    </w:p>
    <w:p w14:paraId="663216B5">
      <w:pPr>
        <w:keepNext w:val="0"/>
        <w:keepLines w:val="0"/>
        <w:pageBreakBefore w:val="0"/>
        <w:widowControl w:val="0"/>
        <w:suppressLineNumbers w:val="0"/>
        <w:shd w:val="clear" w:color="auto" w:fill="auto"/>
        <w:kinsoku/>
        <w:wordWrap/>
        <w:overflowPunct/>
        <w:topLinePunct w:val="0"/>
        <w:autoSpaceDE/>
        <w:autoSpaceDN/>
        <w:bidi w:val="0"/>
        <w:adjustRightInd/>
        <w:snapToGrid/>
        <w:spacing w:before="100" w:beforeAutospacing="0" w:after="100" w:afterAutospacing="0" w:line="560" w:lineRule="exact"/>
        <w:ind w:left="-4" w:right="0" w:firstLine="643" w:firstLineChars="200"/>
        <w:jc w:val="left"/>
        <w:textAlignment w:val="auto"/>
        <w:rPr>
          <w:rFonts w:hint="eastAsia" w:ascii="仿宋_GB2312" w:hAnsi="仿宋_GB2312" w:eastAsia="仿宋_GB2312" w:cs="仿宋_GB2312"/>
          <w:b/>
          <w:i w:val="0"/>
          <w:iCs w:val="0"/>
          <w:caps w:val="0"/>
          <w:color w:val="000000"/>
          <w:spacing w:val="0"/>
          <w:sz w:val="32"/>
          <w:szCs w:val="32"/>
          <w:highlight w:val="none"/>
          <w:lang w:bidi="ar"/>
        </w:rPr>
      </w:pPr>
      <w:r>
        <w:rPr>
          <w:rFonts w:hint="eastAsia" w:ascii="仿宋_GB2312" w:hAnsi="仿宋_GB2312" w:eastAsia="仿宋_GB2312" w:cs="仿宋_GB2312"/>
          <w:b/>
          <w:bCs w:val="0"/>
          <w:i w:val="0"/>
          <w:iCs w:val="0"/>
          <w:caps w:val="0"/>
          <w:color w:val="000000"/>
          <w:spacing w:val="0"/>
          <w:kern w:val="2"/>
          <w:sz w:val="32"/>
          <w:szCs w:val="32"/>
          <w:highlight w:val="none"/>
          <w:shd w:val="clear" w:color="auto" w:fill="auto"/>
          <w:lang w:val="en-US" w:eastAsia="zh-CN" w:bidi="ar"/>
        </w:rPr>
        <w:t>八、送达条款</w:t>
      </w:r>
    </w:p>
    <w:p w14:paraId="2F219C49">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left"/>
        <w:textAlignment w:val="auto"/>
        <w:rPr>
          <w:rFonts w:hint="eastAsia" w:ascii="仿宋_GB2312" w:hAnsi="仿宋_GB2312" w:eastAsia="仿宋_GB2312" w:cs="仿宋_GB2312"/>
          <w:i w:val="0"/>
          <w:iCs w:val="0"/>
          <w:caps w:val="0"/>
          <w:color w:val="000000"/>
          <w:spacing w:val="0"/>
          <w:kern w:val="2"/>
          <w:sz w:val="32"/>
          <w:szCs w:val="32"/>
          <w:highlight w:val="none"/>
          <w:shd w:val="clear" w:color="auto" w:fill="auto"/>
          <w:lang w:val="en-US" w:eastAsia="zh-CN" w:bidi="ar"/>
        </w:rPr>
      </w:pPr>
      <w:r>
        <w:rPr>
          <w:rFonts w:hint="eastAsia" w:ascii="仿宋_GB2312" w:hAnsi="仿宋_GB2312" w:eastAsia="仿宋_GB2312" w:cs="仿宋_GB2312"/>
          <w:i w:val="0"/>
          <w:iCs w:val="0"/>
          <w:caps w:val="0"/>
          <w:color w:val="000000"/>
          <w:spacing w:val="0"/>
          <w:kern w:val="2"/>
          <w:sz w:val="32"/>
          <w:szCs w:val="32"/>
          <w:highlight w:val="none"/>
          <w:u w:val="none"/>
          <w:shd w:val="clear" w:color="auto" w:fill="auto"/>
          <w:lang w:val="en-US" w:eastAsia="zh-CN" w:bidi="ar"/>
        </w:rPr>
        <w:t>任何一方向对方发出的通知、信件等，应当发送至本合同约定的联系地址、电话、邮箱等。任何一方的联系地址、电话、邮箱等发生变更，须在变更后10个工作日内向另一方发出书面通知，否则视为原信息仍为有效，消息视为有效送达。</w:t>
      </w:r>
    </w:p>
    <w:p w14:paraId="27BD0BDC">
      <w:pPr>
        <w:keepNext w:val="0"/>
        <w:keepLines w:val="0"/>
        <w:pageBreakBefore w:val="0"/>
        <w:widowControl w:val="0"/>
        <w:kinsoku/>
        <w:wordWrap/>
        <w:overflowPunct/>
        <w:topLinePunct w:val="0"/>
        <w:autoSpaceDE/>
        <w:autoSpaceDN/>
        <w:bidi w:val="0"/>
        <w:adjustRightInd/>
        <w:snapToGrid/>
        <w:spacing w:line="560" w:lineRule="exact"/>
        <w:ind w:left="-4" w:firstLine="643" w:firstLineChars="200"/>
        <w:jc w:val="left"/>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lang w:val="en-US" w:eastAsia="zh-CN"/>
        </w:rPr>
        <w:t>九</w:t>
      </w:r>
      <w:r>
        <w:rPr>
          <w:rFonts w:hint="eastAsia" w:ascii="仿宋_GB2312" w:hAnsi="仿宋_GB2312" w:eastAsia="仿宋_GB2312" w:cs="仿宋_GB2312"/>
          <w:b/>
          <w:sz w:val="32"/>
          <w:szCs w:val="32"/>
          <w:highlight w:val="none"/>
        </w:rPr>
        <w:t>、</w:t>
      </w:r>
      <w:r>
        <w:rPr>
          <w:rFonts w:hint="eastAsia" w:ascii="仿宋_GB2312" w:hAnsi="仿宋_GB2312" w:eastAsia="仿宋_GB2312" w:cs="仿宋_GB2312"/>
          <w:b/>
          <w:sz w:val="32"/>
          <w:szCs w:val="32"/>
          <w:highlight w:val="none"/>
          <w:lang w:eastAsia="zh-CN"/>
        </w:rPr>
        <w:t>其他</w:t>
      </w:r>
    </w:p>
    <w:p w14:paraId="74FD7813">
      <w:pPr>
        <w:keepNext w:val="0"/>
        <w:keepLines w:val="0"/>
        <w:pageBreakBefore w:val="0"/>
        <w:widowControl w:val="0"/>
        <w:kinsoku/>
        <w:wordWrap/>
        <w:overflowPunct/>
        <w:topLinePunct w:val="0"/>
        <w:autoSpaceDE/>
        <w:autoSpaceDN/>
        <w:bidi w:val="0"/>
        <w:adjustRightInd/>
        <w:snapToGrid/>
        <w:spacing w:line="560" w:lineRule="exact"/>
        <w:ind w:left="-4" w:firstLine="640" w:firstLineChars="200"/>
        <w:jc w:val="left"/>
        <w:textAlignment w:val="auto"/>
        <w:rPr>
          <w:rFonts w:hint="eastAsia" w:ascii="仿宋_GB2312" w:hAnsi="仿宋_GB2312" w:eastAsia="仿宋_GB2312" w:cs="仿宋_GB2312"/>
          <w:color w:val="000000"/>
          <w:sz w:val="32"/>
          <w:szCs w:val="32"/>
          <w:highlight w:val="none"/>
          <w:shd w:val="clear" w:color="auto" w:fill="auto"/>
          <w:lang w:val="en-US" w:eastAsia="zh-CN" w:bidi="ar"/>
        </w:rPr>
      </w:pPr>
      <w:r>
        <w:rPr>
          <w:rFonts w:hint="eastAsia" w:ascii="仿宋_GB2312" w:hAnsi="仿宋_GB2312" w:eastAsia="仿宋_GB2312" w:cs="仿宋_GB2312"/>
          <w:color w:val="000000"/>
          <w:sz w:val="32"/>
          <w:szCs w:val="32"/>
          <w:highlight w:val="none"/>
          <w:lang w:val="en-US" w:eastAsia="zh-CN"/>
        </w:rPr>
        <w:t>9.1</w:t>
      </w:r>
      <w:r>
        <w:rPr>
          <w:rFonts w:hint="eastAsia" w:ascii="仿宋_GB2312" w:hAnsi="仿宋_GB2312" w:eastAsia="仿宋_GB2312" w:cs="仿宋_GB2312"/>
          <w:i w:val="0"/>
          <w:iCs w:val="0"/>
          <w:caps w:val="0"/>
          <w:color w:val="000000"/>
          <w:spacing w:val="0"/>
          <w:sz w:val="32"/>
          <w:szCs w:val="32"/>
          <w:highlight w:val="none"/>
          <w:shd w:val="clear" w:color="auto" w:fill="auto"/>
          <w:lang w:bidi="ar"/>
        </w:rPr>
        <w:t>合同期限届满后，不影响合同中意识形态管控条款、廉洁条款的效力。</w:t>
      </w:r>
    </w:p>
    <w:p w14:paraId="3A60C453">
      <w:pPr>
        <w:keepNext w:val="0"/>
        <w:keepLines w:val="0"/>
        <w:pageBreakBefore w:val="0"/>
        <w:widowControl w:val="0"/>
        <w:kinsoku/>
        <w:wordWrap/>
        <w:overflowPunct/>
        <w:topLinePunct w:val="0"/>
        <w:autoSpaceDE/>
        <w:autoSpaceDN/>
        <w:bidi w:val="0"/>
        <w:adjustRightInd/>
        <w:snapToGrid/>
        <w:spacing w:line="560" w:lineRule="exact"/>
        <w:ind w:left="-4"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9.2</w:t>
      </w:r>
      <w:r>
        <w:rPr>
          <w:rFonts w:hint="eastAsia" w:ascii="仿宋_GB2312" w:hAnsi="仿宋_GB2312" w:eastAsia="仿宋_GB2312" w:cs="仿宋_GB2312"/>
          <w:color w:val="000000"/>
          <w:sz w:val="32"/>
          <w:szCs w:val="32"/>
          <w:highlight w:val="none"/>
        </w:rPr>
        <w:t>本合同附件及传真件</w:t>
      </w:r>
      <w:r>
        <w:rPr>
          <w:rFonts w:hint="eastAsia" w:ascii="仿宋_GB2312" w:hAnsi="仿宋_GB2312" w:eastAsia="仿宋_GB2312" w:cs="仿宋_GB2312"/>
          <w:color w:val="000000"/>
          <w:sz w:val="32"/>
          <w:szCs w:val="32"/>
          <w:highlight w:val="none"/>
          <w:lang w:eastAsia="zh-CN"/>
        </w:rPr>
        <w:t>具有</w:t>
      </w:r>
      <w:r>
        <w:rPr>
          <w:rFonts w:hint="eastAsia" w:ascii="仿宋_GB2312" w:hAnsi="仿宋_GB2312" w:eastAsia="仿宋_GB2312" w:cs="仿宋_GB2312"/>
          <w:color w:val="000000"/>
          <w:sz w:val="32"/>
          <w:szCs w:val="32"/>
          <w:highlight w:val="none"/>
        </w:rPr>
        <w:t>同等法律效力，本合同一式</w:t>
      </w:r>
      <w:r>
        <w:rPr>
          <w:rFonts w:hint="eastAsia" w:ascii="仿宋_GB2312" w:hAnsi="仿宋_GB2312" w:eastAsia="仿宋_GB2312" w:cs="仿宋_GB2312"/>
          <w:color w:val="000000"/>
          <w:sz w:val="32"/>
          <w:szCs w:val="32"/>
          <w:highlight w:val="none"/>
          <w:u w:val="single"/>
        </w:rPr>
        <w:t xml:space="preserve"> 肆 </w:t>
      </w:r>
      <w:r>
        <w:rPr>
          <w:rFonts w:hint="eastAsia" w:ascii="仿宋_GB2312" w:hAnsi="仿宋_GB2312" w:eastAsia="仿宋_GB2312" w:cs="仿宋_GB2312"/>
          <w:color w:val="000000"/>
          <w:sz w:val="32"/>
          <w:szCs w:val="32"/>
          <w:highlight w:val="none"/>
        </w:rPr>
        <w:t>份，双方各持</w:t>
      </w:r>
      <w:r>
        <w:rPr>
          <w:rFonts w:hint="eastAsia" w:ascii="仿宋_GB2312" w:hAnsi="仿宋_GB2312" w:eastAsia="仿宋_GB2312" w:cs="仿宋_GB2312"/>
          <w:color w:val="000000"/>
          <w:sz w:val="32"/>
          <w:szCs w:val="32"/>
          <w:highlight w:val="none"/>
          <w:u w:val="single"/>
        </w:rPr>
        <w:t xml:space="preserve"> 贰 </w:t>
      </w:r>
      <w:r>
        <w:rPr>
          <w:rFonts w:hint="eastAsia" w:ascii="仿宋_GB2312" w:hAnsi="仿宋_GB2312" w:eastAsia="仿宋_GB2312" w:cs="仿宋_GB2312"/>
          <w:color w:val="000000"/>
          <w:sz w:val="32"/>
          <w:szCs w:val="32"/>
          <w:highlight w:val="none"/>
        </w:rPr>
        <w:t>份，自双方盖章之日起生效。</w:t>
      </w:r>
    </w:p>
    <w:p w14:paraId="6A45E385">
      <w:pPr>
        <w:pageBreakBefore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highlight w:val="none"/>
        </w:rPr>
      </w:pPr>
    </w:p>
    <w:p w14:paraId="5A322B26">
      <w:pPr>
        <w:pageBreakBefore w:val="0"/>
        <w:kinsoku/>
        <w:wordWrap/>
        <w:overflowPunct/>
        <w:topLinePunct w:val="0"/>
        <w:autoSpaceDE/>
        <w:autoSpaceDN/>
        <w:bidi w:val="0"/>
        <w:adjustRightInd/>
        <w:snapToGrid/>
        <w:spacing w:line="560" w:lineRule="exact"/>
        <w:ind w:left="1695" w:leftChars="303" w:hanging="1059" w:hangingChars="331"/>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附件：深圳书城龙岗城实业有限公司LED显示屏年度维保服务项目清单</w:t>
      </w:r>
    </w:p>
    <w:p w14:paraId="7F7DAAD6">
      <w:pPr>
        <w:spacing w:line="500" w:lineRule="exact"/>
        <w:ind w:firstLine="640" w:firstLineChars="20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（本页以下无正文）</w:t>
      </w:r>
    </w:p>
    <w:p w14:paraId="4CA30465">
      <w:pPr>
        <w:spacing w:line="500" w:lineRule="exact"/>
        <w:ind w:firstLine="640" w:firstLineChars="200"/>
        <w:rPr>
          <w:rFonts w:ascii="仿宋_GB2312" w:hAnsi="仿宋_GB2312" w:eastAsia="仿宋_GB2312" w:cs="仿宋_GB2312"/>
          <w:sz w:val="32"/>
          <w:szCs w:val="32"/>
          <w:highlight w:val="none"/>
        </w:rPr>
      </w:pPr>
    </w:p>
    <w:p w14:paraId="66E1DC25">
      <w:pPr>
        <w:spacing w:line="500" w:lineRule="exact"/>
        <w:ind w:firstLine="640" w:firstLineChars="200"/>
        <w:rPr>
          <w:rFonts w:ascii="仿宋_GB2312" w:hAnsi="仿宋_GB2312" w:eastAsia="仿宋_GB2312" w:cs="仿宋_GB2312"/>
          <w:sz w:val="32"/>
          <w:szCs w:val="32"/>
          <w:highlight w:val="none"/>
        </w:rPr>
      </w:pPr>
    </w:p>
    <w:p w14:paraId="657C2349">
      <w:pPr>
        <w:spacing w:line="500" w:lineRule="exact"/>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（本页为签署页，无正文）</w:t>
      </w:r>
    </w:p>
    <w:p w14:paraId="3CF382D2">
      <w:pPr>
        <w:keepNext w:val="0"/>
        <w:keepLines w:val="0"/>
        <w:pageBreakBefore w:val="0"/>
        <w:widowControl w:val="0"/>
        <w:kinsoku/>
        <w:wordWrap/>
        <w:overflowPunct/>
        <w:topLinePunct w:val="0"/>
        <w:autoSpaceDE/>
        <w:autoSpaceDN/>
        <w:bidi w:val="0"/>
        <w:adjustRightInd/>
        <w:snapToGrid/>
        <w:spacing w:line="560" w:lineRule="exact"/>
        <w:ind w:left="-4" w:firstLine="640" w:firstLineChars="200"/>
        <w:jc w:val="left"/>
        <w:textAlignment w:val="auto"/>
        <w:rPr>
          <w:rFonts w:hint="eastAsia" w:ascii="仿宋_GB2312" w:hAnsi="仿宋_GB2312" w:eastAsia="仿宋_GB2312" w:cs="仿宋_GB2312"/>
          <w:color w:val="000000"/>
          <w:sz w:val="32"/>
          <w:szCs w:val="32"/>
          <w:highlight w:val="none"/>
        </w:rPr>
      </w:pPr>
    </w:p>
    <w:p w14:paraId="283C8CCD">
      <w:pPr>
        <w:keepNext w:val="0"/>
        <w:keepLines w:val="0"/>
        <w:pageBreakBefore w:val="0"/>
        <w:widowControl w:val="0"/>
        <w:kinsoku/>
        <w:wordWrap/>
        <w:overflowPunct/>
        <w:topLinePunct w:val="0"/>
        <w:autoSpaceDE/>
        <w:autoSpaceDN/>
        <w:bidi w:val="0"/>
        <w:adjustRightInd/>
        <w:snapToGrid/>
        <w:spacing w:line="560" w:lineRule="exact"/>
        <w:ind w:left="-4"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甲方：</w:t>
      </w:r>
      <w:r>
        <w:rPr>
          <w:rFonts w:hint="eastAsia" w:ascii="仿宋_GB2312" w:hAnsi="仿宋_GB2312" w:eastAsia="仿宋_GB2312" w:cs="仿宋_GB2312"/>
          <w:color w:val="000000"/>
          <w:sz w:val="32"/>
          <w:szCs w:val="32"/>
          <w:highlight w:val="none"/>
          <w:u w:val="none"/>
          <w:lang w:val="en-US" w:eastAsia="zh-CN"/>
        </w:rPr>
        <w:t xml:space="preserve">深圳书城龙岗城实业有限公司    </w:t>
      </w:r>
    </w:p>
    <w:p w14:paraId="7393D62C">
      <w:pPr>
        <w:keepNext w:val="0"/>
        <w:keepLines w:val="0"/>
        <w:pageBreakBefore w:val="0"/>
        <w:widowControl w:val="0"/>
        <w:kinsoku/>
        <w:wordWrap/>
        <w:overflowPunct/>
        <w:topLinePunct w:val="0"/>
        <w:autoSpaceDE/>
        <w:autoSpaceDN/>
        <w:bidi w:val="0"/>
        <w:adjustRightInd/>
        <w:snapToGrid/>
        <w:spacing w:line="560" w:lineRule="exact"/>
        <w:ind w:left="-4"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法定</w:t>
      </w:r>
      <w:r>
        <w:rPr>
          <w:rFonts w:hint="eastAsia" w:ascii="仿宋_GB2312" w:hAnsi="仿宋_GB2312" w:eastAsia="仿宋_GB2312" w:cs="仿宋_GB2312"/>
          <w:color w:val="000000"/>
          <w:sz w:val="32"/>
          <w:szCs w:val="32"/>
          <w:highlight w:val="none"/>
        </w:rPr>
        <w:t>代表人（签字）：</w:t>
      </w:r>
      <w:r>
        <w:rPr>
          <w:rFonts w:hint="eastAsia" w:ascii="仿宋_GB2312" w:hAnsi="仿宋_GB2312" w:eastAsia="仿宋_GB2312" w:cs="仿宋_GB2312"/>
          <w:color w:val="000000"/>
          <w:sz w:val="32"/>
          <w:szCs w:val="32"/>
          <w:highlight w:val="none"/>
          <w:lang w:val="en-US" w:eastAsia="zh-CN"/>
        </w:rPr>
        <w:tab/>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lang w:val="en-US" w:eastAsia="zh-CN"/>
        </w:rPr>
        <w:tab/>
      </w:r>
      <w:r>
        <w:rPr>
          <w:rFonts w:hint="eastAsia" w:ascii="仿宋_GB2312" w:hAnsi="仿宋_GB2312" w:eastAsia="仿宋_GB2312" w:cs="仿宋_GB2312"/>
          <w:color w:val="000000"/>
          <w:sz w:val="32"/>
          <w:szCs w:val="32"/>
          <w:highlight w:val="none"/>
          <w:lang w:val="en-US" w:eastAsia="zh-CN"/>
        </w:rPr>
        <w:tab/>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lang w:val="en-US" w:eastAsia="zh-CN"/>
        </w:rPr>
        <w:tab/>
      </w:r>
    </w:p>
    <w:p w14:paraId="350A0115">
      <w:pPr>
        <w:keepNext w:val="0"/>
        <w:keepLines w:val="0"/>
        <w:pageBreakBefore w:val="0"/>
        <w:widowControl w:val="0"/>
        <w:kinsoku/>
        <w:wordWrap/>
        <w:overflowPunct/>
        <w:topLinePunct w:val="0"/>
        <w:autoSpaceDE/>
        <w:autoSpaceDN/>
        <w:bidi w:val="0"/>
        <w:adjustRightInd/>
        <w:snapToGrid/>
        <w:spacing w:line="560" w:lineRule="exact"/>
        <w:ind w:left="-4"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 xml:space="preserve">日期：    年   月   日 </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lang w:val="en-US" w:eastAsia="zh-CN"/>
        </w:rPr>
        <w:tab/>
      </w:r>
      <w:r>
        <w:rPr>
          <w:rFonts w:hint="eastAsia" w:ascii="仿宋_GB2312" w:hAnsi="仿宋_GB2312" w:eastAsia="仿宋_GB2312" w:cs="仿宋_GB2312"/>
          <w:color w:val="000000"/>
          <w:sz w:val="32"/>
          <w:szCs w:val="32"/>
          <w:highlight w:val="none"/>
          <w:lang w:val="en-US" w:eastAsia="zh-CN"/>
        </w:rPr>
        <w:tab/>
      </w:r>
      <w:r>
        <w:rPr>
          <w:rFonts w:hint="eastAsia" w:ascii="仿宋_GB2312" w:hAnsi="仿宋_GB2312" w:eastAsia="仿宋_GB2312" w:cs="仿宋_GB2312"/>
          <w:color w:val="000000"/>
          <w:sz w:val="32"/>
          <w:szCs w:val="32"/>
          <w:highlight w:val="none"/>
          <w:lang w:val="en-US" w:eastAsia="zh-CN"/>
        </w:rPr>
        <w:tab/>
      </w:r>
      <w:r>
        <w:rPr>
          <w:rFonts w:hint="eastAsia" w:ascii="仿宋_GB2312" w:hAnsi="仿宋_GB2312" w:eastAsia="仿宋_GB2312" w:cs="仿宋_GB2312"/>
          <w:color w:val="000000"/>
          <w:sz w:val="32"/>
          <w:szCs w:val="32"/>
          <w:highlight w:val="none"/>
          <w:lang w:val="en-US" w:eastAsia="zh-CN"/>
        </w:rPr>
        <w:t xml:space="preserve">  </w:t>
      </w:r>
    </w:p>
    <w:p w14:paraId="5A1196A8">
      <w:pPr>
        <w:pageBreakBefore w:val="0"/>
        <w:tabs>
          <w:tab w:val="left" w:pos="5880"/>
        </w:tabs>
        <w:kinsoku/>
        <w:wordWrap/>
        <w:overflowPunct/>
        <w:topLinePunct w:val="0"/>
        <w:autoSpaceDE/>
        <w:autoSpaceDN/>
        <w:bidi w:val="0"/>
        <w:adjustRightInd/>
        <w:snapToGrid/>
        <w:spacing w:line="560" w:lineRule="exact"/>
        <w:ind w:left="-141" w:leftChars="-67" w:right="-483" w:rightChars="-230"/>
        <w:jc w:val="both"/>
        <w:textAlignment w:val="auto"/>
        <w:rPr>
          <w:rFonts w:hint="eastAsia" w:ascii="仿宋_GB2312" w:hAnsi="仿宋_GB2312" w:eastAsia="仿宋_GB2312" w:cs="仿宋_GB2312"/>
          <w:sz w:val="28"/>
          <w:szCs w:val="28"/>
          <w:highlight w:val="none"/>
        </w:rPr>
      </w:pPr>
    </w:p>
    <w:p w14:paraId="7018BD71">
      <w:pPr>
        <w:keepNext w:val="0"/>
        <w:keepLines w:val="0"/>
        <w:pageBreakBefore w:val="0"/>
        <w:widowControl w:val="0"/>
        <w:kinsoku/>
        <w:wordWrap/>
        <w:overflowPunct/>
        <w:topLinePunct w:val="0"/>
        <w:autoSpaceDE/>
        <w:autoSpaceDN/>
        <w:bidi w:val="0"/>
        <w:adjustRightInd/>
        <w:snapToGrid/>
        <w:spacing w:line="560" w:lineRule="exact"/>
        <w:ind w:left="-4"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乙方：</w:t>
      </w:r>
    </w:p>
    <w:p w14:paraId="6E72FF39">
      <w:pPr>
        <w:keepNext w:val="0"/>
        <w:keepLines w:val="0"/>
        <w:pageBreakBefore w:val="0"/>
        <w:widowControl w:val="0"/>
        <w:kinsoku/>
        <w:wordWrap/>
        <w:overflowPunct/>
        <w:topLinePunct w:val="0"/>
        <w:autoSpaceDE/>
        <w:autoSpaceDN/>
        <w:bidi w:val="0"/>
        <w:adjustRightInd/>
        <w:snapToGrid/>
        <w:spacing w:line="560" w:lineRule="exact"/>
        <w:ind w:left="-4" w:firstLine="640" w:firstLineChars="200"/>
        <w:jc w:val="left"/>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法定</w:t>
      </w:r>
      <w:r>
        <w:rPr>
          <w:rFonts w:hint="eastAsia" w:ascii="仿宋_GB2312" w:hAnsi="仿宋_GB2312" w:eastAsia="仿宋_GB2312" w:cs="仿宋_GB2312"/>
          <w:color w:val="000000"/>
          <w:sz w:val="32"/>
          <w:szCs w:val="32"/>
          <w:highlight w:val="none"/>
        </w:rPr>
        <w:t>代表人（签字）：</w:t>
      </w:r>
    </w:p>
    <w:p w14:paraId="67E36341">
      <w:pPr>
        <w:keepNext w:val="0"/>
        <w:keepLines w:val="0"/>
        <w:pageBreakBefore w:val="0"/>
        <w:widowControl w:val="0"/>
        <w:kinsoku/>
        <w:wordWrap/>
        <w:overflowPunct/>
        <w:topLinePunct w:val="0"/>
        <w:autoSpaceDE/>
        <w:autoSpaceDN/>
        <w:bidi w:val="0"/>
        <w:adjustRightInd/>
        <w:snapToGrid/>
        <w:spacing w:line="560" w:lineRule="exact"/>
        <w:ind w:left="-4" w:firstLine="640" w:firstLineChars="200"/>
        <w:jc w:val="center"/>
        <w:textAlignment w:val="auto"/>
        <w:rPr>
          <w:rFonts w:hint="eastAsia" w:ascii="宋体" w:hAnsi="宋体" w:eastAsia="宋体" w:cs="Times New Roman"/>
          <w:b/>
          <w:bCs/>
          <w:kern w:val="2"/>
          <w:sz w:val="52"/>
          <w:szCs w:val="52"/>
          <w:highlight w:val="none"/>
          <w:lang w:val="en-US" w:eastAsia="zh-CN" w:bidi="ar-SA"/>
        </w:rPr>
      </w:pPr>
      <w:r>
        <w:rPr>
          <w:rFonts w:hint="eastAsia" w:ascii="仿宋_GB2312" w:hAnsi="仿宋_GB2312" w:eastAsia="仿宋_GB2312" w:cs="仿宋_GB2312"/>
          <w:color w:val="000000"/>
          <w:sz w:val="32"/>
          <w:szCs w:val="32"/>
          <w:highlight w:val="none"/>
        </w:rPr>
        <w:t xml:space="preserve">日期：    年   月   日 </w:t>
      </w:r>
      <w:r>
        <w:rPr>
          <w:rFonts w:hint="eastAsia" w:ascii="仿宋_GB2312" w:hAnsi="仿宋_GB2312" w:eastAsia="仿宋_GB2312" w:cs="仿宋_GB2312"/>
          <w:color w:val="000000"/>
          <w:sz w:val="32"/>
          <w:szCs w:val="32"/>
          <w:highlight w:val="none"/>
          <w:lang w:val="en-US" w:eastAsia="zh-CN"/>
        </w:rPr>
        <w:t xml:space="preserve"> </w:t>
      </w:r>
      <w:r>
        <w:rPr>
          <w:rFonts w:hint="eastAsia" w:ascii="仿宋_GB2312" w:hAnsi="仿宋_GB2312" w:eastAsia="仿宋_GB2312" w:cs="仿宋_GB2312"/>
          <w:color w:val="000000"/>
          <w:sz w:val="32"/>
          <w:szCs w:val="32"/>
          <w:highlight w:val="none"/>
        </w:rPr>
        <w:t xml:space="preserve">  </w:t>
      </w:r>
      <w:r>
        <w:rPr>
          <w:rFonts w:hint="eastAsia" w:ascii="仿宋_GB2312" w:hAnsi="仿宋_GB2312" w:eastAsia="仿宋_GB2312" w:cs="仿宋_GB2312"/>
          <w:sz w:val="28"/>
          <w:highlight w:val="none"/>
        </w:rPr>
        <w:br w:type="page"/>
      </w:r>
      <w:bookmarkEnd w:id="50"/>
      <w:bookmarkStart w:id="51" w:name="_Toc79177138"/>
      <w:bookmarkStart w:id="52" w:name="_Toc7914"/>
      <w:r>
        <w:rPr>
          <w:rFonts w:hint="eastAsia" w:ascii="宋体" w:hAnsi="宋体" w:eastAsia="宋体" w:cs="Times New Roman"/>
          <w:b/>
          <w:bCs/>
          <w:kern w:val="2"/>
          <w:sz w:val="44"/>
          <w:szCs w:val="44"/>
          <w:highlight w:val="none"/>
          <w:lang w:val="en-US" w:eastAsia="zh-CN" w:bidi="ar-SA"/>
        </w:rPr>
        <w:t>第五章  响应文件格式</w:t>
      </w:r>
      <w:bookmarkEnd w:id="51"/>
      <w:bookmarkEnd w:id="52"/>
    </w:p>
    <w:p w14:paraId="0A39B90D">
      <w:pPr>
        <w:widowControl w:val="0"/>
        <w:autoSpaceDE w:val="0"/>
        <w:autoSpaceDN w:val="0"/>
        <w:adjustRightInd w:val="0"/>
        <w:snapToGrid w:val="0"/>
        <w:ind w:firstLine="0" w:firstLineChars="0"/>
        <w:jc w:val="center"/>
        <w:rPr>
          <w:rFonts w:ascii="宋体" w:hAnsi="宋体"/>
          <w:sz w:val="84"/>
          <w:szCs w:val="84"/>
          <w:highlight w:val="none"/>
        </w:rPr>
      </w:pPr>
      <w:bookmarkStart w:id="53" w:name="_Toc277844084"/>
      <w:bookmarkStart w:id="54" w:name="_Toc277844085"/>
    </w:p>
    <w:p w14:paraId="09E01431">
      <w:pPr>
        <w:widowControl w:val="0"/>
        <w:autoSpaceDE w:val="0"/>
        <w:autoSpaceDN w:val="0"/>
        <w:adjustRightInd w:val="0"/>
        <w:snapToGrid w:val="0"/>
        <w:ind w:firstLine="0" w:firstLineChars="0"/>
        <w:jc w:val="center"/>
        <w:rPr>
          <w:rFonts w:ascii="宋体" w:hAnsi="宋体"/>
          <w:b/>
          <w:sz w:val="20"/>
          <w:szCs w:val="20"/>
          <w:highlight w:val="none"/>
        </w:rPr>
      </w:pPr>
      <w:r>
        <w:rPr>
          <w:rFonts w:hint="eastAsia" w:ascii="宋体" w:hAnsi="宋体" w:cs="Courier New"/>
          <w:b/>
          <w:bCs/>
          <w:sz w:val="84"/>
          <w:szCs w:val="84"/>
          <w:highlight w:val="none"/>
          <w:lang w:val="en-US" w:eastAsia="zh-CN"/>
        </w:rPr>
        <w:t>报价</w:t>
      </w:r>
      <w:r>
        <w:rPr>
          <w:rFonts w:hint="eastAsia" w:ascii="宋体" w:hAnsi="宋体" w:cs="Courier New"/>
          <w:b/>
          <w:bCs/>
          <w:sz w:val="84"/>
          <w:szCs w:val="84"/>
          <w:highlight w:val="none"/>
        </w:rPr>
        <w:t>文件</w:t>
      </w:r>
    </w:p>
    <w:p w14:paraId="59BB6D38">
      <w:pPr>
        <w:widowControl w:val="0"/>
        <w:autoSpaceDE w:val="0"/>
        <w:autoSpaceDN w:val="0"/>
        <w:adjustRightInd w:val="0"/>
        <w:snapToGrid w:val="0"/>
        <w:ind w:firstLine="0" w:firstLineChars="0"/>
        <w:jc w:val="center"/>
        <w:rPr>
          <w:rFonts w:ascii="宋体" w:hAnsi="宋体"/>
          <w:sz w:val="28"/>
          <w:szCs w:val="28"/>
          <w:highlight w:val="none"/>
        </w:rPr>
      </w:pPr>
    </w:p>
    <w:p w14:paraId="2A2DE1F6">
      <w:pPr>
        <w:widowControl w:val="0"/>
        <w:autoSpaceDE w:val="0"/>
        <w:autoSpaceDN w:val="0"/>
        <w:adjustRightInd w:val="0"/>
        <w:snapToGrid w:val="0"/>
        <w:ind w:firstLine="0" w:firstLineChars="0"/>
        <w:jc w:val="center"/>
        <w:rPr>
          <w:rFonts w:ascii="宋体" w:hAnsi="宋体"/>
          <w:sz w:val="28"/>
          <w:szCs w:val="28"/>
          <w:highlight w:val="none"/>
        </w:rPr>
      </w:pPr>
    </w:p>
    <w:p w14:paraId="0692D8F5">
      <w:pPr>
        <w:widowControl w:val="0"/>
        <w:autoSpaceDE w:val="0"/>
        <w:autoSpaceDN w:val="0"/>
        <w:adjustRightInd w:val="0"/>
        <w:snapToGrid w:val="0"/>
        <w:ind w:firstLine="0" w:firstLineChars="0"/>
        <w:jc w:val="center"/>
        <w:rPr>
          <w:rFonts w:ascii="宋体" w:hAnsi="宋体"/>
          <w:sz w:val="28"/>
          <w:szCs w:val="28"/>
          <w:highlight w:val="none"/>
        </w:rPr>
      </w:pPr>
    </w:p>
    <w:p w14:paraId="51F6B63B">
      <w:pPr>
        <w:widowControl w:val="0"/>
        <w:autoSpaceDE w:val="0"/>
        <w:autoSpaceDN w:val="0"/>
        <w:adjustRightInd w:val="0"/>
        <w:snapToGrid w:val="0"/>
        <w:ind w:firstLine="0" w:firstLineChars="0"/>
        <w:jc w:val="center"/>
        <w:rPr>
          <w:rFonts w:hint="eastAsia" w:ascii="宋体" w:hAnsi="宋体"/>
          <w:sz w:val="28"/>
          <w:szCs w:val="28"/>
          <w:highlight w:val="none"/>
        </w:rPr>
      </w:pPr>
    </w:p>
    <w:tbl>
      <w:tblPr>
        <w:tblStyle w:val="49"/>
        <w:tblW w:w="5000" w:type="pct"/>
        <w:tblInd w:w="0" w:type="dxa"/>
        <w:tblLayout w:type="autofit"/>
        <w:tblCellMar>
          <w:top w:w="0" w:type="dxa"/>
          <w:left w:w="108" w:type="dxa"/>
          <w:bottom w:w="0" w:type="dxa"/>
          <w:right w:w="108" w:type="dxa"/>
        </w:tblCellMar>
      </w:tblPr>
      <w:tblGrid>
        <w:gridCol w:w="2639"/>
        <w:gridCol w:w="5889"/>
      </w:tblGrid>
      <w:tr w14:paraId="20248CF0">
        <w:tblPrEx>
          <w:tblCellMar>
            <w:top w:w="0" w:type="dxa"/>
            <w:left w:w="108" w:type="dxa"/>
            <w:bottom w:w="0" w:type="dxa"/>
            <w:right w:w="108" w:type="dxa"/>
          </w:tblCellMar>
        </w:tblPrEx>
        <w:tc>
          <w:tcPr>
            <w:tcW w:w="1547" w:type="pct"/>
            <w:noWrap w:val="0"/>
            <w:vAlign w:val="center"/>
          </w:tcPr>
          <w:p w14:paraId="45A4C061">
            <w:pPr>
              <w:widowControl w:val="0"/>
              <w:autoSpaceDE w:val="0"/>
              <w:autoSpaceDN w:val="0"/>
              <w:adjustRightInd w:val="0"/>
              <w:snapToGrid w:val="0"/>
              <w:ind w:firstLine="0" w:firstLineChars="0"/>
              <w:jc w:val="distribute"/>
              <w:rPr>
                <w:rFonts w:ascii="宋体" w:hAnsi="宋体"/>
                <w:b/>
                <w:sz w:val="32"/>
                <w:szCs w:val="32"/>
                <w:highlight w:val="none"/>
              </w:rPr>
            </w:pPr>
            <w:r>
              <w:rPr>
                <w:rFonts w:hint="eastAsia" w:ascii="宋体" w:hAnsi="宋体"/>
                <w:b/>
                <w:sz w:val="32"/>
                <w:szCs w:val="32"/>
                <w:highlight w:val="none"/>
              </w:rPr>
              <w:t>项目名称：</w:t>
            </w:r>
          </w:p>
        </w:tc>
        <w:tc>
          <w:tcPr>
            <w:tcW w:w="3452" w:type="pct"/>
            <w:noWrap w:val="0"/>
            <w:vAlign w:val="center"/>
          </w:tcPr>
          <w:p w14:paraId="735876FE">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r w14:paraId="4B875592">
        <w:tblPrEx>
          <w:tblCellMar>
            <w:top w:w="0" w:type="dxa"/>
            <w:left w:w="108" w:type="dxa"/>
            <w:bottom w:w="0" w:type="dxa"/>
            <w:right w:w="108" w:type="dxa"/>
          </w:tblCellMar>
        </w:tblPrEx>
        <w:tc>
          <w:tcPr>
            <w:tcW w:w="1547" w:type="pct"/>
            <w:noWrap w:val="0"/>
            <w:vAlign w:val="center"/>
          </w:tcPr>
          <w:p w14:paraId="4FE91403">
            <w:pPr>
              <w:widowControl w:val="0"/>
              <w:autoSpaceDE w:val="0"/>
              <w:autoSpaceDN w:val="0"/>
              <w:adjustRightInd w:val="0"/>
              <w:snapToGrid w:val="0"/>
              <w:ind w:firstLine="0" w:firstLineChars="0"/>
              <w:jc w:val="distribute"/>
              <w:rPr>
                <w:rFonts w:ascii="宋体" w:hAnsi="宋体"/>
                <w:b/>
                <w:sz w:val="32"/>
                <w:szCs w:val="32"/>
                <w:highlight w:val="none"/>
              </w:rPr>
            </w:pPr>
            <w:r>
              <w:rPr>
                <w:rFonts w:hint="eastAsia" w:ascii="宋体" w:hAnsi="宋体"/>
                <w:b/>
                <w:sz w:val="32"/>
                <w:szCs w:val="32"/>
                <w:highlight w:val="none"/>
                <w:lang w:val="en-US" w:eastAsia="zh-CN"/>
              </w:rPr>
              <w:t>响应单位</w:t>
            </w:r>
            <w:r>
              <w:rPr>
                <w:rFonts w:hint="eastAsia" w:ascii="宋体" w:hAnsi="宋体"/>
                <w:b/>
                <w:sz w:val="32"/>
                <w:szCs w:val="32"/>
                <w:highlight w:val="none"/>
              </w:rPr>
              <w:t>：</w:t>
            </w:r>
          </w:p>
        </w:tc>
        <w:tc>
          <w:tcPr>
            <w:tcW w:w="3452" w:type="pct"/>
            <w:noWrap w:val="0"/>
            <w:vAlign w:val="center"/>
          </w:tcPr>
          <w:p w14:paraId="3CCD9E74">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r w14:paraId="6F3D9323">
        <w:tblPrEx>
          <w:tblCellMar>
            <w:top w:w="0" w:type="dxa"/>
            <w:left w:w="108" w:type="dxa"/>
            <w:bottom w:w="0" w:type="dxa"/>
            <w:right w:w="108" w:type="dxa"/>
          </w:tblCellMar>
        </w:tblPrEx>
        <w:tc>
          <w:tcPr>
            <w:tcW w:w="1547" w:type="pct"/>
            <w:noWrap w:val="0"/>
            <w:vAlign w:val="center"/>
          </w:tcPr>
          <w:p w14:paraId="08B19B79">
            <w:pPr>
              <w:widowControl w:val="0"/>
              <w:autoSpaceDE w:val="0"/>
              <w:autoSpaceDN w:val="0"/>
              <w:adjustRightInd w:val="0"/>
              <w:snapToGrid w:val="0"/>
              <w:ind w:firstLine="0" w:firstLineChars="0"/>
              <w:jc w:val="distribute"/>
              <w:rPr>
                <w:rFonts w:ascii="宋体" w:hAnsi="宋体"/>
                <w:b/>
                <w:sz w:val="32"/>
                <w:szCs w:val="32"/>
                <w:highlight w:val="none"/>
              </w:rPr>
            </w:pPr>
            <w:r>
              <w:rPr>
                <w:rFonts w:hint="eastAsia" w:ascii="宋体" w:hAnsi="宋体"/>
                <w:b/>
                <w:sz w:val="32"/>
                <w:szCs w:val="32"/>
                <w:highlight w:val="none"/>
                <w:lang w:val="en-US" w:eastAsia="zh-CN"/>
              </w:rPr>
              <w:t>地址</w:t>
            </w:r>
            <w:r>
              <w:rPr>
                <w:rFonts w:hint="eastAsia" w:ascii="宋体" w:hAnsi="宋体"/>
                <w:b/>
                <w:sz w:val="32"/>
                <w:szCs w:val="32"/>
                <w:highlight w:val="none"/>
              </w:rPr>
              <w:t>：</w:t>
            </w:r>
          </w:p>
        </w:tc>
        <w:tc>
          <w:tcPr>
            <w:tcW w:w="3452" w:type="pct"/>
            <w:noWrap w:val="0"/>
            <w:vAlign w:val="center"/>
          </w:tcPr>
          <w:p w14:paraId="323EA9B5">
            <w:pPr>
              <w:widowControl w:val="0"/>
              <w:autoSpaceDE w:val="0"/>
              <w:autoSpaceDN w:val="0"/>
              <w:adjustRightInd w:val="0"/>
              <w:snapToGrid w:val="0"/>
              <w:ind w:firstLine="0" w:firstLineChars="0"/>
              <w:rPr>
                <w:rFonts w:ascii="宋体" w:hAnsi="宋体"/>
                <w:b/>
                <w:sz w:val="32"/>
                <w:szCs w:val="32"/>
                <w:highlight w:val="none"/>
                <w:u w:val="single"/>
              </w:rPr>
            </w:pPr>
            <w:r>
              <w:rPr>
                <w:rFonts w:hint="eastAsia" w:ascii="宋体" w:hAnsi="宋体"/>
                <w:b/>
                <w:sz w:val="32"/>
                <w:szCs w:val="32"/>
                <w:highlight w:val="none"/>
                <w:u w:val="single"/>
              </w:rPr>
              <w:t xml:space="preserve">           </w:t>
            </w:r>
            <w:r>
              <w:rPr>
                <w:rFonts w:ascii="宋体" w:hAnsi="宋体"/>
                <w:b/>
                <w:sz w:val="32"/>
                <w:szCs w:val="32"/>
                <w:highlight w:val="none"/>
                <w:u w:val="single"/>
              </w:rPr>
              <w:t xml:space="preserve">                </w:t>
            </w:r>
            <w:r>
              <w:rPr>
                <w:rFonts w:hint="eastAsia" w:ascii="宋体" w:hAnsi="宋体"/>
                <w:b/>
                <w:sz w:val="32"/>
                <w:szCs w:val="32"/>
                <w:highlight w:val="none"/>
                <w:u w:val="single"/>
              </w:rPr>
              <w:t xml:space="preserve">  </w:t>
            </w:r>
          </w:p>
        </w:tc>
      </w:tr>
      <w:tr w14:paraId="2A17B2DB">
        <w:tblPrEx>
          <w:tblCellMar>
            <w:top w:w="0" w:type="dxa"/>
            <w:left w:w="108" w:type="dxa"/>
            <w:bottom w:w="0" w:type="dxa"/>
            <w:right w:w="108" w:type="dxa"/>
          </w:tblCellMar>
        </w:tblPrEx>
        <w:tc>
          <w:tcPr>
            <w:tcW w:w="1547" w:type="pct"/>
            <w:noWrap w:val="0"/>
            <w:vAlign w:val="center"/>
          </w:tcPr>
          <w:p w14:paraId="410387D0">
            <w:pPr>
              <w:widowControl w:val="0"/>
              <w:autoSpaceDE w:val="0"/>
              <w:autoSpaceDN w:val="0"/>
              <w:adjustRightInd w:val="0"/>
              <w:snapToGrid w:val="0"/>
              <w:ind w:firstLine="0" w:firstLineChars="0"/>
              <w:jc w:val="distribute"/>
              <w:rPr>
                <w:rFonts w:ascii="宋体" w:hAnsi="宋体"/>
                <w:b/>
                <w:sz w:val="32"/>
                <w:szCs w:val="32"/>
                <w:highlight w:val="none"/>
              </w:rPr>
            </w:pPr>
            <w:r>
              <w:rPr>
                <w:rFonts w:hint="eastAsia" w:ascii="宋体" w:hAnsi="宋体"/>
                <w:b/>
                <w:sz w:val="32"/>
                <w:szCs w:val="32"/>
                <w:highlight w:val="none"/>
              </w:rPr>
              <w:t>法定代表人/单位负责人</w:t>
            </w:r>
          </w:p>
          <w:p w14:paraId="7842461D">
            <w:pPr>
              <w:widowControl w:val="0"/>
              <w:autoSpaceDE w:val="0"/>
              <w:autoSpaceDN w:val="0"/>
              <w:adjustRightInd w:val="0"/>
              <w:snapToGrid w:val="0"/>
              <w:ind w:firstLine="0" w:firstLineChars="0"/>
              <w:jc w:val="distribute"/>
              <w:rPr>
                <w:rFonts w:hint="eastAsia" w:ascii="宋体" w:hAnsi="宋体"/>
                <w:b/>
                <w:sz w:val="32"/>
                <w:szCs w:val="32"/>
                <w:highlight w:val="none"/>
              </w:rPr>
            </w:pPr>
            <w:r>
              <w:rPr>
                <w:rFonts w:hint="eastAsia" w:ascii="宋体" w:hAnsi="宋体"/>
                <w:b/>
                <w:sz w:val="32"/>
                <w:szCs w:val="32"/>
                <w:highlight w:val="none"/>
              </w:rPr>
              <w:t>或其委托代理人：</w:t>
            </w:r>
          </w:p>
        </w:tc>
        <w:tc>
          <w:tcPr>
            <w:tcW w:w="3452" w:type="pct"/>
            <w:noWrap w:val="0"/>
            <w:vAlign w:val="center"/>
          </w:tcPr>
          <w:p w14:paraId="4BCFE3B8">
            <w:pPr>
              <w:widowControl w:val="0"/>
              <w:autoSpaceDE w:val="0"/>
              <w:autoSpaceDN w:val="0"/>
              <w:adjustRightInd w:val="0"/>
              <w:snapToGrid w:val="0"/>
              <w:ind w:firstLine="0" w:firstLineChars="0"/>
              <w:rPr>
                <w:rFonts w:hint="eastAsia" w:ascii="宋体" w:hAnsi="宋体"/>
                <w:b/>
                <w:sz w:val="32"/>
                <w:szCs w:val="32"/>
                <w:highlight w:val="none"/>
                <w:u w:val="single"/>
              </w:rPr>
            </w:pPr>
            <w:r>
              <w:rPr>
                <w:rFonts w:ascii="宋体" w:hAnsi="宋体"/>
                <w:b/>
                <w:sz w:val="32"/>
                <w:szCs w:val="32"/>
                <w:highlight w:val="none"/>
                <w:u w:val="single"/>
              </w:rPr>
              <w:t xml:space="preserve">                             </w:t>
            </w:r>
          </w:p>
        </w:tc>
      </w:tr>
      <w:tr w14:paraId="7CD655C5">
        <w:tblPrEx>
          <w:tblCellMar>
            <w:top w:w="0" w:type="dxa"/>
            <w:left w:w="108" w:type="dxa"/>
            <w:bottom w:w="0" w:type="dxa"/>
            <w:right w:w="108" w:type="dxa"/>
          </w:tblCellMar>
        </w:tblPrEx>
        <w:tc>
          <w:tcPr>
            <w:tcW w:w="1547" w:type="pct"/>
            <w:noWrap w:val="0"/>
            <w:vAlign w:val="center"/>
          </w:tcPr>
          <w:p w14:paraId="3185D7FF">
            <w:pPr>
              <w:widowControl w:val="0"/>
              <w:autoSpaceDE w:val="0"/>
              <w:autoSpaceDN w:val="0"/>
              <w:adjustRightInd w:val="0"/>
              <w:snapToGrid w:val="0"/>
              <w:ind w:firstLine="0" w:firstLineChars="0"/>
              <w:jc w:val="distribute"/>
              <w:rPr>
                <w:rFonts w:hint="eastAsia" w:ascii="宋体" w:hAnsi="宋体"/>
                <w:b/>
                <w:sz w:val="32"/>
                <w:szCs w:val="32"/>
                <w:highlight w:val="none"/>
              </w:rPr>
            </w:pPr>
            <w:r>
              <w:rPr>
                <w:rFonts w:hint="eastAsia" w:ascii="宋体" w:hAnsi="宋体"/>
                <w:b/>
                <w:sz w:val="32"/>
                <w:szCs w:val="32"/>
                <w:highlight w:val="none"/>
              </w:rPr>
              <w:t>日期</w:t>
            </w:r>
            <w:r>
              <w:rPr>
                <w:rFonts w:ascii="宋体" w:hAnsi="宋体"/>
                <w:b/>
                <w:sz w:val="32"/>
                <w:szCs w:val="32"/>
                <w:highlight w:val="none"/>
              </w:rPr>
              <w:t>：</w:t>
            </w:r>
          </w:p>
        </w:tc>
        <w:tc>
          <w:tcPr>
            <w:tcW w:w="3452" w:type="pct"/>
            <w:noWrap w:val="0"/>
            <w:vAlign w:val="center"/>
          </w:tcPr>
          <w:p w14:paraId="71DF6624">
            <w:pPr>
              <w:widowControl w:val="0"/>
              <w:autoSpaceDE w:val="0"/>
              <w:autoSpaceDN w:val="0"/>
              <w:adjustRightInd w:val="0"/>
              <w:snapToGrid w:val="0"/>
              <w:ind w:firstLine="0" w:firstLineChars="0"/>
              <w:rPr>
                <w:rFonts w:hint="eastAsia" w:ascii="宋体" w:hAnsi="宋体"/>
                <w:b/>
                <w:sz w:val="32"/>
                <w:szCs w:val="32"/>
                <w:highlight w:val="none"/>
                <w:u w:val="single"/>
              </w:rPr>
            </w:pPr>
            <w:r>
              <w:rPr>
                <w:rFonts w:hint="eastAsia" w:ascii="宋体" w:hAnsi="宋体"/>
                <w:b/>
                <w:sz w:val="32"/>
                <w:szCs w:val="32"/>
                <w:highlight w:val="none"/>
                <w:u w:val="single"/>
              </w:rPr>
              <w:t xml:space="preserve">    </w:t>
            </w:r>
            <w:r>
              <w:rPr>
                <w:rFonts w:hint="eastAsia" w:ascii="宋体" w:hAnsi="宋体"/>
                <w:b/>
                <w:sz w:val="32"/>
                <w:szCs w:val="32"/>
                <w:highlight w:val="none"/>
              </w:rPr>
              <w:t>年</w:t>
            </w:r>
            <w:r>
              <w:rPr>
                <w:rFonts w:hint="eastAsia" w:ascii="宋体" w:hAnsi="宋体"/>
                <w:b/>
                <w:sz w:val="32"/>
                <w:szCs w:val="32"/>
                <w:highlight w:val="none"/>
                <w:u w:val="single"/>
              </w:rPr>
              <w:t xml:space="preserve">    </w:t>
            </w:r>
            <w:r>
              <w:rPr>
                <w:rFonts w:hint="eastAsia" w:ascii="宋体" w:hAnsi="宋体"/>
                <w:b/>
                <w:sz w:val="32"/>
                <w:szCs w:val="32"/>
                <w:highlight w:val="none"/>
              </w:rPr>
              <w:t>月</w:t>
            </w:r>
            <w:r>
              <w:rPr>
                <w:rFonts w:hint="eastAsia" w:ascii="宋体" w:hAnsi="宋体"/>
                <w:b/>
                <w:sz w:val="32"/>
                <w:szCs w:val="32"/>
                <w:highlight w:val="none"/>
                <w:u w:val="single"/>
              </w:rPr>
              <w:t xml:space="preserve">    </w:t>
            </w:r>
            <w:r>
              <w:rPr>
                <w:rFonts w:hint="eastAsia" w:ascii="宋体" w:hAnsi="宋体"/>
                <w:b/>
                <w:sz w:val="32"/>
                <w:szCs w:val="32"/>
                <w:highlight w:val="none"/>
              </w:rPr>
              <w:t>日</w:t>
            </w:r>
          </w:p>
        </w:tc>
      </w:tr>
    </w:tbl>
    <w:p w14:paraId="74A6486F">
      <w:pPr>
        <w:widowControl w:val="0"/>
        <w:autoSpaceDE w:val="0"/>
        <w:autoSpaceDN w:val="0"/>
        <w:adjustRightInd w:val="0"/>
        <w:snapToGrid w:val="0"/>
        <w:ind w:firstLine="0" w:firstLineChars="0"/>
        <w:jc w:val="left"/>
        <w:rPr>
          <w:rFonts w:ascii="宋体" w:hAnsi="宋体"/>
          <w:b/>
          <w:sz w:val="44"/>
          <w:szCs w:val="44"/>
          <w:highlight w:val="none"/>
        </w:rPr>
      </w:pPr>
    </w:p>
    <w:p w14:paraId="36E5D436">
      <w:pPr>
        <w:widowControl w:val="0"/>
        <w:autoSpaceDE w:val="0"/>
        <w:autoSpaceDN w:val="0"/>
        <w:adjustRightInd w:val="0"/>
        <w:snapToGrid w:val="0"/>
        <w:ind w:firstLine="0" w:firstLineChars="0"/>
        <w:rPr>
          <w:rFonts w:hint="eastAsia" w:ascii="宋体" w:hAnsi="宋体"/>
          <w:highlight w:val="none"/>
        </w:rPr>
      </w:pPr>
    </w:p>
    <w:p w14:paraId="7E987171">
      <w:pPr>
        <w:widowControl w:val="0"/>
        <w:autoSpaceDE w:val="0"/>
        <w:autoSpaceDN w:val="0"/>
        <w:adjustRightInd w:val="0"/>
        <w:snapToGrid w:val="0"/>
        <w:ind w:firstLine="0" w:firstLineChars="0"/>
        <w:jc w:val="center"/>
        <w:rPr>
          <w:rFonts w:ascii="宋体" w:hAnsi="宋体"/>
          <w:b/>
          <w:sz w:val="32"/>
          <w:szCs w:val="32"/>
          <w:highlight w:val="none"/>
        </w:rPr>
      </w:pPr>
      <w:r>
        <w:rPr>
          <w:rFonts w:ascii="宋体" w:hAnsi="宋体"/>
          <w:highlight w:val="none"/>
        </w:rPr>
        <w:br w:type="page"/>
      </w:r>
      <w:r>
        <w:rPr>
          <w:rFonts w:hint="eastAsia" w:ascii="宋体" w:hAnsi="宋体"/>
          <w:b/>
          <w:sz w:val="32"/>
          <w:szCs w:val="32"/>
          <w:highlight w:val="none"/>
        </w:rPr>
        <w:t>目录</w:t>
      </w:r>
    </w:p>
    <w:p w14:paraId="48312651">
      <w:pPr>
        <w:widowControl w:val="0"/>
        <w:autoSpaceDE w:val="0"/>
        <w:autoSpaceDN w:val="0"/>
        <w:adjustRightInd w:val="0"/>
        <w:snapToGrid w:val="0"/>
        <w:ind w:firstLine="0" w:firstLineChars="0"/>
        <w:jc w:val="center"/>
        <w:rPr>
          <w:rFonts w:hint="eastAsia" w:ascii="宋体" w:hAnsi="宋体"/>
          <w:highlight w:val="none"/>
        </w:rPr>
      </w:pPr>
      <w:r>
        <w:rPr>
          <w:rFonts w:hint="eastAsia" w:ascii="宋体" w:hAnsi="宋体"/>
          <w:highlight w:val="none"/>
        </w:rPr>
        <w:t>（略，</w:t>
      </w:r>
      <w:r>
        <w:rPr>
          <w:rFonts w:hint="eastAsia" w:ascii="宋体" w:hAnsi="宋体"/>
          <w:highlight w:val="none"/>
          <w:lang w:val="en-US" w:eastAsia="zh-CN"/>
        </w:rPr>
        <w:t>报价</w:t>
      </w:r>
      <w:r>
        <w:rPr>
          <w:rFonts w:hint="eastAsia" w:ascii="宋体" w:hAnsi="宋体"/>
          <w:highlight w:val="none"/>
        </w:rPr>
        <w:t>人自行编制目录。）</w:t>
      </w:r>
    </w:p>
    <w:p w14:paraId="53D6F238">
      <w:pPr>
        <w:pStyle w:val="3"/>
        <w:spacing w:line="360" w:lineRule="auto"/>
        <w:rPr>
          <w:rFonts w:ascii="仿宋_GB2312" w:hAnsi="仿宋_GB2312" w:eastAsia="仿宋_GB2312" w:cs="仿宋_GB2312"/>
          <w:highlight w:val="none"/>
        </w:rPr>
      </w:pPr>
      <w:r>
        <w:rPr>
          <w:rFonts w:ascii="宋体" w:hAnsi="宋体"/>
          <w:highlight w:val="none"/>
        </w:rPr>
        <w:br w:type="page"/>
      </w:r>
      <w:bookmarkEnd w:id="53"/>
      <w:bookmarkEnd w:id="54"/>
      <w:r>
        <w:rPr>
          <w:rFonts w:hint="eastAsia" w:ascii="仿宋_GB2312" w:hAnsi="仿宋_GB2312" w:eastAsia="仿宋_GB2312" w:cs="仿宋_GB2312"/>
          <w:b w:val="0"/>
          <w:bCs w:val="0"/>
          <w:highlight w:val="none"/>
        </w:rPr>
        <w:t>附件1：</w:t>
      </w:r>
    </w:p>
    <w:p w14:paraId="1C03011A">
      <w:pPr>
        <w:spacing w:line="560" w:lineRule="exact"/>
        <w:jc w:val="center"/>
        <w:rPr>
          <w:rFonts w:ascii="宋体" w:hAnsi="宋体" w:cs="宋体"/>
          <w:b/>
          <w:bCs/>
          <w:sz w:val="44"/>
          <w:szCs w:val="44"/>
          <w:highlight w:val="none"/>
        </w:rPr>
      </w:pPr>
      <w:r>
        <w:rPr>
          <w:rFonts w:hint="eastAsia" w:ascii="宋体" w:hAnsi="宋体" w:cs="宋体"/>
          <w:b/>
          <w:bCs/>
          <w:sz w:val="44"/>
          <w:szCs w:val="44"/>
          <w:highlight w:val="none"/>
        </w:rPr>
        <w:t>响应函</w:t>
      </w:r>
    </w:p>
    <w:p w14:paraId="45DBCB2A">
      <w:pPr>
        <w:spacing w:line="560" w:lineRule="exact"/>
        <w:rPr>
          <w:rFonts w:ascii="仿宋_GB2312" w:hAnsi="仿宋_GB2312" w:eastAsia="仿宋_GB2312" w:cs="仿宋_GB2312"/>
          <w:b/>
          <w:sz w:val="32"/>
          <w:szCs w:val="32"/>
          <w:highlight w:val="none"/>
        </w:rPr>
      </w:pPr>
    </w:p>
    <w:p w14:paraId="32B22E75">
      <w:pPr>
        <w:spacing w:line="560" w:lineRule="exact"/>
        <w:ind w:left="0" w:leftChars="0" w:firstLine="0" w:firstLineChars="0"/>
        <w:rPr>
          <w:rFonts w:hint="eastAsia" w:ascii="仿宋_GB2312" w:hAnsi="仿宋_GB2312" w:eastAsia="仿宋_GB2312" w:cs="仿宋_GB2312"/>
          <w:bCs/>
          <w:sz w:val="32"/>
          <w:szCs w:val="32"/>
          <w:highlight w:val="none"/>
          <w:lang w:eastAsia="zh-CN"/>
        </w:rPr>
      </w:pPr>
      <w:r>
        <w:rPr>
          <w:rFonts w:hint="eastAsia" w:ascii="仿宋_GB2312" w:hAnsi="仿宋_GB2312" w:eastAsia="仿宋_GB2312" w:cs="仿宋_GB2312"/>
          <w:bCs/>
          <w:sz w:val="32"/>
          <w:szCs w:val="32"/>
          <w:highlight w:val="none"/>
          <w:lang w:eastAsia="zh-CN"/>
        </w:rPr>
        <w:t>深圳书城龙岗城实业有限公司：</w:t>
      </w:r>
    </w:p>
    <w:p w14:paraId="44446DD3">
      <w:pPr>
        <w:spacing w:line="560" w:lineRule="exact"/>
        <w:ind w:firstLine="645"/>
        <w:rPr>
          <w:rFonts w:hint="eastAsia" w:ascii="仿宋_GB2312" w:hAnsi="仿宋_GB2312" w:eastAsia="仿宋_GB2312" w:cs="仿宋_GB2312"/>
          <w:bCs/>
          <w:sz w:val="32"/>
          <w:szCs w:val="32"/>
          <w:highlight w:val="none"/>
          <w:lang w:eastAsia="zh-CN"/>
        </w:rPr>
      </w:pPr>
      <w:r>
        <w:rPr>
          <w:rFonts w:hint="eastAsia" w:ascii="仿宋_GB2312" w:hAnsi="仿宋_GB2312" w:eastAsia="仿宋_GB2312" w:cs="仿宋_GB2312"/>
          <w:bCs/>
          <w:sz w:val="32"/>
          <w:szCs w:val="32"/>
          <w:highlight w:val="none"/>
          <w:lang w:eastAsia="zh-CN"/>
        </w:rPr>
        <w:t>1.根据已收到的贵方采购公告，遵照国家有关政策法规，我方经研究后，愿以文件所要求的条件参与报价，我方的条件以项目报价单所显示的内容为准。</w:t>
      </w:r>
    </w:p>
    <w:p w14:paraId="3E15CA1C">
      <w:pPr>
        <w:spacing w:line="560" w:lineRule="exact"/>
        <w:ind w:firstLine="645"/>
        <w:rPr>
          <w:rFonts w:hint="eastAsia" w:ascii="仿宋_GB2312" w:hAnsi="仿宋_GB2312" w:eastAsia="仿宋_GB2312" w:cs="仿宋_GB2312"/>
          <w:bCs/>
          <w:sz w:val="32"/>
          <w:szCs w:val="32"/>
          <w:highlight w:val="none"/>
          <w:lang w:eastAsia="zh-CN"/>
        </w:rPr>
      </w:pPr>
      <w:r>
        <w:rPr>
          <w:rFonts w:hint="eastAsia" w:ascii="仿宋_GB2312" w:hAnsi="仿宋_GB2312" w:eastAsia="仿宋_GB2312" w:cs="仿宋_GB2312"/>
          <w:bCs/>
          <w:sz w:val="32"/>
          <w:szCs w:val="32"/>
          <w:highlight w:val="none"/>
          <w:lang w:eastAsia="zh-CN"/>
        </w:rPr>
        <w:t>2.我方已详细审核全部采购文件内容，同意放弃提出含糊不清或误解的权利。</w:t>
      </w:r>
    </w:p>
    <w:p w14:paraId="4D8CE75D">
      <w:pPr>
        <w:spacing w:line="560" w:lineRule="exact"/>
        <w:ind w:firstLine="645"/>
        <w:rPr>
          <w:rFonts w:hint="eastAsia" w:ascii="仿宋_GB2312" w:hAnsi="仿宋_GB2312" w:eastAsia="仿宋_GB2312" w:cs="仿宋_GB2312"/>
          <w:bCs/>
          <w:sz w:val="32"/>
          <w:szCs w:val="32"/>
          <w:highlight w:val="none"/>
          <w:lang w:eastAsia="zh-CN"/>
        </w:rPr>
      </w:pPr>
      <w:r>
        <w:rPr>
          <w:rFonts w:hint="eastAsia" w:ascii="仿宋_GB2312" w:hAnsi="仿宋_GB2312" w:eastAsia="仿宋_GB2312" w:cs="仿宋_GB2312"/>
          <w:bCs/>
          <w:sz w:val="32"/>
          <w:szCs w:val="32"/>
          <w:highlight w:val="none"/>
          <w:lang w:eastAsia="zh-CN"/>
        </w:rPr>
        <w:t>3.我方同意所递交的响应文件在报价期内有效，在此期间内我方有可能获得候选权，我方将受此约束。</w:t>
      </w:r>
    </w:p>
    <w:p w14:paraId="6295FDD5">
      <w:pPr>
        <w:spacing w:line="560" w:lineRule="exact"/>
        <w:ind w:firstLine="645"/>
        <w:rPr>
          <w:rFonts w:hint="eastAsia" w:ascii="仿宋_GB2312" w:hAnsi="仿宋_GB2312" w:eastAsia="仿宋_GB2312" w:cs="仿宋_GB2312"/>
          <w:bCs/>
          <w:sz w:val="32"/>
          <w:szCs w:val="32"/>
          <w:highlight w:val="none"/>
          <w:lang w:eastAsia="zh-CN"/>
        </w:rPr>
      </w:pPr>
      <w:r>
        <w:rPr>
          <w:rFonts w:hint="eastAsia" w:ascii="仿宋_GB2312" w:hAnsi="仿宋_GB2312" w:eastAsia="仿宋_GB2312" w:cs="仿宋_GB2312"/>
          <w:bCs/>
          <w:sz w:val="32"/>
          <w:szCs w:val="32"/>
          <w:highlight w:val="none"/>
          <w:lang w:eastAsia="zh-CN"/>
        </w:rPr>
        <w:t>4.我方接受贵方采购文件的全部内容。</w:t>
      </w:r>
    </w:p>
    <w:p w14:paraId="4E73F534">
      <w:pPr>
        <w:spacing w:line="560" w:lineRule="exact"/>
        <w:ind w:firstLine="645"/>
        <w:rPr>
          <w:rFonts w:hint="eastAsia" w:ascii="仿宋_GB2312" w:hAnsi="仿宋_GB2312" w:eastAsia="仿宋_GB2312" w:cs="仿宋_GB2312"/>
          <w:bCs/>
          <w:sz w:val="32"/>
          <w:szCs w:val="32"/>
          <w:highlight w:val="none"/>
          <w:lang w:eastAsia="zh-CN"/>
        </w:rPr>
      </w:pPr>
      <w:r>
        <w:rPr>
          <w:rFonts w:hint="eastAsia" w:ascii="仿宋_GB2312" w:hAnsi="仿宋_GB2312" w:eastAsia="仿宋_GB2312" w:cs="仿宋_GB2312"/>
          <w:bCs/>
          <w:sz w:val="32"/>
          <w:szCs w:val="32"/>
          <w:highlight w:val="none"/>
          <w:lang w:eastAsia="zh-CN"/>
        </w:rPr>
        <w:t>5.我方相信贵方的评审结果是公正、合法的，无论我方是否中标，我方将毫无异议地接受这一结果。</w:t>
      </w:r>
    </w:p>
    <w:p w14:paraId="2FD1C0FF">
      <w:pPr>
        <w:spacing w:line="560" w:lineRule="exact"/>
        <w:ind w:firstLine="645"/>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lang w:eastAsia="zh-CN"/>
        </w:rPr>
        <w:t>6.我方保证所递交的响应文件所反映的内容真实可靠，否则将承担由此引起的一切后果和相应的法律责任。</w:t>
      </w:r>
    </w:p>
    <w:p w14:paraId="52EC38D6">
      <w:pPr>
        <w:spacing w:line="560" w:lineRule="exact"/>
        <w:rPr>
          <w:rFonts w:ascii="仿宋_GB2312" w:hAnsi="仿宋_GB2312" w:eastAsia="仿宋_GB2312" w:cs="仿宋_GB2312"/>
          <w:bCs/>
          <w:sz w:val="32"/>
          <w:szCs w:val="32"/>
          <w:highlight w:val="none"/>
        </w:rPr>
      </w:pPr>
    </w:p>
    <w:p w14:paraId="0416017F">
      <w:pPr>
        <w:spacing w:line="560" w:lineRule="exact"/>
        <w:ind w:firstLine="3092" w:firstLineChars="1100"/>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单位（公章）：</w:t>
      </w:r>
    </w:p>
    <w:p w14:paraId="7C4D83D8">
      <w:pPr>
        <w:spacing w:line="560" w:lineRule="exact"/>
        <w:ind w:firstLine="3654" w:firstLineChars="1300"/>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单位地址：</w:t>
      </w:r>
      <w:r>
        <w:rPr>
          <w:rFonts w:hint="eastAsia" w:ascii="仿宋_GB2312" w:hAnsi="仿宋_GB2312" w:eastAsia="仿宋_GB2312" w:cs="仿宋_GB2312"/>
          <w:b/>
          <w:bCs/>
          <w:sz w:val="28"/>
          <w:szCs w:val="28"/>
          <w:highlight w:val="none"/>
          <w:u w:val="single"/>
        </w:rPr>
        <w:t xml:space="preserve">                              </w:t>
      </w:r>
    </w:p>
    <w:p w14:paraId="5DFE69B9">
      <w:pPr>
        <w:spacing w:line="560" w:lineRule="exact"/>
        <w:ind w:firstLine="1405" w:firstLineChars="500"/>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法定代表人（签字或盖章）：</w:t>
      </w:r>
    </w:p>
    <w:p w14:paraId="41DC0FFB">
      <w:pPr>
        <w:spacing w:line="560" w:lineRule="exact"/>
        <w:ind w:firstLine="3935" w:firstLineChars="1400"/>
        <w:rPr>
          <w:rFonts w:ascii="仿宋_GB2312" w:hAnsi="仿宋_GB2312" w:eastAsia="仿宋_GB2312" w:cs="仿宋_GB2312"/>
          <w:b/>
          <w:bCs/>
          <w:sz w:val="28"/>
          <w:szCs w:val="28"/>
          <w:highlight w:val="none"/>
        </w:rPr>
      </w:pPr>
      <w:r>
        <w:rPr>
          <w:rFonts w:hint="eastAsia" w:ascii="仿宋_GB2312" w:hAnsi="仿宋_GB2312" w:eastAsia="仿宋_GB2312" w:cs="仿宋_GB2312"/>
          <w:b/>
          <w:bCs/>
          <w:sz w:val="28"/>
          <w:szCs w:val="28"/>
          <w:highlight w:val="none"/>
        </w:rPr>
        <w:t>日  期：</w:t>
      </w:r>
    </w:p>
    <w:p w14:paraId="06855856">
      <w:pPr>
        <w:spacing w:line="560" w:lineRule="exact"/>
        <w:ind w:firstLine="640" w:firstLineChars="200"/>
        <w:rPr>
          <w:rFonts w:ascii="仿宋_GB2312" w:hAnsi="仿宋_GB2312" w:eastAsia="仿宋_GB2312" w:cs="仿宋_GB2312"/>
          <w:bCs/>
          <w:sz w:val="32"/>
          <w:szCs w:val="32"/>
          <w:highlight w:val="none"/>
        </w:rPr>
      </w:pPr>
    </w:p>
    <w:p w14:paraId="0BC8CF5D">
      <w:pPr>
        <w:pStyle w:val="3"/>
        <w:spacing w:line="360" w:lineRule="auto"/>
        <w:rPr>
          <w:rFonts w:hint="eastAsia" w:ascii="仿宋_GB2312" w:hAnsi="仿宋_GB2312" w:eastAsia="仿宋_GB2312" w:cs="仿宋_GB2312"/>
          <w:b w:val="0"/>
          <w:bCs w:val="0"/>
          <w:highlight w:val="none"/>
        </w:rPr>
      </w:pPr>
      <w:r>
        <w:rPr>
          <w:rFonts w:hint="eastAsia" w:ascii="仿宋_GB2312" w:hAnsi="仿宋_GB2312" w:eastAsia="仿宋_GB2312" w:cs="仿宋_GB2312"/>
          <w:b w:val="0"/>
          <w:bCs w:val="0"/>
          <w:highlight w:val="none"/>
        </w:rPr>
        <w:t>附件2：</w:t>
      </w:r>
    </w:p>
    <w:p w14:paraId="17BF78C3">
      <w:pPr>
        <w:spacing w:line="360" w:lineRule="auto"/>
        <w:jc w:val="center"/>
        <w:rPr>
          <w:rFonts w:ascii="仿宋_GB2312" w:hAnsi="仿宋_GB2312" w:eastAsia="仿宋_GB2312" w:cs="仿宋_GB2312"/>
          <w:b/>
          <w:bCs/>
          <w:kern w:val="0"/>
          <w:sz w:val="44"/>
          <w:szCs w:val="44"/>
          <w:highlight w:val="none"/>
        </w:rPr>
      </w:pPr>
      <w:r>
        <w:rPr>
          <w:rFonts w:hint="eastAsia" w:ascii="仿宋_GB2312" w:hAnsi="仿宋_GB2312" w:eastAsia="仿宋_GB2312" w:cs="仿宋_GB2312"/>
          <w:b/>
          <w:bCs/>
          <w:kern w:val="0"/>
          <w:sz w:val="44"/>
          <w:szCs w:val="44"/>
          <w:highlight w:val="none"/>
        </w:rPr>
        <w:t>供应商资格审查证明文件</w:t>
      </w:r>
    </w:p>
    <w:p w14:paraId="7096320B">
      <w:pPr>
        <w:spacing w:line="360" w:lineRule="auto"/>
        <w:jc w:val="center"/>
        <w:rPr>
          <w:rFonts w:ascii="仿宋_GB2312" w:hAnsi="仿宋_GB2312" w:eastAsia="仿宋_GB2312" w:cs="仿宋_GB2312"/>
          <w:kern w:val="0"/>
          <w:sz w:val="32"/>
          <w:szCs w:val="32"/>
          <w:highlight w:val="none"/>
        </w:rPr>
      </w:pPr>
      <w:r>
        <w:rPr>
          <w:rFonts w:hint="eastAsia" w:ascii="仿宋_GB2312" w:hAnsi="仿宋_GB2312" w:eastAsia="仿宋_GB2312" w:cs="仿宋_GB2312"/>
          <w:kern w:val="0"/>
          <w:sz w:val="32"/>
          <w:szCs w:val="32"/>
          <w:highlight w:val="none"/>
        </w:rPr>
        <w:t>（本项目不接受联合体响应）</w:t>
      </w:r>
    </w:p>
    <w:p w14:paraId="61F53232">
      <w:pPr>
        <w:spacing w:line="360" w:lineRule="auto"/>
        <w:jc w:val="center"/>
        <w:rPr>
          <w:rFonts w:ascii="仿宋_GB2312" w:hAnsi="仿宋_GB2312" w:eastAsia="仿宋_GB2312" w:cs="仿宋_GB2312"/>
          <w:kern w:val="0"/>
          <w:sz w:val="32"/>
          <w:szCs w:val="32"/>
          <w:highlight w:val="none"/>
        </w:rPr>
      </w:pPr>
    </w:p>
    <w:p w14:paraId="0964D05C">
      <w:pPr>
        <w:pStyle w:val="300"/>
        <w:keepNext w:val="0"/>
        <w:keepLines w:val="0"/>
        <w:pageBreakBefore w:val="0"/>
        <w:widowControl/>
        <w:numPr>
          <w:ilvl w:val="0"/>
          <w:numId w:val="0"/>
        </w:numPr>
        <w:kinsoku/>
        <w:wordWrap/>
        <w:overflowPunct/>
        <w:topLinePunct w:val="0"/>
        <w:autoSpaceDE/>
        <w:autoSpaceDN/>
        <w:bidi w:val="0"/>
        <w:adjustRightInd/>
        <w:snapToGrid/>
        <w:spacing w:line="240" w:lineRule="auto"/>
        <w:ind w:firstLine="640" w:firstLineChars="200"/>
        <w:jc w:val="left"/>
        <w:textAlignment w:val="auto"/>
        <w:rPr>
          <w:rFonts w:ascii="仿宋_GB2312" w:hAnsi="仿宋_GB2312" w:eastAsia="仿宋_GB2312" w:cs="仿宋_GB2312"/>
          <w:bCs/>
          <w:sz w:val="32"/>
          <w:szCs w:val="32"/>
          <w:highlight w:val="none"/>
        </w:rPr>
      </w:pPr>
      <w:r>
        <w:rPr>
          <w:rFonts w:hint="default" w:ascii="仿宋_GB2312" w:hAnsi="仿宋_GB2312" w:eastAsia="仿宋_GB2312" w:cs="仿宋_GB2312"/>
          <w:bCs/>
          <w:kern w:val="2"/>
          <w:sz w:val="32"/>
          <w:szCs w:val="32"/>
          <w:highlight w:val="none"/>
          <w:lang w:val="en-US" w:eastAsia="zh-CN" w:bidi="ar-SA"/>
        </w:rPr>
        <w:t>1</w:t>
      </w:r>
      <w:r>
        <w:rPr>
          <w:rFonts w:hint="eastAsia" w:ascii="仿宋_GB2312" w:hAnsi="仿宋_GB2312" w:eastAsia="仿宋_GB2312" w:cs="仿宋_GB2312"/>
          <w:bCs/>
          <w:kern w:val="2"/>
          <w:sz w:val="32"/>
          <w:szCs w:val="32"/>
          <w:highlight w:val="none"/>
          <w:lang w:val="en-US" w:eastAsia="zh-CN" w:bidi="ar-SA"/>
        </w:rPr>
        <w:t>.在</w:t>
      </w:r>
      <w:r>
        <w:rPr>
          <w:rFonts w:hint="eastAsia" w:ascii="仿宋_GB2312" w:hAnsi="仿宋_GB2312" w:eastAsia="仿宋_GB2312" w:cs="仿宋_GB2312"/>
          <w:bCs/>
          <w:sz w:val="32"/>
          <w:szCs w:val="32"/>
          <w:highlight w:val="none"/>
        </w:rPr>
        <w:t>中华人民共和国注册的独立法人且具有相关营业执照文件（营业执照</w:t>
      </w:r>
      <w:r>
        <w:rPr>
          <w:rFonts w:hint="eastAsia" w:ascii="仿宋_GB2312" w:hAnsi="仿宋_GB2312" w:eastAsia="仿宋_GB2312" w:cs="仿宋_GB2312"/>
          <w:bCs/>
          <w:sz w:val="32"/>
          <w:szCs w:val="32"/>
          <w:highlight w:val="none"/>
          <w:lang w:eastAsia="zh-CN"/>
        </w:rPr>
        <w:t>须</w:t>
      </w:r>
      <w:r>
        <w:rPr>
          <w:rFonts w:hint="eastAsia" w:ascii="仿宋_GB2312" w:hAnsi="仿宋_GB2312" w:eastAsia="仿宋_GB2312" w:cs="仿宋_GB2312"/>
          <w:bCs/>
          <w:sz w:val="32"/>
          <w:szCs w:val="32"/>
          <w:highlight w:val="none"/>
        </w:rPr>
        <w:t>具备智能化和电子显示屏经营范围</w:t>
      </w:r>
      <w:r>
        <w:rPr>
          <w:rFonts w:hint="eastAsia" w:ascii="仿宋_GB2312" w:hAnsi="仿宋_GB2312" w:eastAsia="仿宋_GB2312" w:cs="仿宋_GB2312"/>
          <w:bCs/>
          <w:sz w:val="32"/>
          <w:szCs w:val="32"/>
          <w:highlight w:val="none"/>
          <w:lang w:eastAsia="zh-CN"/>
        </w:rPr>
        <w:t>，</w:t>
      </w:r>
      <w:r>
        <w:rPr>
          <w:rFonts w:hint="eastAsia" w:ascii="仿宋_GB2312" w:hAnsi="仿宋_GB2312" w:eastAsia="仿宋_GB2312" w:cs="仿宋_GB2312"/>
          <w:bCs/>
          <w:sz w:val="32"/>
          <w:szCs w:val="32"/>
          <w:highlight w:val="none"/>
        </w:rPr>
        <w:t>加盖公章）。</w:t>
      </w:r>
    </w:p>
    <w:p w14:paraId="5CE2429B">
      <w:pPr>
        <w:pStyle w:val="300"/>
        <w:ind w:firstLine="640"/>
        <w:jc w:val="left"/>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lang w:val="en-US" w:eastAsia="zh-CN"/>
        </w:rPr>
        <w:t>2.</w:t>
      </w:r>
      <w:r>
        <w:rPr>
          <w:rFonts w:hint="eastAsia" w:ascii="仿宋_GB2312" w:hAnsi="仿宋_GB2312" w:eastAsia="仿宋_GB2312" w:cs="仿宋_GB2312"/>
          <w:bCs/>
          <w:sz w:val="32"/>
          <w:szCs w:val="32"/>
          <w:highlight w:val="none"/>
        </w:rPr>
        <w:t>没有被列入“信用中国”网站（www.creditchina.gov.cn）的“失信被执行人”“重大税收违法失信主体”“政府采购严重违法失信行为记录名单”的情况查询截图（包含电脑显示的时间）。</w:t>
      </w:r>
    </w:p>
    <w:p w14:paraId="519ED439">
      <w:pPr>
        <w:pStyle w:val="300"/>
        <w:ind w:firstLine="640"/>
        <w:jc w:val="left"/>
        <w:rPr>
          <w:rFonts w:hint="eastAsia"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lang w:val="en-US" w:eastAsia="zh-CN"/>
        </w:rPr>
        <w:t>3</w:t>
      </w:r>
      <w:r>
        <w:rPr>
          <w:rFonts w:hint="eastAsia" w:ascii="仿宋_GB2312" w:hAnsi="仿宋_GB2312" w:eastAsia="仿宋_GB2312" w:cs="仿宋_GB2312"/>
          <w:bCs/>
          <w:sz w:val="32"/>
          <w:szCs w:val="32"/>
          <w:highlight w:val="none"/>
        </w:rPr>
        <w:t>.供应商基本情况表（如下表，加盖公章）。</w:t>
      </w:r>
    </w:p>
    <w:p w14:paraId="71F6BF3B">
      <w:pPr>
        <w:pStyle w:val="300"/>
        <w:ind w:firstLine="640"/>
        <w:jc w:val="left"/>
        <w:rPr>
          <w:rFonts w:hint="eastAsia" w:ascii="仿宋_GB2312" w:hAnsi="仿宋_GB2312" w:eastAsia="仿宋_GB2312" w:cs="仿宋_GB2312"/>
          <w:bCs/>
          <w:sz w:val="32"/>
          <w:szCs w:val="32"/>
          <w:highlight w:val="none"/>
        </w:rPr>
      </w:pPr>
      <w:r>
        <w:rPr>
          <w:rFonts w:hint="eastAsia" w:ascii="仿宋_GB2312" w:hAnsi="仿宋_GB2312" w:eastAsia="仿宋_GB2312" w:cs="仿宋_GB2312"/>
          <w:sz w:val="32"/>
          <w:szCs w:val="32"/>
          <w:highlight w:val="none"/>
          <w:lang w:val="en-US" w:eastAsia="zh-CN"/>
        </w:rPr>
        <w:t>4</w:t>
      </w:r>
      <w:r>
        <w:rPr>
          <w:rFonts w:hint="eastAsia" w:ascii="仿宋_GB2312" w:hAnsi="仿宋_GB2312" w:eastAsia="仿宋_GB2312" w:cs="仿宋_GB2312"/>
          <w:sz w:val="32"/>
          <w:szCs w:val="32"/>
          <w:highlight w:val="none"/>
        </w:rPr>
        <w:t>.</w:t>
      </w:r>
      <w:r>
        <w:rPr>
          <w:rFonts w:hint="eastAsia" w:ascii="仿宋_GB2312" w:hAnsi="仿宋_GB2312" w:eastAsia="仿宋_GB2312" w:cs="仿宋_GB2312"/>
          <w:bCs/>
          <w:sz w:val="32"/>
          <w:szCs w:val="32"/>
          <w:highlight w:val="none"/>
        </w:rPr>
        <w:t>法定代表人资格证明及法定代表人身份证复印件；如非法定代表人亲自作为谈判代表，则需法定代表人授权委托书及被授权人身份证复印件（委托人不得有挂靠行为，加盖公章）。</w:t>
      </w:r>
    </w:p>
    <w:p w14:paraId="74C19245">
      <w:pPr>
        <w:pStyle w:val="300"/>
        <w:ind w:firstLine="835"/>
        <w:jc w:val="center"/>
        <w:rPr>
          <w:rFonts w:ascii="宋体" w:hAnsi="宋体" w:cs="宋体"/>
          <w:sz w:val="43"/>
          <w:szCs w:val="43"/>
          <w:highlight w:val="none"/>
        </w:rPr>
      </w:pPr>
      <w:r>
        <w:rPr>
          <w:rFonts w:ascii="宋体" w:hAnsi="宋体" w:cs="宋体"/>
          <w:b/>
          <w:bCs/>
          <w:spacing w:val="-7"/>
          <w:sz w:val="43"/>
          <w:szCs w:val="43"/>
          <w:highlight w:val="none"/>
        </w:rPr>
        <w:br w:type="page"/>
      </w:r>
      <w:r>
        <w:rPr>
          <w:rFonts w:ascii="宋体" w:hAnsi="宋体" w:cs="宋体"/>
          <w:b/>
          <w:bCs/>
          <w:spacing w:val="-7"/>
          <w:sz w:val="43"/>
          <w:szCs w:val="43"/>
          <w:highlight w:val="none"/>
        </w:rPr>
        <w:t>供应商基本情况表</w:t>
      </w:r>
    </w:p>
    <w:p w14:paraId="3375F8F1">
      <w:pPr>
        <w:tabs>
          <w:tab w:val="left" w:pos="2730"/>
        </w:tabs>
        <w:spacing w:before="278" w:line="223" w:lineRule="auto"/>
        <w:ind w:left="154" w:firstLine="456"/>
        <w:rPr>
          <w:rFonts w:ascii="黑体" w:hAnsi="黑体" w:eastAsia="黑体" w:cs="黑体"/>
          <w:sz w:val="22"/>
          <w:szCs w:val="22"/>
          <w:highlight w:val="none"/>
        </w:rPr>
      </w:pPr>
      <w:r>
        <w:rPr>
          <w:rFonts w:ascii="黑体" w:hAnsi="黑体" w:eastAsia="黑体" w:cs="黑体"/>
          <w:spacing w:val="4"/>
          <w:sz w:val="22"/>
          <w:szCs w:val="22"/>
          <w:highlight w:val="none"/>
        </w:rPr>
        <w:t>填表单位：</w:t>
      </w:r>
      <w:r>
        <w:rPr>
          <w:rFonts w:hint="eastAsia" w:ascii="黑体" w:hAnsi="黑体" w:eastAsia="黑体" w:cs="黑体"/>
          <w:spacing w:val="4"/>
          <w:sz w:val="22"/>
          <w:szCs w:val="22"/>
          <w:highlight w:val="none"/>
        </w:rPr>
        <w:t>（</w:t>
      </w:r>
      <w:r>
        <w:rPr>
          <w:rFonts w:ascii="黑体" w:hAnsi="黑体" w:eastAsia="黑体" w:cs="黑体"/>
          <w:spacing w:val="4"/>
          <w:sz w:val="22"/>
          <w:szCs w:val="22"/>
          <w:highlight w:val="none"/>
        </w:rPr>
        <w:t>加盖单位公章</w:t>
      </w:r>
      <w:r>
        <w:rPr>
          <w:rFonts w:hint="eastAsia" w:ascii="黑体" w:hAnsi="黑体" w:eastAsia="黑体" w:cs="黑体"/>
          <w:spacing w:val="4"/>
          <w:sz w:val="22"/>
          <w:szCs w:val="22"/>
          <w:highlight w:val="none"/>
        </w:rPr>
        <w:t>）</w:t>
      </w:r>
      <w:r>
        <w:rPr>
          <w:rFonts w:ascii="黑体" w:hAnsi="黑体" w:eastAsia="黑体" w:cs="黑体"/>
          <w:spacing w:val="4"/>
          <w:sz w:val="22"/>
          <w:szCs w:val="22"/>
          <w:highlight w:val="none"/>
        </w:rPr>
        <w:t xml:space="preserve">       </w:t>
      </w:r>
      <w:r>
        <w:rPr>
          <w:rFonts w:hint="eastAsia" w:ascii="黑体" w:hAnsi="黑体" w:eastAsia="黑体" w:cs="黑体"/>
          <w:spacing w:val="4"/>
          <w:sz w:val="22"/>
          <w:szCs w:val="22"/>
          <w:highlight w:val="none"/>
        </w:rPr>
        <w:t xml:space="preserve">     </w:t>
      </w:r>
      <w:r>
        <w:rPr>
          <w:rFonts w:ascii="黑体" w:hAnsi="黑体" w:eastAsia="黑体" w:cs="黑体"/>
          <w:spacing w:val="4"/>
          <w:sz w:val="22"/>
          <w:szCs w:val="22"/>
          <w:highlight w:val="none"/>
        </w:rPr>
        <w:t xml:space="preserve"> 填表日期：</w:t>
      </w:r>
      <w:r>
        <w:rPr>
          <w:rFonts w:ascii="黑体" w:hAnsi="黑体" w:eastAsia="黑体" w:cs="黑体"/>
          <w:spacing w:val="22"/>
          <w:sz w:val="22"/>
          <w:szCs w:val="22"/>
          <w:highlight w:val="none"/>
        </w:rPr>
        <w:t xml:space="preserve">   </w:t>
      </w:r>
      <w:r>
        <w:rPr>
          <w:rFonts w:ascii="黑体" w:hAnsi="黑体" w:eastAsia="黑体" w:cs="黑体"/>
          <w:spacing w:val="4"/>
          <w:sz w:val="22"/>
          <w:szCs w:val="22"/>
          <w:highlight w:val="none"/>
        </w:rPr>
        <w:t>年   月   日</w:t>
      </w:r>
    </w:p>
    <w:p w14:paraId="2668B1B6">
      <w:pPr>
        <w:tabs>
          <w:tab w:val="left" w:pos="2730"/>
        </w:tabs>
        <w:spacing w:line="121" w:lineRule="exact"/>
        <w:ind w:firstLine="420"/>
        <w:rPr>
          <w:highlight w:val="none"/>
        </w:rPr>
      </w:pPr>
    </w:p>
    <w:tbl>
      <w:tblPr>
        <w:tblStyle w:val="49"/>
        <w:tblW w:w="995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33"/>
        <w:gridCol w:w="848"/>
        <w:gridCol w:w="1967"/>
        <w:gridCol w:w="994"/>
        <w:gridCol w:w="855"/>
        <w:gridCol w:w="1272"/>
        <w:gridCol w:w="1592"/>
        <w:gridCol w:w="1597"/>
      </w:tblGrid>
      <w:tr w14:paraId="352659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3" w:hRule="atLeast"/>
          <w:jc w:val="center"/>
        </w:trPr>
        <w:tc>
          <w:tcPr>
            <w:tcW w:w="1681" w:type="dxa"/>
            <w:gridSpan w:val="2"/>
            <w:noWrap w:val="0"/>
            <w:vAlign w:val="center"/>
          </w:tcPr>
          <w:p w14:paraId="386A9786">
            <w:pPr>
              <w:pStyle w:val="391"/>
              <w:widowControl w:val="0"/>
              <w:tabs>
                <w:tab w:val="left" w:pos="2730"/>
              </w:tabs>
              <w:spacing w:before="72" w:line="240" w:lineRule="auto"/>
              <w:ind w:firstLine="0" w:firstLineChars="0"/>
              <w:jc w:val="center"/>
              <w:rPr>
                <w:highlight w:val="none"/>
              </w:rPr>
            </w:pPr>
            <w:r>
              <w:rPr>
                <w:spacing w:val="-2"/>
                <w:highlight w:val="none"/>
              </w:rPr>
              <w:t>采购人</w:t>
            </w:r>
          </w:p>
        </w:tc>
        <w:tc>
          <w:tcPr>
            <w:tcW w:w="2961" w:type="dxa"/>
            <w:gridSpan w:val="2"/>
            <w:noWrap w:val="0"/>
            <w:vAlign w:val="center"/>
          </w:tcPr>
          <w:p w14:paraId="1B6498D9">
            <w:pPr>
              <w:widowControl w:val="0"/>
              <w:tabs>
                <w:tab w:val="left" w:pos="2730"/>
              </w:tabs>
              <w:spacing w:line="240" w:lineRule="auto"/>
              <w:ind w:firstLine="0" w:firstLineChars="0"/>
              <w:jc w:val="center"/>
              <w:rPr>
                <w:rFonts w:ascii="Arial" w:hAnsi="Calibri"/>
                <w:highlight w:val="none"/>
              </w:rPr>
            </w:pPr>
            <w:r>
              <w:rPr>
                <w:rFonts w:hint="eastAsia" w:ascii="Arial" w:hAnsi="Calibri"/>
                <w:highlight w:val="none"/>
              </w:rPr>
              <w:t>深圳书城龙岗城实业有限公司</w:t>
            </w:r>
          </w:p>
        </w:tc>
        <w:tc>
          <w:tcPr>
            <w:tcW w:w="2127" w:type="dxa"/>
            <w:gridSpan w:val="2"/>
            <w:noWrap w:val="0"/>
            <w:vAlign w:val="center"/>
          </w:tcPr>
          <w:p w14:paraId="17E77C30">
            <w:pPr>
              <w:pStyle w:val="391"/>
              <w:widowControl w:val="0"/>
              <w:tabs>
                <w:tab w:val="left" w:pos="2730"/>
              </w:tabs>
              <w:spacing w:before="75" w:line="240" w:lineRule="auto"/>
              <w:ind w:firstLine="0" w:firstLineChars="0"/>
              <w:jc w:val="center"/>
              <w:rPr>
                <w:highlight w:val="none"/>
              </w:rPr>
            </w:pPr>
            <w:r>
              <w:rPr>
                <w:spacing w:val="2"/>
                <w:highlight w:val="none"/>
              </w:rPr>
              <w:t>项目名称</w:t>
            </w:r>
          </w:p>
        </w:tc>
        <w:tc>
          <w:tcPr>
            <w:tcW w:w="3189" w:type="dxa"/>
            <w:gridSpan w:val="2"/>
            <w:noWrap w:val="0"/>
            <w:vAlign w:val="center"/>
          </w:tcPr>
          <w:p w14:paraId="7EBDD3E9">
            <w:pPr>
              <w:widowControl w:val="0"/>
              <w:tabs>
                <w:tab w:val="left" w:pos="2730"/>
              </w:tabs>
              <w:spacing w:line="240" w:lineRule="auto"/>
              <w:ind w:firstLine="0" w:firstLineChars="0"/>
              <w:jc w:val="center"/>
              <w:rPr>
                <w:rFonts w:hint="eastAsia" w:ascii="Arial" w:hAnsi="Calibri" w:eastAsia="宋体"/>
                <w:highlight w:val="none"/>
                <w:lang w:eastAsia="zh-CN"/>
              </w:rPr>
            </w:pPr>
            <w:r>
              <w:rPr>
                <w:rFonts w:hint="eastAsia" w:ascii="Arial" w:hAnsi="Calibri"/>
                <w:highlight w:val="none"/>
                <w:lang w:eastAsia="zh-CN"/>
              </w:rPr>
              <w:t>深圳书城龙岗城（金旭大楼）2026-2028年度LED显示屏维保服务（二次）</w:t>
            </w:r>
          </w:p>
        </w:tc>
      </w:tr>
      <w:tr w14:paraId="32E6C3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3" w:hRule="atLeast"/>
          <w:jc w:val="center"/>
        </w:trPr>
        <w:tc>
          <w:tcPr>
            <w:tcW w:w="1681" w:type="dxa"/>
            <w:gridSpan w:val="2"/>
            <w:noWrap w:val="0"/>
            <w:vAlign w:val="center"/>
          </w:tcPr>
          <w:p w14:paraId="4BC14FF9">
            <w:pPr>
              <w:pStyle w:val="391"/>
              <w:widowControl w:val="0"/>
              <w:tabs>
                <w:tab w:val="left" w:pos="2730"/>
              </w:tabs>
              <w:spacing w:before="269" w:line="240" w:lineRule="auto"/>
              <w:ind w:firstLine="0" w:firstLineChars="0"/>
              <w:jc w:val="center"/>
              <w:rPr>
                <w:highlight w:val="none"/>
              </w:rPr>
            </w:pPr>
            <w:r>
              <w:rPr>
                <w:spacing w:val="3"/>
                <w:highlight w:val="none"/>
              </w:rPr>
              <w:t>响应供应商</w:t>
            </w:r>
          </w:p>
        </w:tc>
        <w:tc>
          <w:tcPr>
            <w:tcW w:w="2961" w:type="dxa"/>
            <w:gridSpan w:val="2"/>
            <w:noWrap w:val="0"/>
            <w:vAlign w:val="center"/>
          </w:tcPr>
          <w:p w14:paraId="4E530880">
            <w:pPr>
              <w:widowControl w:val="0"/>
              <w:tabs>
                <w:tab w:val="left" w:pos="2730"/>
              </w:tabs>
              <w:spacing w:line="240" w:lineRule="auto"/>
              <w:ind w:firstLine="0" w:firstLineChars="0"/>
              <w:jc w:val="center"/>
              <w:rPr>
                <w:rFonts w:ascii="Arial" w:hAnsi="Calibri"/>
                <w:highlight w:val="none"/>
              </w:rPr>
            </w:pPr>
          </w:p>
        </w:tc>
        <w:tc>
          <w:tcPr>
            <w:tcW w:w="2127" w:type="dxa"/>
            <w:gridSpan w:val="2"/>
            <w:noWrap w:val="0"/>
            <w:vAlign w:val="center"/>
          </w:tcPr>
          <w:p w14:paraId="510DBBBE">
            <w:pPr>
              <w:pStyle w:val="391"/>
              <w:widowControl w:val="0"/>
              <w:tabs>
                <w:tab w:val="left" w:pos="2730"/>
              </w:tabs>
              <w:spacing w:before="88" w:line="240" w:lineRule="auto"/>
              <w:ind w:right="56" w:firstLine="0" w:firstLineChars="0"/>
              <w:jc w:val="center"/>
              <w:rPr>
                <w:highlight w:val="none"/>
                <w:lang w:eastAsia="zh-CN"/>
              </w:rPr>
            </w:pPr>
            <w:r>
              <w:rPr>
                <w:spacing w:val="2"/>
                <w:highlight w:val="none"/>
                <w:lang w:eastAsia="zh-CN"/>
              </w:rPr>
              <w:t>供应商统一社会信</w:t>
            </w:r>
            <w:r>
              <w:rPr>
                <w:spacing w:val="3"/>
                <w:highlight w:val="none"/>
                <w:lang w:eastAsia="zh-CN"/>
              </w:rPr>
              <w:t>用代码</w:t>
            </w:r>
          </w:p>
        </w:tc>
        <w:tc>
          <w:tcPr>
            <w:tcW w:w="3189" w:type="dxa"/>
            <w:gridSpan w:val="2"/>
            <w:noWrap w:val="0"/>
            <w:vAlign w:val="center"/>
          </w:tcPr>
          <w:p w14:paraId="0049F811">
            <w:pPr>
              <w:widowControl w:val="0"/>
              <w:tabs>
                <w:tab w:val="left" w:pos="2730"/>
              </w:tabs>
              <w:spacing w:line="240" w:lineRule="auto"/>
              <w:ind w:firstLine="0" w:firstLineChars="0"/>
              <w:jc w:val="center"/>
              <w:rPr>
                <w:rFonts w:ascii="Arial" w:hAnsi="Calibri"/>
                <w:highlight w:val="none"/>
              </w:rPr>
            </w:pPr>
          </w:p>
        </w:tc>
      </w:tr>
      <w:tr w14:paraId="169071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0" w:hRule="atLeast"/>
          <w:jc w:val="center"/>
        </w:trPr>
        <w:tc>
          <w:tcPr>
            <w:tcW w:w="9958" w:type="dxa"/>
            <w:gridSpan w:val="8"/>
            <w:noWrap w:val="0"/>
            <w:vAlign w:val="top"/>
          </w:tcPr>
          <w:p w14:paraId="7757BCB8">
            <w:pPr>
              <w:pStyle w:val="391"/>
              <w:widowControl w:val="0"/>
              <w:tabs>
                <w:tab w:val="left" w:pos="2730"/>
              </w:tabs>
              <w:spacing w:before="66" w:line="240" w:lineRule="auto"/>
              <w:ind w:firstLine="0" w:firstLineChars="0"/>
              <w:jc w:val="center"/>
              <w:rPr>
                <w:highlight w:val="none"/>
                <w:lang w:eastAsia="zh-CN"/>
              </w:rPr>
            </w:pPr>
            <w:r>
              <w:rPr>
                <w:b/>
                <w:bCs/>
                <w:spacing w:val="-3"/>
                <w:highlight w:val="none"/>
                <w:lang w:eastAsia="zh-CN"/>
              </w:rPr>
              <w:t>响应供应商相关人员情况</w:t>
            </w:r>
          </w:p>
        </w:tc>
      </w:tr>
      <w:tr w14:paraId="51F7A3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6" w:hRule="atLeast"/>
          <w:jc w:val="center"/>
        </w:trPr>
        <w:tc>
          <w:tcPr>
            <w:tcW w:w="833" w:type="dxa"/>
            <w:noWrap w:val="0"/>
            <w:vAlign w:val="top"/>
          </w:tcPr>
          <w:p w14:paraId="6B38049B">
            <w:pPr>
              <w:pStyle w:val="391"/>
              <w:widowControl w:val="0"/>
              <w:tabs>
                <w:tab w:val="left" w:pos="2730"/>
              </w:tabs>
              <w:spacing w:before="262" w:line="240" w:lineRule="auto"/>
              <w:ind w:firstLine="0" w:firstLineChars="0"/>
              <w:jc w:val="center"/>
              <w:rPr>
                <w:highlight w:val="none"/>
              </w:rPr>
            </w:pPr>
            <w:r>
              <w:rPr>
                <w:spacing w:val="7"/>
                <w:highlight w:val="none"/>
              </w:rPr>
              <w:t>序号</w:t>
            </w:r>
          </w:p>
        </w:tc>
        <w:tc>
          <w:tcPr>
            <w:tcW w:w="2815" w:type="dxa"/>
            <w:gridSpan w:val="2"/>
            <w:noWrap w:val="0"/>
            <w:vAlign w:val="top"/>
          </w:tcPr>
          <w:p w14:paraId="510FDDBB">
            <w:pPr>
              <w:pStyle w:val="391"/>
              <w:widowControl w:val="0"/>
              <w:tabs>
                <w:tab w:val="left" w:pos="2730"/>
              </w:tabs>
              <w:spacing w:before="261" w:line="240" w:lineRule="auto"/>
              <w:ind w:firstLine="0" w:firstLineChars="0"/>
              <w:jc w:val="center"/>
              <w:rPr>
                <w:highlight w:val="none"/>
              </w:rPr>
            </w:pPr>
            <w:r>
              <w:rPr>
                <w:spacing w:val="5"/>
                <w:highlight w:val="none"/>
              </w:rPr>
              <w:t>职务</w:t>
            </w:r>
          </w:p>
        </w:tc>
        <w:tc>
          <w:tcPr>
            <w:tcW w:w="994" w:type="dxa"/>
            <w:noWrap w:val="0"/>
            <w:vAlign w:val="top"/>
          </w:tcPr>
          <w:p w14:paraId="5DD65E9B">
            <w:pPr>
              <w:pStyle w:val="391"/>
              <w:widowControl w:val="0"/>
              <w:tabs>
                <w:tab w:val="left" w:pos="2730"/>
              </w:tabs>
              <w:spacing w:before="261" w:line="240" w:lineRule="auto"/>
              <w:ind w:firstLine="0" w:firstLineChars="0"/>
              <w:jc w:val="center"/>
              <w:rPr>
                <w:highlight w:val="none"/>
              </w:rPr>
            </w:pPr>
            <w:r>
              <w:rPr>
                <w:spacing w:val="14"/>
                <w:highlight w:val="none"/>
              </w:rPr>
              <w:t>姓名</w:t>
            </w:r>
          </w:p>
        </w:tc>
        <w:tc>
          <w:tcPr>
            <w:tcW w:w="2127" w:type="dxa"/>
            <w:gridSpan w:val="2"/>
            <w:noWrap w:val="0"/>
            <w:vAlign w:val="top"/>
          </w:tcPr>
          <w:p w14:paraId="3A03567C">
            <w:pPr>
              <w:pStyle w:val="391"/>
              <w:widowControl w:val="0"/>
              <w:tabs>
                <w:tab w:val="left" w:pos="2730"/>
              </w:tabs>
              <w:spacing w:before="261" w:line="240" w:lineRule="auto"/>
              <w:ind w:firstLine="0" w:firstLineChars="0"/>
              <w:jc w:val="center"/>
              <w:rPr>
                <w:highlight w:val="none"/>
              </w:rPr>
            </w:pPr>
            <w:r>
              <w:rPr>
                <w:spacing w:val="2"/>
                <w:highlight w:val="none"/>
              </w:rPr>
              <w:t>身份证号码</w:t>
            </w:r>
          </w:p>
        </w:tc>
        <w:tc>
          <w:tcPr>
            <w:tcW w:w="1592" w:type="dxa"/>
            <w:noWrap w:val="0"/>
            <w:vAlign w:val="top"/>
          </w:tcPr>
          <w:p w14:paraId="5A0D748F">
            <w:pPr>
              <w:pStyle w:val="391"/>
              <w:widowControl w:val="0"/>
              <w:tabs>
                <w:tab w:val="left" w:pos="2730"/>
              </w:tabs>
              <w:spacing w:before="91" w:line="240" w:lineRule="auto"/>
              <w:ind w:right="260" w:firstLine="0" w:firstLineChars="0"/>
              <w:jc w:val="center"/>
              <w:rPr>
                <w:spacing w:val="5"/>
                <w:highlight w:val="none"/>
              </w:rPr>
            </w:pPr>
            <w:r>
              <w:rPr>
                <w:spacing w:val="5"/>
                <w:highlight w:val="none"/>
              </w:rPr>
              <w:t>劳动合同</w:t>
            </w:r>
          </w:p>
          <w:p w14:paraId="2BFF2527">
            <w:pPr>
              <w:pStyle w:val="391"/>
              <w:widowControl w:val="0"/>
              <w:tabs>
                <w:tab w:val="left" w:pos="2730"/>
              </w:tabs>
              <w:spacing w:before="91" w:line="240" w:lineRule="auto"/>
              <w:ind w:right="260" w:firstLine="0" w:firstLineChars="0"/>
              <w:jc w:val="center"/>
              <w:rPr>
                <w:highlight w:val="none"/>
              </w:rPr>
            </w:pPr>
            <w:r>
              <w:rPr>
                <w:spacing w:val="2"/>
                <w:highlight w:val="none"/>
              </w:rPr>
              <w:t>关系单位</w:t>
            </w:r>
          </w:p>
        </w:tc>
        <w:tc>
          <w:tcPr>
            <w:tcW w:w="1597" w:type="dxa"/>
            <w:noWrap w:val="0"/>
            <w:vAlign w:val="top"/>
          </w:tcPr>
          <w:p w14:paraId="0D5316BA">
            <w:pPr>
              <w:pStyle w:val="391"/>
              <w:widowControl w:val="0"/>
              <w:tabs>
                <w:tab w:val="left" w:pos="2730"/>
              </w:tabs>
              <w:spacing w:before="81" w:line="240" w:lineRule="auto"/>
              <w:ind w:right="287" w:firstLine="0" w:firstLineChars="0"/>
              <w:jc w:val="center"/>
              <w:rPr>
                <w:spacing w:val="-2"/>
                <w:highlight w:val="none"/>
              </w:rPr>
            </w:pPr>
            <w:r>
              <w:rPr>
                <w:spacing w:val="-2"/>
                <w:highlight w:val="none"/>
              </w:rPr>
              <w:t>缴纳社会</w:t>
            </w:r>
          </w:p>
          <w:p w14:paraId="5CADF5AF">
            <w:pPr>
              <w:pStyle w:val="391"/>
              <w:widowControl w:val="0"/>
              <w:tabs>
                <w:tab w:val="left" w:pos="2730"/>
              </w:tabs>
              <w:spacing w:before="81" w:line="240" w:lineRule="auto"/>
              <w:ind w:right="287" w:firstLine="0" w:firstLineChars="0"/>
              <w:jc w:val="center"/>
              <w:rPr>
                <w:highlight w:val="none"/>
              </w:rPr>
            </w:pPr>
            <w:r>
              <w:rPr>
                <w:spacing w:val="-2"/>
                <w:highlight w:val="none"/>
              </w:rPr>
              <w:t>保险单位</w:t>
            </w:r>
          </w:p>
        </w:tc>
      </w:tr>
      <w:tr w14:paraId="01157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17" w:hRule="atLeast"/>
          <w:jc w:val="center"/>
        </w:trPr>
        <w:tc>
          <w:tcPr>
            <w:tcW w:w="833" w:type="dxa"/>
            <w:noWrap w:val="0"/>
            <w:vAlign w:val="top"/>
          </w:tcPr>
          <w:p w14:paraId="42E1AA90">
            <w:pPr>
              <w:widowControl w:val="0"/>
              <w:tabs>
                <w:tab w:val="left" w:pos="2730"/>
              </w:tabs>
              <w:spacing w:line="240" w:lineRule="auto"/>
              <w:ind w:firstLine="0" w:firstLineChars="0"/>
              <w:jc w:val="center"/>
              <w:rPr>
                <w:rFonts w:ascii="Arial" w:hAnsi="Calibri"/>
                <w:highlight w:val="none"/>
              </w:rPr>
            </w:pPr>
          </w:p>
          <w:p w14:paraId="101EF4A3">
            <w:pPr>
              <w:pStyle w:val="391"/>
              <w:widowControl w:val="0"/>
              <w:tabs>
                <w:tab w:val="left" w:pos="2730"/>
              </w:tabs>
              <w:spacing w:before="75" w:line="240" w:lineRule="auto"/>
              <w:ind w:firstLine="0" w:firstLineChars="0"/>
              <w:jc w:val="center"/>
              <w:rPr>
                <w:highlight w:val="none"/>
              </w:rPr>
            </w:pPr>
            <w:r>
              <w:rPr>
                <w:highlight w:val="none"/>
              </w:rPr>
              <w:t>1</w:t>
            </w:r>
          </w:p>
        </w:tc>
        <w:tc>
          <w:tcPr>
            <w:tcW w:w="2815" w:type="dxa"/>
            <w:gridSpan w:val="2"/>
            <w:noWrap w:val="0"/>
            <w:vAlign w:val="top"/>
          </w:tcPr>
          <w:p w14:paraId="2EEE2CA7">
            <w:pPr>
              <w:pStyle w:val="391"/>
              <w:widowControl w:val="0"/>
              <w:tabs>
                <w:tab w:val="left" w:pos="2730"/>
              </w:tabs>
              <w:spacing w:before="211" w:line="240" w:lineRule="auto"/>
              <w:ind w:right="30" w:firstLine="0" w:firstLineChars="0"/>
              <w:jc w:val="center"/>
              <w:rPr>
                <w:highlight w:val="none"/>
                <w:lang w:eastAsia="zh-CN"/>
              </w:rPr>
            </w:pPr>
            <w:r>
              <w:rPr>
                <w:spacing w:val="1"/>
                <w:highlight w:val="none"/>
                <w:lang w:eastAsia="zh-CN"/>
              </w:rPr>
              <w:t>法定代表人/单位</w:t>
            </w:r>
            <w:r>
              <w:rPr>
                <w:rFonts w:hint="eastAsia"/>
                <w:spacing w:val="1"/>
                <w:highlight w:val="none"/>
                <w:lang w:eastAsia="zh-CN"/>
              </w:rPr>
              <w:t>负责人</w:t>
            </w:r>
            <w:r>
              <w:rPr>
                <w:spacing w:val="1"/>
                <w:highlight w:val="none"/>
                <w:lang w:eastAsia="zh-CN"/>
              </w:rPr>
              <w:t>/主要经营负责人</w:t>
            </w:r>
          </w:p>
        </w:tc>
        <w:tc>
          <w:tcPr>
            <w:tcW w:w="994" w:type="dxa"/>
            <w:noWrap w:val="0"/>
            <w:vAlign w:val="top"/>
          </w:tcPr>
          <w:p w14:paraId="6E5FFD4C">
            <w:pPr>
              <w:widowControl w:val="0"/>
              <w:tabs>
                <w:tab w:val="left" w:pos="2730"/>
              </w:tabs>
              <w:spacing w:line="240" w:lineRule="auto"/>
              <w:ind w:firstLine="0" w:firstLineChars="0"/>
              <w:jc w:val="center"/>
              <w:rPr>
                <w:rFonts w:ascii="Arial" w:hAnsi="Calibri"/>
                <w:highlight w:val="none"/>
              </w:rPr>
            </w:pPr>
          </w:p>
        </w:tc>
        <w:tc>
          <w:tcPr>
            <w:tcW w:w="2127" w:type="dxa"/>
            <w:gridSpan w:val="2"/>
            <w:noWrap w:val="0"/>
            <w:vAlign w:val="top"/>
          </w:tcPr>
          <w:p w14:paraId="05AE2AF8">
            <w:pPr>
              <w:widowControl w:val="0"/>
              <w:tabs>
                <w:tab w:val="left" w:pos="2730"/>
              </w:tabs>
              <w:spacing w:line="240" w:lineRule="auto"/>
              <w:ind w:firstLine="0" w:firstLineChars="0"/>
              <w:jc w:val="center"/>
              <w:rPr>
                <w:rFonts w:ascii="Arial" w:hAnsi="Calibri"/>
                <w:highlight w:val="none"/>
              </w:rPr>
            </w:pPr>
          </w:p>
        </w:tc>
        <w:tc>
          <w:tcPr>
            <w:tcW w:w="1592" w:type="dxa"/>
            <w:noWrap w:val="0"/>
            <w:vAlign w:val="top"/>
          </w:tcPr>
          <w:p w14:paraId="15186272">
            <w:pPr>
              <w:widowControl w:val="0"/>
              <w:tabs>
                <w:tab w:val="left" w:pos="2730"/>
              </w:tabs>
              <w:spacing w:line="240" w:lineRule="auto"/>
              <w:ind w:firstLine="0" w:firstLineChars="0"/>
              <w:jc w:val="center"/>
              <w:rPr>
                <w:rFonts w:ascii="Arial" w:hAnsi="Calibri"/>
                <w:highlight w:val="none"/>
              </w:rPr>
            </w:pPr>
          </w:p>
        </w:tc>
        <w:tc>
          <w:tcPr>
            <w:tcW w:w="1597" w:type="dxa"/>
            <w:noWrap w:val="0"/>
            <w:vAlign w:val="top"/>
          </w:tcPr>
          <w:p w14:paraId="78421834">
            <w:pPr>
              <w:widowControl w:val="0"/>
              <w:tabs>
                <w:tab w:val="left" w:pos="2730"/>
              </w:tabs>
              <w:spacing w:line="240" w:lineRule="auto"/>
              <w:ind w:firstLine="0" w:firstLineChars="0"/>
              <w:jc w:val="center"/>
              <w:rPr>
                <w:rFonts w:ascii="Arial" w:hAnsi="Calibri"/>
                <w:highlight w:val="none"/>
              </w:rPr>
            </w:pPr>
          </w:p>
        </w:tc>
      </w:tr>
      <w:tr w14:paraId="67C7F5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jc w:val="center"/>
        </w:trPr>
        <w:tc>
          <w:tcPr>
            <w:tcW w:w="833" w:type="dxa"/>
            <w:noWrap w:val="0"/>
            <w:vAlign w:val="top"/>
          </w:tcPr>
          <w:p w14:paraId="78CA7278">
            <w:pPr>
              <w:pStyle w:val="391"/>
              <w:widowControl w:val="0"/>
              <w:tabs>
                <w:tab w:val="left" w:pos="2730"/>
              </w:tabs>
              <w:spacing w:before="142" w:line="240" w:lineRule="auto"/>
              <w:ind w:firstLine="0" w:firstLineChars="0"/>
              <w:jc w:val="center"/>
              <w:rPr>
                <w:highlight w:val="none"/>
              </w:rPr>
            </w:pPr>
            <w:r>
              <w:rPr>
                <w:highlight w:val="none"/>
              </w:rPr>
              <w:t>2</w:t>
            </w:r>
          </w:p>
        </w:tc>
        <w:tc>
          <w:tcPr>
            <w:tcW w:w="2815" w:type="dxa"/>
            <w:gridSpan w:val="2"/>
            <w:noWrap w:val="0"/>
            <w:vAlign w:val="top"/>
          </w:tcPr>
          <w:p w14:paraId="4D0A9341">
            <w:pPr>
              <w:pStyle w:val="391"/>
              <w:widowControl w:val="0"/>
              <w:tabs>
                <w:tab w:val="left" w:pos="2730"/>
              </w:tabs>
              <w:spacing w:before="83" w:line="240" w:lineRule="auto"/>
              <w:ind w:firstLine="0" w:firstLineChars="0"/>
              <w:jc w:val="center"/>
              <w:rPr>
                <w:highlight w:val="none"/>
              </w:rPr>
            </w:pPr>
            <w:r>
              <w:rPr>
                <w:spacing w:val="1"/>
                <w:highlight w:val="none"/>
              </w:rPr>
              <w:t>项目响应授权代表人</w:t>
            </w:r>
          </w:p>
        </w:tc>
        <w:tc>
          <w:tcPr>
            <w:tcW w:w="994" w:type="dxa"/>
            <w:noWrap w:val="0"/>
            <w:vAlign w:val="top"/>
          </w:tcPr>
          <w:p w14:paraId="6A61DC58">
            <w:pPr>
              <w:widowControl w:val="0"/>
              <w:tabs>
                <w:tab w:val="left" w:pos="2730"/>
              </w:tabs>
              <w:spacing w:line="240" w:lineRule="auto"/>
              <w:ind w:firstLine="0" w:firstLineChars="0"/>
              <w:jc w:val="center"/>
              <w:rPr>
                <w:rFonts w:ascii="Arial" w:hAnsi="Calibri"/>
                <w:highlight w:val="none"/>
              </w:rPr>
            </w:pPr>
          </w:p>
        </w:tc>
        <w:tc>
          <w:tcPr>
            <w:tcW w:w="2127" w:type="dxa"/>
            <w:gridSpan w:val="2"/>
            <w:noWrap w:val="0"/>
            <w:vAlign w:val="top"/>
          </w:tcPr>
          <w:p w14:paraId="1729F92C">
            <w:pPr>
              <w:widowControl w:val="0"/>
              <w:tabs>
                <w:tab w:val="left" w:pos="2730"/>
              </w:tabs>
              <w:spacing w:line="240" w:lineRule="auto"/>
              <w:ind w:firstLine="0" w:firstLineChars="0"/>
              <w:jc w:val="center"/>
              <w:rPr>
                <w:rFonts w:ascii="Arial" w:hAnsi="Calibri"/>
                <w:highlight w:val="none"/>
              </w:rPr>
            </w:pPr>
          </w:p>
        </w:tc>
        <w:tc>
          <w:tcPr>
            <w:tcW w:w="1592" w:type="dxa"/>
            <w:noWrap w:val="0"/>
            <w:vAlign w:val="top"/>
          </w:tcPr>
          <w:p w14:paraId="7F706CA2">
            <w:pPr>
              <w:widowControl w:val="0"/>
              <w:tabs>
                <w:tab w:val="left" w:pos="2730"/>
              </w:tabs>
              <w:spacing w:line="240" w:lineRule="auto"/>
              <w:ind w:firstLine="0" w:firstLineChars="0"/>
              <w:jc w:val="center"/>
              <w:rPr>
                <w:rFonts w:ascii="Arial" w:hAnsi="Calibri"/>
                <w:highlight w:val="none"/>
              </w:rPr>
            </w:pPr>
          </w:p>
        </w:tc>
        <w:tc>
          <w:tcPr>
            <w:tcW w:w="1597" w:type="dxa"/>
            <w:noWrap w:val="0"/>
            <w:vAlign w:val="top"/>
          </w:tcPr>
          <w:p w14:paraId="2DEEA8A0">
            <w:pPr>
              <w:widowControl w:val="0"/>
              <w:tabs>
                <w:tab w:val="left" w:pos="2730"/>
              </w:tabs>
              <w:spacing w:line="240" w:lineRule="auto"/>
              <w:ind w:firstLine="0" w:firstLineChars="0"/>
              <w:jc w:val="center"/>
              <w:rPr>
                <w:rFonts w:ascii="Arial" w:hAnsi="Calibri"/>
                <w:highlight w:val="none"/>
              </w:rPr>
            </w:pPr>
          </w:p>
        </w:tc>
      </w:tr>
      <w:tr w14:paraId="3BC4C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5" w:hRule="atLeast"/>
          <w:jc w:val="center"/>
        </w:trPr>
        <w:tc>
          <w:tcPr>
            <w:tcW w:w="833" w:type="dxa"/>
            <w:noWrap w:val="0"/>
            <w:vAlign w:val="top"/>
          </w:tcPr>
          <w:p w14:paraId="234DC169">
            <w:pPr>
              <w:pStyle w:val="391"/>
              <w:widowControl w:val="0"/>
              <w:tabs>
                <w:tab w:val="left" w:pos="2730"/>
              </w:tabs>
              <w:spacing w:before="133" w:line="240" w:lineRule="auto"/>
              <w:ind w:firstLine="0" w:firstLineChars="0"/>
              <w:jc w:val="center"/>
              <w:rPr>
                <w:highlight w:val="none"/>
              </w:rPr>
            </w:pPr>
            <w:r>
              <w:rPr>
                <w:highlight w:val="none"/>
              </w:rPr>
              <w:t>3</w:t>
            </w:r>
          </w:p>
        </w:tc>
        <w:tc>
          <w:tcPr>
            <w:tcW w:w="2815" w:type="dxa"/>
            <w:gridSpan w:val="2"/>
            <w:noWrap w:val="0"/>
            <w:vAlign w:val="top"/>
          </w:tcPr>
          <w:p w14:paraId="3638A71E">
            <w:pPr>
              <w:pStyle w:val="391"/>
              <w:widowControl w:val="0"/>
              <w:tabs>
                <w:tab w:val="left" w:pos="2730"/>
              </w:tabs>
              <w:spacing w:before="73" w:line="240" w:lineRule="auto"/>
              <w:ind w:firstLine="0" w:firstLineChars="0"/>
              <w:jc w:val="center"/>
              <w:rPr>
                <w:highlight w:val="none"/>
              </w:rPr>
            </w:pPr>
            <w:r>
              <w:rPr>
                <w:spacing w:val="1"/>
                <w:highlight w:val="none"/>
              </w:rPr>
              <w:t>项目负责人</w:t>
            </w:r>
          </w:p>
        </w:tc>
        <w:tc>
          <w:tcPr>
            <w:tcW w:w="994" w:type="dxa"/>
            <w:noWrap w:val="0"/>
            <w:vAlign w:val="top"/>
          </w:tcPr>
          <w:p w14:paraId="2372F251">
            <w:pPr>
              <w:widowControl w:val="0"/>
              <w:tabs>
                <w:tab w:val="left" w:pos="2730"/>
              </w:tabs>
              <w:spacing w:line="240" w:lineRule="auto"/>
              <w:ind w:firstLine="0" w:firstLineChars="0"/>
              <w:jc w:val="center"/>
              <w:rPr>
                <w:rFonts w:ascii="Arial" w:hAnsi="Calibri"/>
                <w:highlight w:val="none"/>
              </w:rPr>
            </w:pPr>
          </w:p>
        </w:tc>
        <w:tc>
          <w:tcPr>
            <w:tcW w:w="2127" w:type="dxa"/>
            <w:gridSpan w:val="2"/>
            <w:noWrap w:val="0"/>
            <w:vAlign w:val="top"/>
          </w:tcPr>
          <w:p w14:paraId="0DD3C2C0">
            <w:pPr>
              <w:widowControl w:val="0"/>
              <w:tabs>
                <w:tab w:val="left" w:pos="2730"/>
              </w:tabs>
              <w:spacing w:line="240" w:lineRule="auto"/>
              <w:ind w:firstLine="0" w:firstLineChars="0"/>
              <w:jc w:val="center"/>
              <w:rPr>
                <w:rFonts w:ascii="Arial" w:hAnsi="Calibri"/>
                <w:highlight w:val="none"/>
              </w:rPr>
            </w:pPr>
          </w:p>
        </w:tc>
        <w:tc>
          <w:tcPr>
            <w:tcW w:w="1592" w:type="dxa"/>
            <w:noWrap w:val="0"/>
            <w:vAlign w:val="top"/>
          </w:tcPr>
          <w:p w14:paraId="2C26ABA3">
            <w:pPr>
              <w:widowControl w:val="0"/>
              <w:tabs>
                <w:tab w:val="left" w:pos="2730"/>
              </w:tabs>
              <w:spacing w:line="240" w:lineRule="auto"/>
              <w:ind w:firstLine="0" w:firstLineChars="0"/>
              <w:jc w:val="center"/>
              <w:rPr>
                <w:rFonts w:ascii="Arial" w:hAnsi="Calibri"/>
                <w:highlight w:val="none"/>
              </w:rPr>
            </w:pPr>
          </w:p>
        </w:tc>
        <w:tc>
          <w:tcPr>
            <w:tcW w:w="1597" w:type="dxa"/>
            <w:noWrap w:val="0"/>
            <w:vAlign w:val="top"/>
          </w:tcPr>
          <w:p w14:paraId="4B38F86F">
            <w:pPr>
              <w:widowControl w:val="0"/>
              <w:tabs>
                <w:tab w:val="left" w:pos="2730"/>
              </w:tabs>
              <w:spacing w:line="240" w:lineRule="auto"/>
              <w:ind w:firstLine="0" w:firstLineChars="0"/>
              <w:jc w:val="center"/>
              <w:rPr>
                <w:rFonts w:ascii="Arial" w:hAnsi="Calibri"/>
                <w:highlight w:val="none"/>
              </w:rPr>
            </w:pPr>
          </w:p>
        </w:tc>
      </w:tr>
      <w:tr w14:paraId="4460CE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5" w:hRule="atLeast"/>
          <w:jc w:val="center"/>
        </w:trPr>
        <w:tc>
          <w:tcPr>
            <w:tcW w:w="833" w:type="dxa"/>
            <w:noWrap w:val="0"/>
            <w:vAlign w:val="top"/>
          </w:tcPr>
          <w:p w14:paraId="374BB3F6">
            <w:pPr>
              <w:pStyle w:val="391"/>
              <w:widowControl w:val="0"/>
              <w:tabs>
                <w:tab w:val="left" w:pos="2730"/>
              </w:tabs>
              <w:spacing w:before="142" w:line="240" w:lineRule="auto"/>
              <w:ind w:firstLine="0" w:firstLineChars="0"/>
              <w:jc w:val="center"/>
              <w:rPr>
                <w:highlight w:val="none"/>
              </w:rPr>
            </w:pPr>
            <w:r>
              <w:rPr>
                <w:highlight w:val="none"/>
              </w:rPr>
              <w:t>4</w:t>
            </w:r>
          </w:p>
        </w:tc>
        <w:tc>
          <w:tcPr>
            <w:tcW w:w="2815" w:type="dxa"/>
            <w:gridSpan w:val="2"/>
            <w:noWrap w:val="0"/>
            <w:vAlign w:val="top"/>
          </w:tcPr>
          <w:p w14:paraId="110A851B">
            <w:pPr>
              <w:pStyle w:val="391"/>
              <w:widowControl w:val="0"/>
              <w:tabs>
                <w:tab w:val="left" w:pos="2730"/>
              </w:tabs>
              <w:spacing w:before="83" w:line="240" w:lineRule="auto"/>
              <w:ind w:firstLine="0" w:firstLineChars="0"/>
              <w:jc w:val="center"/>
              <w:rPr>
                <w:highlight w:val="none"/>
              </w:rPr>
            </w:pPr>
            <w:r>
              <w:rPr>
                <w:spacing w:val="5"/>
                <w:highlight w:val="none"/>
              </w:rPr>
              <w:t>主要技术人员</w:t>
            </w:r>
          </w:p>
        </w:tc>
        <w:tc>
          <w:tcPr>
            <w:tcW w:w="994" w:type="dxa"/>
            <w:noWrap w:val="0"/>
            <w:vAlign w:val="top"/>
          </w:tcPr>
          <w:p w14:paraId="577E532C">
            <w:pPr>
              <w:widowControl w:val="0"/>
              <w:tabs>
                <w:tab w:val="left" w:pos="2730"/>
              </w:tabs>
              <w:spacing w:line="240" w:lineRule="auto"/>
              <w:ind w:firstLine="0" w:firstLineChars="0"/>
              <w:jc w:val="center"/>
              <w:rPr>
                <w:rFonts w:ascii="Arial" w:hAnsi="Calibri"/>
                <w:highlight w:val="none"/>
              </w:rPr>
            </w:pPr>
          </w:p>
        </w:tc>
        <w:tc>
          <w:tcPr>
            <w:tcW w:w="2127" w:type="dxa"/>
            <w:gridSpan w:val="2"/>
            <w:noWrap w:val="0"/>
            <w:vAlign w:val="top"/>
          </w:tcPr>
          <w:p w14:paraId="68A26621">
            <w:pPr>
              <w:widowControl w:val="0"/>
              <w:tabs>
                <w:tab w:val="left" w:pos="2730"/>
              </w:tabs>
              <w:spacing w:line="240" w:lineRule="auto"/>
              <w:ind w:firstLine="0" w:firstLineChars="0"/>
              <w:jc w:val="center"/>
              <w:rPr>
                <w:rFonts w:ascii="Arial" w:hAnsi="Calibri"/>
                <w:highlight w:val="none"/>
              </w:rPr>
            </w:pPr>
          </w:p>
        </w:tc>
        <w:tc>
          <w:tcPr>
            <w:tcW w:w="1592" w:type="dxa"/>
            <w:noWrap w:val="0"/>
            <w:vAlign w:val="top"/>
          </w:tcPr>
          <w:p w14:paraId="4771AF6F">
            <w:pPr>
              <w:widowControl w:val="0"/>
              <w:tabs>
                <w:tab w:val="left" w:pos="2730"/>
              </w:tabs>
              <w:spacing w:line="240" w:lineRule="auto"/>
              <w:ind w:firstLine="0" w:firstLineChars="0"/>
              <w:jc w:val="center"/>
              <w:rPr>
                <w:rFonts w:ascii="Arial" w:hAnsi="Calibri"/>
                <w:highlight w:val="none"/>
              </w:rPr>
            </w:pPr>
          </w:p>
        </w:tc>
        <w:tc>
          <w:tcPr>
            <w:tcW w:w="1597" w:type="dxa"/>
            <w:noWrap w:val="0"/>
            <w:vAlign w:val="top"/>
          </w:tcPr>
          <w:p w14:paraId="3F30F366">
            <w:pPr>
              <w:widowControl w:val="0"/>
              <w:tabs>
                <w:tab w:val="left" w:pos="2730"/>
              </w:tabs>
              <w:spacing w:line="240" w:lineRule="auto"/>
              <w:ind w:firstLine="0" w:firstLineChars="0"/>
              <w:jc w:val="center"/>
              <w:rPr>
                <w:rFonts w:ascii="Arial" w:hAnsi="Calibri"/>
                <w:highlight w:val="none"/>
              </w:rPr>
            </w:pPr>
          </w:p>
        </w:tc>
      </w:tr>
      <w:tr w14:paraId="10B19D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7" w:hRule="atLeast"/>
          <w:jc w:val="center"/>
        </w:trPr>
        <w:tc>
          <w:tcPr>
            <w:tcW w:w="833" w:type="dxa"/>
            <w:noWrap w:val="0"/>
            <w:vAlign w:val="top"/>
          </w:tcPr>
          <w:p w14:paraId="3794489E">
            <w:pPr>
              <w:pStyle w:val="391"/>
              <w:widowControl w:val="0"/>
              <w:tabs>
                <w:tab w:val="left" w:pos="2730"/>
              </w:tabs>
              <w:spacing w:before="135" w:line="240" w:lineRule="auto"/>
              <w:ind w:firstLine="0" w:firstLineChars="0"/>
              <w:jc w:val="center"/>
              <w:rPr>
                <w:highlight w:val="none"/>
              </w:rPr>
            </w:pPr>
            <w:r>
              <w:rPr>
                <w:highlight w:val="none"/>
              </w:rPr>
              <w:t>5</w:t>
            </w:r>
          </w:p>
        </w:tc>
        <w:tc>
          <w:tcPr>
            <w:tcW w:w="2815" w:type="dxa"/>
            <w:gridSpan w:val="2"/>
            <w:noWrap w:val="0"/>
            <w:vAlign w:val="top"/>
          </w:tcPr>
          <w:p w14:paraId="122DCCF6">
            <w:pPr>
              <w:pStyle w:val="391"/>
              <w:widowControl w:val="0"/>
              <w:tabs>
                <w:tab w:val="left" w:pos="2730"/>
              </w:tabs>
              <w:spacing w:before="74" w:line="240" w:lineRule="auto"/>
              <w:ind w:firstLine="0" w:firstLineChars="0"/>
              <w:jc w:val="center"/>
              <w:rPr>
                <w:highlight w:val="none"/>
              </w:rPr>
            </w:pPr>
            <w:r>
              <w:rPr>
                <w:spacing w:val="3"/>
                <w:highlight w:val="none"/>
              </w:rPr>
              <w:t>响应文件编制人员</w:t>
            </w:r>
          </w:p>
        </w:tc>
        <w:tc>
          <w:tcPr>
            <w:tcW w:w="994" w:type="dxa"/>
            <w:noWrap w:val="0"/>
            <w:vAlign w:val="top"/>
          </w:tcPr>
          <w:p w14:paraId="7F1E4212">
            <w:pPr>
              <w:widowControl w:val="0"/>
              <w:tabs>
                <w:tab w:val="left" w:pos="2730"/>
              </w:tabs>
              <w:spacing w:line="240" w:lineRule="auto"/>
              <w:ind w:firstLine="0" w:firstLineChars="0"/>
              <w:jc w:val="center"/>
              <w:rPr>
                <w:rFonts w:ascii="Arial" w:hAnsi="Calibri"/>
                <w:highlight w:val="none"/>
              </w:rPr>
            </w:pPr>
          </w:p>
        </w:tc>
        <w:tc>
          <w:tcPr>
            <w:tcW w:w="2127" w:type="dxa"/>
            <w:gridSpan w:val="2"/>
            <w:noWrap w:val="0"/>
            <w:vAlign w:val="top"/>
          </w:tcPr>
          <w:p w14:paraId="0B891871">
            <w:pPr>
              <w:widowControl w:val="0"/>
              <w:tabs>
                <w:tab w:val="left" w:pos="2730"/>
              </w:tabs>
              <w:spacing w:line="240" w:lineRule="auto"/>
              <w:ind w:firstLine="0" w:firstLineChars="0"/>
              <w:jc w:val="center"/>
              <w:rPr>
                <w:rFonts w:ascii="Arial" w:hAnsi="Calibri"/>
                <w:highlight w:val="none"/>
              </w:rPr>
            </w:pPr>
          </w:p>
        </w:tc>
        <w:tc>
          <w:tcPr>
            <w:tcW w:w="1592" w:type="dxa"/>
            <w:noWrap w:val="0"/>
            <w:vAlign w:val="top"/>
          </w:tcPr>
          <w:p w14:paraId="4E72E145">
            <w:pPr>
              <w:widowControl w:val="0"/>
              <w:tabs>
                <w:tab w:val="left" w:pos="2730"/>
              </w:tabs>
              <w:spacing w:line="240" w:lineRule="auto"/>
              <w:ind w:firstLine="0" w:firstLineChars="0"/>
              <w:jc w:val="center"/>
              <w:rPr>
                <w:rFonts w:ascii="Arial" w:hAnsi="Calibri"/>
                <w:highlight w:val="none"/>
              </w:rPr>
            </w:pPr>
          </w:p>
        </w:tc>
        <w:tc>
          <w:tcPr>
            <w:tcW w:w="1597" w:type="dxa"/>
            <w:noWrap w:val="0"/>
            <w:vAlign w:val="top"/>
          </w:tcPr>
          <w:p w14:paraId="57E44011">
            <w:pPr>
              <w:widowControl w:val="0"/>
              <w:tabs>
                <w:tab w:val="left" w:pos="2730"/>
              </w:tabs>
              <w:spacing w:line="240" w:lineRule="auto"/>
              <w:ind w:firstLine="0" w:firstLineChars="0"/>
              <w:jc w:val="center"/>
              <w:rPr>
                <w:rFonts w:ascii="Arial" w:hAnsi="Calibri"/>
                <w:highlight w:val="none"/>
              </w:rPr>
            </w:pPr>
          </w:p>
        </w:tc>
      </w:tr>
      <w:tr w14:paraId="7D618A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3" w:hRule="atLeast"/>
          <w:jc w:val="center"/>
        </w:trPr>
        <w:tc>
          <w:tcPr>
            <w:tcW w:w="9958" w:type="dxa"/>
            <w:gridSpan w:val="8"/>
            <w:noWrap w:val="0"/>
            <w:vAlign w:val="top"/>
          </w:tcPr>
          <w:p w14:paraId="67C8F31B">
            <w:pPr>
              <w:pStyle w:val="391"/>
              <w:widowControl w:val="0"/>
              <w:tabs>
                <w:tab w:val="left" w:pos="2730"/>
              </w:tabs>
              <w:spacing w:before="77" w:line="240" w:lineRule="auto"/>
              <w:ind w:firstLine="0" w:firstLineChars="0"/>
              <w:jc w:val="center"/>
              <w:rPr>
                <w:highlight w:val="none"/>
                <w:lang w:eastAsia="zh-CN"/>
              </w:rPr>
            </w:pPr>
            <w:r>
              <w:rPr>
                <w:b/>
                <w:bCs/>
                <w:spacing w:val="-3"/>
                <w:highlight w:val="none"/>
                <w:lang w:eastAsia="zh-CN"/>
              </w:rPr>
              <w:t>说明：同一职务有多人担任</w:t>
            </w:r>
            <w:r>
              <w:rPr>
                <w:rFonts w:hint="eastAsia"/>
                <w:b/>
                <w:bCs/>
                <w:spacing w:val="-3"/>
                <w:highlight w:val="none"/>
                <w:lang w:eastAsia="zh-CN"/>
              </w:rPr>
              <w:t>（</w:t>
            </w:r>
            <w:r>
              <w:rPr>
                <w:b/>
                <w:bCs/>
                <w:spacing w:val="-3"/>
                <w:highlight w:val="none"/>
                <w:lang w:eastAsia="zh-CN"/>
              </w:rPr>
              <w:t>如主要技术人员</w:t>
            </w:r>
            <w:r>
              <w:rPr>
                <w:rFonts w:hint="eastAsia"/>
                <w:b/>
                <w:bCs/>
                <w:spacing w:val="-3"/>
                <w:highlight w:val="none"/>
                <w:lang w:eastAsia="zh-CN"/>
              </w:rPr>
              <w:t>），</w:t>
            </w:r>
            <w:r>
              <w:rPr>
                <w:b/>
                <w:bCs/>
                <w:spacing w:val="-3"/>
                <w:highlight w:val="none"/>
                <w:lang w:eastAsia="zh-CN"/>
              </w:rPr>
              <w:t>应分行填写。</w:t>
            </w:r>
          </w:p>
        </w:tc>
      </w:tr>
      <w:tr w14:paraId="2EB4E2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5" w:hRule="atLeast"/>
          <w:jc w:val="center"/>
        </w:trPr>
        <w:tc>
          <w:tcPr>
            <w:tcW w:w="9958" w:type="dxa"/>
            <w:gridSpan w:val="8"/>
            <w:noWrap w:val="0"/>
            <w:vAlign w:val="top"/>
          </w:tcPr>
          <w:p w14:paraId="10163F64">
            <w:pPr>
              <w:pStyle w:val="391"/>
              <w:widowControl w:val="0"/>
              <w:tabs>
                <w:tab w:val="left" w:pos="2730"/>
              </w:tabs>
              <w:spacing w:before="159" w:line="240" w:lineRule="auto"/>
              <w:ind w:firstLine="0" w:firstLineChars="0"/>
              <w:jc w:val="center"/>
              <w:rPr>
                <w:highlight w:val="none"/>
                <w:lang w:eastAsia="zh-CN"/>
              </w:rPr>
            </w:pPr>
            <w:r>
              <w:rPr>
                <w:b/>
                <w:bCs/>
                <w:spacing w:val="-3"/>
                <w:highlight w:val="none"/>
                <w:lang w:eastAsia="zh-CN"/>
              </w:rPr>
              <w:t>响应供应商关联关系情况</w:t>
            </w:r>
          </w:p>
        </w:tc>
      </w:tr>
      <w:tr w14:paraId="2B07A6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2" w:hRule="atLeast"/>
          <w:jc w:val="center"/>
        </w:trPr>
        <w:tc>
          <w:tcPr>
            <w:tcW w:w="833" w:type="dxa"/>
            <w:noWrap w:val="0"/>
            <w:vAlign w:val="top"/>
          </w:tcPr>
          <w:p w14:paraId="547CD8DC">
            <w:pPr>
              <w:pStyle w:val="391"/>
              <w:widowControl w:val="0"/>
              <w:tabs>
                <w:tab w:val="left" w:pos="2730"/>
              </w:tabs>
              <w:spacing w:before="73" w:line="240" w:lineRule="auto"/>
              <w:ind w:firstLine="0" w:firstLineChars="0"/>
              <w:jc w:val="center"/>
              <w:rPr>
                <w:highlight w:val="none"/>
              </w:rPr>
            </w:pPr>
            <w:r>
              <w:rPr>
                <w:b/>
                <w:bCs/>
                <w:spacing w:val="-5"/>
                <w:highlight w:val="none"/>
              </w:rPr>
              <w:t>序号</w:t>
            </w:r>
          </w:p>
        </w:tc>
        <w:tc>
          <w:tcPr>
            <w:tcW w:w="2815" w:type="dxa"/>
            <w:gridSpan w:val="2"/>
            <w:noWrap w:val="0"/>
            <w:vAlign w:val="top"/>
          </w:tcPr>
          <w:p w14:paraId="6757DCD1">
            <w:pPr>
              <w:pStyle w:val="391"/>
              <w:widowControl w:val="0"/>
              <w:tabs>
                <w:tab w:val="left" w:pos="2730"/>
              </w:tabs>
              <w:spacing w:before="75" w:line="240" w:lineRule="auto"/>
              <w:ind w:firstLine="0" w:firstLineChars="0"/>
              <w:jc w:val="center"/>
              <w:rPr>
                <w:highlight w:val="none"/>
              </w:rPr>
            </w:pPr>
            <w:r>
              <w:rPr>
                <w:spacing w:val="2"/>
                <w:highlight w:val="none"/>
              </w:rPr>
              <w:t>关联关系类型</w:t>
            </w:r>
          </w:p>
        </w:tc>
        <w:tc>
          <w:tcPr>
            <w:tcW w:w="1849" w:type="dxa"/>
            <w:gridSpan w:val="2"/>
            <w:noWrap w:val="0"/>
            <w:vAlign w:val="top"/>
          </w:tcPr>
          <w:p w14:paraId="2960A3D3">
            <w:pPr>
              <w:pStyle w:val="391"/>
              <w:widowControl w:val="0"/>
              <w:tabs>
                <w:tab w:val="left" w:pos="2730"/>
              </w:tabs>
              <w:spacing w:before="76" w:line="240" w:lineRule="auto"/>
              <w:ind w:firstLine="0" w:firstLineChars="0"/>
              <w:jc w:val="center"/>
              <w:rPr>
                <w:highlight w:val="none"/>
              </w:rPr>
            </w:pPr>
            <w:r>
              <w:rPr>
                <w:spacing w:val="1"/>
                <w:highlight w:val="none"/>
              </w:rPr>
              <w:t>关联主体名称</w:t>
            </w:r>
          </w:p>
        </w:tc>
        <w:tc>
          <w:tcPr>
            <w:tcW w:w="4461" w:type="dxa"/>
            <w:gridSpan w:val="3"/>
            <w:noWrap w:val="0"/>
            <w:vAlign w:val="top"/>
          </w:tcPr>
          <w:p w14:paraId="6ACF0878">
            <w:pPr>
              <w:pStyle w:val="391"/>
              <w:widowControl w:val="0"/>
              <w:tabs>
                <w:tab w:val="left" w:pos="2730"/>
              </w:tabs>
              <w:spacing w:before="76" w:line="240" w:lineRule="auto"/>
              <w:ind w:firstLine="0" w:firstLineChars="0"/>
              <w:jc w:val="center"/>
              <w:rPr>
                <w:highlight w:val="none"/>
              </w:rPr>
            </w:pPr>
            <w:r>
              <w:rPr>
                <w:spacing w:val="5"/>
                <w:highlight w:val="none"/>
              </w:rPr>
              <w:t>备注</w:t>
            </w:r>
          </w:p>
        </w:tc>
      </w:tr>
      <w:tr w14:paraId="0E50D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99" w:hRule="atLeast"/>
          <w:jc w:val="center"/>
        </w:trPr>
        <w:tc>
          <w:tcPr>
            <w:tcW w:w="833" w:type="dxa"/>
            <w:noWrap w:val="0"/>
            <w:vAlign w:val="top"/>
          </w:tcPr>
          <w:p w14:paraId="160E8417">
            <w:pPr>
              <w:widowControl w:val="0"/>
              <w:tabs>
                <w:tab w:val="left" w:pos="2730"/>
              </w:tabs>
              <w:spacing w:line="240" w:lineRule="auto"/>
              <w:ind w:firstLine="0" w:firstLineChars="0"/>
              <w:jc w:val="center"/>
              <w:rPr>
                <w:rFonts w:ascii="Arial" w:hAnsi="Calibri"/>
                <w:highlight w:val="none"/>
              </w:rPr>
            </w:pPr>
          </w:p>
          <w:p w14:paraId="25F25300">
            <w:pPr>
              <w:widowControl w:val="0"/>
              <w:tabs>
                <w:tab w:val="left" w:pos="2730"/>
              </w:tabs>
              <w:spacing w:line="240" w:lineRule="auto"/>
              <w:ind w:firstLine="0" w:firstLineChars="0"/>
              <w:jc w:val="center"/>
              <w:rPr>
                <w:rFonts w:ascii="Arial" w:hAnsi="Calibri"/>
                <w:highlight w:val="none"/>
              </w:rPr>
            </w:pPr>
          </w:p>
          <w:p w14:paraId="7D2044E8">
            <w:pPr>
              <w:widowControl w:val="0"/>
              <w:tabs>
                <w:tab w:val="left" w:pos="2730"/>
              </w:tabs>
              <w:spacing w:line="240" w:lineRule="auto"/>
              <w:ind w:firstLine="0" w:firstLineChars="0"/>
              <w:jc w:val="center"/>
              <w:rPr>
                <w:rFonts w:ascii="Arial" w:hAnsi="Calibri"/>
                <w:highlight w:val="none"/>
              </w:rPr>
            </w:pPr>
          </w:p>
          <w:p w14:paraId="549BA8C3">
            <w:pPr>
              <w:widowControl w:val="0"/>
              <w:tabs>
                <w:tab w:val="left" w:pos="2730"/>
              </w:tabs>
              <w:spacing w:line="240" w:lineRule="auto"/>
              <w:ind w:firstLine="0" w:firstLineChars="0"/>
              <w:jc w:val="center"/>
              <w:rPr>
                <w:rFonts w:ascii="Arial" w:hAnsi="Calibri"/>
                <w:highlight w:val="none"/>
              </w:rPr>
            </w:pPr>
          </w:p>
          <w:p w14:paraId="78B85CA1">
            <w:pPr>
              <w:widowControl w:val="0"/>
              <w:tabs>
                <w:tab w:val="left" w:pos="2730"/>
              </w:tabs>
              <w:spacing w:line="240" w:lineRule="auto"/>
              <w:ind w:firstLine="0" w:firstLineChars="0"/>
              <w:jc w:val="center"/>
              <w:rPr>
                <w:rFonts w:ascii="Arial" w:hAnsi="Calibri"/>
                <w:highlight w:val="none"/>
              </w:rPr>
            </w:pPr>
          </w:p>
          <w:p w14:paraId="58216D6E">
            <w:pPr>
              <w:pStyle w:val="391"/>
              <w:widowControl w:val="0"/>
              <w:tabs>
                <w:tab w:val="left" w:pos="2730"/>
              </w:tabs>
              <w:spacing w:before="75" w:line="240" w:lineRule="auto"/>
              <w:ind w:firstLine="0" w:firstLineChars="0"/>
              <w:jc w:val="center"/>
              <w:rPr>
                <w:highlight w:val="none"/>
              </w:rPr>
            </w:pPr>
            <w:r>
              <w:rPr>
                <w:highlight w:val="none"/>
              </w:rPr>
              <w:t>1</w:t>
            </w:r>
          </w:p>
        </w:tc>
        <w:tc>
          <w:tcPr>
            <w:tcW w:w="2815" w:type="dxa"/>
            <w:gridSpan w:val="2"/>
            <w:noWrap w:val="0"/>
            <w:vAlign w:val="top"/>
          </w:tcPr>
          <w:p w14:paraId="6E27AF83">
            <w:pPr>
              <w:widowControl w:val="0"/>
              <w:tabs>
                <w:tab w:val="left" w:pos="2730"/>
              </w:tabs>
              <w:spacing w:line="240" w:lineRule="auto"/>
              <w:ind w:firstLine="0" w:firstLineChars="0"/>
              <w:jc w:val="center"/>
              <w:rPr>
                <w:rFonts w:ascii="Arial" w:hAnsi="Calibri"/>
                <w:highlight w:val="none"/>
              </w:rPr>
            </w:pPr>
          </w:p>
          <w:p w14:paraId="7BB6EAAB">
            <w:pPr>
              <w:widowControl w:val="0"/>
              <w:tabs>
                <w:tab w:val="left" w:pos="2730"/>
              </w:tabs>
              <w:spacing w:line="240" w:lineRule="auto"/>
              <w:ind w:firstLine="0" w:firstLineChars="0"/>
              <w:jc w:val="center"/>
              <w:rPr>
                <w:rFonts w:ascii="Arial" w:hAnsi="Calibri"/>
                <w:highlight w:val="none"/>
              </w:rPr>
            </w:pPr>
          </w:p>
          <w:p w14:paraId="392EAD3F">
            <w:pPr>
              <w:widowControl w:val="0"/>
              <w:tabs>
                <w:tab w:val="left" w:pos="2730"/>
              </w:tabs>
              <w:spacing w:line="240" w:lineRule="auto"/>
              <w:ind w:firstLine="0" w:firstLineChars="0"/>
              <w:jc w:val="center"/>
              <w:rPr>
                <w:rFonts w:ascii="Arial" w:hAnsi="Calibri"/>
                <w:highlight w:val="none"/>
              </w:rPr>
            </w:pPr>
          </w:p>
          <w:p w14:paraId="4694BE91">
            <w:pPr>
              <w:widowControl w:val="0"/>
              <w:tabs>
                <w:tab w:val="left" w:pos="2730"/>
              </w:tabs>
              <w:spacing w:line="240" w:lineRule="auto"/>
              <w:ind w:firstLine="0" w:firstLineChars="0"/>
              <w:jc w:val="center"/>
              <w:rPr>
                <w:rFonts w:ascii="Arial" w:hAnsi="Calibri"/>
                <w:highlight w:val="none"/>
              </w:rPr>
            </w:pPr>
          </w:p>
          <w:p w14:paraId="01D3ED92">
            <w:pPr>
              <w:pStyle w:val="391"/>
              <w:widowControl w:val="0"/>
              <w:tabs>
                <w:tab w:val="left" w:pos="2730"/>
              </w:tabs>
              <w:spacing w:before="75" w:line="240" w:lineRule="auto"/>
              <w:ind w:firstLine="0" w:firstLineChars="0"/>
              <w:jc w:val="center"/>
              <w:rPr>
                <w:highlight w:val="none"/>
              </w:rPr>
            </w:pPr>
            <w:r>
              <w:rPr>
                <w:spacing w:val="5"/>
                <w:highlight w:val="none"/>
              </w:rPr>
              <w:t>控股股东</w:t>
            </w:r>
          </w:p>
        </w:tc>
        <w:tc>
          <w:tcPr>
            <w:tcW w:w="1849" w:type="dxa"/>
            <w:gridSpan w:val="2"/>
            <w:noWrap w:val="0"/>
            <w:vAlign w:val="top"/>
          </w:tcPr>
          <w:p w14:paraId="36210C80">
            <w:pPr>
              <w:widowControl w:val="0"/>
              <w:tabs>
                <w:tab w:val="left" w:pos="2730"/>
              </w:tabs>
              <w:spacing w:line="240" w:lineRule="auto"/>
              <w:ind w:firstLine="0" w:firstLineChars="0"/>
              <w:jc w:val="center"/>
              <w:rPr>
                <w:rFonts w:ascii="Arial" w:hAnsi="Calibri"/>
                <w:highlight w:val="none"/>
              </w:rPr>
            </w:pPr>
          </w:p>
        </w:tc>
        <w:tc>
          <w:tcPr>
            <w:tcW w:w="4461" w:type="dxa"/>
            <w:gridSpan w:val="3"/>
            <w:noWrap w:val="0"/>
            <w:vAlign w:val="center"/>
          </w:tcPr>
          <w:p w14:paraId="3A6DFEB6">
            <w:pPr>
              <w:pStyle w:val="391"/>
              <w:widowControl w:val="0"/>
              <w:tabs>
                <w:tab w:val="left" w:pos="2730"/>
              </w:tabs>
              <w:spacing w:before="103" w:line="240" w:lineRule="auto"/>
              <w:ind w:firstLine="0" w:firstLineChars="0"/>
              <w:rPr>
                <w:highlight w:val="none"/>
                <w:lang w:eastAsia="zh-CN"/>
              </w:rPr>
            </w:pPr>
            <w:r>
              <w:rPr>
                <w:highlight w:val="none"/>
                <w:lang w:eastAsia="zh-CN"/>
              </w:rPr>
              <w:t>指出资额</w:t>
            </w:r>
            <w:r>
              <w:rPr>
                <w:rFonts w:hint="eastAsia"/>
                <w:highlight w:val="none"/>
                <w:lang w:eastAsia="zh-CN"/>
              </w:rPr>
              <w:t>（</w:t>
            </w:r>
            <w:r>
              <w:rPr>
                <w:highlight w:val="none"/>
                <w:lang w:eastAsia="zh-CN"/>
              </w:rPr>
              <w:t>或持有股份</w:t>
            </w:r>
            <w:r>
              <w:rPr>
                <w:rFonts w:hint="eastAsia"/>
                <w:highlight w:val="none"/>
                <w:lang w:eastAsia="zh-CN"/>
              </w:rPr>
              <w:t>）</w:t>
            </w:r>
            <w:r>
              <w:rPr>
                <w:highlight w:val="none"/>
                <w:lang w:eastAsia="zh-CN"/>
              </w:rPr>
              <w:t>占响应供应商资本总额</w:t>
            </w:r>
            <w:r>
              <w:rPr>
                <w:rFonts w:hint="eastAsia"/>
                <w:highlight w:val="none"/>
                <w:lang w:eastAsia="zh-CN"/>
              </w:rPr>
              <w:t>（</w:t>
            </w:r>
            <w:r>
              <w:rPr>
                <w:highlight w:val="none"/>
                <w:lang w:eastAsia="zh-CN"/>
              </w:rPr>
              <w:t>或股本总额</w:t>
            </w:r>
            <w:r>
              <w:rPr>
                <w:rFonts w:hint="eastAsia"/>
                <w:highlight w:val="none"/>
                <w:lang w:eastAsia="zh-CN"/>
              </w:rPr>
              <w:t>）</w:t>
            </w:r>
            <w:r>
              <w:rPr>
                <w:highlight w:val="none"/>
                <w:lang w:eastAsia="zh-CN"/>
              </w:rPr>
              <w:t>50%以上的股东， 以及出资额</w:t>
            </w:r>
            <w:r>
              <w:rPr>
                <w:rFonts w:hint="eastAsia"/>
                <w:highlight w:val="none"/>
                <w:lang w:eastAsia="zh-CN"/>
              </w:rPr>
              <w:t>（</w:t>
            </w:r>
            <w:r>
              <w:rPr>
                <w:highlight w:val="none"/>
                <w:lang w:eastAsia="zh-CN"/>
              </w:rPr>
              <w:t>或持有股份</w:t>
            </w:r>
            <w:r>
              <w:rPr>
                <w:rFonts w:hint="eastAsia"/>
                <w:highlight w:val="none"/>
                <w:lang w:eastAsia="zh-CN"/>
              </w:rPr>
              <w:t>）</w:t>
            </w:r>
            <w:r>
              <w:rPr>
                <w:highlight w:val="none"/>
                <w:lang w:eastAsia="zh-CN"/>
              </w:rPr>
              <w:t>的比例虽然不足50%</w:t>
            </w:r>
            <w:r>
              <w:rPr>
                <w:rFonts w:hint="eastAsia"/>
                <w:highlight w:val="none"/>
                <w:lang w:eastAsia="zh-CN"/>
              </w:rPr>
              <w:t>，</w:t>
            </w:r>
            <w:r>
              <w:rPr>
                <w:highlight w:val="none"/>
                <w:lang w:eastAsia="zh-CN"/>
              </w:rPr>
              <w:t>但依其出资额</w:t>
            </w:r>
            <w:r>
              <w:rPr>
                <w:rFonts w:hint="eastAsia"/>
                <w:highlight w:val="none"/>
                <w:lang w:eastAsia="zh-CN"/>
              </w:rPr>
              <w:t>（</w:t>
            </w:r>
            <w:r>
              <w:rPr>
                <w:highlight w:val="none"/>
                <w:lang w:eastAsia="zh-CN"/>
              </w:rPr>
              <w:t>或持有股份</w:t>
            </w:r>
            <w:r>
              <w:rPr>
                <w:rFonts w:hint="eastAsia"/>
                <w:highlight w:val="none"/>
                <w:lang w:eastAsia="zh-CN"/>
              </w:rPr>
              <w:t>）</w:t>
            </w:r>
            <w:r>
              <w:rPr>
                <w:highlight w:val="none"/>
                <w:lang w:eastAsia="zh-CN"/>
              </w:rPr>
              <w:t>所</w:t>
            </w:r>
            <w:r>
              <w:rPr>
                <w:spacing w:val="-1"/>
                <w:highlight w:val="none"/>
                <w:lang w:eastAsia="zh-CN"/>
              </w:rPr>
              <w:t>享有的表决权已足以对投标</w:t>
            </w:r>
            <w:r>
              <w:rPr>
                <w:rFonts w:hint="eastAsia"/>
                <w:spacing w:val="-1"/>
                <w:highlight w:val="none"/>
                <w:lang w:eastAsia="zh-CN"/>
              </w:rPr>
              <w:t>（</w:t>
            </w:r>
            <w:r>
              <w:rPr>
                <w:spacing w:val="-1"/>
                <w:highlight w:val="none"/>
                <w:lang w:eastAsia="zh-CN"/>
              </w:rPr>
              <w:t>响应</w:t>
            </w:r>
            <w:r>
              <w:rPr>
                <w:rFonts w:hint="eastAsia"/>
                <w:spacing w:val="-1"/>
                <w:highlight w:val="none"/>
                <w:lang w:eastAsia="zh-CN"/>
              </w:rPr>
              <w:t>）</w:t>
            </w:r>
            <w:r>
              <w:rPr>
                <w:spacing w:val="-1"/>
                <w:highlight w:val="none"/>
                <w:lang w:eastAsia="zh-CN"/>
              </w:rPr>
              <w:t>供应</w:t>
            </w:r>
            <w:r>
              <w:rPr>
                <w:spacing w:val="7"/>
                <w:highlight w:val="none"/>
                <w:lang w:eastAsia="zh-CN"/>
              </w:rPr>
              <w:t xml:space="preserve"> </w:t>
            </w:r>
            <w:r>
              <w:rPr>
                <w:highlight w:val="none"/>
                <w:lang w:eastAsia="zh-CN"/>
              </w:rPr>
              <w:t>商股东会</w:t>
            </w:r>
            <w:r>
              <w:rPr>
                <w:rFonts w:hint="eastAsia"/>
                <w:highlight w:val="none"/>
                <w:lang w:eastAsia="zh-CN"/>
              </w:rPr>
              <w:t>（</w:t>
            </w:r>
            <w:r>
              <w:rPr>
                <w:highlight w:val="none"/>
                <w:lang w:eastAsia="zh-CN"/>
              </w:rPr>
              <w:t>或股东大会</w:t>
            </w:r>
            <w:r>
              <w:rPr>
                <w:rFonts w:hint="eastAsia"/>
                <w:highlight w:val="none"/>
                <w:lang w:eastAsia="zh-CN"/>
              </w:rPr>
              <w:t>）</w:t>
            </w:r>
            <w:r>
              <w:rPr>
                <w:highlight w:val="none"/>
                <w:lang w:eastAsia="zh-CN"/>
              </w:rPr>
              <w:t>的决议产生重要</w:t>
            </w:r>
            <w:r>
              <w:rPr>
                <w:spacing w:val="-1"/>
                <w:highlight w:val="none"/>
                <w:lang w:eastAsia="zh-CN"/>
              </w:rPr>
              <w:t>影响的股东。</w:t>
            </w:r>
          </w:p>
        </w:tc>
      </w:tr>
      <w:tr w14:paraId="03C6EF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jc w:val="center"/>
        </w:trPr>
        <w:tc>
          <w:tcPr>
            <w:tcW w:w="833" w:type="dxa"/>
            <w:noWrap w:val="0"/>
            <w:vAlign w:val="top"/>
          </w:tcPr>
          <w:p w14:paraId="6E8DA536">
            <w:pPr>
              <w:widowControl w:val="0"/>
              <w:tabs>
                <w:tab w:val="left" w:pos="2730"/>
              </w:tabs>
              <w:spacing w:line="240" w:lineRule="auto"/>
              <w:ind w:firstLine="0" w:firstLineChars="0"/>
              <w:jc w:val="center"/>
              <w:rPr>
                <w:rFonts w:ascii="Arial" w:hAnsi="Calibri"/>
                <w:highlight w:val="none"/>
              </w:rPr>
            </w:pPr>
          </w:p>
          <w:p w14:paraId="11B9F42D">
            <w:pPr>
              <w:pStyle w:val="391"/>
              <w:widowControl w:val="0"/>
              <w:tabs>
                <w:tab w:val="left" w:pos="2730"/>
              </w:tabs>
              <w:spacing w:before="75" w:line="240" w:lineRule="auto"/>
              <w:ind w:firstLine="0" w:firstLineChars="0"/>
              <w:jc w:val="center"/>
              <w:rPr>
                <w:highlight w:val="none"/>
              </w:rPr>
            </w:pPr>
            <w:r>
              <w:rPr>
                <w:highlight w:val="none"/>
              </w:rPr>
              <w:t>2</w:t>
            </w:r>
          </w:p>
        </w:tc>
        <w:tc>
          <w:tcPr>
            <w:tcW w:w="2815" w:type="dxa"/>
            <w:gridSpan w:val="2"/>
            <w:noWrap w:val="0"/>
            <w:vAlign w:val="top"/>
          </w:tcPr>
          <w:p w14:paraId="4B1DEBDC">
            <w:pPr>
              <w:pStyle w:val="391"/>
              <w:widowControl w:val="0"/>
              <w:tabs>
                <w:tab w:val="left" w:pos="2730"/>
              </w:tabs>
              <w:spacing w:before="278" w:line="240" w:lineRule="auto"/>
              <w:ind w:firstLine="0" w:firstLineChars="0"/>
              <w:jc w:val="center"/>
              <w:rPr>
                <w:highlight w:val="none"/>
              </w:rPr>
            </w:pPr>
            <w:r>
              <w:rPr>
                <w:spacing w:val="5"/>
                <w:highlight w:val="none"/>
              </w:rPr>
              <w:t>管理关系</w:t>
            </w:r>
          </w:p>
        </w:tc>
        <w:tc>
          <w:tcPr>
            <w:tcW w:w="1849" w:type="dxa"/>
            <w:gridSpan w:val="2"/>
            <w:noWrap w:val="0"/>
            <w:vAlign w:val="top"/>
          </w:tcPr>
          <w:p w14:paraId="7AA70D44">
            <w:pPr>
              <w:widowControl w:val="0"/>
              <w:tabs>
                <w:tab w:val="left" w:pos="2730"/>
              </w:tabs>
              <w:spacing w:line="240" w:lineRule="auto"/>
              <w:ind w:firstLine="0" w:firstLineChars="0"/>
              <w:jc w:val="center"/>
              <w:rPr>
                <w:rFonts w:ascii="Arial" w:hAnsi="Calibri"/>
                <w:highlight w:val="none"/>
              </w:rPr>
            </w:pPr>
          </w:p>
        </w:tc>
        <w:tc>
          <w:tcPr>
            <w:tcW w:w="4461" w:type="dxa"/>
            <w:gridSpan w:val="3"/>
            <w:noWrap w:val="0"/>
            <w:vAlign w:val="center"/>
          </w:tcPr>
          <w:p w14:paraId="29ED8A23">
            <w:pPr>
              <w:pStyle w:val="391"/>
              <w:widowControl w:val="0"/>
              <w:tabs>
                <w:tab w:val="left" w:pos="2730"/>
              </w:tabs>
              <w:spacing w:before="118" w:line="240" w:lineRule="auto"/>
              <w:ind w:firstLine="0" w:firstLineChars="0"/>
              <w:rPr>
                <w:highlight w:val="none"/>
                <w:lang w:eastAsia="zh-CN"/>
              </w:rPr>
            </w:pPr>
            <w:r>
              <w:rPr>
                <w:spacing w:val="-1"/>
                <w:highlight w:val="none"/>
                <w:lang w:eastAsia="zh-CN"/>
              </w:rPr>
              <w:t>指对响应供应商不具有出资持股关系，但对其存在管理关系的主体。</w:t>
            </w:r>
          </w:p>
        </w:tc>
      </w:tr>
      <w:tr w14:paraId="7157C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4" w:hRule="atLeast"/>
          <w:jc w:val="center"/>
        </w:trPr>
        <w:tc>
          <w:tcPr>
            <w:tcW w:w="9958" w:type="dxa"/>
            <w:gridSpan w:val="8"/>
            <w:noWrap w:val="0"/>
            <w:vAlign w:val="top"/>
          </w:tcPr>
          <w:p w14:paraId="63954EAE">
            <w:pPr>
              <w:pStyle w:val="391"/>
              <w:widowControl w:val="0"/>
              <w:tabs>
                <w:tab w:val="left" w:pos="2730"/>
              </w:tabs>
              <w:spacing w:before="86" w:line="240" w:lineRule="auto"/>
              <w:ind w:firstLine="0" w:firstLineChars="0"/>
              <w:jc w:val="center"/>
              <w:rPr>
                <w:highlight w:val="none"/>
                <w:lang w:eastAsia="zh-CN"/>
              </w:rPr>
            </w:pPr>
            <w:r>
              <w:rPr>
                <w:b/>
                <w:bCs/>
                <w:spacing w:val="-3"/>
                <w:highlight w:val="none"/>
                <w:lang w:eastAsia="zh-CN"/>
              </w:rPr>
              <w:t>说明：同一关联关系类型有多个主体的，应分行填写。</w:t>
            </w:r>
          </w:p>
        </w:tc>
      </w:tr>
    </w:tbl>
    <w:p w14:paraId="4F19C7B3">
      <w:pPr>
        <w:keepNext w:val="0"/>
        <w:keepLines w:val="0"/>
        <w:pageBreakBefore w:val="0"/>
        <w:widowControl/>
        <w:kinsoku/>
        <w:wordWrap/>
        <w:overflowPunct/>
        <w:topLinePunct w:val="0"/>
        <w:autoSpaceDE/>
        <w:autoSpaceDN/>
        <w:bidi w:val="0"/>
        <w:adjustRightInd/>
        <w:snapToGrid/>
        <w:spacing w:line="240" w:lineRule="auto"/>
        <w:ind w:firstLine="643" w:firstLineChars="200"/>
        <w:jc w:val="left"/>
        <w:textAlignment w:val="auto"/>
        <w:rPr>
          <w:rFonts w:ascii="仿宋_GB2312" w:hAnsi="仿宋_GB2312" w:eastAsia="仿宋_GB2312" w:cs="仿宋_GB2312"/>
          <w:b/>
          <w:bCs/>
          <w:kern w:val="0"/>
          <w:sz w:val="32"/>
          <w:szCs w:val="32"/>
          <w:highlight w:val="none"/>
        </w:rPr>
      </w:pPr>
    </w:p>
    <w:p w14:paraId="6DC5713E">
      <w:pPr>
        <w:pStyle w:val="3"/>
        <w:spacing w:line="360" w:lineRule="auto"/>
        <w:rPr>
          <w:rFonts w:hint="eastAsia" w:ascii="仿宋_GB2312" w:hAnsi="仿宋_GB2312" w:eastAsia="仿宋_GB2312" w:cs="仿宋_GB2312"/>
          <w:b w:val="0"/>
          <w:bCs w:val="0"/>
          <w:highlight w:val="none"/>
        </w:rPr>
      </w:pPr>
      <w:r>
        <w:rPr>
          <w:rFonts w:hint="eastAsia" w:ascii="仿宋_GB2312" w:hAnsi="仿宋_GB2312" w:eastAsia="仿宋_GB2312" w:cs="仿宋_GB2312"/>
          <w:b w:val="0"/>
          <w:bCs w:val="0"/>
          <w:highlight w:val="none"/>
        </w:rPr>
        <w:t>附件3：</w:t>
      </w:r>
    </w:p>
    <w:p w14:paraId="1A723222">
      <w:pPr>
        <w:spacing w:line="560" w:lineRule="exact"/>
        <w:jc w:val="center"/>
        <w:rPr>
          <w:rFonts w:ascii="宋体" w:hAnsi="宋体" w:cs="宋体"/>
          <w:b/>
          <w:bCs/>
          <w:kern w:val="0"/>
          <w:sz w:val="44"/>
          <w:szCs w:val="44"/>
          <w:highlight w:val="none"/>
        </w:rPr>
      </w:pPr>
      <w:r>
        <w:rPr>
          <w:rFonts w:hint="eastAsia" w:ascii="宋体" w:hAnsi="宋体" w:cs="宋体"/>
          <w:b/>
          <w:bCs/>
          <w:kern w:val="0"/>
          <w:sz w:val="44"/>
          <w:szCs w:val="44"/>
          <w:highlight w:val="none"/>
        </w:rPr>
        <w:t>法定代表人身份证明书</w:t>
      </w:r>
    </w:p>
    <w:p w14:paraId="4D6AED03">
      <w:pPr>
        <w:spacing w:line="560" w:lineRule="exact"/>
        <w:rPr>
          <w:rFonts w:ascii="仿宋_GB2312" w:hAnsi="仿宋_GB2312" w:eastAsia="仿宋_GB2312" w:cs="仿宋_GB2312"/>
          <w:b/>
          <w:sz w:val="32"/>
          <w:szCs w:val="32"/>
          <w:highlight w:val="none"/>
        </w:rPr>
      </w:pPr>
    </w:p>
    <w:p w14:paraId="78EFE2F9">
      <w:pPr>
        <w:spacing w:line="560" w:lineRule="exact"/>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mc:AlternateContent>
          <mc:Choice Requires="wps">
            <w:drawing>
              <wp:anchor distT="0" distB="0" distL="114300" distR="114300" simplePos="0" relativeHeight="251659264" behindDoc="0" locked="0" layoutInCell="1" allowOverlap="1">
                <wp:simplePos x="0" y="0"/>
                <wp:positionH relativeFrom="column">
                  <wp:posOffset>1056640</wp:posOffset>
                </wp:positionH>
                <wp:positionV relativeFrom="paragraph">
                  <wp:posOffset>300355</wp:posOffset>
                </wp:positionV>
                <wp:extent cx="4080510" cy="0"/>
                <wp:effectExtent l="0" t="4445" r="5715" b="5080"/>
                <wp:wrapNone/>
                <wp:docPr id="1" name="直接连接符 1"/>
                <wp:cNvGraphicFramePr/>
                <a:graphic xmlns:a="http://schemas.openxmlformats.org/drawingml/2006/main">
                  <a:graphicData uri="http://schemas.microsoft.com/office/word/2010/wordprocessingShape">
                    <wps:wsp>
                      <wps:cNvCnPr/>
                      <wps:spPr>
                        <a:xfrm>
                          <a:off x="0" y="0"/>
                          <a:ext cx="4080510" cy="0"/>
                        </a:xfrm>
                        <a:prstGeom prst="line">
                          <a:avLst/>
                        </a:prstGeom>
                        <a:ln w="6350" cap="flat" cmpd="sng">
                          <a:solidFill>
                            <a:srgbClr val="000000"/>
                          </a:solidFill>
                          <a:prstDash val="solid"/>
                          <a:miter/>
                          <a:headEnd type="none" w="med" len="med"/>
                          <a:tailEnd type="none" w="med" len="med"/>
                        </a:ln>
                        <a:effectLst/>
                      </wps:spPr>
                      <wps:bodyPr/>
                    </wps:wsp>
                  </a:graphicData>
                </a:graphic>
              </wp:anchor>
            </w:drawing>
          </mc:Choice>
          <mc:Fallback>
            <w:pict>
              <v:line id="_x0000_s1026" o:spid="_x0000_s1026" o:spt="20" style="position:absolute;left:0pt;margin-left:83.2pt;margin-top:23.65pt;height:0pt;width:321.3pt;z-index:251659264;mso-width-relative:page;mso-height-relative:page;" filled="f" stroked="t" coordsize="21600,21600" o:gfxdata="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hWNBlNYAAAAJAQAADwAAAAAAAAABACAAAAAiAAAAZHJzL2Rvd25yZXYueG1sUEsBAhQA&#10;FAAAAAgAh07iQKN8f4/0AQAA8AMAAA4AAAAAAAAAAQAgAAAAJQEAAGRycy9lMm9Eb2MueG1sUEsF&#10;BgAAAAAGAAYAWQEAAIsFAAAAAA==&#10;">
                <v:fill on="f" focussize="0,0"/>
                <v:stroke weight="0.5pt" color="#000000" joinstyle="miter"/>
                <v:imagedata o:title=""/>
                <o:lock v:ext="edit" aspectratio="f"/>
              </v:line>
            </w:pict>
          </mc:Fallback>
        </mc:AlternateContent>
      </w:r>
      <w:r>
        <w:rPr>
          <w:rFonts w:hint="eastAsia" w:ascii="仿宋_GB2312" w:hAnsi="仿宋_GB2312" w:eastAsia="仿宋_GB2312" w:cs="仿宋_GB2312"/>
          <w:bCs/>
          <w:sz w:val="32"/>
          <w:szCs w:val="32"/>
          <w:highlight w:val="none"/>
        </w:rPr>
        <w:t>单位</w:t>
      </w:r>
      <w:r>
        <w:rPr>
          <w:rFonts w:hint="eastAsia" w:ascii="仿宋_GB2312" w:hAnsi="仿宋_GB2312" w:eastAsia="仿宋_GB2312" w:cs="仿宋_GB2312"/>
          <w:bCs/>
          <w:sz w:val="32"/>
          <w:szCs w:val="32"/>
          <w:highlight w:val="none"/>
          <w:lang w:val="en-US" w:eastAsia="zh-CN"/>
        </w:rPr>
        <w:t>名</w:t>
      </w:r>
      <w:r>
        <w:rPr>
          <w:rFonts w:hint="eastAsia" w:ascii="仿宋_GB2312" w:hAnsi="仿宋_GB2312" w:eastAsia="仿宋_GB2312" w:cs="仿宋_GB2312"/>
          <w:bCs/>
          <w:sz w:val="32"/>
          <w:szCs w:val="32"/>
          <w:highlight w:val="none"/>
          <w:u w:val="none"/>
        </w:rPr>
        <w:t>称：</w:t>
      </w:r>
    </w:p>
    <w:p w14:paraId="7745BF9F">
      <w:pPr>
        <w:spacing w:line="560" w:lineRule="exact"/>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mc:AlternateContent>
          <mc:Choice Requires="wps">
            <w:drawing>
              <wp:anchor distT="0" distB="0" distL="114300" distR="114300" simplePos="0" relativeHeight="251660288" behindDoc="0" locked="0" layoutInCell="1" allowOverlap="1">
                <wp:simplePos x="0" y="0"/>
                <wp:positionH relativeFrom="column">
                  <wp:posOffset>1036320</wp:posOffset>
                </wp:positionH>
                <wp:positionV relativeFrom="paragraph">
                  <wp:posOffset>298450</wp:posOffset>
                </wp:positionV>
                <wp:extent cx="4079875" cy="0"/>
                <wp:effectExtent l="0" t="4445" r="6350" b="5080"/>
                <wp:wrapNone/>
                <wp:docPr id="2" name="直接连接符 2"/>
                <wp:cNvGraphicFramePr/>
                <a:graphic xmlns:a="http://schemas.openxmlformats.org/drawingml/2006/main">
                  <a:graphicData uri="http://schemas.microsoft.com/office/word/2010/wordprocessingShape">
                    <wps:wsp>
                      <wps:cNvCnPr/>
                      <wps:spPr>
                        <a:xfrm>
                          <a:off x="0" y="0"/>
                          <a:ext cx="4079875" cy="0"/>
                        </a:xfrm>
                        <a:prstGeom prst="line">
                          <a:avLst/>
                        </a:prstGeom>
                        <a:ln w="6350" cap="flat" cmpd="sng">
                          <a:solidFill>
                            <a:srgbClr val="000000"/>
                          </a:solidFill>
                          <a:prstDash val="solid"/>
                          <a:miter/>
                          <a:headEnd type="none" w="med" len="med"/>
                          <a:tailEnd type="none" w="med" len="med"/>
                        </a:ln>
                        <a:effectLst/>
                      </wps:spPr>
                      <wps:bodyPr/>
                    </wps:wsp>
                  </a:graphicData>
                </a:graphic>
              </wp:anchor>
            </w:drawing>
          </mc:Choice>
          <mc:Fallback>
            <w:pict>
              <v:line id="_x0000_s1026" o:spid="_x0000_s1026" o:spt="20" style="position:absolute;left:0pt;margin-left:81.6pt;margin-top:23.5pt;height:0pt;width:321.25pt;z-index:251660288;mso-width-relative:page;mso-height-relative:page;" filled="f" stroked="t" coordsize="21600,21600" o:gfxdata="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71vc21QAAAAkBAAAPAAAAAAAAAAEAIAAAACIAAABkcnMvZG93bnJldi54bWxQSwEC&#10;FAAUAAAACACHTuJAAalaPvcBAADwAwAADgAAAAAAAAABACAAAAAkAQAAZHJzL2Uyb0RvYy54bWxQ&#10;SwUGAAAAAAYABgBZAQAAjQUAAAAA&#10;">
                <v:fill on="f" focussize="0,0"/>
                <v:stroke weight="0.5pt" color="#000000" joinstyle="miter"/>
                <v:imagedata o:title=""/>
                <o:lock v:ext="edit" aspectratio="f"/>
              </v:line>
            </w:pict>
          </mc:Fallback>
        </mc:AlternateContent>
      </w:r>
      <w:r>
        <w:rPr>
          <w:rFonts w:hint="eastAsia" w:ascii="仿宋_GB2312" w:hAnsi="仿宋_GB2312" w:eastAsia="仿宋_GB2312" w:cs="仿宋_GB2312"/>
          <w:bCs/>
          <w:sz w:val="32"/>
          <w:szCs w:val="32"/>
          <w:highlight w:val="none"/>
        </w:rPr>
        <w:t>地 址：</w:t>
      </w:r>
    </w:p>
    <w:p w14:paraId="7B9521C1">
      <w:pPr>
        <w:spacing w:line="560" w:lineRule="exact"/>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mc:AlternateContent>
          <mc:Choice Requires="wps">
            <w:drawing>
              <wp:anchor distT="0" distB="0" distL="114300" distR="114300" simplePos="0" relativeHeight="251663360" behindDoc="0" locked="0" layoutInCell="1" allowOverlap="1">
                <wp:simplePos x="0" y="0"/>
                <wp:positionH relativeFrom="column">
                  <wp:posOffset>5283835</wp:posOffset>
                </wp:positionH>
                <wp:positionV relativeFrom="paragraph">
                  <wp:posOffset>324485</wp:posOffset>
                </wp:positionV>
                <wp:extent cx="638175" cy="0"/>
                <wp:effectExtent l="0" t="4445" r="0" b="5080"/>
                <wp:wrapNone/>
                <wp:docPr id="5" name="直接连接符 5"/>
                <wp:cNvGraphicFramePr/>
                <a:graphic xmlns:a="http://schemas.openxmlformats.org/drawingml/2006/main">
                  <a:graphicData uri="http://schemas.microsoft.com/office/word/2010/wordprocessingShape">
                    <wps:wsp>
                      <wps:cNvCnPr/>
                      <wps:spPr>
                        <a:xfrm>
                          <a:off x="0" y="0"/>
                          <a:ext cx="638175" cy="0"/>
                        </a:xfrm>
                        <a:prstGeom prst="line">
                          <a:avLst/>
                        </a:prstGeom>
                        <a:ln w="6350" cap="flat" cmpd="sng">
                          <a:solidFill>
                            <a:srgbClr val="000000"/>
                          </a:solidFill>
                          <a:prstDash val="solid"/>
                          <a:miter/>
                          <a:headEnd type="none" w="med" len="med"/>
                          <a:tailEnd type="none" w="med" len="med"/>
                        </a:ln>
                        <a:effectLst/>
                      </wps:spPr>
                      <wps:bodyPr/>
                    </wps:wsp>
                  </a:graphicData>
                </a:graphic>
              </wp:anchor>
            </w:drawing>
          </mc:Choice>
          <mc:Fallback>
            <w:pict>
              <v:line id="_x0000_s1026" o:spid="_x0000_s1026" o:spt="20" style="position:absolute;left:0pt;margin-left:416.05pt;margin-top:25.55pt;height:0pt;width:50.25pt;z-index:251663360;mso-width-relative:page;mso-height-relative:page;" filled="f" stroked="t" coordsize="21600,21600" o:gfxdata="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SsBi31gAAAAkBAAAPAAAAAAAAAAEAIAAAACIAAABkcnMvZG93bnJldi54bWxQSwECFAAU&#10;AAAACACHTuJAc0PGoPMBAADvAwAADgAAAAAAAAABACAAAAAlAQAAZHJzL2Uyb0RvYy54bWxQSwUG&#10;AAAAAAYABgBZAQAAigUAAAAA&#10;">
                <v:fill on="f" focussize="0,0"/>
                <v:stroke weight="0.5pt" color="#000000" joinstyle="miter"/>
                <v:imagedata o:title=""/>
                <o:lock v:ext="edit" aspectratio="f"/>
              </v:line>
            </w:pict>
          </mc:Fallback>
        </mc:AlternateContent>
      </w:r>
      <w:r>
        <w:rPr>
          <w:rFonts w:hint="eastAsia" w:ascii="仿宋_GB2312" w:hAnsi="仿宋_GB2312" w:eastAsia="仿宋_GB2312" w:cs="仿宋_GB2312"/>
          <w:bCs/>
          <w:sz w:val="32"/>
          <w:szCs w:val="32"/>
          <w:highlight w:val="none"/>
        </w:rPr>
        <mc:AlternateContent>
          <mc:Choice Requires="wps">
            <w:drawing>
              <wp:anchor distT="0" distB="0" distL="114300" distR="114300" simplePos="0" relativeHeight="251662336" behindDoc="0" locked="0" layoutInCell="1" allowOverlap="1">
                <wp:simplePos x="0" y="0"/>
                <wp:positionH relativeFrom="column">
                  <wp:posOffset>3913505</wp:posOffset>
                </wp:positionH>
                <wp:positionV relativeFrom="paragraph">
                  <wp:posOffset>311785</wp:posOffset>
                </wp:positionV>
                <wp:extent cx="586740" cy="0"/>
                <wp:effectExtent l="0" t="4445" r="0" b="5080"/>
                <wp:wrapNone/>
                <wp:docPr id="4" name="直接连接符 4"/>
                <wp:cNvGraphicFramePr/>
                <a:graphic xmlns:a="http://schemas.openxmlformats.org/drawingml/2006/main">
                  <a:graphicData uri="http://schemas.microsoft.com/office/word/2010/wordprocessingShape">
                    <wps:wsp>
                      <wps:cNvCnPr/>
                      <wps:spPr>
                        <a:xfrm>
                          <a:off x="0" y="0"/>
                          <a:ext cx="586740" cy="0"/>
                        </a:xfrm>
                        <a:prstGeom prst="line">
                          <a:avLst/>
                        </a:prstGeom>
                        <a:ln w="6350" cap="flat" cmpd="sng">
                          <a:solidFill>
                            <a:srgbClr val="000000"/>
                          </a:solidFill>
                          <a:prstDash val="solid"/>
                          <a:miter/>
                          <a:headEnd type="none" w="med" len="med"/>
                          <a:tailEnd type="none" w="med" len="med"/>
                        </a:ln>
                        <a:effectLst/>
                      </wps:spPr>
                      <wps:bodyPr/>
                    </wps:wsp>
                  </a:graphicData>
                </a:graphic>
              </wp:anchor>
            </w:drawing>
          </mc:Choice>
          <mc:Fallback>
            <w:pict>
              <v:line id="_x0000_s1026" o:spid="_x0000_s1026" o:spt="20" style="position:absolute;left:0pt;margin-left:308.15pt;margin-top:24.55pt;height:0pt;width:46.2pt;z-index:251662336;mso-width-relative:page;mso-height-relative:page;" filled="f" stroked="t" coordsize="21600,21600" o:gfxdata="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iAUGidYAAAAJAQAADwAAAAAAAAABACAAAAAiAAAAZHJzL2Rvd25yZXYueG1sUEsBAhQA&#10;FAAAAAgAh07iQEhWdxD0AQAA7wMAAA4AAAAAAAAAAQAgAAAAJQEAAGRycy9lMm9Eb2MueG1sUEsF&#10;BgAAAAAGAAYAWQEAAIsFAAAAAA==&#10;">
                <v:fill on="f" focussize="0,0"/>
                <v:stroke weight="0.5pt" color="#000000" joinstyle="miter"/>
                <v:imagedata o:title=""/>
                <o:lock v:ext="edit" aspectratio="f"/>
              </v:line>
            </w:pict>
          </mc:Fallback>
        </mc:AlternateContent>
      </w:r>
      <w:r>
        <w:rPr>
          <w:rFonts w:hint="eastAsia" w:ascii="仿宋_GB2312" w:hAnsi="仿宋_GB2312" w:eastAsia="仿宋_GB2312" w:cs="仿宋_GB2312"/>
          <w:bCs/>
          <w:sz w:val="32"/>
          <w:szCs w:val="32"/>
          <w:highlight w:val="none"/>
        </w:rPr>
        <mc:AlternateContent>
          <mc:Choice Requires="wps">
            <w:drawing>
              <wp:anchor distT="0" distB="0" distL="114300" distR="114300" simplePos="0" relativeHeight="251661312" behindDoc="0" locked="0" layoutInCell="1" allowOverlap="1">
                <wp:simplePos x="0" y="0"/>
                <wp:positionH relativeFrom="column">
                  <wp:posOffset>2264410</wp:posOffset>
                </wp:positionH>
                <wp:positionV relativeFrom="paragraph">
                  <wp:posOffset>330835</wp:posOffset>
                </wp:positionV>
                <wp:extent cx="1104265" cy="0"/>
                <wp:effectExtent l="0" t="4445" r="635" b="5080"/>
                <wp:wrapNone/>
                <wp:docPr id="3" name="直接连接符 3"/>
                <wp:cNvGraphicFramePr/>
                <a:graphic xmlns:a="http://schemas.openxmlformats.org/drawingml/2006/main">
                  <a:graphicData uri="http://schemas.microsoft.com/office/word/2010/wordprocessingShape">
                    <wps:wsp>
                      <wps:cNvCnPr/>
                      <wps:spPr>
                        <a:xfrm>
                          <a:off x="0" y="0"/>
                          <a:ext cx="1104265" cy="0"/>
                        </a:xfrm>
                        <a:prstGeom prst="line">
                          <a:avLst/>
                        </a:prstGeom>
                        <a:ln w="6350" cap="flat" cmpd="sng">
                          <a:solidFill>
                            <a:srgbClr val="000000"/>
                          </a:solidFill>
                          <a:prstDash val="solid"/>
                          <a:miter/>
                          <a:headEnd type="none" w="med" len="med"/>
                          <a:tailEnd type="none" w="med" len="med"/>
                        </a:ln>
                        <a:effectLst/>
                      </wps:spPr>
                      <wps:bodyPr/>
                    </wps:wsp>
                  </a:graphicData>
                </a:graphic>
              </wp:anchor>
            </w:drawing>
          </mc:Choice>
          <mc:Fallback>
            <w:pict>
              <v:line id="_x0000_s1026" o:spid="_x0000_s1026" o:spt="20" style="position:absolute;left:0pt;margin-left:178.3pt;margin-top:26.05pt;height:0pt;width:86.95pt;z-index:251661312;mso-width-relative:page;mso-height-relative:page;" filled="f" stroked="t" coordsize="21600,21600" o:gfxdata="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05Csk9cAAAAJAQAADwAAAAAAAAABACAAAAAiAAAAZHJzL2Rvd25yZXYueG1sUEsB&#10;AhQAFAAAAAgAh07iQKZCiZ32AQAA8AMAAA4AAAAAAAAAAQAgAAAAJgEAAGRycy9lMm9Eb2MueG1s&#10;UEsFBgAAAAAGAAYAWQEAAI4FAAAAAA==&#10;">
                <v:fill on="f" focussize="0,0"/>
                <v:stroke weight="0.5pt" color="#000000" joinstyle="miter"/>
                <v:imagedata o:title=""/>
                <o:lock v:ext="edit" aspectratio="f"/>
              </v:line>
            </w:pict>
          </mc:Fallback>
        </mc:AlternateContent>
      </w:r>
      <w:r>
        <w:rPr>
          <w:rFonts w:hint="eastAsia" w:ascii="仿宋_GB2312" w:hAnsi="仿宋_GB2312" w:eastAsia="仿宋_GB2312" w:cs="仿宋_GB2312"/>
          <w:bCs/>
          <w:sz w:val="32"/>
          <w:szCs w:val="32"/>
          <w:highlight w:val="none"/>
        </w:rPr>
        <w:t>法定代表人</w:t>
      </w:r>
      <w:r>
        <w:rPr>
          <w:rFonts w:hint="eastAsia" w:ascii="仿宋_GB2312" w:hAnsi="仿宋_GB2312" w:eastAsia="仿宋_GB2312" w:cs="仿宋_GB2312"/>
          <w:bCs/>
          <w:sz w:val="32"/>
          <w:szCs w:val="32"/>
          <w:highlight w:val="none"/>
          <w:u w:val="none"/>
          <w:lang w:eastAsia="zh-CN"/>
        </w:rPr>
        <w:t>（</w:t>
      </w:r>
      <w:r>
        <w:rPr>
          <w:rFonts w:hint="eastAsia" w:ascii="仿宋_GB2312" w:hAnsi="仿宋_GB2312" w:eastAsia="仿宋_GB2312" w:cs="仿宋_GB2312"/>
          <w:bCs/>
          <w:sz w:val="32"/>
          <w:szCs w:val="32"/>
          <w:highlight w:val="none"/>
          <w:u w:val="none"/>
        </w:rPr>
        <w:t>姓名</w:t>
      </w:r>
      <w:r>
        <w:rPr>
          <w:rFonts w:hint="eastAsia" w:ascii="仿宋_GB2312" w:hAnsi="仿宋_GB2312" w:eastAsia="仿宋_GB2312" w:cs="仿宋_GB2312"/>
          <w:bCs/>
          <w:sz w:val="32"/>
          <w:szCs w:val="32"/>
          <w:highlight w:val="none"/>
          <w:u w:val="none"/>
          <w:lang w:eastAsia="zh-CN"/>
        </w:rPr>
        <w:t>）</w:t>
      </w:r>
      <w:r>
        <w:rPr>
          <w:rFonts w:hint="eastAsia" w:ascii="仿宋_GB2312" w:hAnsi="仿宋_GB2312" w:eastAsia="仿宋_GB2312" w:cs="仿宋_GB2312"/>
          <w:bCs/>
          <w:sz w:val="32"/>
          <w:szCs w:val="32"/>
          <w:highlight w:val="none"/>
          <w:u w:val="none"/>
        </w:rPr>
        <w:t>：</w:t>
      </w:r>
      <w:r>
        <w:rPr>
          <w:rFonts w:hint="eastAsia" w:ascii="仿宋_GB2312" w:hAnsi="仿宋_GB2312" w:eastAsia="仿宋_GB2312" w:cs="仿宋_GB2312"/>
          <w:bCs/>
          <w:sz w:val="32"/>
          <w:szCs w:val="32"/>
          <w:highlight w:val="none"/>
        </w:rPr>
        <w:t xml:space="preserve">           性别：      年龄： </w:t>
      </w:r>
    </w:p>
    <w:p w14:paraId="766919D1">
      <w:pPr>
        <w:spacing w:line="560" w:lineRule="exact"/>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mc:AlternateContent>
          <mc:Choice Requires="wps">
            <w:drawing>
              <wp:anchor distT="0" distB="0" distL="114300" distR="114300" simplePos="0" relativeHeight="251664384" behindDoc="0" locked="0" layoutInCell="1" allowOverlap="1">
                <wp:simplePos x="0" y="0"/>
                <wp:positionH relativeFrom="column">
                  <wp:posOffset>1525270</wp:posOffset>
                </wp:positionH>
                <wp:positionV relativeFrom="paragraph">
                  <wp:posOffset>293370</wp:posOffset>
                </wp:positionV>
                <wp:extent cx="3676015" cy="3175"/>
                <wp:effectExtent l="0" t="4445" r="635" b="6350"/>
                <wp:wrapNone/>
                <wp:docPr id="6" name="直接连接符 6"/>
                <wp:cNvGraphicFramePr/>
                <a:graphic xmlns:a="http://schemas.openxmlformats.org/drawingml/2006/main">
                  <a:graphicData uri="http://schemas.microsoft.com/office/word/2010/wordprocessingShape">
                    <wps:wsp>
                      <wps:cNvCnPr/>
                      <wps:spPr>
                        <a:xfrm flipV="1">
                          <a:off x="0" y="0"/>
                          <a:ext cx="3676015" cy="3175"/>
                        </a:xfrm>
                        <a:prstGeom prst="straightConnector1">
                          <a:avLst/>
                        </a:prstGeom>
                        <a:ln w="6350" cap="flat" cmpd="sng">
                          <a:solidFill>
                            <a:srgbClr val="000000"/>
                          </a:solidFill>
                          <a:prstDash val="solid"/>
                          <a:miter/>
                          <a:headEnd type="none" w="med" len="med"/>
                          <a:tailEnd type="none" w="med" len="med"/>
                        </a:ln>
                      </wps:spPr>
                      <wps:bodyPr/>
                    </wps:wsp>
                  </a:graphicData>
                </a:graphic>
              </wp:anchor>
            </w:drawing>
          </mc:Choice>
          <mc:Fallback>
            <w:pict>
              <v:shape id="直接连接符 6" o:spid="_x0000_s1026" o:spt="32" type="#_x0000_t32" style="position:absolute;left:0pt;flip:y;margin-left:120.1pt;margin-top:23.1pt;height:0.25pt;width:289.45pt;z-index:251664384;mso-width-relative:page;mso-height-relative:page;" filled="f" stroked="t" coordsize="21600,21600" o:gfxdata="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&#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uDUgLtgAAAAJAQAADwAAAAAAAAABACAAAAAiAAAAZHJz&#10;L2Rvd25yZXYueG1sUEsBAhQAFAAAAAgAh07iQKcqkxYEAgAA/QMAAA4AAAAAAAAAAQAgAAAAJwEA&#10;AGRycy9lMm9Eb2MueG1sUEsFBgAAAAAGAAYAWQEAAJ0FAAAAAA==&#10;">
                <v:fill on="f" focussize="0,0"/>
                <v:stroke weight="0.5pt" color="#000000" joinstyle="miter"/>
                <v:imagedata o:title=""/>
                <o:lock v:ext="edit" aspectratio="f"/>
              </v:shape>
            </w:pict>
          </mc:Fallback>
        </mc:AlternateContent>
      </w:r>
      <w:r>
        <w:rPr>
          <w:rFonts w:hint="eastAsia" w:ascii="仿宋_GB2312" w:hAnsi="仿宋_GB2312" w:eastAsia="仿宋_GB2312" w:cs="仿宋_GB2312"/>
          <w:bCs/>
          <w:sz w:val="32"/>
          <w:szCs w:val="32"/>
          <w:highlight w:val="none"/>
        </w:rPr>
        <w:t xml:space="preserve">身份证号码： </w:t>
      </w:r>
    </w:p>
    <w:p w14:paraId="18277143">
      <w:pPr>
        <w:spacing w:line="560" w:lineRule="exact"/>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mc:AlternateContent>
          <mc:Choice Requires="wps">
            <w:drawing>
              <wp:anchor distT="0" distB="0" distL="114300" distR="114300" simplePos="0" relativeHeight="251665408" behindDoc="0" locked="0" layoutInCell="1" allowOverlap="1">
                <wp:simplePos x="0" y="0"/>
                <wp:positionH relativeFrom="margin">
                  <wp:posOffset>1194435</wp:posOffset>
                </wp:positionH>
                <wp:positionV relativeFrom="paragraph">
                  <wp:posOffset>286385</wp:posOffset>
                </wp:positionV>
                <wp:extent cx="3985260" cy="0"/>
                <wp:effectExtent l="0" t="4445" r="5715" b="5080"/>
                <wp:wrapNone/>
                <wp:docPr id="7" name="直接连接符 7"/>
                <wp:cNvGraphicFramePr/>
                <a:graphic xmlns:a="http://schemas.openxmlformats.org/drawingml/2006/main">
                  <a:graphicData uri="http://schemas.microsoft.com/office/word/2010/wordprocessingShape">
                    <wps:wsp>
                      <wps:cNvCnPr/>
                      <wps:spPr>
                        <a:xfrm>
                          <a:off x="0" y="0"/>
                          <a:ext cx="3985260" cy="0"/>
                        </a:xfrm>
                        <a:prstGeom prst="line">
                          <a:avLst/>
                        </a:prstGeom>
                        <a:ln w="6350" cap="flat" cmpd="sng">
                          <a:solidFill>
                            <a:srgbClr val="000000"/>
                          </a:solidFill>
                          <a:prstDash val="solid"/>
                          <a:miter/>
                          <a:headEnd type="none" w="med" len="med"/>
                          <a:tailEnd type="none" w="med" len="med"/>
                        </a:ln>
                        <a:effectLst/>
                      </wps:spPr>
                      <wps:bodyPr/>
                    </wps:wsp>
                  </a:graphicData>
                </a:graphic>
              </wp:anchor>
            </w:drawing>
          </mc:Choice>
          <mc:Fallback>
            <w:pict>
              <v:line id="_x0000_s1026" o:spid="_x0000_s1026" o:spt="20" style="position:absolute;left:0pt;margin-left:94.05pt;margin-top:22.55pt;height:0pt;width:313.8pt;mso-position-horizontal-relative:margin;z-index:251665408;mso-width-relative:page;mso-height-relative:page;" filled="f" stroked="t" coordsize="21600,21600" o:gfxdata="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ITtAsnVAAAACQEAAA8AAAAAAAAAAQAgAAAAIgAAAGRycy9kb3ducmV2LnhtbFBLAQIU&#10;ABQAAAAIAIdO4kDfTa2S9gEAAPADAAAOAAAAAAAAAAEAIAAAACQBAABkcnMvZTJvRG9jLnhtbFBL&#10;BQYAAAAABgAGAFkBAACMBQAAAAA=&#10;">
                <v:fill on="f" focussize="0,0"/>
                <v:stroke weight="0.5pt" color="#000000" joinstyle="miter"/>
                <v:imagedata o:title=""/>
                <o:lock v:ext="edit" aspectratio="f"/>
              </v:line>
            </w:pict>
          </mc:Fallback>
        </mc:AlternateContent>
      </w:r>
      <w:r>
        <w:rPr>
          <w:rFonts w:hint="eastAsia" w:ascii="仿宋_GB2312" w:hAnsi="仿宋_GB2312" w:eastAsia="仿宋_GB2312" w:cs="仿宋_GB2312"/>
          <w:bCs/>
          <w:sz w:val="32"/>
          <w:szCs w:val="32"/>
          <w:highlight w:val="none"/>
        </w:rPr>
        <w:t>职 务：</w:t>
      </w:r>
    </w:p>
    <w:p w14:paraId="21891CA9">
      <w:pPr>
        <w:spacing w:line="560" w:lineRule="exact"/>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此证明书用于本单位签署</w:t>
      </w:r>
      <w:r>
        <w:rPr>
          <w:rFonts w:hint="eastAsia" w:ascii="仿宋_GB2312" w:hAnsi="仿宋_GB2312" w:eastAsia="仿宋_GB2312" w:cs="仿宋_GB2312"/>
          <w:b/>
          <w:bCs/>
          <w:sz w:val="32"/>
          <w:szCs w:val="32"/>
          <w:highlight w:val="none"/>
          <w:u w:val="single"/>
          <w:lang w:eastAsia="zh-CN"/>
        </w:rPr>
        <w:t>深圳书城龙岗城（金旭大楼）2026-2028年度LED显示屏维保服务</w:t>
      </w:r>
      <w:r>
        <w:rPr>
          <w:rFonts w:hint="eastAsia" w:ascii="仿宋_GB2312" w:hAnsi="仿宋_GB2312" w:eastAsia="仿宋_GB2312" w:cs="仿宋_GB2312"/>
          <w:b/>
          <w:bCs/>
          <w:sz w:val="32"/>
          <w:szCs w:val="32"/>
          <w:highlight w:val="none"/>
          <w:u w:val="single"/>
          <w:lang w:val="en-US" w:eastAsia="zh-CN"/>
        </w:rPr>
        <w:t>项目</w:t>
      </w:r>
      <w:r>
        <w:rPr>
          <w:rFonts w:hint="eastAsia" w:ascii="仿宋_GB2312" w:hAnsi="仿宋_GB2312" w:eastAsia="仿宋_GB2312" w:cs="仿宋_GB2312"/>
          <w:bCs/>
          <w:sz w:val="32"/>
          <w:szCs w:val="32"/>
          <w:highlight w:val="none"/>
        </w:rPr>
        <w:t>的</w:t>
      </w:r>
      <w:r>
        <w:rPr>
          <w:rFonts w:hint="eastAsia" w:ascii="仿宋_GB2312" w:hAnsi="仿宋_GB2312" w:eastAsia="仿宋_GB2312" w:cs="仿宋_GB2312"/>
          <w:bCs/>
          <w:sz w:val="32"/>
          <w:szCs w:val="32"/>
          <w:highlight w:val="none"/>
          <w:lang w:val="en-US" w:eastAsia="zh-CN"/>
        </w:rPr>
        <w:t>报</w:t>
      </w:r>
      <w:r>
        <w:rPr>
          <w:rFonts w:hint="eastAsia" w:ascii="仿宋_GB2312" w:hAnsi="仿宋_GB2312" w:eastAsia="仿宋_GB2312" w:cs="仿宋_GB2312"/>
          <w:bCs/>
          <w:sz w:val="32"/>
          <w:szCs w:val="32"/>
          <w:highlight w:val="none"/>
        </w:rPr>
        <w:t>价、签署合同和处理与之有关的一切事务。</w:t>
      </w:r>
    </w:p>
    <w:p w14:paraId="34D110EC">
      <w:pPr>
        <w:spacing w:line="560" w:lineRule="exact"/>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特此证明。</w:t>
      </w:r>
    </w:p>
    <w:p w14:paraId="43D9A08B">
      <w:pPr>
        <w:spacing w:line="560" w:lineRule="exact"/>
        <w:rPr>
          <w:rFonts w:ascii="仿宋_GB2312" w:hAnsi="仿宋_GB2312" w:eastAsia="仿宋_GB2312" w:cs="仿宋_GB2312"/>
          <w:bCs/>
          <w:sz w:val="32"/>
          <w:szCs w:val="32"/>
          <w:highlight w:val="none"/>
        </w:rPr>
      </w:pPr>
    </w:p>
    <w:p w14:paraId="278E6A04">
      <w:pPr>
        <w:spacing w:line="560" w:lineRule="exact"/>
        <w:rPr>
          <w:rFonts w:ascii="仿宋_GB2312" w:hAnsi="仿宋_GB2312" w:eastAsia="仿宋_GB2312" w:cs="仿宋_GB2312"/>
          <w:bCs/>
          <w:sz w:val="32"/>
          <w:szCs w:val="32"/>
          <w:highlight w:val="none"/>
        </w:rPr>
      </w:pPr>
    </w:p>
    <w:p w14:paraId="1BA3995C">
      <w:pPr>
        <w:spacing w:line="560" w:lineRule="exact"/>
        <w:rPr>
          <w:rFonts w:ascii="仿宋_GB2312" w:hAnsi="仿宋_GB2312" w:eastAsia="仿宋_GB2312" w:cs="仿宋_GB2312"/>
          <w:bCs/>
          <w:sz w:val="32"/>
          <w:szCs w:val="32"/>
          <w:highlight w:val="none"/>
        </w:rPr>
      </w:pPr>
    </w:p>
    <w:p w14:paraId="23603E3C">
      <w:pPr>
        <w:spacing w:line="560" w:lineRule="exact"/>
        <w:ind w:right="640"/>
        <w:rPr>
          <w:rFonts w:ascii="仿宋_GB2312" w:hAnsi="仿宋_GB2312" w:eastAsia="仿宋_GB2312" w:cs="仿宋_GB2312"/>
          <w:bCs/>
          <w:sz w:val="32"/>
          <w:szCs w:val="32"/>
          <w:highlight w:val="none"/>
        </w:rPr>
      </w:pPr>
    </w:p>
    <w:p w14:paraId="0DD04DB6">
      <w:pPr>
        <w:spacing w:line="560" w:lineRule="exact"/>
        <w:ind w:right="640" w:firstLine="2240" w:firstLineChars="7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单位（公 章）：__________________</w:t>
      </w:r>
    </w:p>
    <w:p w14:paraId="3AED34A4">
      <w:pPr>
        <w:spacing w:line="560" w:lineRule="exact"/>
        <w:ind w:right="640" w:firstLine="3520" w:firstLineChars="11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日 期：_________________</w:t>
      </w:r>
    </w:p>
    <w:p w14:paraId="0BA916D8">
      <w:pPr>
        <w:spacing w:line="560" w:lineRule="exact"/>
        <w:rPr>
          <w:rFonts w:ascii="仿宋_GB2312" w:hAnsi="仿宋_GB2312" w:eastAsia="仿宋_GB2312" w:cs="仿宋_GB2312"/>
          <w:bCs/>
          <w:sz w:val="32"/>
          <w:szCs w:val="32"/>
          <w:highlight w:val="none"/>
        </w:rPr>
      </w:pPr>
    </w:p>
    <w:p w14:paraId="522D7410">
      <w:pPr>
        <w:spacing w:line="560" w:lineRule="exact"/>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附：法定代表人身份证复印件。</w:t>
      </w:r>
    </w:p>
    <w:p w14:paraId="79221943">
      <w:pPr>
        <w:widowControl/>
        <w:jc w:val="left"/>
        <w:rPr>
          <w:rFonts w:hint="eastAsia" w:ascii="仿宋_GB2312" w:hAnsi="仿宋_GB2312" w:eastAsia="仿宋_GB2312" w:cs="仿宋_GB2312"/>
          <w:b w:val="0"/>
          <w:bCs w:val="0"/>
          <w:highlight w:val="none"/>
        </w:rPr>
      </w:pPr>
      <w:r>
        <w:rPr>
          <w:rFonts w:hint="eastAsia" w:ascii="仿宋_GB2312" w:hAnsi="仿宋_GB2312" w:eastAsia="仿宋_GB2312" w:cs="仿宋_GB2312"/>
          <w:b/>
          <w:bCs/>
          <w:kern w:val="0"/>
          <w:sz w:val="32"/>
          <w:szCs w:val="32"/>
          <w:highlight w:val="none"/>
        </w:rPr>
        <w:br w:type="page"/>
      </w:r>
      <w:r>
        <w:rPr>
          <w:rFonts w:hint="eastAsia" w:ascii="仿宋_GB2312" w:hAnsi="仿宋_GB2312" w:eastAsia="仿宋_GB2312" w:cs="仿宋_GB2312"/>
          <w:b w:val="0"/>
          <w:bCs w:val="0"/>
          <w:kern w:val="2"/>
          <w:sz w:val="32"/>
          <w:szCs w:val="32"/>
          <w:highlight w:val="none"/>
          <w:lang w:val="en-US" w:eastAsia="zh-CN" w:bidi="ar-SA"/>
        </w:rPr>
        <w:t>附件4：</w:t>
      </w:r>
    </w:p>
    <w:p w14:paraId="4117968F">
      <w:pPr>
        <w:spacing w:line="560" w:lineRule="exact"/>
        <w:jc w:val="center"/>
        <w:rPr>
          <w:rFonts w:ascii="宋体" w:hAnsi="宋体" w:cs="宋体"/>
          <w:b/>
          <w:bCs/>
          <w:kern w:val="0"/>
          <w:sz w:val="44"/>
          <w:szCs w:val="44"/>
          <w:highlight w:val="none"/>
        </w:rPr>
      </w:pPr>
      <w:r>
        <w:rPr>
          <w:rFonts w:hint="eastAsia" w:ascii="宋体" w:hAnsi="宋体" w:cs="宋体"/>
          <w:b/>
          <w:bCs/>
          <w:kern w:val="0"/>
          <w:sz w:val="44"/>
          <w:szCs w:val="44"/>
          <w:highlight w:val="none"/>
        </w:rPr>
        <w:t>法定代表人授权书</w:t>
      </w:r>
    </w:p>
    <w:p w14:paraId="2967AEFE">
      <w:pPr>
        <w:spacing w:line="560" w:lineRule="exact"/>
        <w:rPr>
          <w:rFonts w:ascii="仿宋_GB2312" w:hAnsi="仿宋_GB2312" w:eastAsia="仿宋_GB2312" w:cs="仿宋_GB2312"/>
          <w:b/>
          <w:sz w:val="32"/>
          <w:szCs w:val="32"/>
          <w:highlight w:val="none"/>
        </w:rPr>
      </w:pPr>
    </w:p>
    <w:p w14:paraId="5C1F5063">
      <w:pPr>
        <w:spacing w:line="560" w:lineRule="exact"/>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本授权委托书声明：我__________（法定代表人姓名）身份证号码：______________________________，系_____________________________________（单位名称）的法定代表人，现授权________________________________（被授权人姓名、单位、职务）为本次</w:t>
      </w:r>
      <w:r>
        <w:rPr>
          <w:rFonts w:hint="eastAsia" w:ascii="仿宋_GB2312" w:hAnsi="仿宋_GB2312" w:eastAsia="仿宋_GB2312" w:cs="仿宋_GB2312"/>
          <w:bCs/>
          <w:sz w:val="32"/>
          <w:szCs w:val="32"/>
          <w:highlight w:val="none"/>
          <w:lang w:val="en-US" w:eastAsia="zh-CN"/>
        </w:rPr>
        <w:t>采购</w:t>
      </w:r>
      <w:r>
        <w:rPr>
          <w:rFonts w:hint="eastAsia" w:ascii="仿宋_GB2312" w:hAnsi="仿宋_GB2312" w:eastAsia="仿宋_GB2312" w:cs="仿宋_GB2312"/>
          <w:bCs/>
          <w:sz w:val="32"/>
          <w:szCs w:val="32"/>
          <w:highlight w:val="none"/>
        </w:rPr>
        <w:t>项目的合法代理人，全权负责参加</w:t>
      </w:r>
      <w:r>
        <w:rPr>
          <w:rFonts w:hint="eastAsia" w:ascii="仿宋_GB2312" w:hAnsi="仿宋_GB2312" w:eastAsia="仿宋_GB2312" w:cs="仿宋_GB2312"/>
          <w:b/>
          <w:bCs/>
          <w:sz w:val="32"/>
          <w:szCs w:val="32"/>
          <w:highlight w:val="none"/>
          <w:u w:val="single"/>
          <w:lang w:eastAsia="zh-CN"/>
        </w:rPr>
        <w:t>深圳书城龙岗城（金旭大楼）2026-2028年度LED显示屏维保服务</w:t>
      </w:r>
      <w:r>
        <w:rPr>
          <w:rFonts w:hint="eastAsia" w:ascii="仿宋_GB2312" w:hAnsi="仿宋_GB2312" w:eastAsia="仿宋_GB2312" w:cs="仿宋_GB2312"/>
          <w:b/>
          <w:bCs/>
          <w:sz w:val="32"/>
          <w:szCs w:val="32"/>
          <w:highlight w:val="none"/>
          <w:u w:val="single"/>
          <w:lang w:val="en-US" w:eastAsia="zh-CN"/>
        </w:rPr>
        <w:t>项目</w:t>
      </w:r>
      <w:r>
        <w:rPr>
          <w:rFonts w:hint="eastAsia" w:ascii="仿宋_GB2312" w:hAnsi="仿宋_GB2312" w:eastAsia="仿宋_GB2312" w:cs="仿宋_GB2312"/>
          <w:bCs/>
          <w:sz w:val="32"/>
          <w:szCs w:val="32"/>
          <w:highlight w:val="none"/>
        </w:rPr>
        <w:t>的报价、谈判、签订合同以及与之相关的各项工作，本</w:t>
      </w:r>
      <w:r>
        <w:rPr>
          <w:rFonts w:hint="eastAsia" w:ascii="仿宋_GB2312" w:hAnsi="仿宋_GB2312" w:eastAsia="仿宋_GB2312" w:cs="仿宋_GB2312"/>
          <w:bCs/>
          <w:sz w:val="32"/>
          <w:szCs w:val="32"/>
          <w:highlight w:val="none"/>
          <w:lang w:val="en-US" w:eastAsia="zh-CN"/>
        </w:rPr>
        <w:t>项目</w:t>
      </w:r>
      <w:r>
        <w:rPr>
          <w:rFonts w:hint="eastAsia" w:ascii="仿宋_GB2312" w:hAnsi="仿宋_GB2312" w:eastAsia="仿宋_GB2312" w:cs="仿宋_GB2312"/>
          <w:bCs/>
          <w:sz w:val="32"/>
          <w:szCs w:val="32"/>
          <w:highlight w:val="none"/>
        </w:rPr>
        <w:t>参与人对被授权人的签名负全部责任。</w:t>
      </w:r>
    </w:p>
    <w:p w14:paraId="30A42595">
      <w:pPr>
        <w:spacing w:line="560" w:lineRule="exact"/>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本授权书于签字盖章日期生效，有效期</w:t>
      </w:r>
      <w:r>
        <w:rPr>
          <w:rFonts w:hint="eastAsia" w:ascii="仿宋_GB2312" w:hAnsi="仿宋_GB2312" w:eastAsia="仿宋_GB2312" w:cs="仿宋_GB2312"/>
          <w:bCs/>
          <w:sz w:val="32"/>
          <w:szCs w:val="32"/>
          <w:highlight w:val="none"/>
          <w:lang w:val="en-US" w:eastAsia="zh-CN"/>
        </w:rPr>
        <w:t>9</w:t>
      </w:r>
      <w:r>
        <w:rPr>
          <w:rFonts w:hint="eastAsia" w:ascii="仿宋_GB2312" w:hAnsi="仿宋_GB2312" w:eastAsia="仿宋_GB2312" w:cs="仿宋_GB2312"/>
          <w:bCs/>
          <w:sz w:val="32"/>
          <w:szCs w:val="32"/>
          <w:highlight w:val="none"/>
        </w:rPr>
        <w:t>0天，被授权人在授权书有效期内签署的所有文件不因授权的撤销而失效。</w:t>
      </w:r>
    </w:p>
    <w:p w14:paraId="734DD9A7">
      <w:pPr>
        <w:spacing w:line="560" w:lineRule="exact"/>
        <w:ind w:firstLine="640" w:firstLineChars="2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被授权人不得转让授权。</w:t>
      </w:r>
    </w:p>
    <w:p w14:paraId="2B059F39">
      <w:pPr>
        <w:spacing w:line="560" w:lineRule="exact"/>
        <w:ind w:firstLine="640" w:firstLineChars="200"/>
        <w:rPr>
          <w:rFonts w:ascii="仿宋_GB2312" w:hAnsi="仿宋_GB2312" w:eastAsia="仿宋_GB2312" w:cs="仿宋_GB2312"/>
          <w:bCs/>
          <w:sz w:val="32"/>
          <w:szCs w:val="32"/>
          <w:highlight w:val="none"/>
        </w:rPr>
      </w:pPr>
    </w:p>
    <w:p w14:paraId="4F7F288C">
      <w:pPr>
        <w:spacing w:line="560" w:lineRule="exact"/>
        <w:ind w:firstLine="640" w:firstLineChars="200"/>
        <w:rPr>
          <w:rFonts w:ascii="仿宋_GB2312" w:hAnsi="仿宋_GB2312" w:eastAsia="仿宋_GB2312" w:cs="仿宋_GB2312"/>
          <w:bCs/>
          <w:sz w:val="32"/>
          <w:szCs w:val="32"/>
          <w:highlight w:val="none"/>
        </w:rPr>
      </w:pPr>
    </w:p>
    <w:p w14:paraId="48099A0D">
      <w:pPr>
        <w:spacing w:line="560" w:lineRule="exact"/>
        <w:ind w:firstLine="640" w:firstLineChars="200"/>
        <w:rPr>
          <w:rFonts w:ascii="仿宋_GB2312" w:hAnsi="仿宋_GB2312" w:eastAsia="仿宋_GB2312" w:cs="仿宋_GB2312"/>
          <w:bCs/>
          <w:sz w:val="32"/>
          <w:szCs w:val="32"/>
          <w:highlight w:val="none"/>
        </w:rPr>
      </w:pPr>
    </w:p>
    <w:p w14:paraId="25FCCD98">
      <w:pPr>
        <w:spacing w:line="560" w:lineRule="exact"/>
        <w:ind w:firstLine="4480" w:firstLineChars="14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单 位（公 章）：</w:t>
      </w:r>
    </w:p>
    <w:p w14:paraId="14EC65E0">
      <w:pPr>
        <w:spacing w:line="560" w:lineRule="exact"/>
        <w:ind w:firstLine="2880" w:firstLineChars="9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法定代表人（签字或盖章）：</w:t>
      </w:r>
    </w:p>
    <w:p w14:paraId="15E54F0D">
      <w:pPr>
        <w:spacing w:line="560" w:lineRule="exact"/>
        <w:ind w:firstLine="5760" w:firstLineChars="1800"/>
        <w:rPr>
          <w:rFonts w:ascii="仿宋_GB2312" w:hAnsi="仿宋_GB2312" w:eastAsia="仿宋_GB2312" w:cs="仿宋_GB2312"/>
          <w:bCs/>
          <w:sz w:val="32"/>
          <w:szCs w:val="32"/>
          <w:highlight w:val="none"/>
        </w:rPr>
      </w:pPr>
      <w:r>
        <w:rPr>
          <w:rFonts w:hint="eastAsia" w:ascii="仿宋_GB2312" w:hAnsi="仿宋_GB2312" w:eastAsia="仿宋_GB2312" w:cs="仿宋_GB2312"/>
          <w:bCs/>
          <w:sz w:val="32"/>
          <w:szCs w:val="32"/>
          <w:highlight w:val="none"/>
        </w:rPr>
        <w:t>日  期：</w:t>
      </w:r>
    </w:p>
    <w:p w14:paraId="07B4E0D6">
      <w:pPr>
        <w:widowControl/>
        <w:ind w:left="0" w:leftChars="0" w:firstLine="0" w:firstLineChars="0"/>
        <w:jc w:val="left"/>
        <w:rPr>
          <w:rFonts w:ascii="仿宋_GB2312" w:hAnsi="仿宋_GB2312" w:eastAsia="仿宋_GB2312" w:cs="仿宋_GB2312"/>
          <w:b/>
          <w:bCs/>
          <w:kern w:val="0"/>
          <w:sz w:val="32"/>
          <w:szCs w:val="32"/>
          <w:highlight w:val="none"/>
        </w:rPr>
        <w:sectPr>
          <w:footerReference r:id="rId11" w:type="default"/>
          <w:pgSz w:w="11906" w:h="16838"/>
          <w:pgMar w:top="1440" w:right="1797" w:bottom="1440" w:left="1797" w:header="851" w:footer="992" w:gutter="0"/>
          <w:pgNumType w:fmt="decimal"/>
          <w:cols w:space="720" w:num="1"/>
          <w:docGrid w:type="lines" w:linePitch="326" w:charSpace="0"/>
        </w:sectPr>
      </w:pPr>
    </w:p>
    <w:p w14:paraId="5E0554E7">
      <w:pPr>
        <w:pStyle w:val="3"/>
        <w:spacing w:line="360" w:lineRule="auto"/>
        <w:rPr>
          <w:rFonts w:hint="eastAsia" w:ascii="仿宋_GB2312" w:hAnsi="仿宋_GB2312" w:eastAsia="仿宋_GB2312" w:cs="仿宋_GB2312"/>
          <w:b w:val="0"/>
          <w:bCs w:val="0"/>
          <w:highlight w:val="none"/>
        </w:rPr>
      </w:pPr>
      <w:r>
        <w:rPr>
          <w:rFonts w:hint="eastAsia" w:ascii="仿宋_GB2312" w:hAnsi="仿宋_GB2312" w:eastAsia="仿宋_GB2312" w:cs="仿宋_GB2312"/>
          <w:b w:val="0"/>
          <w:bCs w:val="0"/>
          <w:highlight w:val="none"/>
        </w:rPr>
        <w:t>附件5：</w:t>
      </w:r>
    </w:p>
    <w:p w14:paraId="46DCE7E2">
      <w:pPr>
        <w:ind w:firstLine="883"/>
        <w:jc w:val="center"/>
        <w:rPr>
          <w:rFonts w:ascii="宋体" w:hAnsi="宋体" w:cs="宋体"/>
          <w:b/>
          <w:bCs/>
          <w:kern w:val="0"/>
          <w:sz w:val="44"/>
          <w:szCs w:val="44"/>
          <w:highlight w:val="none"/>
        </w:rPr>
      </w:pPr>
      <w:r>
        <w:rPr>
          <w:rFonts w:hint="eastAsia" w:ascii="宋体" w:hAnsi="宋体" w:cs="宋体"/>
          <w:b/>
          <w:bCs/>
          <w:kern w:val="0"/>
          <w:sz w:val="44"/>
          <w:szCs w:val="44"/>
          <w:highlight w:val="none"/>
        </w:rPr>
        <w:t>商务文件响应</w:t>
      </w:r>
    </w:p>
    <w:p w14:paraId="067C5618">
      <w:pPr>
        <w:rPr>
          <w:highlight w:val="none"/>
        </w:rPr>
      </w:pPr>
    </w:p>
    <w:p w14:paraId="511D4241">
      <w:pPr>
        <w:pStyle w:val="300"/>
        <w:keepNext w:val="0"/>
        <w:keepLines w:val="0"/>
        <w:pageBreakBefore w:val="0"/>
        <w:widowControl/>
        <w:kinsoku/>
        <w:wordWrap/>
        <w:overflowPunct/>
        <w:topLinePunct w:val="0"/>
        <w:autoSpaceDE/>
        <w:autoSpaceDN/>
        <w:bidi w:val="0"/>
        <w:adjustRightInd/>
        <w:snapToGrid/>
        <w:spacing w:line="520" w:lineRule="exact"/>
        <w:ind w:firstLine="643" w:firstLineChars="200"/>
        <w:jc w:val="left"/>
        <w:textAlignment w:val="auto"/>
        <w:rPr>
          <w:rFonts w:ascii="仿宋_GB2312" w:hAnsi="仿宋_GB2312" w:eastAsia="仿宋_GB2312" w:cs="仿宋_GB2312"/>
          <w:b/>
          <w:bCs/>
          <w:kern w:val="0"/>
          <w:sz w:val="32"/>
          <w:szCs w:val="32"/>
          <w:highlight w:val="none"/>
        </w:rPr>
      </w:pPr>
      <w:r>
        <w:rPr>
          <w:rFonts w:hint="eastAsia" w:ascii="仿宋_GB2312" w:hAnsi="仿宋_GB2312" w:eastAsia="仿宋_GB2312" w:cs="仿宋_GB2312"/>
          <w:b/>
          <w:bCs/>
          <w:kern w:val="0"/>
          <w:sz w:val="32"/>
          <w:szCs w:val="32"/>
          <w:highlight w:val="none"/>
        </w:rPr>
        <w:t>一、经营业绩一览表</w:t>
      </w:r>
    </w:p>
    <w:p w14:paraId="4470347D">
      <w:pPr>
        <w:keepNext w:val="0"/>
        <w:keepLines w:val="0"/>
        <w:pageBreakBefore w:val="0"/>
        <w:widowControl/>
        <w:wordWrap/>
        <w:topLinePunct w:val="0"/>
        <w:autoSpaceDE/>
        <w:autoSpaceDN/>
        <w:bidi w:val="0"/>
        <w:adjustRightInd w:val="0"/>
        <w:snapToGrid w:val="0"/>
        <w:spacing w:line="520" w:lineRule="exact"/>
        <w:jc w:val="center"/>
        <w:textAlignment w:val="auto"/>
        <w:rPr>
          <w:rFonts w:hint="eastAsia" w:ascii="宋体" w:hAnsi="宋体" w:eastAsia="宋体" w:cs="宋体"/>
          <w:b/>
          <w:bCs/>
          <w:sz w:val="44"/>
          <w:szCs w:val="44"/>
          <w:highlight w:val="none"/>
        </w:rPr>
      </w:pPr>
      <w:r>
        <w:rPr>
          <w:rFonts w:hint="eastAsia" w:ascii="宋体" w:hAnsi="宋体" w:eastAsia="宋体" w:cs="宋体"/>
          <w:b/>
          <w:bCs/>
          <w:sz w:val="44"/>
          <w:szCs w:val="44"/>
          <w:highlight w:val="none"/>
        </w:rPr>
        <w:t>经营业绩一览表</w:t>
      </w:r>
    </w:p>
    <w:p w14:paraId="39DC68F8">
      <w:pPr>
        <w:keepNext w:val="0"/>
        <w:keepLines w:val="0"/>
        <w:pageBreakBefore w:val="0"/>
        <w:widowControl/>
        <w:wordWrap/>
        <w:topLinePunct w:val="0"/>
        <w:autoSpaceDE/>
        <w:autoSpaceDN/>
        <w:bidi w:val="0"/>
        <w:adjustRightInd w:val="0"/>
        <w:snapToGrid w:val="0"/>
        <w:spacing w:line="520" w:lineRule="exact"/>
        <w:jc w:val="left"/>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致：</w:t>
      </w:r>
      <w:r>
        <w:rPr>
          <w:rFonts w:hint="eastAsia" w:ascii="仿宋_GB2312" w:hAnsi="仿宋_GB2312" w:eastAsia="仿宋_GB2312" w:cs="仿宋_GB2312"/>
          <w:sz w:val="32"/>
          <w:szCs w:val="32"/>
          <w:highlight w:val="none"/>
          <w:u w:val="single"/>
          <w:lang w:eastAsia="zh-CN"/>
        </w:rPr>
        <w:t>深圳书城龙岗城实业有限公司</w:t>
      </w:r>
    </w:p>
    <w:p w14:paraId="21CF1A20">
      <w:pPr>
        <w:keepNext w:val="0"/>
        <w:keepLines w:val="0"/>
        <w:pageBreakBefore w:val="0"/>
        <w:widowControl/>
        <w:wordWrap/>
        <w:topLinePunct w:val="0"/>
        <w:autoSpaceDE/>
        <w:autoSpaceDN/>
        <w:bidi w:val="0"/>
        <w:adjustRightInd w:val="0"/>
        <w:snapToGrid w:val="0"/>
        <w:spacing w:line="520" w:lineRule="exact"/>
        <w:ind w:firstLine="640" w:firstLineChars="200"/>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我方根据贵公司采购文件要求提供</w:t>
      </w:r>
      <w:r>
        <w:rPr>
          <w:rFonts w:hint="eastAsia" w:ascii="仿宋_GB2312" w:hAnsi="仿宋_GB2312" w:eastAsia="仿宋_GB2312" w:cs="仿宋_GB2312"/>
          <w:sz w:val="32"/>
          <w:szCs w:val="32"/>
          <w:highlight w:val="none"/>
          <w:lang w:val="en-US" w:eastAsia="zh-CN"/>
        </w:rPr>
        <w:t>近三年</w:t>
      </w:r>
      <w:r>
        <w:rPr>
          <w:rFonts w:hint="eastAsia" w:ascii="仿宋_GB2312" w:hAnsi="仿宋_GB2312" w:eastAsia="仿宋_GB2312" w:cs="仿宋_GB2312"/>
          <w:sz w:val="32"/>
          <w:szCs w:val="32"/>
          <w:highlight w:val="none"/>
          <w:u w:val="single"/>
        </w:rPr>
        <w:t>（以合同签订时间为准）电子屏维保服务合同业绩（注：业绩材料限5份，超过5份的以前5份为准。）</w:t>
      </w:r>
      <w:r>
        <w:rPr>
          <w:rFonts w:hint="eastAsia" w:ascii="仿宋_GB2312" w:hAnsi="仿宋_GB2312" w:eastAsia="仿宋_GB2312" w:cs="仿宋_GB2312"/>
          <w:sz w:val="32"/>
          <w:szCs w:val="32"/>
          <w:highlight w:val="none"/>
        </w:rPr>
        <w:t>证明合同附后，清单如下：</w:t>
      </w:r>
    </w:p>
    <w:tbl>
      <w:tblPr>
        <w:tblStyle w:val="49"/>
        <w:tblW w:w="5501"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77"/>
        <w:gridCol w:w="2762"/>
        <w:gridCol w:w="2176"/>
        <w:gridCol w:w="1674"/>
        <w:gridCol w:w="1788"/>
      </w:tblGrid>
      <w:tr w14:paraId="02CD5A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2" w:hRule="atLeast"/>
          <w:jc w:val="center"/>
        </w:trPr>
        <w:tc>
          <w:tcPr>
            <w:tcW w:w="521" w:type="pct"/>
            <w:tcBorders>
              <w:top w:val="single" w:color="auto" w:sz="4" w:space="0"/>
            </w:tcBorders>
            <w:shd w:val="clear" w:color="auto" w:fill="DBE5F1"/>
            <w:noWrap w:val="0"/>
            <w:vAlign w:val="center"/>
          </w:tcPr>
          <w:p w14:paraId="1C20F267">
            <w:pPr>
              <w:keepNext w:val="0"/>
              <w:keepLines w:val="0"/>
              <w:pageBreakBefore w:val="0"/>
              <w:widowControl/>
              <w:kinsoku w:val="0"/>
              <w:wordWrap/>
              <w:overflowPunct w:val="0"/>
              <w:topLinePunct w:val="0"/>
              <w:autoSpaceDE/>
              <w:autoSpaceDN/>
              <w:bidi w:val="0"/>
              <w:adjustRightInd w:val="0"/>
              <w:snapToGrid w:val="0"/>
              <w:spacing w:line="520" w:lineRule="exact"/>
              <w:ind w:firstLine="0" w:firstLineChars="0"/>
              <w:jc w:val="center"/>
              <w:textAlignment w:val="auto"/>
              <w:rPr>
                <w:rFonts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序号</w:t>
            </w:r>
          </w:p>
        </w:tc>
        <w:tc>
          <w:tcPr>
            <w:tcW w:w="1472" w:type="pct"/>
            <w:shd w:val="clear" w:color="auto" w:fill="DBE5F1"/>
            <w:noWrap w:val="0"/>
            <w:vAlign w:val="center"/>
          </w:tcPr>
          <w:p w14:paraId="70F98509">
            <w:pPr>
              <w:keepNext w:val="0"/>
              <w:keepLines w:val="0"/>
              <w:pageBreakBefore w:val="0"/>
              <w:widowControl/>
              <w:kinsoku w:val="0"/>
              <w:wordWrap/>
              <w:overflowPunct w:val="0"/>
              <w:topLinePunct w:val="0"/>
              <w:autoSpaceDE/>
              <w:autoSpaceDN/>
              <w:bidi w:val="0"/>
              <w:adjustRightInd w:val="0"/>
              <w:snapToGrid w:val="0"/>
              <w:spacing w:line="520" w:lineRule="exact"/>
              <w:ind w:firstLine="0" w:firstLineChars="0"/>
              <w:jc w:val="center"/>
              <w:textAlignment w:val="auto"/>
              <w:rPr>
                <w:rFonts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合同名称</w:t>
            </w:r>
          </w:p>
        </w:tc>
        <w:tc>
          <w:tcPr>
            <w:tcW w:w="1160" w:type="pct"/>
            <w:shd w:val="clear" w:color="auto" w:fill="DBE5F1"/>
            <w:noWrap w:val="0"/>
            <w:vAlign w:val="center"/>
          </w:tcPr>
          <w:p w14:paraId="466EB9DB">
            <w:pPr>
              <w:keepNext w:val="0"/>
              <w:keepLines w:val="0"/>
              <w:pageBreakBefore w:val="0"/>
              <w:widowControl/>
              <w:kinsoku w:val="0"/>
              <w:wordWrap/>
              <w:overflowPunct w:val="0"/>
              <w:topLinePunct w:val="0"/>
              <w:autoSpaceDE/>
              <w:autoSpaceDN/>
              <w:bidi w:val="0"/>
              <w:adjustRightInd w:val="0"/>
              <w:snapToGrid w:val="0"/>
              <w:spacing w:line="520" w:lineRule="exact"/>
              <w:ind w:firstLine="0" w:firstLineChars="0"/>
              <w:jc w:val="center"/>
              <w:textAlignment w:val="auto"/>
              <w:rPr>
                <w:rFonts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甲方（采购方）</w:t>
            </w:r>
          </w:p>
        </w:tc>
        <w:tc>
          <w:tcPr>
            <w:tcW w:w="892" w:type="pct"/>
            <w:shd w:val="clear" w:color="auto" w:fill="DBE5F1"/>
            <w:noWrap w:val="0"/>
            <w:vAlign w:val="center"/>
          </w:tcPr>
          <w:p w14:paraId="1C3A8876">
            <w:pPr>
              <w:keepNext w:val="0"/>
              <w:keepLines w:val="0"/>
              <w:pageBreakBefore w:val="0"/>
              <w:widowControl/>
              <w:kinsoku w:val="0"/>
              <w:wordWrap/>
              <w:overflowPunct w:val="0"/>
              <w:topLinePunct w:val="0"/>
              <w:autoSpaceDE/>
              <w:autoSpaceDN/>
              <w:bidi w:val="0"/>
              <w:adjustRightInd w:val="0"/>
              <w:snapToGrid w:val="0"/>
              <w:spacing w:line="240" w:lineRule="auto"/>
              <w:ind w:firstLine="0" w:firstLineChars="0"/>
              <w:jc w:val="center"/>
              <w:textAlignment w:val="auto"/>
              <w:rPr>
                <w:rFonts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合同签</w:t>
            </w:r>
          </w:p>
          <w:p w14:paraId="761066BA">
            <w:pPr>
              <w:keepNext w:val="0"/>
              <w:keepLines w:val="0"/>
              <w:pageBreakBefore w:val="0"/>
              <w:widowControl/>
              <w:kinsoku w:val="0"/>
              <w:wordWrap/>
              <w:overflowPunct w:val="0"/>
              <w:topLinePunct w:val="0"/>
              <w:autoSpaceDE/>
              <w:autoSpaceDN/>
              <w:bidi w:val="0"/>
              <w:adjustRightInd w:val="0"/>
              <w:snapToGrid w:val="0"/>
              <w:spacing w:line="240" w:lineRule="auto"/>
              <w:ind w:firstLine="0" w:firstLineChars="0"/>
              <w:jc w:val="center"/>
              <w:textAlignment w:val="auto"/>
              <w:rPr>
                <w:rFonts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lang w:val="en-US" w:eastAsia="zh-CN"/>
              </w:rPr>
              <w:t>订</w:t>
            </w:r>
            <w:r>
              <w:rPr>
                <w:rFonts w:hint="eastAsia" w:ascii="仿宋_GB2312" w:hAnsi="仿宋_GB2312" w:eastAsia="仿宋_GB2312" w:cs="仿宋_GB2312"/>
                <w:b/>
                <w:sz w:val="28"/>
                <w:szCs w:val="28"/>
                <w:highlight w:val="none"/>
                <w:lang w:eastAsia="zh-CN"/>
              </w:rPr>
              <w:t>时间</w:t>
            </w:r>
          </w:p>
        </w:tc>
        <w:tc>
          <w:tcPr>
            <w:tcW w:w="953" w:type="pct"/>
            <w:shd w:val="clear" w:color="auto" w:fill="DBE5F1"/>
            <w:noWrap w:val="0"/>
            <w:vAlign w:val="center"/>
          </w:tcPr>
          <w:p w14:paraId="7987A75D">
            <w:pPr>
              <w:keepNext w:val="0"/>
              <w:keepLines w:val="0"/>
              <w:pageBreakBefore w:val="0"/>
              <w:widowControl/>
              <w:kinsoku w:val="0"/>
              <w:wordWrap/>
              <w:overflowPunct w:val="0"/>
              <w:topLinePunct w:val="0"/>
              <w:autoSpaceDE/>
              <w:autoSpaceDN/>
              <w:bidi w:val="0"/>
              <w:adjustRightInd w:val="0"/>
              <w:snapToGrid w:val="0"/>
              <w:spacing w:line="520" w:lineRule="exact"/>
              <w:ind w:firstLine="0" w:firstLineChars="0"/>
              <w:jc w:val="center"/>
              <w:textAlignment w:val="auto"/>
              <w:rPr>
                <w:rFonts w:ascii="仿宋_GB2312" w:hAnsi="仿宋_GB2312" w:eastAsia="仿宋_GB2312" w:cs="仿宋_GB2312"/>
                <w:b/>
                <w:sz w:val="28"/>
                <w:szCs w:val="28"/>
                <w:highlight w:val="none"/>
              </w:rPr>
            </w:pPr>
            <w:r>
              <w:rPr>
                <w:rFonts w:hint="eastAsia" w:ascii="仿宋_GB2312" w:hAnsi="仿宋_GB2312" w:eastAsia="仿宋_GB2312" w:cs="仿宋_GB2312"/>
                <w:b/>
                <w:sz w:val="28"/>
                <w:szCs w:val="28"/>
                <w:highlight w:val="none"/>
              </w:rPr>
              <w:t>合同金额</w:t>
            </w:r>
          </w:p>
        </w:tc>
      </w:tr>
      <w:tr w14:paraId="76672A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21" w:type="pct"/>
            <w:noWrap w:val="0"/>
            <w:vAlign w:val="center"/>
          </w:tcPr>
          <w:p w14:paraId="5887BF10">
            <w:pPr>
              <w:keepNext w:val="0"/>
              <w:keepLines w:val="0"/>
              <w:pageBreakBefore w:val="0"/>
              <w:widowControl/>
              <w:kinsoku w:val="0"/>
              <w:wordWrap/>
              <w:overflowPunct w:val="0"/>
              <w:topLinePunct w:val="0"/>
              <w:autoSpaceDE/>
              <w:autoSpaceDN/>
              <w:bidi w:val="0"/>
              <w:adjustRightInd w:val="0"/>
              <w:snapToGrid w:val="0"/>
              <w:spacing w:line="520" w:lineRule="exact"/>
              <w:ind w:firstLine="0" w:firstLineChars="0"/>
              <w:jc w:val="center"/>
              <w:textAlignment w:val="auto"/>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1</w:t>
            </w:r>
          </w:p>
        </w:tc>
        <w:tc>
          <w:tcPr>
            <w:tcW w:w="1472" w:type="pct"/>
            <w:noWrap w:val="0"/>
            <w:vAlign w:val="center"/>
          </w:tcPr>
          <w:p w14:paraId="6506FEF4">
            <w:pPr>
              <w:keepNext w:val="0"/>
              <w:keepLines w:val="0"/>
              <w:pageBreakBefore w:val="0"/>
              <w:widowControl/>
              <w:kinsoku w:val="0"/>
              <w:wordWrap/>
              <w:overflowPunct w:val="0"/>
              <w:topLinePunct w:val="0"/>
              <w:autoSpaceDE/>
              <w:autoSpaceDN/>
              <w:bidi w:val="0"/>
              <w:adjustRightInd w:val="0"/>
              <w:snapToGrid w:val="0"/>
              <w:spacing w:line="520" w:lineRule="exact"/>
              <w:ind w:firstLine="0" w:firstLineChars="0"/>
              <w:jc w:val="center"/>
              <w:textAlignment w:val="auto"/>
              <w:rPr>
                <w:rFonts w:ascii="仿宋_GB2312" w:hAnsi="仿宋_GB2312" w:eastAsia="仿宋_GB2312" w:cs="仿宋_GB2312"/>
                <w:sz w:val="28"/>
                <w:szCs w:val="28"/>
                <w:highlight w:val="none"/>
              </w:rPr>
            </w:pPr>
          </w:p>
        </w:tc>
        <w:tc>
          <w:tcPr>
            <w:tcW w:w="1160" w:type="pct"/>
            <w:noWrap w:val="0"/>
            <w:vAlign w:val="center"/>
          </w:tcPr>
          <w:p w14:paraId="7E8D436D">
            <w:pPr>
              <w:keepNext w:val="0"/>
              <w:keepLines w:val="0"/>
              <w:pageBreakBefore w:val="0"/>
              <w:widowControl/>
              <w:kinsoku w:val="0"/>
              <w:wordWrap/>
              <w:overflowPunct w:val="0"/>
              <w:topLinePunct w:val="0"/>
              <w:autoSpaceDE/>
              <w:autoSpaceDN/>
              <w:bidi w:val="0"/>
              <w:adjustRightInd w:val="0"/>
              <w:snapToGrid w:val="0"/>
              <w:spacing w:line="520" w:lineRule="exact"/>
              <w:ind w:firstLine="0" w:firstLineChars="0"/>
              <w:jc w:val="center"/>
              <w:textAlignment w:val="auto"/>
              <w:rPr>
                <w:rFonts w:ascii="仿宋_GB2312" w:hAnsi="仿宋_GB2312" w:eastAsia="仿宋_GB2312" w:cs="仿宋_GB2312"/>
                <w:sz w:val="28"/>
                <w:szCs w:val="28"/>
                <w:highlight w:val="none"/>
              </w:rPr>
            </w:pPr>
          </w:p>
        </w:tc>
        <w:tc>
          <w:tcPr>
            <w:tcW w:w="892" w:type="pct"/>
            <w:noWrap w:val="0"/>
            <w:vAlign w:val="center"/>
          </w:tcPr>
          <w:p w14:paraId="443DF249">
            <w:pPr>
              <w:keepNext w:val="0"/>
              <w:keepLines w:val="0"/>
              <w:pageBreakBefore w:val="0"/>
              <w:widowControl/>
              <w:kinsoku w:val="0"/>
              <w:wordWrap/>
              <w:overflowPunct w:val="0"/>
              <w:topLinePunct w:val="0"/>
              <w:autoSpaceDE/>
              <w:autoSpaceDN/>
              <w:bidi w:val="0"/>
              <w:adjustRightInd w:val="0"/>
              <w:snapToGrid w:val="0"/>
              <w:spacing w:line="520" w:lineRule="exact"/>
              <w:ind w:firstLine="0" w:firstLineChars="0"/>
              <w:jc w:val="center"/>
              <w:textAlignment w:val="auto"/>
              <w:rPr>
                <w:rFonts w:ascii="仿宋_GB2312" w:hAnsi="仿宋_GB2312" w:eastAsia="仿宋_GB2312" w:cs="仿宋_GB2312"/>
                <w:sz w:val="28"/>
                <w:szCs w:val="28"/>
                <w:highlight w:val="none"/>
              </w:rPr>
            </w:pPr>
          </w:p>
        </w:tc>
        <w:tc>
          <w:tcPr>
            <w:tcW w:w="953" w:type="pct"/>
            <w:noWrap w:val="0"/>
            <w:vAlign w:val="center"/>
          </w:tcPr>
          <w:p w14:paraId="475F5378">
            <w:pPr>
              <w:keepNext w:val="0"/>
              <w:keepLines w:val="0"/>
              <w:pageBreakBefore w:val="0"/>
              <w:widowControl/>
              <w:kinsoku w:val="0"/>
              <w:wordWrap/>
              <w:overflowPunct w:val="0"/>
              <w:topLinePunct w:val="0"/>
              <w:autoSpaceDE/>
              <w:autoSpaceDN/>
              <w:bidi w:val="0"/>
              <w:adjustRightInd w:val="0"/>
              <w:snapToGrid w:val="0"/>
              <w:spacing w:line="520" w:lineRule="exact"/>
              <w:ind w:firstLine="0" w:firstLineChars="0"/>
              <w:jc w:val="center"/>
              <w:textAlignment w:val="auto"/>
              <w:rPr>
                <w:rFonts w:ascii="仿宋_GB2312" w:hAnsi="仿宋_GB2312" w:eastAsia="仿宋_GB2312" w:cs="仿宋_GB2312"/>
                <w:sz w:val="28"/>
                <w:szCs w:val="28"/>
                <w:highlight w:val="none"/>
              </w:rPr>
            </w:pPr>
          </w:p>
        </w:tc>
      </w:tr>
      <w:tr w14:paraId="0BD333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9" w:hRule="atLeast"/>
          <w:jc w:val="center"/>
        </w:trPr>
        <w:tc>
          <w:tcPr>
            <w:tcW w:w="521" w:type="pct"/>
            <w:noWrap w:val="0"/>
            <w:vAlign w:val="center"/>
          </w:tcPr>
          <w:p w14:paraId="30FD1BF2">
            <w:pPr>
              <w:keepNext w:val="0"/>
              <w:keepLines w:val="0"/>
              <w:pageBreakBefore w:val="0"/>
              <w:widowControl/>
              <w:kinsoku w:val="0"/>
              <w:wordWrap/>
              <w:overflowPunct w:val="0"/>
              <w:topLinePunct w:val="0"/>
              <w:autoSpaceDE/>
              <w:autoSpaceDN/>
              <w:bidi w:val="0"/>
              <w:adjustRightInd w:val="0"/>
              <w:snapToGrid w:val="0"/>
              <w:spacing w:line="520" w:lineRule="exact"/>
              <w:ind w:firstLine="0" w:firstLineChars="0"/>
              <w:jc w:val="center"/>
              <w:textAlignment w:val="auto"/>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2</w:t>
            </w:r>
          </w:p>
        </w:tc>
        <w:tc>
          <w:tcPr>
            <w:tcW w:w="1472" w:type="pct"/>
            <w:noWrap w:val="0"/>
            <w:vAlign w:val="center"/>
          </w:tcPr>
          <w:p w14:paraId="7F358996">
            <w:pPr>
              <w:keepNext w:val="0"/>
              <w:keepLines w:val="0"/>
              <w:pageBreakBefore w:val="0"/>
              <w:widowControl/>
              <w:kinsoku w:val="0"/>
              <w:wordWrap/>
              <w:overflowPunct w:val="0"/>
              <w:topLinePunct w:val="0"/>
              <w:autoSpaceDE/>
              <w:autoSpaceDN/>
              <w:bidi w:val="0"/>
              <w:adjustRightInd w:val="0"/>
              <w:snapToGrid w:val="0"/>
              <w:spacing w:line="520" w:lineRule="exact"/>
              <w:ind w:firstLine="0" w:firstLineChars="0"/>
              <w:jc w:val="center"/>
              <w:textAlignment w:val="auto"/>
              <w:rPr>
                <w:rFonts w:ascii="仿宋_GB2312" w:hAnsi="仿宋_GB2312" w:eastAsia="仿宋_GB2312" w:cs="仿宋_GB2312"/>
                <w:sz w:val="28"/>
                <w:szCs w:val="28"/>
                <w:highlight w:val="none"/>
              </w:rPr>
            </w:pPr>
          </w:p>
        </w:tc>
        <w:tc>
          <w:tcPr>
            <w:tcW w:w="1160" w:type="pct"/>
            <w:noWrap w:val="0"/>
            <w:vAlign w:val="center"/>
          </w:tcPr>
          <w:p w14:paraId="1DA5E3E4">
            <w:pPr>
              <w:keepNext w:val="0"/>
              <w:keepLines w:val="0"/>
              <w:pageBreakBefore w:val="0"/>
              <w:widowControl/>
              <w:kinsoku w:val="0"/>
              <w:wordWrap/>
              <w:overflowPunct w:val="0"/>
              <w:topLinePunct w:val="0"/>
              <w:autoSpaceDE/>
              <w:autoSpaceDN/>
              <w:bidi w:val="0"/>
              <w:adjustRightInd w:val="0"/>
              <w:snapToGrid w:val="0"/>
              <w:spacing w:line="520" w:lineRule="exact"/>
              <w:ind w:firstLine="0" w:firstLineChars="0"/>
              <w:jc w:val="center"/>
              <w:textAlignment w:val="auto"/>
              <w:rPr>
                <w:rFonts w:ascii="仿宋_GB2312" w:hAnsi="仿宋_GB2312" w:eastAsia="仿宋_GB2312" w:cs="仿宋_GB2312"/>
                <w:sz w:val="28"/>
                <w:szCs w:val="28"/>
                <w:highlight w:val="none"/>
              </w:rPr>
            </w:pPr>
          </w:p>
        </w:tc>
        <w:tc>
          <w:tcPr>
            <w:tcW w:w="892" w:type="pct"/>
            <w:noWrap w:val="0"/>
            <w:vAlign w:val="center"/>
          </w:tcPr>
          <w:p w14:paraId="61971715">
            <w:pPr>
              <w:keepNext w:val="0"/>
              <w:keepLines w:val="0"/>
              <w:pageBreakBefore w:val="0"/>
              <w:widowControl/>
              <w:kinsoku w:val="0"/>
              <w:wordWrap/>
              <w:overflowPunct w:val="0"/>
              <w:topLinePunct w:val="0"/>
              <w:autoSpaceDE/>
              <w:autoSpaceDN/>
              <w:bidi w:val="0"/>
              <w:adjustRightInd w:val="0"/>
              <w:snapToGrid w:val="0"/>
              <w:spacing w:line="520" w:lineRule="exact"/>
              <w:ind w:firstLine="0" w:firstLineChars="0"/>
              <w:jc w:val="center"/>
              <w:textAlignment w:val="auto"/>
              <w:rPr>
                <w:rFonts w:ascii="仿宋_GB2312" w:hAnsi="仿宋_GB2312" w:eastAsia="仿宋_GB2312" w:cs="仿宋_GB2312"/>
                <w:sz w:val="28"/>
                <w:szCs w:val="28"/>
                <w:highlight w:val="none"/>
              </w:rPr>
            </w:pPr>
          </w:p>
        </w:tc>
        <w:tc>
          <w:tcPr>
            <w:tcW w:w="953" w:type="pct"/>
            <w:noWrap w:val="0"/>
            <w:vAlign w:val="center"/>
          </w:tcPr>
          <w:p w14:paraId="65272827">
            <w:pPr>
              <w:keepNext w:val="0"/>
              <w:keepLines w:val="0"/>
              <w:pageBreakBefore w:val="0"/>
              <w:widowControl/>
              <w:kinsoku w:val="0"/>
              <w:wordWrap/>
              <w:overflowPunct w:val="0"/>
              <w:topLinePunct w:val="0"/>
              <w:autoSpaceDE/>
              <w:autoSpaceDN/>
              <w:bidi w:val="0"/>
              <w:adjustRightInd w:val="0"/>
              <w:snapToGrid w:val="0"/>
              <w:spacing w:line="520" w:lineRule="exact"/>
              <w:ind w:firstLine="0" w:firstLineChars="0"/>
              <w:jc w:val="center"/>
              <w:textAlignment w:val="auto"/>
              <w:rPr>
                <w:rFonts w:ascii="仿宋_GB2312" w:hAnsi="仿宋_GB2312" w:eastAsia="仿宋_GB2312" w:cs="仿宋_GB2312"/>
                <w:sz w:val="28"/>
                <w:szCs w:val="28"/>
                <w:highlight w:val="none"/>
              </w:rPr>
            </w:pPr>
          </w:p>
        </w:tc>
      </w:tr>
      <w:tr w14:paraId="4FE064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7" w:hRule="atLeast"/>
          <w:jc w:val="center"/>
        </w:trPr>
        <w:tc>
          <w:tcPr>
            <w:tcW w:w="521" w:type="pct"/>
            <w:noWrap w:val="0"/>
            <w:vAlign w:val="center"/>
          </w:tcPr>
          <w:p w14:paraId="2D7BBAC6">
            <w:pPr>
              <w:keepNext w:val="0"/>
              <w:keepLines w:val="0"/>
              <w:pageBreakBefore w:val="0"/>
              <w:widowControl/>
              <w:kinsoku w:val="0"/>
              <w:wordWrap/>
              <w:overflowPunct w:val="0"/>
              <w:topLinePunct w:val="0"/>
              <w:autoSpaceDE/>
              <w:autoSpaceDN/>
              <w:bidi w:val="0"/>
              <w:adjustRightInd w:val="0"/>
              <w:snapToGrid w:val="0"/>
              <w:spacing w:line="520" w:lineRule="exact"/>
              <w:ind w:firstLine="0" w:firstLineChars="0"/>
              <w:jc w:val="center"/>
              <w:textAlignment w:val="auto"/>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3</w:t>
            </w:r>
          </w:p>
        </w:tc>
        <w:tc>
          <w:tcPr>
            <w:tcW w:w="1472" w:type="pct"/>
            <w:noWrap w:val="0"/>
            <w:vAlign w:val="center"/>
          </w:tcPr>
          <w:p w14:paraId="7D2B939B">
            <w:pPr>
              <w:keepNext w:val="0"/>
              <w:keepLines w:val="0"/>
              <w:pageBreakBefore w:val="0"/>
              <w:widowControl/>
              <w:kinsoku w:val="0"/>
              <w:wordWrap/>
              <w:overflowPunct w:val="0"/>
              <w:topLinePunct w:val="0"/>
              <w:autoSpaceDE/>
              <w:autoSpaceDN/>
              <w:bidi w:val="0"/>
              <w:adjustRightInd w:val="0"/>
              <w:snapToGrid w:val="0"/>
              <w:spacing w:line="520" w:lineRule="exact"/>
              <w:ind w:firstLine="0" w:firstLineChars="0"/>
              <w:jc w:val="center"/>
              <w:textAlignment w:val="auto"/>
              <w:rPr>
                <w:rFonts w:ascii="仿宋_GB2312" w:hAnsi="仿宋_GB2312" w:eastAsia="仿宋_GB2312" w:cs="仿宋_GB2312"/>
                <w:sz w:val="28"/>
                <w:szCs w:val="28"/>
                <w:highlight w:val="none"/>
              </w:rPr>
            </w:pPr>
          </w:p>
        </w:tc>
        <w:tc>
          <w:tcPr>
            <w:tcW w:w="1160" w:type="pct"/>
            <w:noWrap w:val="0"/>
            <w:vAlign w:val="center"/>
          </w:tcPr>
          <w:p w14:paraId="628CBE33">
            <w:pPr>
              <w:keepNext w:val="0"/>
              <w:keepLines w:val="0"/>
              <w:pageBreakBefore w:val="0"/>
              <w:widowControl/>
              <w:kinsoku w:val="0"/>
              <w:wordWrap/>
              <w:overflowPunct w:val="0"/>
              <w:topLinePunct w:val="0"/>
              <w:autoSpaceDE/>
              <w:autoSpaceDN/>
              <w:bidi w:val="0"/>
              <w:adjustRightInd w:val="0"/>
              <w:snapToGrid w:val="0"/>
              <w:spacing w:line="520" w:lineRule="exact"/>
              <w:ind w:firstLine="0" w:firstLineChars="0"/>
              <w:jc w:val="center"/>
              <w:textAlignment w:val="auto"/>
              <w:rPr>
                <w:rFonts w:ascii="仿宋_GB2312" w:hAnsi="仿宋_GB2312" w:eastAsia="仿宋_GB2312" w:cs="仿宋_GB2312"/>
                <w:sz w:val="28"/>
                <w:szCs w:val="28"/>
                <w:highlight w:val="none"/>
              </w:rPr>
            </w:pPr>
          </w:p>
        </w:tc>
        <w:tc>
          <w:tcPr>
            <w:tcW w:w="892" w:type="pct"/>
            <w:noWrap w:val="0"/>
            <w:vAlign w:val="center"/>
          </w:tcPr>
          <w:p w14:paraId="0215147C">
            <w:pPr>
              <w:keepNext w:val="0"/>
              <w:keepLines w:val="0"/>
              <w:pageBreakBefore w:val="0"/>
              <w:widowControl/>
              <w:kinsoku w:val="0"/>
              <w:wordWrap/>
              <w:overflowPunct w:val="0"/>
              <w:topLinePunct w:val="0"/>
              <w:autoSpaceDE/>
              <w:autoSpaceDN/>
              <w:bidi w:val="0"/>
              <w:adjustRightInd w:val="0"/>
              <w:snapToGrid w:val="0"/>
              <w:spacing w:line="520" w:lineRule="exact"/>
              <w:ind w:firstLine="0" w:firstLineChars="0"/>
              <w:jc w:val="center"/>
              <w:textAlignment w:val="auto"/>
              <w:rPr>
                <w:rFonts w:ascii="仿宋_GB2312" w:hAnsi="仿宋_GB2312" w:eastAsia="仿宋_GB2312" w:cs="仿宋_GB2312"/>
                <w:sz w:val="28"/>
                <w:szCs w:val="28"/>
                <w:highlight w:val="none"/>
              </w:rPr>
            </w:pPr>
          </w:p>
        </w:tc>
        <w:tc>
          <w:tcPr>
            <w:tcW w:w="953" w:type="pct"/>
            <w:noWrap w:val="0"/>
            <w:vAlign w:val="center"/>
          </w:tcPr>
          <w:p w14:paraId="35EA8E29">
            <w:pPr>
              <w:keepNext w:val="0"/>
              <w:keepLines w:val="0"/>
              <w:pageBreakBefore w:val="0"/>
              <w:widowControl/>
              <w:kinsoku w:val="0"/>
              <w:wordWrap/>
              <w:overflowPunct w:val="0"/>
              <w:topLinePunct w:val="0"/>
              <w:autoSpaceDE/>
              <w:autoSpaceDN/>
              <w:bidi w:val="0"/>
              <w:adjustRightInd w:val="0"/>
              <w:snapToGrid w:val="0"/>
              <w:spacing w:line="520" w:lineRule="exact"/>
              <w:ind w:firstLine="0" w:firstLineChars="0"/>
              <w:jc w:val="center"/>
              <w:textAlignment w:val="auto"/>
              <w:rPr>
                <w:rFonts w:ascii="仿宋_GB2312" w:hAnsi="仿宋_GB2312" w:eastAsia="仿宋_GB2312" w:cs="仿宋_GB2312"/>
                <w:sz w:val="28"/>
                <w:szCs w:val="28"/>
                <w:highlight w:val="none"/>
              </w:rPr>
            </w:pPr>
          </w:p>
        </w:tc>
      </w:tr>
      <w:tr w14:paraId="7CC67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5" w:hRule="atLeast"/>
          <w:jc w:val="center"/>
        </w:trPr>
        <w:tc>
          <w:tcPr>
            <w:tcW w:w="521" w:type="pct"/>
            <w:noWrap w:val="0"/>
            <w:vAlign w:val="center"/>
          </w:tcPr>
          <w:p w14:paraId="2D9BB753">
            <w:pPr>
              <w:keepNext w:val="0"/>
              <w:keepLines w:val="0"/>
              <w:pageBreakBefore w:val="0"/>
              <w:widowControl/>
              <w:kinsoku w:val="0"/>
              <w:wordWrap/>
              <w:overflowPunct w:val="0"/>
              <w:topLinePunct w:val="0"/>
              <w:autoSpaceDE/>
              <w:autoSpaceDN/>
              <w:bidi w:val="0"/>
              <w:adjustRightInd w:val="0"/>
              <w:snapToGrid w:val="0"/>
              <w:spacing w:line="520" w:lineRule="exact"/>
              <w:ind w:firstLine="0" w:firstLineChars="0"/>
              <w:jc w:val="center"/>
              <w:textAlignment w:val="auto"/>
              <w:rPr>
                <w:rFonts w:ascii="仿宋_GB2312" w:hAnsi="仿宋_GB2312" w:eastAsia="仿宋_GB2312" w:cs="仿宋_GB2312"/>
                <w:sz w:val="28"/>
                <w:szCs w:val="28"/>
                <w:highlight w:val="none"/>
              </w:rPr>
            </w:pPr>
          </w:p>
        </w:tc>
        <w:tc>
          <w:tcPr>
            <w:tcW w:w="1472" w:type="pct"/>
            <w:noWrap w:val="0"/>
            <w:vAlign w:val="center"/>
          </w:tcPr>
          <w:p w14:paraId="71E3A5C6">
            <w:pPr>
              <w:keepNext w:val="0"/>
              <w:keepLines w:val="0"/>
              <w:pageBreakBefore w:val="0"/>
              <w:widowControl/>
              <w:kinsoku w:val="0"/>
              <w:wordWrap/>
              <w:overflowPunct w:val="0"/>
              <w:topLinePunct w:val="0"/>
              <w:autoSpaceDE/>
              <w:autoSpaceDN/>
              <w:bidi w:val="0"/>
              <w:adjustRightInd w:val="0"/>
              <w:snapToGrid w:val="0"/>
              <w:spacing w:line="520" w:lineRule="exact"/>
              <w:ind w:firstLine="0" w:firstLineChars="0"/>
              <w:jc w:val="center"/>
              <w:textAlignment w:val="auto"/>
              <w:rPr>
                <w:rFonts w:ascii="仿宋_GB2312" w:hAnsi="仿宋_GB2312" w:eastAsia="仿宋_GB2312" w:cs="仿宋_GB2312"/>
                <w:sz w:val="28"/>
                <w:szCs w:val="28"/>
                <w:highlight w:val="none"/>
              </w:rPr>
            </w:pPr>
            <w:r>
              <w:rPr>
                <w:rFonts w:hint="eastAsia" w:ascii="仿宋_GB2312" w:hAnsi="仿宋_GB2312" w:eastAsia="仿宋_GB2312" w:cs="仿宋_GB2312"/>
                <w:sz w:val="28"/>
                <w:szCs w:val="28"/>
                <w:highlight w:val="none"/>
              </w:rPr>
              <w:t>……</w:t>
            </w:r>
          </w:p>
        </w:tc>
        <w:tc>
          <w:tcPr>
            <w:tcW w:w="1160" w:type="pct"/>
            <w:noWrap w:val="0"/>
            <w:vAlign w:val="center"/>
          </w:tcPr>
          <w:p w14:paraId="457A96B5">
            <w:pPr>
              <w:keepNext w:val="0"/>
              <w:keepLines w:val="0"/>
              <w:pageBreakBefore w:val="0"/>
              <w:widowControl/>
              <w:kinsoku w:val="0"/>
              <w:wordWrap/>
              <w:overflowPunct w:val="0"/>
              <w:topLinePunct w:val="0"/>
              <w:autoSpaceDE/>
              <w:autoSpaceDN/>
              <w:bidi w:val="0"/>
              <w:adjustRightInd w:val="0"/>
              <w:snapToGrid w:val="0"/>
              <w:spacing w:line="520" w:lineRule="exact"/>
              <w:ind w:firstLine="0" w:firstLineChars="0"/>
              <w:jc w:val="center"/>
              <w:textAlignment w:val="auto"/>
              <w:rPr>
                <w:rFonts w:ascii="仿宋_GB2312" w:hAnsi="仿宋_GB2312" w:eastAsia="仿宋_GB2312" w:cs="仿宋_GB2312"/>
                <w:sz w:val="28"/>
                <w:szCs w:val="28"/>
                <w:highlight w:val="none"/>
              </w:rPr>
            </w:pPr>
          </w:p>
        </w:tc>
        <w:tc>
          <w:tcPr>
            <w:tcW w:w="892" w:type="pct"/>
            <w:noWrap w:val="0"/>
            <w:vAlign w:val="center"/>
          </w:tcPr>
          <w:p w14:paraId="731CAAE8">
            <w:pPr>
              <w:keepNext w:val="0"/>
              <w:keepLines w:val="0"/>
              <w:pageBreakBefore w:val="0"/>
              <w:widowControl/>
              <w:kinsoku w:val="0"/>
              <w:wordWrap/>
              <w:overflowPunct w:val="0"/>
              <w:topLinePunct w:val="0"/>
              <w:autoSpaceDE/>
              <w:autoSpaceDN/>
              <w:bidi w:val="0"/>
              <w:adjustRightInd w:val="0"/>
              <w:snapToGrid w:val="0"/>
              <w:spacing w:line="520" w:lineRule="exact"/>
              <w:ind w:firstLine="0" w:firstLineChars="0"/>
              <w:jc w:val="center"/>
              <w:textAlignment w:val="auto"/>
              <w:rPr>
                <w:rFonts w:ascii="仿宋_GB2312" w:hAnsi="仿宋_GB2312" w:eastAsia="仿宋_GB2312" w:cs="仿宋_GB2312"/>
                <w:sz w:val="28"/>
                <w:szCs w:val="28"/>
                <w:highlight w:val="none"/>
              </w:rPr>
            </w:pPr>
          </w:p>
        </w:tc>
        <w:tc>
          <w:tcPr>
            <w:tcW w:w="953" w:type="pct"/>
            <w:noWrap w:val="0"/>
            <w:vAlign w:val="center"/>
          </w:tcPr>
          <w:p w14:paraId="719878E8">
            <w:pPr>
              <w:keepNext w:val="0"/>
              <w:keepLines w:val="0"/>
              <w:pageBreakBefore w:val="0"/>
              <w:widowControl/>
              <w:kinsoku w:val="0"/>
              <w:wordWrap/>
              <w:overflowPunct w:val="0"/>
              <w:topLinePunct w:val="0"/>
              <w:autoSpaceDE/>
              <w:autoSpaceDN/>
              <w:bidi w:val="0"/>
              <w:adjustRightInd w:val="0"/>
              <w:snapToGrid w:val="0"/>
              <w:spacing w:line="520" w:lineRule="exact"/>
              <w:ind w:firstLine="0" w:firstLineChars="0"/>
              <w:jc w:val="center"/>
              <w:textAlignment w:val="auto"/>
              <w:rPr>
                <w:rFonts w:ascii="仿宋_GB2312" w:hAnsi="仿宋_GB2312" w:eastAsia="仿宋_GB2312" w:cs="仿宋_GB2312"/>
                <w:sz w:val="28"/>
                <w:szCs w:val="28"/>
                <w:highlight w:val="none"/>
              </w:rPr>
            </w:pPr>
          </w:p>
        </w:tc>
      </w:tr>
    </w:tbl>
    <w:p w14:paraId="5DBF0878">
      <w:pPr>
        <w:keepNext w:val="0"/>
        <w:keepLines w:val="0"/>
        <w:pageBreakBefore w:val="0"/>
        <w:widowControl/>
        <w:wordWrap/>
        <w:topLinePunct w:val="0"/>
        <w:autoSpaceDE/>
        <w:autoSpaceDN/>
        <w:bidi w:val="0"/>
        <w:adjustRightInd w:val="0"/>
        <w:snapToGrid w:val="0"/>
        <w:spacing w:line="520" w:lineRule="exact"/>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重要提示：</w:t>
      </w:r>
    </w:p>
    <w:p w14:paraId="31375A37">
      <w:pPr>
        <w:keepNext w:val="0"/>
        <w:keepLines w:val="0"/>
        <w:pageBreakBefore w:val="0"/>
        <w:widowControl/>
        <w:wordWrap/>
        <w:topLinePunct w:val="0"/>
        <w:autoSpaceDE/>
        <w:autoSpaceDN/>
        <w:bidi w:val="0"/>
        <w:adjustRightInd w:val="0"/>
        <w:snapToGrid w:val="0"/>
        <w:spacing w:line="520" w:lineRule="exact"/>
        <w:ind w:firstLine="640" w:firstLineChars="200"/>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1.供应商根据采购文件业绩部分评分标准仔细填写；</w:t>
      </w:r>
    </w:p>
    <w:p w14:paraId="4A33DBE3">
      <w:pPr>
        <w:keepNext w:val="0"/>
        <w:keepLines w:val="0"/>
        <w:pageBreakBefore w:val="0"/>
        <w:widowControl/>
        <w:wordWrap/>
        <w:topLinePunct w:val="0"/>
        <w:autoSpaceDE/>
        <w:autoSpaceDN/>
        <w:bidi w:val="0"/>
        <w:adjustRightInd w:val="0"/>
        <w:snapToGrid w:val="0"/>
        <w:spacing w:line="520" w:lineRule="exact"/>
        <w:ind w:firstLine="640" w:firstLineChars="200"/>
        <w:jc w:val="left"/>
        <w:textAlignment w:val="auto"/>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2.上述业绩必须为真实有效，如发现业绩不符，将取消相应评分；</w:t>
      </w:r>
    </w:p>
    <w:p w14:paraId="28DF19AC">
      <w:pPr>
        <w:keepNext w:val="0"/>
        <w:keepLines w:val="0"/>
        <w:pageBreakBefore w:val="0"/>
        <w:widowControl/>
        <w:wordWrap/>
        <w:topLinePunct w:val="0"/>
        <w:autoSpaceDE/>
        <w:autoSpaceDN/>
        <w:bidi w:val="0"/>
        <w:adjustRightInd w:val="0"/>
        <w:snapToGrid w:val="0"/>
        <w:spacing w:line="520" w:lineRule="exact"/>
        <w:ind w:firstLine="640" w:firstLineChars="200"/>
        <w:jc w:val="left"/>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3.证明材料附在本表后即可；</w:t>
      </w:r>
    </w:p>
    <w:p w14:paraId="70D193A0">
      <w:pPr>
        <w:pStyle w:val="300"/>
        <w:keepNext w:val="0"/>
        <w:keepLines w:val="0"/>
        <w:pageBreakBefore w:val="0"/>
        <w:widowControl/>
        <w:kinsoku/>
        <w:wordWrap/>
        <w:overflowPunct/>
        <w:topLinePunct w:val="0"/>
        <w:autoSpaceDE/>
        <w:autoSpaceDN/>
        <w:bidi w:val="0"/>
        <w:adjustRightInd/>
        <w:snapToGrid/>
        <w:spacing w:line="520" w:lineRule="exact"/>
        <w:ind w:firstLine="643" w:firstLineChars="200"/>
        <w:jc w:val="left"/>
        <w:textAlignment w:val="auto"/>
        <w:rPr>
          <w:rFonts w:hint="eastAsia" w:ascii="仿宋_GB2312" w:hAnsi="仿宋_GB2312" w:eastAsia="仿宋_GB2312" w:cs="仿宋_GB2312"/>
          <w:b/>
          <w:bCs/>
          <w:kern w:val="0"/>
          <w:sz w:val="32"/>
          <w:szCs w:val="32"/>
          <w:highlight w:val="none"/>
          <w:lang w:val="en-US" w:eastAsia="zh-CN"/>
        </w:rPr>
      </w:pPr>
      <w:r>
        <w:rPr>
          <w:rFonts w:hint="eastAsia" w:ascii="仿宋_GB2312" w:hAnsi="仿宋_GB2312" w:eastAsia="仿宋_GB2312" w:cs="仿宋_GB2312"/>
          <w:b/>
          <w:bCs/>
          <w:kern w:val="0"/>
          <w:sz w:val="32"/>
          <w:szCs w:val="32"/>
          <w:highlight w:val="none"/>
          <w:lang w:val="en-US" w:eastAsia="zh-CN"/>
        </w:rPr>
        <w:t>二、项目团队配置</w:t>
      </w:r>
    </w:p>
    <w:p w14:paraId="67957878">
      <w:pPr>
        <w:keepNext w:val="0"/>
        <w:keepLines w:val="0"/>
        <w:pageBreakBefore w:val="0"/>
        <w:widowControl/>
        <w:wordWrap/>
        <w:topLinePunct w:val="0"/>
        <w:autoSpaceDE/>
        <w:autoSpaceDN/>
        <w:bidi w:val="0"/>
        <w:spacing w:line="520" w:lineRule="exac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提供人员配置方案，包括项目技术团队人员的资格或者职称证书、近三个月社保证明、企业资质、人员稳定性承诺（格式自拟）</w:t>
      </w:r>
    </w:p>
    <w:p w14:paraId="47FA11B2">
      <w:pPr>
        <w:pStyle w:val="3"/>
        <w:spacing w:line="360" w:lineRule="auto"/>
        <w:outlineLvl w:val="0"/>
        <w:rPr>
          <w:rFonts w:hint="eastAsia" w:ascii="仿宋_GB2312" w:hAnsi="仿宋_GB2312" w:eastAsia="仿宋_GB2312" w:cs="仿宋_GB2312"/>
          <w:b w:val="0"/>
          <w:bCs w:val="0"/>
          <w:highlight w:val="none"/>
        </w:rPr>
      </w:pPr>
      <w:r>
        <w:rPr>
          <w:rFonts w:hint="eastAsia" w:ascii="仿宋_GB2312" w:hAnsi="仿宋_GB2312" w:eastAsia="仿宋_GB2312" w:cs="仿宋_GB2312"/>
          <w:sz w:val="32"/>
          <w:szCs w:val="32"/>
          <w:highlight w:val="none"/>
        </w:rPr>
        <w:br w:type="page"/>
      </w:r>
      <w:bookmarkStart w:id="55" w:name="_Toc28457"/>
      <w:r>
        <w:rPr>
          <w:rFonts w:hint="eastAsia" w:ascii="仿宋_GB2312" w:hAnsi="仿宋_GB2312" w:eastAsia="仿宋_GB2312" w:cs="仿宋_GB2312"/>
          <w:b w:val="0"/>
          <w:bCs w:val="0"/>
          <w:highlight w:val="none"/>
        </w:rPr>
        <w:t>附件6：</w:t>
      </w:r>
      <w:bookmarkEnd w:id="55"/>
    </w:p>
    <w:p w14:paraId="0610B146">
      <w:pPr>
        <w:keepNext w:val="0"/>
        <w:keepLines w:val="0"/>
        <w:pageBreakBefore w:val="0"/>
        <w:kinsoku/>
        <w:wordWrap/>
        <w:overflowPunct/>
        <w:topLinePunct w:val="0"/>
        <w:autoSpaceDE/>
        <w:autoSpaceDN/>
        <w:bidi w:val="0"/>
        <w:adjustRightInd/>
        <w:spacing w:line="560" w:lineRule="exact"/>
        <w:ind w:left="0" w:leftChars="0" w:firstLine="0" w:firstLineChars="0"/>
        <w:jc w:val="center"/>
        <w:textAlignment w:val="auto"/>
        <w:rPr>
          <w:rFonts w:hint="eastAsia" w:ascii="宋体" w:hAnsi="宋体" w:eastAsia="宋体" w:cs="宋体"/>
          <w:b/>
          <w:bCs/>
          <w:sz w:val="44"/>
          <w:szCs w:val="44"/>
          <w:highlight w:val="none"/>
          <w:lang w:val="en-US" w:eastAsia="zh-CN"/>
        </w:rPr>
      </w:pPr>
      <w:r>
        <w:rPr>
          <w:rFonts w:hint="eastAsia" w:ascii="宋体" w:hAnsi="宋体" w:eastAsia="宋体" w:cs="宋体"/>
          <w:b/>
          <w:bCs/>
          <w:sz w:val="44"/>
          <w:szCs w:val="44"/>
          <w:highlight w:val="none"/>
          <w:lang w:val="en-US" w:eastAsia="zh-CN"/>
        </w:rPr>
        <w:t>深圳书城龙岗城（金旭大楼） LED 显示屏维保服务报价单</w:t>
      </w:r>
    </w:p>
    <w:p w14:paraId="2645C99C">
      <w:pPr>
        <w:keepNext w:val="0"/>
        <w:keepLines w:val="0"/>
        <w:pageBreakBefore w:val="0"/>
        <w:kinsoku/>
        <w:wordWrap/>
        <w:overflowPunct/>
        <w:topLinePunct w:val="0"/>
        <w:autoSpaceDE/>
        <w:autoSpaceDN/>
        <w:bidi w:val="0"/>
        <w:adjustRightInd/>
        <w:spacing w:line="560" w:lineRule="exact"/>
        <w:jc w:val="center"/>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（参考格式表）</w:t>
      </w:r>
    </w:p>
    <w:p w14:paraId="605D4D0D">
      <w:pPr>
        <w:adjustRightInd w:val="0"/>
        <w:snapToGrid w:val="0"/>
        <w:spacing w:line="360" w:lineRule="auto"/>
        <w:ind w:left="0" w:leftChars="0" w:firstLine="0" w:firstLineChars="0"/>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深圳书城龙岗城实业有限公司：</w:t>
      </w:r>
    </w:p>
    <w:p w14:paraId="0C6FD4E8">
      <w:pPr>
        <w:adjustRightInd w:val="0"/>
        <w:snapToGrid w:val="0"/>
        <w:spacing w:line="360" w:lineRule="auto"/>
        <w:ind w:firstLine="640" w:firstLineChars="200"/>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我司对贵司的</w:t>
      </w:r>
      <w:r>
        <w:rPr>
          <w:rFonts w:hint="eastAsia" w:ascii="仿宋_GB2312" w:hAnsi="仿宋_GB2312" w:eastAsia="仿宋_GB2312" w:cs="仿宋_GB2312"/>
          <w:sz w:val="32"/>
          <w:szCs w:val="32"/>
          <w:highlight w:val="none"/>
          <w:u w:val="single"/>
          <w:lang w:val="en-US" w:eastAsia="zh-CN"/>
        </w:rPr>
        <w:t>LED显示屏维保服务项目</w:t>
      </w:r>
      <w:r>
        <w:rPr>
          <w:rFonts w:hint="eastAsia" w:ascii="仿宋_GB2312" w:hAnsi="仿宋_GB2312" w:eastAsia="仿宋_GB2312" w:cs="仿宋_GB2312"/>
          <w:sz w:val="32"/>
          <w:szCs w:val="32"/>
          <w:highlight w:val="none"/>
        </w:rPr>
        <w:t>报价如下：</w:t>
      </w:r>
    </w:p>
    <w:tbl>
      <w:tblPr>
        <w:tblStyle w:val="49"/>
        <w:tblW w:w="917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98"/>
        <w:gridCol w:w="3022"/>
        <w:gridCol w:w="1127"/>
        <w:gridCol w:w="1293"/>
        <w:gridCol w:w="1352"/>
        <w:gridCol w:w="1058"/>
        <w:gridCol w:w="629"/>
      </w:tblGrid>
      <w:tr w14:paraId="1B30D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8" w:hRule="atLeast"/>
          <w:jc w:val="center"/>
        </w:trPr>
        <w:tc>
          <w:tcPr>
            <w:tcW w:w="0" w:type="auto"/>
            <w:gridSpan w:val="2"/>
            <w:tcBorders>
              <w:top w:val="single" w:color="auto" w:sz="4" w:space="0"/>
              <w:left w:val="single" w:color="auto" w:sz="4" w:space="0"/>
              <w:bottom w:val="single" w:color="000000" w:sz="4" w:space="0"/>
              <w:right w:val="single" w:color="000000" w:sz="4" w:space="0"/>
            </w:tcBorders>
            <w:noWrap/>
            <w:vAlign w:val="center"/>
          </w:tcPr>
          <w:p w14:paraId="7A8A8611">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项目名称</w:t>
            </w:r>
          </w:p>
        </w:tc>
        <w:tc>
          <w:tcPr>
            <w:tcW w:w="0" w:type="auto"/>
            <w:gridSpan w:val="5"/>
            <w:tcBorders>
              <w:top w:val="single" w:color="auto" w:sz="4" w:space="0"/>
              <w:left w:val="single" w:color="000000" w:sz="4" w:space="0"/>
              <w:bottom w:val="single" w:color="000000" w:sz="4" w:space="0"/>
              <w:right w:val="single" w:color="auto" w:sz="4" w:space="0"/>
            </w:tcBorders>
            <w:noWrap/>
            <w:vAlign w:val="center"/>
          </w:tcPr>
          <w:p w14:paraId="22E8F864">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4"/>
                <w:szCs w:val="24"/>
                <w:highlight w:val="none"/>
                <w:u w:val="none"/>
                <w:lang w:eastAsia="zh-CN"/>
              </w:rPr>
            </w:pPr>
            <w:r>
              <w:rPr>
                <w:rFonts w:hint="eastAsia" w:ascii="宋体" w:hAnsi="宋体" w:eastAsia="宋体" w:cs="宋体"/>
                <w:b/>
                <w:bCs/>
                <w:i w:val="0"/>
                <w:iCs w:val="0"/>
                <w:color w:val="000000"/>
                <w:sz w:val="24"/>
                <w:szCs w:val="24"/>
                <w:highlight w:val="none"/>
                <w:u w:val="none"/>
              </w:rPr>
              <w:t>深圳书城龙岗城</w:t>
            </w:r>
            <w:r>
              <w:rPr>
                <w:rFonts w:hint="eastAsia" w:ascii="宋体" w:hAnsi="宋体" w:eastAsia="宋体" w:cs="宋体"/>
                <w:b/>
                <w:bCs/>
                <w:i w:val="0"/>
                <w:iCs w:val="0"/>
                <w:color w:val="000000"/>
                <w:sz w:val="24"/>
                <w:szCs w:val="24"/>
                <w:highlight w:val="none"/>
                <w:u w:val="none"/>
                <w:lang w:eastAsia="zh-CN"/>
              </w:rPr>
              <w:t>（</w:t>
            </w:r>
            <w:r>
              <w:rPr>
                <w:rFonts w:hint="eastAsia" w:ascii="宋体" w:hAnsi="宋体" w:eastAsia="宋体" w:cs="宋体"/>
                <w:b/>
                <w:bCs/>
                <w:i w:val="0"/>
                <w:iCs w:val="0"/>
                <w:color w:val="000000"/>
                <w:sz w:val="24"/>
                <w:szCs w:val="24"/>
                <w:highlight w:val="none"/>
                <w:u w:val="none"/>
              </w:rPr>
              <w:t>金旭大楼</w:t>
            </w:r>
            <w:r>
              <w:rPr>
                <w:rFonts w:hint="eastAsia" w:ascii="宋体" w:hAnsi="宋体" w:eastAsia="宋体" w:cs="宋体"/>
                <w:b/>
                <w:bCs/>
                <w:i w:val="0"/>
                <w:iCs w:val="0"/>
                <w:color w:val="000000"/>
                <w:sz w:val="24"/>
                <w:szCs w:val="24"/>
                <w:highlight w:val="none"/>
                <w:u w:val="none"/>
                <w:lang w:eastAsia="zh-CN"/>
              </w:rPr>
              <w:t>）</w:t>
            </w:r>
            <w:r>
              <w:rPr>
                <w:rFonts w:hint="eastAsia" w:ascii="宋体" w:hAnsi="宋体" w:eastAsia="宋体" w:cs="宋体"/>
                <w:b/>
                <w:bCs/>
                <w:i w:val="0"/>
                <w:iCs w:val="0"/>
                <w:color w:val="000000"/>
                <w:sz w:val="24"/>
                <w:szCs w:val="24"/>
                <w:highlight w:val="none"/>
                <w:u w:val="none"/>
              </w:rPr>
              <w:t>LED显示屏维保服务</w:t>
            </w:r>
          </w:p>
        </w:tc>
      </w:tr>
      <w:tr w14:paraId="6D69AF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jc w:val="center"/>
        </w:trPr>
        <w:tc>
          <w:tcPr>
            <w:tcW w:w="0" w:type="auto"/>
            <w:tcBorders>
              <w:top w:val="single" w:color="000000" w:sz="4" w:space="0"/>
              <w:left w:val="single" w:color="auto" w:sz="4" w:space="0"/>
              <w:bottom w:val="single" w:color="auto" w:sz="4" w:space="0"/>
              <w:right w:val="single" w:color="000000" w:sz="4" w:space="0"/>
            </w:tcBorders>
            <w:noWrap/>
            <w:vAlign w:val="center"/>
          </w:tcPr>
          <w:p w14:paraId="43F4C8B7">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序号</w:t>
            </w:r>
          </w:p>
        </w:tc>
        <w:tc>
          <w:tcPr>
            <w:tcW w:w="0" w:type="auto"/>
            <w:tcBorders>
              <w:top w:val="single" w:color="000000" w:sz="4" w:space="0"/>
              <w:left w:val="single" w:color="000000" w:sz="4" w:space="0"/>
              <w:bottom w:val="single" w:color="auto" w:sz="4" w:space="0"/>
              <w:right w:val="single" w:color="000000" w:sz="4" w:space="0"/>
            </w:tcBorders>
            <w:noWrap/>
            <w:vAlign w:val="center"/>
          </w:tcPr>
          <w:p w14:paraId="366EBDD7">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LED屏安装位置</w:t>
            </w:r>
          </w:p>
        </w:tc>
        <w:tc>
          <w:tcPr>
            <w:tcW w:w="1127" w:type="dxa"/>
            <w:tcBorders>
              <w:top w:val="single" w:color="000000" w:sz="4" w:space="0"/>
              <w:left w:val="single" w:color="000000" w:sz="4" w:space="0"/>
              <w:bottom w:val="single" w:color="auto" w:sz="4" w:space="0"/>
              <w:right w:val="single" w:color="000000" w:sz="4" w:space="0"/>
            </w:tcBorders>
            <w:noWrap/>
            <w:vAlign w:val="center"/>
          </w:tcPr>
          <w:p w14:paraId="711EFA50">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数量</w:t>
            </w:r>
          </w:p>
        </w:tc>
        <w:tc>
          <w:tcPr>
            <w:tcW w:w="1293" w:type="dxa"/>
            <w:tcBorders>
              <w:top w:val="single" w:color="000000" w:sz="4" w:space="0"/>
              <w:left w:val="single" w:color="000000" w:sz="4" w:space="0"/>
              <w:bottom w:val="single" w:color="auto" w:sz="4" w:space="0"/>
              <w:right w:val="single" w:color="000000" w:sz="4" w:space="0"/>
            </w:tcBorders>
            <w:noWrap/>
            <w:vAlign w:val="center"/>
          </w:tcPr>
          <w:p w14:paraId="0773E12D">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单位</w:t>
            </w:r>
          </w:p>
        </w:tc>
        <w:tc>
          <w:tcPr>
            <w:tcW w:w="1352" w:type="dxa"/>
            <w:tcBorders>
              <w:top w:val="single" w:color="000000" w:sz="4" w:space="0"/>
              <w:left w:val="single" w:color="000000" w:sz="4" w:space="0"/>
              <w:bottom w:val="single" w:color="auto" w:sz="4" w:space="0"/>
              <w:right w:val="single" w:color="000000" w:sz="4" w:space="0"/>
            </w:tcBorders>
            <w:noWrap w:val="0"/>
            <w:vAlign w:val="center"/>
          </w:tcPr>
          <w:p w14:paraId="0E84DDAF">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单价（元）</w:t>
            </w:r>
          </w:p>
        </w:tc>
        <w:tc>
          <w:tcPr>
            <w:tcW w:w="1058" w:type="dxa"/>
            <w:tcBorders>
              <w:top w:val="single" w:color="000000" w:sz="4" w:space="0"/>
              <w:left w:val="single" w:color="000000" w:sz="4" w:space="0"/>
              <w:bottom w:val="single" w:color="auto" w:sz="4" w:space="0"/>
              <w:right w:val="single" w:color="000000" w:sz="4" w:space="0"/>
            </w:tcBorders>
            <w:noWrap/>
            <w:vAlign w:val="center"/>
          </w:tcPr>
          <w:p w14:paraId="0D954B19">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合计</w:t>
            </w:r>
          </w:p>
          <w:p w14:paraId="5789B8CE">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（元）</w:t>
            </w:r>
          </w:p>
        </w:tc>
        <w:tc>
          <w:tcPr>
            <w:tcW w:w="0" w:type="auto"/>
            <w:tcBorders>
              <w:top w:val="single" w:color="000000" w:sz="4" w:space="0"/>
              <w:left w:val="single" w:color="000000" w:sz="4" w:space="0"/>
              <w:bottom w:val="single" w:color="auto" w:sz="4" w:space="0"/>
              <w:right w:val="single" w:color="auto" w:sz="4" w:space="0"/>
            </w:tcBorders>
            <w:noWrap w:val="0"/>
            <w:vAlign w:val="center"/>
          </w:tcPr>
          <w:p w14:paraId="2726A7F9">
            <w:pPr>
              <w:keepNext w:val="0"/>
              <w:keepLines w:val="0"/>
              <w:widowControl/>
              <w:suppressLineNumbers w:val="0"/>
              <w:spacing w:line="240" w:lineRule="auto"/>
              <w:ind w:firstLine="0" w:firstLineChars="0"/>
              <w:jc w:val="center"/>
              <w:textAlignment w:val="center"/>
              <w:rPr>
                <w:rFonts w:hint="eastAsia" w:ascii="宋体" w:hAnsi="宋体" w:eastAsia="宋体" w:cs="宋体"/>
                <w:b/>
                <w:bCs/>
                <w:i w:val="0"/>
                <w:iCs w:val="0"/>
                <w:color w:val="000000"/>
                <w:sz w:val="24"/>
                <w:szCs w:val="24"/>
                <w:highlight w:val="none"/>
                <w:u w:val="none"/>
              </w:rPr>
            </w:pPr>
            <w:r>
              <w:rPr>
                <w:rFonts w:hint="eastAsia" w:ascii="宋体" w:hAnsi="宋体" w:eastAsia="宋体" w:cs="宋体"/>
                <w:b/>
                <w:bCs/>
                <w:i w:val="0"/>
                <w:iCs w:val="0"/>
                <w:color w:val="000000"/>
                <w:kern w:val="0"/>
                <w:sz w:val="24"/>
                <w:szCs w:val="24"/>
                <w:highlight w:val="none"/>
                <w:u w:val="none"/>
                <w:lang w:val="en-US" w:eastAsia="zh-CN" w:bidi="ar"/>
              </w:rPr>
              <w:t>备注</w:t>
            </w:r>
          </w:p>
        </w:tc>
      </w:tr>
      <w:tr w14:paraId="3642F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jc w:val="center"/>
        </w:trPr>
        <w:tc>
          <w:tcPr>
            <w:tcW w:w="0" w:type="auto"/>
            <w:tcBorders>
              <w:top w:val="single" w:color="auto" w:sz="4" w:space="0"/>
              <w:left w:val="single" w:color="auto" w:sz="4" w:space="0"/>
              <w:bottom w:val="single" w:color="000000" w:sz="4" w:space="0"/>
              <w:right w:val="single" w:color="000000" w:sz="4" w:space="0"/>
            </w:tcBorders>
            <w:noWrap/>
            <w:vAlign w:val="center"/>
          </w:tcPr>
          <w:p w14:paraId="08A3CA00">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0" w:type="auto"/>
            <w:tcBorders>
              <w:top w:val="single" w:color="auto" w:sz="4" w:space="0"/>
              <w:left w:val="single" w:color="000000" w:sz="4" w:space="0"/>
              <w:bottom w:val="single" w:color="000000" w:sz="4" w:space="0"/>
              <w:right w:val="single" w:color="000000" w:sz="4" w:space="0"/>
            </w:tcBorders>
            <w:noWrap w:val="0"/>
            <w:vAlign w:val="center"/>
          </w:tcPr>
          <w:p w14:paraId="190A6AA1">
            <w:pPr>
              <w:keepNext w:val="0"/>
              <w:keepLines w:val="0"/>
              <w:widowControl/>
              <w:suppressLineNumbers w:val="0"/>
              <w:spacing w:line="240" w:lineRule="auto"/>
              <w:ind w:firstLine="0" w:firstLineChars="0"/>
              <w:jc w:val="center"/>
              <w:textAlignment w:val="center"/>
              <w:rPr>
                <w:rFonts w:hint="default"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kern w:val="0"/>
                <w:sz w:val="24"/>
                <w:szCs w:val="24"/>
                <w:highlight w:val="none"/>
                <w:u w:val="none"/>
                <w:lang w:val="en-US" w:eastAsia="zh-CN" w:bidi="ar"/>
              </w:rPr>
              <w:t>P10户外全彩</w:t>
            </w:r>
            <w:r>
              <w:rPr>
                <w:rFonts w:hint="eastAsia" w:ascii="宋体" w:hAnsi="宋体" w:eastAsia="宋体" w:cs="宋体"/>
                <w:i w:val="0"/>
                <w:iCs w:val="0"/>
                <w:color w:val="000000"/>
                <w:sz w:val="24"/>
                <w:szCs w:val="24"/>
                <w:highlight w:val="none"/>
                <w:u w:val="none"/>
              </w:rPr>
              <w:t>南立面LED</w:t>
            </w:r>
            <w:r>
              <w:rPr>
                <w:rFonts w:hint="eastAsia" w:ascii="宋体" w:hAnsi="宋体" w:eastAsia="宋体" w:cs="宋体"/>
                <w:i w:val="0"/>
                <w:iCs w:val="0"/>
                <w:color w:val="000000"/>
                <w:kern w:val="0"/>
                <w:sz w:val="24"/>
                <w:szCs w:val="24"/>
                <w:highlight w:val="none"/>
                <w:u w:val="none"/>
                <w:lang w:val="en-US" w:eastAsia="zh-CN" w:bidi="ar"/>
              </w:rPr>
              <w:t>显示</w:t>
            </w:r>
            <w:r>
              <w:rPr>
                <w:rFonts w:hint="eastAsia" w:ascii="宋体" w:hAnsi="宋体" w:eastAsia="宋体" w:cs="宋体"/>
                <w:i w:val="0"/>
                <w:iCs w:val="0"/>
                <w:color w:val="000000"/>
                <w:sz w:val="24"/>
                <w:szCs w:val="24"/>
                <w:highlight w:val="none"/>
                <w:u w:val="none"/>
              </w:rPr>
              <w:t>屏</w:t>
            </w:r>
            <w:r>
              <w:rPr>
                <w:rFonts w:hint="eastAsia" w:ascii="宋体" w:hAnsi="宋体" w:eastAsia="宋体" w:cs="宋体"/>
                <w:i w:val="0"/>
                <w:iCs w:val="0"/>
                <w:color w:val="000000"/>
                <w:sz w:val="24"/>
                <w:szCs w:val="24"/>
                <w:highlight w:val="none"/>
                <w:u w:val="none"/>
                <w:lang w:eastAsia="zh-CN"/>
              </w:rPr>
              <w:t>（</w:t>
            </w:r>
            <w:r>
              <w:rPr>
                <w:rFonts w:hint="eastAsia" w:ascii="宋体" w:hAnsi="宋体" w:eastAsia="宋体" w:cs="宋体"/>
                <w:i w:val="0"/>
                <w:iCs w:val="0"/>
                <w:color w:val="000000"/>
                <w:sz w:val="24"/>
                <w:szCs w:val="24"/>
                <w:highlight w:val="none"/>
                <w:u w:val="none"/>
                <w:lang w:val="en-US" w:eastAsia="zh-CN"/>
              </w:rPr>
              <w:t>四楼）</w:t>
            </w:r>
          </w:p>
        </w:tc>
        <w:tc>
          <w:tcPr>
            <w:tcW w:w="1127" w:type="dxa"/>
            <w:tcBorders>
              <w:top w:val="single" w:color="auto" w:sz="4" w:space="0"/>
              <w:left w:val="single" w:color="000000" w:sz="4" w:space="0"/>
              <w:bottom w:val="single" w:color="000000" w:sz="4" w:space="0"/>
              <w:right w:val="single" w:color="000000" w:sz="4" w:space="0"/>
            </w:tcBorders>
            <w:noWrap/>
            <w:vAlign w:val="center"/>
          </w:tcPr>
          <w:p w14:paraId="4376606C">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69.88</w:t>
            </w:r>
          </w:p>
        </w:tc>
        <w:tc>
          <w:tcPr>
            <w:tcW w:w="1293" w:type="dxa"/>
            <w:tcBorders>
              <w:top w:val="single" w:color="auto" w:sz="4" w:space="0"/>
              <w:left w:val="single" w:color="000000" w:sz="4" w:space="0"/>
              <w:bottom w:val="single" w:color="000000" w:sz="4" w:space="0"/>
              <w:right w:val="single" w:color="000000" w:sz="4" w:space="0"/>
            </w:tcBorders>
            <w:noWrap/>
            <w:vAlign w:val="center"/>
          </w:tcPr>
          <w:p w14:paraId="567CBDBC">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平方米</w:t>
            </w:r>
          </w:p>
        </w:tc>
        <w:tc>
          <w:tcPr>
            <w:tcW w:w="1352" w:type="dxa"/>
            <w:tcBorders>
              <w:top w:val="single" w:color="auto" w:sz="4" w:space="0"/>
              <w:left w:val="single" w:color="000000" w:sz="4" w:space="0"/>
              <w:bottom w:val="single" w:color="000000" w:sz="4" w:space="0"/>
              <w:right w:val="single" w:color="000000" w:sz="4" w:space="0"/>
            </w:tcBorders>
            <w:noWrap/>
            <w:vAlign w:val="center"/>
          </w:tcPr>
          <w:p w14:paraId="6A470A44">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p>
        </w:tc>
        <w:tc>
          <w:tcPr>
            <w:tcW w:w="1058" w:type="dxa"/>
            <w:tcBorders>
              <w:top w:val="single" w:color="auto" w:sz="4" w:space="0"/>
              <w:left w:val="single" w:color="000000" w:sz="4" w:space="0"/>
              <w:bottom w:val="single" w:color="000000" w:sz="4" w:space="0"/>
              <w:right w:val="single" w:color="auto" w:sz="4" w:space="0"/>
            </w:tcBorders>
            <w:noWrap/>
            <w:vAlign w:val="center"/>
          </w:tcPr>
          <w:p w14:paraId="39DD4224">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7BE79B3F">
            <w:pPr>
              <w:widowControl w:val="0"/>
              <w:spacing w:line="240" w:lineRule="auto"/>
              <w:ind w:firstLine="0" w:firstLineChars="0"/>
              <w:jc w:val="center"/>
              <w:rPr>
                <w:rFonts w:hint="eastAsia" w:ascii="宋体" w:hAnsi="宋体" w:eastAsia="宋体" w:cs="宋体"/>
                <w:i w:val="0"/>
                <w:iCs w:val="0"/>
                <w:color w:val="000000"/>
                <w:sz w:val="24"/>
                <w:szCs w:val="24"/>
                <w:highlight w:val="none"/>
                <w:u w:val="none"/>
              </w:rPr>
            </w:pPr>
          </w:p>
        </w:tc>
      </w:tr>
      <w:tr w14:paraId="7F599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jc w:val="center"/>
        </w:trPr>
        <w:tc>
          <w:tcPr>
            <w:tcW w:w="0" w:type="auto"/>
            <w:tcBorders>
              <w:top w:val="single" w:color="000000" w:sz="4" w:space="0"/>
              <w:left w:val="single" w:color="auto" w:sz="4" w:space="0"/>
              <w:bottom w:val="single" w:color="000000" w:sz="4" w:space="0"/>
              <w:right w:val="single" w:color="000000" w:sz="4" w:space="0"/>
            </w:tcBorders>
            <w:noWrap/>
            <w:vAlign w:val="center"/>
          </w:tcPr>
          <w:p w14:paraId="62A88AD8">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5632DB5A">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P10户外全彩斜面LED显示屏（面朝南）</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4F2729A9">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42.85</w:t>
            </w:r>
          </w:p>
        </w:tc>
        <w:tc>
          <w:tcPr>
            <w:tcW w:w="1293" w:type="dxa"/>
            <w:tcBorders>
              <w:top w:val="single" w:color="000000" w:sz="4" w:space="0"/>
              <w:left w:val="single" w:color="000000" w:sz="4" w:space="0"/>
              <w:bottom w:val="single" w:color="000000" w:sz="4" w:space="0"/>
              <w:right w:val="single" w:color="000000" w:sz="4" w:space="0"/>
            </w:tcBorders>
            <w:noWrap/>
            <w:vAlign w:val="center"/>
          </w:tcPr>
          <w:p w14:paraId="3A11CBAA">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平方米</w:t>
            </w:r>
          </w:p>
        </w:tc>
        <w:tc>
          <w:tcPr>
            <w:tcW w:w="1352" w:type="dxa"/>
            <w:tcBorders>
              <w:top w:val="single" w:color="000000" w:sz="4" w:space="0"/>
              <w:left w:val="single" w:color="000000" w:sz="4" w:space="0"/>
              <w:bottom w:val="single" w:color="000000" w:sz="4" w:space="0"/>
              <w:right w:val="single" w:color="000000" w:sz="4" w:space="0"/>
            </w:tcBorders>
            <w:noWrap/>
            <w:vAlign w:val="center"/>
          </w:tcPr>
          <w:p w14:paraId="23E354C9">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p>
        </w:tc>
        <w:tc>
          <w:tcPr>
            <w:tcW w:w="1058" w:type="dxa"/>
            <w:tcBorders>
              <w:top w:val="single" w:color="000000" w:sz="4" w:space="0"/>
              <w:left w:val="single" w:color="000000" w:sz="4" w:space="0"/>
              <w:bottom w:val="single" w:color="000000" w:sz="4" w:space="0"/>
              <w:right w:val="single" w:color="auto" w:sz="4" w:space="0"/>
            </w:tcBorders>
            <w:noWrap/>
            <w:vAlign w:val="center"/>
          </w:tcPr>
          <w:p w14:paraId="50AF7734">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4371C0F8">
            <w:pPr>
              <w:widowControl w:val="0"/>
              <w:spacing w:line="240" w:lineRule="auto"/>
              <w:ind w:firstLine="0" w:firstLineChars="0"/>
              <w:jc w:val="center"/>
              <w:rPr>
                <w:rFonts w:hint="eastAsia" w:ascii="宋体" w:hAnsi="宋体" w:eastAsia="宋体" w:cs="宋体"/>
                <w:i w:val="0"/>
                <w:iCs w:val="0"/>
                <w:color w:val="000000"/>
                <w:sz w:val="24"/>
                <w:szCs w:val="24"/>
                <w:highlight w:val="none"/>
                <w:u w:val="none"/>
              </w:rPr>
            </w:pPr>
          </w:p>
        </w:tc>
      </w:tr>
      <w:tr w14:paraId="57FBC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jc w:val="center"/>
        </w:trPr>
        <w:tc>
          <w:tcPr>
            <w:tcW w:w="0" w:type="auto"/>
            <w:tcBorders>
              <w:top w:val="single" w:color="auto" w:sz="4" w:space="0"/>
              <w:left w:val="single" w:color="auto" w:sz="4" w:space="0"/>
              <w:bottom w:val="single" w:color="000000" w:sz="4" w:space="0"/>
              <w:right w:val="single" w:color="000000" w:sz="4" w:space="0"/>
            </w:tcBorders>
            <w:noWrap/>
            <w:vAlign w:val="center"/>
          </w:tcPr>
          <w:p w14:paraId="56C2C718">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0" w:type="auto"/>
            <w:tcBorders>
              <w:top w:val="single" w:color="auto" w:sz="4" w:space="0"/>
              <w:left w:val="single" w:color="000000" w:sz="4" w:space="0"/>
              <w:bottom w:val="single" w:color="000000" w:sz="4" w:space="0"/>
              <w:right w:val="single" w:color="000000" w:sz="4" w:space="0"/>
            </w:tcBorders>
            <w:noWrap w:val="0"/>
            <w:vAlign w:val="center"/>
          </w:tcPr>
          <w:p w14:paraId="419D36AB">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P10户外全彩斜面LED显示屏（面朝北）</w:t>
            </w:r>
          </w:p>
        </w:tc>
        <w:tc>
          <w:tcPr>
            <w:tcW w:w="1127" w:type="dxa"/>
            <w:tcBorders>
              <w:top w:val="single" w:color="auto" w:sz="4" w:space="0"/>
              <w:left w:val="single" w:color="000000" w:sz="4" w:space="0"/>
              <w:bottom w:val="single" w:color="000000" w:sz="4" w:space="0"/>
              <w:right w:val="single" w:color="000000" w:sz="4" w:space="0"/>
            </w:tcBorders>
            <w:noWrap/>
            <w:vAlign w:val="center"/>
          </w:tcPr>
          <w:p w14:paraId="0A8D2791">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42.85</w:t>
            </w:r>
          </w:p>
        </w:tc>
        <w:tc>
          <w:tcPr>
            <w:tcW w:w="1293" w:type="dxa"/>
            <w:tcBorders>
              <w:top w:val="single" w:color="auto" w:sz="4" w:space="0"/>
              <w:left w:val="single" w:color="000000" w:sz="4" w:space="0"/>
              <w:bottom w:val="single" w:color="000000" w:sz="4" w:space="0"/>
              <w:right w:val="single" w:color="000000" w:sz="4" w:space="0"/>
            </w:tcBorders>
            <w:noWrap/>
            <w:vAlign w:val="center"/>
          </w:tcPr>
          <w:p w14:paraId="2F85C923">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平方米</w:t>
            </w:r>
          </w:p>
        </w:tc>
        <w:tc>
          <w:tcPr>
            <w:tcW w:w="1352" w:type="dxa"/>
            <w:tcBorders>
              <w:top w:val="single" w:color="auto" w:sz="4" w:space="0"/>
              <w:left w:val="single" w:color="000000" w:sz="4" w:space="0"/>
              <w:bottom w:val="single" w:color="000000" w:sz="4" w:space="0"/>
              <w:right w:val="single" w:color="000000" w:sz="4" w:space="0"/>
            </w:tcBorders>
            <w:noWrap/>
            <w:vAlign w:val="center"/>
          </w:tcPr>
          <w:p w14:paraId="3967E12F">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p>
        </w:tc>
        <w:tc>
          <w:tcPr>
            <w:tcW w:w="1058" w:type="dxa"/>
            <w:tcBorders>
              <w:top w:val="single" w:color="auto" w:sz="4" w:space="0"/>
              <w:left w:val="single" w:color="000000" w:sz="4" w:space="0"/>
              <w:bottom w:val="single" w:color="000000" w:sz="4" w:space="0"/>
              <w:right w:val="single" w:color="auto" w:sz="4" w:space="0"/>
            </w:tcBorders>
            <w:noWrap/>
            <w:vAlign w:val="center"/>
          </w:tcPr>
          <w:p w14:paraId="05006BB1">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44D3556C">
            <w:pPr>
              <w:widowControl w:val="0"/>
              <w:spacing w:line="240" w:lineRule="auto"/>
              <w:ind w:firstLine="0" w:firstLineChars="0"/>
              <w:jc w:val="center"/>
              <w:rPr>
                <w:rFonts w:hint="eastAsia" w:ascii="宋体" w:hAnsi="宋体" w:eastAsia="宋体" w:cs="宋体"/>
                <w:i w:val="0"/>
                <w:iCs w:val="0"/>
                <w:color w:val="000000"/>
                <w:sz w:val="24"/>
                <w:szCs w:val="24"/>
                <w:highlight w:val="none"/>
                <w:u w:val="none"/>
              </w:rPr>
            </w:pPr>
          </w:p>
        </w:tc>
      </w:tr>
      <w:tr w14:paraId="32321C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6"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7A0B33B">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C0E7924">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P2.5室内全彩LED显示屏（五楼多功能厅）</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377142D0">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13</w:t>
            </w:r>
          </w:p>
        </w:tc>
        <w:tc>
          <w:tcPr>
            <w:tcW w:w="1293" w:type="dxa"/>
            <w:tcBorders>
              <w:top w:val="single" w:color="000000" w:sz="4" w:space="0"/>
              <w:left w:val="single" w:color="000000" w:sz="4" w:space="0"/>
              <w:bottom w:val="single" w:color="000000" w:sz="4" w:space="0"/>
              <w:right w:val="single" w:color="000000" w:sz="4" w:space="0"/>
            </w:tcBorders>
            <w:noWrap/>
            <w:vAlign w:val="center"/>
          </w:tcPr>
          <w:p w14:paraId="13E04EAF">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平方米</w:t>
            </w:r>
          </w:p>
        </w:tc>
        <w:tc>
          <w:tcPr>
            <w:tcW w:w="1352" w:type="dxa"/>
            <w:tcBorders>
              <w:top w:val="single" w:color="000000" w:sz="4" w:space="0"/>
              <w:left w:val="single" w:color="000000" w:sz="4" w:space="0"/>
              <w:bottom w:val="single" w:color="000000" w:sz="4" w:space="0"/>
              <w:right w:val="single" w:color="000000" w:sz="4" w:space="0"/>
            </w:tcBorders>
            <w:noWrap/>
            <w:vAlign w:val="center"/>
          </w:tcPr>
          <w:p w14:paraId="54DC4C9B">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p>
        </w:tc>
        <w:tc>
          <w:tcPr>
            <w:tcW w:w="1058" w:type="dxa"/>
            <w:tcBorders>
              <w:top w:val="single" w:color="000000" w:sz="4" w:space="0"/>
              <w:left w:val="single" w:color="000000" w:sz="4" w:space="0"/>
              <w:bottom w:val="single" w:color="000000" w:sz="4" w:space="0"/>
              <w:right w:val="single" w:color="auto" w:sz="4" w:space="0"/>
            </w:tcBorders>
            <w:noWrap/>
            <w:vAlign w:val="center"/>
          </w:tcPr>
          <w:p w14:paraId="54C8FB0B">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17794E6F">
            <w:pPr>
              <w:widowControl w:val="0"/>
              <w:spacing w:line="240" w:lineRule="auto"/>
              <w:ind w:firstLine="0" w:firstLineChars="0"/>
              <w:jc w:val="center"/>
              <w:rPr>
                <w:rFonts w:hint="eastAsia" w:ascii="宋体" w:hAnsi="宋体" w:eastAsia="宋体" w:cs="宋体"/>
                <w:i w:val="0"/>
                <w:iCs w:val="0"/>
                <w:color w:val="000000"/>
                <w:sz w:val="24"/>
                <w:szCs w:val="24"/>
                <w:highlight w:val="none"/>
                <w:u w:val="none"/>
              </w:rPr>
            </w:pPr>
          </w:p>
        </w:tc>
      </w:tr>
      <w:tr w14:paraId="4B119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1"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05E1582">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0"/>
            <w:vAlign w:val="center"/>
          </w:tcPr>
          <w:p w14:paraId="12F9A9D9">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kern w:val="0"/>
                <w:sz w:val="24"/>
                <w:szCs w:val="24"/>
                <w:highlight w:val="none"/>
                <w:u w:val="none"/>
                <w:lang w:val="en-US" w:eastAsia="zh-CN" w:bidi="ar"/>
              </w:rPr>
              <w:t>P2.5室内全彩LED显示屏（四楼大台阶）</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2E533A95">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c>
          <w:tcPr>
            <w:tcW w:w="1293" w:type="dxa"/>
            <w:tcBorders>
              <w:top w:val="single" w:color="000000" w:sz="4" w:space="0"/>
              <w:left w:val="single" w:color="000000" w:sz="4" w:space="0"/>
              <w:bottom w:val="single" w:color="000000" w:sz="4" w:space="0"/>
              <w:right w:val="single" w:color="000000" w:sz="4" w:space="0"/>
            </w:tcBorders>
            <w:noWrap/>
            <w:vAlign w:val="center"/>
          </w:tcPr>
          <w:p w14:paraId="76043DE6">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平方米</w:t>
            </w:r>
          </w:p>
        </w:tc>
        <w:tc>
          <w:tcPr>
            <w:tcW w:w="1352" w:type="dxa"/>
            <w:tcBorders>
              <w:top w:val="single" w:color="000000" w:sz="4" w:space="0"/>
              <w:left w:val="single" w:color="000000" w:sz="4" w:space="0"/>
              <w:bottom w:val="single" w:color="000000" w:sz="4" w:space="0"/>
              <w:right w:val="single" w:color="000000" w:sz="4" w:space="0"/>
            </w:tcBorders>
            <w:noWrap/>
            <w:vAlign w:val="center"/>
          </w:tcPr>
          <w:p w14:paraId="580CEE3A">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p>
        </w:tc>
        <w:tc>
          <w:tcPr>
            <w:tcW w:w="1058" w:type="dxa"/>
            <w:tcBorders>
              <w:top w:val="single" w:color="000000" w:sz="4" w:space="0"/>
              <w:left w:val="single" w:color="000000" w:sz="4" w:space="0"/>
              <w:bottom w:val="single" w:color="000000" w:sz="4" w:space="0"/>
              <w:right w:val="single" w:color="auto" w:sz="4" w:space="0"/>
            </w:tcBorders>
            <w:noWrap/>
            <w:vAlign w:val="center"/>
          </w:tcPr>
          <w:p w14:paraId="3A1E176E">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43ACB81A">
            <w:pPr>
              <w:widowControl w:val="0"/>
              <w:spacing w:line="240" w:lineRule="auto"/>
              <w:ind w:firstLine="0" w:firstLineChars="0"/>
              <w:jc w:val="center"/>
              <w:rPr>
                <w:rFonts w:hint="eastAsia" w:ascii="宋体" w:hAnsi="宋体" w:eastAsia="宋体" w:cs="宋体"/>
                <w:i w:val="0"/>
                <w:iCs w:val="0"/>
                <w:color w:val="000000"/>
                <w:sz w:val="24"/>
                <w:szCs w:val="24"/>
                <w:highlight w:val="none"/>
                <w:u w:val="none"/>
              </w:rPr>
            </w:pPr>
          </w:p>
        </w:tc>
      </w:tr>
      <w:tr w14:paraId="4EC27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9E1CCFC">
            <w:pPr>
              <w:keepNext w:val="0"/>
              <w:keepLines w:val="0"/>
              <w:widowControl/>
              <w:suppressLineNumbers w:val="0"/>
              <w:spacing w:line="240" w:lineRule="auto"/>
              <w:ind w:firstLine="0" w:firstLineChars="0"/>
              <w:jc w:val="center"/>
              <w:textAlignment w:val="center"/>
              <w:rPr>
                <w:rFonts w:hint="eastAsia" w:ascii="宋体" w:hAnsi="宋体" w:eastAsia="宋体" w:cs="宋体"/>
                <w:b w:val="0"/>
                <w:bCs w:val="0"/>
                <w:i w:val="0"/>
                <w:iCs w:val="0"/>
                <w:color w:val="000000"/>
                <w:sz w:val="24"/>
                <w:szCs w:val="24"/>
                <w:highlight w:val="none"/>
                <w:u w:val="none"/>
              </w:rPr>
            </w:pPr>
            <w:r>
              <w:rPr>
                <w:rFonts w:hint="eastAsia" w:ascii="宋体" w:hAnsi="宋体" w:eastAsia="宋体" w:cs="宋体"/>
                <w:b w:val="0"/>
                <w:bCs w:val="0"/>
                <w:i w:val="0"/>
                <w:iCs w:val="0"/>
                <w:color w:val="000000"/>
                <w:kern w:val="0"/>
                <w:sz w:val="24"/>
                <w:szCs w:val="24"/>
                <w:highlight w:val="none"/>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000A57">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全年高空车操作费用</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0B66C8BC">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3" w:type="dxa"/>
            <w:tcBorders>
              <w:top w:val="single" w:color="000000" w:sz="4" w:space="0"/>
              <w:left w:val="single" w:color="000000" w:sz="4" w:space="0"/>
              <w:bottom w:val="single" w:color="000000" w:sz="4" w:space="0"/>
              <w:right w:val="single" w:color="000000" w:sz="4" w:space="0"/>
            </w:tcBorders>
            <w:noWrap/>
            <w:vAlign w:val="center"/>
          </w:tcPr>
          <w:p w14:paraId="471535EC">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w:t>
            </w:r>
          </w:p>
        </w:tc>
        <w:tc>
          <w:tcPr>
            <w:tcW w:w="1352" w:type="dxa"/>
            <w:tcBorders>
              <w:top w:val="single" w:color="000000" w:sz="4" w:space="0"/>
              <w:left w:val="single" w:color="000000" w:sz="4" w:space="0"/>
              <w:bottom w:val="single" w:color="000000" w:sz="4" w:space="0"/>
              <w:right w:val="single" w:color="000000" w:sz="4" w:space="0"/>
            </w:tcBorders>
            <w:noWrap/>
            <w:vAlign w:val="center"/>
          </w:tcPr>
          <w:p w14:paraId="151B5C95">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p>
        </w:tc>
        <w:tc>
          <w:tcPr>
            <w:tcW w:w="1058" w:type="dxa"/>
            <w:tcBorders>
              <w:top w:val="single" w:color="000000" w:sz="4" w:space="0"/>
              <w:left w:val="single" w:color="000000" w:sz="4" w:space="0"/>
              <w:bottom w:val="single" w:color="000000" w:sz="4" w:space="0"/>
              <w:right w:val="single" w:color="auto" w:sz="4" w:space="0"/>
            </w:tcBorders>
            <w:noWrap/>
            <w:vAlign w:val="center"/>
          </w:tcPr>
          <w:p w14:paraId="550884C4">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429B4E27">
            <w:pPr>
              <w:widowControl w:val="0"/>
              <w:spacing w:line="240" w:lineRule="auto"/>
              <w:ind w:firstLine="0" w:firstLineChars="0"/>
              <w:jc w:val="center"/>
              <w:rPr>
                <w:rFonts w:hint="eastAsia" w:ascii="宋体" w:hAnsi="宋体" w:eastAsia="宋体" w:cs="宋体"/>
                <w:i w:val="0"/>
                <w:iCs w:val="0"/>
                <w:color w:val="000000"/>
                <w:sz w:val="24"/>
                <w:szCs w:val="24"/>
                <w:highlight w:val="none"/>
                <w:u w:val="none"/>
              </w:rPr>
            </w:pPr>
          </w:p>
        </w:tc>
      </w:tr>
      <w:tr w14:paraId="34A34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7"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4E511B2">
            <w:pPr>
              <w:keepNext w:val="0"/>
              <w:keepLines w:val="0"/>
              <w:widowControl/>
              <w:suppressLineNumbers w:val="0"/>
              <w:spacing w:line="240" w:lineRule="auto"/>
              <w:ind w:firstLine="0" w:firstLineChars="0"/>
              <w:jc w:val="center"/>
              <w:textAlignment w:val="center"/>
              <w:rPr>
                <w:rFonts w:hint="default" w:ascii="宋体" w:hAnsi="宋体" w:eastAsia="宋体" w:cs="宋体"/>
                <w:b w:val="0"/>
                <w:bCs w:val="0"/>
                <w:i w:val="0"/>
                <w:iCs w:val="0"/>
                <w:color w:val="000000"/>
                <w:sz w:val="24"/>
                <w:szCs w:val="24"/>
                <w:highlight w:val="none"/>
                <w:u w:val="none"/>
                <w:lang w:val="en-US"/>
              </w:rPr>
            </w:pPr>
            <w:r>
              <w:rPr>
                <w:rFonts w:hint="eastAsia" w:ascii="宋体" w:hAnsi="宋体" w:eastAsia="宋体" w:cs="宋体"/>
                <w:b w:val="0"/>
                <w:bCs w:val="0"/>
                <w:i w:val="0"/>
                <w:iCs w:val="0"/>
                <w:color w:val="000000"/>
                <w:kern w:val="0"/>
                <w:sz w:val="24"/>
                <w:szCs w:val="24"/>
                <w:highlight w:val="none"/>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32E9A6">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全年上门服务费</w:t>
            </w:r>
          </w:p>
        </w:tc>
        <w:tc>
          <w:tcPr>
            <w:tcW w:w="1127" w:type="dxa"/>
            <w:tcBorders>
              <w:top w:val="single" w:color="000000" w:sz="4" w:space="0"/>
              <w:left w:val="single" w:color="000000" w:sz="4" w:space="0"/>
              <w:bottom w:val="single" w:color="000000" w:sz="4" w:space="0"/>
              <w:right w:val="single" w:color="000000" w:sz="4" w:space="0"/>
            </w:tcBorders>
            <w:noWrap/>
            <w:vAlign w:val="center"/>
          </w:tcPr>
          <w:p w14:paraId="18FCC1CA">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1293" w:type="dxa"/>
            <w:tcBorders>
              <w:top w:val="single" w:color="000000" w:sz="4" w:space="0"/>
              <w:left w:val="single" w:color="000000" w:sz="4" w:space="0"/>
              <w:bottom w:val="single" w:color="000000" w:sz="4" w:space="0"/>
              <w:right w:val="single" w:color="000000" w:sz="4" w:space="0"/>
            </w:tcBorders>
            <w:noWrap/>
            <w:vAlign w:val="center"/>
          </w:tcPr>
          <w:p w14:paraId="52A8B5BE">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项</w:t>
            </w:r>
          </w:p>
        </w:tc>
        <w:tc>
          <w:tcPr>
            <w:tcW w:w="1352" w:type="dxa"/>
            <w:tcBorders>
              <w:top w:val="single" w:color="000000" w:sz="4" w:space="0"/>
              <w:left w:val="single" w:color="000000" w:sz="4" w:space="0"/>
              <w:bottom w:val="single" w:color="000000" w:sz="4" w:space="0"/>
              <w:right w:val="single" w:color="000000" w:sz="4" w:space="0"/>
            </w:tcBorders>
            <w:noWrap/>
            <w:vAlign w:val="center"/>
          </w:tcPr>
          <w:p w14:paraId="7184703B">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p>
        </w:tc>
        <w:tc>
          <w:tcPr>
            <w:tcW w:w="1058" w:type="dxa"/>
            <w:tcBorders>
              <w:top w:val="single" w:color="000000" w:sz="4" w:space="0"/>
              <w:left w:val="single" w:color="000000" w:sz="4" w:space="0"/>
              <w:bottom w:val="single" w:color="000000" w:sz="4" w:space="0"/>
              <w:right w:val="single" w:color="auto" w:sz="4" w:space="0"/>
            </w:tcBorders>
            <w:noWrap/>
            <w:vAlign w:val="center"/>
          </w:tcPr>
          <w:p w14:paraId="6182A8B0">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75BA3335">
            <w:pPr>
              <w:widowControl w:val="0"/>
              <w:spacing w:line="240" w:lineRule="auto"/>
              <w:ind w:firstLine="0" w:firstLineChars="0"/>
              <w:jc w:val="center"/>
              <w:rPr>
                <w:rFonts w:hint="eastAsia" w:ascii="宋体" w:hAnsi="宋体" w:eastAsia="宋体" w:cs="宋体"/>
                <w:i w:val="0"/>
                <w:iCs w:val="0"/>
                <w:color w:val="000000"/>
                <w:sz w:val="24"/>
                <w:szCs w:val="24"/>
                <w:highlight w:val="none"/>
                <w:u w:val="none"/>
              </w:rPr>
            </w:pPr>
          </w:p>
        </w:tc>
      </w:tr>
      <w:tr w14:paraId="16E8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9" w:hRule="atLeast"/>
          <w:jc w:val="center"/>
        </w:trPr>
        <w:tc>
          <w:tcPr>
            <w:tcW w:w="7458" w:type="dxa"/>
            <w:gridSpan w:val="5"/>
            <w:tcBorders>
              <w:top w:val="single" w:color="000000" w:sz="4" w:space="0"/>
              <w:left w:val="single" w:color="000000" w:sz="4" w:space="0"/>
              <w:bottom w:val="single" w:color="000000" w:sz="4" w:space="0"/>
              <w:right w:val="single" w:color="000000" w:sz="4" w:space="0"/>
            </w:tcBorders>
            <w:noWrap/>
            <w:vAlign w:val="center"/>
          </w:tcPr>
          <w:p w14:paraId="0349A139">
            <w:pPr>
              <w:keepNext w:val="0"/>
              <w:keepLines w:val="0"/>
              <w:widowControl/>
              <w:suppressLineNumbers w:val="0"/>
              <w:spacing w:line="240" w:lineRule="auto"/>
              <w:ind w:firstLine="0" w:firstLineChars="0"/>
              <w:jc w:val="center"/>
              <w:textAlignment w:val="center"/>
              <w:rPr>
                <w:rFonts w:hint="default" w:ascii="宋体" w:hAnsi="宋体" w:eastAsia="宋体" w:cs="宋体"/>
                <w:b/>
                <w:bCs/>
                <w:i w:val="0"/>
                <w:iCs w:val="0"/>
                <w:color w:val="000000"/>
                <w:sz w:val="24"/>
                <w:szCs w:val="24"/>
                <w:highlight w:val="none"/>
                <w:u w:val="none"/>
                <w:lang w:val="en-US"/>
              </w:rPr>
            </w:pPr>
            <w:r>
              <w:rPr>
                <w:rFonts w:hint="eastAsia" w:ascii="宋体" w:hAnsi="宋体" w:eastAsia="宋体" w:cs="宋体"/>
                <w:b/>
                <w:bCs/>
                <w:i w:val="0"/>
                <w:iCs w:val="0"/>
                <w:color w:val="000000"/>
                <w:kern w:val="0"/>
                <w:sz w:val="24"/>
                <w:szCs w:val="24"/>
                <w:highlight w:val="none"/>
                <w:u w:val="none"/>
                <w:lang w:val="en-US" w:eastAsia="zh-CN" w:bidi="ar"/>
              </w:rPr>
              <w:t>一年合计金额：</w:t>
            </w:r>
          </w:p>
        </w:tc>
        <w:tc>
          <w:tcPr>
            <w:tcW w:w="1058" w:type="dxa"/>
            <w:tcBorders>
              <w:top w:val="single" w:color="000000" w:sz="4" w:space="0"/>
              <w:left w:val="single" w:color="000000" w:sz="4" w:space="0"/>
              <w:bottom w:val="single" w:color="000000" w:sz="4" w:space="0"/>
              <w:right w:val="single" w:color="000000" w:sz="4" w:space="0"/>
            </w:tcBorders>
            <w:noWrap/>
            <w:vAlign w:val="center"/>
          </w:tcPr>
          <w:p w14:paraId="15B6769A">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p>
        </w:tc>
        <w:tc>
          <w:tcPr>
            <w:tcW w:w="0" w:type="auto"/>
            <w:tcBorders>
              <w:top w:val="single" w:color="auto" w:sz="4" w:space="0"/>
              <w:left w:val="single" w:color="000000" w:sz="4" w:space="0"/>
              <w:bottom w:val="single" w:color="auto" w:sz="4" w:space="0"/>
              <w:right w:val="single" w:color="000000" w:sz="4" w:space="0"/>
            </w:tcBorders>
            <w:noWrap w:val="0"/>
            <w:vAlign w:val="center"/>
          </w:tcPr>
          <w:p w14:paraId="0B62593C">
            <w:pPr>
              <w:widowControl w:val="0"/>
              <w:spacing w:line="240" w:lineRule="auto"/>
              <w:ind w:firstLine="0" w:firstLineChars="0"/>
              <w:rPr>
                <w:rFonts w:hint="default" w:ascii="宋体" w:hAnsi="宋体" w:eastAsia="宋体" w:cs="宋体"/>
                <w:i w:val="0"/>
                <w:iCs w:val="0"/>
                <w:color w:val="000000"/>
                <w:sz w:val="24"/>
                <w:szCs w:val="24"/>
                <w:highlight w:val="none"/>
                <w:u w:val="none"/>
                <w:lang w:val="en-US" w:eastAsia="zh-CN"/>
              </w:rPr>
            </w:pPr>
          </w:p>
        </w:tc>
      </w:tr>
      <w:tr w14:paraId="2C587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7458" w:type="dxa"/>
            <w:gridSpan w:val="5"/>
            <w:tcBorders>
              <w:top w:val="single" w:color="000000" w:sz="4" w:space="0"/>
              <w:left w:val="single" w:color="000000" w:sz="4" w:space="0"/>
              <w:bottom w:val="single" w:color="000000" w:sz="4" w:space="0"/>
              <w:right w:val="single" w:color="000000" w:sz="4" w:space="0"/>
            </w:tcBorders>
            <w:noWrap/>
            <w:vAlign w:val="center"/>
          </w:tcPr>
          <w:p w14:paraId="11F430F1">
            <w:pPr>
              <w:keepNext w:val="0"/>
              <w:keepLines w:val="0"/>
              <w:widowControl/>
              <w:suppressLineNumbers w:val="0"/>
              <w:spacing w:line="240" w:lineRule="auto"/>
              <w:ind w:firstLine="0" w:firstLineChars="0"/>
              <w:jc w:val="center"/>
              <w:textAlignment w:val="center"/>
              <w:rPr>
                <w:rFonts w:hint="default" w:ascii="宋体" w:hAnsi="宋体" w:eastAsia="宋体" w:cs="宋体"/>
                <w:b/>
                <w:bCs/>
                <w:i w:val="0"/>
                <w:iCs w:val="0"/>
                <w:color w:val="000000"/>
                <w:kern w:val="0"/>
                <w:sz w:val="24"/>
                <w:szCs w:val="24"/>
                <w:highlight w:val="none"/>
                <w:u w:val="none"/>
                <w:lang w:val="en-US" w:eastAsia="zh-CN" w:bidi="ar"/>
              </w:rPr>
            </w:pPr>
            <w:r>
              <w:rPr>
                <w:rFonts w:hint="eastAsia" w:ascii="宋体" w:hAnsi="宋体" w:eastAsia="宋体" w:cs="宋体"/>
                <w:b/>
                <w:bCs/>
                <w:i w:val="0"/>
                <w:iCs w:val="0"/>
                <w:color w:val="000000"/>
                <w:kern w:val="0"/>
                <w:sz w:val="24"/>
                <w:szCs w:val="24"/>
                <w:highlight w:val="none"/>
                <w:u w:val="none"/>
                <w:lang w:val="en-US" w:eastAsia="zh-CN" w:bidi="ar"/>
              </w:rPr>
              <w:t>两年合计金额：</w:t>
            </w:r>
          </w:p>
        </w:tc>
        <w:tc>
          <w:tcPr>
            <w:tcW w:w="1058" w:type="dxa"/>
            <w:tcBorders>
              <w:top w:val="single" w:color="000000" w:sz="4" w:space="0"/>
              <w:left w:val="single" w:color="000000" w:sz="4" w:space="0"/>
              <w:bottom w:val="single" w:color="000000" w:sz="4" w:space="0"/>
              <w:right w:val="single" w:color="000000" w:sz="4" w:space="0"/>
            </w:tcBorders>
            <w:noWrap/>
            <w:vAlign w:val="center"/>
          </w:tcPr>
          <w:p w14:paraId="3B873BAB">
            <w:pPr>
              <w:keepNext w:val="0"/>
              <w:keepLines w:val="0"/>
              <w:widowControl/>
              <w:suppressLineNumbers w:val="0"/>
              <w:spacing w:line="240" w:lineRule="auto"/>
              <w:ind w:firstLine="0" w:firstLineChars="0"/>
              <w:jc w:val="center"/>
              <w:textAlignment w:val="center"/>
              <w:rPr>
                <w:rFonts w:hint="eastAsia" w:ascii="宋体" w:hAnsi="宋体" w:eastAsia="宋体" w:cs="宋体"/>
                <w:i w:val="0"/>
                <w:iCs w:val="0"/>
                <w:color w:val="000000"/>
                <w:sz w:val="24"/>
                <w:szCs w:val="24"/>
                <w:highlight w:val="none"/>
                <w:u w:val="none"/>
              </w:rPr>
            </w:pPr>
          </w:p>
        </w:tc>
        <w:tc>
          <w:tcPr>
            <w:tcW w:w="0" w:type="auto"/>
            <w:tcBorders>
              <w:top w:val="single" w:color="auto" w:sz="4" w:space="0"/>
              <w:left w:val="single" w:color="000000" w:sz="4" w:space="0"/>
              <w:bottom w:val="single" w:color="000000" w:sz="4" w:space="0"/>
              <w:right w:val="single" w:color="000000" w:sz="4" w:space="0"/>
            </w:tcBorders>
            <w:noWrap w:val="0"/>
            <w:vAlign w:val="center"/>
          </w:tcPr>
          <w:p w14:paraId="0FF6FF82">
            <w:pPr>
              <w:widowControl w:val="0"/>
              <w:spacing w:line="240" w:lineRule="auto"/>
              <w:ind w:firstLine="0" w:firstLineChars="0"/>
              <w:rPr>
                <w:rFonts w:hint="default" w:ascii="宋体" w:hAnsi="宋体" w:eastAsia="宋体" w:cs="宋体"/>
                <w:i w:val="0"/>
                <w:iCs w:val="0"/>
                <w:color w:val="000000"/>
                <w:sz w:val="24"/>
                <w:szCs w:val="24"/>
                <w:highlight w:val="none"/>
                <w:u w:val="none"/>
                <w:lang w:val="en-US" w:eastAsia="zh-CN"/>
              </w:rPr>
            </w:pPr>
          </w:p>
        </w:tc>
      </w:tr>
    </w:tbl>
    <w:p w14:paraId="0DAA28C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1.服务期：2年，以上报价含税率为</w:t>
      </w:r>
      <w:r>
        <w:rPr>
          <w:rFonts w:hint="eastAsia" w:ascii="仿宋_GB2312" w:hAnsi="仿宋_GB2312" w:eastAsia="仿宋_GB2312" w:cs="仿宋_GB2312"/>
          <w:sz w:val="32"/>
          <w:szCs w:val="32"/>
          <w:highlight w:val="none"/>
          <w:u w:val="single"/>
          <w:lang w:val="en-US" w:eastAsia="zh-CN"/>
        </w:rPr>
        <w:t xml:space="preserve">   </w:t>
      </w:r>
      <w:r>
        <w:rPr>
          <w:rFonts w:hint="eastAsia" w:ascii="仿宋_GB2312" w:hAnsi="仿宋_GB2312" w:eastAsia="仿宋_GB2312" w:cs="仿宋_GB2312"/>
          <w:sz w:val="32"/>
          <w:szCs w:val="32"/>
          <w:highlight w:val="none"/>
          <w:u w:val="none"/>
          <w:lang w:val="en-US" w:eastAsia="zh-CN"/>
        </w:rPr>
        <w:t>%税费（增值税专用发票）。</w:t>
      </w:r>
    </w:p>
    <w:p w14:paraId="467C3A5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2.费用要求：维保履行期内，对深圳书城龙岗城（金旭大楼）南立面、南北大门上方斜面、四楼、五楼共5块LED显示屏提供全包全保服务，包括但不限于显示板、电源、控制系统、驱动、显示屏操作软件升级、维护人员上门费、高空车操作费用、维修技术人员差旅费、维修服务费、材料费、税费（增值税专用发票）等因履行合同需承担的所有费用，采购单位无须向维保单位再支付其他任何费用。</w:t>
      </w:r>
    </w:p>
    <w:p w14:paraId="720E47CA">
      <w:pPr>
        <w:adjustRightInd w:val="0"/>
        <w:snapToGrid w:val="0"/>
        <w:spacing w:line="360" w:lineRule="auto"/>
        <w:jc w:val="center"/>
        <w:rPr>
          <w:rFonts w:hint="eastAsia" w:ascii="仿宋" w:hAnsi="仿宋" w:eastAsia="仿宋" w:cs="仿宋"/>
          <w:sz w:val="32"/>
          <w:szCs w:val="32"/>
          <w:highlight w:val="none"/>
          <w:u w:val="none"/>
          <w:lang w:val="en-US" w:eastAsia="zh-CN"/>
        </w:rPr>
      </w:pPr>
    </w:p>
    <w:p w14:paraId="546DCA29">
      <w:pPr>
        <w:adjustRightInd w:val="0"/>
        <w:snapToGrid w:val="0"/>
        <w:spacing w:line="360" w:lineRule="auto"/>
        <w:jc w:val="center"/>
        <w:rPr>
          <w:rFonts w:hint="eastAsia" w:ascii="仿宋_GB2312" w:hAnsi="仿宋_GB2312" w:eastAsia="仿宋_GB2312" w:cs="仿宋_GB2312"/>
          <w:sz w:val="32"/>
          <w:szCs w:val="32"/>
          <w:highlight w:val="none"/>
          <w:u w:val="none"/>
          <w:lang w:val="en-US" w:eastAsia="zh-CN"/>
        </w:rPr>
      </w:pPr>
    </w:p>
    <w:p w14:paraId="6F7A47F2">
      <w:pPr>
        <w:adjustRightInd w:val="0"/>
        <w:snapToGrid w:val="0"/>
        <w:spacing w:line="360" w:lineRule="auto"/>
        <w:jc w:val="center"/>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报价单位名称（加盖公章）：</w:t>
      </w:r>
    </w:p>
    <w:p w14:paraId="7666C108">
      <w:pPr>
        <w:adjustRightInd w:val="0"/>
        <w:snapToGrid w:val="0"/>
        <w:spacing w:line="360" w:lineRule="auto"/>
        <w:jc w:val="center"/>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联系人：</w:t>
      </w:r>
    </w:p>
    <w:p w14:paraId="5CDF92CD">
      <w:pPr>
        <w:adjustRightInd w:val="0"/>
        <w:snapToGrid w:val="0"/>
        <w:spacing w:line="360" w:lineRule="auto"/>
        <w:jc w:val="center"/>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联系方式：</w:t>
      </w:r>
    </w:p>
    <w:p w14:paraId="71038232">
      <w:pPr>
        <w:adjustRightInd w:val="0"/>
        <w:snapToGrid w:val="0"/>
        <w:spacing w:line="360" w:lineRule="auto"/>
        <w:jc w:val="center"/>
        <w:rPr>
          <w:rFonts w:hint="eastAsia" w:ascii="仿宋_GB2312" w:hAnsi="仿宋_GB2312" w:eastAsia="仿宋_GB2312" w:cs="仿宋_GB2312"/>
          <w:sz w:val="32"/>
          <w:szCs w:val="32"/>
          <w:highlight w:val="none"/>
          <w:u w:val="none"/>
          <w:lang w:val="en-US" w:eastAsia="zh-CN"/>
        </w:rPr>
      </w:pPr>
      <w:r>
        <w:rPr>
          <w:rFonts w:hint="eastAsia" w:ascii="仿宋_GB2312" w:hAnsi="仿宋_GB2312" w:eastAsia="仿宋_GB2312" w:cs="仿宋_GB2312"/>
          <w:sz w:val="32"/>
          <w:szCs w:val="32"/>
          <w:highlight w:val="none"/>
          <w:u w:val="none"/>
          <w:lang w:val="en-US" w:eastAsia="zh-CN"/>
        </w:rPr>
        <w:t>报价日期：</w:t>
      </w:r>
    </w:p>
    <w:p w14:paraId="35267F9C">
      <w:pPr>
        <w:rPr>
          <w:highlight w:val="none"/>
        </w:rPr>
      </w:pPr>
    </w:p>
    <w:p w14:paraId="53FCBA7D">
      <w:pPr>
        <w:spacing w:line="360" w:lineRule="auto"/>
        <w:rPr>
          <w:szCs w:val="24"/>
          <w:highlight w:val="none"/>
        </w:rPr>
      </w:pPr>
    </w:p>
    <w:p w14:paraId="30619554">
      <w:pPr>
        <w:widowControl/>
        <w:spacing w:line="360" w:lineRule="auto"/>
        <w:jc w:val="left"/>
        <w:rPr>
          <w:rFonts w:ascii="仿宋_GB2312" w:hAnsi="仿宋_GB2312" w:eastAsia="仿宋_GB2312" w:cs="仿宋_GB2312"/>
          <w:highlight w:val="none"/>
        </w:rPr>
      </w:pPr>
      <w:r>
        <w:rPr>
          <w:rFonts w:hint="eastAsia" w:ascii="仿宋_GB2312" w:hAnsi="仿宋_GB2312" w:eastAsia="仿宋_GB2312" w:cs="仿宋_GB2312"/>
          <w:b w:val="0"/>
          <w:bCs w:val="0"/>
          <w:kern w:val="2"/>
          <w:sz w:val="32"/>
          <w:szCs w:val="32"/>
          <w:highlight w:val="none"/>
          <w:lang w:val="en-US" w:eastAsia="zh-CN" w:bidi="ar-SA"/>
        </w:rPr>
        <w:br w:type="page"/>
      </w:r>
      <w:r>
        <w:rPr>
          <w:rFonts w:hint="eastAsia" w:ascii="仿宋_GB2312" w:hAnsi="仿宋_GB2312" w:eastAsia="仿宋_GB2312" w:cs="仿宋_GB2312"/>
          <w:b w:val="0"/>
          <w:bCs w:val="0"/>
          <w:kern w:val="2"/>
          <w:sz w:val="32"/>
          <w:szCs w:val="32"/>
          <w:highlight w:val="none"/>
          <w:lang w:val="en-US" w:eastAsia="zh-CN" w:bidi="ar-SA"/>
        </w:rPr>
        <w:t>附件7：</w:t>
      </w:r>
    </w:p>
    <w:p w14:paraId="6A4F4AC3">
      <w:pPr>
        <w:ind w:firstLine="883"/>
        <w:jc w:val="center"/>
        <w:rPr>
          <w:rFonts w:ascii="宋体" w:hAnsi="宋体" w:cs="宋体"/>
          <w:b/>
          <w:bCs/>
          <w:kern w:val="0"/>
          <w:sz w:val="44"/>
          <w:szCs w:val="44"/>
          <w:highlight w:val="none"/>
        </w:rPr>
      </w:pPr>
      <w:r>
        <w:rPr>
          <w:rFonts w:hint="eastAsia" w:ascii="宋体" w:hAnsi="宋体" w:cs="宋体"/>
          <w:b/>
          <w:bCs/>
          <w:kern w:val="0"/>
          <w:sz w:val="44"/>
          <w:szCs w:val="44"/>
          <w:highlight w:val="none"/>
          <w:lang w:val="en-US" w:eastAsia="zh-CN"/>
        </w:rPr>
        <w:t>技术</w:t>
      </w:r>
      <w:r>
        <w:rPr>
          <w:rFonts w:hint="eastAsia" w:ascii="宋体" w:hAnsi="宋体" w:cs="宋体"/>
          <w:b/>
          <w:bCs/>
          <w:kern w:val="0"/>
          <w:sz w:val="44"/>
          <w:szCs w:val="44"/>
          <w:highlight w:val="none"/>
        </w:rPr>
        <w:t>文件响应</w:t>
      </w:r>
    </w:p>
    <w:p w14:paraId="7EB84795">
      <w:pPr>
        <w:rPr>
          <w:rFonts w:ascii="仿宋_GB2312" w:hAnsi="仿宋_GB2312" w:eastAsia="仿宋_GB2312" w:cs="仿宋_GB2312"/>
          <w:kern w:val="0"/>
          <w:sz w:val="32"/>
          <w:szCs w:val="32"/>
          <w:highlight w:val="none"/>
        </w:rPr>
      </w:pPr>
    </w:p>
    <w:p w14:paraId="07D06C2F">
      <w:pPr>
        <w:rPr>
          <w:rFonts w:ascii="仿宋_GB2312" w:hAnsi="仿宋_GB2312" w:eastAsia="仿宋_GB2312" w:cs="仿宋_GB2312"/>
          <w:kern w:val="0"/>
          <w:sz w:val="32"/>
          <w:szCs w:val="32"/>
          <w:highlight w:val="none"/>
        </w:rPr>
      </w:pPr>
      <w:r>
        <w:rPr>
          <w:rFonts w:ascii="仿宋_GB2312" w:hAnsi="仿宋_GB2312" w:eastAsia="仿宋_GB2312" w:cs="仿宋_GB2312"/>
          <w:kern w:val="0"/>
          <w:sz w:val="32"/>
          <w:szCs w:val="32"/>
          <w:highlight w:val="none"/>
        </w:rPr>
        <w:t>1.</w:t>
      </w:r>
      <w:r>
        <w:rPr>
          <w:rFonts w:hint="eastAsia" w:ascii="仿宋_GB2312" w:hAnsi="仿宋_GB2312" w:eastAsia="仿宋_GB2312" w:cs="仿宋_GB2312"/>
          <w:kern w:val="0"/>
          <w:sz w:val="32"/>
          <w:szCs w:val="32"/>
          <w:highlight w:val="none"/>
        </w:rPr>
        <w:t>由投标人结合书城现有电子屏设备品牌型号及使用环境制定切实可行的</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rPr>
        <w:t>维保服务工作方案</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sz w:val="32"/>
          <w:szCs w:val="32"/>
          <w:highlight w:val="none"/>
          <w:lang w:val="en-US" w:eastAsia="zh-CN"/>
        </w:rPr>
        <w:t>故障响应方案》，</w:t>
      </w:r>
      <w:r>
        <w:rPr>
          <w:rFonts w:hint="eastAsia" w:ascii="仿宋_GB2312" w:hAnsi="仿宋_GB2312" w:eastAsia="仿宋_GB2312" w:cs="仿宋_GB2312"/>
          <w:sz w:val="32"/>
          <w:szCs w:val="32"/>
          <w:highlight w:val="none"/>
        </w:rPr>
        <w:t>格式</w:t>
      </w:r>
      <w:r>
        <w:rPr>
          <w:rFonts w:hint="eastAsia" w:ascii="仿宋_GB2312" w:hAnsi="仿宋_GB2312" w:eastAsia="仿宋_GB2312" w:cs="仿宋_GB2312"/>
          <w:sz w:val="32"/>
          <w:szCs w:val="32"/>
          <w:highlight w:val="none"/>
          <w:lang w:val="en-US" w:eastAsia="zh-CN"/>
        </w:rPr>
        <w:t>由各供应商</w:t>
      </w:r>
      <w:r>
        <w:rPr>
          <w:rFonts w:hint="eastAsia" w:ascii="仿宋_GB2312" w:hAnsi="仿宋_GB2312" w:eastAsia="仿宋_GB2312" w:cs="仿宋_GB2312"/>
          <w:sz w:val="32"/>
          <w:szCs w:val="32"/>
          <w:highlight w:val="none"/>
        </w:rPr>
        <w:t>自拟</w:t>
      </w:r>
      <w:r>
        <w:rPr>
          <w:rFonts w:hint="eastAsia" w:ascii="仿宋_GB2312" w:hAnsi="仿宋_GB2312" w:eastAsia="仿宋_GB2312" w:cs="仿宋_GB2312"/>
          <w:kern w:val="0"/>
          <w:sz w:val="32"/>
          <w:szCs w:val="32"/>
          <w:highlight w:val="none"/>
        </w:rPr>
        <w:t>。</w:t>
      </w:r>
    </w:p>
    <w:p w14:paraId="19EFC26F">
      <w:pPr>
        <w:pStyle w:val="300"/>
        <w:ind w:firstLine="640"/>
        <w:jc w:val="left"/>
        <w:rPr>
          <w:rFonts w:ascii="Cambria" w:hAnsi="Cambria" w:cs="Times New Roman"/>
          <w:b/>
          <w:bCs/>
          <w:szCs w:val="24"/>
          <w:highlight w:val="none"/>
        </w:rPr>
      </w:pPr>
      <w:r>
        <w:rPr>
          <w:rFonts w:ascii="仿宋_GB2312" w:hAnsi="仿宋_GB2312" w:eastAsia="仿宋_GB2312" w:cs="仿宋_GB2312"/>
          <w:kern w:val="0"/>
          <w:sz w:val="32"/>
          <w:szCs w:val="32"/>
          <w:highlight w:val="none"/>
        </w:rPr>
        <w:t>2.</w:t>
      </w:r>
      <w:r>
        <w:rPr>
          <w:rFonts w:hint="eastAsia" w:ascii="仿宋_GB2312" w:hAnsi="仿宋_GB2312" w:eastAsia="仿宋_GB2312" w:cs="仿宋_GB2312"/>
          <w:sz w:val="32"/>
          <w:szCs w:val="32"/>
          <w:highlight w:val="none"/>
        </w:rPr>
        <w:t>按《技术部分的评分标准》评分的相应内容，阐述提供相关证明及说明。</w:t>
      </w:r>
    </w:p>
    <w:p w14:paraId="4D7456AA">
      <w:pPr>
        <w:widowControl/>
        <w:spacing w:line="360" w:lineRule="auto"/>
        <w:jc w:val="left"/>
        <w:rPr>
          <w:rFonts w:ascii="Cambria" w:hAnsi="Cambria" w:cs="Times New Roman"/>
          <w:b/>
          <w:bCs/>
          <w:szCs w:val="24"/>
          <w:highlight w:val="none"/>
        </w:rPr>
      </w:pPr>
    </w:p>
    <w:p w14:paraId="07F15E54">
      <w:pPr>
        <w:widowControl/>
        <w:spacing w:line="360" w:lineRule="auto"/>
        <w:jc w:val="left"/>
        <w:rPr>
          <w:rFonts w:ascii="Cambria" w:hAnsi="Cambria" w:cs="Times New Roman"/>
          <w:b/>
          <w:bCs/>
          <w:szCs w:val="24"/>
          <w:highlight w:val="none"/>
        </w:rPr>
      </w:pPr>
    </w:p>
    <w:p w14:paraId="16896A0D">
      <w:pPr>
        <w:widowControl/>
        <w:spacing w:line="360" w:lineRule="auto"/>
        <w:jc w:val="left"/>
        <w:rPr>
          <w:rFonts w:ascii="Cambria" w:hAnsi="Cambria" w:cs="Times New Roman"/>
          <w:b/>
          <w:bCs/>
          <w:szCs w:val="24"/>
          <w:highlight w:val="none"/>
        </w:rPr>
      </w:pPr>
    </w:p>
    <w:p w14:paraId="293EA702">
      <w:pPr>
        <w:widowControl/>
        <w:spacing w:line="360" w:lineRule="auto"/>
        <w:jc w:val="left"/>
        <w:rPr>
          <w:rFonts w:ascii="Cambria" w:hAnsi="Cambria" w:cs="Times New Roman"/>
          <w:b/>
          <w:bCs/>
          <w:szCs w:val="24"/>
          <w:highlight w:val="none"/>
        </w:rPr>
      </w:pPr>
    </w:p>
    <w:p w14:paraId="5069F03E">
      <w:pPr>
        <w:widowControl/>
        <w:spacing w:line="360" w:lineRule="auto"/>
        <w:jc w:val="left"/>
        <w:rPr>
          <w:rFonts w:ascii="Cambria" w:hAnsi="Cambria" w:cs="Times New Roman"/>
          <w:b/>
          <w:bCs/>
          <w:szCs w:val="24"/>
          <w:highlight w:val="none"/>
        </w:rPr>
      </w:pPr>
    </w:p>
    <w:p w14:paraId="0B7AA1D0">
      <w:pPr>
        <w:widowControl/>
        <w:spacing w:line="360" w:lineRule="auto"/>
        <w:jc w:val="left"/>
        <w:rPr>
          <w:rFonts w:ascii="Cambria" w:hAnsi="Cambria" w:cs="Times New Roman"/>
          <w:b/>
          <w:bCs/>
          <w:szCs w:val="24"/>
          <w:highlight w:val="none"/>
        </w:rPr>
      </w:pPr>
    </w:p>
    <w:p w14:paraId="4023E488">
      <w:pPr>
        <w:widowControl/>
        <w:spacing w:line="360" w:lineRule="auto"/>
        <w:jc w:val="left"/>
        <w:rPr>
          <w:rFonts w:ascii="Cambria" w:hAnsi="Cambria" w:cs="Times New Roman"/>
          <w:b/>
          <w:bCs/>
          <w:szCs w:val="24"/>
          <w:highlight w:val="none"/>
        </w:rPr>
      </w:pPr>
    </w:p>
    <w:p w14:paraId="35F19591">
      <w:pPr>
        <w:widowControl/>
        <w:spacing w:line="360" w:lineRule="auto"/>
        <w:jc w:val="left"/>
        <w:rPr>
          <w:rFonts w:ascii="Cambria" w:hAnsi="Cambria" w:cs="Times New Roman"/>
          <w:b/>
          <w:bCs/>
          <w:szCs w:val="24"/>
          <w:highlight w:val="none"/>
        </w:rPr>
      </w:pPr>
    </w:p>
    <w:p w14:paraId="601E0CA5">
      <w:pPr>
        <w:widowControl/>
        <w:spacing w:line="360" w:lineRule="auto"/>
        <w:jc w:val="left"/>
        <w:rPr>
          <w:rFonts w:ascii="Cambria" w:hAnsi="Cambria" w:cs="Times New Roman"/>
          <w:b/>
          <w:bCs/>
          <w:szCs w:val="24"/>
          <w:highlight w:val="none"/>
        </w:rPr>
      </w:pPr>
    </w:p>
    <w:p w14:paraId="0B7EC30F">
      <w:pPr>
        <w:widowControl/>
        <w:spacing w:line="360" w:lineRule="auto"/>
        <w:jc w:val="left"/>
        <w:rPr>
          <w:rFonts w:ascii="Cambria" w:hAnsi="Cambria" w:cs="Times New Roman"/>
          <w:b/>
          <w:bCs/>
          <w:szCs w:val="24"/>
          <w:highlight w:val="none"/>
        </w:rPr>
      </w:pPr>
    </w:p>
    <w:p w14:paraId="26BA3048">
      <w:pPr>
        <w:widowControl/>
        <w:spacing w:line="360" w:lineRule="auto"/>
        <w:jc w:val="left"/>
        <w:rPr>
          <w:rFonts w:ascii="Cambria" w:hAnsi="Cambria" w:cs="Times New Roman"/>
          <w:b/>
          <w:bCs/>
          <w:szCs w:val="24"/>
          <w:highlight w:val="none"/>
        </w:rPr>
      </w:pPr>
    </w:p>
    <w:p w14:paraId="5730372C">
      <w:pPr>
        <w:widowControl/>
        <w:spacing w:line="360" w:lineRule="auto"/>
        <w:jc w:val="left"/>
        <w:rPr>
          <w:rFonts w:ascii="Cambria" w:hAnsi="Cambria" w:cs="Times New Roman"/>
          <w:b/>
          <w:bCs/>
          <w:szCs w:val="24"/>
          <w:highlight w:val="none"/>
        </w:rPr>
      </w:pPr>
    </w:p>
    <w:p w14:paraId="62BE95DA">
      <w:pPr>
        <w:widowControl/>
        <w:spacing w:line="360" w:lineRule="auto"/>
        <w:jc w:val="left"/>
        <w:rPr>
          <w:rFonts w:ascii="Cambria" w:hAnsi="Cambria" w:cs="Times New Roman"/>
          <w:b/>
          <w:bCs/>
          <w:szCs w:val="24"/>
          <w:highlight w:val="none"/>
        </w:rPr>
      </w:pPr>
    </w:p>
    <w:p w14:paraId="04B0E727">
      <w:pPr>
        <w:widowControl/>
        <w:spacing w:line="360" w:lineRule="auto"/>
        <w:jc w:val="left"/>
        <w:rPr>
          <w:rFonts w:ascii="Cambria" w:hAnsi="Cambria" w:cs="Times New Roman"/>
          <w:b/>
          <w:bCs/>
          <w:szCs w:val="24"/>
          <w:highlight w:val="none"/>
        </w:rPr>
      </w:pPr>
    </w:p>
    <w:p w14:paraId="76FBE8F4">
      <w:pPr>
        <w:widowControl/>
        <w:spacing w:line="360" w:lineRule="auto"/>
        <w:jc w:val="left"/>
        <w:rPr>
          <w:rFonts w:ascii="Cambria" w:hAnsi="Cambria" w:cs="Times New Roman"/>
          <w:b/>
          <w:bCs/>
          <w:szCs w:val="24"/>
          <w:highlight w:val="none"/>
        </w:rPr>
      </w:pPr>
    </w:p>
    <w:p w14:paraId="2A6403BE">
      <w:pPr>
        <w:widowControl/>
        <w:spacing w:line="360" w:lineRule="auto"/>
        <w:jc w:val="left"/>
        <w:rPr>
          <w:rFonts w:ascii="Cambria" w:hAnsi="Cambria" w:cs="Times New Roman"/>
          <w:b/>
          <w:bCs/>
          <w:szCs w:val="24"/>
          <w:highlight w:val="none"/>
        </w:rPr>
      </w:pPr>
    </w:p>
    <w:p w14:paraId="1F70679B">
      <w:pPr>
        <w:widowControl/>
        <w:spacing w:line="360" w:lineRule="auto"/>
        <w:jc w:val="left"/>
        <w:rPr>
          <w:rFonts w:ascii="Cambria" w:hAnsi="Cambria" w:cs="Times New Roman"/>
          <w:b/>
          <w:bCs/>
          <w:szCs w:val="24"/>
          <w:highlight w:val="none"/>
        </w:rPr>
      </w:pPr>
    </w:p>
    <w:p w14:paraId="3CB621E9">
      <w:pPr>
        <w:widowControl/>
        <w:spacing w:line="360" w:lineRule="auto"/>
        <w:jc w:val="left"/>
        <w:rPr>
          <w:rFonts w:ascii="Cambria" w:hAnsi="Cambria" w:cs="Times New Roman"/>
          <w:b/>
          <w:bCs/>
          <w:szCs w:val="24"/>
          <w:highlight w:val="none"/>
        </w:rPr>
      </w:pPr>
    </w:p>
    <w:p w14:paraId="08CA80AA">
      <w:pPr>
        <w:widowControl w:val="0"/>
        <w:autoSpaceDE w:val="0"/>
        <w:autoSpaceDN w:val="0"/>
        <w:adjustRightInd w:val="0"/>
        <w:snapToGrid w:val="0"/>
        <w:ind w:firstLine="0" w:firstLineChars="0"/>
        <w:jc w:val="left"/>
        <w:rPr>
          <w:rFonts w:hint="eastAsia" w:ascii="宋体" w:hAnsi="宋体"/>
          <w:b/>
          <w:szCs w:val="21"/>
          <w:highlight w:val="none"/>
        </w:rPr>
      </w:pPr>
    </w:p>
    <w:bookmarkEnd w:id="56"/>
    <w:sectPr>
      <w:footerReference r:id="rId12" w:type="default"/>
      <w:pgSz w:w="11907" w:h="16840"/>
      <w:pgMar w:top="1440" w:right="1800" w:bottom="1440" w:left="1800" w:header="567" w:footer="567" w:gutter="0"/>
      <w:pgNumType w:fmt="decimal"/>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Courier">
    <w:altName w:val="Courier New"/>
    <w:panose1 w:val="02060409020205020404"/>
    <w:charset w:val="00"/>
    <w:family w:val="modern"/>
    <w:pitch w:val="default"/>
    <w:sig w:usb0="00000000" w:usb1="00000000" w:usb2="00000000" w:usb3="00000000" w:csb0="00000093"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楷体_GB2312">
    <w:panose1 w:val="02010609030101010101"/>
    <w:charset w:val="86"/>
    <w:family w:val="modern"/>
    <w:pitch w:val="default"/>
    <w:sig w:usb0="00000001" w:usb1="080E0000" w:usb2="00000000"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MS Gothic">
    <w:panose1 w:val="020B0609070205080204"/>
    <w:charset w:val="80"/>
    <w:family w:val="modern"/>
    <w:pitch w:val="default"/>
    <w:sig w:usb0="E00002FF" w:usb1="6AC7FDFB" w:usb2="08000012" w:usb3="00000000" w:csb0="4002009F" w:csb1="DFD70000"/>
  </w:font>
  <w:font w:name="Arial Unicode MS">
    <w:altName w:val="宋体"/>
    <w:panose1 w:val="020B0604020202020204"/>
    <w:charset w:val="86"/>
    <w:family w:val="roman"/>
    <w:pitch w:val="default"/>
    <w:sig w:usb0="00000000" w:usb1="00000000" w:usb2="0000003F" w:usb3="00000000" w:csb0="603F01FF" w:csb1="FFFF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隶书">
    <w:altName w:val="微软雅黑"/>
    <w:panose1 w:val="0201050906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Palatino">
    <w:altName w:val="Palatino Linotype"/>
    <w:panose1 w:val="02040602050305020304"/>
    <w:charset w:val="00"/>
    <w:family w:val="modern"/>
    <w:pitch w:val="default"/>
    <w:sig w:usb0="00000000" w:usb1="00000000" w:usb2="00000000" w:usb3="00000000" w:csb0="00000093" w:csb1="00000000"/>
  </w:font>
  <w:font w:name="Palatino Linotype">
    <w:panose1 w:val="02040502050505030304"/>
    <w:charset w:val="00"/>
    <w:family w:val="auto"/>
    <w:pitch w:val="default"/>
    <w:sig w:usb0="E0000287" w:usb1="40000013" w:usb2="00000000" w:usb3="00000000" w:csb0="2000019F" w:csb1="00000000"/>
  </w:font>
  <w:font w:name="全真中明體">
    <w:altName w:val="Microsoft JhengHei"/>
    <w:panose1 w:val="00000000000000000000"/>
    <w:charset w:val="88"/>
    <w:family w:val="auto"/>
    <w:pitch w:val="default"/>
    <w:sig w:usb0="00000000" w:usb1="00000000" w:usb2="00000010" w:usb3="00000000" w:csb0="00100000" w:csb1="00000000"/>
  </w:font>
  <w:font w:name="Microsoft JhengHei">
    <w:panose1 w:val="020B0604030504040204"/>
    <w:charset w:val="88"/>
    <w:family w:val="swiss"/>
    <w:pitch w:val="default"/>
    <w:sig w:usb0="000002A7" w:usb1="28CF4400" w:usb2="00000016" w:usb3="00000000" w:csb0="00100009"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20B86">
    <w:pPr>
      <w:pStyle w:val="31"/>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BE8C86C">
                          <w:pPr>
                            <w:pStyle w:val="31"/>
                          </w:pPr>
                          <w:r>
                            <w:fldChar w:fldCharType="begin"/>
                          </w:r>
                          <w:r>
                            <w:instrText xml:space="preserve"> PAGE  \* MERGEFORMAT </w:instrText>
                          </w:r>
                          <w:r>
                            <w:fldChar w:fldCharType="separate"/>
                          </w:r>
                          <w:r>
                            <w:t>- 1 -</w:t>
                          </w:r>
                          <w:r>
                            <w:fldChar w:fldCharType="end"/>
                          </w:r>
                        </w:p>
                      </w:txbxContent>
                    </wps:txbx>
                    <wps:bodyPr vert="horz" wrap="none" lIns="0" tIns="0" rIns="0" bIns="0" anchor="t" anchorCtr="0" upright="0">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NVaFhjdAQAAvgMAAA4AAAAAAAAA&#10;AQAgAAAAHgEAAGRycy9lMm9Eb2MueG1sUEsFBgAAAAAGAAYAWQEAAG0FAAAAAA==&#10;">
              <v:fill on="f" focussize="0,0"/>
              <v:stroke on="f"/>
              <v:imagedata o:title=""/>
              <o:lock v:ext="edit" aspectratio="f"/>
              <v:textbox inset="0mm,0mm,0mm,0mm" style="mso-fit-shape-to-text:t;">
                <w:txbxContent>
                  <w:p w14:paraId="4BE8C86C">
                    <w:pPr>
                      <w:pStyle w:val="31"/>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8C7101">
    <w:pPr>
      <w:pStyle w:val="31"/>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0A447E">
    <w:pPr>
      <w:pStyle w:val="31"/>
      <w:ind w:firstLine="360"/>
      <w:jc w:val="center"/>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84</w:t>
    </w:r>
    <w:r>
      <w:rPr>
        <w:b/>
        <w:bCs/>
        <w:sz w:val="24"/>
        <w:szCs w:val="24"/>
      </w:rPr>
      <w:fldChar w:fldCharType="end"/>
    </w:r>
  </w:p>
  <w:p w14:paraId="6B1C04C7">
    <w:pPr>
      <w:pStyle w:val="31"/>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B0FDC">
    <w:pPr>
      <w:pStyle w:val="31"/>
      <w:jc w:val="center"/>
    </w:pPr>
    <w:r>
      <w:rPr>
        <w:sz w:val="18"/>
      </w:rPr>
      <mc:AlternateContent>
        <mc:Choice Requires="wps">
          <w:drawing>
            <wp:anchor distT="0" distB="0" distL="114300" distR="114300" simplePos="0" relativeHeight="251660288" behindDoc="0" locked="0" layoutInCell="1" allowOverlap="1">
              <wp:simplePos x="0" y="0"/>
              <wp:positionH relativeFrom="margin">
                <wp:posOffset>2467610</wp:posOffset>
              </wp:positionH>
              <wp:positionV relativeFrom="paragraph">
                <wp:posOffset>0</wp:posOffset>
              </wp:positionV>
              <wp:extent cx="607060" cy="249555"/>
              <wp:effectExtent l="0" t="0" r="0" b="0"/>
              <wp:wrapNone/>
              <wp:docPr id="10" name="文本框 8"/>
              <wp:cNvGraphicFramePr/>
              <a:graphic xmlns:a="http://schemas.openxmlformats.org/drawingml/2006/main">
                <a:graphicData uri="http://schemas.microsoft.com/office/word/2010/wordprocessingShape">
                  <wps:wsp>
                    <wps:cNvSpPr txBox="1"/>
                    <wps:spPr>
                      <a:xfrm>
                        <a:off x="0" y="0"/>
                        <a:ext cx="607060" cy="249555"/>
                      </a:xfrm>
                      <a:prstGeom prst="rect">
                        <a:avLst/>
                      </a:prstGeom>
                      <a:noFill/>
                      <a:ln>
                        <a:noFill/>
                      </a:ln>
                    </wps:spPr>
                    <wps:txbx>
                      <w:txbxContent>
                        <w:p w14:paraId="6A20E418">
                          <w:pPr>
                            <w:pStyle w:val="31"/>
                          </w:pPr>
                          <w:r>
                            <w:fldChar w:fldCharType="begin"/>
                          </w:r>
                          <w:r>
                            <w:instrText xml:space="preserve"> PAGE  \* MERGEFORMAT </w:instrText>
                          </w:r>
                          <w:r>
                            <w:fldChar w:fldCharType="separate"/>
                          </w:r>
                          <w:r>
                            <w:t>3</w:t>
                          </w:r>
                          <w:r>
                            <w:fldChar w:fldCharType="end"/>
                          </w:r>
                        </w:p>
                      </w:txbxContent>
                    </wps:txbx>
                    <wps:bodyPr vert="horz" wrap="square" lIns="0" tIns="0" rIns="0" bIns="0" anchor="t" anchorCtr="0" upright="0"/>
                  </wps:wsp>
                </a:graphicData>
              </a:graphic>
            </wp:anchor>
          </w:drawing>
        </mc:Choice>
        <mc:Fallback>
          <w:pict>
            <v:shape id="文本框 8" o:spid="_x0000_s1026" o:spt="202" type="#_x0000_t202" style="position:absolute;left:0pt;margin-left:194.3pt;margin-top:0pt;height:19.65pt;width:47.8pt;mso-position-horizontal-relative:margin;z-index:251660288;mso-width-relative:page;mso-height-relative:page;" filled="f" stroked="f" coordsize="21600,21600" o:gfxdata="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DNuUw7XAAAABwEAAA8AAAAAAAAA&#10;AQAgAAAAIgAAAGRycy9kb3ducmV2LnhtbFBLAQIUABQAAAAIAIdO4kAKv9sy2QEAAKUDAAAOAAAA&#10;AAAAAAEAIAAAACYBAABkcnMvZTJvRG9jLnhtbFBLBQYAAAAABgAGAFkBAABxBQAAAAA=&#10;">
              <v:fill on="f" focussize="0,0"/>
              <v:stroke on="f"/>
              <v:imagedata o:title=""/>
              <o:lock v:ext="edit" aspectratio="f"/>
              <v:textbox inset="0mm,0mm,0mm,0mm">
                <w:txbxContent>
                  <w:p w14:paraId="6A20E418">
                    <w:pPr>
                      <w:pStyle w:val="31"/>
                    </w:pPr>
                    <w:r>
                      <w:fldChar w:fldCharType="begin"/>
                    </w:r>
                    <w:r>
                      <w:instrText xml:space="preserve"> PAGE  \* MERGEFORMAT </w:instrText>
                    </w:r>
                    <w:r>
                      <w:fldChar w:fldCharType="separate"/>
                    </w:r>
                    <w:r>
                      <w:t>3</w:t>
                    </w:r>
                    <w:r>
                      <w:fldChar w:fldCharType="end"/>
                    </w:r>
                  </w:p>
                </w:txbxContent>
              </v:textbox>
            </v:shape>
          </w:pict>
        </mc:Fallback>
      </mc:AlternateContent>
    </w:r>
  </w:p>
  <w:p w14:paraId="6136BD8E">
    <w:pPr>
      <w:pStyle w:val="3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D7481E">
    <w:pPr>
      <w:pStyle w:val="31"/>
      <w:ind w:firstLine="36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64012E9">
                          <w:pPr>
                            <w:pStyle w:val="31"/>
                          </w:pPr>
                          <w:r>
                            <w:fldChar w:fldCharType="begin"/>
                          </w:r>
                          <w:r>
                            <w:instrText xml:space="preserve"> PAGE  \* MERGEFORMAT </w:instrText>
                          </w:r>
                          <w:r>
                            <w:fldChar w:fldCharType="separate"/>
                          </w:r>
                          <w:r>
                            <w:t>40</w:t>
                          </w:r>
                          <w:r>
                            <w:fldChar w:fldCharType="end"/>
                          </w:r>
                        </w:p>
                      </w:txbxContent>
                    </wps:txbx>
                    <wps:bodyPr vert="horz" wrap="none" lIns="0" tIns="0" rIns="0" bIns="0" anchor="t" anchorCtr="0" upright="0">
                      <a:spAutoFit/>
                    </wps:bodyPr>
                  </wps:wsp>
                </a:graphicData>
              </a:graphic>
            </wp:anchor>
          </w:drawing>
        </mc:Choice>
        <mc:Fallback>
          <w:pict>
            <v:shape id="文本框 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uMP4fdAQAAvwMAAA4AAAAAAAAA&#10;AQAgAAAAHgEAAGRycy9lMm9Eb2MueG1sUEsFBgAAAAAGAAYAWQEAAG0FAAAAAA==&#10;">
              <v:fill on="f" focussize="0,0"/>
              <v:stroke on="f"/>
              <v:imagedata o:title=""/>
              <o:lock v:ext="edit" aspectratio="f"/>
              <v:textbox inset="0mm,0mm,0mm,0mm" style="mso-fit-shape-to-text:t;">
                <w:txbxContent>
                  <w:p w14:paraId="464012E9">
                    <w:pPr>
                      <w:pStyle w:val="31"/>
                    </w:pPr>
                    <w:r>
                      <w:fldChar w:fldCharType="begin"/>
                    </w:r>
                    <w:r>
                      <w:instrText xml:space="preserve"> PAGE  \* MERGEFORMAT </w:instrText>
                    </w:r>
                    <w:r>
                      <w:fldChar w:fldCharType="separate"/>
                    </w:r>
                    <w:r>
                      <w:t>40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98182">
    <w:pPr>
      <w:pStyle w:val="32"/>
      <w:pBdr>
        <w:bottom w:val="none" w:color="auto" w:sz="0" w:space="0"/>
      </w:pBdr>
      <w:ind w:firstLine="360"/>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3B4D6C">
    <w:pPr>
      <w:pStyle w:val="32"/>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CCF13F">
    <w:pPr>
      <w:pStyle w:val="32"/>
      <w:pBdr>
        <w:bottom w:val="none" w:color="auto" w:sz="0" w:space="0"/>
      </w:pBdr>
      <w:ind w:firstLine="360"/>
      <w:jc w:val="right"/>
    </w:pPr>
    <w:r>
      <w:rPr>
        <w:rFonts w:hint="eastAsia"/>
        <w:bCs/>
      </w:rPr>
      <w:drawing>
        <wp:inline distT="0" distB="0" distL="114300" distR="114300">
          <wp:extent cx="1548130" cy="360680"/>
          <wp:effectExtent l="0" t="0" r="4445" b="1270"/>
          <wp:docPr id="12" name="图片 2" descr="微信图片_20200818203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descr="微信图片_20200818203312"/>
                  <pic:cNvPicPr>
                    <a:picLocks noChangeAspect="1"/>
                  </pic:cNvPicPr>
                </pic:nvPicPr>
                <pic:blipFill>
                  <a:blip r:embed="rId1"/>
                  <a:stretch>
                    <a:fillRect/>
                  </a:stretch>
                </pic:blipFill>
                <pic:spPr>
                  <a:xfrm>
                    <a:off x="0" y="0"/>
                    <a:ext cx="1548130" cy="36068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A4D96C8"/>
    <w:multiLevelType w:val="singleLevel"/>
    <w:tmpl w:val="5A4D96C8"/>
    <w:lvl w:ilvl="0" w:tentative="0">
      <w:start w:val="1"/>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210"/>
  <w:hyphenationZone w:val="36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QwMDVkNmRlZWZjNzAxZGJlYWNlMGQzNzUyNDA2ZDEifQ=="/>
    <w:docVar w:name="KSO_WPS_MARK_KEY" w:val="20113e99-2e03-4782-8f42-7942ded09aca"/>
  </w:docVars>
  <w:rsids>
    <w:rsidRoot w:val="00172A27"/>
    <w:rsid w:val="0000066C"/>
    <w:rsid w:val="00000EA6"/>
    <w:rsid w:val="00000EEA"/>
    <w:rsid w:val="000024E0"/>
    <w:rsid w:val="00002620"/>
    <w:rsid w:val="00004014"/>
    <w:rsid w:val="00004927"/>
    <w:rsid w:val="00005535"/>
    <w:rsid w:val="00006612"/>
    <w:rsid w:val="00007D34"/>
    <w:rsid w:val="00007E10"/>
    <w:rsid w:val="00007F87"/>
    <w:rsid w:val="00010405"/>
    <w:rsid w:val="000104A4"/>
    <w:rsid w:val="00010849"/>
    <w:rsid w:val="0001132F"/>
    <w:rsid w:val="000115B0"/>
    <w:rsid w:val="00012F50"/>
    <w:rsid w:val="0001510A"/>
    <w:rsid w:val="00015990"/>
    <w:rsid w:val="00016654"/>
    <w:rsid w:val="000168C5"/>
    <w:rsid w:val="00017578"/>
    <w:rsid w:val="000179AF"/>
    <w:rsid w:val="0002064D"/>
    <w:rsid w:val="00021009"/>
    <w:rsid w:val="0002127B"/>
    <w:rsid w:val="00021443"/>
    <w:rsid w:val="000218DE"/>
    <w:rsid w:val="00022817"/>
    <w:rsid w:val="000241C7"/>
    <w:rsid w:val="00025FA3"/>
    <w:rsid w:val="000263B5"/>
    <w:rsid w:val="00026910"/>
    <w:rsid w:val="000272F5"/>
    <w:rsid w:val="00027A6B"/>
    <w:rsid w:val="00027EC0"/>
    <w:rsid w:val="000316AB"/>
    <w:rsid w:val="00031B9F"/>
    <w:rsid w:val="00031F7E"/>
    <w:rsid w:val="00032258"/>
    <w:rsid w:val="00032881"/>
    <w:rsid w:val="00032BCD"/>
    <w:rsid w:val="0003334F"/>
    <w:rsid w:val="00034755"/>
    <w:rsid w:val="0003478E"/>
    <w:rsid w:val="0003488D"/>
    <w:rsid w:val="00034DFF"/>
    <w:rsid w:val="000355DE"/>
    <w:rsid w:val="00037D5D"/>
    <w:rsid w:val="00037DA6"/>
    <w:rsid w:val="00040403"/>
    <w:rsid w:val="0004104D"/>
    <w:rsid w:val="00041762"/>
    <w:rsid w:val="000417E5"/>
    <w:rsid w:val="00042FBF"/>
    <w:rsid w:val="00044AC6"/>
    <w:rsid w:val="000456FE"/>
    <w:rsid w:val="000458A3"/>
    <w:rsid w:val="000467DB"/>
    <w:rsid w:val="00046B5A"/>
    <w:rsid w:val="0005009A"/>
    <w:rsid w:val="000514C2"/>
    <w:rsid w:val="00051A43"/>
    <w:rsid w:val="000521B6"/>
    <w:rsid w:val="00052428"/>
    <w:rsid w:val="000525C6"/>
    <w:rsid w:val="00054FB1"/>
    <w:rsid w:val="000550B3"/>
    <w:rsid w:val="00055BB0"/>
    <w:rsid w:val="00056805"/>
    <w:rsid w:val="00057B99"/>
    <w:rsid w:val="0006123F"/>
    <w:rsid w:val="00061BFB"/>
    <w:rsid w:val="0006271F"/>
    <w:rsid w:val="000629EE"/>
    <w:rsid w:val="00062C6D"/>
    <w:rsid w:val="0006568B"/>
    <w:rsid w:val="00066198"/>
    <w:rsid w:val="00066662"/>
    <w:rsid w:val="00066A2B"/>
    <w:rsid w:val="00066CD3"/>
    <w:rsid w:val="00066F05"/>
    <w:rsid w:val="000679A5"/>
    <w:rsid w:val="00070264"/>
    <w:rsid w:val="000714CE"/>
    <w:rsid w:val="00071D71"/>
    <w:rsid w:val="00072DF7"/>
    <w:rsid w:val="00073034"/>
    <w:rsid w:val="00073394"/>
    <w:rsid w:val="00074BD9"/>
    <w:rsid w:val="00077ED7"/>
    <w:rsid w:val="00080897"/>
    <w:rsid w:val="000808D3"/>
    <w:rsid w:val="00080A86"/>
    <w:rsid w:val="00081101"/>
    <w:rsid w:val="00082212"/>
    <w:rsid w:val="0008249F"/>
    <w:rsid w:val="00083986"/>
    <w:rsid w:val="00083D5D"/>
    <w:rsid w:val="00086180"/>
    <w:rsid w:val="0008655B"/>
    <w:rsid w:val="000910F1"/>
    <w:rsid w:val="00092B9C"/>
    <w:rsid w:val="00093CD6"/>
    <w:rsid w:val="0009430E"/>
    <w:rsid w:val="00095872"/>
    <w:rsid w:val="00095E2A"/>
    <w:rsid w:val="00096C0E"/>
    <w:rsid w:val="000978C4"/>
    <w:rsid w:val="000A070D"/>
    <w:rsid w:val="000A39D5"/>
    <w:rsid w:val="000A3F78"/>
    <w:rsid w:val="000A3FD7"/>
    <w:rsid w:val="000A42DF"/>
    <w:rsid w:val="000A43B3"/>
    <w:rsid w:val="000A4A5F"/>
    <w:rsid w:val="000A4BE6"/>
    <w:rsid w:val="000A5141"/>
    <w:rsid w:val="000A525C"/>
    <w:rsid w:val="000A5C57"/>
    <w:rsid w:val="000A5CAC"/>
    <w:rsid w:val="000A61C9"/>
    <w:rsid w:val="000A6A4B"/>
    <w:rsid w:val="000A6D8F"/>
    <w:rsid w:val="000A7807"/>
    <w:rsid w:val="000B06D8"/>
    <w:rsid w:val="000B0C1C"/>
    <w:rsid w:val="000B1345"/>
    <w:rsid w:val="000B1C0F"/>
    <w:rsid w:val="000B203C"/>
    <w:rsid w:val="000B233F"/>
    <w:rsid w:val="000B27F2"/>
    <w:rsid w:val="000B2CE1"/>
    <w:rsid w:val="000B3E79"/>
    <w:rsid w:val="000B3F10"/>
    <w:rsid w:val="000B4140"/>
    <w:rsid w:val="000B47C2"/>
    <w:rsid w:val="000B4CEC"/>
    <w:rsid w:val="000B717F"/>
    <w:rsid w:val="000C042A"/>
    <w:rsid w:val="000C0A57"/>
    <w:rsid w:val="000C17DA"/>
    <w:rsid w:val="000C1A77"/>
    <w:rsid w:val="000C1C8B"/>
    <w:rsid w:val="000C23BF"/>
    <w:rsid w:val="000C2451"/>
    <w:rsid w:val="000C2533"/>
    <w:rsid w:val="000C27C3"/>
    <w:rsid w:val="000C37CC"/>
    <w:rsid w:val="000C3E0E"/>
    <w:rsid w:val="000C3EA3"/>
    <w:rsid w:val="000C4A36"/>
    <w:rsid w:val="000C4DA1"/>
    <w:rsid w:val="000C4F6C"/>
    <w:rsid w:val="000C5D07"/>
    <w:rsid w:val="000C6AE1"/>
    <w:rsid w:val="000C7830"/>
    <w:rsid w:val="000D0220"/>
    <w:rsid w:val="000D05ED"/>
    <w:rsid w:val="000D12FA"/>
    <w:rsid w:val="000D18CA"/>
    <w:rsid w:val="000D21BA"/>
    <w:rsid w:val="000D2823"/>
    <w:rsid w:val="000D2ADD"/>
    <w:rsid w:val="000D355D"/>
    <w:rsid w:val="000D37BB"/>
    <w:rsid w:val="000D38E6"/>
    <w:rsid w:val="000D473A"/>
    <w:rsid w:val="000D4C76"/>
    <w:rsid w:val="000D5169"/>
    <w:rsid w:val="000D5875"/>
    <w:rsid w:val="000D5FD1"/>
    <w:rsid w:val="000D6A89"/>
    <w:rsid w:val="000D6DFE"/>
    <w:rsid w:val="000D6FF0"/>
    <w:rsid w:val="000E0369"/>
    <w:rsid w:val="000E050E"/>
    <w:rsid w:val="000E1458"/>
    <w:rsid w:val="000E2D66"/>
    <w:rsid w:val="000E312E"/>
    <w:rsid w:val="000E3AC4"/>
    <w:rsid w:val="000E3FAC"/>
    <w:rsid w:val="000E404E"/>
    <w:rsid w:val="000E4113"/>
    <w:rsid w:val="000E6BD6"/>
    <w:rsid w:val="000E72C8"/>
    <w:rsid w:val="000F1DA5"/>
    <w:rsid w:val="000F2097"/>
    <w:rsid w:val="000F3266"/>
    <w:rsid w:val="000F356D"/>
    <w:rsid w:val="000F37C8"/>
    <w:rsid w:val="000F3DF1"/>
    <w:rsid w:val="000F40DE"/>
    <w:rsid w:val="000F41FF"/>
    <w:rsid w:val="000F6454"/>
    <w:rsid w:val="000F73CB"/>
    <w:rsid w:val="00100091"/>
    <w:rsid w:val="0010019F"/>
    <w:rsid w:val="00100FA0"/>
    <w:rsid w:val="00101788"/>
    <w:rsid w:val="00101B56"/>
    <w:rsid w:val="00101D33"/>
    <w:rsid w:val="001020DF"/>
    <w:rsid w:val="001026E1"/>
    <w:rsid w:val="00102796"/>
    <w:rsid w:val="0010577C"/>
    <w:rsid w:val="001065B2"/>
    <w:rsid w:val="00106A66"/>
    <w:rsid w:val="001073E7"/>
    <w:rsid w:val="001074D8"/>
    <w:rsid w:val="001077DC"/>
    <w:rsid w:val="00107AFF"/>
    <w:rsid w:val="00112004"/>
    <w:rsid w:val="0011204C"/>
    <w:rsid w:val="0011281C"/>
    <w:rsid w:val="00114BEC"/>
    <w:rsid w:val="001208C5"/>
    <w:rsid w:val="001212A7"/>
    <w:rsid w:val="001219F6"/>
    <w:rsid w:val="00122A62"/>
    <w:rsid w:val="00123106"/>
    <w:rsid w:val="001234B6"/>
    <w:rsid w:val="001245AF"/>
    <w:rsid w:val="00124E0A"/>
    <w:rsid w:val="00125CBE"/>
    <w:rsid w:val="0012698A"/>
    <w:rsid w:val="0012724A"/>
    <w:rsid w:val="001300A6"/>
    <w:rsid w:val="00130D96"/>
    <w:rsid w:val="001314CD"/>
    <w:rsid w:val="00131E9F"/>
    <w:rsid w:val="00133EBE"/>
    <w:rsid w:val="00134555"/>
    <w:rsid w:val="00135289"/>
    <w:rsid w:val="00136613"/>
    <w:rsid w:val="00136D19"/>
    <w:rsid w:val="00137B4D"/>
    <w:rsid w:val="001402F9"/>
    <w:rsid w:val="00141814"/>
    <w:rsid w:val="001430D8"/>
    <w:rsid w:val="001456F1"/>
    <w:rsid w:val="0014584F"/>
    <w:rsid w:val="00145B2A"/>
    <w:rsid w:val="00145C80"/>
    <w:rsid w:val="00145CB5"/>
    <w:rsid w:val="00145FD7"/>
    <w:rsid w:val="00147284"/>
    <w:rsid w:val="00147BC3"/>
    <w:rsid w:val="00150FD0"/>
    <w:rsid w:val="00151249"/>
    <w:rsid w:val="00152026"/>
    <w:rsid w:val="00152A6D"/>
    <w:rsid w:val="00152DD3"/>
    <w:rsid w:val="00153A91"/>
    <w:rsid w:val="00153FCE"/>
    <w:rsid w:val="00154BE0"/>
    <w:rsid w:val="001550CE"/>
    <w:rsid w:val="00155245"/>
    <w:rsid w:val="00156652"/>
    <w:rsid w:val="0015797A"/>
    <w:rsid w:val="00157A50"/>
    <w:rsid w:val="00157E3F"/>
    <w:rsid w:val="00160F59"/>
    <w:rsid w:val="001610E0"/>
    <w:rsid w:val="0016125D"/>
    <w:rsid w:val="001613E5"/>
    <w:rsid w:val="00162196"/>
    <w:rsid w:val="001624B6"/>
    <w:rsid w:val="001626FC"/>
    <w:rsid w:val="00162E32"/>
    <w:rsid w:val="001634F7"/>
    <w:rsid w:val="00164D6B"/>
    <w:rsid w:val="00165A42"/>
    <w:rsid w:val="00166609"/>
    <w:rsid w:val="00166BB3"/>
    <w:rsid w:val="0016727C"/>
    <w:rsid w:val="0016783C"/>
    <w:rsid w:val="001700AF"/>
    <w:rsid w:val="00170146"/>
    <w:rsid w:val="001706D6"/>
    <w:rsid w:val="0017158F"/>
    <w:rsid w:val="00171D42"/>
    <w:rsid w:val="001723CD"/>
    <w:rsid w:val="00172A27"/>
    <w:rsid w:val="00173112"/>
    <w:rsid w:val="001734CA"/>
    <w:rsid w:val="00173E36"/>
    <w:rsid w:val="00174572"/>
    <w:rsid w:val="00176425"/>
    <w:rsid w:val="0017648C"/>
    <w:rsid w:val="001779C9"/>
    <w:rsid w:val="00180048"/>
    <w:rsid w:val="00180071"/>
    <w:rsid w:val="001800DD"/>
    <w:rsid w:val="001802F6"/>
    <w:rsid w:val="0018030A"/>
    <w:rsid w:val="00180A18"/>
    <w:rsid w:val="001821C5"/>
    <w:rsid w:val="0018359D"/>
    <w:rsid w:val="00183D04"/>
    <w:rsid w:val="001840A0"/>
    <w:rsid w:val="00184EF8"/>
    <w:rsid w:val="00185FCD"/>
    <w:rsid w:val="00186118"/>
    <w:rsid w:val="001861D6"/>
    <w:rsid w:val="0018719B"/>
    <w:rsid w:val="0018748D"/>
    <w:rsid w:val="0018754D"/>
    <w:rsid w:val="00190564"/>
    <w:rsid w:val="00191D8A"/>
    <w:rsid w:val="00192CF4"/>
    <w:rsid w:val="00194824"/>
    <w:rsid w:val="00194BB7"/>
    <w:rsid w:val="00194D12"/>
    <w:rsid w:val="001955BC"/>
    <w:rsid w:val="00195B58"/>
    <w:rsid w:val="00196486"/>
    <w:rsid w:val="00196A9E"/>
    <w:rsid w:val="00196E98"/>
    <w:rsid w:val="001975FD"/>
    <w:rsid w:val="00197F01"/>
    <w:rsid w:val="001A0618"/>
    <w:rsid w:val="001A3F64"/>
    <w:rsid w:val="001A427A"/>
    <w:rsid w:val="001A457C"/>
    <w:rsid w:val="001A63FF"/>
    <w:rsid w:val="001A66B4"/>
    <w:rsid w:val="001A68B4"/>
    <w:rsid w:val="001A7D58"/>
    <w:rsid w:val="001B1AAE"/>
    <w:rsid w:val="001B201A"/>
    <w:rsid w:val="001B2C8C"/>
    <w:rsid w:val="001B527B"/>
    <w:rsid w:val="001B5630"/>
    <w:rsid w:val="001B5DFA"/>
    <w:rsid w:val="001B63B3"/>
    <w:rsid w:val="001B68FD"/>
    <w:rsid w:val="001B7748"/>
    <w:rsid w:val="001C0089"/>
    <w:rsid w:val="001C0442"/>
    <w:rsid w:val="001C09D6"/>
    <w:rsid w:val="001C0F3D"/>
    <w:rsid w:val="001C2AE8"/>
    <w:rsid w:val="001C3134"/>
    <w:rsid w:val="001C3C73"/>
    <w:rsid w:val="001C3F29"/>
    <w:rsid w:val="001C4787"/>
    <w:rsid w:val="001C4B7E"/>
    <w:rsid w:val="001C6382"/>
    <w:rsid w:val="001C6CD7"/>
    <w:rsid w:val="001C7975"/>
    <w:rsid w:val="001D2292"/>
    <w:rsid w:val="001D388B"/>
    <w:rsid w:val="001D3F92"/>
    <w:rsid w:val="001D450E"/>
    <w:rsid w:val="001D474B"/>
    <w:rsid w:val="001D4753"/>
    <w:rsid w:val="001D4CB6"/>
    <w:rsid w:val="001D62B9"/>
    <w:rsid w:val="001D6EF9"/>
    <w:rsid w:val="001E1FC8"/>
    <w:rsid w:val="001E227F"/>
    <w:rsid w:val="001E2B7C"/>
    <w:rsid w:val="001E34A2"/>
    <w:rsid w:val="001E5A5C"/>
    <w:rsid w:val="001E7091"/>
    <w:rsid w:val="001F0B7B"/>
    <w:rsid w:val="001F0F51"/>
    <w:rsid w:val="001F128E"/>
    <w:rsid w:val="001F4623"/>
    <w:rsid w:val="001F5AE8"/>
    <w:rsid w:val="001F6D56"/>
    <w:rsid w:val="001F7877"/>
    <w:rsid w:val="002003B4"/>
    <w:rsid w:val="00200A84"/>
    <w:rsid w:val="00200C58"/>
    <w:rsid w:val="00200D96"/>
    <w:rsid w:val="002043DC"/>
    <w:rsid w:val="002046C9"/>
    <w:rsid w:val="00204741"/>
    <w:rsid w:val="00204E1C"/>
    <w:rsid w:val="002056D0"/>
    <w:rsid w:val="002060B5"/>
    <w:rsid w:val="0020652A"/>
    <w:rsid w:val="002067E0"/>
    <w:rsid w:val="00206D4E"/>
    <w:rsid w:val="00206DCB"/>
    <w:rsid w:val="00206DDA"/>
    <w:rsid w:val="00206EA8"/>
    <w:rsid w:val="002070C3"/>
    <w:rsid w:val="00207C9A"/>
    <w:rsid w:val="0021008C"/>
    <w:rsid w:val="0021041A"/>
    <w:rsid w:val="0021049B"/>
    <w:rsid w:val="00210BE5"/>
    <w:rsid w:val="0021318B"/>
    <w:rsid w:val="00213BA8"/>
    <w:rsid w:val="00214562"/>
    <w:rsid w:val="00215B14"/>
    <w:rsid w:val="00215B7D"/>
    <w:rsid w:val="00215C16"/>
    <w:rsid w:val="002162E3"/>
    <w:rsid w:val="00216ADD"/>
    <w:rsid w:val="0021762D"/>
    <w:rsid w:val="00217894"/>
    <w:rsid w:val="00220618"/>
    <w:rsid w:val="00220B6C"/>
    <w:rsid w:val="00220B8A"/>
    <w:rsid w:val="002211B9"/>
    <w:rsid w:val="00221941"/>
    <w:rsid w:val="00221D82"/>
    <w:rsid w:val="00222ECD"/>
    <w:rsid w:val="00222F36"/>
    <w:rsid w:val="00223DF0"/>
    <w:rsid w:val="002243AF"/>
    <w:rsid w:val="00224C8F"/>
    <w:rsid w:val="00224D7E"/>
    <w:rsid w:val="0022503F"/>
    <w:rsid w:val="00226571"/>
    <w:rsid w:val="00227E63"/>
    <w:rsid w:val="002310DF"/>
    <w:rsid w:val="002311A6"/>
    <w:rsid w:val="00231DEF"/>
    <w:rsid w:val="00232304"/>
    <w:rsid w:val="002328C4"/>
    <w:rsid w:val="00232B9D"/>
    <w:rsid w:val="002330EB"/>
    <w:rsid w:val="00233DAE"/>
    <w:rsid w:val="00233E2E"/>
    <w:rsid w:val="0023433B"/>
    <w:rsid w:val="00234818"/>
    <w:rsid w:val="00234890"/>
    <w:rsid w:val="00234CBD"/>
    <w:rsid w:val="002351F6"/>
    <w:rsid w:val="002352C6"/>
    <w:rsid w:val="00235614"/>
    <w:rsid w:val="00235BCB"/>
    <w:rsid w:val="00235D1D"/>
    <w:rsid w:val="0023613A"/>
    <w:rsid w:val="00236490"/>
    <w:rsid w:val="00236E08"/>
    <w:rsid w:val="002377FB"/>
    <w:rsid w:val="0023794F"/>
    <w:rsid w:val="002417F8"/>
    <w:rsid w:val="00242634"/>
    <w:rsid w:val="002430C4"/>
    <w:rsid w:val="00243424"/>
    <w:rsid w:val="00243F18"/>
    <w:rsid w:val="00244719"/>
    <w:rsid w:val="002451ED"/>
    <w:rsid w:val="00246562"/>
    <w:rsid w:val="00246967"/>
    <w:rsid w:val="00247623"/>
    <w:rsid w:val="002477A3"/>
    <w:rsid w:val="00247EFD"/>
    <w:rsid w:val="00250703"/>
    <w:rsid w:val="00250C64"/>
    <w:rsid w:val="0025131A"/>
    <w:rsid w:val="002519C5"/>
    <w:rsid w:val="00251A4F"/>
    <w:rsid w:val="00251BA1"/>
    <w:rsid w:val="00251F6D"/>
    <w:rsid w:val="00254704"/>
    <w:rsid w:val="0025508E"/>
    <w:rsid w:val="00255A59"/>
    <w:rsid w:val="0026185A"/>
    <w:rsid w:val="002619DA"/>
    <w:rsid w:val="00262D11"/>
    <w:rsid w:val="002631C6"/>
    <w:rsid w:val="00265060"/>
    <w:rsid w:val="00265CE2"/>
    <w:rsid w:val="0026650C"/>
    <w:rsid w:val="002668DE"/>
    <w:rsid w:val="00266B14"/>
    <w:rsid w:val="00266C1D"/>
    <w:rsid w:val="002677C1"/>
    <w:rsid w:val="00267A65"/>
    <w:rsid w:val="00267AA7"/>
    <w:rsid w:val="00270DBE"/>
    <w:rsid w:val="00272389"/>
    <w:rsid w:val="002724CD"/>
    <w:rsid w:val="002743FC"/>
    <w:rsid w:val="00275E8E"/>
    <w:rsid w:val="0027687B"/>
    <w:rsid w:val="00276968"/>
    <w:rsid w:val="00280571"/>
    <w:rsid w:val="0028094B"/>
    <w:rsid w:val="00281E81"/>
    <w:rsid w:val="00282CA7"/>
    <w:rsid w:val="00282E3F"/>
    <w:rsid w:val="00283641"/>
    <w:rsid w:val="00283668"/>
    <w:rsid w:val="00286005"/>
    <w:rsid w:val="00286087"/>
    <w:rsid w:val="002901B3"/>
    <w:rsid w:val="00291685"/>
    <w:rsid w:val="00292E01"/>
    <w:rsid w:val="002942C8"/>
    <w:rsid w:val="00295C40"/>
    <w:rsid w:val="00296208"/>
    <w:rsid w:val="0029622A"/>
    <w:rsid w:val="0029763D"/>
    <w:rsid w:val="002977E7"/>
    <w:rsid w:val="002A0081"/>
    <w:rsid w:val="002A01AA"/>
    <w:rsid w:val="002A0398"/>
    <w:rsid w:val="002A0C0D"/>
    <w:rsid w:val="002A144C"/>
    <w:rsid w:val="002A15C2"/>
    <w:rsid w:val="002A1A78"/>
    <w:rsid w:val="002A1D87"/>
    <w:rsid w:val="002A287F"/>
    <w:rsid w:val="002A2DC7"/>
    <w:rsid w:val="002A34D1"/>
    <w:rsid w:val="002A3E7C"/>
    <w:rsid w:val="002A3FB6"/>
    <w:rsid w:val="002A5F20"/>
    <w:rsid w:val="002A64BD"/>
    <w:rsid w:val="002A68A2"/>
    <w:rsid w:val="002A691B"/>
    <w:rsid w:val="002A6FE6"/>
    <w:rsid w:val="002A77AE"/>
    <w:rsid w:val="002B18F3"/>
    <w:rsid w:val="002B1EA9"/>
    <w:rsid w:val="002B23DA"/>
    <w:rsid w:val="002B2815"/>
    <w:rsid w:val="002B2FA2"/>
    <w:rsid w:val="002B302C"/>
    <w:rsid w:val="002B55E0"/>
    <w:rsid w:val="002B597E"/>
    <w:rsid w:val="002B5F71"/>
    <w:rsid w:val="002B6211"/>
    <w:rsid w:val="002B68B4"/>
    <w:rsid w:val="002B7090"/>
    <w:rsid w:val="002B7A44"/>
    <w:rsid w:val="002C030E"/>
    <w:rsid w:val="002C26C5"/>
    <w:rsid w:val="002C309C"/>
    <w:rsid w:val="002C30EC"/>
    <w:rsid w:val="002C35B7"/>
    <w:rsid w:val="002C51D1"/>
    <w:rsid w:val="002C6076"/>
    <w:rsid w:val="002C62E0"/>
    <w:rsid w:val="002C6A24"/>
    <w:rsid w:val="002C714E"/>
    <w:rsid w:val="002C758D"/>
    <w:rsid w:val="002D0EB1"/>
    <w:rsid w:val="002D1F6C"/>
    <w:rsid w:val="002D27DB"/>
    <w:rsid w:val="002D3B4A"/>
    <w:rsid w:val="002D3EAF"/>
    <w:rsid w:val="002D3FED"/>
    <w:rsid w:val="002D4052"/>
    <w:rsid w:val="002D4081"/>
    <w:rsid w:val="002D45DF"/>
    <w:rsid w:val="002D4C57"/>
    <w:rsid w:val="002D5CA9"/>
    <w:rsid w:val="002D5CCA"/>
    <w:rsid w:val="002D6378"/>
    <w:rsid w:val="002D6884"/>
    <w:rsid w:val="002D6E65"/>
    <w:rsid w:val="002D7A3B"/>
    <w:rsid w:val="002E0A1A"/>
    <w:rsid w:val="002E0A3D"/>
    <w:rsid w:val="002E15ED"/>
    <w:rsid w:val="002E215D"/>
    <w:rsid w:val="002E2C72"/>
    <w:rsid w:val="002E3F8C"/>
    <w:rsid w:val="002E4079"/>
    <w:rsid w:val="002E4893"/>
    <w:rsid w:val="002E4CC9"/>
    <w:rsid w:val="002E5529"/>
    <w:rsid w:val="002E6580"/>
    <w:rsid w:val="002E77F4"/>
    <w:rsid w:val="002F012D"/>
    <w:rsid w:val="002F0F41"/>
    <w:rsid w:val="002F135F"/>
    <w:rsid w:val="002F3C52"/>
    <w:rsid w:val="002F3D4C"/>
    <w:rsid w:val="002F4CE7"/>
    <w:rsid w:val="002F5C9D"/>
    <w:rsid w:val="002F5DB0"/>
    <w:rsid w:val="002F696B"/>
    <w:rsid w:val="002F6DE5"/>
    <w:rsid w:val="002F78FC"/>
    <w:rsid w:val="0030013D"/>
    <w:rsid w:val="0030091C"/>
    <w:rsid w:val="00301552"/>
    <w:rsid w:val="00301AED"/>
    <w:rsid w:val="00303392"/>
    <w:rsid w:val="003035E8"/>
    <w:rsid w:val="0030362A"/>
    <w:rsid w:val="0030436B"/>
    <w:rsid w:val="00304568"/>
    <w:rsid w:val="00304956"/>
    <w:rsid w:val="00304C95"/>
    <w:rsid w:val="003071BA"/>
    <w:rsid w:val="00307A3B"/>
    <w:rsid w:val="0031065E"/>
    <w:rsid w:val="00310B04"/>
    <w:rsid w:val="00310FBF"/>
    <w:rsid w:val="003124CC"/>
    <w:rsid w:val="00312B75"/>
    <w:rsid w:val="00312C8A"/>
    <w:rsid w:val="00312EFD"/>
    <w:rsid w:val="003139A4"/>
    <w:rsid w:val="003162EB"/>
    <w:rsid w:val="00320243"/>
    <w:rsid w:val="003203A4"/>
    <w:rsid w:val="00320595"/>
    <w:rsid w:val="00320612"/>
    <w:rsid w:val="00320B53"/>
    <w:rsid w:val="00322E5E"/>
    <w:rsid w:val="003233A5"/>
    <w:rsid w:val="0032402B"/>
    <w:rsid w:val="003261E2"/>
    <w:rsid w:val="00326895"/>
    <w:rsid w:val="00326A09"/>
    <w:rsid w:val="00327A75"/>
    <w:rsid w:val="00327B67"/>
    <w:rsid w:val="00330EA4"/>
    <w:rsid w:val="003316BE"/>
    <w:rsid w:val="00332C4B"/>
    <w:rsid w:val="00334B63"/>
    <w:rsid w:val="003350B7"/>
    <w:rsid w:val="003354EE"/>
    <w:rsid w:val="00337727"/>
    <w:rsid w:val="00337C3A"/>
    <w:rsid w:val="00337FCF"/>
    <w:rsid w:val="00340DBF"/>
    <w:rsid w:val="00341D13"/>
    <w:rsid w:val="00342071"/>
    <w:rsid w:val="0034298B"/>
    <w:rsid w:val="00342EAC"/>
    <w:rsid w:val="00345202"/>
    <w:rsid w:val="0034613D"/>
    <w:rsid w:val="0034625C"/>
    <w:rsid w:val="00346823"/>
    <w:rsid w:val="003471FF"/>
    <w:rsid w:val="00347474"/>
    <w:rsid w:val="003476E7"/>
    <w:rsid w:val="00347D3A"/>
    <w:rsid w:val="00347E57"/>
    <w:rsid w:val="00350234"/>
    <w:rsid w:val="003503FE"/>
    <w:rsid w:val="00350D98"/>
    <w:rsid w:val="00351411"/>
    <w:rsid w:val="00352E08"/>
    <w:rsid w:val="003540EA"/>
    <w:rsid w:val="00354183"/>
    <w:rsid w:val="003546CF"/>
    <w:rsid w:val="003549B1"/>
    <w:rsid w:val="00356966"/>
    <w:rsid w:val="00360575"/>
    <w:rsid w:val="00360F49"/>
    <w:rsid w:val="00361155"/>
    <w:rsid w:val="003617ED"/>
    <w:rsid w:val="00361A09"/>
    <w:rsid w:val="00361C67"/>
    <w:rsid w:val="003621E7"/>
    <w:rsid w:val="00363E92"/>
    <w:rsid w:val="00364FFB"/>
    <w:rsid w:val="00365668"/>
    <w:rsid w:val="00365F45"/>
    <w:rsid w:val="00365FD4"/>
    <w:rsid w:val="00366002"/>
    <w:rsid w:val="003661FE"/>
    <w:rsid w:val="003665E0"/>
    <w:rsid w:val="00367964"/>
    <w:rsid w:val="00367C85"/>
    <w:rsid w:val="00367E52"/>
    <w:rsid w:val="003702E1"/>
    <w:rsid w:val="00370B57"/>
    <w:rsid w:val="003713D6"/>
    <w:rsid w:val="0037160D"/>
    <w:rsid w:val="003717C3"/>
    <w:rsid w:val="003725FD"/>
    <w:rsid w:val="00373151"/>
    <w:rsid w:val="003743A3"/>
    <w:rsid w:val="0037505A"/>
    <w:rsid w:val="0037548D"/>
    <w:rsid w:val="00375546"/>
    <w:rsid w:val="00375E8D"/>
    <w:rsid w:val="003760BB"/>
    <w:rsid w:val="00376ABC"/>
    <w:rsid w:val="00376CE0"/>
    <w:rsid w:val="0037748D"/>
    <w:rsid w:val="00377CBB"/>
    <w:rsid w:val="00381553"/>
    <w:rsid w:val="003824CC"/>
    <w:rsid w:val="003825A2"/>
    <w:rsid w:val="00382D72"/>
    <w:rsid w:val="00382FD1"/>
    <w:rsid w:val="00383F10"/>
    <w:rsid w:val="00384D21"/>
    <w:rsid w:val="00384ECB"/>
    <w:rsid w:val="003851FE"/>
    <w:rsid w:val="00385E0E"/>
    <w:rsid w:val="00386368"/>
    <w:rsid w:val="0038714E"/>
    <w:rsid w:val="003879C4"/>
    <w:rsid w:val="0039086A"/>
    <w:rsid w:val="00390F9C"/>
    <w:rsid w:val="0039119A"/>
    <w:rsid w:val="003919E9"/>
    <w:rsid w:val="00392264"/>
    <w:rsid w:val="003945E6"/>
    <w:rsid w:val="00394B37"/>
    <w:rsid w:val="00394F4F"/>
    <w:rsid w:val="003958BD"/>
    <w:rsid w:val="00395E08"/>
    <w:rsid w:val="00397311"/>
    <w:rsid w:val="0039775F"/>
    <w:rsid w:val="00397A29"/>
    <w:rsid w:val="003A1A3D"/>
    <w:rsid w:val="003A44ED"/>
    <w:rsid w:val="003A4B14"/>
    <w:rsid w:val="003A4D34"/>
    <w:rsid w:val="003A4D85"/>
    <w:rsid w:val="003A501D"/>
    <w:rsid w:val="003A58F1"/>
    <w:rsid w:val="003A5AAE"/>
    <w:rsid w:val="003A62F5"/>
    <w:rsid w:val="003A6E38"/>
    <w:rsid w:val="003A70E8"/>
    <w:rsid w:val="003A7F69"/>
    <w:rsid w:val="003B045A"/>
    <w:rsid w:val="003B0981"/>
    <w:rsid w:val="003B2C85"/>
    <w:rsid w:val="003B36E2"/>
    <w:rsid w:val="003B3D68"/>
    <w:rsid w:val="003B3F28"/>
    <w:rsid w:val="003B4BB1"/>
    <w:rsid w:val="003B5313"/>
    <w:rsid w:val="003B5F30"/>
    <w:rsid w:val="003B7CA0"/>
    <w:rsid w:val="003B7D5B"/>
    <w:rsid w:val="003C125E"/>
    <w:rsid w:val="003C22B4"/>
    <w:rsid w:val="003C28D2"/>
    <w:rsid w:val="003C3CAF"/>
    <w:rsid w:val="003C4CA3"/>
    <w:rsid w:val="003C5CE2"/>
    <w:rsid w:val="003C63FF"/>
    <w:rsid w:val="003C6706"/>
    <w:rsid w:val="003C7293"/>
    <w:rsid w:val="003C77FA"/>
    <w:rsid w:val="003C7872"/>
    <w:rsid w:val="003D0048"/>
    <w:rsid w:val="003D10C1"/>
    <w:rsid w:val="003D1128"/>
    <w:rsid w:val="003D16A3"/>
    <w:rsid w:val="003D1A3E"/>
    <w:rsid w:val="003D29B8"/>
    <w:rsid w:val="003D2FEB"/>
    <w:rsid w:val="003D4B8A"/>
    <w:rsid w:val="003D4D2E"/>
    <w:rsid w:val="003D53F8"/>
    <w:rsid w:val="003D62F5"/>
    <w:rsid w:val="003D65AF"/>
    <w:rsid w:val="003D7171"/>
    <w:rsid w:val="003E0088"/>
    <w:rsid w:val="003E0CBE"/>
    <w:rsid w:val="003E1360"/>
    <w:rsid w:val="003E18DB"/>
    <w:rsid w:val="003E1DD4"/>
    <w:rsid w:val="003E1FA5"/>
    <w:rsid w:val="003E3D5F"/>
    <w:rsid w:val="003E3FC0"/>
    <w:rsid w:val="003E42E9"/>
    <w:rsid w:val="003E5758"/>
    <w:rsid w:val="003E5837"/>
    <w:rsid w:val="003E642D"/>
    <w:rsid w:val="003E64E1"/>
    <w:rsid w:val="003E6735"/>
    <w:rsid w:val="003E6ACE"/>
    <w:rsid w:val="003E7137"/>
    <w:rsid w:val="003E77D5"/>
    <w:rsid w:val="003E7FD8"/>
    <w:rsid w:val="003F03D6"/>
    <w:rsid w:val="003F03E6"/>
    <w:rsid w:val="003F097A"/>
    <w:rsid w:val="003F0C3C"/>
    <w:rsid w:val="003F1790"/>
    <w:rsid w:val="003F270D"/>
    <w:rsid w:val="003F2F50"/>
    <w:rsid w:val="003F41C6"/>
    <w:rsid w:val="003F43C4"/>
    <w:rsid w:val="003F4A3F"/>
    <w:rsid w:val="003F5B4C"/>
    <w:rsid w:val="003F6351"/>
    <w:rsid w:val="003F7631"/>
    <w:rsid w:val="003F7C80"/>
    <w:rsid w:val="0040043D"/>
    <w:rsid w:val="00402CD5"/>
    <w:rsid w:val="004032CE"/>
    <w:rsid w:val="004034F9"/>
    <w:rsid w:val="00403648"/>
    <w:rsid w:val="00403860"/>
    <w:rsid w:val="004038DA"/>
    <w:rsid w:val="00404A5A"/>
    <w:rsid w:val="0040522E"/>
    <w:rsid w:val="00405C40"/>
    <w:rsid w:val="00405CB1"/>
    <w:rsid w:val="004060E2"/>
    <w:rsid w:val="00407716"/>
    <w:rsid w:val="00407DCA"/>
    <w:rsid w:val="004107A4"/>
    <w:rsid w:val="00411849"/>
    <w:rsid w:val="00412CDB"/>
    <w:rsid w:val="00412FA0"/>
    <w:rsid w:val="00413046"/>
    <w:rsid w:val="0041475B"/>
    <w:rsid w:val="004160CA"/>
    <w:rsid w:val="004177BB"/>
    <w:rsid w:val="00417F47"/>
    <w:rsid w:val="00420232"/>
    <w:rsid w:val="004205CC"/>
    <w:rsid w:val="004209D9"/>
    <w:rsid w:val="00420D40"/>
    <w:rsid w:val="0042104F"/>
    <w:rsid w:val="004215DE"/>
    <w:rsid w:val="00421E5C"/>
    <w:rsid w:val="004220A7"/>
    <w:rsid w:val="00422AB7"/>
    <w:rsid w:val="0042312D"/>
    <w:rsid w:val="00423F33"/>
    <w:rsid w:val="0042685F"/>
    <w:rsid w:val="00426E25"/>
    <w:rsid w:val="00427118"/>
    <w:rsid w:val="00427389"/>
    <w:rsid w:val="00427BF6"/>
    <w:rsid w:val="00430055"/>
    <w:rsid w:val="00431033"/>
    <w:rsid w:val="00433628"/>
    <w:rsid w:val="00433D50"/>
    <w:rsid w:val="004347DB"/>
    <w:rsid w:val="0043502C"/>
    <w:rsid w:val="00435D98"/>
    <w:rsid w:val="004405A7"/>
    <w:rsid w:val="00440A15"/>
    <w:rsid w:val="00440DD1"/>
    <w:rsid w:val="00441814"/>
    <w:rsid w:val="00444875"/>
    <w:rsid w:val="00444944"/>
    <w:rsid w:val="00444F2D"/>
    <w:rsid w:val="00444FBF"/>
    <w:rsid w:val="00444FEA"/>
    <w:rsid w:val="004455E0"/>
    <w:rsid w:val="0044566F"/>
    <w:rsid w:val="0044590A"/>
    <w:rsid w:val="00445A29"/>
    <w:rsid w:val="00445C68"/>
    <w:rsid w:val="004463FA"/>
    <w:rsid w:val="00451601"/>
    <w:rsid w:val="00451670"/>
    <w:rsid w:val="00452D7C"/>
    <w:rsid w:val="00453A01"/>
    <w:rsid w:val="0045446F"/>
    <w:rsid w:val="00454764"/>
    <w:rsid w:val="0045573F"/>
    <w:rsid w:val="004558C0"/>
    <w:rsid w:val="0045697D"/>
    <w:rsid w:val="00456DC5"/>
    <w:rsid w:val="00457BA2"/>
    <w:rsid w:val="00457D13"/>
    <w:rsid w:val="00460875"/>
    <w:rsid w:val="00460DA2"/>
    <w:rsid w:val="00461271"/>
    <w:rsid w:val="004613CB"/>
    <w:rsid w:val="00461BB3"/>
    <w:rsid w:val="00461FA0"/>
    <w:rsid w:val="004649E8"/>
    <w:rsid w:val="00464E44"/>
    <w:rsid w:val="00466777"/>
    <w:rsid w:val="00466C5E"/>
    <w:rsid w:val="004675EF"/>
    <w:rsid w:val="00467C8F"/>
    <w:rsid w:val="00470A1B"/>
    <w:rsid w:val="004717E6"/>
    <w:rsid w:val="00472A3D"/>
    <w:rsid w:val="0047326D"/>
    <w:rsid w:val="004738E6"/>
    <w:rsid w:val="00473C16"/>
    <w:rsid w:val="00474050"/>
    <w:rsid w:val="004748DF"/>
    <w:rsid w:val="004751E7"/>
    <w:rsid w:val="00475421"/>
    <w:rsid w:val="004757C0"/>
    <w:rsid w:val="00476473"/>
    <w:rsid w:val="00476625"/>
    <w:rsid w:val="00476E54"/>
    <w:rsid w:val="004771AF"/>
    <w:rsid w:val="004805FB"/>
    <w:rsid w:val="00480707"/>
    <w:rsid w:val="00481023"/>
    <w:rsid w:val="0048103F"/>
    <w:rsid w:val="00481C0C"/>
    <w:rsid w:val="00481C7F"/>
    <w:rsid w:val="00483609"/>
    <w:rsid w:val="004879B0"/>
    <w:rsid w:val="00490DF0"/>
    <w:rsid w:val="00491E86"/>
    <w:rsid w:val="0049360B"/>
    <w:rsid w:val="00493983"/>
    <w:rsid w:val="00494183"/>
    <w:rsid w:val="004942E2"/>
    <w:rsid w:val="00495024"/>
    <w:rsid w:val="0049512B"/>
    <w:rsid w:val="00495A8F"/>
    <w:rsid w:val="00495EE7"/>
    <w:rsid w:val="004A160E"/>
    <w:rsid w:val="004A2614"/>
    <w:rsid w:val="004A305B"/>
    <w:rsid w:val="004A3C36"/>
    <w:rsid w:val="004A44F9"/>
    <w:rsid w:val="004A4AF6"/>
    <w:rsid w:val="004A4E63"/>
    <w:rsid w:val="004A566C"/>
    <w:rsid w:val="004A6544"/>
    <w:rsid w:val="004A6DEF"/>
    <w:rsid w:val="004A7269"/>
    <w:rsid w:val="004A764A"/>
    <w:rsid w:val="004A7D76"/>
    <w:rsid w:val="004A7EB2"/>
    <w:rsid w:val="004B003B"/>
    <w:rsid w:val="004B0CAF"/>
    <w:rsid w:val="004B1BB4"/>
    <w:rsid w:val="004B2ECC"/>
    <w:rsid w:val="004B349C"/>
    <w:rsid w:val="004B478C"/>
    <w:rsid w:val="004B6919"/>
    <w:rsid w:val="004C02C5"/>
    <w:rsid w:val="004C05A3"/>
    <w:rsid w:val="004C0661"/>
    <w:rsid w:val="004C0BF6"/>
    <w:rsid w:val="004C1786"/>
    <w:rsid w:val="004C19ED"/>
    <w:rsid w:val="004C2D4C"/>
    <w:rsid w:val="004C3FFD"/>
    <w:rsid w:val="004C4152"/>
    <w:rsid w:val="004C427D"/>
    <w:rsid w:val="004C43D4"/>
    <w:rsid w:val="004C512B"/>
    <w:rsid w:val="004C6568"/>
    <w:rsid w:val="004C6B05"/>
    <w:rsid w:val="004C7139"/>
    <w:rsid w:val="004C7240"/>
    <w:rsid w:val="004C7F81"/>
    <w:rsid w:val="004D0303"/>
    <w:rsid w:val="004D06CF"/>
    <w:rsid w:val="004D2893"/>
    <w:rsid w:val="004D3DC2"/>
    <w:rsid w:val="004D410E"/>
    <w:rsid w:val="004D4BB7"/>
    <w:rsid w:val="004D4C0A"/>
    <w:rsid w:val="004D4E06"/>
    <w:rsid w:val="004D58E6"/>
    <w:rsid w:val="004D608D"/>
    <w:rsid w:val="004D7889"/>
    <w:rsid w:val="004E0C0B"/>
    <w:rsid w:val="004E1725"/>
    <w:rsid w:val="004E3116"/>
    <w:rsid w:val="004E31F5"/>
    <w:rsid w:val="004E3619"/>
    <w:rsid w:val="004E376B"/>
    <w:rsid w:val="004E3CDE"/>
    <w:rsid w:val="004E3E9E"/>
    <w:rsid w:val="004E477E"/>
    <w:rsid w:val="004E47CE"/>
    <w:rsid w:val="004E7BEF"/>
    <w:rsid w:val="004F03DE"/>
    <w:rsid w:val="004F109D"/>
    <w:rsid w:val="004F2E08"/>
    <w:rsid w:val="004F3582"/>
    <w:rsid w:val="004F36A1"/>
    <w:rsid w:val="004F4EB7"/>
    <w:rsid w:val="004F5037"/>
    <w:rsid w:val="004F58B6"/>
    <w:rsid w:val="004F6166"/>
    <w:rsid w:val="004F6D43"/>
    <w:rsid w:val="004F7AFB"/>
    <w:rsid w:val="004F7F83"/>
    <w:rsid w:val="00501404"/>
    <w:rsid w:val="00501517"/>
    <w:rsid w:val="005029DA"/>
    <w:rsid w:val="005043D8"/>
    <w:rsid w:val="0050689B"/>
    <w:rsid w:val="005069C5"/>
    <w:rsid w:val="005070D6"/>
    <w:rsid w:val="005072F9"/>
    <w:rsid w:val="00507859"/>
    <w:rsid w:val="00507FED"/>
    <w:rsid w:val="00510229"/>
    <w:rsid w:val="00511286"/>
    <w:rsid w:val="00511534"/>
    <w:rsid w:val="005118A7"/>
    <w:rsid w:val="0051381F"/>
    <w:rsid w:val="00513B7F"/>
    <w:rsid w:val="0051674E"/>
    <w:rsid w:val="00516EC0"/>
    <w:rsid w:val="005173CD"/>
    <w:rsid w:val="005222CB"/>
    <w:rsid w:val="005229BA"/>
    <w:rsid w:val="00523CDE"/>
    <w:rsid w:val="00523F54"/>
    <w:rsid w:val="0052486F"/>
    <w:rsid w:val="005254C3"/>
    <w:rsid w:val="005261D5"/>
    <w:rsid w:val="00526CB0"/>
    <w:rsid w:val="00526D36"/>
    <w:rsid w:val="0052772E"/>
    <w:rsid w:val="00527C84"/>
    <w:rsid w:val="0053016B"/>
    <w:rsid w:val="00530C01"/>
    <w:rsid w:val="00530EE1"/>
    <w:rsid w:val="0053122C"/>
    <w:rsid w:val="00531550"/>
    <w:rsid w:val="00531DE3"/>
    <w:rsid w:val="005323F4"/>
    <w:rsid w:val="005324FB"/>
    <w:rsid w:val="0053256D"/>
    <w:rsid w:val="00532CB4"/>
    <w:rsid w:val="00533802"/>
    <w:rsid w:val="00533A2B"/>
    <w:rsid w:val="00533AD3"/>
    <w:rsid w:val="00535C23"/>
    <w:rsid w:val="00535EC1"/>
    <w:rsid w:val="00535F15"/>
    <w:rsid w:val="0053724C"/>
    <w:rsid w:val="005377D6"/>
    <w:rsid w:val="0053789C"/>
    <w:rsid w:val="005405EF"/>
    <w:rsid w:val="00540A1C"/>
    <w:rsid w:val="00540D00"/>
    <w:rsid w:val="005418AC"/>
    <w:rsid w:val="00543147"/>
    <w:rsid w:val="005445A9"/>
    <w:rsid w:val="00546683"/>
    <w:rsid w:val="00546BD8"/>
    <w:rsid w:val="0055298B"/>
    <w:rsid w:val="00554BB2"/>
    <w:rsid w:val="0055552A"/>
    <w:rsid w:val="005559B0"/>
    <w:rsid w:val="005561E4"/>
    <w:rsid w:val="00556A2E"/>
    <w:rsid w:val="005575D9"/>
    <w:rsid w:val="005601A0"/>
    <w:rsid w:val="00561822"/>
    <w:rsid w:val="00561E64"/>
    <w:rsid w:val="00562F72"/>
    <w:rsid w:val="00563059"/>
    <w:rsid w:val="0056314F"/>
    <w:rsid w:val="005636B2"/>
    <w:rsid w:val="0056385D"/>
    <w:rsid w:val="00563A5E"/>
    <w:rsid w:val="00564F6A"/>
    <w:rsid w:val="00565347"/>
    <w:rsid w:val="00565794"/>
    <w:rsid w:val="00565D56"/>
    <w:rsid w:val="00566255"/>
    <w:rsid w:val="00566672"/>
    <w:rsid w:val="00566B3E"/>
    <w:rsid w:val="00567543"/>
    <w:rsid w:val="00567C00"/>
    <w:rsid w:val="005702CB"/>
    <w:rsid w:val="005713B5"/>
    <w:rsid w:val="00571458"/>
    <w:rsid w:val="00571548"/>
    <w:rsid w:val="00571781"/>
    <w:rsid w:val="00571BBD"/>
    <w:rsid w:val="00572AAE"/>
    <w:rsid w:val="00573D9D"/>
    <w:rsid w:val="00574420"/>
    <w:rsid w:val="00574752"/>
    <w:rsid w:val="00574838"/>
    <w:rsid w:val="005809E2"/>
    <w:rsid w:val="005820D0"/>
    <w:rsid w:val="00583B8F"/>
    <w:rsid w:val="005844A5"/>
    <w:rsid w:val="0058464C"/>
    <w:rsid w:val="00585209"/>
    <w:rsid w:val="0058539E"/>
    <w:rsid w:val="00587556"/>
    <w:rsid w:val="005875A9"/>
    <w:rsid w:val="00587734"/>
    <w:rsid w:val="00590135"/>
    <w:rsid w:val="00590AF8"/>
    <w:rsid w:val="00592D0D"/>
    <w:rsid w:val="0059355F"/>
    <w:rsid w:val="00593A0F"/>
    <w:rsid w:val="00593E7B"/>
    <w:rsid w:val="00593F62"/>
    <w:rsid w:val="005942B8"/>
    <w:rsid w:val="005946A1"/>
    <w:rsid w:val="005955E8"/>
    <w:rsid w:val="00595B5B"/>
    <w:rsid w:val="00596552"/>
    <w:rsid w:val="005973F1"/>
    <w:rsid w:val="00597BD5"/>
    <w:rsid w:val="005A18D1"/>
    <w:rsid w:val="005A195B"/>
    <w:rsid w:val="005A1D4E"/>
    <w:rsid w:val="005A28E2"/>
    <w:rsid w:val="005A2EDF"/>
    <w:rsid w:val="005A2FB6"/>
    <w:rsid w:val="005A30E8"/>
    <w:rsid w:val="005A3641"/>
    <w:rsid w:val="005A38FE"/>
    <w:rsid w:val="005A44FB"/>
    <w:rsid w:val="005A5911"/>
    <w:rsid w:val="005A7084"/>
    <w:rsid w:val="005B0070"/>
    <w:rsid w:val="005B063F"/>
    <w:rsid w:val="005B0E62"/>
    <w:rsid w:val="005B2086"/>
    <w:rsid w:val="005B3201"/>
    <w:rsid w:val="005B336E"/>
    <w:rsid w:val="005B38F6"/>
    <w:rsid w:val="005B53B5"/>
    <w:rsid w:val="005B5DBA"/>
    <w:rsid w:val="005B5DEE"/>
    <w:rsid w:val="005B635E"/>
    <w:rsid w:val="005B69C0"/>
    <w:rsid w:val="005B6FF1"/>
    <w:rsid w:val="005B7F1A"/>
    <w:rsid w:val="005B7FD0"/>
    <w:rsid w:val="005C13D6"/>
    <w:rsid w:val="005C26FA"/>
    <w:rsid w:val="005C2C78"/>
    <w:rsid w:val="005C2CA9"/>
    <w:rsid w:val="005C3221"/>
    <w:rsid w:val="005C32D3"/>
    <w:rsid w:val="005C34B4"/>
    <w:rsid w:val="005C34F5"/>
    <w:rsid w:val="005C45F2"/>
    <w:rsid w:val="005C5C1E"/>
    <w:rsid w:val="005C6A43"/>
    <w:rsid w:val="005C6BF7"/>
    <w:rsid w:val="005C7843"/>
    <w:rsid w:val="005C7D0E"/>
    <w:rsid w:val="005C7E4A"/>
    <w:rsid w:val="005D1035"/>
    <w:rsid w:val="005D124C"/>
    <w:rsid w:val="005D1E8D"/>
    <w:rsid w:val="005D20C6"/>
    <w:rsid w:val="005D281F"/>
    <w:rsid w:val="005D2AAD"/>
    <w:rsid w:val="005D54A2"/>
    <w:rsid w:val="005D54F8"/>
    <w:rsid w:val="005D5D73"/>
    <w:rsid w:val="005D630F"/>
    <w:rsid w:val="005D6B09"/>
    <w:rsid w:val="005D6E9A"/>
    <w:rsid w:val="005D7222"/>
    <w:rsid w:val="005D762C"/>
    <w:rsid w:val="005E0CB9"/>
    <w:rsid w:val="005E29E0"/>
    <w:rsid w:val="005E4904"/>
    <w:rsid w:val="005E5B15"/>
    <w:rsid w:val="005E6370"/>
    <w:rsid w:val="005E6C42"/>
    <w:rsid w:val="005E6F36"/>
    <w:rsid w:val="005E710B"/>
    <w:rsid w:val="005E7218"/>
    <w:rsid w:val="005E7317"/>
    <w:rsid w:val="005E7738"/>
    <w:rsid w:val="005E777D"/>
    <w:rsid w:val="005F0D16"/>
    <w:rsid w:val="005F13BC"/>
    <w:rsid w:val="005F1908"/>
    <w:rsid w:val="005F1AAA"/>
    <w:rsid w:val="005F2006"/>
    <w:rsid w:val="005F523A"/>
    <w:rsid w:val="005F5AE4"/>
    <w:rsid w:val="005F64A0"/>
    <w:rsid w:val="005F661E"/>
    <w:rsid w:val="005F73D8"/>
    <w:rsid w:val="005F7C8C"/>
    <w:rsid w:val="00600326"/>
    <w:rsid w:val="00600824"/>
    <w:rsid w:val="0060155D"/>
    <w:rsid w:val="006019B3"/>
    <w:rsid w:val="00601BDC"/>
    <w:rsid w:val="006035BD"/>
    <w:rsid w:val="006059B7"/>
    <w:rsid w:val="006064DA"/>
    <w:rsid w:val="006067DD"/>
    <w:rsid w:val="00606FE8"/>
    <w:rsid w:val="006074F1"/>
    <w:rsid w:val="006075B7"/>
    <w:rsid w:val="006078E9"/>
    <w:rsid w:val="0061070A"/>
    <w:rsid w:val="00610E9D"/>
    <w:rsid w:val="006112D4"/>
    <w:rsid w:val="0061173F"/>
    <w:rsid w:val="00611C20"/>
    <w:rsid w:val="00611DA1"/>
    <w:rsid w:val="0061217D"/>
    <w:rsid w:val="00612231"/>
    <w:rsid w:val="00612374"/>
    <w:rsid w:val="00612815"/>
    <w:rsid w:val="006136B4"/>
    <w:rsid w:val="00615379"/>
    <w:rsid w:val="006166D3"/>
    <w:rsid w:val="0061695B"/>
    <w:rsid w:val="006170A7"/>
    <w:rsid w:val="00617D08"/>
    <w:rsid w:val="00620500"/>
    <w:rsid w:val="00620C37"/>
    <w:rsid w:val="006225BC"/>
    <w:rsid w:val="0062271C"/>
    <w:rsid w:val="00622AB6"/>
    <w:rsid w:val="0062404A"/>
    <w:rsid w:val="00624236"/>
    <w:rsid w:val="00624E5F"/>
    <w:rsid w:val="00624E70"/>
    <w:rsid w:val="00625602"/>
    <w:rsid w:val="00625F5F"/>
    <w:rsid w:val="006274C7"/>
    <w:rsid w:val="006278B6"/>
    <w:rsid w:val="00630869"/>
    <w:rsid w:val="00630BA3"/>
    <w:rsid w:val="00630FB6"/>
    <w:rsid w:val="00632AB6"/>
    <w:rsid w:val="006340B0"/>
    <w:rsid w:val="0063501D"/>
    <w:rsid w:val="00635C7B"/>
    <w:rsid w:val="00636868"/>
    <w:rsid w:val="00637DA4"/>
    <w:rsid w:val="00640832"/>
    <w:rsid w:val="00640A6A"/>
    <w:rsid w:val="00643602"/>
    <w:rsid w:val="00643C9F"/>
    <w:rsid w:val="006445B4"/>
    <w:rsid w:val="006454C4"/>
    <w:rsid w:val="00645A96"/>
    <w:rsid w:val="00645D5E"/>
    <w:rsid w:val="006464EB"/>
    <w:rsid w:val="0064734F"/>
    <w:rsid w:val="0064788B"/>
    <w:rsid w:val="00650011"/>
    <w:rsid w:val="00650C5F"/>
    <w:rsid w:val="00651FD1"/>
    <w:rsid w:val="006521FB"/>
    <w:rsid w:val="006522BB"/>
    <w:rsid w:val="00652F23"/>
    <w:rsid w:val="0065304D"/>
    <w:rsid w:val="0065345B"/>
    <w:rsid w:val="00653557"/>
    <w:rsid w:val="00654350"/>
    <w:rsid w:val="0066001B"/>
    <w:rsid w:val="006602F6"/>
    <w:rsid w:val="006605F5"/>
    <w:rsid w:val="00661041"/>
    <w:rsid w:val="0066130E"/>
    <w:rsid w:val="00661598"/>
    <w:rsid w:val="00661AFB"/>
    <w:rsid w:val="00661C84"/>
    <w:rsid w:val="00662B73"/>
    <w:rsid w:val="006630FE"/>
    <w:rsid w:val="00663A25"/>
    <w:rsid w:val="00663C0A"/>
    <w:rsid w:val="00663C7B"/>
    <w:rsid w:val="0066409E"/>
    <w:rsid w:val="00664410"/>
    <w:rsid w:val="00664DB3"/>
    <w:rsid w:val="00666661"/>
    <w:rsid w:val="006709E1"/>
    <w:rsid w:val="00671AD8"/>
    <w:rsid w:val="00674271"/>
    <w:rsid w:val="0067478D"/>
    <w:rsid w:val="00674CA3"/>
    <w:rsid w:val="006751F8"/>
    <w:rsid w:val="00675AB7"/>
    <w:rsid w:val="00675E75"/>
    <w:rsid w:val="006761D0"/>
    <w:rsid w:val="00676382"/>
    <w:rsid w:val="006774B4"/>
    <w:rsid w:val="00680592"/>
    <w:rsid w:val="00680605"/>
    <w:rsid w:val="00680E84"/>
    <w:rsid w:val="0068138E"/>
    <w:rsid w:val="0068184D"/>
    <w:rsid w:val="00681CB7"/>
    <w:rsid w:val="0068260E"/>
    <w:rsid w:val="00682817"/>
    <w:rsid w:val="00682A53"/>
    <w:rsid w:val="00683099"/>
    <w:rsid w:val="00683564"/>
    <w:rsid w:val="00684552"/>
    <w:rsid w:val="00684E16"/>
    <w:rsid w:val="006865AB"/>
    <w:rsid w:val="006867F8"/>
    <w:rsid w:val="0068792D"/>
    <w:rsid w:val="00687CD4"/>
    <w:rsid w:val="00690390"/>
    <w:rsid w:val="00690942"/>
    <w:rsid w:val="0069136E"/>
    <w:rsid w:val="00691971"/>
    <w:rsid w:val="00691BC8"/>
    <w:rsid w:val="006928A2"/>
    <w:rsid w:val="00692FA9"/>
    <w:rsid w:val="00694BBA"/>
    <w:rsid w:val="00694D49"/>
    <w:rsid w:val="00695327"/>
    <w:rsid w:val="00695E9D"/>
    <w:rsid w:val="00696D3B"/>
    <w:rsid w:val="006971FF"/>
    <w:rsid w:val="00697623"/>
    <w:rsid w:val="0069765D"/>
    <w:rsid w:val="00697B9A"/>
    <w:rsid w:val="006A1A33"/>
    <w:rsid w:val="006A21DC"/>
    <w:rsid w:val="006A24AE"/>
    <w:rsid w:val="006A343B"/>
    <w:rsid w:val="006A48AF"/>
    <w:rsid w:val="006A586C"/>
    <w:rsid w:val="006A59CB"/>
    <w:rsid w:val="006A6B7A"/>
    <w:rsid w:val="006B06C1"/>
    <w:rsid w:val="006B1048"/>
    <w:rsid w:val="006B1CB0"/>
    <w:rsid w:val="006B27C1"/>
    <w:rsid w:val="006B2B86"/>
    <w:rsid w:val="006B4B0F"/>
    <w:rsid w:val="006B563A"/>
    <w:rsid w:val="006B59E5"/>
    <w:rsid w:val="006B5A45"/>
    <w:rsid w:val="006B5A80"/>
    <w:rsid w:val="006B5D23"/>
    <w:rsid w:val="006B636B"/>
    <w:rsid w:val="006B6D15"/>
    <w:rsid w:val="006B74F9"/>
    <w:rsid w:val="006B7579"/>
    <w:rsid w:val="006B772D"/>
    <w:rsid w:val="006C0093"/>
    <w:rsid w:val="006C03C5"/>
    <w:rsid w:val="006C14DD"/>
    <w:rsid w:val="006C17BF"/>
    <w:rsid w:val="006C251E"/>
    <w:rsid w:val="006C2964"/>
    <w:rsid w:val="006C2FD8"/>
    <w:rsid w:val="006C3D96"/>
    <w:rsid w:val="006C4A69"/>
    <w:rsid w:val="006C5305"/>
    <w:rsid w:val="006C5748"/>
    <w:rsid w:val="006C5D7C"/>
    <w:rsid w:val="006C5E9F"/>
    <w:rsid w:val="006C6414"/>
    <w:rsid w:val="006C7756"/>
    <w:rsid w:val="006C77E2"/>
    <w:rsid w:val="006C7B44"/>
    <w:rsid w:val="006D0E17"/>
    <w:rsid w:val="006D1646"/>
    <w:rsid w:val="006D2109"/>
    <w:rsid w:val="006D21EB"/>
    <w:rsid w:val="006D3A8F"/>
    <w:rsid w:val="006D3B74"/>
    <w:rsid w:val="006D3E0B"/>
    <w:rsid w:val="006D4066"/>
    <w:rsid w:val="006D4C42"/>
    <w:rsid w:val="006D60F0"/>
    <w:rsid w:val="006D6FB9"/>
    <w:rsid w:val="006D7722"/>
    <w:rsid w:val="006D7D9C"/>
    <w:rsid w:val="006E136C"/>
    <w:rsid w:val="006E2549"/>
    <w:rsid w:val="006E2D69"/>
    <w:rsid w:val="006E3329"/>
    <w:rsid w:val="006E3820"/>
    <w:rsid w:val="006E3A0F"/>
    <w:rsid w:val="006E3C47"/>
    <w:rsid w:val="006E47A6"/>
    <w:rsid w:val="006E559A"/>
    <w:rsid w:val="006E63B5"/>
    <w:rsid w:val="006E79C9"/>
    <w:rsid w:val="006E7A12"/>
    <w:rsid w:val="006E7DAF"/>
    <w:rsid w:val="006F1C55"/>
    <w:rsid w:val="006F222E"/>
    <w:rsid w:val="006F2B4C"/>
    <w:rsid w:val="006F374F"/>
    <w:rsid w:val="006F3D25"/>
    <w:rsid w:val="006F47D0"/>
    <w:rsid w:val="006F4879"/>
    <w:rsid w:val="006F5529"/>
    <w:rsid w:val="006F6D62"/>
    <w:rsid w:val="0070035E"/>
    <w:rsid w:val="00700934"/>
    <w:rsid w:val="007031A4"/>
    <w:rsid w:val="00703563"/>
    <w:rsid w:val="007038F6"/>
    <w:rsid w:val="00703BEC"/>
    <w:rsid w:val="00705B79"/>
    <w:rsid w:val="00705D88"/>
    <w:rsid w:val="00707CC5"/>
    <w:rsid w:val="0071021B"/>
    <w:rsid w:val="00710D16"/>
    <w:rsid w:val="007110A9"/>
    <w:rsid w:val="007110AC"/>
    <w:rsid w:val="007130CC"/>
    <w:rsid w:val="00713E3F"/>
    <w:rsid w:val="007147DF"/>
    <w:rsid w:val="0071574E"/>
    <w:rsid w:val="007162EA"/>
    <w:rsid w:val="00716AD7"/>
    <w:rsid w:val="007174A6"/>
    <w:rsid w:val="00720261"/>
    <w:rsid w:val="0072086D"/>
    <w:rsid w:val="007212CA"/>
    <w:rsid w:val="007217ED"/>
    <w:rsid w:val="00721FE4"/>
    <w:rsid w:val="00722C55"/>
    <w:rsid w:val="00723D06"/>
    <w:rsid w:val="007242AD"/>
    <w:rsid w:val="0072501D"/>
    <w:rsid w:val="00725C1D"/>
    <w:rsid w:val="00725C62"/>
    <w:rsid w:val="00726533"/>
    <w:rsid w:val="00726B80"/>
    <w:rsid w:val="007275E0"/>
    <w:rsid w:val="007302C4"/>
    <w:rsid w:val="0073089A"/>
    <w:rsid w:val="007308FA"/>
    <w:rsid w:val="00730BF4"/>
    <w:rsid w:val="00731570"/>
    <w:rsid w:val="00733278"/>
    <w:rsid w:val="0073352C"/>
    <w:rsid w:val="00733CA4"/>
    <w:rsid w:val="0073463C"/>
    <w:rsid w:val="007349CB"/>
    <w:rsid w:val="00734DE8"/>
    <w:rsid w:val="0073679C"/>
    <w:rsid w:val="007370BF"/>
    <w:rsid w:val="00737531"/>
    <w:rsid w:val="00740BDE"/>
    <w:rsid w:val="00741503"/>
    <w:rsid w:val="00741DC8"/>
    <w:rsid w:val="0074275D"/>
    <w:rsid w:val="0074289D"/>
    <w:rsid w:val="007429CA"/>
    <w:rsid w:val="0074336A"/>
    <w:rsid w:val="00743567"/>
    <w:rsid w:val="00743D51"/>
    <w:rsid w:val="00744BAE"/>
    <w:rsid w:val="00744EC5"/>
    <w:rsid w:val="007453E5"/>
    <w:rsid w:val="00745E1A"/>
    <w:rsid w:val="00746DA9"/>
    <w:rsid w:val="00746E0D"/>
    <w:rsid w:val="007508B9"/>
    <w:rsid w:val="007511A4"/>
    <w:rsid w:val="0075139B"/>
    <w:rsid w:val="007517D3"/>
    <w:rsid w:val="00751FE1"/>
    <w:rsid w:val="007531E4"/>
    <w:rsid w:val="0075320D"/>
    <w:rsid w:val="0075345D"/>
    <w:rsid w:val="00753CBF"/>
    <w:rsid w:val="00754063"/>
    <w:rsid w:val="00754264"/>
    <w:rsid w:val="007548A2"/>
    <w:rsid w:val="007553D7"/>
    <w:rsid w:val="0075634C"/>
    <w:rsid w:val="0075689D"/>
    <w:rsid w:val="00756942"/>
    <w:rsid w:val="0076017E"/>
    <w:rsid w:val="00760405"/>
    <w:rsid w:val="0076119E"/>
    <w:rsid w:val="0076174C"/>
    <w:rsid w:val="00761D88"/>
    <w:rsid w:val="00762AA9"/>
    <w:rsid w:val="00762D5A"/>
    <w:rsid w:val="00763D0F"/>
    <w:rsid w:val="007645CC"/>
    <w:rsid w:val="00765159"/>
    <w:rsid w:val="00765DD0"/>
    <w:rsid w:val="00767759"/>
    <w:rsid w:val="007677EF"/>
    <w:rsid w:val="007679E9"/>
    <w:rsid w:val="00767A5A"/>
    <w:rsid w:val="00770B8B"/>
    <w:rsid w:val="00770BE6"/>
    <w:rsid w:val="00771CF1"/>
    <w:rsid w:val="0077240A"/>
    <w:rsid w:val="00772CAC"/>
    <w:rsid w:val="00772F59"/>
    <w:rsid w:val="0077323F"/>
    <w:rsid w:val="00773797"/>
    <w:rsid w:val="00776539"/>
    <w:rsid w:val="00777476"/>
    <w:rsid w:val="00777E03"/>
    <w:rsid w:val="00782672"/>
    <w:rsid w:val="007843B8"/>
    <w:rsid w:val="00784CED"/>
    <w:rsid w:val="00784F49"/>
    <w:rsid w:val="0078601D"/>
    <w:rsid w:val="00786EDD"/>
    <w:rsid w:val="00790F8B"/>
    <w:rsid w:val="00791F58"/>
    <w:rsid w:val="007928F6"/>
    <w:rsid w:val="00792BE0"/>
    <w:rsid w:val="00792D75"/>
    <w:rsid w:val="007934EC"/>
    <w:rsid w:val="00793582"/>
    <w:rsid w:val="0079391D"/>
    <w:rsid w:val="00794A80"/>
    <w:rsid w:val="00794BFF"/>
    <w:rsid w:val="00794CD1"/>
    <w:rsid w:val="00794D24"/>
    <w:rsid w:val="00795A8A"/>
    <w:rsid w:val="00796D1E"/>
    <w:rsid w:val="0079720E"/>
    <w:rsid w:val="007A0CBE"/>
    <w:rsid w:val="007A213B"/>
    <w:rsid w:val="007A2A86"/>
    <w:rsid w:val="007A33D6"/>
    <w:rsid w:val="007A4021"/>
    <w:rsid w:val="007A4361"/>
    <w:rsid w:val="007A47CD"/>
    <w:rsid w:val="007A4BCF"/>
    <w:rsid w:val="007A5C53"/>
    <w:rsid w:val="007A5E3A"/>
    <w:rsid w:val="007A65BB"/>
    <w:rsid w:val="007A6CC1"/>
    <w:rsid w:val="007A7B85"/>
    <w:rsid w:val="007A7C76"/>
    <w:rsid w:val="007B07A0"/>
    <w:rsid w:val="007B0CED"/>
    <w:rsid w:val="007B1959"/>
    <w:rsid w:val="007B1BF8"/>
    <w:rsid w:val="007B2684"/>
    <w:rsid w:val="007B2EAC"/>
    <w:rsid w:val="007B396D"/>
    <w:rsid w:val="007B3CB3"/>
    <w:rsid w:val="007B3D53"/>
    <w:rsid w:val="007B4878"/>
    <w:rsid w:val="007B4FAD"/>
    <w:rsid w:val="007B55AE"/>
    <w:rsid w:val="007B5AEB"/>
    <w:rsid w:val="007B751D"/>
    <w:rsid w:val="007B754E"/>
    <w:rsid w:val="007B7C5F"/>
    <w:rsid w:val="007C0E63"/>
    <w:rsid w:val="007C1BE0"/>
    <w:rsid w:val="007C22DC"/>
    <w:rsid w:val="007C39B4"/>
    <w:rsid w:val="007C42E3"/>
    <w:rsid w:val="007C5658"/>
    <w:rsid w:val="007C6EE3"/>
    <w:rsid w:val="007C70F8"/>
    <w:rsid w:val="007C77FE"/>
    <w:rsid w:val="007D2278"/>
    <w:rsid w:val="007D2B28"/>
    <w:rsid w:val="007D476F"/>
    <w:rsid w:val="007D53D4"/>
    <w:rsid w:val="007D71D6"/>
    <w:rsid w:val="007D7E48"/>
    <w:rsid w:val="007E0E94"/>
    <w:rsid w:val="007E0F8C"/>
    <w:rsid w:val="007E1CFB"/>
    <w:rsid w:val="007E26E9"/>
    <w:rsid w:val="007E2FAA"/>
    <w:rsid w:val="007E362A"/>
    <w:rsid w:val="007E528C"/>
    <w:rsid w:val="007E5332"/>
    <w:rsid w:val="007E6393"/>
    <w:rsid w:val="007E6E2C"/>
    <w:rsid w:val="007F038A"/>
    <w:rsid w:val="007F1024"/>
    <w:rsid w:val="007F152E"/>
    <w:rsid w:val="007F2FC7"/>
    <w:rsid w:val="007F3E41"/>
    <w:rsid w:val="007F4824"/>
    <w:rsid w:val="007F54F9"/>
    <w:rsid w:val="007F5987"/>
    <w:rsid w:val="007F677E"/>
    <w:rsid w:val="007F6F6E"/>
    <w:rsid w:val="007F7997"/>
    <w:rsid w:val="008006A5"/>
    <w:rsid w:val="00800824"/>
    <w:rsid w:val="00801054"/>
    <w:rsid w:val="0080150D"/>
    <w:rsid w:val="008015BF"/>
    <w:rsid w:val="008020C3"/>
    <w:rsid w:val="00802D54"/>
    <w:rsid w:val="00802DF4"/>
    <w:rsid w:val="00803683"/>
    <w:rsid w:val="00803C24"/>
    <w:rsid w:val="00804CF8"/>
    <w:rsid w:val="008052CB"/>
    <w:rsid w:val="00805CE5"/>
    <w:rsid w:val="008070AF"/>
    <w:rsid w:val="00810BC3"/>
    <w:rsid w:val="008111ED"/>
    <w:rsid w:val="008117B4"/>
    <w:rsid w:val="00811C1A"/>
    <w:rsid w:val="00812104"/>
    <w:rsid w:val="0081242F"/>
    <w:rsid w:val="0081289B"/>
    <w:rsid w:val="008136BA"/>
    <w:rsid w:val="00813CED"/>
    <w:rsid w:val="0081551D"/>
    <w:rsid w:val="0081562C"/>
    <w:rsid w:val="00815B61"/>
    <w:rsid w:val="0081677D"/>
    <w:rsid w:val="00816C92"/>
    <w:rsid w:val="00817884"/>
    <w:rsid w:val="00817E69"/>
    <w:rsid w:val="00820DFB"/>
    <w:rsid w:val="0082113D"/>
    <w:rsid w:val="008217A7"/>
    <w:rsid w:val="00821862"/>
    <w:rsid w:val="0082222E"/>
    <w:rsid w:val="00822692"/>
    <w:rsid w:val="00824F27"/>
    <w:rsid w:val="00826B16"/>
    <w:rsid w:val="008272E7"/>
    <w:rsid w:val="00827AB2"/>
    <w:rsid w:val="008302E8"/>
    <w:rsid w:val="00830698"/>
    <w:rsid w:val="0083167E"/>
    <w:rsid w:val="00832121"/>
    <w:rsid w:val="0083212F"/>
    <w:rsid w:val="00832BCA"/>
    <w:rsid w:val="00832CCD"/>
    <w:rsid w:val="0083311E"/>
    <w:rsid w:val="00833CEC"/>
    <w:rsid w:val="008358E6"/>
    <w:rsid w:val="00836087"/>
    <w:rsid w:val="008360C7"/>
    <w:rsid w:val="00836675"/>
    <w:rsid w:val="00836FE9"/>
    <w:rsid w:val="00837BBB"/>
    <w:rsid w:val="00843EEA"/>
    <w:rsid w:val="00843F2B"/>
    <w:rsid w:val="00844453"/>
    <w:rsid w:val="00844A6E"/>
    <w:rsid w:val="00844A79"/>
    <w:rsid w:val="00847AF8"/>
    <w:rsid w:val="00850182"/>
    <w:rsid w:val="00851A89"/>
    <w:rsid w:val="00852330"/>
    <w:rsid w:val="00852693"/>
    <w:rsid w:val="0085360B"/>
    <w:rsid w:val="00854976"/>
    <w:rsid w:val="008551B5"/>
    <w:rsid w:val="00855419"/>
    <w:rsid w:val="00856490"/>
    <w:rsid w:val="00857215"/>
    <w:rsid w:val="00861855"/>
    <w:rsid w:val="00862468"/>
    <w:rsid w:val="008628FF"/>
    <w:rsid w:val="00862C4C"/>
    <w:rsid w:val="00862C94"/>
    <w:rsid w:val="00862EA2"/>
    <w:rsid w:val="00862F7C"/>
    <w:rsid w:val="0086331C"/>
    <w:rsid w:val="00863F5B"/>
    <w:rsid w:val="00864DFE"/>
    <w:rsid w:val="00865CBC"/>
    <w:rsid w:val="0086637F"/>
    <w:rsid w:val="0086661C"/>
    <w:rsid w:val="00867C01"/>
    <w:rsid w:val="00870A5B"/>
    <w:rsid w:val="00870DC7"/>
    <w:rsid w:val="00871476"/>
    <w:rsid w:val="0087164C"/>
    <w:rsid w:val="00871B04"/>
    <w:rsid w:val="00874350"/>
    <w:rsid w:val="00874791"/>
    <w:rsid w:val="00874A3F"/>
    <w:rsid w:val="00874AE2"/>
    <w:rsid w:val="008758B2"/>
    <w:rsid w:val="00875B77"/>
    <w:rsid w:val="00875D89"/>
    <w:rsid w:val="00876640"/>
    <w:rsid w:val="00877913"/>
    <w:rsid w:val="00877B9E"/>
    <w:rsid w:val="008808F9"/>
    <w:rsid w:val="00883DD6"/>
    <w:rsid w:val="00885EF2"/>
    <w:rsid w:val="008863AD"/>
    <w:rsid w:val="0088691B"/>
    <w:rsid w:val="00886E79"/>
    <w:rsid w:val="008873F9"/>
    <w:rsid w:val="00887692"/>
    <w:rsid w:val="00887C23"/>
    <w:rsid w:val="00887DB2"/>
    <w:rsid w:val="00891368"/>
    <w:rsid w:val="00891376"/>
    <w:rsid w:val="00892D7B"/>
    <w:rsid w:val="00893126"/>
    <w:rsid w:val="00893165"/>
    <w:rsid w:val="00893FDF"/>
    <w:rsid w:val="008942DE"/>
    <w:rsid w:val="00895338"/>
    <w:rsid w:val="00895C04"/>
    <w:rsid w:val="00896018"/>
    <w:rsid w:val="0089671E"/>
    <w:rsid w:val="00897DF6"/>
    <w:rsid w:val="008A02C4"/>
    <w:rsid w:val="008A0389"/>
    <w:rsid w:val="008A07EF"/>
    <w:rsid w:val="008A0828"/>
    <w:rsid w:val="008A1AF4"/>
    <w:rsid w:val="008A1D80"/>
    <w:rsid w:val="008A1F53"/>
    <w:rsid w:val="008A3A35"/>
    <w:rsid w:val="008A3B90"/>
    <w:rsid w:val="008A3E06"/>
    <w:rsid w:val="008A405D"/>
    <w:rsid w:val="008A430C"/>
    <w:rsid w:val="008A515C"/>
    <w:rsid w:val="008A52AF"/>
    <w:rsid w:val="008A5B28"/>
    <w:rsid w:val="008A626E"/>
    <w:rsid w:val="008A63A0"/>
    <w:rsid w:val="008A6BA1"/>
    <w:rsid w:val="008A77C4"/>
    <w:rsid w:val="008B0163"/>
    <w:rsid w:val="008B0686"/>
    <w:rsid w:val="008B0E0F"/>
    <w:rsid w:val="008B14D9"/>
    <w:rsid w:val="008B1BEC"/>
    <w:rsid w:val="008B228E"/>
    <w:rsid w:val="008B3B6F"/>
    <w:rsid w:val="008B4C66"/>
    <w:rsid w:val="008B500A"/>
    <w:rsid w:val="008B51E6"/>
    <w:rsid w:val="008B5632"/>
    <w:rsid w:val="008B698E"/>
    <w:rsid w:val="008B7F30"/>
    <w:rsid w:val="008C0951"/>
    <w:rsid w:val="008C12CD"/>
    <w:rsid w:val="008C1917"/>
    <w:rsid w:val="008C1AC3"/>
    <w:rsid w:val="008C1BFF"/>
    <w:rsid w:val="008C248B"/>
    <w:rsid w:val="008C3BF7"/>
    <w:rsid w:val="008C5299"/>
    <w:rsid w:val="008C5763"/>
    <w:rsid w:val="008C58C3"/>
    <w:rsid w:val="008C5B4E"/>
    <w:rsid w:val="008C5BD3"/>
    <w:rsid w:val="008C62AC"/>
    <w:rsid w:val="008C69DA"/>
    <w:rsid w:val="008C6BA2"/>
    <w:rsid w:val="008C7CAE"/>
    <w:rsid w:val="008D0EC6"/>
    <w:rsid w:val="008D13C7"/>
    <w:rsid w:val="008D1884"/>
    <w:rsid w:val="008D21E0"/>
    <w:rsid w:val="008D2BE3"/>
    <w:rsid w:val="008D2C0E"/>
    <w:rsid w:val="008D4064"/>
    <w:rsid w:val="008D409C"/>
    <w:rsid w:val="008D44D8"/>
    <w:rsid w:val="008D4C95"/>
    <w:rsid w:val="008D53EE"/>
    <w:rsid w:val="008D60B6"/>
    <w:rsid w:val="008D6631"/>
    <w:rsid w:val="008D7035"/>
    <w:rsid w:val="008D774B"/>
    <w:rsid w:val="008D7E89"/>
    <w:rsid w:val="008E2307"/>
    <w:rsid w:val="008E237B"/>
    <w:rsid w:val="008E2996"/>
    <w:rsid w:val="008E29B7"/>
    <w:rsid w:val="008E3528"/>
    <w:rsid w:val="008E3E16"/>
    <w:rsid w:val="008E4327"/>
    <w:rsid w:val="008E499A"/>
    <w:rsid w:val="008E4E74"/>
    <w:rsid w:val="008E5818"/>
    <w:rsid w:val="008E64FC"/>
    <w:rsid w:val="008E70A4"/>
    <w:rsid w:val="008E70F2"/>
    <w:rsid w:val="008E765B"/>
    <w:rsid w:val="008E7D03"/>
    <w:rsid w:val="008F0196"/>
    <w:rsid w:val="008F144F"/>
    <w:rsid w:val="008F1BDE"/>
    <w:rsid w:val="008F21B5"/>
    <w:rsid w:val="008F26B8"/>
    <w:rsid w:val="008F2F99"/>
    <w:rsid w:val="008F41E3"/>
    <w:rsid w:val="008F634C"/>
    <w:rsid w:val="008F63C1"/>
    <w:rsid w:val="008F6835"/>
    <w:rsid w:val="008F6D3D"/>
    <w:rsid w:val="008F6F5C"/>
    <w:rsid w:val="008F7305"/>
    <w:rsid w:val="008F79AC"/>
    <w:rsid w:val="008F7B73"/>
    <w:rsid w:val="008F7C46"/>
    <w:rsid w:val="0090048F"/>
    <w:rsid w:val="00900C75"/>
    <w:rsid w:val="00900D54"/>
    <w:rsid w:val="0090192D"/>
    <w:rsid w:val="00901985"/>
    <w:rsid w:val="0090347E"/>
    <w:rsid w:val="00903773"/>
    <w:rsid w:val="0090546C"/>
    <w:rsid w:val="00905E1B"/>
    <w:rsid w:val="0090794B"/>
    <w:rsid w:val="00907D8C"/>
    <w:rsid w:val="0091021B"/>
    <w:rsid w:val="009102AC"/>
    <w:rsid w:val="00912E4E"/>
    <w:rsid w:val="00913CFC"/>
    <w:rsid w:val="00914899"/>
    <w:rsid w:val="00914D7A"/>
    <w:rsid w:val="009163F6"/>
    <w:rsid w:val="009167C8"/>
    <w:rsid w:val="00917CDC"/>
    <w:rsid w:val="00920092"/>
    <w:rsid w:val="0092037B"/>
    <w:rsid w:val="00921E0A"/>
    <w:rsid w:val="0092288B"/>
    <w:rsid w:val="00923541"/>
    <w:rsid w:val="00923BB8"/>
    <w:rsid w:val="00923C78"/>
    <w:rsid w:val="00923D6A"/>
    <w:rsid w:val="00926584"/>
    <w:rsid w:val="00926B4C"/>
    <w:rsid w:val="00926D6E"/>
    <w:rsid w:val="00927471"/>
    <w:rsid w:val="009278CA"/>
    <w:rsid w:val="00927C81"/>
    <w:rsid w:val="00927E08"/>
    <w:rsid w:val="00927E3C"/>
    <w:rsid w:val="009304CE"/>
    <w:rsid w:val="00930E81"/>
    <w:rsid w:val="00931259"/>
    <w:rsid w:val="00932775"/>
    <w:rsid w:val="00932AB0"/>
    <w:rsid w:val="00932D35"/>
    <w:rsid w:val="00933C49"/>
    <w:rsid w:val="009342F8"/>
    <w:rsid w:val="00934BB4"/>
    <w:rsid w:val="00934CE9"/>
    <w:rsid w:val="00934CF7"/>
    <w:rsid w:val="00934E0A"/>
    <w:rsid w:val="00935554"/>
    <w:rsid w:val="00935F1B"/>
    <w:rsid w:val="0093604D"/>
    <w:rsid w:val="009360BF"/>
    <w:rsid w:val="00936183"/>
    <w:rsid w:val="00937CAA"/>
    <w:rsid w:val="00937E5F"/>
    <w:rsid w:val="00940086"/>
    <w:rsid w:val="00940C5B"/>
    <w:rsid w:val="00940D33"/>
    <w:rsid w:val="009417C1"/>
    <w:rsid w:val="00941BD7"/>
    <w:rsid w:val="00943F60"/>
    <w:rsid w:val="0094551A"/>
    <w:rsid w:val="00946178"/>
    <w:rsid w:val="00946E58"/>
    <w:rsid w:val="00947B1B"/>
    <w:rsid w:val="00950EAD"/>
    <w:rsid w:val="00953180"/>
    <w:rsid w:val="009532AD"/>
    <w:rsid w:val="0095337B"/>
    <w:rsid w:val="009547F7"/>
    <w:rsid w:val="0095496F"/>
    <w:rsid w:val="00955D9A"/>
    <w:rsid w:val="0095658E"/>
    <w:rsid w:val="00957529"/>
    <w:rsid w:val="00957EED"/>
    <w:rsid w:val="00960799"/>
    <w:rsid w:val="00960B4A"/>
    <w:rsid w:val="00961E0F"/>
    <w:rsid w:val="00962477"/>
    <w:rsid w:val="0096259B"/>
    <w:rsid w:val="00963390"/>
    <w:rsid w:val="0096422A"/>
    <w:rsid w:val="00964B96"/>
    <w:rsid w:val="00964E4F"/>
    <w:rsid w:val="009660BF"/>
    <w:rsid w:val="00966250"/>
    <w:rsid w:val="009667AE"/>
    <w:rsid w:val="00966A71"/>
    <w:rsid w:val="009670B3"/>
    <w:rsid w:val="0097067D"/>
    <w:rsid w:val="0097074C"/>
    <w:rsid w:val="00970AD2"/>
    <w:rsid w:val="00970D85"/>
    <w:rsid w:val="00970E05"/>
    <w:rsid w:val="00971B03"/>
    <w:rsid w:val="00971CF7"/>
    <w:rsid w:val="009722D2"/>
    <w:rsid w:val="00972721"/>
    <w:rsid w:val="00972914"/>
    <w:rsid w:val="0097292C"/>
    <w:rsid w:val="00973259"/>
    <w:rsid w:val="00974307"/>
    <w:rsid w:val="009749F5"/>
    <w:rsid w:val="00974D57"/>
    <w:rsid w:val="00974E9D"/>
    <w:rsid w:val="009754B1"/>
    <w:rsid w:val="009763AE"/>
    <w:rsid w:val="00976C05"/>
    <w:rsid w:val="009779AC"/>
    <w:rsid w:val="00977A84"/>
    <w:rsid w:val="0098019A"/>
    <w:rsid w:val="0098055B"/>
    <w:rsid w:val="009817AA"/>
    <w:rsid w:val="00983F49"/>
    <w:rsid w:val="0098438A"/>
    <w:rsid w:val="009852B8"/>
    <w:rsid w:val="009862C6"/>
    <w:rsid w:val="00986BB5"/>
    <w:rsid w:val="009914A7"/>
    <w:rsid w:val="00992AEE"/>
    <w:rsid w:val="00992CDC"/>
    <w:rsid w:val="00993442"/>
    <w:rsid w:val="00993C1A"/>
    <w:rsid w:val="00993F3C"/>
    <w:rsid w:val="00994945"/>
    <w:rsid w:val="00994B7E"/>
    <w:rsid w:val="00996253"/>
    <w:rsid w:val="009966A3"/>
    <w:rsid w:val="00997995"/>
    <w:rsid w:val="00997D4C"/>
    <w:rsid w:val="009A1A60"/>
    <w:rsid w:val="009A20E6"/>
    <w:rsid w:val="009A26B5"/>
    <w:rsid w:val="009A3519"/>
    <w:rsid w:val="009A3DE9"/>
    <w:rsid w:val="009A41D2"/>
    <w:rsid w:val="009A4DDF"/>
    <w:rsid w:val="009A5437"/>
    <w:rsid w:val="009A5625"/>
    <w:rsid w:val="009A73FF"/>
    <w:rsid w:val="009A7CE8"/>
    <w:rsid w:val="009A7E76"/>
    <w:rsid w:val="009B093B"/>
    <w:rsid w:val="009B0A5E"/>
    <w:rsid w:val="009B10C1"/>
    <w:rsid w:val="009B1AAD"/>
    <w:rsid w:val="009B2295"/>
    <w:rsid w:val="009B25B6"/>
    <w:rsid w:val="009B2DF5"/>
    <w:rsid w:val="009B4B16"/>
    <w:rsid w:val="009B518E"/>
    <w:rsid w:val="009B53D7"/>
    <w:rsid w:val="009B5FB5"/>
    <w:rsid w:val="009B6BA8"/>
    <w:rsid w:val="009B707D"/>
    <w:rsid w:val="009C03D8"/>
    <w:rsid w:val="009C0488"/>
    <w:rsid w:val="009C23D4"/>
    <w:rsid w:val="009C2B2B"/>
    <w:rsid w:val="009C4125"/>
    <w:rsid w:val="009C4425"/>
    <w:rsid w:val="009C4AE9"/>
    <w:rsid w:val="009C62C7"/>
    <w:rsid w:val="009C651B"/>
    <w:rsid w:val="009C69EE"/>
    <w:rsid w:val="009C7B68"/>
    <w:rsid w:val="009D0290"/>
    <w:rsid w:val="009D07E1"/>
    <w:rsid w:val="009D0935"/>
    <w:rsid w:val="009D173C"/>
    <w:rsid w:val="009D2D4D"/>
    <w:rsid w:val="009D3371"/>
    <w:rsid w:val="009D3CE7"/>
    <w:rsid w:val="009D4783"/>
    <w:rsid w:val="009D4ADB"/>
    <w:rsid w:val="009D4DED"/>
    <w:rsid w:val="009D539F"/>
    <w:rsid w:val="009D5679"/>
    <w:rsid w:val="009D57C6"/>
    <w:rsid w:val="009D6322"/>
    <w:rsid w:val="009D6AAD"/>
    <w:rsid w:val="009D71FB"/>
    <w:rsid w:val="009D74C4"/>
    <w:rsid w:val="009D7A8C"/>
    <w:rsid w:val="009E03CA"/>
    <w:rsid w:val="009E0497"/>
    <w:rsid w:val="009E0FE2"/>
    <w:rsid w:val="009E19B8"/>
    <w:rsid w:val="009E1E02"/>
    <w:rsid w:val="009E2507"/>
    <w:rsid w:val="009E2739"/>
    <w:rsid w:val="009E27EC"/>
    <w:rsid w:val="009E30DF"/>
    <w:rsid w:val="009E6058"/>
    <w:rsid w:val="009E68A9"/>
    <w:rsid w:val="009E7725"/>
    <w:rsid w:val="009E7BE4"/>
    <w:rsid w:val="009E7EC2"/>
    <w:rsid w:val="009F10FF"/>
    <w:rsid w:val="009F2720"/>
    <w:rsid w:val="009F2C63"/>
    <w:rsid w:val="009F438F"/>
    <w:rsid w:val="009F549E"/>
    <w:rsid w:val="009F5CC8"/>
    <w:rsid w:val="009F62F9"/>
    <w:rsid w:val="009F6674"/>
    <w:rsid w:val="009F68F3"/>
    <w:rsid w:val="009F6D3B"/>
    <w:rsid w:val="009F7E54"/>
    <w:rsid w:val="00A0027B"/>
    <w:rsid w:val="00A00C69"/>
    <w:rsid w:val="00A0239F"/>
    <w:rsid w:val="00A027AD"/>
    <w:rsid w:val="00A027C9"/>
    <w:rsid w:val="00A02F44"/>
    <w:rsid w:val="00A03850"/>
    <w:rsid w:val="00A05109"/>
    <w:rsid w:val="00A0541B"/>
    <w:rsid w:val="00A05CB1"/>
    <w:rsid w:val="00A062CC"/>
    <w:rsid w:val="00A06D76"/>
    <w:rsid w:val="00A06E90"/>
    <w:rsid w:val="00A1089F"/>
    <w:rsid w:val="00A108A7"/>
    <w:rsid w:val="00A10BB5"/>
    <w:rsid w:val="00A11A55"/>
    <w:rsid w:val="00A1228C"/>
    <w:rsid w:val="00A12622"/>
    <w:rsid w:val="00A129F7"/>
    <w:rsid w:val="00A1330F"/>
    <w:rsid w:val="00A135AE"/>
    <w:rsid w:val="00A13928"/>
    <w:rsid w:val="00A13ABF"/>
    <w:rsid w:val="00A15681"/>
    <w:rsid w:val="00A15818"/>
    <w:rsid w:val="00A15983"/>
    <w:rsid w:val="00A15CAB"/>
    <w:rsid w:val="00A16AE4"/>
    <w:rsid w:val="00A16E3E"/>
    <w:rsid w:val="00A17267"/>
    <w:rsid w:val="00A20E33"/>
    <w:rsid w:val="00A20FD4"/>
    <w:rsid w:val="00A21FED"/>
    <w:rsid w:val="00A25604"/>
    <w:rsid w:val="00A3067C"/>
    <w:rsid w:val="00A308CA"/>
    <w:rsid w:val="00A3090B"/>
    <w:rsid w:val="00A309E7"/>
    <w:rsid w:val="00A30A0A"/>
    <w:rsid w:val="00A316F0"/>
    <w:rsid w:val="00A321E6"/>
    <w:rsid w:val="00A3267E"/>
    <w:rsid w:val="00A33A11"/>
    <w:rsid w:val="00A349B2"/>
    <w:rsid w:val="00A353CF"/>
    <w:rsid w:val="00A3706A"/>
    <w:rsid w:val="00A37368"/>
    <w:rsid w:val="00A37646"/>
    <w:rsid w:val="00A400AC"/>
    <w:rsid w:val="00A4129D"/>
    <w:rsid w:val="00A41D25"/>
    <w:rsid w:val="00A4242C"/>
    <w:rsid w:val="00A42540"/>
    <w:rsid w:val="00A42891"/>
    <w:rsid w:val="00A42947"/>
    <w:rsid w:val="00A42F0E"/>
    <w:rsid w:val="00A436C1"/>
    <w:rsid w:val="00A43967"/>
    <w:rsid w:val="00A43E05"/>
    <w:rsid w:val="00A44590"/>
    <w:rsid w:val="00A44A7C"/>
    <w:rsid w:val="00A44CEA"/>
    <w:rsid w:val="00A45A97"/>
    <w:rsid w:val="00A45BFC"/>
    <w:rsid w:val="00A463CC"/>
    <w:rsid w:val="00A47579"/>
    <w:rsid w:val="00A47D28"/>
    <w:rsid w:val="00A50781"/>
    <w:rsid w:val="00A52978"/>
    <w:rsid w:val="00A530DD"/>
    <w:rsid w:val="00A53971"/>
    <w:rsid w:val="00A53FE9"/>
    <w:rsid w:val="00A5418C"/>
    <w:rsid w:val="00A5475B"/>
    <w:rsid w:val="00A551B5"/>
    <w:rsid w:val="00A553F8"/>
    <w:rsid w:val="00A56914"/>
    <w:rsid w:val="00A570F2"/>
    <w:rsid w:val="00A6082D"/>
    <w:rsid w:val="00A611E6"/>
    <w:rsid w:val="00A6298F"/>
    <w:rsid w:val="00A63230"/>
    <w:rsid w:val="00A63B4A"/>
    <w:rsid w:val="00A63F75"/>
    <w:rsid w:val="00A651C6"/>
    <w:rsid w:val="00A65A6A"/>
    <w:rsid w:val="00A671A6"/>
    <w:rsid w:val="00A67680"/>
    <w:rsid w:val="00A70355"/>
    <w:rsid w:val="00A70798"/>
    <w:rsid w:val="00A712FE"/>
    <w:rsid w:val="00A71E55"/>
    <w:rsid w:val="00A72D5D"/>
    <w:rsid w:val="00A734A4"/>
    <w:rsid w:val="00A73505"/>
    <w:rsid w:val="00A73762"/>
    <w:rsid w:val="00A73AE1"/>
    <w:rsid w:val="00A73C82"/>
    <w:rsid w:val="00A74603"/>
    <w:rsid w:val="00A7471A"/>
    <w:rsid w:val="00A76B47"/>
    <w:rsid w:val="00A77093"/>
    <w:rsid w:val="00A80529"/>
    <w:rsid w:val="00A8078C"/>
    <w:rsid w:val="00A807AB"/>
    <w:rsid w:val="00A808A0"/>
    <w:rsid w:val="00A82444"/>
    <w:rsid w:val="00A8324C"/>
    <w:rsid w:val="00A83A25"/>
    <w:rsid w:val="00A83ADE"/>
    <w:rsid w:val="00A83CBB"/>
    <w:rsid w:val="00A84462"/>
    <w:rsid w:val="00A849C7"/>
    <w:rsid w:val="00A84D7C"/>
    <w:rsid w:val="00A8646D"/>
    <w:rsid w:val="00A8699F"/>
    <w:rsid w:val="00A87074"/>
    <w:rsid w:val="00A870A6"/>
    <w:rsid w:val="00A875AC"/>
    <w:rsid w:val="00A87772"/>
    <w:rsid w:val="00A87F35"/>
    <w:rsid w:val="00A87F8E"/>
    <w:rsid w:val="00A90A5C"/>
    <w:rsid w:val="00A90A75"/>
    <w:rsid w:val="00A917F8"/>
    <w:rsid w:val="00A91A75"/>
    <w:rsid w:val="00A92DFE"/>
    <w:rsid w:val="00A9398D"/>
    <w:rsid w:val="00A9417F"/>
    <w:rsid w:val="00A94A05"/>
    <w:rsid w:val="00A951DF"/>
    <w:rsid w:val="00A957A2"/>
    <w:rsid w:val="00A95F1A"/>
    <w:rsid w:val="00A96629"/>
    <w:rsid w:val="00A97189"/>
    <w:rsid w:val="00A97B7F"/>
    <w:rsid w:val="00AA0496"/>
    <w:rsid w:val="00AA1112"/>
    <w:rsid w:val="00AA1897"/>
    <w:rsid w:val="00AA1CE0"/>
    <w:rsid w:val="00AA2C10"/>
    <w:rsid w:val="00AA3022"/>
    <w:rsid w:val="00AA3D7D"/>
    <w:rsid w:val="00AA53F1"/>
    <w:rsid w:val="00AA6F17"/>
    <w:rsid w:val="00AB089E"/>
    <w:rsid w:val="00AB13EF"/>
    <w:rsid w:val="00AB313B"/>
    <w:rsid w:val="00AB32F3"/>
    <w:rsid w:val="00AB4089"/>
    <w:rsid w:val="00AB5795"/>
    <w:rsid w:val="00AB6D57"/>
    <w:rsid w:val="00AB76A4"/>
    <w:rsid w:val="00AC1265"/>
    <w:rsid w:val="00AC153B"/>
    <w:rsid w:val="00AC16EF"/>
    <w:rsid w:val="00AC2309"/>
    <w:rsid w:val="00AC2F5F"/>
    <w:rsid w:val="00AC470E"/>
    <w:rsid w:val="00AC4AF6"/>
    <w:rsid w:val="00AC5826"/>
    <w:rsid w:val="00AC6B8C"/>
    <w:rsid w:val="00AC7A56"/>
    <w:rsid w:val="00AD0468"/>
    <w:rsid w:val="00AD151D"/>
    <w:rsid w:val="00AD2BB1"/>
    <w:rsid w:val="00AD4A0A"/>
    <w:rsid w:val="00AD4FBF"/>
    <w:rsid w:val="00AD5C8E"/>
    <w:rsid w:val="00AD5F68"/>
    <w:rsid w:val="00AD6821"/>
    <w:rsid w:val="00AD6A9B"/>
    <w:rsid w:val="00AE17DF"/>
    <w:rsid w:val="00AE1A55"/>
    <w:rsid w:val="00AE1FD5"/>
    <w:rsid w:val="00AE257D"/>
    <w:rsid w:val="00AE31E8"/>
    <w:rsid w:val="00AE4A83"/>
    <w:rsid w:val="00AE4A9E"/>
    <w:rsid w:val="00AE5333"/>
    <w:rsid w:val="00AE656D"/>
    <w:rsid w:val="00AE7871"/>
    <w:rsid w:val="00AE7A85"/>
    <w:rsid w:val="00AE7EC5"/>
    <w:rsid w:val="00AF07C1"/>
    <w:rsid w:val="00AF1B38"/>
    <w:rsid w:val="00AF25DB"/>
    <w:rsid w:val="00AF40C7"/>
    <w:rsid w:val="00AF466C"/>
    <w:rsid w:val="00AF4B93"/>
    <w:rsid w:val="00AF4F9E"/>
    <w:rsid w:val="00AF54DB"/>
    <w:rsid w:val="00AF57A8"/>
    <w:rsid w:val="00AF5DE5"/>
    <w:rsid w:val="00AF6A92"/>
    <w:rsid w:val="00AF79CD"/>
    <w:rsid w:val="00B004C9"/>
    <w:rsid w:val="00B00CDB"/>
    <w:rsid w:val="00B01418"/>
    <w:rsid w:val="00B03453"/>
    <w:rsid w:val="00B037CF"/>
    <w:rsid w:val="00B04F7D"/>
    <w:rsid w:val="00B053C3"/>
    <w:rsid w:val="00B054DA"/>
    <w:rsid w:val="00B0606C"/>
    <w:rsid w:val="00B0653C"/>
    <w:rsid w:val="00B07777"/>
    <w:rsid w:val="00B077C9"/>
    <w:rsid w:val="00B07B5F"/>
    <w:rsid w:val="00B10484"/>
    <w:rsid w:val="00B11862"/>
    <w:rsid w:val="00B11ACD"/>
    <w:rsid w:val="00B12470"/>
    <w:rsid w:val="00B12568"/>
    <w:rsid w:val="00B133BE"/>
    <w:rsid w:val="00B1447D"/>
    <w:rsid w:val="00B14D82"/>
    <w:rsid w:val="00B1555C"/>
    <w:rsid w:val="00B15732"/>
    <w:rsid w:val="00B15742"/>
    <w:rsid w:val="00B17BEB"/>
    <w:rsid w:val="00B17E8D"/>
    <w:rsid w:val="00B20460"/>
    <w:rsid w:val="00B20725"/>
    <w:rsid w:val="00B20959"/>
    <w:rsid w:val="00B21B68"/>
    <w:rsid w:val="00B21D53"/>
    <w:rsid w:val="00B22422"/>
    <w:rsid w:val="00B22675"/>
    <w:rsid w:val="00B22E99"/>
    <w:rsid w:val="00B23380"/>
    <w:rsid w:val="00B237C6"/>
    <w:rsid w:val="00B24B43"/>
    <w:rsid w:val="00B25109"/>
    <w:rsid w:val="00B259DF"/>
    <w:rsid w:val="00B25D3B"/>
    <w:rsid w:val="00B26FCC"/>
    <w:rsid w:val="00B27F92"/>
    <w:rsid w:val="00B30101"/>
    <w:rsid w:val="00B30162"/>
    <w:rsid w:val="00B3135A"/>
    <w:rsid w:val="00B31FDF"/>
    <w:rsid w:val="00B34450"/>
    <w:rsid w:val="00B349DD"/>
    <w:rsid w:val="00B353F1"/>
    <w:rsid w:val="00B35A5F"/>
    <w:rsid w:val="00B35A8C"/>
    <w:rsid w:val="00B35D7C"/>
    <w:rsid w:val="00B36476"/>
    <w:rsid w:val="00B37A06"/>
    <w:rsid w:val="00B402C8"/>
    <w:rsid w:val="00B40C0D"/>
    <w:rsid w:val="00B40C20"/>
    <w:rsid w:val="00B4238E"/>
    <w:rsid w:val="00B429CC"/>
    <w:rsid w:val="00B441AC"/>
    <w:rsid w:val="00B44770"/>
    <w:rsid w:val="00B460DC"/>
    <w:rsid w:val="00B46980"/>
    <w:rsid w:val="00B46F9D"/>
    <w:rsid w:val="00B47465"/>
    <w:rsid w:val="00B50239"/>
    <w:rsid w:val="00B5068F"/>
    <w:rsid w:val="00B510EE"/>
    <w:rsid w:val="00B51329"/>
    <w:rsid w:val="00B53FBE"/>
    <w:rsid w:val="00B54E89"/>
    <w:rsid w:val="00B55312"/>
    <w:rsid w:val="00B5592B"/>
    <w:rsid w:val="00B56166"/>
    <w:rsid w:val="00B562E0"/>
    <w:rsid w:val="00B56DF2"/>
    <w:rsid w:val="00B572BA"/>
    <w:rsid w:val="00B5746E"/>
    <w:rsid w:val="00B57FC0"/>
    <w:rsid w:val="00B60003"/>
    <w:rsid w:val="00B6220F"/>
    <w:rsid w:val="00B6258F"/>
    <w:rsid w:val="00B628F3"/>
    <w:rsid w:val="00B62CEA"/>
    <w:rsid w:val="00B63009"/>
    <w:rsid w:val="00B63A9B"/>
    <w:rsid w:val="00B650E0"/>
    <w:rsid w:val="00B65556"/>
    <w:rsid w:val="00B66B55"/>
    <w:rsid w:val="00B67675"/>
    <w:rsid w:val="00B67F9F"/>
    <w:rsid w:val="00B70CB9"/>
    <w:rsid w:val="00B711BB"/>
    <w:rsid w:val="00B724F1"/>
    <w:rsid w:val="00B73DBA"/>
    <w:rsid w:val="00B762F9"/>
    <w:rsid w:val="00B776A1"/>
    <w:rsid w:val="00B801ED"/>
    <w:rsid w:val="00B8023B"/>
    <w:rsid w:val="00B8062B"/>
    <w:rsid w:val="00B80C19"/>
    <w:rsid w:val="00B832C9"/>
    <w:rsid w:val="00B83720"/>
    <w:rsid w:val="00B83A53"/>
    <w:rsid w:val="00B83B53"/>
    <w:rsid w:val="00B83F38"/>
    <w:rsid w:val="00B84729"/>
    <w:rsid w:val="00B8563B"/>
    <w:rsid w:val="00B85972"/>
    <w:rsid w:val="00B86295"/>
    <w:rsid w:val="00B865A8"/>
    <w:rsid w:val="00B875AE"/>
    <w:rsid w:val="00B9013A"/>
    <w:rsid w:val="00B90304"/>
    <w:rsid w:val="00B9030A"/>
    <w:rsid w:val="00B90AC0"/>
    <w:rsid w:val="00B90DE3"/>
    <w:rsid w:val="00B914B4"/>
    <w:rsid w:val="00B92D26"/>
    <w:rsid w:val="00B92E71"/>
    <w:rsid w:val="00B933B6"/>
    <w:rsid w:val="00B94383"/>
    <w:rsid w:val="00B94B50"/>
    <w:rsid w:val="00B94DF8"/>
    <w:rsid w:val="00B95F62"/>
    <w:rsid w:val="00B97277"/>
    <w:rsid w:val="00BA01F5"/>
    <w:rsid w:val="00BA18D2"/>
    <w:rsid w:val="00BA1CF5"/>
    <w:rsid w:val="00BA325C"/>
    <w:rsid w:val="00BA3C86"/>
    <w:rsid w:val="00BA4258"/>
    <w:rsid w:val="00BA4B72"/>
    <w:rsid w:val="00BA4CAC"/>
    <w:rsid w:val="00BA544D"/>
    <w:rsid w:val="00BA5DAB"/>
    <w:rsid w:val="00BA5E95"/>
    <w:rsid w:val="00BA670B"/>
    <w:rsid w:val="00BA6F32"/>
    <w:rsid w:val="00BB0398"/>
    <w:rsid w:val="00BB048D"/>
    <w:rsid w:val="00BB1C72"/>
    <w:rsid w:val="00BB2290"/>
    <w:rsid w:val="00BB2499"/>
    <w:rsid w:val="00BB34FA"/>
    <w:rsid w:val="00BB35A1"/>
    <w:rsid w:val="00BB3A26"/>
    <w:rsid w:val="00BB4E77"/>
    <w:rsid w:val="00BB707A"/>
    <w:rsid w:val="00BB7AA0"/>
    <w:rsid w:val="00BB7BB9"/>
    <w:rsid w:val="00BC1027"/>
    <w:rsid w:val="00BC2560"/>
    <w:rsid w:val="00BC2588"/>
    <w:rsid w:val="00BC266B"/>
    <w:rsid w:val="00BC3A6F"/>
    <w:rsid w:val="00BC3F2B"/>
    <w:rsid w:val="00BC41CC"/>
    <w:rsid w:val="00BC4342"/>
    <w:rsid w:val="00BC510F"/>
    <w:rsid w:val="00BC6530"/>
    <w:rsid w:val="00BC6DC5"/>
    <w:rsid w:val="00BC70E6"/>
    <w:rsid w:val="00BC7779"/>
    <w:rsid w:val="00BC796A"/>
    <w:rsid w:val="00BD1EC0"/>
    <w:rsid w:val="00BD3723"/>
    <w:rsid w:val="00BD3BE2"/>
    <w:rsid w:val="00BD44A3"/>
    <w:rsid w:val="00BD5550"/>
    <w:rsid w:val="00BD55C6"/>
    <w:rsid w:val="00BD55FC"/>
    <w:rsid w:val="00BD607A"/>
    <w:rsid w:val="00BD684A"/>
    <w:rsid w:val="00BD7DFF"/>
    <w:rsid w:val="00BE1DEF"/>
    <w:rsid w:val="00BE1FC9"/>
    <w:rsid w:val="00BE2399"/>
    <w:rsid w:val="00BE3214"/>
    <w:rsid w:val="00BE3364"/>
    <w:rsid w:val="00BE3BF2"/>
    <w:rsid w:val="00BE3C2E"/>
    <w:rsid w:val="00BE3F39"/>
    <w:rsid w:val="00BE4373"/>
    <w:rsid w:val="00BE4848"/>
    <w:rsid w:val="00BE579F"/>
    <w:rsid w:val="00BE5A7B"/>
    <w:rsid w:val="00BE5E2F"/>
    <w:rsid w:val="00BE6906"/>
    <w:rsid w:val="00BE753A"/>
    <w:rsid w:val="00BF0328"/>
    <w:rsid w:val="00BF06DD"/>
    <w:rsid w:val="00BF079A"/>
    <w:rsid w:val="00BF0BBB"/>
    <w:rsid w:val="00BF13FF"/>
    <w:rsid w:val="00BF16A3"/>
    <w:rsid w:val="00BF2C1F"/>
    <w:rsid w:val="00BF5A8B"/>
    <w:rsid w:val="00BF5CFE"/>
    <w:rsid w:val="00BF639A"/>
    <w:rsid w:val="00BF6F05"/>
    <w:rsid w:val="00BF7369"/>
    <w:rsid w:val="00C00C81"/>
    <w:rsid w:val="00C00D88"/>
    <w:rsid w:val="00C00F7B"/>
    <w:rsid w:val="00C0112C"/>
    <w:rsid w:val="00C02540"/>
    <w:rsid w:val="00C03145"/>
    <w:rsid w:val="00C0365C"/>
    <w:rsid w:val="00C036E7"/>
    <w:rsid w:val="00C03AD0"/>
    <w:rsid w:val="00C03C46"/>
    <w:rsid w:val="00C04083"/>
    <w:rsid w:val="00C040FB"/>
    <w:rsid w:val="00C048BC"/>
    <w:rsid w:val="00C049BA"/>
    <w:rsid w:val="00C05E75"/>
    <w:rsid w:val="00C0600B"/>
    <w:rsid w:val="00C06EE2"/>
    <w:rsid w:val="00C074FF"/>
    <w:rsid w:val="00C0754B"/>
    <w:rsid w:val="00C07C93"/>
    <w:rsid w:val="00C1078D"/>
    <w:rsid w:val="00C10D59"/>
    <w:rsid w:val="00C10DF0"/>
    <w:rsid w:val="00C11A88"/>
    <w:rsid w:val="00C129D4"/>
    <w:rsid w:val="00C12BBD"/>
    <w:rsid w:val="00C149A5"/>
    <w:rsid w:val="00C15F8B"/>
    <w:rsid w:val="00C16EF3"/>
    <w:rsid w:val="00C17BD0"/>
    <w:rsid w:val="00C17E26"/>
    <w:rsid w:val="00C201ED"/>
    <w:rsid w:val="00C2209E"/>
    <w:rsid w:val="00C2530E"/>
    <w:rsid w:val="00C25831"/>
    <w:rsid w:val="00C25A1B"/>
    <w:rsid w:val="00C26CBB"/>
    <w:rsid w:val="00C26EFF"/>
    <w:rsid w:val="00C30287"/>
    <w:rsid w:val="00C30D8D"/>
    <w:rsid w:val="00C31119"/>
    <w:rsid w:val="00C3229C"/>
    <w:rsid w:val="00C33D04"/>
    <w:rsid w:val="00C33ECE"/>
    <w:rsid w:val="00C34D57"/>
    <w:rsid w:val="00C35298"/>
    <w:rsid w:val="00C35A45"/>
    <w:rsid w:val="00C36858"/>
    <w:rsid w:val="00C368DA"/>
    <w:rsid w:val="00C36BCF"/>
    <w:rsid w:val="00C412DD"/>
    <w:rsid w:val="00C41A4C"/>
    <w:rsid w:val="00C41AD6"/>
    <w:rsid w:val="00C41C9E"/>
    <w:rsid w:val="00C42190"/>
    <w:rsid w:val="00C42B45"/>
    <w:rsid w:val="00C441CE"/>
    <w:rsid w:val="00C44C3D"/>
    <w:rsid w:val="00C45961"/>
    <w:rsid w:val="00C45DC6"/>
    <w:rsid w:val="00C46775"/>
    <w:rsid w:val="00C4690E"/>
    <w:rsid w:val="00C469AC"/>
    <w:rsid w:val="00C46B37"/>
    <w:rsid w:val="00C46E9C"/>
    <w:rsid w:val="00C47357"/>
    <w:rsid w:val="00C5111B"/>
    <w:rsid w:val="00C52061"/>
    <w:rsid w:val="00C52315"/>
    <w:rsid w:val="00C5270A"/>
    <w:rsid w:val="00C5280A"/>
    <w:rsid w:val="00C52DC9"/>
    <w:rsid w:val="00C52FE2"/>
    <w:rsid w:val="00C53680"/>
    <w:rsid w:val="00C54436"/>
    <w:rsid w:val="00C55F26"/>
    <w:rsid w:val="00C575EB"/>
    <w:rsid w:val="00C6030B"/>
    <w:rsid w:val="00C60417"/>
    <w:rsid w:val="00C60EFB"/>
    <w:rsid w:val="00C617E0"/>
    <w:rsid w:val="00C621BA"/>
    <w:rsid w:val="00C62F2A"/>
    <w:rsid w:val="00C6344D"/>
    <w:rsid w:val="00C63E4D"/>
    <w:rsid w:val="00C654F5"/>
    <w:rsid w:val="00C6563D"/>
    <w:rsid w:val="00C67109"/>
    <w:rsid w:val="00C67D6D"/>
    <w:rsid w:val="00C7044E"/>
    <w:rsid w:val="00C713B3"/>
    <w:rsid w:val="00C73522"/>
    <w:rsid w:val="00C74A02"/>
    <w:rsid w:val="00C752A2"/>
    <w:rsid w:val="00C758E2"/>
    <w:rsid w:val="00C75FAC"/>
    <w:rsid w:val="00C76232"/>
    <w:rsid w:val="00C76FE1"/>
    <w:rsid w:val="00C77114"/>
    <w:rsid w:val="00C77283"/>
    <w:rsid w:val="00C772A1"/>
    <w:rsid w:val="00C77383"/>
    <w:rsid w:val="00C77C81"/>
    <w:rsid w:val="00C80E2B"/>
    <w:rsid w:val="00C8124C"/>
    <w:rsid w:val="00C82418"/>
    <w:rsid w:val="00C82D61"/>
    <w:rsid w:val="00C832D8"/>
    <w:rsid w:val="00C835CB"/>
    <w:rsid w:val="00C84268"/>
    <w:rsid w:val="00C84809"/>
    <w:rsid w:val="00C856C9"/>
    <w:rsid w:val="00C85E47"/>
    <w:rsid w:val="00C862E9"/>
    <w:rsid w:val="00C864D7"/>
    <w:rsid w:val="00C86548"/>
    <w:rsid w:val="00C86DA0"/>
    <w:rsid w:val="00C87296"/>
    <w:rsid w:val="00C8780D"/>
    <w:rsid w:val="00C87A97"/>
    <w:rsid w:val="00C90A5C"/>
    <w:rsid w:val="00C90ABF"/>
    <w:rsid w:val="00C90C57"/>
    <w:rsid w:val="00C90C62"/>
    <w:rsid w:val="00C91415"/>
    <w:rsid w:val="00C9143C"/>
    <w:rsid w:val="00C91684"/>
    <w:rsid w:val="00C91B2B"/>
    <w:rsid w:val="00C91E4F"/>
    <w:rsid w:val="00C92408"/>
    <w:rsid w:val="00C92D54"/>
    <w:rsid w:val="00C94112"/>
    <w:rsid w:val="00C941B1"/>
    <w:rsid w:val="00C94B27"/>
    <w:rsid w:val="00C95431"/>
    <w:rsid w:val="00C958B9"/>
    <w:rsid w:val="00C95AE6"/>
    <w:rsid w:val="00C9662B"/>
    <w:rsid w:val="00C97A23"/>
    <w:rsid w:val="00CA1267"/>
    <w:rsid w:val="00CA1643"/>
    <w:rsid w:val="00CA1C96"/>
    <w:rsid w:val="00CA1F6B"/>
    <w:rsid w:val="00CA2541"/>
    <w:rsid w:val="00CA46FE"/>
    <w:rsid w:val="00CA5F19"/>
    <w:rsid w:val="00CA6671"/>
    <w:rsid w:val="00CA6742"/>
    <w:rsid w:val="00CA6AA2"/>
    <w:rsid w:val="00CA7C6D"/>
    <w:rsid w:val="00CB0D9C"/>
    <w:rsid w:val="00CB0E0C"/>
    <w:rsid w:val="00CB10F2"/>
    <w:rsid w:val="00CB17C8"/>
    <w:rsid w:val="00CB184A"/>
    <w:rsid w:val="00CB1945"/>
    <w:rsid w:val="00CB19D3"/>
    <w:rsid w:val="00CB2693"/>
    <w:rsid w:val="00CB36F6"/>
    <w:rsid w:val="00CB5363"/>
    <w:rsid w:val="00CB59ED"/>
    <w:rsid w:val="00CB5B80"/>
    <w:rsid w:val="00CB5C2B"/>
    <w:rsid w:val="00CB5D6F"/>
    <w:rsid w:val="00CB5F6F"/>
    <w:rsid w:val="00CB7A66"/>
    <w:rsid w:val="00CC0787"/>
    <w:rsid w:val="00CC09EE"/>
    <w:rsid w:val="00CC0D89"/>
    <w:rsid w:val="00CC1863"/>
    <w:rsid w:val="00CC196B"/>
    <w:rsid w:val="00CC2FFD"/>
    <w:rsid w:val="00CC3FC8"/>
    <w:rsid w:val="00CC4305"/>
    <w:rsid w:val="00CC45A4"/>
    <w:rsid w:val="00CC477B"/>
    <w:rsid w:val="00CC4F9E"/>
    <w:rsid w:val="00CC512C"/>
    <w:rsid w:val="00CC5B0A"/>
    <w:rsid w:val="00CC649E"/>
    <w:rsid w:val="00CC6F26"/>
    <w:rsid w:val="00CC6F9A"/>
    <w:rsid w:val="00CC72C7"/>
    <w:rsid w:val="00CD0632"/>
    <w:rsid w:val="00CD0EEA"/>
    <w:rsid w:val="00CD13E9"/>
    <w:rsid w:val="00CD1911"/>
    <w:rsid w:val="00CD1D48"/>
    <w:rsid w:val="00CD21A3"/>
    <w:rsid w:val="00CD225F"/>
    <w:rsid w:val="00CD40A3"/>
    <w:rsid w:val="00CD55D4"/>
    <w:rsid w:val="00CD5EB5"/>
    <w:rsid w:val="00CE0D32"/>
    <w:rsid w:val="00CE22C1"/>
    <w:rsid w:val="00CE374D"/>
    <w:rsid w:val="00CE3A00"/>
    <w:rsid w:val="00CE3B54"/>
    <w:rsid w:val="00CE4249"/>
    <w:rsid w:val="00CE44C4"/>
    <w:rsid w:val="00CE467E"/>
    <w:rsid w:val="00CE4C09"/>
    <w:rsid w:val="00CE7BCC"/>
    <w:rsid w:val="00CE7D22"/>
    <w:rsid w:val="00CF0A47"/>
    <w:rsid w:val="00CF0A5C"/>
    <w:rsid w:val="00CF0D83"/>
    <w:rsid w:val="00CF15A0"/>
    <w:rsid w:val="00CF2674"/>
    <w:rsid w:val="00CF26C8"/>
    <w:rsid w:val="00CF299D"/>
    <w:rsid w:val="00CF2BEB"/>
    <w:rsid w:val="00CF31BA"/>
    <w:rsid w:val="00CF4994"/>
    <w:rsid w:val="00CF4A0A"/>
    <w:rsid w:val="00CF4C5C"/>
    <w:rsid w:val="00CF4E21"/>
    <w:rsid w:val="00CF57D6"/>
    <w:rsid w:val="00CF5DD7"/>
    <w:rsid w:val="00CF62B4"/>
    <w:rsid w:val="00CF760F"/>
    <w:rsid w:val="00CF7949"/>
    <w:rsid w:val="00D00161"/>
    <w:rsid w:val="00D00F27"/>
    <w:rsid w:val="00D00FDB"/>
    <w:rsid w:val="00D015AC"/>
    <w:rsid w:val="00D017C1"/>
    <w:rsid w:val="00D029A8"/>
    <w:rsid w:val="00D02F01"/>
    <w:rsid w:val="00D036E8"/>
    <w:rsid w:val="00D03F1A"/>
    <w:rsid w:val="00D043DE"/>
    <w:rsid w:val="00D049D8"/>
    <w:rsid w:val="00D05556"/>
    <w:rsid w:val="00D05714"/>
    <w:rsid w:val="00D05FB8"/>
    <w:rsid w:val="00D07200"/>
    <w:rsid w:val="00D07C78"/>
    <w:rsid w:val="00D1058B"/>
    <w:rsid w:val="00D10598"/>
    <w:rsid w:val="00D11157"/>
    <w:rsid w:val="00D113DE"/>
    <w:rsid w:val="00D11A6D"/>
    <w:rsid w:val="00D1238B"/>
    <w:rsid w:val="00D134AD"/>
    <w:rsid w:val="00D1418E"/>
    <w:rsid w:val="00D156A8"/>
    <w:rsid w:val="00D177EC"/>
    <w:rsid w:val="00D20CC6"/>
    <w:rsid w:val="00D20DF6"/>
    <w:rsid w:val="00D21B12"/>
    <w:rsid w:val="00D22A50"/>
    <w:rsid w:val="00D2359D"/>
    <w:rsid w:val="00D236BE"/>
    <w:rsid w:val="00D23F5C"/>
    <w:rsid w:val="00D249D9"/>
    <w:rsid w:val="00D24F2F"/>
    <w:rsid w:val="00D25148"/>
    <w:rsid w:val="00D2637D"/>
    <w:rsid w:val="00D26808"/>
    <w:rsid w:val="00D277A8"/>
    <w:rsid w:val="00D31576"/>
    <w:rsid w:val="00D31836"/>
    <w:rsid w:val="00D32C65"/>
    <w:rsid w:val="00D32D64"/>
    <w:rsid w:val="00D34562"/>
    <w:rsid w:val="00D3638E"/>
    <w:rsid w:val="00D36456"/>
    <w:rsid w:val="00D36795"/>
    <w:rsid w:val="00D36F7B"/>
    <w:rsid w:val="00D37FF8"/>
    <w:rsid w:val="00D40DAD"/>
    <w:rsid w:val="00D4146E"/>
    <w:rsid w:val="00D43E28"/>
    <w:rsid w:val="00D4450D"/>
    <w:rsid w:val="00D4459B"/>
    <w:rsid w:val="00D44A70"/>
    <w:rsid w:val="00D455CC"/>
    <w:rsid w:val="00D47ED1"/>
    <w:rsid w:val="00D47FF1"/>
    <w:rsid w:val="00D50D89"/>
    <w:rsid w:val="00D510F2"/>
    <w:rsid w:val="00D51F5D"/>
    <w:rsid w:val="00D527EF"/>
    <w:rsid w:val="00D52D4C"/>
    <w:rsid w:val="00D55724"/>
    <w:rsid w:val="00D55A69"/>
    <w:rsid w:val="00D55CEB"/>
    <w:rsid w:val="00D55E2F"/>
    <w:rsid w:val="00D55EB7"/>
    <w:rsid w:val="00D56C43"/>
    <w:rsid w:val="00D56F76"/>
    <w:rsid w:val="00D5798B"/>
    <w:rsid w:val="00D60339"/>
    <w:rsid w:val="00D61705"/>
    <w:rsid w:val="00D61BAA"/>
    <w:rsid w:val="00D62B00"/>
    <w:rsid w:val="00D631DE"/>
    <w:rsid w:val="00D6323D"/>
    <w:rsid w:val="00D632B9"/>
    <w:rsid w:val="00D6348E"/>
    <w:rsid w:val="00D64618"/>
    <w:rsid w:val="00D6513A"/>
    <w:rsid w:val="00D6514C"/>
    <w:rsid w:val="00D656C5"/>
    <w:rsid w:val="00D6599F"/>
    <w:rsid w:val="00D66F92"/>
    <w:rsid w:val="00D70C7A"/>
    <w:rsid w:val="00D71116"/>
    <w:rsid w:val="00D7194B"/>
    <w:rsid w:val="00D7248F"/>
    <w:rsid w:val="00D72546"/>
    <w:rsid w:val="00D73E63"/>
    <w:rsid w:val="00D73F07"/>
    <w:rsid w:val="00D73F4C"/>
    <w:rsid w:val="00D74186"/>
    <w:rsid w:val="00D7517B"/>
    <w:rsid w:val="00D7554C"/>
    <w:rsid w:val="00D75814"/>
    <w:rsid w:val="00D75F04"/>
    <w:rsid w:val="00D763D0"/>
    <w:rsid w:val="00D76636"/>
    <w:rsid w:val="00D76CD9"/>
    <w:rsid w:val="00D76D6E"/>
    <w:rsid w:val="00D76EDB"/>
    <w:rsid w:val="00D77856"/>
    <w:rsid w:val="00D80438"/>
    <w:rsid w:val="00D804B2"/>
    <w:rsid w:val="00D80C2A"/>
    <w:rsid w:val="00D80DA9"/>
    <w:rsid w:val="00D83865"/>
    <w:rsid w:val="00D838BE"/>
    <w:rsid w:val="00D8408D"/>
    <w:rsid w:val="00D84191"/>
    <w:rsid w:val="00D85235"/>
    <w:rsid w:val="00D861C6"/>
    <w:rsid w:val="00D86ACC"/>
    <w:rsid w:val="00D87C02"/>
    <w:rsid w:val="00D90818"/>
    <w:rsid w:val="00D91088"/>
    <w:rsid w:val="00D92BEB"/>
    <w:rsid w:val="00D938DD"/>
    <w:rsid w:val="00D94E0F"/>
    <w:rsid w:val="00D952F9"/>
    <w:rsid w:val="00D95E73"/>
    <w:rsid w:val="00D95EF1"/>
    <w:rsid w:val="00D96F90"/>
    <w:rsid w:val="00D972C6"/>
    <w:rsid w:val="00D974D3"/>
    <w:rsid w:val="00D978B9"/>
    <w:rsid w:val="00DA130A"/>
    <w:rsid w:val="00DA2067"/>
    <w:rsid w:val="00DA2DDB"/>
    <w:rsid w:val="00DA34C9"/>
    <w:rsid w:val="00DA5104"/>
    <w:rsid w:val="00DA5133"/>
    <w:rsid w:val="00DA5754"/>
    <w:rsid w:val="00DA653F"/>
    <w:rsid w:val="00DA6736"/>
    <w:rsid w:val="00DA67D4"/>
    <w:rsid w:val="00DA6CE3"/>
    <w:rsid w:val="00DB0180"/>
    <w:rsid w:val="00DB08A9"/>
    <w:rsid w:val="00DB0B06"/>
    <w:rsid w:val="00DB166B"/>
    <w:rsid w:val="00DB181E"/>
    <w:rsid w:val="00DB1AFC"/>
    <w:rsid w:val="00DB2B18"/>
    <w:rsid w:val="00DB4896"/>
    <w:rsid w:val="00DB49DE"/>
    <w:rsid w:val="00DB4E71"/>
    <w:rsid w:val="00DB55B8"/>
    <w:rsid w:val="00DB599C"/>
    <w:rsid w:val="00DB5FEC"/>
    <w:rsid w:val="00DB661E"/>
    <w:rsid w:val="00DC01A1"/>
    <w:rsid w:val="00DC0DD5"/>
    <w:rsid w:val="00DC1852"/>
    <w:rsid w:val="00DC19B1"/>
    <w:rsid w:val="00DC1AC6"/>
    <w:rsid w:val="00DC38A4"/>
    <w:rsid w:val="00DC3ED6"/>
    <w:rsid w:val="00DC487F"/>
    <w:rsid w:val="00DC5B32"/>
    <w:rsid w:val="00DC7071"/>
    <w:rsid w:val="00DC7690"/>
    <w:rsid w:val="00DC7AB5"/>
    <w:rsid w:val="00DD1799"/>
    <w:rsid w:val="00DD1B35"/>
    <w:rsid w:val="00DD3250"/>
    <w:rsid w:val="00DD32CF"/>
    <w:rsid w:val="00DD3F91"/>
    <w:rsid w:val="00DD4883"/>
    <w:rsid w:val="00DD4F2D"/>
    <w:rsid w:val="00DD5561"/>
    <w:rsid w:val="00DD59ED"/>
    <w:rsid w:val="00DD5DEF"/>
    <w:rsid w:val="00DD62F6"/>
    <w:rsid w:val="00DD6858"/>
    <w:rsid w:val="00DE00B2"/>
    <w:rsid w:val="00DE024A"/>
    <w:rsid w:val="00DE0D7A"/>
    <w:rsid w:val="00DE1648"/>
    <w:rsid w:val="00DE1882"/>
    <w:rsid w:val="00DE19F5"/>
    <w:rsid w:val="00DE1B94"/>
    <w:rsid w:val="00DE1D8E"/>
    <w:rsid w:val="00DE26AE"/>
    <w:rsid w:val="00DE2FB9"/>
    <w:rsid w:val="00DE34AB"/>
    <w:rsid w:val="00DE457F"/>
    <w:rsid w:val="00DE514D"/>
    <w:rsid w:val="00DE55B2"/>
    <w:rsid w:val="00DE746D"/>
    <w:rsid w:val="00DF18D4"/>
    <w:rsid w:val="00DF1954"/>
    <w:rsid w:val="00DF2CDC"/>
    <w:rsid w:val="00DF40B0"/>
    <w:rsid w:val="00DF41B4"/>
    <w:rsid w:val="00DF42CB"/>
    <w:rsid w:val="00DF66ED"/>
    <w:rsid w:val="00DF67F3"/>
    <w:rsid w:val="00DF693F"/>
    <w:rsid w:val="00E007D7"/>
    <w:rsid w:val="00E01D43"/>
    <w:rsid w:val="00E0249B"/>
    <w:rsid w:val="00E02C40"/>
    <w:rsid w:val="00E02DC1"/>
    <w:rsid w:val="00E02F54"/>
    <w:rsid w:val="00E03701"/>
    <w:rsid w:val="00E040CB"/>
    <w:rsid w:val="00E04176"/>
    <w:rsid w:val="00E048B5"/>
    <w:rsid w:val="00E0557A"/>
    <w:rsid w:val="00E05E2C"/>
    <w:rsid w:val="00E066FB"/>
    <w:rsid w:val="00E07896"/>
    <w:rsid w:val="00E07A18"/>
    <w:rsid w:val="00E10D2B"/>
    <w:rsid w:val="00E114BD"/>
    <w:rsid w:val="00E124BF"/>
    <w:rsid w:val="00E1353F"/>
    <w:rsid w:val="00E13BD8"/>
    <w:rsid w:val="00E13E21"/>
    <w:rsid w:val="00E142DB"/>
    <w:rsid w:val="00E14921"/>
    <w:rsid w:val="00E14D38"/>
    <w:rsid w:val="00E15185"/>
    <w:rsid w:val="00E15977"/>
    <w:rsid w:val="00E1624E"/>
    <w:rsid w:val="00E17D11"/>
    <w:rsid w:val="00E20645"/>
    <w:rsid w:val="00E20655"/>
    <w:rsid w:val="00E2083C"/>
    <w:rsid w:val="00E215B3"/>
    <w:rsid w:val="00E21700"/>
    <w:rsid w:val="00E21792"/>
    <w:rsid w:val="00E21C7D"/>
    <w:rsid w:val="00E21FA7"/>
    <w:rsid w:val="00E22A90"/>
    <w:rsid w:val="00E22C5B"/>
    <w:rsid w:val="00E22D6B"/>
    <w:rsid w:val="00E23681"/>
    <w:rsid w:val="00E23731"/>
    <w:rsid w:val="00E245D8"/>
    <w:rsid w:val="00E24681"/>
    <w:rsid w:val="00E248F9"/>
    <w:rsid w:val="00E25F6A"/>
    <w:rsid w:val="00E2656B"/>
    <w:rsid w:val="00E269B4"/>
    <w:rsid w:val="00E27167"/>
    <w:rsid w:val="00E27170"/>
    <w:rsid w:val="00E3151C"/>
    <w:rsid w:val="00E31FE6"/>
    <w:rsid w:val="00E323A0"/>
    <w:rsid w:val="00E323C2"/>
    <w:rsid w:val="00E3244A"/>
    <w:rsid w:val="00E3291E"/>
    <w:rsid w:val="00E32CD2"/>
    <w:rsid w:val="00E32E7F"/>
    <w:rsid w:val="00E35C82"/>
    <w:rsid w:val="00E366CB"/>
    <w:rsid w:val="00E372CF"/>
    <w:rsid w:val="00E37AA4"/>
    <w:rsid w:val="00E403C5"/>
    <w:rsid w:val="00E40B27"/>
    <w:rsid w:val="00E412A6"/>
    <w:rsid w:val="00E41E26"/>
    <w:rsid w:val="00E41F58"/>
    <w:rsid w:val="00E41FF3"/>
    <w:rsid w:val="00E42507"/>
    <w:rsid w:val="00E42620"/>
    <w:rsid w:val="00E4313E"/>
    <w:rsid w:val="00E43195"/>
    <w:rsid w:val="00E431B6"/>
    <w:rsid w:val="00E43341"/>
    <w:rsid w:val="00E43967"/>
    <w:rsid w:val="00E43A51"/>
    <w:rsid w:val="00E445B5"/>
    <w:rsid w:val="00E4629A"/>
    <w:rsid w:val="00E473A6"/>
    <w:rsid w:val="00E47C93"/>
    <w:rsid w:val="00E5107D"/>
    <w:rsid w:val="00E51448"/>
    <w:rsid w:val="00E51B43"/>
    <w:rsid w:val="00E532CC"/>
    <w:rsid w:val="00E53304"/>
    <w:rsid w:val="00E5410B"/>
    <w:rsid w:val="00E54A88"/>
    <w:rsid w:val="00E554D7"/>
    <w:rsid w:val="00E55608"/>
    <w:rsid w:val="00E55A85"/>
    <w:rsid w:val="00E567BC"/>
    <w:rsid w:val="00E5727A"/>
    <w:rsid w:val="00E579F1"/>
    <w:rsid w:val="00E60593"/>
    <w:rsid w:val="00E60625"/>
    <w:rsid w:val="00E612D6"/>
    <w:rsid w:val="00E6190B"/>
    <w:rsid w:val="00E61E34"/>
    <w:rsid w:val="00E63888"/>
    <w:rsid w:val="00E65C37"/>
    <w:rsid w:val="00E65D65"/>
    <w:rsid w:val="00E65F9F"/>
    <w:rsid w:val="00E670A3"/>
    <w:rsid w:val="00E6774E"/>
    <w:rsid w:val="00E67DB4"/>
    <w:rsid w:val="00E71782"/>
    <w:rsid w:val="00E728F4"/>
    <w:rsid w:val="00E7306F"/>
    <w:rsid w:val="00E73611"/>
    <w:rsid w:val="00E7477E"/>
    <w:rsid w:val="00E748D0"/>
    <w:rsid w:val="00E74A6F"/>
    <w:rsid w:val="00E75773"/>
    <w:rsid w:val="00E76349"/>
    <w:rsid w:val="00E76A99"/>
    <w:rsid w:val="00E77E01"/>
    <w:rsid w:val="00E80D57"/>
    <w:rsid w:val="00E81500"/>
    <w:rsid w:val="00E828DE"/>
    <w:rsid w:val="00E82C8E"/>
    <w:rsid w:val="00E83B8E"/>
    <w:rsid w:val="00E855E8"/>
    <w:rsid w:val="00E855F4"/>
    <w:rsid w:val="00E86948"/>
    <w:rsid w:val="00E90369"/>
    <w:rsid w:val="00E91005"/>
    <w:rsid w:val="00E92240"/>
    <w:rsid w:val="00E92450"/>
    <w:rsid w:val="00E94558"/>
    <w:rsid w:val="00E94A3E"/>
    <w:rsid w:val="00E9590D"/>
    <w:rsid w:val="00E96BA0"/>
    <w:rsid w:val="00E973B5"/>
    <w:rsid w:val="00E97856"/>
    <w:rsid w:val="00E97CD7"/>
    <w:rsid w:val="00E97FD4"/>
    <w:rsid w:val="00EA08E3"/>
    <w:rsid w:val="00EA1D55"/>
    <w:rsid w:val="00EA3907"/>
    <w:rsid w:val="00EA39FA"/>
    <w:rsid w:val="00EA455D"/>
    <w:rsid w:val="00EA68C3"/>
    <w:rsid w:val="00EA7741"/>
    <w:rsid w:val="00EA7F8C"/>
    <w:rsid w:val="00EB0028"/>
    <w:rsid w:val="00EB06A3"/>
    <w:rsid w:val="00EB0B2A"/>
    <w:rsid w:val="00EB336F"/>
    <w:rsid w:val="00EB37F8"/>
    <w:rsid w:val="00EB40AA"/>
    <w:rsid w:val="00EB439E"/>
    <w:rsid w:val="00EB4614"/>
    <w:rsid w:val="00EB4D8D"/>
    <w:rsid w:val="00EB568A"/>
    <w:rsid w:val="00EB60C1"/>
    <w:rsid w:val="00EB6346"/>
    <w:rsid w:val="00EB6960"/>
    <w:rsid w:val="00EB7310"/>
    <w:rsid w:val="00EC21BA"/>
    <w:rsid w:val="00EC2958"/>
    <w:rsid w:val="00EC2EF8"/>
    <w:rsid w:val="00EC38A3"/>
    <w:rsid w:val="00EC3906"/>
    <w:rsid w:val="00EC39D2"/>
    <w:rsid w:val="00EC4820"/>
    <w:rsid w:val="00EC4E88"/>
    <w:rsid w:val="00EC571C"/>
    <w:rsid w:val="00EC5EF2"/>
    <w:rsid w:val="00EC6256"/>
    <w:rsid w:val="00EC6295"/>
    <w:rsid w:val="00EC7262"/>
    <w:rsid w:val="00EC738D"/>
    <w:rsid w:val="00EC7D45"/>
    <w:rsid w:val="00ED029B"/>
    <w:rsid w:val="00ED0382"/>
    <w:rsid w:val="00ED076A"/>
    <w:rsid w:val="00ED1B0A"/>
    <w:rsid w:val="00ED235A"/>
    <w:rsid w:val="00ED32E2"/>
    <w:rsid w:val="00ED3CB8"/>
    <w:rsid w:val="00ED3E9F"/>
    <w:rsid w:val="00ED4787"/>
    <w:rsid w:val="00ED47F2"/>
    <w:rsid w:val="00ED5607"/>
    <w:rsid w:val="00ED68B8"/>
    <w:rsid w:val="00ED6E6F"/>
    <w:rsid w:val="00ED7821"/>
    <w:rsid w:val="00ED7D95"/>
    <w:rsid w:val="00EE0536"/>
    <w:rsid w:val="00EE08BC"/>
    <w:rsid w:val="00EE3654"/>
    <w:rsid w:val="00EE3BBA"/>
    <w:rsid w:val="00EE4482"/>
    <w:rsid w:val="00EE451B"/>
    <w:rsid w:val="00EE5173"/>
    <w:rsid w:val="00EE52A2"/>
    <w:rsid w:val="00EE5B2D"/>
    <w:rsid w:val="00EE5B2F"/>
    <w:rsid w:val="00EE5EB0"/>
    <w:rsid w:val="00EE60A3"/>
    <w:rsid w:val="00EE60EB"/>
    <w:rsid w:val="00EE6C76"/>
    <w:rsid w:val="00EE776F"/>
    <w:rsid w:val="00EF0B73"/>
    <w:rsid w:val="00EF1DBD"/>
    <w:rsid w:val="00EF1F4C"/>
    <w:rsid w:val="00EF38CF"/>
    <w:rsid w:val="00EF3EC5"/>
    <w:rsid w:val="00EF5E85"/>
    <w:rsid w:val="00EF5FB0"/>
    <w:rsid w:val="00EF61DF"/>
    <w:rsid w:val="00EF6A3B"/>
    <w:rsid w:val="00EF743D"/>
    <w:rsid w:val="00EF7B75"/>
    <w:rsid w:val="00F02796"/>
    <w:rsid w:val="00F02A0B"/>
    <w:rsid w:val="00F02C32"/>
    <w:rsid w:val="00F02ECF"/>
    <w:rsid w:val="00F04D21"/>
    <w:rsid w:val="00F0574B"/>
    <w:rsid w:val="00F058E3"/>
    <w:rsid w:val="00F05E15"/>
    <w:rsid w:val="00F0664B"/>
    <w:rsid w:val="00F069F6"/>
    <w:rsid w:val="00F070D5"/>
    <w:rsid w:val="00F070E1"/>
    <w:rsid w:val="00F07991"/>
    <w:rsid w:val="00F07F05"/>
    <w:rsid w:val="00F1043D"/>
    <w:rsid w:val="00F1050D"/>
    <w:rsid w:val="00F10D57"/>
    <w:rsid w:val="00F12882"/>
    <w:rsid w:val="00F1302E"/>
    <w:rsid w:val="00F1383A"/>
    <w:rsid w:val="00F14950"/>
    <w:rsid w:val="00F16866"/>
    <w:rsid w:val="00F170AD"/>
    <w:rsid w:val="00F17C19"/>
    <w:rsid w:val="00F17D10"/>
    <w:rsid w:val="00F17FEF"/>
    <w:rsid w:val="00F20A4D"/>
    <w:rsid w:val="00F22079"/>
    <w:rsid w:val="00F2225F"/>
    <w:rsid w:val="00F231EA"/>
    <w:rsid w:val="00F236E6"/>
    <w:rsid w:val="00F2422D"/>
    <w:rsid w:val="00F24FE6"/>
    <w:rsid w:val="00F25E97"/>
    <w:rsid w:val="00F273CB"/>
    <w:rsid w:val="00F27B04"/>
    <w:rsid w:val="00F27D75"/>
    <w:rsid w:val="00F312C5"/>
    <w:rsid w:val="00F327D4"/>
    <w:rsid w:val="00F343B2"/>
    <w:rsid w:val="00F37811"/>
    <w:rsid w:val="00F412AC"/>
    <w:rsid w:val="00F416C9"/>
    <w:rsid w:val="00F41E8F"/>
    <w:rsid w:val="00F46B16"/>
    <w:rsid w:val="00F477CD"/>
    <w:rsid w:val="00F47CB4"/>
    <w:rsid w:val="00F47E8C"/>
    <w:rsid w:val="00F5015A"/>
    <w:rsid w:val="00F5071E"/>
    <w:rsid w:val="00F508DF"/>
    <w:rsid w:val="00F515A7"/>
    <w:rsid w:val="00F52C87"/>
    <w:rsid w:val="00F52D7F"/>
    <w:rsid w:val="00F52F8B"/>
    <w:rsid w:val="00F53749"/>
    <w:rsid w:val="00F5399A"/>
    <w:rsid w:val="00F550CE"/>
    <w:rsid w:val="00F5565E"/>
    <w:rsid w:val="00F55761"/>
    <w:rsid w:val="00F565D6"/>
    <w:rsid w:val="00F56FF9"/>
    <w:rsid w:val="00F600BE"/>
    <w:rsid w:val="00F6135D"/>
    <w:rsid w:val="00F6199E"/>
    <w:rsid w:val="00F6234B"/>
    <w:rsid w:val="00F62547"/>
    <w:rsid w:val="00F6313C"/>
    <w:rsid w:val="00F63198"/>
    <w:rsid w:val="00F634E6"/>
    <w:rsid w:val="00F63501"/>
    <w:rsid w:val="00F63724"/>
    <w:rsid w:val="00F63927"/>
    <w:rsid w:val="00F64294"/>
    <w:rsid w:val="00F647BF"/>
    <w:rsid w:val="00F655B3"/>
    <w:rsid w:val="00F65732"/>
    <w:rsid w:val="00F66CA7"/>
    <w:rsid w:val="00F67809"/>
    <w:rsid w:val="00F70C03"/>
    <w:rsid w:val="00F71900"/>
    <w:rsid w:val="00F71C29"/>
    <w:rsid w:val="00F71F1A"/>
    <w:rsid w:val="00F723FB"/>
    <w:rsid w:val="00F7381C"/>
    <w:rsid w:val="00F746F9"/>
    <w:rsid w:val="00F76315"/>
    <w:rsid w:val="00F76BA4"/>
    <w:rsid w:val="00F81084"/>
    <w:rsid w:val="00F8264C"/>
    <w:rsid w:val="00F83175"/>
    <w:rsid w:val="00F8327B"/>
    <w:rsid w:val="00F832C3"/>
    <w:rsid w:val="00F83AF4"/>
    <w:rsid w:val="00F83EF3"/>
    <w:rsid w:val="00F84676"/>
    <w:rsid w:val="00F846FE"/>
    <w:rsid w:val="00F84E60"/>
    <w:rsid w:val="00F84FCA"/>
    <w:rsid w:val="00F85130"/>
    <w:rsid w:val="00F8563A"/>
    <w:rsid w:val="00F857E4"/>
    <w:rsid w:val="00F86847"/>
    <w:rsid w:val="00F87B0C"/>
    <w:rsid w:val="00F87EB1"/>
    <w:rsid w:val="00F90015"/>
    <w:rsid w:val="00F91853"/>
    <w:rsid w:val="00F91909"/>
    <w:rsid w:val="00F92340"/>
    <w:rsid w:val="00F93E5C"/>
    <w:rsid w:val="00F950C2"/>
    <w:rsid w:val="00F95531"/>
    <w:rsid w:val="00F96093"/>
    <w:rsid w:val="00F961B0"/>
    <w:rsid w:val="00F963BA"/>
    <w:rsid w:val="00F96625"/>
    <w:rsid w:val="00F966CC"/>
    <w:rsid w:val="00F97DB9"/>
    <w:rsid w:val="00FA055D"/>
    <w:rsid w:val="00FA15A0"/>
    <w:rsid w:val="00FA15E6"/>
    <w:rsid w:val="00FA2664"/>
    <w:rsid w:val="00FA2D47"/>
    <w:rsid w:val="00FA3CFD"/>
    <w:rsid w:val="00FA48A7"/>
    <w:rsid w:val="00FA4AB3"/>
    <w:rsid w:val="00FA4F1F"/>
    <w:rsid w:val="00FA7883"/>
    <w:rsid w:val="00FA7FE8"/>
    <w:rsid w:val="00FB08E3"/>
    <w:rsid w:val="00FB0B9C"/>
    <w:rsid w:val="00FB1853"/>
    <w:rsid w:val="00FB1FB3"/>
    <w:rsid w:val="00FB304F"/>
    <w:rsid w:val="00FB40A0"/>
    <w:rsid w:val="00FB4143"/>
    <w:rsid w:val="00FB5BE8"/>
    <w:rsid w:val="00FB771A"/>
    <w:rsid w:val="00FB7934"/>
    <w:rsid w:val="00FC0317"/>
    <w:rsid w:val="00FC1484"/>
    <w:rsid w:val="00FC15EE"/>
    <w:rsid w:val="00FC18DA"/>
    <w:rsid w:val="00FC2A07"/>
    <w:rsid w:val="00FC2A15"/>
    <w:rsid w:val="00FC300E"/>
    <w:rsid w:val="00FC362E"/>
    <w:rsid w:val="00FC4256"/>
    <w:rsid w:val="00FC5DDA"/>
    <w:rsid w:val="00FC7725"/>
    <w:rsid w:val="00FD059D"/>
    <w:rsid w:val="00FD06FE"/>
    <w:rsid w:val="00FD0CAC"/>
    <w:rsid w:val="00FD111A"/>
    <w:rsid w:val="00FD2987"/>
    <w:rsid w:val="00FD3BB9"/>
    <w:rsid w:val="00FD4D38"/>
    <w:rsid w:val="00FD4E5E"/>
    <w:rsid w:val="00FD5367"/>
    <w:rsid w:val="00FD6712"/>
    <w:rsid w:val="00FD6E82"/>
    <w:rsid w:val="00FD76E2"/>
    <w:rsid w:val="00FD7B37"/>
    <w:rsid w:val="00FD7BF5"/>
    <w:rsid w:val="00FE0357"/>
    <w:rsid w:val="00FE2CBB"/>
    <w:rsid w:val="00FE3D5E"/>
    <w:rsid w:val="00FE5015"/>
    <w:rsid w:val="00FE6333"/>
    <w:rsid w:val="00FE7075"/>
    <w:rsid w:val="00FE7888"/>
    <w:rsid w:val="00FF0613"/>
    <w:rsid w:val="00FF1FD1"/>
    <w:rsid w:val="00FF2449"/>
    <w:rsid w:val="00FF30AD"/>
    <w:rsid w:val="00FF3945"/>
    <w:rsid w:val="00FF474A"/>
    <w:rsid w:val="00FF4E84"/>
    <w:rsid w:val="00FF5525"/>
    <w:rsid w:val="00FF5686"/>
    <w:rsid w:val="00FF68ED"/>
    <w:rsid w:val="00FF7951"/>
    <w:rsid w:val="02D31DF5"/>
    <w:rsid w:val="03751A8E"/>
    <w:rsid w:val="043C3749"/>
    <w:rsid w:val="05EE7FFA"/>
    <w:rsid w:val="063F64CF"/>
    <w:rsid w:val="07D478A0"/>
    <w:rsid w:val="08387E2F"/>
    <w:rsid w:val="088744A1"/>
    <w:rsid w:val="0993046C"/>
    <w:rsid w:val="09CA1EF9"/>
    <w:rsid w:val="0A782765"/>
    <w:rsid w:val="0AC3652D"/>
    <w:rsid w:val="0B907F82"/>
    <w:rsid w:val="0BEA32BC"/>
    <w:rsid w:val="0C0632EE"/>
    <w:rsid w:val="0D577949"/>
    <w:rsid w:val="0E6F3596"/>
    <w:rsid w:val="0EB465EB"/>
    <w:rsid w:val="0F7D5871"/>
    <w:rsid w:val="0FC51656"/>
    <w:rsid w:val="10D25671"/>
    <w:rsid w:val="11666C22"/>
    <w:rsid w:val="117C28BE"/>
    <w:rsid w:val="11AF0294"/>
    <w:rsid w:val="124851F8"/>
    <w:rsid w:val="13716415"/>
    <w:rsid w:val="13A50343"/>
    <w:rsid w:val="14065FD1"/>
    <w:rsid w:val="147A1067"/>
    <w:rsid w:val="15691437"/>
    <w:rsid w:val="15973CBB"/>
    <w:rsid w:val="18F338FE"/>
    <w:rsid w:val="19131002"/>
    <w:rsid w:val="19C201A3"/>
    <w:rsid w:val="1B3A0EEC"/>
    <w:rsid w:val="1BFA137F"/>
    <w:rsid w:val="1C355E4B"/>
    <w:rsid w:val="1C473594"/>
    <w:rsid w:val="1CC735C3"/>
    <w:rsid w:val="1D730C34"/>
    <w:rsid w:val="1E1D5E77"/>
    <w:rsid w:val="1E345AD2"/>
    <w:rsid w:val="1E38229C"/>
    <w:rsid w:val="1EB73758"/>
    <w:rsid w:val="1EF227E6"/>
    <w:rsid w:val="1EFB092D"/>
    <w:rsid w:val="1F09007C"/>
    <w:rsid w:val="1F115A41"/>
    <w:rsid w:val="1FE1135B"/>
    <w:rsid w:val="21C959CC"/>
    <w:rsid w:val="2297112B"/>
    <w:rsid w:val="22A62E39"/>
    <w:rsid w:val="22D24B14"/>
    <w:rsid w:val="24166017"/>
    <w:rsid w:val="25457EFB"/>
    <w:rsid w:val="265D1F8F"/>
    <w:rsid w:val="27A71CA8"/>
    <w:rsid w:val="27D8263D"/>
    <w:rsid w:val="28C41D62"/>
    <w:rsid w:val="29795D3D"/>
    <w:rsid w:val="2A1631F2"/>
    <w:rsid w:val="2A2A3AAB"/>
    <w:rsid w:val="2A513315"/>
    <w:rsid w:val="2AC37F0F"/>
    <w:rsid w:val="2B3C592C"/>
    <w:rsid w:val="2BBA5EBE"/>
    <w:rsid w:val="2D0669E7"/>
    <w:rsid w:val="2FCB161C"/>
    <w:rsid w:val="308563F2"/>
    <w:rsid w:val="31C82D06"/>
    <w:rsid w:val="31E86B06"/>
    <w:rsid w:val="321E3342"/>
    <w:rsid w:val="32546851"/>
    <w:rsid w:val="34105163"/>
    <w:rsid w:val="376B0DD8"/>
    <w:rsid w:val="379B1F8C"/>
    <w:rsid w:val="381E73A4"/>
    <w:rsid w:val="38731C98"/>
    <w:rsid w:val="39A45012"/>
    <w:rsid w:val="3A4359F6"/>
    <w:rsid w:val="3A7C6091"/>
    <w:rsid w:val="3AAB1C38"/>
    <w:rsid w:val="3B520650"/>
    <w:rsid w:val="3C1D4F87"/>
    <w:rsid w:val="3D233F03"/>
    <w:rsid w:val="3D5672BD"/>
    <w:rsid w:val="3D8D7A40"/>
    <w:rsid w:val="3DA85544"/>
    <w:rsid w:val="3E1D4DF6"/>
    <w:rsid w:val="3EA437B1"/>
    <w:rsid w:val="3FF72F6F"/>
    <w:rsid w:val="401C00A5"/>
    <w:rsid w:val="405E3BCF"/>
    <w:rsid w:val="42413623"/>
    <w:rsid w:val="43206738"/>
    <w:rsid w:val="44210BDB"/>
    <w:rsid w:val="45A7579D"/>
    <w:rsid w:val="461F5E14"/>
    <w:rsid w:val="467F3DAA"/>
    <w:rsid w:val="46D110ED"/>
    <w:rsid w:val="48E43CBB"/>
    <w:rsid w:val="490D77FB"/>
    <w:rsid w:val="49B90A93"/>
    <w:rsid w:val="4BF374E9"/>
    <w:rsid w:val="4C5F1378"/>
    <w:rsid w:val="4C651E42"/>
    <w:rsid w:val="4D8510CB"/>
    <w:rsid w:val="4E6F51FA"/>
    <w:rsid w:val="50097FEC"/>
    <w:rsid w:val="50932BDA"/>
    <w:rsid w:val="515D02A8"/>
    <w:rsid w:val="52F1436D"/>
    <w:rsid w:val="532838FB"/>
    <w:rsid w:val="53E04DE6"/>
    <w:rsid w:val="546F0320"/>
    <w:rsid w:val="549B46E1"/>
    <w:rsid w:val="54D745DB"/>
    <w:rsid w:val="553C7901"/>
    <w:rsid w:val="56B454F4"/>
    <w:rsid w:val="57021870"/>
    <w:rsid w:val="57244328"/>
    <w:rsid w:val="57DD458C"/>
    <w:rsid w:val="592537AE"/>
    <w:rsid w:val="592F4560"/>
    <w:rsid w:val="59D13288"/>
    <w:rsid w:val="5B140702"/>
    <w:rsid w:val="5C077946"/>
    <w:rsid w:val="5D230A13"/>
    <w:rsid w:val="5D3709A6"/>
    <w:rsid w:val="5D474E84"/>
    <w:rsid w:val="5E280F21"/>
    <w:rsid w:val="5F0C30DF"/>
    <w:rsid w:val="5F1D035A"/>
    <w:rsid w:val="5F27498C"/>
    <w:rsid w:val="5FBA724F"/>
    <w:rsid w:val="61254D36"/>
    <w:rsid w:val="61FC6F82"/>
    <w:rsid w:val="621D3B1E"/>
    <w:rsid w:val="6265042E"/>
    <w:rsid w:val="62F0533F"/>
    <w:rsid w:val="632B74E9"/>
    <w:rsid w:val="635B58F5"/>
    <w:rsid w:val="64A33B88"/>
    <w:rsid w:val="64B856EB"/>
    <w:rsid w:val="65347C56"/>
    <w:rsid w:val="65C37496"/>
    <w:rsid w:val="65E343FA"/>
    <w:rsid w:val="664824B3"/>
    <w:rsid w:val="66847740"/>
    <w:rsid w:val="673A3467"/>
    <w:rsid w:val="678F70C5"/>
    <w:rsid w:val="679105D6"/>
    <w:rsid w:val="6797036D"/>
    <w:rsid w:val="67EA24B0"/>
    <w:rsid w:val="69CE373A"/>
    <w:rsid w:val="6B722537"/>
    <w:rsid w:val="6D4D32CD"/>
    <w:rsid w:val="6D89633F"/>
    <w:rsid w:val="6DE93BFD"/>
    <w:rsid w:val="6E6A1C30"/>
    <w:rsid w:val="70030FCD"/>
    <w:rsid w:val="70760A7F"/>
    <w:rsid w:val="707A50E3"/>
    <w:rsid w:val="70BE37D1"/>
    <w:rsid w:val="70E138DD"/>
    <w:rsid w:val="72C03A9E"/>
    <w:rsid w:val="744C59E1"/>
    <w:rsid w:val="75D8158F"/>
    <w:rsid w:val="767B20DE"/>
    <w:rsid w:val="778B00FF"/>
    <w:rsid w:val="77AB7792"/>
    <w:rsid w:val="792427A7"/>
    <w:rsid w:val="79DA070D"/>
    <w:rsid w:val="7AD41DBD"/>
    <w:rsid w:val="7BE90F4C"/>
    <w:rsid w:val="7C7D510B"/>
    <w:rsid w:val="7C9F0E04"/>
    <w:rsid w:val="7CAE0148"/>
    <w:rsid w:val="7CB27627"/>
    <w:rsid w:val="7CD95DB0"/>
    <w:rsid w:val="7EA1645A"/>
    <w:rsid w:val="7F714A5C"/>
    <w:rsid w:val="7FF9473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qFormat="1" w:unhideWhenUsed="0" w:uiPriority="0" w:semiHidden="0"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99" w:semiHidden="0" w:name="Date"/>
    <w:lsdException w:unhideWhenUsed="0" w:uiPriority="0" w:semiHidden="0" w:name="Body Text First Indent"/>
    <w:lsdException w:uiPriority="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360" w:lineRule="auto"/>
      <w:ind w:firstLine="200" w:firstLineChars="20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58"/>
    <w:qFormat/>
    <w:uiPriority w:val="0"/>
    <w:pPr>
      <w:keepNext/>
      <w:keepLines/>
      <w:spacing w:before="240" w:after="240"/>
      <w:outlineLvl w:val="1"/>
    </w:pPr>
    <w:rPr>
      <w:rFonts w:ascii="Arial" w:hAnsi="Arial" w:eastAsia="黑体"/>
      <w:b/>
      <w:bCs/>
      <w:sz w:val="32"/>
      <w:szCs w:val="32"/>
    </w:rPr>
  </w:style>
  <w:style w:type="paragraph" w:styleId="4">
    <w:name w:val="heading 3"/>
    <w:basedOn w:val="1"/>
    <w:next w:val="1"/>
    <w:link w:val="59"/>
    <w:qFormat/>
    <w:uiPriority w:val="0"/>
    <w:pPr>
      <w:keepNext/>
      <w:keepLines/>
      <w:spacing w:before="120" w:after="120"/>
      <w:outlineLvl w:val="2"/>
    </w:pPr>
    <w:rPr>
      <w:b/>
      <w:bCs/>
      <w:sz w:val="24"/>
      <w:szCs w:val="32"/>
    </w:rPr>
  </w:style>
  <w:style w:type="paragraph" w:styleId="5">
    <w:name w:val="heading 4"/>
    <w:basedOn w:val="1"/>
    <w:next w:val="1"/>
    <w:link w:val="60"/>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61"/>
    <w:qFormat/>
    <w:uiPriority w:val="0"/>
    <w:pPr>
      <w:keepNext/>
      <w:keepLines/>
      <w:tabs>
        <w:tab w:val="left" w:pos="1008"/>
      </w:tabs>
      <w:spacing w:before="280" w:after="290" w:line="376" w:lineRule="auto"/>
      <w:ind w:left="1008" w:hanging="1008"/>
      <w:jc w:val="left"/>
      <w:outlineLvl w:val="4"/>
    </w:pPr>
    <w:rPr>
      <w:b/>
      <w:bCs/>
      <w:kern w:val="0"/>
      <w:sz w:val="28"/>
      <w:szCs w:val="28"/>
    </w:rPr>
  </w:style>
  <w:style w:type="paragraph" w:styleId="7">
    <w:name w:val="heading 6"/>
    <w:basedOn w:val="1"/>
    <w:next w:val="1"/>
    <w:link w:val="62"/>
    <w:qFormat/>
    <w:uiPriority w:val="0"/>
    <w:pPr>
      <w:keepNext/>
      <w:keepLines/>
      <w:tabs>
        <w:tab w:val="left" w:pos="1440"/>
      </w:tabs>
      <w:spacing w:before="240" w:after="64" w:line="320" w:lineRule="auto"/>
      <w:ind w:left="1152" w:hanging="1152"/>
      <w:jc w:val="left"/>
      <w:outlineLvl w:val="5"/>
    </w:pPr>
    <w:rPr>
      <w:rFonts w:ascii="Arial" w:hAnsi="Arial" w:eastAsia="黑体"/>
      <w:b/>
      <w:bCs/>
      <w:kern w:val="0"/>
      <w:sz w:val="24"/>
    </w:rPr>
  </w:style>
  <w:style w:type="paragraph" w:styleId="8">
    <w:name w:val="heading 7"/>
    <w:basedOn w:val="1"/>
    <w:next w:val="1"/>
    <w:link w:val="63"/>
    <w:qFormat/>
    <w:uiPriority w:val="0"/>
    <w:pPr>
      <w:keepNext/>
      <w:keepLines/>
      <w:tabs>
        <w:tab w:val="left" w:pos="2520"/>
      </w:tabs>
      <w:spacing w:before="240" w:after="64" w:line="320" w:lineRule="auto"/>
      <w:ind w:left="1296" w:hanging="1296"/>
      <w:jc w:val="left"/>
      <w:outlineLvl w:val="6"/>
    </w:pPr>
    <w:rPr>
      <w:b/>
      <w:bCs/>
      <w:kern w:val="0"/>
      <w:sz w:val="24"/>
    </w:rPr>
  </w:style>
  <w:style w:type="paragraph" w:styleId="9">
    <w:name w:val="heading 8"/>
    <w:basedOn w:val="1"/>
    <w:next w:val="1"/>
    <w:link w:val="64"/>
    <w:qFormat/>
    <w:uiPriority w:val="0"/>
    <w:pPr>
      <w:keepNext/>
      <w:keepLines/>
      <w:tabs>
        <w:tab w:val="left" w:pos="1440"/>
      </w:tabs>
      <w:spacing w:before="240" w:after="64" w:line="320" w:lineRule="auto"/>
      <w:ind w:left="1440" w:hanging="1440"/>
      <w:jc w:val="left"/>
      <w:outlineLvl w:val="7"/>
    </w:pPr>
    <w:rPr>
      <w:rFonts w:ascii="Arial" w:hAnsi="Arial" w:eastAsia="黑体"/>
      <w:kern w:val="0"/>
      <w:sz w:val="24"/>
    </w:rPr>
  </w:style>
  <w:style w:type="paragraph" w:styleId="10">
    <w:name w:val="heading 9"/>
    <w:basedOn w:val="1"/>
    <w:next w:val="1"/>
    <w:link w:val="65"/>
    <w:qFormat/>
    <w:uiPriority w:val="0"/>
    <w:pPr>
      <w:keepNext/>
      <w:keepLines/>
      <w:tabs>
        <w:tab w:val="left" w:pos="1584"/>
      </w:tabs>
      <w:spacing w:before="240" w:after="64" w:line="320" w:lineRule="auto"/>
      <w:ind w:left="1584" w:hanging="1584"/>
      <w:jc w:val="left"/>
      <w:outlineLvl w:val="8"/>
    </w:pPr>
    <w:rPr>
      <w:rFonts w:ascii="Arial" w:hAnsi="Arial" w:eastAsia="黑体"/>
      <w:kern w:val="0"/>
      <w:szCs w:val="21"/>
    </w:rPr>
  </w:style>
  <w:style w:type="character" w:default="1" w:styleId="51">
    <w:name w:val="Default Paragraph Font"/>
    <w:unhideWhenUsed/>
    <w:qFormat/>
    <w:uiPriority w:val="1"/>
  </w:style>
  <w:style w:type="table" w:default="1" w:styleId="49">
    <w:name w:val="Normal Table"/>
    <w:unhideWhenUsed/>
    <w:qFormat/>
    <w:uiPriority w:val="99"/>
    <w:tblPr>
      <w:tblCellMar>
        <w:top w:w="0" w:type="dxa"/>
        <w:left w:w="108" w:type="dxa"/>
        <w:bottom w:w="0" w:type="dxa"/>
        <w:right w:w="108" w:type="dxa"/>
      </w:tblCellMar>
    </w:tblPr>
  </w:style>
  <w:style w:type="paragraph" w:styleId="11">
    <w:name w:val="List 3"/>
    <w:basedOn w:val="1"/>
    <w:qFormat/>
    <w:uiPriority w:val="0"/>
    <w:pPr>
      <w:ind w:left="100" w:leftChars="400" w:hanging="200" w:hangingChars="200"/>
    </w:pPr>
  </w:style>
  <w:style w:type="paragraph" w:styleId="12">
    <w:name w:val="toc 7"/>
    <w:basedOn w:val="1"/>
    <w:next w:val="1"/>
    <w:unhideWhenUsed/>
    <w:qFormat/>
    <w:uiPriority w:val="39"/>
    <w:pPr>
      <w:widowControl w:val="0"/>
      <w:spacing w:line="240" w:lineRule="auto"/>
      <w:ind w:left="2520" w:leftChars="1200" w:firstLine="0" w:firstLineChars="0"/>
    </w:pPr>
    <w:rPr>
      <w:rFonts w:ascii="等线" w:hAnsi="等线" w:eastAsia="等线" w:cs="Times New Roman"/>
      <w:szCs w:val="22"/>
    </w:rPr>
  </w:style>
  <w:style w:type="paragraph" w:styleId="13">
    <w:name w:val="Normal Indent"/>
    <w:basedOn w:val="1"/>
    <w:link w:val="66"/>
    <w:qFormat/>
    <w:uiPriority w:val="0"/>
  </w:style>
  <w:style w:type="paragraph" w:styleId="14">
    <w:name w:val="caption"/>
    <w:basedOn w:val="1"/>
    <w:next w:val="1"/>
    <w:qFormat/>
    <w:uiPriority w:val="0"/>
    <w:rPr>
      <w:rFonts w:ascii="Arial" w:hAnsi="Arial" w:eastAsia="黑体" w:cs="Arial"/>
      <w:sz w:val="20"/>
      <w:szCs w:val="20"/>
    </w:rPr>
  </w:style>
  <w:style w:type="paragraph" w:styleId="15">
    <w:name w:val="Document Map"/>
    <w:basedOn w:val="1"/>
    <w:link w:val="67"/>
    <w:qFormat/>
    <w:uiPriority w:val="99"/>
    <w:rPr>
      <w:rFonts w:ascii="宋体"/>
      <w:sz w:val="18"/>
      <w:szCs w:val="18"/>
    </w:rPr>
  </w:style>
  <w:style w:type="paragraph" w:styleId="16">
    <w:name w:val="toa heading"/>
    <w:basedOn w:val="1"/>
    <w:next w:val="1"/>
    <w:qFormat/>
    <w:uiPriority w:val="0"/>
    <w:pPr>
      <w:spacing w:before="120"/>
    </w:pPr>
    <w:rPr>
      <w:rFonts w:ascii="Arial" w:hAnsi="Arial"/>
      <w:b/>
      <w:bCs/>
    </w:rPr>
  </w:style>
  <w:style w:type="paragraph" w:styleId="17">
    <w:name w:val="annotation text"/>
    <w:basedOn w:val="1"/>
    <w:link w:val="68"/>
    <w:qFormat/>
    <w:uiPriority w:val="0"/>
    <w:pPr>
      <w:jc w:val="left"/>
    </w:pPr>
  </w:style>
  <w:style w:type="paragraph" w:styleId="18">
    <w:name w:val="Body Text 3"/>
    <w:basedOn w:val="1"/>
    <w:link w:val="69"/>
    <w:qFormat/>
    <w:uiPriority w:val="0"/>
    <w:rPr>
      <w:rFonts w:ascii="宋体"/>
      <w:sz w:val="24"/>
      <w:szCs w:val="20"/>
    </w:rPr>
  </w:style>
  <w:style w:type="paragraph" w:styleId="19">
    <w:name w:val="Body Text"/>
    <w:basedOn w:val="1"/>
    <w:link w:val="70"/>
    <w:qFormat/>
    <w:uiPriority w:val="1"/>
    <w:pPr>
      <w:spacing w:after="120"/>
    </w:pPr>
  </w:style>
  <w:style w:type="paragraph" w:styleId="20">
    <w:name w:val="Body Text Indent"/>
    <w:basedOn w:val="1"/>
    <w:link w:val="71"/>
    <w:qFormat/>
    <w:uiPriority w:val="99"/>
    <w:pPr>
      <w:spacing w:after="120"/>
      <w:ind w:left="420" w:leftChars="200"/>
    </w:pPr>
  </w:style>
  <w:style w:type="paragraph" w:styleId="21">
    <w:name w:val="List 2"/>
    <w:basedOn w:val="1"/>
    <w:qFormat/>
    <w:uiPriority w:val="0"/>
    <w:pPr>
      <w:ind w:left="100" w:leftChars="200" w:hanging="200" w:hangingChars="200"/>
    </w:pPr>
  </w:style>
  <w:style w:type="paragraph" w:styleId="22">
    <w:name w:val="List Bullet 2"/>
    <w:basedOn w:val="1"/>
    <w:qFormat/>
    <w:uiPriority w:val="0"/>
    <w:pPr>
      <w:tabs>
        <w:tab w:val="left" w:pos="780"/>
      </w:tabs>
      <w:ind w:left="840" w:hanging="420"/>
    </w:pPr>
  </w:style>
  <w:style w:type="paragraph" w:styleId="23">
    <w:name w:val="toc 5"/>
    <w:basedOn w:val="1"/>
    <w:next w:val="1"/>
    <w:unhideWhenUsed/>
    <w:qFormat/>
    <w:uiPriority w:val="39"/>
    <w:pPr>
      <w:widowControl w:val="0"/>
      <w:spacing w:line="240" w:lineRule="auto"/>
      <w:ind w:left="1680" w:leftChars="800" w:firstLine="0" w:firstLineChars="0"/>
    </w:pPr>
    <w:rPr>
      <w:rFonts w:ascii="等线" w:hAnsi="等线" w:eastAsia="等线" w:cs="Times New Roman"/>
      <w:szCs w:val="22"/>
    </w:rPr>
  </w:style>
  <w:style w:type="paragraph" w:styleId="24">
    <w:name w:val="toc 3"/>
    <w:basedOn w:val="1"/>
    <w:next w:val="1"/>
    <w:qFormat/>
    <w:uiPriority w:val="39"/>
    <w:pPr>
      <w:ind w:left="940"/>
      <w:jc w:val="left"/>
    </w:pPr>
    <w:rPr>
      <w:rFonts w:ascii="宋体" w:hAnsi="宋体"/>
      <w:kern w:val="0"/>
      <w:szCs w:val="21"/>
      <w:lang w:eastAsia="en-US"/>
    </w:rPr>
  </w:style>
  <w:style w:type="paragraph" w:styleId="25">
    <w:name w:val="Plain Text"/>
    <w:basedOn w:val="1"/>
    <w:link w:val="72"/>
    <w:qFormat/>
    <w:uiPriority w:val="0"/>
    <w:rPr>
      <w:rFonts w:ascii="宋体" w:hAnsi="Courier New"/>
      <w:szCs w:val="21"/>
    </w:rPr>
  </w:style>
  <w:style w:type="paragraph" w:styleId="26">
    <w:name w:val="toc 8"/>
    <w:basedOn w:val="1"/>
    <w:next w:val="1"/>
    <w:unhideWhenUsed/>
    <w:qFormat/>
    <w:uiPriority w:val="39"/>
    <w:pPr>
      <w:widowControl w:val="0"/>
      <w:spacing w:line="240" w:lineRule="auto"/>
      <w:ind w:left="2940" w:leftChars="1400" w:firstLine="0" w:firstLineChars="0"/>
    </w:pPr>
    <w:rPr>
      <w:rFonts w:ascii="等线" w:hAnsi="等线" w:eastAsia="等线" w:cs="Times New Roman"/>
      <w:szCs w:val="22"/>
    </w:rPr>
  </w:style>
  <w:style w:type="paragraph" w:styleId="27">
    <w:name w:val="Date"/>
    <w:basedOn w:val="1"/>
    <w:next w:val="1"/>
    <w:link w:val="73"/>
    <w:qFormat/>
    <w:uiPriority w:val="99"/>
    <w:rPr>
      <w:sz w:val="24"/>
      <w:szCs w:val="20"/>
    </w:rPr>
  </w:style>
  <w:style w:type="paragraph" w:styleId="28">
    <w:name w:val="Body Text Indent 2"/>
    <w:basedOn w:val="1"/>
    <w:link w:val="74"/>
    <w:qFormat/>
    <w:uiPriority w:val="0"/>
    <w:pPr>
      <w:ind w:firstLine="640"/>
    </w:pPr>
    <w:rPr>
      <w:rFonts w:eastAsia="仿宋_GB2312"/>
      <w:sz w:val="32"/>
    </w:rPr>
  </w:style>
  <w:style w:type="paragraph" w:styleId="29">
    <w:name w:val="endnote text"/>
    <w:basedOn w:val="1"/>
    <w:link w:val="75"/>
    <w:qFormat/>
    <w:uiPriority w:val="0"/>
    <w:pPr>
      <w:jc w:val="left"/>
    </w:pPr>
    <w:rPr>
      <w:rFonts w:ascii="Courier" w:hAnsi="Courier" w:eastAsia="PMingLiU"/>
      <w:snapToGrid w:val="0"/>
      <w:kern w:val="0"/>
      <w:sz w:val="24"/>
      <w:szCs w:val="20"/>
      <w:lang w:val="en-AU" w:eastAsia="en-US"/>
    </w:rPr>
  </w:style>
  <w:style w:type="paragraph" w:styleId="30">
    <w:name w:val="Balloon Text"/>
    <w:basedOn w:val="1"/>
    <w:link w:val="76"/>
    <w:qFormat/>
    <w:uiPriority w:val="99"/>
    <w:rPr>
      <w:sz w:val="18"/>
      <w:szCs w:val="18"/>
    </w:rPr>
  </w:style>
  <w:style w:type="paragraph" w:styleId="31">
    <w:name w:val="footer"/>
    <w:basedOn w:val="1"/>
    <w:link w:val="77"/>
    <w:qFormat/>
    <w:uiPriority w:val="99"/>
    <w:pPr>
      <w:tabs>
        <w:tab w:val="center" w:pos="4153"/>
        <w:tab w:val="right" w:pos="8306"/>
      </w:tabs>
      <w:snapToGrid w:val="0"/>
      <w:jc w:val="left"/>
    </w:pPr>
    <w:rPr>
      <w:sz w:val="18"/>
      <w:szCs w:val="18"/>
    </w:rPr>
  </w:style>
  <w:style w:type="paragraph" w:styleId="32">
    <w:name w:val="header"/>
    <w:basedOn w:val="1"/>
    <w:link w:val="78"/>
    <w:qFormat/>
    <w:uiPriority w:val="99"/>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widowControl w:val="0"/>
      <w:kinsoku w:val="0"/>
      <w:overflowPunct w:val="0"/>
      <w:autoSpaceDE w:val="0"/>
      <w:autoSpaceDN w:val="0"/>
      <w:adjustRightInd w:val="0"/>
      <w:snapToGrid w:val="0"/>
      <w:ind w:firstLine="0" w:firstLineChars="0"/>
      <w:jc w:val="left"/>
    </w:pPr>
    <w:rPr>
      <w:rFonts w:ascii="宋体" w:hAnsi="宋体"/>
      <w:kern w:val="0"/>
      <w:szCs w:val="21"/>
      <w:lang w:eastAsia="en-US"/>
    </w:rPr>
  </w:style>
  <w:style w:type="paragraph" w:styleId="34">
    <w:name w:val="toc 4"/>
    <w:basedOn w:val="1"/>
    <w:next w:val="1"/>
    <w:unhideWhenUsed/>
    <w:qFormat/>
    <w:uiPriority w:val="39"/>
    <w:pPr>
      <w:widowControl w:val="0"/>
      <w:spacing w:line="240" w:lineRule="auto"/>
      <w:ind w:left="1260" w:leftChars="600" w:firstLine="0" w:firstLineChars="0"/>
    </w:pPr>
    <w:rPr>
      <w:rFonts w:ascii="等线" w:hAnsi="等线" w:eastAsia="等线" w:cs="Times New Roman"/>
      <w:szCs w:val="22"/>
    </w:rPr>
  </w:style>
  <w:style w:type="paragraph" w:styleId="35">
    <w:name w:val="index heading"/>
    <w:basedOn w:val="1"/>
    <w:next w:val="36"/>
    <w:qFormat/>
    <w:uiPriority w:val="0"/>
    <w:pPr>
      <w:spacing w:before="120" w:after="120"/>
      <w:jc w:val="left"/>
    </w:pPr>
    <w:rPr>
      <w:b/>
      <w:bCs/>
      <w:i/>
      <w:iCs/>
      <w:sz w:val="20"/>
      <w:szCs w:val="20"/>
    </w:rPr>
  </w:style>
  <w:style w:type="paragraph" w:styleId="36">
    <w:name w:val="index 1"/>
    <w:basedOn w:val="1"/>
    <w:next w:val="1"/>
    <w:qFormat/>
    <w:uiPriority w:val="0"/>
    <w:pPr>
      <w:spacing w:line="220" w:lineRule="exact"/>
      <w:jc w:val="center"/>
    </w:pPr>
    <w:rPr>
      <w:rFonts w:ascii="仿宋_GB2312" w:eastAsia="仿宋_GB2312"/>
      <w:szCs w:val="21"/>
    </w:rPr>
  </w:style>
  <w:style w:type="paragraph" w:styleId="37">
    <w:name w:val="List"/>
    <w:basedOn w:val="1"/>
    <w:qFormat/>
    <w:uiPriority w:val="0"/>
    <w:pPr>
      <w:ind w:left="200" w:hanging="200" w:hangingChars="200"/>
    </w:pPr>
  </w:style>
  <w:style w:type="paragraph" w:styleId="38">
    <w:name w:val="footnote text"/>
    <w:basedOn w:val="1"/>
    <w:link w:val="79"/>
    <w:qFormat/>
    <w:uiPriority w:val="0"/>
    <w:pPr>
      <w:jc w:val="left"/>
    </w:pPr>
    <w:rPr>
      <w:rFonts w:ascii="Courier" w:hAnsi="Courier" w:eastAsia="PMingLiU"/>
      <w:snapToGrid w:val="0"/>
      <w:kern w:val="0"/>
      <w:sz w:val="24"/>
      <w:szCs w:val="20"/>
      <w:lang w:val="en-AU" w:eastAsia="en-US"/>
    </w:rPr>
  </w:style>
  <w:style w:type="paragraph" w:styleId="39">
    <w:name w:val="toc 6"/>
    <w:basedOn w:val="1"/>
    <w:next w:val="1"/>
    <w:unhideWhenUsed/>
    <w:qFormat/>
    <w:uiPriority w:val="39"/>
    <w:pPr>
      <w:widowControl w:val="0"/>
      <w:spacing w:line="240" w:lineRule="auto"/>
      <w:ind w:left="2100" w:leftChars="1000" w:firstLine="0" w:firstLineChars="0"/>
    </w:pPr>
    <w:rPr>
      <w:rFonts w:ascii="等线" w:hAnsi="等线" w:eastAsia="等线" w:cs="Times New Roman"/>
      <w:szCs w:val="22"/>
    </w:rPr>
  </w:style>
  <w:style w:type="paragraph" w:styleId="40">
    <w:name w:val="List 5"/>
    <w:basedOn w:val="1"/>
    <w:qFormat/>
    <w:uiPriority w:val="0"/>
    <w:pPr>
      <w:ind w:left="100" w:leftChars="800" w:hanging="200" w:hangingChars="200"/>
    </w:pPr>
  </w:style>
  <w:style w:type="paragraph" w:styleId="41">
    <w:name w:val="Body Text Indent 3"/>
    <w:basedOn w:val="1"/>
    <w:link w:val="80"/>
    <w:qFormat/>
    <w:uiPriority w:val="0"/>
    <w:pPr>
      <w:spacing w:after="120"/>
      <w:ind w:left="420" w:leftChars="200"/>
    </w:pPr>
    <w:rPr>
      <w:sz w:val="16"/>
      <w:szCs w:val="16"/>
    </w:rPr>
  </w:style>
  <w:style w:type="paragraph" w:styleId="42">
    <w:name w:val="toc 2"/>
    <w:basedOn w:val="1"/>
    <w:next w:val="1"/>
    <w:qFormat/>
    <w:uiPriority w:val="39"/>
    <w:pPr>
      <w:widowControl w:val="0"/>
      <w:kinsoku w:val="0"/>
      <w:overflowPunct w:val="0"/>
      <w:autoSpaceDE w:val="0"/>
      <w:autoSpaceDN w:val="0"/>
      <w:adjustRightInd w:val="0"/>
      <w:snapToGrid w:val="0"/>
      <w:jc w:val="left"/>
    </w:pPr>
    <w:rPr>
      <w:rFonts w:ascii="宋体" w:hAnsi="宋体"/>
      <w:kern w:val="0"/>
      <w:szCs w:val="21"/>
      <w:lang w:eastAsia="en-US"/>
    </w:rPr>
  </w:style>
  <w:style w:type="paragraph" w:styleId="43">
    <w:name w:val="toc 9"/>
    <w:basedOn w:val="1"/>
    <w:next w:val="1"/>
    <w:unhideWhenUsed/>
    <w:qFormat/>
    <w:uiPriority w:val="39"/>
    <w:pPr>
      <w:widowControl w:val="0"/>
      <w:spacing w:line="240" w:lineRule="auto"/>
      <w:ind w:left="3360" w:leftChars="1600" w:firstLine="0" w:firstLineChars="0"/>
    </w:pPr>
    <w:rPr>
      <w:rFonts w:ascii="等线" w:hAnsi="等线" w:eastAsia="等线" w:cs="Times New Roman"/>
      <w:szCs w:val="22"/>
    </w:rPr>
  </w:style>
  <w:style w:type="paragraph" w:styleId="44">
    <w:name w:val="Body Text 2"/>
    <w:basedOn w:val="1"/>
    <w:link w:val="81"/>
    <w:qFormat/>
    <w:uiPriority w:val="0"/>
    <w:pPr>
      <w:jc w:val="left"/>
    </w:pPr>
    <w:rPr>
      <w:rFonts w:ascii="楷体_GB2312" w:hAnsi="宋体" w:eastAsia="楷体_GB2312"/>
      <w:color w:val="000000"/>
      <w:kern w:val="0"/>
      <w:szCs w:val="21"/>
    </w:rPr>
  </w:style>
  <w:style w:type="paragraph" w:styleId="45">
    <w:name w:val="List 4"/>
    <w:basedOn w:val="1"/>
    <w:qFormat/>
    <w:uiPriority w:val="0"/>
    <w:pPr>
      <w:ind w:left="100" w:leftChars="600" w:hanging="200" w:hangingChars="200"/>
    </w:pPr>
  </w:style>
  <w:style w:type="paragraph" w:styleId="46">
    <w:name w:val="Normal (Web)"/>
    <w:basedOn w:val="1"/>
    <w:qFormat/>
    <w:uiPriority w:val="99"/>
    <w:pPr>
      <w:spacing w:before="100" w:beforeAutospacing="1" w:after="100" w:afterAutospacing="1" w:line="283" w:lineRule="atLeast"/>
      <w:jc w:val="left"/>
    </w:pPr>
    <w:rPr>
      <w:rFonts w:ascii="宋体" w:hAnsi="宋体"/>
      <w:color w:val="000000"/>
      <w:kern w:val="0"/>
      <w:sz w:val="19"/>
      <w:szCs w:val="19"/>
    </w:rPr>
  </w:style>
  <w:style w:type="paragraph" w:styleId="47">
    <w:name w:val="Title"/>
    <w:basedOn w:val="1"/>
    <w:link w:val="82"/>
    <w:qFormat/>
    <w:uiPriority w:val="0"/>
    <w:pPr>
      <w:adjustRightInd w:val="0"/>
      <w:spacing w:before="240" w:after="60" w:line="420" w:lineRule="atLeast"/>
      <w:jc w:val="center"/>
      <w:textAlignment w:val="baseline"/>
      <w:outlineLvl w:val="0"/>
    </w:pPr>
    <w:rPr>
      <w:rFonts w:ascii="Arial" w:hAnsi="Arial"/>
      <w:b/>
      <w:kern w:val="0"/>
      <w:sz w:val="32"/>
      <w:szCs w:val="20"/>
    </w:rPr>
  </w:style>
  <w:style w:type="paragraph" w:styleId="48">
    <w:name w:val="annotation subject"/>
    <w:basedOn w:val="17"/>
    <w:next w:val="17"/>
    <w:link w:val="83"/>
    <w:qFormat/>
    <w:uiPriority w:val="99"/>
  </w:style>
  <w:style w:type="table" w:styleId="50">
    <w:name w:val="Table Grid"/>
    <w:basedOn w:val="49"/>
    <w:qFormat/>
    <w:uiPriority w:val="0"/>
    <w:pPr>
      <w:ind w:left="840" w:hanging="420"/>
      <w:jc w:val="both"/>
    </w:pPr>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2">
    <w:name w:val="Strong"/>
    <w:qFormat/>
    <w:uiPriority w:val="22"/>
    <w:rPr>
      <w:b/>
      <w:bCs/>
    </w:rPr>
  </w:style>
  <w:style w:type="character" w:styleId="53">
    <w:name w:val="page number"/>
    <w:basedOn w:val="51"/>
    <w:qFormat/>
    <w:uiPriority w:val="0"/>
  </w:style>
  <w:style w:type="character" w:styleId="54">
    <w:name w:val="Emphasis"/>
    <w:qFormat/>
    <w:uiPriority w:val="20"/>
    <w:rPr>
      <w:color w:val="CC0000"/>
    </w:rPr>
  </w:style>
  <w:style w:type="character" w:styleId="55">
    <w:name w:val="Hyperlink"/>
    <w:qFormat/>
    <w:uiPriority w:val="99"/>
    <w:rPr>
      <w:color w:val="0000FF"/>
      <w:u w:val="single"/>
    </w:rPr>
  </w:style>
  <w:style w:type="character" w:styleId="56">
    <w:name w:val="annotation reference"/>
    <w:qFormat/>
    <w:uiPriority w:val="99"/>
    <w:rPr>
      <w:sz w:val="21"/>
      <w:szCs w:val="21"/>
    </w:rPr>
  </w:style>
  <w:style w:type="character" w:customStyle="1" w:styleId="57">
    <w:name w:val="标题 1 Char"/>
    <w:link w:val="2"/>
    <w:qFormat/>
    <w:uiPriority w:val="0"/>
    <w:rPr>
      <w:b/>
      <w:bCs/>
      <w:kern w:val="44"/>
      <w:sz w:val="44"/>
      <w:szCs w:val="44"/>
    </w:rPr>
  </w:style>
  <w:style w:type="character" w:customStyle="1" w:styleId="58">
    <w:name w:val="标题 2 Char"/>
    <w:link w:val="3"/>
    <w:qFormat/>
    <w:uiPriority w:val="0"/>
    <w:rPr>
      <w:rFonts w:ascii="Arial" w:hAnsi="Arial" w:eastAsia="黑体"/>
      <w:b/>
      <w:bCs/>
      <w:kern w:val="2"/>
      <w:sz w:val="32"/>
      <w:szCs w:val="32"/>
    </w:rPr>
  </w:style>
  <w:style w:type="character" w:customStyle="1" w:styleId="59">
    <w:name w:val="标题 3 Char"/>
    <w:link w:val="4"/>
    <w:qFormat/>
    <w:uiPriority w:val="0"/>
    <w:rPr>
      <w:b/>
      <w:bCs/>
      <w:kern w:val="2"/>
      <w:sz w:val="24"/>
      <w:szCs w:val="32"/>
    </w:rPr>
  </w:style>
  <w:style w:type="character" w:customStyle="1" w:styleId="60">
    <w:name w:val="标题 4 Char"/>
    <w:link w:val="5"/>
    <w:qFormat/>
    <w:uiPriority w:val="0"/>
    <w:rPr>
      <w:rFonts w:ascii="Arial" w:hAnsi="Arial" w:eastAsia="黑体"/>
      <w:b/>
      <w:bCs/>
      <w:kern w:val="2"/>
      <w:sz w:val="28"/>
      <w:szCs w:val="28"/>
    </w:rPr>
  </w:style>
  <w:style w:type="character" w:customStyle="1" w:styleId="61">
    <w:name w:val="标题 5 Char"/>
    <w:link w:val="6"/>
    <w:qFormat/>
    <w:uiPriority w:val="0"/>
    <w:rPr>
      <w:b/>
      <w:bCs/>
      <w:sz w:val="28"/>
      <w:szCs w:val="28"/>
    </w:rPr>
  </w:style>
  <w:style w:type="character" w:customStyle="1" w:styleId="62">
    <w:name w:val="标题 6 Char"/>
    <w:link w:val="7"/>
    <w:qFormat/>
    <w:uiPriority w:val="0"/>
    <w:rPr>
      <w:rFonts w:ascii="Arial" w:hAnsi="Arial" w:eastAsia="黑体"/>
      <w:b/>
      <w:bCs/>
      <w:sz w:val="24"/>
      <w:szCs w:val="24"/>
    </w:rPr>
  </w:style>
  <w:style w:type="character" w:customStyle="1" w:styleId="63">
    <w:name w:val="标题 7 Char"/>
    <w:link w:val="8"/>
    <w:qFormat/>
    <w:uiPriority w:val="0"/>
    <w:rPr>
      <w:b/>
      <w:bCs/>
      <w:sz w:val="24"/>
      <w:szCs w:val="24"/>
    </w:rPr>
  </w:style>
  <w:style w:type="character" w:customStyle="1" w:styleId="64">
    <w:name w:val="标题 8 Char"/>
    <w:link w:val="9"/>
    <w:qFormat/>
    <w:uiPriority w:val="0"/>
    <w:rPr>
      <w:rFonts w:ascii="Arial" w:hAnsi="Arial" w:eastAsia="黑体"/>
      <w:sz w:val="24"/>
      <w:szCs w:val="24"/>
    </w:rPr>
  </w:style>
  <w:style w:type="character" w:customStyle="1" w:styleId="65">
    <w:name w:val="标题 9 Char"/>
    <w:link w:val="10"/>
    <w:qFormat/>
    <w:uiPriority w:val="0"/>
    <w:rPr>
      <w:rFonts w:ascii="Arial" w:hAnsi="Arial" w:eastAsia="黑体"/>
      <w:sz w:val="21"/>
      <w:szCs w:val="21"/>
    </w:rPr>
  </w:style>
  <w:style w:type="character" w:customStyle="1" w:styleId="66">
    <w:name w:val="正文缩进 Char"/>
    <w:link w:val="13"/>
    <w:qFormat/>
    <w:uiPriority w:val="0"/>
    <w:rPr>
      <w:kern w:val="2"/>
      <w:sz w:val="21"/>
      <w:szCs w:val="24"/>
    </w:rPr>
  </w:style>
  <w:style w:type="character" w:customStyle="1" w:styleId="67">
    <w:name w:val="文档结构图 Char"/>
    <w:link w:val="15"/>
    <w:qFormat/>
    <w:uiPriority w:val="99"/>
    <w:rPr>
      <w:rFonts w:ascii="宋体"/>
      <w:kern w:val="2"/>
      <w:sz w:val="18"/>
      <w:szCs w:val="18"/>
    </w:rPr>
  </w:style>
  <w:style w:type="character" w:customStyle="1" w:styleId="68">
    <w:name w:val="批注文字 Char"/>
    <w:link w:val="17"/>
    <w:qFormat/>
    <w:uiPriority w:val="0"/>
    <w:rPr>
      <w:kern w:val="2"/>
      <w:sz w:val="21"/>
      <w:szCs w:val="24"/>
    </w:rPr>
  </w:style>
  <w:style w:type="character" w:customStyle="1" w:styleId="69">
    <w:name w:val="正文文本 3 Char"/>
    <w:link w:val="18"/>
    <w:qFormat/>
    <w:uiPriority w:val="0"/>
    <w:rPr>
      <w:rFonts w:ascii="宋体"/>
      <w:kern w:val="2"/>
      <w:sz w:val="24"/>
    </w:rPr>
  </w:style>
  <w:style w:type="character" w:customStyle="1" w:styleId="70">
    <w:name w:val="正文文本 Char"/>
    <w:link w:val="19"/>
    <w:qFormat/>
    <w:uiPriority w:val="1"/>
    <w:rPr>
      <w:kern w:val="2"/>
      <w:sz w:val="21"/>
      <w:szCs w:val="24"/>
    </w:rPr>
  </w:style>
  <w:style w:type="character" w:customStyle="1" w:styleId="71">
    <w:name w:val="正文文本缩进 Char"/>
    <w:link w:val="20"/>
    <w:qFormat/>
    <w:uiPriority w:val="99"/>
    <w:rPr>
      <w:kern w:val="2"/>
      <w:sz w:val="21"/>
      <w:szCs w:val="24"/>
    </w:rPr>
  </w:style>
  <w:style w:type="character" w:customStyle="1" w:styleId="72">
    <w:name w:val="纯文本 Char"/>
    <w:link w:val="25"/>
    <w:qFormat/>
    <w:uiPriority w:val="0"/>
    <w:rPr>
      <w:rFonts w:ascii="宋体" w:hAnsi="Courier New" w:cs="Courier New"/>
      <w:kern w:val="2"/>
      <w:sz w:val="21"/>
      <w:szCs w:val="21"/>
    </w:rPr>
  </w:style>
  <w:style w:type="character" w:customStyle="1" w:styleId="73">
    <w:name w:val="日期 Char"/>
    <w:link w:val="27"/>
    <w:qFormat/>
    <w:uiPriority w:val="99"/>
    <w:rPr>
      <w:kern w:val="2"/>
      <w:sz w:val="24"/>
    </w:rPr>
  </w:style>
  <w:style w:type="character" w:customStyle="1" w:styleId="74">
    <w:name w:val="正文文本缩进 2 Char"/>
    <w:link w:val="28"/>
    <w:qFormat/>
    <w:uiPriority w:val="0"/>
    <w:rPr>
      <w:rFonts w:eastAsia="仿宋_GB2312"/>
      <w:kern w:val="2"/>
      <w:sz w:val="32"/>
      <w:szCs w:val="24"/>
    </w:rPr>
  </w:style>
  <w:style w:type="character" w:customStyle="1" w:styleId="75">
    <w:name w:val="尾注文本 Char"/>
    <w:link w:val="29"/>
    <w:qFormat/>
    <w:uiPriority w:val="0"/>
    <w:rPr>
      <w:rFonts w:ascii="Courier" w:hAnsi="Courier" w:eastAsia="PMingLiU"/>
      <w:snapToGrid w:val="0"/>
      <w:sz w:val="24"/>
      <w:lang w:val="en-AU" w:eastAsia="en-US"/>
    </w:rPr>
  </w:style>
  <w:style w:type="character" w:customStyle="1" w:styleId="76">
    <w:name w:val="批注框文本 Char"/>
    <w:link w:val="30"/>
    <w:qFormat/>
    <w:uiPriority w:val="99"/>
    <w:rPr>
      <w:kern w:val="2"/>
      <w:sz w:val="18"/>
      <w:szCs w:val="18"/>
    </w:rPr>
  </w:style>
  <w:style w:type="character" w:customStyle="1" w:styleId="77">
    <w:name w:val="页脚 Char"/>
    <w:link w:val="31"/>
    <w:qFormat/>
    <w:uiPriority w:val="99"/>
    <w:rPr>
      <w:kern w:val="2"/>
      <w:sz w:val="18"/>
      <w:szCs w:val="18"/>
    </w:rPr>
  </w:style>
  <w:style w:type="character" w:customStyle="1" w:styleId="78">
    <w:name w:val="页眉 Char"/>
    <w:link w:val="32"/>
    <w:qFormat/>
    <w:uiPriority w:val="99"/>
    <w:rPr>
      <w:kern w:val="2"/>
      <w:sz w:val="18"/>
      <w:szCs w:val="18"/>
    </w:rPr>
  </w:style>
  <w:style w:type="character" w:customStyle="1" w:styleId="79">
    <w:name w:val="脚注文本 Char"/>
    <w:link w:val="38"/>
    <w:qFormat/>
    <w:uiPriority w:val="0"/>
    <w:rPr>
      <w:rFonts w:ascii="Courier" w:hAnsi="Courier" w:eastAsia="PMingLiU"/>
      <w:snapToGrid w:val="0"/>
      <w:sz w:val="24"/>
      <w:lang w:val="en-AU" w:eastAsia="en-US"/>
    </w:rPr>
  </w:style>
  <w:style w:type="character" w:customStyle="1" w:styleId="80">
    <w:name w:val="正文文本缩进 3 Char"/>
    <w:link w:val="41"/>
    <w:qFormat/>
    <w:uiPriority w:val="0"/>
    <w:rPr>
      <w:kern w:val="2"/>
      <w:sz w:val="16"/>
      <w:szCs w:val="16"/>
    </w:rPr>
  </w:style>
  <w:style w:type="character" w:customStyle="1" w:styleId="81">
    <w:name w:val="正文文本 2 Char"/>
    <w:link w:val="44"/>
    <w:qFormat/>
    <w:uiPriority w:val="0"/>
    <w:rPr>
      <w:rFonts w:ascii="楷体_GB2312" w:hAnsi="宋体" w:eastAsia="楷体_GB2312"/>
      <w:color w:val="000000"/>
      <w:sz w:val="21"/>
      <w:szCs w:val="21"/>
      <w:lang w:val="en-US" w:eastAsia="zh-CN"/>
    </w:rPr>
  </w:style>
  <w:style w:type="character" w:customStyle="1" w:styleId="82">
    <w:name w:val="标题 Char"/>
    <w:link w:val="47"/>
    <w:qFormat/>
    <w:uiPriority w:val="0"/>
    <w:rPr>
      <w:rFonts w:ascii="Arial" w:hAnsi="Arial"/>
      <w:b/>
      <w:sz w:val="32"/>
    </w:rPr>
  </w:style>
  <w:style w:type="character" w:customStyle="1" w:styleId="83">
    <w:name w:val="批注主题 Char"/>
    <w:link w:val="48"/>
    <w:qFormat/>
    <w:uiPriority w:val="99"/>
    <w:rPr>
      <w:kern w:val="2"/>
      <w:sz w:val="21"/>
      <w:szCs w:val="24"/>
    </w:rPr>
  </w:style>
  <w:style w:type="character" w:customStyle="1" w:styleId="84">
    <w:name w:val="明显参考1"/>
    <w:qFormat/>
    <w:uiPriority w:val="32"/>
    <w:rPr>
      <w:b/>
      <w:bCs/>
      <w:smallCaps/>
      <w:color w:val="C0504D"/>
      <w:spacing w:val="5"/>
      <w:u w:val="single"/>
    </w:rPr>
  </w:style>
  <w:style w:type="character" w:customStyle="1" w:styleId="85">
    <w:name w:val="未处理的提及1"/>
    <w:unhideWhenUsed/>
    <w:qFormat/>
    <w:uiPriority w:val="99"/>
    <w:rPr>
      <w:color w:val="605E5C"/>
      <w:shd w:val="clear" w:color="auto" w:fill="E1DFDD"/>
    </w:rPr>
  </w:style>
  <w:style w:type="character" w:customStyle="1" w:styleId="86">
    <w:name w:val="标题 1 字符"/>
    <w:qFormat/>
    <w:uiPriority w:val="0"/>
    <w:rPr>
      <w:rFonts w:ascii="Times New Roman" w:hAnsi="Times New Roman" w:eastAsia="宋体" w:cs="Times New Roman"/>
      <w:b/>
      <w:bCs/>
      <w:kern w:val="44"/>
      <w:sz w:val="44"/>
      <w:szCs w:val="44"/>
    </w:rPr>
  </w:style>
  <w:style w:type="character" w:customStyle="1" w:styleId="87">
    <w:name w:val="三级标题康"/>
    <w:qFormat/>
    <w:uiPriority w:val="0"/>
    <w:rPr>
      <w:rFonts w:ascii="Arial" w:hAnsi="Arial" w:eastAsia="宋体" w:cs="Times New Roman"/>
      <w:b/>
      <w:bCs/>
      <w:sz w:val="21"/>
      <w:szCs w:val="32"/>
    </w:rPr>
  </w:style>
  <w:style w:type="character" w:customStyle="1" w:styleId="88">
    <w:name w:val="批注文字 Char2"/>
    <w:qFormat/>
    <w:uiPriority w:val="0"/>
    <w:rPr>
      <w:kern w:val="2"/>
      <w:sz w:val="21"/>
      <w:szCs w:val="24"/>
    </w:rPr>
  </w:style>
  <w:style w:type="character" w:customStyle="1" w:styleId="89">
    <w:name w:val="正文文本缩进 Char2"/>
    <w:semiHidden/>
    <w:qFormat/>
    <w:uiPriority w:val="99"/>
    <w:rPr>
      <w:rFonts w:ascii="Times New Roman" w:hAnsi="Times New Roman" w:eastAsia="宋体" w:cs="Times New Roman"/>
      <w:szCs w:val="24"/>
    </w:rPr>
  </w:style>
  <w:style w:type="character" w:customStyle="1" w:styleId="90">
    <w:name w:val="Char Char10"/>
    <w:qFormat/>
    <w:uiPriority w:val="0"/>
    <w:rPr>
      <w:rFonts w:eastAsia="仿宋_GB2312"/>
      <w:kern w:val="2"/>
      <w:sz w:val="32"/>
      <w:szCs w:val="24"/>
      <w:lang w:val="en-US" w:eastAsia="zh-CN" w:bidi="ar-SA"/>
    </w:rPr>
  </w:style>
  <w:style w:type="character" w:customStyle="1" w:styleId="91">
    <w:name w:val="Char Char18"/>
    <w:qFormat/>
    <w:uiPriority w:val="0"/>
    <w:rPr>
      <w:rFonts w:eastAsia="华文细黑"/>
      <w:bCs/>
      <w:sz w:val="36"/>
      <w:szCs w:val="32"/>
      <w:lang w:val="en-US" w:eastAsia="zh-CN" w:bidi="ar-SA"/>
    </w:rPr>
  </w:style>
  <w:style w:type="character" w:customStyle="1" w:styleId="92">
    <w:name w:val="日期 Char1"/>
    <w:semiHidden/>
    <w:qFormat/>
    <w:uiPriority w:val="99"/>
    <w:rPr>
      <w:rFonts w:ascii="Times New Roman" w:hAnsi="Times New Roman" w:eastAsia="宋体" w:cs="Times New Roman"/>
      <w:kern w:val="0"/>
      <w:szCs w:val="20"/>
    </w:rPr>
  </w:style>
  <w:style w:type="character" w:customStyle="1" w:styleId="93">
    <w:name w:val="_Style 92"/>
    <w:unhideWhenUsed/>
    <w:qFormat/>
    <w:uiPriority w:val="99"/>
    <w:rPr>
      <w:color w:val="605E5C"/>
      <w:shd w:val="clear" w:color="auto" w:fill="E1DFDD"/>
    </w:rPr>
  </w:style>
  <w:style w:type="character" w:customStyle="1" w:styleId="94">
    <w:name w:val="纯文本 Char2"/>
    <w:qFormat/>
    <w:uiPriority w:val="0"/>
    <w:rPr>
      <w:rFonts w:ascii="宋体" w:hAnsi="Courier New" w:eastAsia="宋体"/>
      <w:kern w:val="2"/>
      <w:sz w:val="21"/>
      <w:lang w:val="en-US" w:eastAsia="zh-CN"/>
    </w:rPr>
  </w:style>
  <w:style w:type="character" w:customStyle="1" w:styleId="95">
    <w:name w:val="批注文字 Char1"/>
    <w:semiHidden/>
    <w:qFormat/>
    <w:locked/>
    <w:uiPriority w:val="0"/>
    <w:rPr>
      <w:kern w:val="2"/>
      <w:sz w:val="21"/>
      <w:szCs w:val="24"/>
    </w:rPr>
  </w:style>
  <w:style w:type="character" w:customStyle="1" w:styleId="96">
    <w:name w:val="正文文本缩进 Char1"/>
    <w:semiHidden/>
    <w:qFormat/>
    <w:uiPriority w:val="99"/>
    <w:rPr>
      <w:rFonts w:ascii="Times New Roman" w:hAnsi="Times New Roman" w:eastAsia="宋体" w:cs="Times New Roman"/>
      <w:kern w:val="0"/>
      <w:szCs w:val="20"/>
    </w:rPr>
  </w:style>
  <w:style w:type="character" w:customStyle="1" w:styleId="97">
    <w:name w:val="图形布置 Char"/>
    <w:link w:val="98"/>
    <w:qFormat/>
    <w:uiPriority w:val="0"/>
    <w:rPr>
      <w:rFonts w:ascii="Arial" w:hAnsi="Arial" w:cs="Arial"/>
      <w:sz w:val="21"/>
    </w:rPr>
  </w:style>
  <w:style w:type="paragraph" w:customStyle="1" w:styleId="98">
    <w:name w:val="图形布置"/>
    <w:basedOn w:val="99"/>
    <w:link w:val="97"/>
    <w:qFormat/>
    <w:uiPriority w:val="0"/>
  </w:style>
  <w:style w:type="paragraph" w:customStyle="1" w:styleId="99">
    <w:name w:val="图形题注"/>
    <w:basedOn w:val="14"/>
    <w:link w:val="100"/>
    <w:qFormat/>
    <w:uiPriority w:val="0"/>
    <w:pPr>
      <w:adjustRightInd w:val="0"/>
      <w:snapToGrid w:val="0"/>
      <w:spacing w:afterLines="50"/>
      <w:jc w:val="center"/>
    </w:pPr>
    <w:rPr>
      <w:rFonts w:eastAsia="宋体" w:cs="Times New Roman"/>
      <w:kern w:val="0"/>
      <w:sz w:val="21"/>
    </w:rPr>
  </w:style>
  <w:style w:type="character" w:customStyle="1" w:styleId="100">
    <w:name w:val="图形题注 Char"/>
    <w:link w:val="99"/>
    <w:qFormat/>
    <w:uiPriority w:val="0"/>
    <w:rPr>
      <w:rFonts w:ascii="Arial" w:hAnsi="Arial" w:cs="Arial"/>
      <w:sz w:val="21"/>
    </w:rPr>
  </w:style>
  <w:style w:type="character" w:customStyle="1" w:styleId="101">
    <w:name w:val="Char Char Char Char1"/>
    <w:link w:val="102"/>
    <w:qFormat/>
    <w:uiPriority w:val="0"/>
    <w:rPr>
      <w:rFonts w:ascii="仿宋_GB2312" w:eastAsia="仿宋_GB2312"/>
      <w:b/>
      <w:kern w:val="2"/>
      <w:sz w:val="32"/>
      <w:szCs w:val="32"/>
    </w:rPr>
  </w:style>
  <w:style w:type="paragraph" w:customStyle="1" w:styleId="102">
    <w:name w:val="Char Char Char1"/>
    <w:basedOn w:val="1"/>
    <w:link w:val="101"/>
    <w:qFormat/>
    <w:uiPriority w:val="0"/>
    <w:rPr>
      <w:rFonts w:ascii="仿宋_GB2312" w:eastAsia="仿宋_GB2312"/>
      <w:b/>
      <w:sz w:val="32"/>
      <w:szCs w:val="32"/>
    </w:rPr>
  </w:style>
  <w:style w:type="character" w:customStyle="1" w:styleId="103">
    <w:name w:val="应答文本 Char Char"/>
    <w:link w:val="104"/>
    <w:qFormat/>
    <w:uiPriority w:val="0"/>
    <w:rPr>
      <w:sz w:val="21"/>
      <w:szCs w:val="21"/>
    </w:rPr>
  </w:style>
  <w:style w:type="paragraph" w:customStyle="1" w:styleId="104">
    <w:name w:val="应答文本"/>
    <w:basedOn w:val="1"/>
    <w:link w:val="103"/>
    <w:qFormat/>
    <w:uiPriority w:val="0"/>
    <w:pPr>
      <w:adjustRightInd w:val="0"/>
      <w:snapToGrid w:val="0"/>
      <w:spacing w:afterLines="50"/>
      <w:ind w:left="200" w:leftChars="200"/>
    </w:pPr>
    <w:rPr>
      <w:kern w:val="0"/>
      <w:szCs w:val="21"/>
    </w:rPr>
  </w:style>
  <w:style w:type="character" w:customStyle="1" w:styleId="105">
    <w:name w:val="无编号正文 Char"/>
    <w:link w:val="106"/>
    <w:qFormat/>
    <w:uiPriority w:val="0"/>
    <w:rPr>
      <w:rFonts w:ascii="宋体" w:hAnsi="宋体"/>
      <w:sz w:val="24"/>
      <w:szCs w:val="24"/>
    </w:rPr>
  </w:style>
  <w:style w:type="paragraph" w:customStyle="1" w:styleId="106">
    <w:name w:val="无编号正文"/>
    <w:basedOn w:val="19"/>
    <w:next w:val="1"/>
    <w:link w:val="105"/>
    <w:qFormat/>
    <w:uiPriority w:val="0"/>
    <w:pPr>
      <w:spacing w:after="0"/>
      <w:ind w:left="200" w:leftChars="200"/>
    </w:pPr>
    <w:rPr>
      <w:rFonts w:ascii="宋体" w:hAnsi="宋体"/>
      <w:kern w:val="0"/>
      <w:sz w:val="24"/>
    </w:rPr>
  </w:style>
  <w:style w:type="character" w:customStyle="1" w:styleId="107">
    <w:name w:val="列表框1 Char Char"/>
    <w:link w:val="108"/>
    <w:qFormat/>
    <w:uiPriority w:val="0"/>
    <w:rPr>
      <w:rFonts w:ascii="宋体" w:hAnsi="宋体"/>
      <w:sz w:val="21"/>
      <w:szCs w:val="21"/>
    </w:rPr>
  </w:style>
  <w:style w:type="paragraph" w:customStyle="1" w:styleId="108">
    <w:name w:val="列表框1"/>
    <w:basedOn w:val="1"/>
    <w:link w:val="107"/>
    <w:qFormat/>
    <w:uiPriority w:val="0"/>
    <w:pPr>
      <w:tabs>
        <w:tab w:val="left" w:pos="1682"/>
      </w:tabs>
      <w:adjustRightInd w:val="0"/>
      <w:snapToGrid w:val="0"/>
      <w:ind w:left="1748" w:hanging="434"/>
    </w:pPr>
    <w:rPr>
      <w:rFonts w:ascii="宋体" w:hAnsi="宋体"/>
      <w:kern w:val="0"/>
      <w:szCs w:val="21"/>
    </w:rPr>
  </w:style>
  <w:style w:type="character" w:customStyle="1" w:styleId="109">
    <w:name w:val="text"/>
    <w:qFormat/>
    <w:uiPriority w:val="0"/>
    <w:rPr>
      <w:rFonts w:ascii="仿宋_GB2312" w:eastAsia="仿宋_GB2312"/>
      <w:b/>
      <w:kern w:val="2"/>
      <w:sz w:val="32"/>
      <w:szCs w:val="32"/>
      <w:lang w:val="en-US" w:eastAsia="zh-CN" w:bidi="ar-SA"/>
    </w:rPr>
  </w:style>
  <w:style w:type="character" w:customStyle="1" w:styleId="110">
    <w:name w:val="Char Char9"/>
    <w:qFormat/>
    <w:uiPriority w:val="0"/>
    <w:rPr>
      <w:rFonts w:ascii="宋体" w:hAnsi="宋体" w:eastAsia="宋体"/>
      <w:kern w:val="2"/>
      <w:sz w:val="24"/>
      <w:lang w:val="en-US" w:eastAsia="zh-CN" w:bidi="ar-SA"/>
    </w:rPr>
  </w:style>
  <w:style w:type="character" w:customStyle="1" w:styleId="111">
    <w:name w:val="已访问的超链接1"/>
    <w:qFormat/>
    <w:uiPriority w:val="99"/>
    <w:rPr>
      <w:color w:val="800080"/>
      <w:u w:val="single"/>
    </w:rPr>
  </w:style>
  <w:style w:type="character" w:customStyle="1" w:styleId="112">
    <w:name w:val="正文文本缩进 2 Char1"/>
    <w:semiHidden/>
    <w:qFormat/>
    <w:uiPriority w:val="99"/>
    <w:rPr>
      <w:rFonts w:ascii="Times New Roman" w:hAnsi="Times New Roman" w:eastAsia="宋体" w:cs="Times New Roman"/>
      <w:kern w:val="0"/>
      <w:szCs w:val="20"/>
    </w:rPr>
  </w:style>
  <w:style w:type="character" w:customStyle="1" w:styleId="113">
    <w:name w:val="普通文字 Char Char"/>
    <w:qFormat/>
    <w:uiPriority w:val="0"/>
    <w:rPr>
      <w:rFonts w:ascii="宋体" w:hAnsi="Courier New" w:eastAsia="宋体" w:cs="Courier New"/>
      <w:kern w:val="2"/>
      <w:sz w:val="21"/>
      <w:szCs w:val="21"/>
      <w:lang w:val="en-US" w:eastAsia="zh-CN" w:bidi="ar-SA"/>
    </w:rPr>
  </w:style>
  <w:style w:type="character" w:customStyle="1" w:styleId="114">
    <w:name w:val="正文首行缩进 Char1"/>
    <w:semiHidden/>
    <w:qFormat/>
    <w:uiPriority w:val="99"/>
    <w:rPr>
      <w:rFonts w:ascii="Times New Roman" w:hAnsi="Times New Roman" w:eastAsia="宋体" w:cs="Times New Roman"/>
      <w:kern w:val="0"/>
      <w:szCs w:val="20"/>
    </w:rPr>
  </w:style>
  <w:style w:type="character" w:customStyle="1" w:styleId="115">
    <w:name w:val="正文文字 Char"/>
    <w:qFormat/>
    <w:uiPriority w:val="0"/>
    <w:rPr>
      <w:rFonts w:ascii="宋体" w:eastAsia="宋体"/>
      <w:snapToGrid w:val="0"/>
      <w:color w:val="000000"/>
      <w:sz w:val="28"/>
      <w:lang w:val="en-US" w:eastAsia="zh-CN" w:bidi="ar-SA"/>
    </w:rPr>
  </w:style>
  <w:style w:type="character" w:customStyle="1" w:styleId="116">
    <w:name w:val="正文首行缩进 2 Char"/>
    <w:link w:val="117"/>
    <w:qFormat/>
    <w:uiPriority w:val="0"/>
    <w:rPr>
      <w:kern w:val="2"/>
      <w:sz w:val="21"/>
      <w:szCs w:val="24"/>
    </w:rPr>
  </w:style>
  <w:style w:type="paragraph" w:customStyle="1" w:styleId="117">
    <w:name w:val="正文首行缩进 21"/>
    <w:basedOn w:val="20"/>
    <w:link w:val="116"/>
    <w:qFormat/>
    <w:uiPriority w:val="0"/>
    <w:pPr>
      <w:adjustRightInd w:val="0"/>
      <w:spacing w:line="312" w:lineRule="atLeast"/>
      <w:textAlignment w:val="baseline"/>
    </w:pPr>
  </w:style>
  <w:style w:type="character" w:customStyle="1" w:styleId="118">
    <w:name w:val="标题 4 + 宋体 小四 Char Char Char Char Char Char Char Char Char Char Char Char Char1 Char Char Char Char"/>
    <w:qFormat/>
    <w:uiPriority w:val="0"/>
    <w:rPr>
      <w:rFonts w:ascii="宋体" w:hAnsi="宋体" w:eastAsia="宋体"/>
      <w:b/>
      <w:bCs/>
      <w:spacing w:val="4"/>
      <w:kern w:val="2"/>
      <w:sz w:val="24"/>
      <w:szCs w:val="32"/>
      <w:lang w:val="en-US" w:eastAsia="zh-CN" w:bidi="ar-SA"/>
    </w:rPr>
  </w:style>
  <w:style w:type="character" w:customStyle="1" w:styleId="119">
    <w:name w:val="样式 超链接 + 仿宋_GB2312 小四 加粗"/>
    <w:qFormat/>
    <w:uiPriority w:val="0"/>
    <w:rPr>
      <w:rFonts w:ascii="仿宋_GB2312" w:hAnsi="仿宋_GB2312" w:eastAsia="黑体"/>
      <w:b/>
      <w:bCs/>
      <w:color w:val="auto"/>
      <w:sz w:val="24"/>
      <w:u w:val="none"/>
    </w:rPr>
  </w:style>
  <w:style w:type="character" w:customStyle="1" w:styleId="120">
    <w:name w:val="正文首行缩进 Char"/>
    <w:link w:val="121"/>
    <w:qFormat/>
    <w:uiPriority w:val="0"/>
    <w:rPr>
      <w:kern w:val="2"/>
      <w:sz w:val="21"/>
      <w:szCs w:val="24"/>
    </w:rPr>
  </w:style>
  <w:style w:type="paragraph" w:customStyle="1" w:styleId="121">
    <w:name w:val="正文首行缩进1"/>
    <w:basedOn w:val="19"/>
    <w:link w:val="120"/>
    <w:qFormat/>
    <w:uiPriority w:val="0"/>
    <w:pPr>
      <w:ind w:firstLine="100" w:firstLineChars="100"/>
    </w:pPr>
  </w:style>
  <w:style w:type="character" w:customStyle="1" w:styleId="122">
    <w:name w:val="批注框文本 Char1"/>
    <w:semiHidden/>
    <w:qFormat/>
    <w:uiPriority w:val="99"/>
    <w:rPr>
      <w:rFonts w:ascii="Times New Roman" w:hAnsi="Times New Roman" w:eastAsia="宋体" w:cs="Times New Roman"/>
      <w:kern w:val="0"/>
      <w:sz w:val="18"/>
      <w:szCs w:val="18"/>
    </w:rPr>
  </w:style>
  <w:style w:type="character" w:customStyle="1" w:styleId="123">
    <w:name w:val="标题 Char1"/>
    <w:qFormat/>
    <w:uiPriority w:val="10"/>
    <w:rPr>
      <w:rFonts w:ascii="Cambria" w:hAnsi="Cambria" w:eastAsia="宋体" w:cs="Times New Roman"/>
      <w:b/>
      <w:bCs/>
      <w:kern w:val="0"/>
      <w:sz w:val="32"/>
      <w:szCs w:val="32"/>
    </w:rPr>
  </w:style>
  <w:style w:type="character" w:customStyle="1" w:styleId="124">
    <w:name w:val="Char Char20"/>
    <w:qFormat/>
    <w:uiPriority w:val="0"/>
    <w:rPr>
      <w:rFonts w:ascii="华文细黑" w:eastAsia="华文细黑"/>
      <w:b/>
      <w:bCs/>
      <w:snapToGrid w:val="0"/>
      <w:sz w:val="52"/>
      <w:szCs w:val="44"/>
      <w:lang w:val="en-US" w:eastAsia="zh-CN" w:bidi="ar-SA"/>
    </w:rPr>
  </w:style>
  <w:style w:type="character" w:customStyle="1" w:styleId="125">
    <w:name w:val="正文首行缩进 2 Char1"/>
    <w:semiHidden/>
    <w:qFormat/>
    <w:uiPriority w:val="99"/>
    <w:rPr>
      <w:kern w:val="2"/>
      <w:sz w:val="21"/>
      <w:szCs w:val="24"/>
    </w:rPr>
  </w:style>
  <w:style w:type="character" w:customStyle="1" w:styleId="126">
    <w:name w:val="页眉 Char1"/>
    <w:semiHidden/>
    <w:qFormat/>
    <w:uiPriority w:val="99"/>
    <w:rPr>
      <w:rFonts w:ascii="Times New Roman" w:hAnsi="Times New Roman" w:eastAsia="宋体" w:cs="Times New Roman"/>
      <w:kern w:val="0"/>
      <w:sz w:val="18"/>
      <w:szCs w:val="18"/>
    </w:rPr>
  </w:style>
  <w:style w:type="character" w:customStyle="1" w:styleId="127">
    <w:name w:val="尾注文本 Char1"/>
    <w:semiHidden/>
    <w:qFormat/>
    <w:uiPriority w:val="99"/>
    <w:rPr>
      <w:kern w:val="2"/>
      <w:sz w:val="21"/>
      <w:szCs w:val="24"/>
    </w:rPr>
  </w:style>
  <w:style w:type="character" w:customStyle="1" w:styleId="128">
    <w:name w:val="Char Char17"/>
    <w:qFormat/>
    <w:uiPriority w:val="0"/>
    <w:rPr>
      <w:rFonts w:ascii="Arial" w:hAnsi="Arial" w:eastAsia="黑体"/>
      <w:b/>
      <w:bCs/>
      <w:sz w:val="28"/>
      <w:szCs w:val="28"/>
      <w:lang w:val="en-US" w:eastAsia="zh-CN" w:bidi="ar-SA"/>
    </w:rPr>
  </w:style>
  <w:style w:type="character" w:customStyle="1" w:styleId="129">
    <w:name w:val="Char Char12"/>
    <w:qFormat/>
    <w:uiPriority w:val="0"/>
    <w:rPr>
      <w:rFonts w:ascii="Arial" w:hAnsi="Arial" w:eastAsia="黑体"/>
      <w:sz w:val="21"/>
      <w:szCs w:val="21"/>
      <w:lang w:val="en-US" w:eastAsia="zh-CN" w:bidi="ar-SA"/>
    </w:rPr>
  </w:style>
  <w:style w:type="character" w:customStyle="1" w:styleId="130">
    <w:name w:val="Char Char2"/>
    <w:qFormat/>
    <w:uiPriority w:val="0"/>
    <w:rPr>
      <w:rFonts w:ascii="楷体_GB2312" w:hAnsi="宋体" w:eastAsia="楷体_GB2312"/>
      <w:color w:val="000000"/>
      <w:sz w:val="21"/>
      <w:szCs w:val="21"/>
      <w:lang w:val="en-US" w:eastAsia="zh-CN" w:bidi="ar-SA"/>
    </w:rPr>
  </w:style>
  <w:style w:type="character" w:customStyle="1" w:styleId="131">
    <w:name w:val="表格 Char Char"/>
    <w:link w:val="132"/>
    <w:qFormat/>
    <w:uiPriority w:val="0"/>
    <w:rPr>
      <w:rFonts w:ascii="宋体" w:hAnsi="宋体"/>
      <w:kern w:val="2"/>
      <w:sz w:val="21"/>
      <w:szCs w:val="28"/>
    </w:rPr>
  </w:style>
  <w:style w:type="paragraph" w:customStyle="1" w:styleId="132">
    <w:name w:val="表格 Char"/>
    <w:basedOn w:val="1"/>
    <w:link w:val="131"/>
    <w:qFormat/>
    <w:uiPriority w:val="0"/>
    <w:pPr>
      <w:spacing w:before="100" w:beforeAutospacing="1" w:after="100" w:afterAutospacing="1"/>
      <w:jc w:val="center"/>
    </w:pPr>
    <w:rPr>
      <w:rFonts w:ascii="宋体" w:hAnsi="宋体"/>
      <w:szCs w:val="28"/>
    </w:rPr>
  </w:style>
  <w:style w:type="character" w:customStyle="1" w:styleId="133">
    <w:name w:val="Char Char1"/>
    <w:qFormat/>
    <w:uiPriority w:val="0"/>
    <w:rPr>
      <w:rFonts w:eastAsia="宋体"/>
      <w:szCs w:val="24"/>
      <w:lang w:bidi="ar-SA"/>
    </w:rPr>
  </w:style>
  <w:style w:type="character" w:customStyle="1" w:styleId="134">
    <w:name w:val="樣式 標題 3 + (中文) MS Gothic 10.5 點 Char Char Char Char Char Char Char Char Char Char Char Char"/>
    <w:qFormat/>
    <w:uiPriority w:val="0"/>
    <w:rPr>
      <w:rFonts w:hAnsi="PMingLiU" w:eastAsia="MS Gothic"/>
      <w:bCs/>
      <w:snapToGrid w:val="0"/>
      <w:kern w:val="2"/>
      <w:sz w:val="24"/>
      <w:szCs w:val="24"/>
      <w:lang w:val="en-AU" w:eastAsia="zh-TW" w:bidi="ar-SA"/>
    </w:rPr>
  </w:style>
  <w:style w:type="character" w:customStyle="1" w:styleId="135">
    <w:name w:val="Char Char11"/>
    <w:qFormat/>
    <w:uiPriority w:val="0"/>
    <w:rPr>
      <w:rFonts w:eastAsia="宋体"/>
      <w:b/>
      <w:bCs/>
      <w:kern w:val="2"/>
      <w:sz w:val="21"/>
      <w:szCs w:val="24"/>
      <w:lang w:val="en-US" w:eastAsia="zh-CN" w:bidi="ar-SA"/>
    </w:rPr>
  </w:style>
  <w:style w:type="character" w:customStyle="1" w:styleId="136">
    <w:name w:val="列表框2 Char"/>
    <w:link w:val="137"/>
    <w:qFormat/>
    <w:uiPriority w:val="0"/>
    <w:rPr>
      <w:rFonts w:ascii="宋体" w:hAnsi="宋体"/>
      <w:sz w:val="21"/>
      <w:szCs w:val="24"/>
    </w:rPr>
  </w:style>
  <w:style w:type="paragraph" w:customStyle="1" w:styleId="137">
    <w:name w:val="列表框2"/>
    <w:basedOn w:val="108"/>
    <w:link w:val="136"/>
    <w:qFormat/>
    <w:uiPriority w:val="0"/>
    <w:pPr>
      <w:tabs>
        <w:tab w:val="left" w:pos="2084"/>
      </w:tabs>
      <w:ind w:left="2118" w:leftChars="808" w:hanging="420"/>
    </w:pPr>
    <w:rPr>
      <w:szCs w:val="24"/>
    </w:rPr>
  </w:style>
  <w:style w:type="character" w:customStyle="1" w:styleId="138">
    <w:name w:val="正文文本 3 Char1"/>
    <w:semiHidden/>
    <w:qFormat/>
    <w:uiPriority w:val="99"/>
    <w:rPr>
      <w:rFonts w:ascii="Times New Roman" w:hAnsi="Times New Roman" w:eastAsia="宋体" w:cs="Times New Roman"/>
      <w:kern w:val="0"/>
      <w:sz w:val="16"/>
      <w:szCs w:val="16"/>
    </w:rPr>
  </w:style>
  <w:style w:type="character" w:customStyle="1" w:styleId="139">
    <w:name w:val="标题 3 Char1"/>
    <w:qFormat/>
    <w:uiPriority w:val="0"/>
    <w:rPr>
      <w:b/>
      <w:bCs/>
      <w:sz w:val="32"/>
      <w:szCs w:val="32"/>
    </w:rPr>
  </w:style>
  <w:style w:type="character" w:customStyle="1" w:styleId="140">
    <w:name w:val="页脚 Char1"/>
    <w:semiHidden/>
    <w:qFormat/>
    <w:uiPriority w:val="99"/>
    <w:rPr>
      <w:rFonts w:ascii="Times New Roman" w:hAnsi="Times New Roman" w:eastAsia="宋体" w:cs="Times New Roman"/>
      <w:kern w:val="0"/>
      <w:sz w:val="18"/>
      <w:szCs w:val="18"/>
    </w:rPr>
  </w:style>
  <w:style w:type="character" w:customStyle="1" w:styleId="141">
    <w:name w:val="正文文本 Char1"/>
    <w:semiHidden/>
    <w:qFormat/>
    <w:uiPriority w:val="99"/>
    <w:rPr>
      <w:rFonts w:ascii="Times New Roman" w:hAnsi="Times New Roman" w:eastAsia="宋体" w:cs="Times New Roman"/>
      <w:kern w:val="0"/>
      <w:szCs w:val="20"/>
    </w:rPr>
  </w:style>
  <w:style w:type="character" w:customStyle="1" w:styleId="142">
    <w:name w:val="Char Char8"/>
    <w:qFormat/>
    <w:uiPriority w:val="0"/>
    <w:rPr>
      <w:rFonts w:ascii="宋体" w:hAnsi="宋体" w:eastAsia="宋体"/>
      <w:kern w:val="2"/>
      <w:sz w:val="21"/>
      <w:szCs w:val="24"/>
      <w:lang w:val="en-US" w:eastAsia="zh-CN" w:bidi="ar-SA"/>
    </w:rPr>
  </w:style>
  <w:style w:type="character" w:customStyle="1" w:styleId="143">
    <w:name w:val="Report Text Char"/>
    <w:link w:val="144"/>
    <w:qFormat/>
    <w:uiPriority w:val="0"/>
    <w:rPr>
      <w:rFonts w:ascii="Arial" w:hAnsi="Arial"/>
      <w:kern w:val="28"/>
      <w:sz w:val="22"/>
    </w:rPr>
  </w:style>
  <w:style w:type="paragraph" w:customStyle="1" w:styleId="144">
    <w:name w:val="Report Text"/>
    <w:basedOn w:val="1"/>
    <w:link w:val="143"/>
    <w:qFormat/>
    <w:uiPriority w:val="0"/>
    <w:pPr>
      <w:spacing w:before="240" w:after="120"/>
      <w:ind w:left="1080"/>
    </w:pPr>
    <w:rPr>
      <w:rFonts w:ascii="Arial" w:hAnsi="Arial"/>
      <w:kern w:val="28"/>
      <w:sz w:val="22"/>
      <w:szCs w:val="20"/>
    </w:rPr>
  </w:style>
  <w:style w:type="character" w:customStyle="1" w:styleId="145">
    <w:name w:val="文档结构图 Char1"/>
    <w:semiHidden/>
    <w:qFormat/>
    <w:uiPriority w:val="99"/>
    <w:rPr>
      <w:rFonts w:ascii="宋体" w:hAnsi="Times New Roman" w:eastAsia="宋体" w:cs="Times New Roman"/>
      <w:kern w:val="0"/>
      <w:sz w:val="18"/>
      <w:szCs w:val="18"/>
    </w:rPr>
  </w:style>
  <w:style w:type="character" w:customStyle="1" w:styleId="146">
    <w:name w:val="纯文本 Char1"/>
    <w:qFormat/>
    <w:uiPriority w:val="99"/>
    <w:rPr>
      <w:rFonts w:ascii="宋体" w:hAnsi="Courier New" w:eastAsia="宋体" w:cs="Times New Roman"/>
      <w:szCs w:val="20"/>
    </w:rPr>
  </w:style>
  <w:style w:type="character" w:customStyle="1" w:styleId="147">
    <w:name w:val="列出段落 Char"/>
    <w:link w:val="148"/>
    <w:qFormat/>
    <w:uiPriority w:val="0"/>
    <w:rPr>
      <w:rFonts w:ascii="Calibri" w:hAnsi="Calibri"/>
      <w:kern w:val="2"/>
      <w:sz w:val="21"/>
      <w:szCs w:val="22"/>
    </w:rPr>
  </w:style>
  <w:style w:type="paragraph" w:customStyle="1" w:styleId="148">
    <w:name w:val="列出段落2"/>
    <w:basedOn w:val="1"/>
    <w:link w:val="147"/>
    <w:qFormat/>
    <w:uiPriority w:val="0"/>
    <w:rPr>
      <w:rFonts w:ascii="Calibri" w:hAnsi="Calibri"/>
      <w:szCs w:val="22"/>
    </w:rPr>
  </w:style>
  <w:style w:type="character" w:customStyle="1" w:styleId="149">
    <w:name w:val="批注主题 Char1"/>
    <w:semiHidden/>
    <w:qFormat/>
    <w:uiPriority w:val="99"/>
    <w:rPr>
      <w:rFonts w:ascii="Times New Roman" w:hAnsi="Times New Roman" w:eastAsia="宋体" w:cs="Times New Roman"/>
      <w:b/>
      <w:bCs/>
      <w:kern w:val="0"/>
      <w:sz w:val="21"/>
      <w:szCs w:val="20"/>
    </w:rPr>
  </w:style>
  <w:style w:type="character" w:customStyle="1" w:styleId="150">
    <w:name w:val="font161"/>
    <w:qFormat/>
    <w:uiPriority w:val="0"/>
    <w:rPr>
      <w:b/>
      <w:bCs/>
      <w:sz w:val="32"/>
      <w:szCs w:val="32"/>
    </w:rPr>
  </w:style>
  <w:style w:type="character" w:customStyle="1" w:styleId="151">
    <w:name w:val="Char Char6"/>
    <w:qFormat/>
    <w:uiPriority w:val="0"/>
    <w:rPr>
      <w:rFonts w:eastAsia="宋体"/>
      <w:sz w:val="18"/>
      <w:szCs w:val="18"/>
      <w:lang w:bidi="ar-SA"/>
    </w:rPr>
  </w:style>
  <w:style w:type="character" w:customStyle="1" w:styleId="152">
    <w:name w:val="样式4 Char"/>
    <w:link w:val="153"/>
    <w:qFormat/>
    <w:uiPriority w:val="0"/>
    <w:rPr>
      <w:rFonts w:ascii="宋体"/>
      <w:kern w:val="2"/>
      <w:sz w:val="18"/>
      <w:szCs w:val="18"/>
    </w:rPr>
  </w:style>
  <w:style w:type="paragraph" w:customStyle="1" w:styleId="153">
    <w:name w:val="样式4"/>
    <w:basedOn w:val="32"/>
    <w:link w:val="152"/>
    <w:qFormat/>
    <w:uiPriority w:val="0"/>
    <w:pPr>
      <w:pBdr>
        <w:bottom w:val="none" w:color="auto" w:sz="0" w:space="0"/>
      </w:pBdr>
      <w:autoSpaceDE w:val="0"/>
      <w:autoSpaceDN w:val="0"/>
      <w:adjustRightInd w:val="0"/>
      <w:snapToGrid/>
      <w:textAlignment w:val="baseline"/>
    </w:pPr>
    <w:rPr>
      <w:rFonts w:ascii="宋体"/>
    </w:rPr>
  </w:style>
  <w:style w:type="character" w:customStyle="1" w:styleId="154">
    <w:name w:val="Char Char19"/>
    <w:qFormat/>
    <w:uiPriority w:val="0"/>
    <w:rPr>
      <w:rFonts w:ascii="华文细黑" w:hAnsi="Arial" w:eastAsia="华文细黑"/>
      <w:b/>
      <w:bCs/>
      <w:sz w:val="44"/>
      <w:szCs w:val="32"/>
      <w:lang w:val="en-US" w:eastAsia="zh-CN" w:bidi="ar-SA"/>
    </w:rPr>
  </w:style>
  <w:style w:type="character" w:customStyle="1" w:styleId="155">
    <w:name w:val="Char Char15"/>
    <w:qFormat/>
    <w:uiPriority w:val="0"/>
    <w:rPr>
      <w:rFonts w:ascii="Arial" w:hAnsi="Arial" w:eastAsia="黑体"/>
      <w:b/>
      <w:bCs/>
      <w:sz w:val="24"/>
      <w:szCs w:val="24"/>
      <w:lang w:val="en-US" w:eastAsia="zh-CN" w:bidi="ar-SA"/>
    </w:rPr>
  </w:style>
  <w:style w:type="character" w:customStyle="1" w:styleId="156">
    <w:name w:val="正文文本 2 Char1"/>
    <w:semiHidden/>
    <w:qFormat/>
    <w:uiPriority w:val="99"/>
    <w:rPr>
      <w:rFonts w:ascii="Times New Roman" w:hAnsi="Times New Roman" w:eastAsia="宋体" w:cs="Times New Roman"/>
      <w:kern w:val="0"/>
      <w:szCs w:val="20"/>
    </w:rPr>
  </w:style>
  <w:style w:type="character" w:customStyle="1" w:styleId="157">
    <w:name w:val="Char Char14"/>
    <w:qFormat/>
    <w:uiPriority w:val="0"/>
    <w:rPr>
      <w:rFonts w:eastAsia="宋体"/>
      <w:b/>
      <w:bCs/>
      <w:sz w:val="24"/>
      <w:szCs w:val="24"/>
      <w:lang w:val="en-US" w:eastAsia="zh-CN" w:bidi="ar-SA"/>
    </w:rPr>
  </w:style>
  <w:style w:type="character" w:customStyle="1" w:styleId="158">
    <w:name w:val="样式 表内文字"/>
    <w:qFormat/>
    <w:uiPriority w:val="0"/>
    <w:rPr>
      <w:rFonts w:eastAsia="宋体"/>
      <w:snapToGrid/>
      <w:color w:val="000000"/>
      <w:spacing w:val="0"/>
      <w:kern w:val="0"/>
      <w:position w:val="0"/>
      <w:sz w:val="20"/>
      <w:szCs w:val="20"/>
      <w:u w:val="none"/>
    </w:rPr>
  </w:style>
  <w:style w:type="character" w:customStyle="1" w:styleId="159">
    <w:name w:val="Char Char16"/>
    <w:qFormat/>
    <w:uiPriority w:val="0"/>
    <w:rPr>
      <w:rFonts w:eastAsia="宋体"/>
      <w:b/>
      <w:bCs/>
      <w:sz w:val="28"/>
      <w:szCs w:val="28"/>
      <w:lang w:val="en-US" w:eastAsia="zh-CN" w:bidi="ar-SA"/>
    </w:rPr>
  </w:style>
  <w:style w:type="character" w:customStyle="1" w:styleId="160">
    <w:name w:val="样式 标题 3 + 黑色 Char"/>
    <w:link w:val="161"/>
    <w:qFormat/>
    <w:uiPriority w:val="0"/>
    <w:rPr>
      <w:color w:val="FF0000"/>
      <w:kern w:val="2"/>
      <w:sz w:val="24"/>
    </w:rPr>
  </w:style>
  <w:style w:type="paragraph" w:customStyle="1" w:styleId="161">
    <w:name w:val="样式 标题 3 + 黑色"/>
    <w:basedOn w:val="4"/>
    <w:link w:val="160"/>
    <w:qFormat/>
    <w:uiPriority w:val="0"/>
    <w:pPr>
      <w:keepNext w:val="0"/>
      <w:keepLines w:val="0"/>
      <w:tabs>
        <w:tab w:val="left" w:pos="1200"/>
        <w:tab w:val="left" w:pos="1260"/>
      </w:tabs>
      <w:spacing w:before="0" w:after="0"/>
      <w:ind w:left="1200" w:hanging="1200" w:hangingChars="500"/>
    </w:pPr>
    <w:rPr>
      <w:b w:val="0"/>
      <w:bCs w:val="0"/>
      <w:color w:val="FF0000"/>
      <w:szCs w:val="20"/>
    </w:rPr>
  </w:style>
  <w:style w:type="character" w:customStyle="1" w:styleId="162">
    <w:name w:val="脚注文本 Char1"/>
    <w:semiHidden/>
    <w:qFormat/>
    <w:uiPriority w:val="99"/>
    <w:rPr>
      <w:kern w:val="2"/>
      <w:sz w:val="18"/>
      <w:szCs w:val="18"/>
    </w:rPr>
  </w:style>
  <w:style w:type="character" w:customStyle="1" w:styleId="163">
    <w:name w:val="Char Char7"/>
    <w:qFormat/>
    <w:uiPriority w:val="0"/>
    <w:rPr>
      <w:rFonts w:eastAsia="宋体"/>
      <w:kern w:val="2"/>
      <w:sz w:val="18"/>
      <w:szCs w:val="18"/>
      <w:lang w:val="en-US" w:eastAsia="zh-CN" w:bidi="ar-SA"/>
    </w:rPr>
  </w:style>
  <w:style w:type="character" w:customStyle="1" w:styleId="164">
    <w:name w:val="正文缩进 Char1"/>
    <w:qFormat/>
    <w:uiPriority w:val="0"/>
    <w:rPr>
      <w:kern w:val="2"/>
      <w:sz w:val="21"/>
    </w:rPr>
  </w:style>
  <w:style w:type="character" w:customStyle="1" w:styleId="165">
    <w:name w:val="正文文本缩进 3 Char1"/>
    <w:semiHidden/>
    <w:qFormat/>
    <w:uiPriority w:val="99"/>
    <w:rPr>
      <w:rFonts w:ascii="Times New Roman" w:hAnsi="Times New Roman" w:eastAsia="宋体" w:cs="Times New Roman"/>
      <w:kern w:val="0"/>
      <w:sz w:val="16"/>
      <w:szCs w:val="16"/>
    </w:rPr>
  </w:style>
  <w:style w:type="character" w:customStyle="1" w:styleId="166">
    <w:name w:val="Char Char13"/>
    <w:qFormat/>
    <w:uiPriority w:val="0"/>
    <w:rPr>
      <w:rFonts w:ascii="Arial" w:hAnsi="Arial" w:eastAsia="黑体"/>
      <w:sz w:val="24"/>
      <w:szCs w:val="24"/>
      <w:lang w:val="en-US" w:eastAsia="zh-CN" w:bidi="ar-SA"/>
    </w:rPr>
  </w:style>
  <w:style w:type="character" w:customStyle="1" w:styleId="167">
    <w:name w:val="标题 3 字符"/>
    <w:qFormat/>
    <w:uiPriority w:val="0"/>
    <w:rPr>
      <w:rFonts w:ascii="Times New Roman" w:hAnsi="Times New Roman" w:eastAsia="宋体" w:cs="Times New Roman"/>
      <w:b/>
      <w:bCs/>
      <w:sz w:val="32"/>
      <w:szCs w:val="32"/>
    </w:rPr>
  </w:style>
  <w:style w:type="paragraph" w:customStyle="1" w:styleId="168">
    <w:name w:val="表格文字图表文字"/>
    <w:basedOn w:val="1"/>
    <w:qFormat/>
    <w:uiPriority w:val="0"/>
    <w:pPr>
      <w:snapToGrid w:val="0"/>
      <w:jc w:val="center"/>
    </w:pPr>
    <w:rPr>
      <w:rFonts w:cs="宋体"/>
      <w:szCs w:val="20"/>
    </w:rPr>
  </w:style>
  <w:style w:type="paragraph" w:customStyle="1" w:styleId="169">
    <w:name w:val="xl97"/>
    <w:basedOn w:val="1"/>
    <w:qFormat/>
    <w:uiPriority w:val="0"/>
    <w:pPr>
      <w:pBdr>
        <w:top w:val="single" w:color="auto" w:sz="4" w:space="0"/>
        <w:bottom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170">
    <w:name w:val="标题2"/>
    <w:basedOn w:val="2"/>
    <w:qFormat/>
    <w:uiPriority w:val="0"/>
    <w:pPr>
      <w:spacing w:before="0" w:after="0" w:line="312" w:lineRule="auto"/>
      <w:jc w:val="center"/>
    </w:pPr>
    <w:rPr>
      <w:rFonts w:ascii="宋体"/>
      <w:bCs w:val="0"/>
      <w:sz w:val="30"/>
      <w:szCs w:val="20"/>
    </w:rPr>
  </w:style>
  <w:style w:type="paragraph" w:customStyle="1" w:styleId="171">
    <w:name w:val="表格文字"/>
    <w:basedOn w:val="1"/>
    <w:qFormat/>
    <w:uiPriority w:val="0"/>
    <w:pPr>
      <w:adjustRightInd w:val="0"/>
      <w:spacing w:line="420" w:lineRule="atLeast"/>
      <w:jc w:val="left"/>
      <w:textAlignment w:val="baseline"/>
    </w:pPr>
    <w:rPr>
      <w:kern w:val="0"/>
      <w:szCs w:val="20"/>
    </w:rPr>
  </w:style>
  <w:style w:type="paragraph" w:customStyle="1" w:styleId="172">
    <w:name w:val="zhengwen"/>
    <w:basedOn w:val="1"/>
    <w:qFormat/>
    <w:uiPriority w:val="0"/>
    <w:pPr>
      <w:tabs>
        <w:tab w:val="left" w:pos="1145"/>
      </w:tabs>
      <w:adjustRightInd w:val="0"/>
      <w:snapToGrid w:val="0"/>
      <w:spacing w:line="520" w:lineRule="exact"/>
      <w:ind w:left="1145" w:hanging="720"/>
    </w:pPr>
    <w:rPr>
      <w:bCs/>
      <w:sz w:val="28"/>
    </w:rPr>
  </w:style>
  <w:style w:type="paragraph" w:customStyle="1" w:styleId="173">
    <w:name w:val="Body text 1"/>
    <w:basedOn w:val="174"/>
    <w:qFormat/>
    <w:uiPriority w:val="0"/>
    <w:pPr>
      <w:tabs>
        <w:tab w:val="left" w:pos="1134"/>
      </w:tabs>
      <w:ind w:hanging="1134"/>
    </w:pPr>
  </w:style>
  <w:style w:type="paragraph" w:customStyle="1" w:styleId="174">
    <w:name w:val="正文文本1"/>
    <w:qFormat/>
    <w:uiPriority w:val="0"/>
    <w:pPr>
      <w:widowControl w:val="0"/>
      <w:autoSpaceDE w:val="0"/>
      <w:autoSpaceDN w:val="0"/>
      <w:adjustRightInd w:val="0"/>
      <w:spacing w:before="170" w:line="300" w:lineRule="atLeast"/>
      <w:ind w:left="1134" w:firstLine="420"/>
      <w:jc w:val="both"/>
    </w:pPr>
    <w:rPr>
      <w:rFonts w:ascii="Times New Roman" w:hAnsi="Times New Roman" w:eastAsia="宋体" w:cs="Times New Roman"/>
      <w:color w:val="000000"/>
      <w:sz w:val="24"/>
      <w:lang w:val="en-US" w:eastAsia="zh-CN" w:bidi="ar-SA"/>
    </w:rPr>
  </w:style>
  <w:style w:type="paragraph" w:customStyle="1" w:styleId="175">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176">
    <w:name w:val="xl93"/>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177">
    <w:name w:val="批注主题 Char Char"/>
    <w:basedOn w:val="17"/>
    <w:next w:val="17"/>
    <w:qFormat/>
    <w:uiPriority w:val="0"/>
    <w:rPr>
      <w:b/>
      <w:szCs w:val="20"/>
    </w:rPr>
  </w:style>
  <w:style w:type="paragraph" w:customStyle="1" w:styleId="178">
    <w:name w:val="样式 宋体 小四 黑色 左 行距: 1.5 倍行距1"/>
    <w:basedOn w:val="1"/>
    <w:qFormat/>
    <w:uiPriority w:val="0"/>
    <w:pPr>
      <w:jc w:val="left"/>
    </w:pPr>
    <w:rPr>
      <w:rFonts w:ascii="宋体" w:hAnsi="宋体" w:cs="宋体"/>
      <w:color w:val="000000"/>
      <w:sz w:val="24"/>
      <w:szCs w:val="20"/>
    </w:rPr>
  </w:style>
  <w:style w:type="paragraph" w:customStyle="1" w:styleId="179">
    <w:name w:val="目录 81"/>
    <w:basedOn w:val="1"/>
    <w:next w:val="1"/>
    <w:qFormat/>
    <w:uiPriority w:val="39"/>
    <w:pPr>
      <w:ind w:left="2940" w:leftChars="1400"/>
    </w:pPr>
    <w:rPr>
      <w:rFonts w:ascii="Calibri" w:hAnsi="Calibri"/>
      <w:szCs w:val="22"/>
    </w:rPr>
  </w:style>
  <w:style w:type="paragraph" w:customStyle="1" w:styleId="180">
    <w:name w:val="cucd-4"/>
    <w:next w:val="1"/>
    <w:qFormat/>
    <w:uiPriority w:val="0"/>
    <w:pPr>
      <w:spacing w:line="360" w:lineRule="auto"/>
      <w:ind w:firstLine="482" w:firstLineChars="200"/>
      <w:jc w:val="both"/>
      <w:outlineLvl w:val="3"/>
    </w:pPr>
    <w:rPr>
      <w:rFonts w:ascii="Times New Roman" w:hAnsi="Times New Roman" w:eastAsia="宋体" w:cs="Times New Roman"/>
      <w:b/>
      <w:color w:val="000000"/>
      <w:kern w:val="2"/>
      <w:sz w:val="24"/>
      <w:szCs w:val="24"/>
      <w:u w:val="single"/>
      <w:lang w:val="en-US" w:eastAsia="zh-CN" w:bidi="ar-SA"/>
    </w:rPr>
  </w:style>
  <w:style w:type="paragraph" w:customStyle="1" w:styleId="181">
    <w:name w:val="1.1"/>
    <w:basedOn w:val="3"/>
    <w:qFormat/>
    <w:uiPriority w:val="0"/>
    <w:pPr>
      <w:keepNext w:val="0"/>
      <w:keepLines w:val="0"/>
      <w:autoSpaceDE w:val="0"/>
      <w:autoSpaceDN w:val="0"/>
      <w:adjustRightInd w:val="0"/>
      <w:spacing w:before="0" w:after="0"/>
      <w:jc w:val="left"/>
      <w:outlineLvl w:val="2"/>
    </w:pPr>
    <w:rPr>
      <w:rFonts w:ascii="宋体" w:hAnsi="宋体" w:eastAsia="宋体"/>
      <w:b w:val="0"/>
      <w:bCs w:val="0"/>
      <w:kern w:val="0"/>
      <w:sz w:val="21"/>
      <w:szCs w:val="20"/>
    </w:rPr>
  </w:style>
  <w:style w:type="paragraph" w:customStyle="1" w:styleId="182">
    <w:name w:val="招标文件1.1.1.1"/>
    <w:basedOn w:val="1"/>
    <w:qFormat/>
    <w:uiPriority w:val="0"/>
    <w:pPr>
      <w:spacing w:before="120" w:after="120" w:line="480" w:lineRule="exact"/>
      <w:ind w:left="284"/>
      <w:jc w:val="left"/>
      <w:outlineLvl w:val="4"/>
    </w:pPr>
    <w:rPr>
      <w:rFonts w:ascii="宋体"/>
      <w:b/>
      <w:spacing w:val="10"/>
      <w:w w:val="95"/>
      <w:sz w:val="24"/>
      <w:szCs w:val="21"/>
    </w:rPr>
  </w:style>
  <w:style w:type="paragraph" w:customStyle="1" w:styleId="183">
    <w:name w:val="目录 31"/>
    <w:basedOn w:val="1"/>
    <w:next w:val="1"/>
    <w:qFormat/>
    <w:uiPriority w:val="39"/>
    <w:pPr>
      <w:ind w:left="840" w:leftChars="400"/>
    </w:pPr>
  </w:style>
  <w:style w:type="paragraph" w:customStyle="1" w:styleId="184">
    <w:name w:val="目录 61"/>
    <w:basedOn w:val="1"/>
    <w:next w:val="1"/>
    <w:qFormat/>
    <w:uiPriority w:val="39"/>
    <w:pPr>
      <w:ind w:left="2100" w:leftChars="1000"/>
    </w:pPr>
    <w:rPr>
      <w:rFonts w:ascii="Calibri" w:hAnsi="Calibri"/>
      <w:szCs w:val="22"/>
    </w:rPr>
  </w:style>
  <w:style w:type="paragraph" w:customStyle="1" w:styleId="185">
    <w:name w:val="xl60"/>
    <w:basedOn w:val="1"/>
    <w:qFormat/>
    <w:uiPriority w:val="0"/>
    <w:pPr>
      <w:pBdr>
        <w:top w:val="single" w:color="auto" w:sz="4" w:space="0"/>
        <w:left w:val="single" w:color="auto" w:sz="4" w:space="0"/>
        <w:bottom w:val="single" w:color="auto" w:sz="4" w:space="0"/>
      </w:pBdr>
      <w:spacing w:before="100" w:after="100"/>
      <w:jc w:val="center"/>
      <w:textAlignment w:val="center"/>
    </w:pPr>
    <w:rPr>
      <w:rFonts w:eastAsia="Arial Unicode MS"/>
      <w:kern w:val="0"/>
      <w:szCs w:val="20"/>
    </w:rPr>
  </w:style>
  <w:style w:type="paragraph" w:customStyle="1" w:styleId="186">
    <w:name w:val="xl90"/>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187">
    <w:name w:val="目录 11"/>
    <w:basedOn w:val="1"/>
    <w:next w:val="1"/>
    <w:qFormat/>
    <w:uiPriority w:val="39"/>
    <w:pPr>
      <w:tabs>
        <w:tab w:val="right" w:leader="dot" w:pos="8296"/>
      </w:tabs>
      <w:ind w:left="850" w:leftChars="1" w:hanging="848" w:hangingChars="404"/>
      <w:jc w:val="center"/>
    </w:pPr>
  </w:style>
  <w:style w:type="paragraph" w:customStyle="1" w:styleId="188">
    <w:name w:val="目录 21"/>
    <w:basedOn w:val="1"/>
    <w:next w:val="1"/>
    <w:qFormat/>
    <w:uiPriority w:val="39"/>
    <w:pPr>
      <w:tabs>
        <w:tab w:val="right" w:leader="dot" w:pos="8295"/>
      </w:tabs>
      <w:ind w:left="205" w:leftChars="205"/>
    </w:pPr>
  </w:style>
  <w:style w:type="paragraph" w:customStyle="1" w:styleId="189">
    <w:name w:val="条文 4"/>
    <w:next w:val="1"/>
    <w:qFormat/>
    <w:uiPriority w:val="0"/>
    <w:pPr>
      <w:spacing w:line="310" w:lineRule="exact"/>
      <w:ind w:left="2520" w:hanging="420"/>
      <w:jc w:val="both"/>
    </w:pPr>
    <w:rPr>
      <w:rFonts w:ascii="Times New Roman" w:hAnsi="Times New Roman" w:eastAsia="黑体" w:cs="Times New Roman"/>
      <w:sz w:val="21"/>
      <w:lang w:val="en-US" w:eastAsia="zh-CN" w:bidi="ar-SA"/>
    </w:rPr>
  </w:style>
  <w:style w:type="paragraph" w:customStyle="1" w:styleId="190">
    <w:name w:val="font13"/>
    <w:basedOn w:val="1"/>
    <w:qFormat/>
    <w:uiPriority w:val="0"/>
    <w:pPr>
      <w:spacing w:before="100" w:beforeAutospacing="1" w:after="100" w:afterAutospacing="1"/>
      <w:jc w:val="left"/>
    </w:pPr>
    <w:rPr>
      <w:rFonts w:hint="eastAsia" w:ascii="宋体" w:hAnsi="宋体" w:cs="Arial Unicode MS"/>
      <w:color w:val="000000"/>
      <w:kern w:val="0"/>
      <w:sz w:val="18"/>
      <w:szCs w:val="18"/>
    </w:rPr>
  </w:style>
  <w:style w:type="paragraph" w:customStyle="1" w:styleId="191">
    <w:name w:val="目录 41"/>
    <w:basedOn w:val="1"/>
    <w:next w:val="1"/>
    <w:qFormat/>
    <w:uiPriority w:val="39"/>
    <w:pPr>
      <w:ind w:left="1260" w:leftChars="600"/>
    </w:pPr>
    <w:rPr>
      <w:rFonts w:ascii="Calibri" w:hAnsi="Calibri"/>
      <w:szCs w:val="22"/>
    </w:rPr>
  </w:style>
  <w:style w:type="paragraph" w:customStyle="1" w:styleId="192">
    <w:name w:val="目录 71"/>
    <w:basedOn w:val="1"/>
    <w:next w:val="1"/>
    <w:qFormat/>
    <w:uiPriority w:val="39"/>
    <w:pPr>
      <w:ind w:left="2520" w:leftChars="1200"/>
    </w:pPr>
    <w:rPr>
      <w:rFonts w:ascii="Calibri" w:hAnsi="Calibri"/>
      <w:szCs w:val="22"/>
    </w:rPr>
  </w:style>
  <w:style w:type="paragraph" w:customStyle="1" w:styleId="193">
    <w:name w:val="2册标题4"/>
    <w:basedOn w:val="1"/>
    <w:next w:val="1"/>
    <w:qFormat/>
    <w:uiPriority w:val="0"/>
    <w:pPr>
      <w:spacing w:beforeLines="50" w:afterLines="50" w:line="300" w:lineRule="auto"/>
      <w:ind w:left="420" w:leftChars="200"/>
      <w:outlineLvl w:val="3"/>
    </w:pPr>
    <w:rPr>
      <w:rFonts w:ascii="Arial" w:hAnsi="Arial" w:eastAsia="幼圆" w:cs="Arial"/>
      <w:b/>
      <w:sz w:val="24"/>
    </w:rPr>
  </w:style>
  <w:style w:type="paragraph" w:customStyle="1" w:styleId="194">
    <w:name w:val="目录 51"/>
    <w:basedOn w:val="1"/>
    <w:next w:val="1"/>
    <w:qFormat/>
    <w:uiPriority w:val="39"/>
    <w:pPr>
      <w:ind w:left="1680" w:leftChars="800"/>
    </w:pPr>
    <w:rPr>
      <w:rFonts w:ascii="Calibri" w:hAnsi="Calibri"/>
      <w:szCs w:val="22"/>
    </w:rPr>
  </w:style>
  <w:style w:type="paragraph" w:customStyle="1" w:styleId="195">
    <w:name w:val="目录 91"/>
    <w:basedOn w:val="1"/>
    <w:next w:val="1"/>
    <w:qFormat/>
    <w:uiPriority w:val="39"/>
    <w:pPr>
      <w:ind w:left="3360" w:leftChars="1600"/>
    </w:pPr>
    <w:rPr>
      <w:rFonts w:ascii="Calibri" w:hAnsi="Calibri"/>
      <w:szCs w:val="22"/>
    </w:rPr>
  </w:style>
  <w:style w:type="paragraph" w:customStyle="1" w:styleId="196">
    <w:name w:val="纯文本1"/>
    <w:basedOn w:val="1"/>
    <w:qFormat/>
    <w:uiPriority w:val="0"/>
    <w:rPr>
      <w:rFonts w:ascii="宋体" w:hAnsi="Courier New" w:cs="Courier New"/>
      <w:szCs w:val="21"/>
    </w:rPr>
  </w:style>
  <w:style w:type="paragraph" w:customStyle="1" w:styleId="197">
    <w:name w:val="xl40"/>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kern w:val="0"/>
      <w:sz w:val="20"/>
      <w:szCs w:val="20"/>
    </w:rPr>
  </w:style>
  <w:style w:type="paragraph" w:customStyle="1" w:styleId="198">
    <w:name w:val="xl95"/>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199">
    <w:name w:val="xl76"/>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24"/>
    </w:rPr>
  </w:style>
  <w:style w:type="paragraph" w:customStyle="1" w:styleId="200">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201">
    <w:name w:val="Char Char Char Char Char Char Char"/>
    <w:basedOn w:val="1"/>
    <w:qFormat/>
    <w:uiPriority w:val="0"/>
    <w:rPr>
      <w:rFonts w:ascii="仿宋_GB2312" w:eastAsia="仿宋_GB2312"/>
      <w:b/>
      <w:sz w:val="32"/>
      <w:szCs w:val="32"/>
    </w:rPr>
  </w:style>
  <w:style w:type="paragraph" w:customStyle="1" w:styleId="202">
    <w:name w:val="333"/>
    <w:basedOn w:val="1"/>
    <w:qFormat/>
    <w:uiPriority w:val="0"/>
    <w:pPr>
      <w:tabs>
        <w:tab w:val="left" w:pos="9083"/>
      </w:tabs>
      <w:wordWrap w:val="0"/>
      <w:spacing w:beforeLines="50" w:afterLines="50"/>
      <w:ind w:right="1106"/>
    </w:pPr>
    <w:rPr>
      <w:rFonts w:ascii="宋体" w:hAnsi="宋体" w:cs="宋体"/>
      <w:sz w:val="24"/>
    </w:rPr>
  </w:style>
  <w:style w:type="paragraph" w:customStyle="1" w:styleId="203">
    <w:name w:val="xl31"/>
    <w:basedOn w:val="1"/>
    <w:qFormat/>
    <w:uiPriority w:val="0"/>
    <w:pPr>
      <w:spacing w:before="100" w:beforeAutospacing="1" w:after="100" w:afterAutospacing="1"/>
      <w:jc w:val="center"/>
      <w:textAlignment w:val="center"/>
    </w:pPr>
    <w:rPr>
      <w:rFonts w:ascii="宋体" w:hAnsi="宋体" w:cs="宋体"/>
      <w:b/>
      <w:bCs/>
      <w:color w:val="000000"/>
      <w:kern w:val="0"/>
      <w:sz w:val="32"/>
      <w:szCs w:val="32"/>
    </w:rPr>
  </w:style>
  <w:style w:type="paragraph" w:customStyle="1" w:styleId="204">
    <w:name w:val="xl48"/>
    <w:basedOn w:val="1"/>
    <w:qFormat/>
    <w:uiPriority w:val="0"/>
    <w:pPr>
      <w:pBdr>
        <w:top w:val="single" w:color="auto" w:sz="4" w:space="0"/>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05">
    <w:name w:val="样式 标题 2 + (西文) Times New Roman (中文) 仿宋_GB2312 居中 段前: 6 磅 段后:..."/>
    <w:basedOn w:val="3"/>
    <w:qFormat/>
    <w:uiPriority w:val="0"/>
    <w:pPr>
      <w:spacing w:before="120" w:after="120"/>
      <w:jc w:val="left"/>
    </w:pPr>
    <w:rPr>
      <w:rFonts w:ascii="Times New Roman" w:hAnsi="Times New Roman" w:eastAsia="仿宋_GB2312" w:cs="宋体"/>
      <w:szCs w:val="20"/>
    </w:rPr>
  </w:style>
  <w:style w:type="paragraph" w:customStyle="1" w:styleId="206">
    <w:name w:val="样式 宋体 小四 首行缩进:  0.93 厘米 段前: 11.15 磅 段后: 11.15 磅1"/>
    <w:basedOn w:val="207"/>
    <w:next w:val="207"/>
    <w:qFormat/>
    <w:uiPriority w:val="99"/>
    <w:rPr>
      <w:rFonts w:ascii="宋体"/>
      <w:color w:val="auto"/>
    </w:rPr>
  </w:style>
  <w:style w:type="paragraph" w:customStyle="1" w:styleId="207">
    <w:name w:val="Default"/>
    <w:qFormat/>
    <w:uiPriority w:val="0"/>
    <w:pPr>
      <w:widowControl w:val="0"/>
      <w:autoSpaceDE w:val="0"/>
      <w:autoSpaceDN w:val="0"/>
      <w:adjustRightInd w:val="0"/>
      <w:spacing w:line="360" w:lineRule="auto"/>
      <w:ind w:firstLine="420"/>
      <w:jc w:val="both"/>
    </w:pPr>
    <w:rPr>
      <w:rFonts w:ascii="Times New Roman" w:hAnsi="Times New Roman" w:eastAsia="宋体" w:cs="Times New Roman"/>
      <w:color w:val="000000"/>
      <w:sz w:val="24"/>
      <w:szCs w:val="24"/>
      <w:lang w:val="en-US" w:eastAsia="zh-CN" w:bidi="ar-SA"/>
    </w:rPr>
  </w:style>
  <w:style w:type="paragraph" w:customStyle="1" w:styleId="208">
    <w:name w:val="Char Char Char Char11"/>
    <w:basedOn w:val="1"/>
    <w:qFormat/>
    <w:uiPriority w:val="0"/>
    <w:pPr>
      <w:shd w:val="clear" w:color="auto" w:fill="000080"/>
      <w:adjustRightInd w:val="0"/>
      <w:spacing w:line="436" w:lineRule="exact"/>
      <w:ind w:left="357"/>
      <w:jc w:val="left"/>
      <w:outlineLvl w:val="3"/>
    </w:pPr>
    <w:rPr>
      <w:rFonts w:ascii="Tahoma" w:hAnsi="Tahoma"/>
      <w:b/>
      <w:sz w:val="24"/>
      <w:szCs w:val="28"/>
      <w:shd w:val="clear" w:color="auto" w:fill="000080"/>
    </w:rPr>
  </w:style>
  <w:style w:type="paragraph" w:customStyle="1" w:styleId="209">
    <w:name w:val="Char"/>
    <w:basedOn w:val="1"/>
    <w:qFormat/>
    <w:uiPriority w:val="0"/>
    <w:pPr>
      <w:tabs>
        <w:tab w:val="left" w:pos="360"/>
      </w:tabs>
    </w:pPr>
    <w:rPr>
      <w:sz w:val="24"/>
    </w:rPr>
  </w:style>
  <w:style w:type="paragraph" w:customStyle="1" w:styleId="210">
    <w:name w:val="xl47"/>
    <w:basedOn w:val="1"/>
    <w:qFormat/>
    <w:uiPriority w:val="0"/>
    <w:pPr>
      <w:pBdr>
        <w:bottom w:val="single" w:color="auto" w:sz="8" w:space="0"/>
      </w:pBdr>
      <w:spacing w:before="100" w:beforeAutospacing="1" w:after="100" w:afterAutospacing="1"/>
      <w:jc w:val="center"/>
      <w:textAlignment w:val="center"/>
    </w:pPr>
    <w:rPr>
      <w:rFonts w:hint="eastAsia" w:ascii="隶书" w:hAnsi="宋体" w:eastAsia="隶书"/>
      <w:kern w:val="0"/>
      <w:sz w:val="44"/>
      <w:szCs w:val="44"/>
    </w:rPr>
  </w:style>
  <w:style w:type="paragraph" w:customStyle="1" w:styleId="211">
    <w:name w:val="条文 3"/>
    <w:next w:val="1"/>
    <w:qFormat/>
    <w:uiPriority w:val="0"/>
    <w:pPr>
      <w:spacing w:line="310" w:lineRule="exact"/>
      <w:ind w:left="1680" w:hanging="420"/>
      <w:jc w:val="both"/>
    </w:pPr>
    <w:rPr>
      <w:rFonts w:ascii="Times New Roman" w:hAnsi="Times New Roman" w:eastAsia="黑体" w:cs="Times New Roman"/>
      <w:sz w:val="21"/>
      <w:lang w:val="en-US" w:eastAsia="zh-CN" w:bidi="ar-SA"/>
    </w:rPr>
  </w:style>
  <w:style w:type="paragraph" w:customStyle="1" w:styleId="212">
    <w:name w:val="xl79"/>
    <w:basedOn w:val="1"/>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13">
    <w:name w:val="Char Char Char Char"/>
    <w:basedOn w:val="1"/>
    <w:qFormat/>
    <w:uiPriority w:val="0"/>
    <w:pPr>
      <w:tabs>
        <w:tab w:val="left" w:pos="360"/>
      </w:tabs>
    </w:pPr>
    <w:rPr>
      <w:sz w:val="24"/>
    </w:rPr>
  </w:style>
  <w:style w:type="paragraph" w:customStyle="1" w:styleId="214">
    <w:name w:val="样式1"/>
    <w:basedOn w:val="32"/>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215">
    <w:name w:val="Char Char Char Char Char Char Char Char Char Char Char Char Char Char Char Char Char Char Char Char Char Char Char Char2 Char"/>
    <w:basedOn w:val="1"/>
    <w:qFormat/>
    <w:uiPriority w:val="0"/>
    <w:pPr>
      <w:spacing w:after="160" w:line="240" w:lineRule="exact"/>
      <w:jc w:val="center"/>
    </w:pPr>
    <w:rPr>
      <w:rFonts w:ascii="黑体" w:hAnsi="Verdana" w:eastAsia="黑体"/>
      <w:kern w:val="0"/>
      <w:sz w:val="32"/>
      <w:szCs w:val="32"/>
      <w:lang w:eastAsia="en-US"/>
    </w:rPr>
  </w:style>
  <w:style w:type="paragraph" w:customStyle="1" w:styleId="216">
    <w:name w:val="附件"/>
    <w:basedOn w:val="1"/>
    <w:qFormat/>
    <w:uiPriority w:val="0"/>
    <w:pPr>
      <w:spacing w:line="480" w:lineRule="auto"/>
    </w:pPr>
    <w:rPr>
      <w:rFonts w:ascii="黑体" w:eastAsia="黑体"/>
      <w:b/>
      <w:sz w:val="36"/>
      <w:szCs w:val="20"/>
    </w:rPr>
  </w:style>
  <w:style w:type="paragraph" w:customStyle="1" w:styleId="217">
    <w:name w:val="修订1"/>
    <w:qFormat/>
    <w:uiPriority w:val="99"/>
    <w:pPr>
      <w:spacing w:line="360" w:lineRule="auto"/>
      <w:ind w:firstLine="420"/>
      <w:jc w:val="both"/>
    </w:pPr>
    <w:rPr>
      <w:rFonts w:ascii="Times New Roman" w:hAnsi="Times New Roman" w:eastAsia="宋体" w:cs="Times New Roman"/>
      <w:kern w:val="2"/>
      <w:sz w:val="21"/>
      <w:szCs w:val="24"/>
      <w:lang w:val="en-US" w:eastAsia="zh-CN" w:bidi="ar-SA"/>
    </w:rPr>
  </w:style>
  <w:style w:type="paragraph" w:customStyle="1" w:styleId="218">
    <w:name w:val="xl100"/>
    <w:basedOn w:val="1"/>
    <w:qFormat/>
    <w:uiPriority w:val="0"/>
    <w:pPr>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19">
    <w:name w:val="通用专用"/>
    <w:basedOn w:val="1"/>
    <w:qFormat/>
    <w:uiPriority w:val="0"/>
    <w:pPr>
      <w:jc w:val="center"/>
    </w:pPr>
    <w:rPr>
      <w:rFonts w:ascii="宋体"/>
      <w:b/>
      <w:sz w:val="36"/>
      <w:szCs w:val="20"/>
    </w:rPr>
  </w:style>
  <w:style w:type="paragraph" w:customStyle="1" w:styleId="220">
    <w:name w:val="xl50"/>
    <w:basedOn w:val="1"/>
    <w:qFormat/>
    <w:uiPriority w:val="0"/>
    <w:pPr>
      <w:pBdr>
        <w:top w:val="single" w:color="auto" w:sz="4"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221">
    <w:name w:val="样式 样式 标题 3 + 仿宋_GB2312 小四 段前: 0 磅 段后: 0 磅 + 段前: 0.5 行"/>
    <w:basedOn w:val="222"/>
    <w:qFormat/>
    <w:uiPriority w:val="0"/>
    <w:pPr>
      <w:spacing w:afterLines="50"/>
      <w:jc w:val="both"/>
    </w:pPr>
    <w:rPr>
      <w:rFonts w:ascii="宋体" w:eastAsia="宋体"/>
      <w:b w:val="0"/>
    </w:rPr>
  </w:style>
  <w:style w:type="paragraph" w:customStyle="1" w:styleId="222">
    <w:name w:val="样式 标题 3 + 仿宋_GB2312 小四 段前: 0 磅 段后: 0 磅"/>
    <w:basedOn w:val="4"/>
    <w:qFormat/>
    <w:uiPriority w:val="0"/>
    <w:pPr>
      <w:spacing w:beforeLines="50" w:after="0" w:line="413" w:lineRule="auto"/>
      <w:jc w:val="center"/>
    </w:pPr>
    <w:rPr>
      <w:rFonts w:ascii="仿宋_GB2312" w:eastAsia="仿宋_GB2312" w:cs="宋体"/>
      <w:kern w:val="0"/>
      <w:szCs w:val="20"/>
    </w:rPr>
  </w:style>
  <w:style w:type="paragraph" w:customStyle="1" w:styleId="223">
    <w:name w:val="Char Char Char Char Char Char Char Char Char Char"/>
    <w:basedOn w:val="1"/>
    <w:qFormat/>
    <w:uiPriority w:val="0"/>
    <w:rPr>
      <w:rFonts w:ascii="Tahoma" w:hAnsi="Tahoma" w:cs="仿宋_GB2312"/>
      <w:sz w:val="24"/>
      <w:szCs w:val="20"/>
    </w:rPr>
  </w:style>
  <w:style w:type="paragraph" w:customStyle="1" w:styleId="224">
    <w:name w:val="xl2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18"/>
      <w:szCs w:val="18"/>
    </w:rPr>
  </w:style>
  <w:style w:type="paragraph" w:customStyle="1" w:styleId="225">
    <w:name w:val="样式 纯文本 + 居中 行距: 最小值 9 磅"/>
    <w:basedOn w:val="25"/>
    <w:qFormat/>
    <w:uiPriority w:val="0"/>
    <w:pPr>
      <w:spacing w:line="180" w:lineRule="atLeast"/>
      <w:jc w:val="left"/>
    </w:pPr>
    <w:rPr>
      <w:rFonts w:cs="宋体"/>
      <w:sz w:val="24"/>
      <w:szCs w:val="20"/>
    </w:rPr>
  </w:style>
  <w:style w:type="paragraph" w:customStyle="1" w:styleId="226">
    <w:name w:val="1."/>
    <w:basedOn w:val="1"/>
    <w:qFormat/>
    <w:uiPriority w:val="0"/>
    <w:pPr>
      <w:tabs>
        <w:tab w:val="left" w:pos="425"/>
      </w:tabs>
      <w:ind w:firstLine="482"/>
    </w:pPr>
    <w:rPr>
      <w:sz w:val="28"/>
      <w:szCs w:val="20"/>
    </w:rPr>
  </w:style>
  <w:style w:type="paragraph" w:customStyle="1" w:styleId="227">
    <w:name w:val="样式 (西文) 宋体 行距: 1.5 倍行距"/>
    <w:basedOn w:val="1"/>
    <w:qFormat/>
    <w:uiPriority w:val="0"/>
    <w:rPr>
      <w:rFonts w:ascii="宋体" w:hAnsi="宋体" w:cs="宋体"/>
      <w:szCs w:val="20"/>
    </w:rPr>
  </w:style>
  <w:style w:type="paragraph" w:customStyle="1" w:styleId="228">
    <w:name w:val="CM226"/>
    <w:basedOn w:val="1"/>
    <w:next w:val="1"/>
    <w:qFormat/>
    <w:uiPriority w:val="0"/>
    <w:pPr>
      <w:autoSpaceDE w:val="0"/>
      <w:autoSpaceDN w:val="0"/>
      <w:adjustRightInd w:val="0"/>
      <w:spacing w:after="2445"/>
      <w:jc w:val="left"/>
    </w:pPr>
    <w:rPr>
      <w:rFonts w:ascii="宋体"/>
      <w:kern w:val="0"/>
      <w:sz w:val="24"/>
    </w:rPr>
  </w:style>
  <w:style w:type="paragraph" w:customStyle="1" w:styleId="229">
    <w:name w:val="xl59"/>
    <w:basedOn w:val="1"/>
    <w:qFormat/>
    <w:uiPriority w:val="0"/>
    <w:pPr>
      <w:pBdr>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30">
    <w:name w:val="Char Char Char Char Char Char Char Char Char Char Char Char Char"/>
    <w:basedOn w:val="1"/>
    <w:qFormat/>
    <w:uiPriority w:val="0"/>
    <w:rPr>
      <w:rFonts w:ascii="仿宋_GB2312" w:eastAsia="仿宋_GB2312"/>
      <w:b/>
      <w:sz w:val="32"/>
      <w:szCs w:val="32"/>
    </w:rPr>
  </w:style>
  <w:style w:type="paragraph" w:customStyle="1" w:styleId="231">
    <w:name w:val="xl92"/>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32">
    <w:name w:val="xl51"/>
    <w:basedOn w:val="1"/>
    <w:qFormat/>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33">
    <w:name w:val="字元 字元 Char Char Char Char Char Char Char"/>
    <w:basedOn w:val="1"/>
    <w:qFormat/>
    <w:uiPriority w:val="0"/>
    <w:rPr>
      <w:rFonts w:ascii="Tahoma" w:hAnsi="Tahoma" w:cs="仿宋_GB2312"/>
      <w:sz w:val="24"/>
      <w:szCs w:val="20"/>
    </w:rPr>
  </w:style>
  <w:style w:type="paragraph" w:customStyle="1" w:styleId="234">
    <w:name w:val="Char Char Char Char Char1 Char"/>
    <w:basedOn w:val="1"/>
    <w:qFormat/>
    <w:uiPriority w:val="0"/>
    <w:pPr>
      <w:adjustRightInd w:val="0"/>
    </w:pPr>
    <w:rPr>
      <w:rFonts w:eastAsia="黑体"/>
      <w:spacing w:val="20"/>
      <w:sz w:val="32"/>
      <w:szCs w:val="32"/>
    </w:rPr>
  </w:style>
  <w:style w:type="paragraph" w:customStyle="1" w:styleId="235">
    <w:name w:val="xl91"/>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36">
    <w:name w:val="重点"/>
    <w:basedOn w:val="1"/>
    <w:qFormat/>
    <w:uiPriority w:val="0"/>
    <w:pPr>
      <w:tabs>
        <w:tab w:val="left" w:pos="0"/>
        <w:tab w:val="left" w:pos="420"/>
      </w:tabs>
      <w:adjustRightInd w:val="0"/>
      <w:snapToGrid w:val="0"/>
      <w:spacing w:line="560" w:lineRule="atLeast"/>
      <w:ind w:left="420" w:hanging="420"/>
    </w:pPr>
    <w:rPr>
      <w:kern w:val="24"/>
      <w:sz w:val="30"/>
      <w:szCs w:val="20"/>
    </w:rPr>
  </w:style>
  <w:style w:type="paragraph" w:customStyle="1" w:styleId="237">
    <w:name w:val="样式 表格 + 加粗"/>
    <w:basedOn w:val="132"/>
    <w:qFormat/>
    <w:uiPriority w:val="0"/>
    <w:rPr>
      <w:b/>
      <w:bCs/>
    </w:rPr>
  </w:style>
  <w:style w:type="paragraph" w:customStyle="1" w:styleId="238">
    <w:name w:val="xl49"/>
    <w:basedOn w:val="1"/>
    <w:qFormat/>
    <w:uiPriority w:val="0"/>
    <w:pPr>
      <w:pBdr>
        <w:top w:val="single" w:color="auto" w:sz="4"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239">
    <w:name w:val="xl34"/>
    <w:basedOn w:val="1"/>
    <w:qFormat/>
    <w:uiPriority w:val="0"/>
    <w:pPr>
      <w:pBdr>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40">
    <w:name w:val="xl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41">
    <w:name w:val="font12"/>
    <w:basedOn w:val="1"/>
    <w:qFormat/>
    <w:uiPriority w:val="0"/>
    <w:pPr>
      <w:spacing w:before="100" w:beforeAutospacing="1" w:after="100" w:afterAutospacing="1"/>
      <w:jc w:val="left"/>
    </w:pPr>
    <w:rPr>
      <w:rFonts w:hint="eastAsia" w:ascii="宋体" w:hAnsi="宋体" w:cs="Arial Unicode MS"/>
      <w:b/>
      <w:bCs/>
      <w:color w:val="000000"/>
      <w:kern w:val="0"/>
      <w:sz w:val="16"/>
      <w:szCs w:val="16"/>
    </w:rPr>
  </w:style>
  <w:style w:type="paragraph" w:customStyle="1" w:styleId="242">
    <w:name w:val="xl54"/>
    <w:basedOn w:val="1"/>
    <w:qFormat/>
    <w:uiPriority w:val="0"/>
    <w:pPr>
      <w:pBdr>
        <w:top w:val="single" w:color="auto" w:sz="8" w:space="0"/>
        <w:left w:val="single" w:color="auto" w:sz="8"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243">
    <w:name w:val="xl4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244">
    <w:name w:val="Char1"/>
    <w:basedOn w:val="1"/>
    <w:qFormat/>
    <w:uiPriority w:val="0"/>
    <w:rPr>
      <w:rFonts w:ascii="仿宋_GB2312" w:eastAsia="仿宋_GB2312"/>
      <w:b/>
      <w:sz w:val="32"/>
      <w:szCs w:val="32"/>
    </w:rPr>
  </w:style>
  <w:style w:type="paragraph" w:customStyle="1" w:styleId="245">
    <w:name w:val="cucd-0"/>
    <w:qFormat/>
    <w:uiPriority w:val="0"/>
    <w:pPr>
      <w:spacing w:line="360" w:lineRule="auto"/>
      <w:ind w:firstLine="480" w:firstLineChars="200"/>
      <w:jc w:val="both"/>
    </w:pPr>
    <w:rPr>
      <w:rFonts w:ascii="Times New Roman" w:hAnsi="Times New Roman" w:eastAsia="宋体" w:cs="Times New Roman"/>
      <w:kern w:val="2"/>
      <w:sz w:val="24"/>
      <w:szCs w:val="24"/>
      <w:lang w:val="en-US" w:eastAsia="zh-CN" w:bidi="ar-SA"/>
    </w:rPr>
  </w:style>
  <w:style w:type="paragraph" w:customStyle="1" w:styleId="246">
    <w:name w:val="Tétière"/>
    <w:basedOn w:val="1"/>
    <w:qFormat/>
    <w:uiPriority w:val="0"/>
    <w:pPr>
      <w:spacing w:before="60" w:after="60"/>
      <w:jc w:val="center"/>
    </w:pPr>
    <w:rPr>
      <w:rFonts w:ascii="Arial" w:hAnsi="Arial"/>
      <w:b/>
      <w:kern w:val="0"/>
      <w:sz w:val="16"/>
      <w:szCs w:val="20"/>
      <w:lang w:val="en-GB"/>
    </w:rPr>
  </w:style>
  <w:style w:type="paragraph" w:customStyle="1" w:styleId="247">
    <w:name w:val="xl2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248">
    <w:name w:val="标题333"/>
    <w:basedOn w:val="1"/>
    <w:qFormat/>
    <w:uiPriority w:val="0"/>
    <w:rPr>
      <w:rFonts w:ascii="宋体" w:hAnsi="宋体" w:cs="宋体"/>
      <w:b/>
      <w:bCs/>
      <w:sz w:val="24"/>
      <w:szCs w:val="20"/>
    </w:rPr>
  </w:style>
  <w:style w:type="paragraph" w:customStyle="1" w:styleId="249">
    <w:name w:val="Char Char Char"/>
    <w:basedOn w:val="1"/>
    <w:qFormat/>
    <w:uiPriority w:val="0"/>
    <w:rPr>
      <w:rFonts w:ascii="仿宋_GB2312" w:eastAsia="仿宋_GB2312"/>
      <w:b/>
      <w:sz w:val="32"/>
      <w:szCs w:val="32"/>
    </w:rPr>
  </w:style>
  <w:style w:type="paragraph" w:customStyle="1" w:styleId="250">
    <w:name w:val="xl101"/>
    <w:basedOn w:val="1"/>
    <w:qFormat/>
    <w:uiPriority w:val="0"/>
    <w:pPr>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51">
    <w:name w:val="xl32"/>
    <w:basedOn w:val="1"/>
    <w:qFormat/>
    <w:uiPriority w:val="0"/>
    <w:pPr>
      <w:spacing w:before="100" w:beforeAutospacing="1" w:after="100" w:afterAutospacing="1"/>
      <w:jc w:val="left"/>
      <w:textAlignment w:val="center"/>
    </w:pPr>
    <w:rPr>
      <w:rFonts w:ascii="宋体" w:hAnsi="宋体" w:cs="宋体"/>
      <w:color w:val="000000"/>
      <w:kern w:val="0"/>
      <w:sz w:val="24"/>
    </w:rPr>
  </w:style>
  <w:style w:type="paragraph" w:customStyle="1" w:styleId="252">
    <w:name w:val="xl58"/>
    <w:basedOn w:val="1"/>
    <w:qFormat/>
    <w:uiPriority w:val="0"/>
    <w:pPr>
      <w:pBdr>
        <w:left w:val="single" w:color="auto" w:sz="4" w:space="0"/>
        <w:bottom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253">
    <w:name w:val="xl55"/>
    <w:basedOn w:val="1"/>
    <w:qFormat/>
    <w:uiPriority w:val="0"/>
    <w:pPr>
      <w:pBdr>
        <w:top w:val="single" w:color="auto" w:sz="8" w:space="0"/>
        <w:left w:val="single" w:color="auto" w:sz="4" w:space="31"/>
        <w:bottom w:val="single" w:color="auto" w:sz="4" w:space="0"/>
        <w:right w:val="single" w:color="auto" w:sz="4" w:space="0"/>
      </w:pBdr>
      <w:spacing w:before="100" w:beforeAutospacing="1" w:after="100" w:afterAutospacing="1"/>
      <w:jc w:val="left"/>
      <w:textAlignment w:val="center"/>
    </w:pPr>
    <w:rPr>
      <w:rFonts w:hint="eastAsia" w:ascii="楷体_GB2312" w:hAnsi="宋体" w:eastAsia="楷体_GB2312"/>
      <w:kern w:val="0"/>
      <w:sz w:val="24"/>
    </w:rPr>
  </w:style>
  <w:style w:type="paragraph" w:customStyle="1" w:styleId="254">
    <w:name w:val="Char4"/>
    <w:basedOn w:val="1"/>
    <w:qFormat/>
    <w:uiPriority w:val="0"/>
  </w:style>
  <w:style w:type="paragraph" w:customStyle="1" w:styleId="255">
    <w:name w:val="xl8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56">
    <w:name w:val="样式 样式 首行缩进:  2 字符 段前: 4.65 磅 + 首行缩进:  2 字符"/>
    <w:basedOn w:val="1"/>
    <w:qFormat/>
    <w:uiPriority w:val="0"/>
    <w:pPr>
      <w:topLinePunct/>
      <w:spacing w:before="93"/>
      <w:ind w:firstLine="480"/>
    </w:pPr>
    <w:rPr>
      <w:rFonts w:cs="宋体"/>
      <w:sz w:val="24"/>
      <w:szCs w:val="20"/>
    </w:rPr>
  </w:style>
  <w:style w:type="paragraph" w:customStyle="1" w:styleId="257">
    <w:name w:val="xl6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258">
    <w:name w:val="Char Char Char Char Char Char Char Char Char Char Char Char1 Char"/>
    <w:basedOn w:val="15"/>
    <w:qFormat/>
    <w:uiPriority w:val="0"/>
    <w:pPr>
      <w:shd w:val="clear" w:color="auto" w:fill="000080"/>
    </w:pPr>
    <w:rPr>
      <w:rFonts w:ascii="Times New Roman"/>
      <w:sz w:val="21"/>
      <w:szCs w:val="20"/>
    </w:rPr>
  </w:style>
  <w:style w:type="paragraph" w:customStyle="1" w:styleId="259">
    <w:name w:val="tableau"/>
    <w:basedOn w:val="1"/>
    <w:qFormat/>
    <w:uiPriority w:val="0"/>
    <w:pPr>
      <w:spacing w:before="20" w:after="20"/>
      <w:jc w:val="center"/>
    </w:pPr>
    <w:rPr>
      <w:rFonts w:ascii="Arial" w:hAnsi="Arial"/>
      <w:kern w:val="0"/>
      <w:sz w:val="16"/>
      <w:szCs w:val="20"/>
      <w:lang w:val="en-GB"/>
    </w:rPr>
  </w:style>
  <w:style w:type="paragraph" w:customStyle="1" w:styleId="260">
    <w:name w:val="样式 标题 3 + (中文) 黑体 小四 非加粗 段前: 7.8 磅 段后: 0 磅 行距: 固定值 20 磅"/>
    <w:basedOn w:val="4"/>
    <w:qFormat/>
    <w:uiPriority w:val="0"/>
    <w:pPr>
      <w:spacing w:before="0" w:after="0" w:line="400" w:lineRule="exact"/>
    </w:pPr>
    <w:rPr>
      <w:rFonts w:eastAsia="黑体" w:cs="宋体"/>
      <w:b w:val="0"/>
      <w:bCs w:val="0"/>
      <w:szCs w:val="20"/>
    </w:rPr>
  </w:style>
  <w:style w:type="paragraph" w:customStyle="1" w:styleId="261">
    <w:name w:val="二级标题"/>
    <w:basedOn w:val="1"/>
    <w:qFormat/>
    <w:uiPriority w:val="0"/>
    <w:pPr>
      <w:tabs>
        <w:tab w:val="left" w:pos="-1341"/>
      </w:tabs>
      <w:ind w:left="2686" w:hanging="420"/>
      <w:outlineLvl w:val="1"/>
    </w:pPr>
    <w:rPr>
      <w:rFonts w:ascii="宋体" w:hAnsi="宋体"/>
      <w:sz w:val="24"/>
      <w:szCs w:val="20"/>
    </w:rPr>
  </w:style>
  <w:style w:type="paragraph" w:customStyle="1" w:styleId="262">
    <w:name w:val="font11"/>
    <w:basedOn w:val="1"/>
    <w:qFormat/>
    <w:uiPriority w:val="0"/>
    <w:pPr>
      <w:spacing w:before="100" w:beforeAutospacing="1" w:after="100" w:afterAutospacing="1"/>
      <w:jc w:val="left"/>
    </w:pPr>
    <w:rPr>
      <w:rFonts w:hint="eastAsia" w:ascii="宋体" w:hAnsi="宋体" w:cs="Arial Unicode MS"/>
      <w:color w:val="000000"/>
      <w:kern w:val="0"/>
      <w:sz w:val="16"/>
      <w:szCs w:val="16"/>
    </w:rPr>
  </w:style>
  <w:style w:type="paragraph" w:customStyle="1" w:styleId="263">
    <w:name w:val="_Style 10"/>
    <w:basedOn w:val="1"/>
    <w:next w:val="1"/>
    <w:qFormat/>
    <w:uiPriority w:val="0"/>
  </w:style>
  <w:style w:type="paragraph" w:customStyle="1" w:styleId="264">
    <w:name w:val="Char2 Char Char Char"/>
    <w:basedOn w:val="1"/>
    <w:qFormat/>
    <w:uiPriority w:val="0"/>
    <w:pPr>
      <w:spacing w:after="160" w:line="240" w:lineRule="exact"/>
      <w:jc w:val="left"/>
    </w:pPr>
    <w:rPr>
      <w:rFonts w:ascii="Verdana" w:hAnsi="Verdana" w:eastAsia="仿宋_GB2312"/>
      <w:kern w:val="0"/>
      <w:sz w:val="24"/>
      <w:szCs w:val="20"/>
      <w:lang w:eastAsia="en-US"/>
    </w:rPr>
  </w:style>
  <w:style w:type="paragraph" w:customStyle="1" w:styleId="265">
    <w:name w:val="xl62"/>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266">
    <w:name w:val="retrait1"/>
    <w:basedOn w:val="1"/>
    <w:qFormat/>
    <w:uiPriority w:val="0"/>
    <w:pPr>
      <w:spacing w:before="20" w:after="20"/>
      <w:ind w:left="284"/>
      <w:jc w:val="left"/>
    </w:pPr>
    <w:rPr>
      <w:rFonts w:ascii="Arial" w:hAnsi="Arial"/>
      <w:kern w:val="0"/>
      <w:sz w:val="24"/>
      <w:szCs w:val="20"/>
      <w:lang w:val="en-GB"/>
    </w:rPr>
  </w:style>
  <w:style w:type="paragraph" w:customStyle="1" w:styleId="267">
    <w:name w:val="青岛标题3"/>
    <w:basedOn w:val="4"/>
    <w:qFormat/>
    <w:uiPriority w:val="0"/>
    <w:pPr>
      <w:spacing w:line="500" w:lineRule="exact"/>
      <w:jc w:val="left"/>
      <w:outlineLvl w:val="1"/>
    </w:pPr>
  </w:style>
  <w:style w:type="paragraph" w:customStyle="1" w:styleId="268">
    <w:name w:val="xl61"/>
    <w:basedOn w:val="1"/>
    <w:qFormat/>
    <w:uiPriority w:val="0"/>
    <w:pPr>
      <w:pBdr>
        <w:left w:val="single" w:color="auto" w:sz="4" w:space="0"/>
        <w:right w:val="single" w:color="auto" w:sz="4" w:space="0"/>
      </w:pBdr>
      <w:spacing w:before="100" w:beforeAutospacing="1" w:after="100" w:afterAutospacing="1"/>
      <w:jc w:val="center"/>
    </w:pPr>
    <w:rPr>
      <w:rFonts w:ascii="宋体" w:hAnsi="宋体"/>
      <w:kern w:val="0"/>
      <w:sz w:val="18"/>
      <w:szCs w:val="18"/>
    </w:rPr>
  </w:style>
  <w:style w:type="paragraph" w:customStyle="1" w:styleId="269">
    <w:name w:val="表格"/>
    <w:basedOn w:val="1"/>
    <w:qFormat/>
    <w:uiPriority w:val="0"/>
    <w:pPr>
      <w:jc w:val="center"/>
      <w:textAlignment w:val="center"/>
    </w:pPr>
    <w:rPr>
      <w:rFonts w:ascii="华文细黑" w:hAnsi="华文细黑"/>
      <w:kern w:val="0"/>
      <w:szCs w:val="20"/>
    </w:rPr>
  </w:style>
  <w:style w:type="paragraph" w:customStyle="1" w:styleId="270">
    <w:name w:val="_Style 67"/>
    <w:basedOn w:val="1"/>
    <w:qFormat/>
    <w:uiPriority w:val="0"/>
    <w:pPr>
      <w:spacing w:after="160" w:line="240" w:lineRule="exact"/>
      <w:jc w:val="left"/>
    </w:pPr>
    <w:rPr>
      <w:rFonts w:ascii="楷体_GB2312" w:hAnsi="楷体_GB2312" w:eastAsia="仿宋_GB2312" w:cs="楷体_GB2312"/>
      <w:szCs w:val="20"/>
    </w:rPr>
  </w:style>
  <w:style w:type="paragraph" w:customStyle="1" w:styleId="271">
    <w:name w:val="USE 3"/>
    <w:basedOn w:val="1"/>
    <w:qFormat/>
    <w:uiPriority w:val="0"/>
    <w:pPr>
      <w:ind w:left="710" w:hanging="170"/>
      <w:jc w:val="left"/>
    </w:pPr>
    <w:rPr>
      <w:rFonts w:ascii="宋体" w:hAnsi="宋体"/>
      <w:sz w:val="24"/>
      <w:szCs w:val="20"/>
    </w:rPr>
  </w:style>
  <w:style w:type="paragraph" w:customStyle="1" w:styleId="272">
    <w:name w:val="条文 0"/>
    <w:next w:val="1"/>
    <w:qFormat/>
    <w:uiPriority w:val="0"/>
    <w:pPr>
      <w:spacing w:before="240" w:after="240" w:line="360" w:lineRule="auto"/>
      <w:ind w:left="420" w:hanging="420"/>
      <w:jc w:val="both"/>
    </w:pPr>
    <w:rPr>
      <w:rFonts w:ascii="Times New Roman" w:hAnsi="Times New Roman" w:eastAsia="黑体" w:cs="Times New Roman"/>
      <w:sz w:val="21"/>
      <w:lang w:val="en-US" w:eastAsia="zh-CN" w:bidi="ar-SA"/>
    </w:rPr>
  </w:style>
  <w:style w:type="paragraph" w:customStyle="1" w:styleId="273">
    <w:name w:val="xl39"/>
    <w:basedOn w:val="1"/>
    <w:qFormat/>
    <w:uiPriority w:val="0"/>
    <w:pPr>
      <w:pBdr>
        <w:left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74">
    <w:name w:val="xl88"/>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275">
    <w:name w:val="xl7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76">
    <w:name w:val="样式 宋体 小四 段前: 5 磅 段后: 5 磅"/>
    <w:basedOn w:val="1"/>
    <w:qFormat/>
    <w:uiPriority w:val="0"/>
    <w:pPr>
      <w:spacing w:before="100" w:after="100"/>
      <w:ind w:left="2266" w:leftChars="200"/>
    </w:pPr>
    <w:rPr>
      <w:rFonts w:ascii="宋体" w:cs="宋体"/>
      <w:sz w:val="24"/>
      <w:szCs w:val="20"/>
    </w:rPr>
  </w:style>
  <w:style w:type="paragraph" w:customStyle="1" w:styleId="277">
    <w:name w:val="font0"/>
    <w:basedOn w:val="1"/>
    <w:qFormat/>
    <w:uiPriority w:val="0"/>
    <w:pPr>
      <w:spacing w:before="100" w:beforeAutospacing="1" w:after="100" w:afterAutospacing="1"/>
      <w:jc w:val="left"/>
    </w:pPr>
    <w:rPr>
      <w:rFonts w:hint="eastAsia" w:ascii="宋体" w:hAnsi="宋体"/>
      <w:kern w:val="0"/>
      <w:sz w:val="24"/>
    </w:rPr>
  </w:style>
  <w:style w:type="paragraph" w:customStyle="1" w:styleId="278">
    <w:name w:val="font6"/>
    <w:basedOn w:val="1"/>
    <w:qFormat/>
    <w:uiPriority w:val="0"/>
    <w:pPr>
      <w:spacing w:before="100" w:beforeAutospacing="1" w:after="100" w:afterAutospacing="1"/>
      <w:jc w:val="left"/>
    </w:pPr>
    <w:rPr>
      <w:rFonts w:ascii="宋体" w:hAnsi="宋体" w:cs="宋体"/>
      <w:kern w:val="0"/>
      <w:sz w:val="18"/>
      <w:szCs w:val="18"/>
    </w:rPr>
  </w:style>
  <w:style w:type="paragraph" w:customStyle="1" w:styleId="279">
    <w:name w:val="Retrait 1"/>
    <w:basedOn w:val="13"/>
    <w:qFormat/>
    <w:uiPriority w:val="0"/>
    <w:pPr>
      <w:spacing w:after="240"/>
      <w:ind w:left="1134" w:firstLine="0" w:firstLineChars="0"/>
      <w:jc w:val="left"/>
    </w:pPr>
    <w:rPr>
      <w:rFonts w:ascii="Palatino" w:hAnsi="Palatino"/>
      <w:kern w:val="0"/>
      <w:sz w:val="24"/>
      <w:szCs w:val="20"/>
      <w:lang w:val="en-GB"/>
    </w:rPr>
  </w:style>
  <w:style w:type="paragraph" w:customStyle="1" w:styleId="280">
    <w:name w:val="xl2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281">
    <w:name w:val="wuff32"/>
    <w:basedOn w:val="25"/>
    <w:qFormat/>
    <w:uiPriority w:val="0"/>
    <w:pPr>
      <w:jc w:val="center"/>
    </w:pPr>
    <w:rPr>
      <w:rFonts w:ascii="黑体" w:eastAsia="黑体"/>
      <w:sz w:val="24"/>
      <w:szCs w:val="20"/>
    </w:rPr>
  </w:style>
  <w:style w:type="paragraph" w:customStyle="1" w:styleId="282">
    <w:name w:val="xl3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83">
    <w:name w:val="Char Char Char Char Char Char Char Char Char Char Char Char Char1"/>
    <w:basedOn w:val="1"/>
    <w:qFormat/>
    <w:uiPriority w:val="0"/>
    <w:rPr>
      <w:rFonts w:ascii="仿宋_GB2312" w:eastAsia="仿宋_GB2312"/>
      <w:b/>
      <w:sz w:val="32"/>
      <w:szCs w:val="32"/>
    </w:rPr>
  </w:style>
  <w:style w:type="paragraph" w:customStyle="1" w:styleId="284">
    <w:name w:val="xl80"/>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textAlignment w:val="center"/>
    </w:pPr>
    <w:rPr>
      <w:rFonts w:ascii="宋体" w:hAnsi="宋体" w:cs="宋体"/>
      <w:kern w:val="0"/>
      <w:szCs w:val="21"/>
    </w:rPr>
  </w:style>
  <w:style w:type="paragraph" w:customStyle="1" w:styleId="285">
    <w:name w:val="font5"/>
    <w:basedOn w:val="1"/>
    <w:qFormat/>
    <w:uiPriority w:val="0"/>
    <w:pPr>
      <w:spacing w:before="100" w:beforeAutospacing="1" w:after="100" w:afterAutospacing="1"/>
      <w:jc w:val="left"/>
    </w:pPr>
    <w:rPr>
      <w:rFonts w:ascii="宋体" w:hAnsi="宋体" w:cs="宋体"/>
      <w:kern w:val="0"/>
      <w:sz w:val="18"/>
      <w:szCs w:val="18"/>
    </w:rPr>
  </w:style>
  <w:style w:type="paragraph" w:customStyle="1" w:styleId="286">
    <w:name w:val="font7"/>
    <w:basedOn w:val="1"/>
    <w:qFormat/>
    <w:uiPriority w:val="0"/>
    <w:pPr>
      <w:spacing w:before="100" w:beforeAutospacing="1" w:after="100" w:afterAutospacing="1"/>
      <w:jc w:val="left"/>
    </w:pPr>
    <w:rPr>
      <w:kern w:val="0"/>
      <w:sz w:val="20"/>
      <w:szCs w:val="20"/>
    </w:rPr>
  </w:style>
  <w:style w:type="paragraph" w:customStyle="1" w:styleId="287">
    <w:name w:val="标题222"/>
    <w:basedOn w:val="1"/>
    <w:qFormat/>
    <w:uiPriority w:val="0"/>
    <w:rPr>
      <w:rFonts w:cs="宋体"/>
      <w:b/>
      <w:bCs/>
      <w:sz w:val="30"/>
      <w:szCs w:val="20"/>
    </w:rPr>
  </w:style>
  <w:style w:type="paragraph" w:customStyle="1" w:styleId="288">
    <w:name w:val="小标题"/>
    <w:basedOn w:val="1"/>
    <w:qFormat/>
    <w:uiPriority w:val="0"/>
    <w:pPr>
      <w:spacing w:line="440" w:lineRule="exact"/>
      <w:ind w:left="420" w:hanging="420"/>
    </w:pPr>
    <w:rPr>
      <w:sz w:val="24"/>
    </w:rPr>
  </w:style>
  <w:style w:type="paragraph" w:customStyle="1" w:styleId="289">
    <w:name w:val="xl43"/>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290">
    <w:name w:val="CM255"/>
    <w:basedOn w:val="207"/>
    <w:next w:val="207"/>
    <w:qFormat/>
    <w:uiPriority w:val="0"/>
    <w:pPr>
      <w:spacing w:after="1728"/>
    </w:pPr>
    <w:rPr>
      <w:rFonts w:ascii="宋体" w:cs="宋体"/>
      <w:color w:val="auto"/>
    </w:rPr>
  </w:style>
  <w:style w:type="paragraph" w:customStyle="1" w:styleId="291">
    <w:name w:val="1.1.1.1"/>
    <w:basedOn w:val="1"/>
    <w:qFormat/>
    <w:uiPriority w:val="0"/>
    <w:pPr>
      <w:tabs>
        <w:tab w:val="left" w:pos="900"/>
        <w:tab w:val="left" w:pos="1134"/>
      </w:tabs>
      <w:adjustRightInd w:val="0"/>
      <w:snapToGrid w:val="0"/>
      <w:spacing w:beforeLines="50" w:afterLines="50" w:line="400" w:lineRule="atLeast"/>
      <w:ind w:left="869" w:leftChars="50" w:right="200" w:rightChars="200"/>
      <w:textAlignment w:val="baseline"/>
    </w:pPr>
    <w:rPr>
      <w:rFonts w:ascii="Arial" w:hAnsi="Arial"/>
      <w:kern w:val="0"/>
      <w:sz w:val="24"/>
      <w:szCs w:val="20"/>
    </w:rPr>
  </w:style>
  <w:style w:type="paragraph" w:customStyle="1" w:styleId="292">
    <w:name w:val="备注"/>
    <w:basedOn w:val="1"/>
    <w:qFormat/>
    <w:uiPriority w:val="0"/>
    <w:pPr>
      <w:tabs>
        <w:tab w:val="left" w:pos="547"/>
        <w:tab w:val="left" w:pos="990"/>
        <w:tab w:val="left" w:pos="1350"/>
      </w:tabs>
      <w:spacing w:line="400" w:lineRule="atLeast"/>
    </w:pPr>
    <w:rPr>
      <w:szCs w:val="21"/>
    </w:rPr>
  </w:style>
  <w:style w:type="paragraph" w:customStyle="1" w:styleId="293">
    <w:name w:val="Report Level 2"/>
    <w:basedOn w:val="294"/>
    <w:next w:val="144"/>
    <w:qFormat/>
    <w:uiPriority w:val="0"/>
    <w:pPr>
      <w:tabs>
        <w:tab w:val="left" w:pos="1080"/>
      </w:tabs>
      <w:ind w:left="0" w:firstLine="0"/>
      <w:outlineLvl w:val="1"/>
    </w:pPr>
    <w:rPr>
      <w:caps w:val="0"/>
    </w:rPr>
  </w:style>
  <w:style w:type="paragraph" w:customStyle="1" w:styleId="294">
    <w:name w:val="Report Level 1"/>
    <w:basedOn w:val="1"/>
    <w:next w:val="144"/>
    <w:qFormat/>
    <w:uiPriority w:val="0"/>
    <w:pPr>
      <w:keepNext/>
      <w:tabs>
        <w:tab w:val="left" w:pos="1080"/>
      </w:tabs>
      <w:spacing w:beforeLines="50"/>
      <w:ind w:left="1077" w:hanging="1077"/>
      <w:jc w:val="left"/>
      <w:outlineLvl w:val="0"/>
    </w:pPr>
    <w:rPr>
      <w:rFonts w:ascii="宋体" w:hAnsi="宋体"/>
      <w:b/>
      <w:caps/>
      <w:kern w:val="0"/>
      <w:szCs w:val="21"/>
      <w:lang w:val="en-GB"/>
    </w:rPr>
  </w:style>
  <w:style w:type="paragraph" w:customStyle="1" w:styleId="295">
    <w:name w:val="xl52"/>
    <w:basedOn w:val="1"/>
    <w:qFormat/>
    <w:uiPriority w:val="0"/>
    <w:pPr>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296">
    <w:name w:val="孙（1）"/>
    <w:qFormat/>
    <w:uiPriority w:val="0"/>
    <w:pPr>
      <w:spacing w:before="100" w:after="100" w:line="360" w:lineRule="auto"/>
      <w:ind w:firstLine="420"/>
      <w:jc w:val="both"/>
      <w:outlineLvl w:val="1"/>
    </w:pPr>
    <w:rPr>
      <w:rFonts w:ascii="Times New Roman" w:hAnsi="Times New Roman" w:eastAsia="宋体" w:cs="Times New Roman"/>
      <w:b/>
      <w:sz w:val="24"/>
      <w:szCs w:val="24"/>
      <w:lang w:val="en-US" w:eastAsia="zh-CN" w:bidi="ar-SA"/>
    </w:rPr>
  </w:style>
  <w:style w:type="paragraph" w:customStyle="1" w:styleId="297">
    <w:name w:val="retrait3"/>
    <w:basedOn w:val="1"/>
    <w:qFormat/>
    <w:uiPriority w:val="0"/>
    <w:pPr>
      <w:spacing w:before="20" w:after="20"/>
      <w:ind w:left="851"/>
      <w:jc w:val="left"/>
    </w:pPr>
    <w:rPr>
      <w:rFonts w:ascii="Arial" w:hAnsi="Arial"/>
      <w:kern w:val="0"/>
      <w:sz w:val="24"/>
      <w:szCs w:val="20"/>
      <w:lang w:val="en-GB"/>
    </w:rPr>
  </w:style>
  <w:style w:type="paragraph" w:customStyle="1" w:styleId="298">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299">
    <w:name w:val="xl89"/>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00">
    <w:name w:val="列表段落1"/>
    <w:basedOn w:val="1"/>
    <w:qFormat/>
    <w:uiPriority w:val="0"/>
  </w:style>
  <w:style w:type="paragraph" w:customStyle="1" w:styleId="301">
    <w:name w:val="批注框文本 Char Char"/>
    <w:basedOn w:val="1"/>
    <w:qFormat/>
    <w:uiPriority w:val="0"/>
    <w:rPr>
      <w:sz w:val="18"/>
      <w:szCs w:val="20"/>
    </w:rPr>
  </w:style>
  <w:style w:type="paragraph" w:customStyle="1" w:styleId="302">
    <w:name w:val="一、"/>
    <w:next w:val="121"/>
    <w:qFormat/>
    <w:uiPriority w:val="0"/>
    <w:pPr>
      <w:tabs>
        <w:tab w:val="left" w:pos="360"/>
      </w:tabs>
      <w:spacing w:before="240" w:after="240" w:line="360" w:lineRule="auto"/>
      <w:ind w:firstLine="420"/>
      <w:jc w:val="both"/>
    </w:pPr>
    <w:rPr>
      <w:rFonts w:ascii="Times New Roman" w:hAnsi="Times New Roman" w:eastAsia="黑体" w:cs="Times New Roman"/>
      <w:sz w:val="28"/>
      <w:lang w:val="en-US" w:eastAsia="zh-CN" w:bidi="ar-SA"/>
    </w:rPr>
  </w:style>
  <w:style w:type="paragraph" w:customStyle="1" w:styleId="303">
    <w:name w:val="xl3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0"/>
      <w:szCs w:val="20"/>
    </w:rPr>
  </w:style>
  <w:style w:type="paragraph" w:customStyle="1" w:styleId="304">
    <w:name w:val="正文段"/>
    <w:basedOn w:val="1"/>
    <w:qFormat/>
    <w:uiPriority w:val="0"/>
    <w:pPr>
      <w:snapToGrid w:val="0"/>
      <w:spacing w:afterLines="50"/>
    </w:pPr>
    <w:rPr>
      <w:kern w:val="0"/>
      <w:sz w:val="24"/>
      <w:szCs w:val="20"/>
    </w:rPr>
  </w:style>
  <w:style w:type="paragraph" w:customStyle="1" w:styleId="305">
    <w:name w:val="xl2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06">
    <w:name w:val="USE 5"/>
    <w:basedOn w:val="1"/>
    <w:qFormat/>
    <w:uiPriority w:val="0"/>
    <w:pPr>
      <w:ind w:left="217" w:hanging="340"/>
      <w:jc w:val="left"/>
    </w:pPr>
    <w:rPr>
      <w:rFonts w:ascii="宋体" w:hAnsi="宋体"/>
      <w:sz w:val="24"/>
    </w:rPr>
  </w:style>
  <w:style w:type="paragraph" w:customStyle="1" w:styleId="307">
    <w:name w:val="xl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08">
    <w:name w:val="xl84"/>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09">
    <w:name w:val="cucd-TB"/>
    <w:qFormat/>
    <w:uiPriority w:val="0"/>
    <w:pPr>
      <w:spacing w:line="360" w:lineRule="auto"/>
      <w:ind w:firstLine="420"/>
      <w:jc w:val="center"/>
    </w:pPr>
    <w:rPr>
      <w:rFonts w:ascii="Times New Roman" w:hAnsi="Times New Roman" w:eastAsia="宋体" w:cs="Times New Roman"/>
      <w:kern w:val="2"/>
      <w:sz w:val="21"/>
      <w:szCs w:val="24"/>
      <w:lang w:val="en-US" w:eastAsia="zh-CN" w:bidi="ar-SA"/>
    </w:rPr>
  </w:style>
  <w:style w:type="paragraph" w:customStyle="1" w:styleId="310">
    <w:name w:val="样式2"/>
    <w:basedOn w:val="32"/>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311">
    <w:name w:val="合同书"/>
    <w:basedOn w:val="1"/>
    <w:qFormat/>
    <w:uiPriority w:val="0"/>
    <w:pPr>
      <w:jc w:val="center"/>
    </w:pPr>
    <w:rPr>
      <w:b/>
      <w:sz w:val="36"/>
      <w:szCs w:val="20"/>
    </w:rPr>
  </w:style>
  <w:style w:type="paragraph" w:customStyle="1" w:styleId="312">
    <w:name w:val="样式5"/>
    <w:basedOn w:val="1"/>
    <w:qFormat/>
    <w:uiPriority w:val="0"/>
    <w:pPr>
      <w:tabs>
        <w:tab w:val="left" w:pos="547"/>
        <w:tab w:val="left" w:pos="1080"/>
      </w:tabs>
      <w:spacing w:line="480" w:lineRule="atLeast"/>
      <w:jc w:val="center"/>
    </w:pPr>
    <w:rPr>
      <w:b/>
      <w:sz w:val="24"/>
    </w:rPr>
  </w:style>
  <w:style w:type="paragraph" w:customStyle="1" w:styleId="313">
    <w:name w:val="xl57"/>
    <w:basedOn w:val="1"/>
    <w:qFormat/>
    <w:uiPriority w:val="0"/>
    <w:pPr>
      <w:pBdr>
        <w:top w:val="single" w:color="auto" w:sz="4" w:space="0"/>
        <w:right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314">
    <w:name w:val="青岛正文"/>
    <w:basedOn w:val="1"/>
    <w:qFormat/>
    <w:uiPriority w:val="0"/>
    <w:rPr>
      <w:sz w:val="28"/>
    </w:rPr>
  </w:style>
  <w:style w:type="paragraph" w:customStyle="1" w:styleId="315">
    <w:name w:val="xl35"/>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316">
    <w:name w:val="xl71"/>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17">
    <w:name w:val="P1"/>
    <w:qFormat/>
    <w:uiPriority w:val="0"/>
    <w:pPr>
      <w:widowControl w:val="0"/>
      <w:adjustRightInd w:val="0"/>
      <w:spacing w:after="240" w:line="0" w:lineRule="atLeast"/>
      <w:ind w:left="2304" w:hanging="576"/>
      <w:jc w:val="both"/>
      <w:textAlignment w:val="baseline"/>
    </w:pPr>
    <w:rPr>
      <w:rFonts w:ascii="Calibri" w:hAnsi="Calibri" w:eastAsia="全真中明體" w:cs="Times New Roman"/>
      <w:spacing w:val="20"/>
      <w:sz w:val="24"/>
      <w:szCs w:val="22"/>
      <w:lang w:val="en-GB" w:eastAsia="zh-TW" w:bidi="ar-SA"/>
    </w:rPr>
  </w:style>
  <w:style w:type="paragraph" w:customStyle="1" w:styleId="318">
    <w:name w:val="xl41"/>
    <w:basedOn w:val="1"/>
    <w:qFormat/>
    <w:uiPriority w:val="0"/>
    <w:pPr>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 w:val="24"/>
    </w:rPr>
  </w:style>
  <w:style w:type="paragraph" w:customStyle="1" w:styleId="319">
    <w:name w:val="font8"/>
    <w:basedOn w:val="1"/>
    <w:qFormat/>
    <w:uiPriority w:val="0"/>
    <w:pPr>
      <w:spacing w:before="100" w:beforeAutospacing="1" w:after="100" w:afterAutospacing="1"/>
      <w:jc w:val="left"/>
    </w:pPr>
    <w:rPr>
      <w:rFonts w:hint="eastAsia" w:ascii="楷体_GB2312" w:hAnsi="宋体" w:eastAsia="楷体_GB2312"/>
      <w:kern w:val="0"/>
      <w:sz w:val="20"/>
      <w:szCs w:val="20"/>
    </w:rPr>
  </w:style>
  <w:style w:type="paragraph" w:customStyle="1" w:styleId="320">
    <w:name w:val="样式 USE 1 + 行距: 单倍行距"/>
    <w:basedOn w:val="1"/>
    <w:qFormat/>
    <w:uiPriority w:val="0"/>
    <w:pPr>
      <w:spacing w:line="180" w:lineRule="atLeast"/>
      <w:jc w:val="left"/>
    </w:pPr>
    <w:rPr>
      <w:rFonts w:ascii="宋体" w:hAnsi="宋体" w:cs="宋体"/>
      <w:b/>
      <w:bCs/>
      <w:sz w:val="24"/>
      <w:szCs w:val="20"/>
    </w:rPr>
  </w:style>
  <w:style w:type="paragraph" w:customStyle="1" w:styleId="321">
    <w:name w:val="xl66"/>
    <w:basedOn w:val="1"/>
    <w:qFormat/>
    <w:uiPriority w:val="0"/>
    <w:pPr>
      <w:pBdr>
        <w:top w:val="single" w:color="auto" w:sz="4" w:space="0"/>
        <w:left w:val="single" w:color="000000"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22">
    <w:name w:val="青岛标题4"/>
    <w:basedOn w:val="5"/>
    <w:qFormat/>
    <w:uiPriority w:val="0"/>
    <w:pPr>
      <w:spacing w:line="500" w:lineRule="atLeast"/>
      <w:jc w:val="left"/>
      <w:outlineLvl w:val="2"/>
    </w:pPr>
    <w:rPr>
      <w:rFonts w:eastAsia="宋体"/>
      <w:sz w:val="30"/>
    </w:rPr>
  </w:style>
  <w:style w:type="paragraph" w:customStyle="1" w:styleId="323">
    <w:name w:val="xl63"/>
    <w:basedOn w:val="1"/>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color w:val="000000"/>
      <w:kern w:val="0"/>
      <w:sz w:val="20"/>
      <w:szCs w:val="20"/>
    </w:rPr>
  </w:style>
  <w:style w:type="paragraph" w:customStyle="1" w:styleId="324">
    <w:name w:val="p0"/>
    <w:basedOn w:val="1"/>
    <w:qFormat/>
    <w:uiPriority w:val="0"/>
    <w:rPr>
      <w:kern w:val="0"/>
      <w:szCs w:val="21"/>
    </w:rPr>
  </w:style>
  <w:style w:type="paragraph" w:customStyle="1" w:styleId="325">
    <w:name w:val="xl83"/>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26">
    <w:name w:val="条文 5"/>
    <w:next w:val="1"/>
    <w:qFormat/>
    <w:uiPriority w:val="0"/>
    <w:pPr>
      <w:spacing w:line="310" w:lineRule="exact"/>
      <w:ind w:left="2940" w:hanging="420"/>
      <w:jc w:val="both"/>
    </w:pPr>
    <w:rPr>
      <w:rFonts w:ascii="Times New Roman" w:hAnsi="Times New Roman" w:eastAsia="黑体" w:cs="Times New Roman"/>
      <w:sz w:val="21"/>
      <w:lang w:val="en-US" w:eastAsia="zh-CN" w:bidi="ar-SA"/>
    </w:rPr>
  </w:style>
  <w:style w:type="paragraph" w:customStyle="1" w:styleId="327">
    <w:name w:val="xl67"/>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28">
    <w:name w:val="xl94"/>
    <w:basedOn w:val="1"/>
    <w:qFormat/>
    <w:uiPriority w:val="0"/>
    <w:pPr>
      <w:pBdr>
        <w:left w:val="single" w:color="000000"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18"/>
      <w:szCs w:val="18"/>
    </w:rPr>
  </w:style>
  <w:style w:type="paragraph" w:customStyle="1" w:styleId="329">
    <w:name w:val="Char Char Char Char2"/>
    <w:basedOn w:val="1"/>
    <w:qFormat/>
    <w:uiPriority w:val="0"/>
    <w:pPr>
      <w:tabs>
        <w:tab w:val="left" w:pos="1080"/>
      </w:tabs>
      <w:ind w:left="1078" w:leftChars="343" w:right="210" w:rightChars="100" w:hanging="358" w:hangingChars="149"/>
    </w:pPr>
    <w:rPr>
      <w:sz w:val="24"/>
      <w:szCs w:val="20"/>
    </w:rPr>
  </w:style>
  <w:style w:type="paragraph" w:customStyle="1" w:styleId="330">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331">
    <w:name w:val="xl3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332">
    <w:name w:val="xl99"/>
    <w:basedOn w:val="1"/>
    <w:qFormat/>
    <w:uiPriority w:val="0"/>
    <w:pPr>
      <w:pBdr>
        <w:left w:val="single" w:color="auto" w:sz="4" w:space="0"/>
        <w:bottom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33">
    <w:name w:val="xl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rPr>
  </w:style>
  <w:style w:type="paragraph" w:customStyle="1" w:styleId="334">
    <w:name w:val="列出段落1"/>
    <w:basedOn w:val="1"/>
    <w:qFormat/>
    <w:uiPriority w:val="0"/>
    <w:pPr>
      <w:spacing w:beforeLines="50" w:after="156" w:line="240" w:lineRule="atLeast"/>
      <w:ind w:left="425"/>
    </w:pPr>
    <w:rPr>
      <w:rFonts w:eastAsia="仿宋_GB2312"/>
      <w:sz w:val="24"/>
    </w:rPr>
  </w:style>
  <w:style w:type="paragraph" w:customStyle="1" w:styleId="335">
    <w:name w:val="xl36"/>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336">
    <w:name w:val="xl53"/>
    <w:basedOn w:val="1"/>
    <w:qFormat/>
    <w:uiPriority w:val="0"/>
    <w:pPr>
      <w:spacing w:before="100" w:beforeAutospacing="1" w:after="100" w:afterAutospacing="1"/>
      <w:jc w:val="left"/>
    </w:pPr>
    <w:rPr>
      <w:rFonts w:hint="eastAsia" w:ascii="黑体" w:hAnsi="宋体" w:eastAsia="黑体"/>
      <w:kern w:val="0"/>
      <w:sz w:val="24"/>
    </w:rPr>
  </w:style>
  <w:style w:type="paragraph" w:customStyle="1" w:styleId="337">
    <w:name w:val="标题3"/>
    <w:basedOn w:val="2"/>
    <w:qFormat/>
    <w:uiPriority w:val="0"/>
    <w:pPr>
      <w:spacing w:beforeLines="50" w:after="0" w:line="312" w:lineRule="auto"/>
      <w:jc w:val="center"/>
    </w:pPr>
    <w:rPr>
      <w:rFonts w:ascii="宋体"/>
      <w:bCs w:val="0"/>
      <w:sz w:val="24"/>
      <w:szCs w:val="20"/>
    </w:rPr>
  </w:style>
  <w:style w:type="paragraph" w:customStyle="1" w:styleId="338">
    <w:name w:val="xl86"/>
    <w:basedOn w:val="1"/>
    <w:qFormat/>
    <w:uiPriority w:val="0"/>
    <w:pPr>
      <w:spacing w:before="100" w:beforeAutospacing="1" w:after="100" w:afterAutospacing="1"/>
      <w:jc w:val="center"/>
    </w:pPr>
    <w:rPr>
      <w:rFonts w:ascii="宋体" w:hAnsi="宋体" w:cs="宋体"/>
      <w:kern w:val="0"/>
      <w:sz w:val="24"/>
    </w:rPr>
  </w:style>
  <w:style w:type="paragraph" w:customStyle="1" w:styleId="339">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18"/>
      <w:szCs w:val="18"/>
    </w:rPr>
  </w:style>
  <w:style w:type="paragraph" w:customStyle="1" w:styleId="340">
    <w:name w:val="xl56"/>
    <w:basedOn w:val="1"/>
    <w:qFormat/>
    <w:uiPriority w:val="0"/>
    <w:pPr>
      <w:pBdr>
        <w:top w:val="single" w:color="auto" w:sz="4" w:space="0"/>
      </w:pBdr>
      <w:spacing w:before="100" w:after="100"/>
      <w:jc w:val="center"/>
      <w:textAlignment w:val="center"/>
    </w:pPr>
    <w:rPr>
      <w:rFonts w:ascii="Arial Unicode MS" w:hAnsi="Arial Unicode MS" w:eastAsia="Arial Unicode MS"/>
      <w:kern w:val="0"/>
      <w:szCs w:val="20"/>
    </w:rPr>
  </w:style>
  <w:style w:type="paragraph" w:customStyle="1" w:styleId="341">
    <w:name w:val="USE 2"/>
    <w:basedOn w:val="1"/>
    <w:qFormat/>
    <w:uiPriority w:val="0"/>
    <w:pPr>
      <w:ind w:left="4556" w:hanging="3836"/>
      <w:jc w:val="left"/>
    </w:pPr>
    <w:rPr>
      <w:rFonts w:ascii="宋体" w:hAnsi="宋体"/>
      <w:sz w:val="24"/>
      <w:szCs w:val="20"/>
    </w:rPr>
  </w:style>
  <w:style w:type="paragraph" w:customStyle="1" w:styleId="342">
    <w:name w:val="USE 4"/>
    <w:basedOn w:val="1"/>
    <w:qFormat/>
    <w:uiPriority w:val="0"/>
    <w:pPr>
      <w:ind w:left="104" w:hanging="227"/>
      <w:jc w:val="left"/>
    </w:pPr>
    <w:rPr>
      <w:rFonts w:ascii="宋体" w:hAnsi="宋体"/>
      <w:sz w:val="24"/>
      <w:szCs w:val="20"/>
    </w:rPr>
  </w:style>
  <w:style w:type="paragraph" w:customStyle="1" w:styleId="343">
    <w:name w:val="条文 1"/>
    <w:next w:val="1"/>
    <w:qFormat/>
    <w:uiPriority w:val="0"/>
    <w:pPr>
      <w:spacing w:line="310" w:lineRule="exact"/>
      <w:ind w:left="840" w:hanging="420"/>
      <w:jc w:val="both"/>
    </w:pPr>
    <w:rPr>
      <w:rFonts w:ascii="Times New Roman" w:hAnsi="Times New Roman" w:eastAsia="黑体" w:cs="Times New Roman"/>
      <w:sz w:val="21"/>
      <w:lang w:val="en-US" w:eastAsia="zh-CN" w:bidi="ar-SA"/>
    </w:rPr>
  </w:style>
  <w:style w:type="paragraph" w:customStyle="1" w:styleId="344">
    <w:name w:val="xl87"/>
    <w:basedOn w:val="1"/>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45">
    <w:name w:val="USE 1"/>
    <w:basedOn w:val="1"/>
    <w:qFormat/>
    <w:uiPriority w:val="0"/>
    <w:pPr>
      <w:spacing w:line="200" w:lineRule="atLeast"/>
      <w:jc w:val="left"/>
    </w:pPr>
    <w:rPr>
      <w:rFonts w:ascii="宋体" w:hAnsi="宋体"/>
      <w:b/>
      <w:sz w:val="24"/>
      <w:szCs w:val="28"/>
    </w:rPr>
  </w:style>
  <w:style w:type="paragraph" w:customStyle="1" w:styleId="346">
    <w:name w:val="xl96"/>
    <w:basedOn w:val="1"/>
    <w:qFormat/>
    <w:uiPriority w:val="0"/>
    <w:pPr>
      <w:spacing w:before="100" w:beforeAutospacing="1" w:after="100" w:afterAutospacing="1"/>
      <w:jc w:val="left"/>
      <w:textAlignment w:val="center"/>
    </w:pPr>
    <w:rPr>
      <w:rFonts w:ascii="宋体" w:hAnsi="宋体" w:cs="宋体"/>
      <w:kern w:val="0"/>
      <w:sz w:val="24"/>
    </w:rPr>
  </w:style>
  <w:style w:type="paragraph" w:customStyle="1" w:styleId="347">
    <w:name w:val="Report Level 3"/>
    <w:basedOn w:val="294"/>
    <w:next w:val="144"/>
    <w:qFormat/>
    <w:uiPriority w:val="0"/>
    <w:pPr>
      <w:tabs>
        <w:tab w:val="clear" w:pos="1080"/>
      </w:tabs>
      <w:ind w:left="0" w:firstLine="0"/>
      <w:jc w:val="both"/>
      <w:outlineLvl w:val="2"/>
    </w:pPr>
    <w:rPr>
      <w:b w:val="0"/>
      <w:caps w:val="0"/>
      <w:sz w:val="22"/>
    </w:rPr>
  </w:style>
  <w:style w:type="paragraph" w:customStyle="1" w:styleId="348">
    <w:name w:val="xl78"/>
    <w:basedOn w:val="1"/>
    <w:qFormat/>
    <w:uiPriority w:val="0"/>
    <w:pPr>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349">
    <w:name w:val="TOC 标题1"/>
    <w:basedOn w:val="2"/>
    <w:next w:val="1"/>
    <w:qFormat/>
    <w:uiPriority w:val="39"/>
    <w:pPr>
      <w:spacing w:before="480" w:after="0" w:line="276" w:lineRule="auto"/>
      <w:jc w:val="left"/>
      <w:outlineLvl w:val="9"/>
    </w:pPr>
    <w:rPr>
      <w:rFonts w:ascii="Cambria" w:hAnsi="Cambria"/>
      <w:color w:val="365F91"/>
      <w:kern w:val="0"/>
      <w:sz w:val="28"/>
      <w:szCs w:val="28"/>
    </w:rPr>
  </w:style>
  <w:style w:type="paragraph" w:customStyle="1" w:styleId="350">
    <w:name w:val="需求书用目录1"/>
    <w:basedOn w:val="1"/>
    <w:qFormat/>
    <w:uiPriority w:val="0"/>
    <w:pPr>
      <w:spacing w:before="360" w:after="40" w:line="500" w:lineRule="exact"/>
      <w:ind w:left="538" w:leftChars="256" w:firstLine="2803" w:firstLineChars="1000"/>
    </w:pPr>
    <w:rPr>
      <w:rFonts w:ascii="宋体"/>
      <w:b/>
      <w:sz w:val="28"/>
      <w:szCs w:val="20"/>
    </w:rPr>
  </w:style>
  <w:style w:type="paragraph" w:customStyle="1" w:styleId="351">
    <w:name w:val="xl22"/>
    <w:basedOn w:val="1"/>
    <w:qFormat/>
    <w:uiPriority w:val="0"/>
    <w:pPr>
      <w:spacing w:before="100" w:beforeAutospacing="1" w:after="100" w:afterAutospacing="1"/>
      <w:jc w:val="right"/>
      <w:textAlignment w:val="center"/>
    </w:pPr>
    <w:rPr>
      <w:rFonts w:ascii="宋体" w:hAnsi="宋体" w:cs="宋体"/>
      <w:color w:val="000000"/>
      <w:kern w:val="0"/>
      <w:sz w:val="24"/>
    </w:rPr>
  </w:style>
  <w:style w:type="paragraph" w:customStyle="1" w:styleId="352">
    <w:name w:val="Char Char Char Char Char Char Char1"/>
    <w:basedOn w:val="1"/>
    <w:qFormat/>
    <w:uiPriority w:val="0"/>
    <w:pPr>
      <w:spacing w:after="160" w:line="240" w:lineRule="exact"/>
      <w:jc w:val="left"/>
    </w:pPr>
    <w:rPr>
      <w:rFonts w:ascii="Arial" w:hAnsi="Arial" w:eastAsia="Times New Roman" w:cs="Verdana"/>
      <w:b/>
      <w:kern w:val="0"/>
      <w:sz w:val="24"/>
      <w:lang w:eastAsia="en-US"/>
    </w:rPr>
  </w:style>
  <w:style w:type="paragraph" w:customStyle="1" w:styleId="353">
    <w:name w:val="xl8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354">
    <w:name w:val="xl64"/>
    <w:basedOn w:val="1"/>
    <w:qFormat/>
    <w:uiPriority w:val="0"/>
    <w:pPr>
      <w:spacing w:before="100" w:beforeAutospacing="1" w:after="100" w:afterAutospacing="1"/>
      <w:jc w:val="center"/>
      <w:textAlignment w:val="center"/>
    </w:pPr>
    <w:rPr>
      <w:rFonts w:ascii="宋体" w:hAnsi="宋体" w:cs="宋体"/>
      <w:kern w:val="0"/>
      <w:sz w:val="24"/>
    </w:rPr>
  </w:style>
  <w:style w:type="paragraph" w:customStyle="1" w:styleId="355">
    <w:name w:val="xl7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Cs w:val="21"/>
    </w:rPr>
  </w:style>
  <w:style w:type="paragraph" w:customStyle="1" w:styleId="356">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57">
    <w:name w:val="样式3"/>
    <w:basedOn w:val="32"/>
    <w:qFormat/>
    <w:uiPriority w:val="0"/>
    <w:pPr>
      <w:pBdr>
        <w:bottom w:val="none" w:color="auto" w:sz="0" w:space="0"/>
      </w:pBdr>
      <w:autoSpaceDE w:val="0"/>
      <w:autoSpaceDN w:val="0"/>
      <w:adjustRightInd w:val="0"/>
      <w:snapToGrid/>
      <w:textAlignment w:val="baseline"/>
    </w:pPr>
    <w:rPr>
      <w:rFonts w:ascii="宋体"/>
      <w:kern w:val="0"/>
      <w:szCs w:val="20"/>
    </w:rPr>
  </w:style>
  <w:style w:type="paragraph" w:customStyle="1" w:styleId="358">
    <w:name w:val="font14"/>
    <w:basedOn w:val="1"/>
    <w:qFormat/>
    <w:uiPriority w:val="0"/>
    <w:pPr>
      <w:spacing w:before="100" w:beforeAutospacing="1" w:after="100" w:afterAutospacing="1"/>
      <w:jc w:val="left"/>
    </w:pPr>
    <w:rPr>
      <w:rFonts w:hint="eastAsia" w:ascii="宋体" w:hAnsi="宋体" w:cs="Arial Unicode MS"/>
      <w:b/>
      <w:bCs/>
      <w:color w:val="000000"/>
      <w:kern w:val="0"/>
      <w:sz w:val="18"/>
      <w:szCs w:val="18"/>
    </w:rPr>
  </w:style>
  <w:style w:type="paragraph" w:customStyle="1" w:styleId="359">
    <w:name w:val="xl81"/>
    <w:basedOn w:val="1"/>
    <w:qFormat/>
    <w:uiPriority w:val="0"/>
    <w:pPr>
      <w:pBdr>
        <w:top w:val="single" w:color="auto" w:sz="4" w:space="0"/>
        <w:left w:val="single" w:color="auto" w:sz="4" w:space="0"/>
        <w:bottom w:val="single" w:color="auto" w:sz="4" w:space="0"/>
        <w:right w:val="double" w:color="auto" w:sz="6" w:space="0"/>
      </w:pBdr>
      <w:spacing w:before="100" w:beforeAutospacing="1" w:after="100" w:afterAutospacing="1"/>
      <w:jc w:val="left"/>
      <w:textAlignment w:val="center"/>
    </w:pPr>
    <w:rPr>
      <w:rFonts w:ascii="宋体" w:hAnsi="宋体" w:cs="宋体"/>
      <w:kern w:val="0"/>
      <w:szCs w:val="21"/>
    </w:rPr>
  </w:style>
  <w:style w:type="paragraph" w:customStyle="1" w:styleId="360">
    <w:name w:val="1册标题1"/>
    <w:basedOn w:val="1"/>
    <w:next w:val="1"/>
    <w:qFormat/>
    <w:uiPriority w:val="0"/>
    <w:pPr>
      <w:spacing w:beforeLines="50" w:afterLines="50" w:line="300" w:lineRule="auto"/>
      <w:jc w:val="center"/>
      <w:outlineLvl w:val="0"/>
    </w:pPr>
    <w:rPr>
      <w:rFonts w:ascii="Arial" w:hAnsi="Arial" w:eastAsia="黑体"/>
      <w:b/>
      <w:bCs/>
      <w:sz w:val="48"/>
      <w:szCs w:val="20"/>
    </w:rPr>
  </w:style>
  <w:style w:type="paragraph" w:customStyle="1" w:styleId="361">
    <w:name w:val="font9"/>
    <w:basedOn w:val="1"/>
    <w:qFormat/>
    <w:uiPriority w:val="0"/>
    <w:pPr>
      <w:spacing w:before="100" w:beforeAutospacing="1" w:after="100" w:afterAutospacing="1"/>
      <w:jc w:val="left"/>
    </w:pPr>
    <w:rPr>
      <w:rFonts w:hint="eastAsia" w:ascii="宋体" w:hAnsi="宋体" w:cs="Arial Unicode MS"/>
      <w:color w:val="FF0000"/>
      <w:kern w:val="0"/>
      <w:sz w:val="20"/>
      <w:szCs w:val="20"/>
    </w:rPr>
  </w:style>
  <w:style w:type="paragraph" w:customStyle="1" w:styleId="362">
    <w:name w:val="文件正文"/>
    <w:basedOn w:val="1"/>
    <w:qFormat/>
    <w:uiPriority w:val="0"/>
    <w:pPr>
      <w:ind w:firstLine="480"/>
    </w:pPr>
    <w:rPr>
      <w:rFonts w:eastAsia="仿宋_GB2312"/>
      <w:sz w:val="24"/>
      <w:szCs w:val="20"/>
    </w:rPr>
  </w:style>
  <w:style w:type="paragraph" w:customStyle="1" w:styleId="363">
    <w:name w:val="Style 樣式 標題 3 + (中文) MS Gothic 10.5 點 + (Latin) Times New Roman (A..."/>
    <w:basedOn w:val="1"/>
    <w:qFormat/>
    <w:uiPriority w:val="0"/>
    <w:pPr>
      <w:keepNext/>
      <w:tabs>
        <w:tab w:val="left" w:pos="2098"/>
      </w:tabs>
      <w:ind w:left="1503" w:hanging="142"/>
      <w:outlineLvl w:val="2"/>
    </w:pPr>
    <w:rPr>
      <w:rFonts w:eastAsia="PMingLiU"/>
      <w:snapToGrid w:val="0"/>
      <w:sz w:val="24"/>
      <w:lang w:val="en-AU" w:eastAsia="zh-TW"/>
    </w:rPr>
  </w:style>
  <w:style w:type="paragraph" w:customStyle="1" w:styleId="364">
    <w:name w:val="xl33"/>
    <w:basedOn w:val="1"/>
    <w:qFormat/>
    <w:uiPriority w:val="0"/>
    <w:pPr>
      <w:pBdr>
        <w:left w:val="single" w:color="auto" w:sz="4" w:space="0"/>
        <w:right w:val="single" w:color="auto" w:sz="4" w:space="0"/>
      </w:pBdr>
      <w:spacing w:before="100" w:beforeAutospacing="1" w:after="100" w:afterAutospacing="1"/>
      <w:jc w:val="center"/>
      <w:textAlignment w:val="center"/>
    </w:pPr>
    <w:rPr>
      <w:rFonts w:ascii="宋体" w:hAnsi="宋体"/>
      <w:kern w:val="0"/>
      <w:sz w:val="20"/>
      <w:szCs w:val="20"/>
    </w:rPr>
  </w:style>
  <w:style w:type="paragraph" w:customStyle="1" w:styleId="365">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366">
    <w:name w:val="xl98"/>
    <w:basedOn w:val="1"/>
    <w:qFormat/>
    <w:uiPriority w:val="0"/>
    <w:pPr>
      <w:pBdr>
        <w:top w:val="single" w:color="auto" w:sz="4" w:space="0"/>
        <w:left w:val="single" w:color="auto" w:sz="4" w:space="0"/>
        <w:right w:val="single" w:color="000000" w:sz="4" w:space="0"/>
      </w:pBdr>
      <w:shd w:val="clear" w:color="000000" w:fill="FFFFFF"/>
      <w:spacing w:before="100" w:beforeAutospacing="1" w:after="100" w:afterAutospacing="1"/>
      <w:jc w:val="center"/>
      <w:textAlignment w:val="center"/>
    </w:pPr>
    <w:rPr>
      <w:rFonts w:ascii="宋体" w:hAnsi="宋体" w:cs="宋体"/>
      <w:kern w:val="0"/>
      <w:sz w:val="24"/>
    </w:rPr>
  </w:style>
  <w:style w:type="paragraph" w:customStyle="1" w:styleId="367">
    <w:name w:val="xl44"/>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hint="eastAsia" w:ascii="黑体" w:hAnsi="宋体" w:eastAsia="黑体"/>
      <w:kern w:val="0"/>
      <w:sz w:val="24"/>
    </w:rPr>
  </w:style>
  <w:style w:type="paragraph" w:customStyle="1" w:styleId="368">
    <w:name w:val="xl70"/>
    <w:basedOn w:val="1"/>
    <w:qFormat/>
    <w:uiPriority w:val="0"/>
    <w:pPr>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kern w:val="0"/>
      <w:sz w:val="18"/>
      <w:szCs w:val="18"/>
    </w:rPr>
  </w:style>
  <w:style w:type="paragraph" w:customStyle="1" w:styleId="369">
    <w:name w:val="xl2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18"/>
      <w:szCs w:val="18"/>
    </w:rPr>
  </w:style>
  <w:style w:type="paragraph" w:customStyle="1" w:styleId="370">
    <w:name w:val="我的目录"/>
    <w:basedOn w:val="187"/>
    <w:qFormat/>
    <w:uiPriority w:val="0"/>
    <w:pPr>
      <w:tabs>
        <w:tab w:val="right" w:leader="dot" w:pos="8820"/>
        <w:tab w:val="clear" w:pos="8296"/>
      </w:tabs>
      <w:spacing w:before="120" w:after="120" w:line="240" w:lineRule="auto"/>
      <w:ind w:left="0" w:leftChars="0" w:firstLine="0" w:firstLineChars="0"/>
      <w:jc w:val="left"/>
    </w:pPr>
    <w:rPr>
      <w:b/>
      <w:caps/>
      <w:sz w:val="20"/>
      <w:szCs w:val="20"/>
    </w:rPr>
  </w:style>
  <w:style w:type="paragraph" w:customStyle="1" w:styleId="371">
    <w:name w:val="纯文本2"/>
    <w:basedOn w:val="1"/>
    <w:qFormat/>
    <w:uiPriority w:val="0"/>
    <w:rPr>
      <w:rFonts w:ascii="宋体" w:hAnsi="Courier New" w:cs="Courier New"/>
      <w:szCs w:val="21"/>
    </w:rPr>
  </w:style>
  <w:style w:type="paragraph" w:customStyle="1" w:styleId="372">
    <w:name w:val="xl4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hint="eastAsia" w:ascii="黑体" w:hAnsi="宋体" w:eastAsia="黑体"/>
      <w:kern w:val="0"/>
      <w:sz w:val="24"/>
    </w:rPr>
  </w:style>
  <w:style w:type="paragraph" w:customStyle="1" w:styleId="373">
    <w:name w:val="条文 表"/>
    <w:next w:val="1"/>
    <w:qFormat/>
    <w:uiPriority w:val="0"/>
    <w:pPr>
      <w:spacing w:line="360" w:lineRule="auto"/>
      <w:ind w:left="3360" w:hanging="420"/>
      <w:jc w:val="center"/>
    </w:pPr>
    <w:rPr>
      <w:rFonts w:ascii="Times New Roman" w:hAnsi="Times New Roman" w:eastAsia="黑体" w:cs="Times New Roman"/>
      <w:sz w:val="21"/>
      <w:lang w:val="en-US" w:eastAsia="zh-CN" w:bidi="ar-SA"/>
    </w:rPr>
  </w:style>
  <w:style w:type="paragraph" w:customStyle="1" w:styleId="374">
    <w:name w:val="需求书2"/>
    <w:basedOn w:val="1"/>
    <w:qFormat/>
    <w:uiPriority w:val="0"/>
    <w:pPr>
      <w:spacing w:line="500" w:lineRule="exact"/>
      <w:ind w:left="735" w:hanging="735"/>
    </w:pPr>
    <w:rPr>
      <w:rFonts w:ascii="黑体" w:eastAsia="黑体"/>
      <w:szCs w:val="20"/>
    </w:rPr>
  </w:style>
  <w:style w:type="paragraph" w:customStyle="1" w:styleId="375">
    <w:name w:val="样式 宋体 小四 黑色 左 行距: 1.5 倍行距"/>
    <w:basedOn w:val="1"/>
    <w:qFormat/>
    <w:uiPriority w:val="0"/>
    <w:pPr>
      <w:jc w:val="left"/>
    </w:pPr>
    <w:rPr>
      <w:rFonts w:ascii="宋体" w:hAnsi="宋体" w:cs="宋体"/>
      <w:color w:val="000000"/>
      <w:sz w:val="24"/>
      <w:szCs w:val="20"/>
    </w:rPr>
  </w:style>
  <w:style w:type="paragraph" w:customStyle="1" w:styleId="376">
    <w:name w:val="font10"/>
    <w:basedOn w:val="1"/>
    <w:qFormat/>
    <w:uiPriority w:val="0"/>
    <w:pPr>
      <w:spacing w:before="100" w:beforeAutospacing="1" w:after="100" w:afterAutospacing="1"/>
      <w:jc w:val="left"/>
    </w:pPr>
    <w:rPr>
      <w:rFonts w:eastAsia="Arial Unicode MS"/>
      <w:color w:val="FF0000"/>
      <w:kern w:val="0"/>
      <w:sz w:val="20"/>
      <w:szCs w:val="20"/>
    </w:rPr>
  </w:style>
  <w:style w:type="paragraph" w:customStyle="1" w:styleId="377">
    <w:name w:val="xl45"/>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jc w:val="center"/>
      <w:textAlignment w:val="center"/>
    </w:pPr>
    <w:rPr>
      <w:rFonts w:ascii="宋体" w:hAnsi="宋体"/>
      <w:kern w:val="0"/>
      <w:sz w:val="24"/>
    </w:rPr>
  </w:style>
  <w:style w:type="paragraph" w:customStyle="1" w:styleId="378">
    <w:name w:val="Char Char Char Char Char Char Char Char Char Char Char Char"/>
    <w:basedOn w:val="1"/>
    <w:qFormat/>
    <w:uiPriority w:val="0"/>
    <w:rPr>
      <w:rFonts w:ascii="Tahoma" w:hAnsi="Tahoma"/>
      <w:sz w:val="24"/>
      <w:szCs w:val="20"/>
    </w:rPr>
  </w:style>
  <w:style w:type="paragraph" w:customStyle="1" w:styleId="379">
    <w:name w:val="标题 31"/>
    <w:basedOn w:val="1"/>
    <w:qFormat/>
    <w:uiPriority w:val="1"/>
    <w:pPr>
      <w:ind w:left="237"/>
      <w:jc w:val="left"/>
      <w:outlineLvl w:val="3"/>
    </w:pPr>
    <w:rPr>
      <w:rFonts w:ascii="宋体" w:hAnsi="宋体"/>
      <w:kern w:val="0"/>
      <w:sz w:val="28"/>
      <w:szCs w:val="28"/>
      <w:lang w:eastAsia="en-US"/>
    </w:rPr>
  </w:style>
  <w:style w:type="paragraph" w:customStyle="1" w:styleId="380">
    <w:name w:val="Table Paragraph"/>
    <w:basedOn w:val="1"/>
    <w:qFormat/>
    <w:uiPriority w:val="1"/>
    <w:pPr>
      <w:jc w:val="left"/>
    </w:pPr>
    <w:rPr>
      <w:rFonts w:ascii="Calibri" w:hAnsi="Calibri"/>
      <w:kern w:val="0"/>
      <w:sz w:val="22"/>
      <w:szCs w:val="22"/>
      <w:lang w:eastAsia="en-US"/>
    </w:rPr>
  </w:style>
  <w:style w:type="paragraph" w:customStyle="1" w:styleId="381">
    <w:name w:val="p8"/>
    <w:basedOn w:val="1"/>
    <w:qFormat/>
    <w:uiPriority w:val="0"/>
    <w:pPr>
      <w:spacing w:line="30" w:lineRule="atLeast"/>
      <w:jc w:val="left"/>
    </w:pPr>
    <w:rPr>
      <w:rFonts w:hint="eastAsia" w:ascii="宋体" w:hAnsi="宋体" w:cs="宋体"/>
      <w:kern w:val="0"/>
      <w:szCs w:val="21"/>
    </w:rPr>
  </w:style>
  <w:style w:type="paragraph" w:styleId="382">
    <w:name w:val="No Spacing"/>
    <w:qFormat/>
    <w:uiPriority w:val="1"/>
    <w:pPr>
      <w:widowControl w:val="0"/>
      <w:spacing w:line="360" w:lineRule="auto"/>
      <w:ind w:firstLine="420"/>
      <w:jc w:val="both"/>
    </w:pPr>
    <w:rPr>
      <w:rFonts w:ascii="Calibri" w:hAnsi="Calibri" w:eastAsia="宋体" w:cs="Times New Roman"/>
      <w:kern w:val="2"/>
      <w:sz w:val="21"/>
      <w:szCs w:val="22"/>
      <w:lang w:val="en-US" w:eastAsia="zh-CN" w:bidi="ar-SA"/>
    </w:rPr>
  </w:style>
  <w:style w:type="paragraph" w:customStyle="1" w:styleId="383">
    <w:name w:val="标题 11"/>
    <w:basedOn w:val="1"/>
    <w:qFormat/>
    <w:uiPriority w:val="1"/>
    <w:pPr>
      <w:ind w:left="3"/>
      <w:jc w:val="left"/>
      <w:outlineLvl w:val="1"/>
    </w:pPr>
    <w:rPr>
      <w:rFonts w:ascii="Microsoft JhengHei" w:hAnsi="Microsoft JhengHei" w:eastAsia="Microsoft JhengHei"/>
      <w:b/>
      <w:bCs/>
      <w:kern w:val="0"/>
      <w:sz w:val="44"/>
      <w:szCs w:val="44"/>
      <w:lang w:eastAsia="en-US"/>
    </w:rPr>
  </w:style>
  <w:style w:type="paragraph" w:customStyle="1" w:styleId="384">
    <w:name w:val="标题 21"/>
    <w:basedOn w:val="1"/>
    <w:qFormat/>
    <w:uiPriority w:val="1"/>
    <w:pPr>
      <w:ind w:left="100"/>
      <w:jc w:val="left"/>
      <w:outlineLvl w:val="2"/>
    </w:pPr>
    <w:rPr>
      <w:rFonts w:ascii="Microsoft JhengHei" w:hAnsi="Microsoft JhengHei" w:eastAsia="Microsoft JhengHei"/>
      <w:b/>
      <w:bCs/>
      <w:kern w:val="0"/>
      <w:sz w:val="32"/>
      <w:szCs w:val="32"/>
      <w:lang w:eastAsia="en-US"/>
    </w:rPr>
  </w:style>
  <w:style w:type="paragraph" w:customStyle="1" w:styleId="385">
    <w:name w:val="标题 41"/>
    <w:basedOn w:val="1"/>
    <w:qFormat/>
    <w:uiPriority w:val="1"/>
    <w:pPr>
      <w:ind w:left="522"/>
      <w:jc w:val="left"/>
      <w:outlineLvl w:val="4"/>
    </w:pPr>
    <w:rPr>
      <w:rFonts w:eastAsia="Times New Roman"/>
      <w:b/>
      <w:bCs/>
      <w:kern w:val="0"/>
      <w:szCs w:val="21"/>
      <w:lang w:eastAsia="en-US"/>
    </w:rPr>
  </w:style>
  <w:style w:type="paragraph" w:styleId="386">
    <w:name w:val="List Paragraph"/>
    <w:basedOn w:val="1"/>
    <w:qFormat/>
    <w:uiPriority w:val="0"/>
    <w:pPr>
      <w:ind w:firstLine="420"/>
    </w:pPr>
  </w:style>
  <w:style w:type="paragraph" w:customStyle="1" w:styleId="387">
    <w:name w:val="_Style 386"/>
    <w:semiHidden/>
    <w:qFormat/>
    <w:uiPriority w:val="99"/>
    <w:rPr>
      <w:rFonts w:ascii="Times New Roman" w:hAnsi="Times New Roman" w:eastAsia="宋体" w:cs="Times New Roman"/>
      <w:kern w:val="2"/>
      <w:sz w:val="21"/>
      <w:szCs w:val="24"/>
      <w:lang w:val="en-US" w:eastAsia="zh-CN" w:bidi="ar-SA"/>
    </w:rPr>
  </w:style>
  <w:style w:type="table" w:customStyle="1" w:styleId="388">
    <w:name w:val="Table Normal"/>
    <w:unhideWhenUsed/>
    <w:qFormat/>
    <w:uiPriority w:val="2"/>
    <w:pPr>
      <w:widowControl w:val="0"/>
      <w:spacing w:line="360" w:lineRule="auto"/>
      <w:ind w:firstLine="420"/>
      <w:jc w:val="both"/>
    </w:pPr>
    <w:rPr>
      <w:rFonts w:ascii="Calibri" w:hAnsi="Calibri"/>
      <w:sz w:val="22"/>
      <w:szCs w:val="22"/>
      <w:lang w:val="en-US" w:eastAsia="en-US" w:bidi="ar-SA"/>
    </w:rPr>
    <w:tblPr>
      <w:tblCellMar>
        <w:top w:w="0" w:type="dxa"/>
        <w:left w:w="0" w:type="dxa"/>
        <w:bottom w:w="0" w:type="dxa"/>
        <w:right w:w="0" w:type="dxa"/>
      </w:tblCellMar>
    </w:tblPr>
  </w:style>
  <w:style w:type="paragraph" w:customStyle="1" w:styleId="389">
    <w:name w:val="WPSOffice手动目录 1"/>
    <w:qFormat/>
    <w:uiPriority w:val="0"/>
    <w:pPr>
      <w:ind w:leftChars="0"/>
    </w:pPr>
    <w:rPr>
      <w:rFonts w:ascii="Times New Roman" w:hAnsi="Times New Roman" w:eastAsia="宋体" w:cs="Times New Roman"/>
      <w:sz w:val="20"/>
      <w:szCs w:val="20"/>
    </w:rPr>
  </w:style>
  <w:style w:type="paragraph" w:customStyle="1" w:styleId="390">
    <w:name w:val="Body Text First Indent 21"/>
    <w:qFormat/>
    <w:uiPriority w:val="0"/>
    <w:pPr>
      <w:widowControl w:val="0"/>
      <w:spacing w:after="120"/>
      <w:ind w:left="200" w:leftChars="200" w:firstLine="420"/>
      <w:jc w:val="both"/>
    </w:pPr>
    <w:rPr>
      <w:rFonts w:ascii="仿宋_GB2312" w:hAnsi="Calibri" w:eastAsia="仿宋_GB2312" w:cs="仿宋_GB2312"/>
      <w:kern w:val="2"/>
      <w:sz w:val="32"/>
      <w:szCs w:val="32"/>
      <w:lang w:val="en-US" w:eastAsia="zh-CN" w:bidi="ar-SA"/>
    </w:rPr>
  </w:style>
  <w:style w:type="paragraph" w:customStyle="1" w:styleId="391">
    <w:name w:val="Table Text"/>
    <w:basedOn w:val="1"/>
    <w:semiHidden/>
    <w:qFormat/>
    <w:uiPriority w:val="0"/>
    <w:rPr>
      <w:rFonts w:ascii="宋体" w:hAnsi="宋体" w:eastAsia="宋体" w:cs="宋体"/>
      <w:sz w:val="21"/>
      <w:szCs w:val="21"/>
      <w:lang w:val="en-US" w:eastAsia="en-US" w:bidi="ar-SA"/>
    </w:rPr>
  </w:style>
  <w:style w:type="paragraph" w:customStyle="1" w:styleId="392">
    <w:name w:val="标书正文11"/>
    <w:basedOn w:val="1"/>
    <w:qFormat/>
    <w:uiPriority w:val="0"/>
    <w:pPr>
      <w:spacing w:line="360" w:lineRule="auto"/>
      <w:ind w:firstLine="200" w:firstLineChars="200"/>
    </w:pPr>
    <w:rPr>
      <w:rFonts w:ascii="宋体" w:hAnsi="宋体"/>
      <w:kern w:val="44"/>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2.png"/><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35</Pages>
  <Words>133</Words>
  <Characters>151</Characters>
  <Lines>246</Lines>
  <Paragraphs>69</Paragraphs>
  <TotalTime>230</TotalTime>
  <ScaleCrop>false</ScaleCrop>
  <LinksUpToDate>false</LinksUpToDate>
  <CharactersWithSpaces>257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2020-11-24T09:04:00Z</dcterms:created>
  <dc:creator>1</dc:creator>
  <cp:lastModifiedBy>zth</cp:lastModifiedBy>
  <cp:lastPrinted>2024-06-14T03:10:00Z</cp:lastPrinted>
  <dcterms:modified xsi:type="dcterms:W3CDTF">2026-09-28T02:17:31Z</dcterms:modified>
  <dc:title>中华人民共和国</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3C3D3917254048C48196EBC10E681F7E_13</vt:lpwstr>
  </property>
  <property fmtid="{D5CDD505-2E9C-101B-9397-08002B2CF9AE}" pid="4" name="KSOTemplateDocerSaveRecord">
    <vt:lpwstr>eyJoZGlkIjoiNTQwMDVkNmRlZWZjNzAxZGJlYWNlMGQzNzUyNDA2ZDEiLCJ1c2VySWQiOiI1OTYxNzU2NzkifQ==</vt:lpwstr>
  </property>
</Properties>
</file>