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78B74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深圳交易集团远程异地评标系统迁移项目</w:t>
      </w:r>
    </w:p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报价表</w:t>
      </w:r>
    </w:p>
    <w:p w14:paraId="7BEA6375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040"/>
        <w:gridCol w:w="1106"/>
        <w:gridCol w:w="4714"/>
        <w:gridCol w:w="991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811" w:type="dxa"/>
            <w:gridSpan w:val="3"/>
            <w:vAlign w:val="center"/>
          </w:tcPr>
          <w:p w14:paraId="101631D7">
            <w:pPr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深圳交易集团远程异地评标系统迁移项目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11" w:type="dxa"/>
            <w:gridSpan w:val="2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811" w:type="dxa"/>
            <w:gridSpan w:val="3"/>
            <w:vAlign w:val="center"/>
          </w:tcPr>
          <w:p w14:paraId="63FD05A8"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根据深圳交易集团统一规划，现需将部署在阿里云上的远程异地评标系统整体迁移至腾讯云。此次迁移内容共包含两套应用系统（含178个功能项）、两个mysql数据库（含387张表）与1095GB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lang w:val="en-US" w:eastAsia="zh-CN"/>
              </w:rPr>
              <w:t>音视频文件。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11" w:type="dxa"/>
            <w:gridSpan w:val="2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811" w:type="dxa"/>
            <w:gridSpan w:val="3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总工期1年，其中项目迁移工期为2个月，迁移验收通过后需再提供10个月的运维质保服务。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811" w:type="dxa"/>
            <w:gridSpan w:val="3"/>
            <w:vAlign w:val="center"/>
          </w:tcPr>
          <w:p w14:paraId="70020207">
            <w:pPr>
              <w:jc w:val="both"/>
              <w:rPr>
                <w:vertAlign w:val="baseline"/>
              </w:rPr>
            </w:pP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811" w:type="dxa"/>
            <w:gridSpan w:val="3"/>
            <w:vAlign w:val="center"/>
          </w:tcPr>
          <w:p w14:paraId="4CB94D3A">
            <w:pPr>
              <w:jc w:val="both"/>
              <w:rPr>
                <w:vertAlign w:val="baseline"/>
              </w:rPr>
            </w:pP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811" w:type="dxa"/>
            <w:gridSpan w:val="3"/>
            <w:vAlign w:val="center"/>
          </w:tcPr>
          <w:p w14:paraId="38B5935A">
            <w:pPr>
              <w:jc w:val="both"/>
              <w:rPr>
                <w:vertAlign w:val="baseline"/>
              </w:rPr>
            </w:pP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811" w:type="dxa"/>
            <w:gridSpan w:val="3"/>
            <w:vAlign w:val="center"/>
          </w:tcPr>
          <w:p w14:paraId="4B3D3579">
            <w:pPr>
              <w:jc w:val="both"/>
              <w:rPr>
                <w:vertAlign w:val="baseline"/>
              </w:rPr>
            </w:pP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gridSpan w:val="2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811" w:type="dxa"/>
            <w:gridSpan w:val="3"/>
            <w:vAlign w:val="center"/>
          </w:tcPr>
          <w:p w14:paraId="081534D1">
            <w:pPr>
              <w:jc w:val="both"/>
              <w:rPr>
                <w:vertAlign w:val="baseline"/>
              </w:rPr>
            </w:pPr>
          </w:p>
        </w:tc>
      </w:tr>
      <w:tr w14:paraId="66EB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vAlign w:val="top"/>
          </w:tcPr>
          <w:p w14:paraId="0F9F0A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分项报价（</w:t>
            </w:r>
            <w:r>
              <w:rPr>
                <w:rFonts w:hint="eastAsia"/>
                <w:b/>
                <w:bCs/>
                <w:color w:val="FF0000"/>
                <w:vertAlign w:val="baseline"/>
                <w:lang w:val="en-US" w:eastAsia="zh-CN"/>
              </w:rPr>
              <w:t>盖单位公章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）</w:t>
            </w:r>
          </w:p>
        </w:tc>
      </w:tr>
      <w:tr w14:paraId="570A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87BD88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2146" w:type="dxa"/>
            <w:gridSpan w:val="2"/>
            <w:vAlign w:val="center"/>
          </w:tcPr>
          <w:p w14:paraId="27B5974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分项</w:t>
            </w:r>
          </w:p>
        </w:tc>
        <w:tc>
          <w:tcPr>
            <w:tcW w:w="4714" w:type="dxa"/>
            <w:vAlign w:val="center"/>
          </w:tcPr>
          <w:p w14:paraId="5D846B2A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内容说明</w:t>
            </w:r>
          </w:p>
        </w:tc>
        <w:tc>
          <w:tcPr>
            <w:tcW w:w="991" w:type="dxa"/>
            <w:vAlign w:val="center"/>
          </w:tcPr>
          <w:p w14:paraId="6877AB04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报价（元）</w:t>
            </w:r>
          </w:p>
        </w:tc>
      </w:tr>
      <w:tr w14:paraId="690A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D01DB1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  <w:lang w:val="en-US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0C97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迁移前期准备与规划</w:t>
            </w:r>
          </w:p>
        </w:tc>
        <w:tc>
          <w:tcPr>
            <w:tcW w:w="4714" w:type="dxa"/>
            <w:vAlign w:val="center"/>
          </w:tcPr>
          <w:p w14:paraId="2B7B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含源环境梳理（应用、数据库、附件）、迁移方案设计、腾讯云资源规划申请、全量数据备份</w:t>
            </w:r>
          </w:p>
        </w:tc>
        <w:tc>
          <w:tcPr>
            <w:tcW w:w="991" w:type="dxa"/>
            <w:vAlign w:val="top"/>
          </w:tcPr>
          <w:p w14:paraId="13713550">
            <w:pPr>
              <w:rPr>
                <w:vertAlign w:val="baseline"/>
              </w:rPr>
            </w:pPr>
          </w:p>
        </w:tc>
      </w:tr>
      <w:tr w14:paraId="34DB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0BAFCD4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311F0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腾讯云基础资源部署</w:t>
            </w:r>
          </w:p>
        </w:tc>
        <w:tc>
          <w:tcPr>
            <w:tcW w:w="4714" w:type="dxa"/>
            <w:vAlign w:val="center"/>
          </w:tcPr>
          <w:p w14:paraId="3D724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含中间件部署、依赖组件安装适配</w:t>
            </w:r>
          </w:p>
        </w:tc>
        <w:tc>
          <w:tcPr>
            <w:tcW w:w="991" w:type="dxa"/>
            <w:vAlign w:val="top"/>
          </w:tcPr>
          <w:p w14:paraId="6A787D52">
            <w:pPr>
              <w:rPr>
                <w:vertAlign w:val="baseline"/>
              </w:rPr>
            </w:pPr>
          </w:p>
        </w:tc>
      </w:tr>
      <w:tr w14:paraId="0BED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B3BDE5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63033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腾讯云数据库环境搭建</w:t>
            </w:r>
          </w:p>
        </w:tc>
        <w:tc>
          <w:tcPr>
            <w:tcW w:w="4714" w:type="dxa"/>
            <w:vAlign w:val="center"/>
          </w:tcPr>
          <w:p w14:paraId="1587D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含目标数据库实例创建、参数优化、版本兼容性适配</w:t>
            </w:r>
          </w:p>
        </w:tc>
        <w:tc>
          <w:tcPr>
            <w:tcW w:w="991" w:type="dxa"/>
            <w:vAlign w:val="top"/>
          </w:tcPr>
          <w:p w14:paraId="4678997D">
            <w:pPr>
              <w:rPr>
                <w:vertAlign w:val="baseline"/>
              </w:rPr>
            </w:pPr>
          </w:p>
        </w:tc>
      </w:tr>
      <w:tr w14:paraId="23C5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07258B73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2353A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腾讯云存储环境配置</w:t>
            </w:r>
          </w:p>
        </w:tc>
        <w:tc>
          <w:tcPr>
            <w:tcW w:w="4714" w:type="dxa"/>
            <w:vAlign w:val="center"/>
          </w:tcPr>
          <w:p w14:paraId="7B12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含存储类别配置、访问权限/跨域规则设置、附件访问路径适配</w:t>
            </w:r>
          </w:p>
        </w:tc>
        <w:tc>
          <w:tcPr>
            <w:tcW w:w="991" w:type="dxa"/>
            <w:vAlign w:val="top"/>
          </w:tcPr>
          <w:p w14:paraId="19197687">
            <w:pPr>
              <w:rPr>
                <w:vertAlign w:val="baseline"/>
              </w:rPr>
            </w:pPr>
          </w:p>
        </w:tc>
      </w:tr>
      <w:tr w14:paraId="5371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68E0BC9F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45521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应用系统迁移部署</w:t>
            </w:r>
          </w:p>
        </w:tc>
        <w:tc>
          <w:tcPr>
            <w:tcW w:w="4714" w:type="dxa"/>
            <w:vAlign w:val="center"/>
          </w:tcPr>
          <w:p w14:paraId="530C1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含应用程序打包部署、配置文件修改（数据库/存储连接信息更新）、应用服务启停调试</w:t>
            </w:r>
          </w:p>
        </w:tc>
        <w:tc>
          <w:tcPr>
            <w:tcW w:w="991" w:type="dxa"/>
            <w:vAlign w:val="top"/>
          </w:tcPr>
          <w:p w14:paraId="1C7F8BFD">
            <w:pPr>
              <w:rPr>
                <w:vertAlign w:val="baseline"/>
              </w:rPr>
            </w:pPr>
          </w:p>
        </w:tc>
      </w:tr>
      <w:tr w14:paraId="0E44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70781C7C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7D7B1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数据库迁移与同步</w:t>
            </w:r>
          </w:p>
        </w:tc>
        <w:tc>
          <w:tcPr>
            <w:tcW w:w="4714" w:type="dxa"/>
            <w:vAlign w:val="center"/>
          </w:tcPr>
          <w:p w14:paraId="7690F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含迁移工具准备、全量数据迁移、源目标库数据一致性校验（表结构/数据/索引）</w:t>
            </w:r>
          </w:p>
        </w:tc>
        <w:tc>
          <w:tcPr>
            <w:tcW w:w="991" w:type="dxa"/>
            <w:vAlign w:val="top"/>
          </w:tcPr>
          <w:p w14:paraId="5E8CC496">
            <w:pPr>
              <w:rPr>
                <w:vertAlign w:val="baseline"/>
              </w:rPr>
            </w:pPr>
          </w:p>
        </w:tc>
      </w:tr>
      <w:tr w14:paraId="16FD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7750BF5F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6957C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附件数据迁移</w:t>
            </w:r>
          </w:p>
        </w:tc>
        <w:tc>
          <w:tcPr>
            <w:tcW w:w="4714" w:type="dxa"/>
            <w:vAlign w:val="center"/>
          </w:tcPr>
          <w:p w14:paraId="37247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含迁移工具准备、附件全量迁移、MD5完整性校验、失败文件重试迁移</w:t>
            </w:r>
          </w:p>
        </w:tc>
        <w:tc>
          <w:tcPr>
            <w:tcW w:w="991" w:type="dxa"/>
            <w:vAlign w:val="top"/>
          </w:tcPr>
          <w:p w14:paraId="409BB359">
            <w:pPr>
              <w:rPr>
                <w:vertAlign w:val="baseline"/>
              </w:rPr>
            </w:pPr>
          </w:p>
        </w:tc>
      </w:tr>
      <w:tr w14:paraId="0127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52F2B390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4C074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迁移后功能测试</w:t>
            </w:r>
          </w:p>
        </w:tc>
        <w:tc>
          <w:tcPr>
            <w:tcW w:w="4714" w:type="dxa"/>
            <w:vAlign w:val="center"/>
          </w:tcPr>
          <w:p w14:paraId="5851D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含两套应用核心业务流程全量功能测试、功能一致性验证</w:t>
            </w:r>
          </w:p>
        </w:tc>
        <w:tc>
          <w:tcPr>
            <w:tcW w:w="991" w:type="dxa"/>
            <w:vAlign w:val="top"/>
          </w:tcPr>
          <w:p w14:paraId="2B503D02">
            <w:pPr>
              <w:rPr>
                <w:vertAlign w:val="baseline"/>
              </w:rPr>
            </w:pPr>
          </w:p>
        </w:tc>
      </w:tr>
      <w:tr w14:paraId="522D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4D27F418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09621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迁移后性能与兼容性测试</w:t>
            </w:r>
          </w:p>
        </w:tc>
        <w:tc>
          <w:tcPr>
            <w:tcW w:w="4714" w:type="dxa"/>
            <w:vAlign w:val="center"/>
          </w:tcPr>
          <w:p w14:paraId="2C364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含并发压力测试、响应时间/查询速度/附件传输速率测试、环境兼容性排查</w:t>
            </w:r>
          </w:p>
        </w:tc>
        <w:tc>
          <w:tcPr>
            <w:tcW w:w="991" w:type="dxa"/>
            <w:vAlign w:val="top"/>
          </w:tcPr>
          <w:p w14:paraId="745A4B4C">
            <w:pPr>
              <w:rPr>
                <w:vertAlign w:val="baseline"/>
              </w:rPr>
            </w:pPr>
          </w:p>
        </w:tc>
      </w:tr>
      <w:tr w14:paraId="488B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4701585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78CA5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上线切换与监控</w:t>
            </w:r>
          </w:p>
        </w:tc>
        <w:tc>
          <w:tcPr>
            <w:tcW w:w="4714" w:type="dxa"/>
            <w:vAlign w:val="center"/>
          </w:tcPr>
          <w:p w14:paraId="1DEC7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含业务流量切换、腾讯云监控（ECS/数据库）配置、实时告警处理</w:t>
            </w:r>
          </w:p>
        </w:tc>
        <w:tc>
          <w:tcPr>
            <w:tcW w:w="991" w:type="dxa"/>
            <w:vAlign w:val="top"/>
          </w:tcPr>
          <w:p w14:paraId="295DA726">
            <w:pPr>
              <w:rPr>
                <w:vertAlign w:val="baseline"/>
              </w:rPr>
            </w:pPr>
          </w:p>
        </w:tc>
      </w:tr>
      <w:tr w14:paraId="54E3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0F0C558F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519D9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回滚方案准备与执行</w:t>
            </w:r>
          </w:p>
        </w:tc>
        <w:tc>
          <w:tcPr>
            <w:tcW w:w="4714" w:type="dxa"/>
            <w:vAlign w:val="center"/>
          </w:tcPr>
          <w:p w14:paraId="558AD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含阿里云环境保留维护、回滚流程设计、突发问题回滚操作</w:t>
            </w:r>
          </w:p>
        </w:tc>
        <w:tc>
          <w:tcPr>
            <w:tcW w:w="991" w:type="dxa"/>
            <w:vAlign w:val="top"/>
          </w:tcPr>
          <w:p w14:paraId="79A3C74A">
            <w:pPr>
              <w:rPr>
                <w:vertAlign w:val="baseline"/>
              </w:rPr>
            </w:pPr>
          </w:p>
        </w:tc>
      </w:tr>
      <w:tr w14:paraId="4010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79433906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10C60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文档交付</w:t>
            </w:r>
          </w:p>
        </w:tc>
        <w:tc>
          <w:tcPr>
            <w:tcW w:w="4714" w:type="dxa"/>
            <w:vAlign w:val="center"/>
          </w:tcPr>
          <w:p w14:paraId="736F3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含迁移方案、迁移清单、测试报告、环境配置文档、运维手册整理与交付</w:t>
            </w:r>
          </w:p>
        </w:tc>
        <w:tc>
          <w:tcPr>
            <w:tcW w:w="991" w:type="dxa"/>
            <w:vAlign w:val="top"/>
          </w:tcPr>
          <w:p w14:paraId="28248CD3">
            <w:pPr>
              <w:rPr>
                <w:vertAlign w:val="baseline"/>
              </w:rPr>
            </w:pPr>
          </w:p>
        </w:tc>
      </w:tr>
      <w:tr w14:paraId="6638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2794EA20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7D73E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项目管理与沟通</w:t>
            </w:r>
          </w:p>
        </w:tc>
        <w:tc>
          <w:tcPr>
            <w:tcW w:w="4714" w:type="dxa"/>
            <w:vAlign w:val="center"/>
          </w:tcPr>
          <w:p w14:paraId="41A3F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含专项小组协调、进度同步、厂商资源对接、突发问题处理</w:t>
            </w:r>
          </w:p>
        </w:tc>
        <w:tc>
          <w:tcPr>
            <w:tcW w:w="991" w:type="dxa"/>
            <w:vAlign w:val="top"/>
          </w:tcPr>
          <w:p w14:paraId="5CDD6E3C">
            <w:pPr>
              <w:rPr>
                <w:vertAlign w:val="baseline"/>
              </w:rPr>
            </w:pPr>
          </w:p>
        </w:tc>
      </w:tr>
      <w:tr w14:paraId="6CF5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6552DE50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226534C4">
            <w:pPr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10个月运维质保服务</w:t>
            </w:r>
          </w:p>
        </w:tc>
        <w:tc>
          <w:tcPr>
            <w:tcW w:w="4714" w:type="dxa"/>
            <w:vAlign w:val="center"/>
          </w:tcPr>
          <w:p w14:paraId="66602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1.系统稳定保障：确保远程异地评标系统的日常平稳运行与高可用性，做好日常系统巡查工作；</w:t>
            </w:r>
          </w:p>
          <w:p w14:paraId="6E8FA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2.技术支持响应：在远程异地评标业务开展期间，提供实时技术支持服务，快速响应并解决各类突发技术问题，当远程解决不了需提供现场协助。</w:t>
            </w:r>
          </w:p>
          <w:p w14:paraId="54005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3.安全漏洞修复：当发现系统存在安全漏洞时，严格按照甲方要求的时限和规范进行及时修复与加固；</w:t>
            </w:r>
          </w:p>
          <w:p w14:paraId="3AE3B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4.其他工作：提供日常数据统计、数据查询等协助工作。</w:t>
            </w:r>
          </w:p>
        </w:tc>
        <w:tc>
          <w:tcPr>
            <w:tcW w:w="991" w:type="dxa"/>
            <w:vAlign w:val="top"/>
          </w:tcPr>
          <w:p w14:paraId="4237401D">
            <w:pPr>
              <w:rPr>
                <w:vertAlign w:val="baseline"/>
              </w:rPr>
            </w:pPr>
          </w:p>
        </w:tc>
      </w:tr>
      <w:tr w14:paraId="4B45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137FE045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6860" w:type="dxa"/>
            <w:gridSpan w:val="3"/>
            <w:vAlign w:val="center"/>
          </w:tcPr>
          <w:p w14:paraId="197B8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合    计</w:t>
            </w:r>
          </w:p>
        </w:tc>
        <w:tc>
          <w:tcPr>
            <w:tcW w:w="991" w:type="dxa"/>
            <w:vAlign w:val="top"/>
          </w:tcPr>
          <w:p w14:paraId="31A1CF21">
            <w:pPr>
              <w:rPr>
                <w:vertAlign w:val="baseline"/>
              </w:rPr>
            </w:pP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本项目采用含税固定总价方式进行报价，报价包含但不限于该服务所需的全部费用。</w:t>
      </w:r>
    </w:p>
    <w:p w14:paraId="72AF5A5E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F000E"/>
    <w:multiLevelType w:val="singleLevel"/>
    <w:tmpl w:val="BF7F000E"/>
    <w:lvl w:ilvl="0" w:tentative="0">
      <w:start w:val="1"/>
      <w:numFmt w:val="decimal"/>
      <w:suff w:val="nothing"/>
      <w:lvlText w:val="%1"/>
      <w:lvlJc w:val="center"/>
      <w:pPr>
        <w:tabs>
          <w:tab w:val="left" w:pos="420"/>
        </w:tabs>
        <w:ind w:left="425" w:leftChars="0" w:hanging="425" w:firstLineChars="0"/>
      </w:pPr>
      <w:rPr>
        <w:rFonts w:hint="default" w:ascii="宋体" w:hAnsi="宋体" w:eastAsia="宋体" w:cs="宋体"/>
        <w:b w:val="0"/>
        <w:bCs w:val="0"/>
        <w:sz w:val="21"/>
        <w:szCs w:val="21"/>
      </w:r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B42350"/>
    <w:rsid w:val="22C76253"/>
    <w:rsid w:val="22DB7A5C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954</Words>
  <Characters>980</Characters>
  <Lines>0</Lines>
  <Paragraphs>0</Paragraphs>
  <TotalTime>4</TotalTime>
  <ScaleCrop>false</ScaleCrop>
  <LinksUpToDate>false</LinksUpToDate>
  <CharactersWithSpaces>985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包治国</cp:lastModifiedBy>
  <dcterms:modified xsi:type="dcterms:W3CDTF">2025-11-06T09:03:15Z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eyJoZGlkIjoiN2RlODU1MjhkZjU1NDM2NDc4OGZhZmY5MmE3Zjk5ZjYiLCJ1c2VySWQiOiIxNDc4ODMwODU5In0=</vt:lpwstr>
  </property>
  <property fmtid="{D5CDD505-2E9C-101B-9397-08002B2CF9AE}" pid="4" name="ICV">
    <vt:lpwstr>8659AA791ED74755B577424318A5021D_12</vt:lpwstr>
  </property>
</Properties>
</file>