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_GBK" w:hAnsi="黑体" w:eastAsia="方正小标宋_GBK"/>
          <w:color w:val="000000"/>
          <w:sz w:val="44"/>
          <w:szCs w:val="44"/>
        </w:rPr>
      </w:pPr>
      <w:r>
        <w:rPr>
          <w:rFonts w:hint="eastAsia" w:ascii="方正小标宋_GBK" w:hAnsi="黑体" w:eastAsia="方正小标宋_GBK"/>
          <w:color w:val="000000"/>
          <w:sz w:val="44"/>
          <w:szCs w:val="44"/>
        </w:rPr>
        <w:t>深圳市光明区人民法院干警审判制服</w:t>
      </w:r>
    </w:p>
    <w:p>
      <w:pPr>
        <w:spacing w:line="560" w:lineRule="exact"/>
        <w:jc w:val="center"/>
        <w:rPr>
          <w:rFonts w:ascii="黑体" w:hAnsi="黑体" w:eastAsia="黑体"/>
          <w:color w:val="000000"/>
          <w:sz w:val="32"/>
          <w:szCs w:val="32"/>
        </w:rPr>
      </w:pPr>
      <w:r>
        <w:rPr>
          <w:rFonts w:hint="eastAsia" w:ascii="方正小标宋_GBK" w:hAnsi="黑体" w:eastAsia="方正小标宋_GBK"/>
          <w:color w:val="000000"/>
          <w:sz w:val="44"/>
          <w:szCs w:val="44"/>
        </w:rPr>
        <w:t>及服饰项目需求</w:t>
      </w:r>
    </w:p>
    <w:p>
      <w:pPr>
        <w:spacing w:line="560" w:lineRule="exact"/>
        <w:ind w:firstLine="640" w:firstLineChars="200"/>
        <w:rPr>
          <w:rFonts w:ascii="黑体" w:hAnsi="黑体" w:eastAsia="黑体"/>
          <w:color w:val="000000"/>
          <w:sz w:val="32"/>
          <w:szCs w:val="32"/>
        </w:rPr>
      </w:pP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一、项目基本概况</w:t>
      </w:r>
    </w:p>
    <w:p>
      <w:pPr>
        <w:widowControl/>
        <w:spacing w:line="560" w:lineRule="exact"/>
        <w:ind w:left="958" w:leftChars="304" w:hanging="320" w:hangingChars="100"/>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1.项目名称：</w:t>
      </w:r>
      <w:r>
        <w:rPr>
          <w:rFonts w:hint="eastAsia" w:ascii="仿宋_GB2312" w:eastAsia="仿宋_GB2312"/>
          <w:color w:val="000000"/>
          <w:sz w:val="32"/>
          <w:szCs w:val="32"/>
          <w:lang w:val="en-US" w:eastAsia="zh-CN"/>
        </w:rPr>
        <w:t>深圳市光明区人民法院</w:t>
      </w:r>
      <w:r>
        <w:rPr>
          <w:rFonts w:hint="eastAsia" w:ascii="仿宋_GB2312" w:eastAsia="仿宋_GB2312"/>
          <w:color w:val="000000"/>
          <w:sz w:val="32"/>
          <w:szCs w:val="32"/>
          <w:lang w:eastAsia="zh-CN"/>
        </w:rPr>
        <w:t>干警审判制服及服饰项目</w:t>
      </w:r>
    </w:p>
    <w:p>
      <w:pPr>
        <w:widowControl/>
        <w:spacing w:line="560" w:lineRule="exact"/>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lang w:val="en-US" w:eastAsia="zh-CN"/>
        </w:rPr>
        <w:t>2</w:t>
      </w:r>
      <w:r>
        <w:rPr>
          <w:rFonts w:hint="eastAsia" w:ascii="仿宋_GB2312" w:eastAsia="仿宋_GB2312"/>
          <w:color w:val="000000"/>
          <w:sz w:val="32"/>
          <w:szCs w:val="32"/>
          <w:lang w:eastAsia="zh-CN"/>
        </w:rPr>
        <w:t>.预算金额：</w:t>
      </w:r>
      <w:r>
        <w:rPr>
          <w:rFonts w:hint="eastAsia" w:ascii="仿宋_GB2312" w:eastAsia="仿宋_GB2312"/>
          <w:color w:val="000000"/>
          <w:sz w:val="32"/>
          <w:szCs w:val="32"/>
        </w:rPr>
        <w:t>140998.00</w:t>
      </w:r>
      <w:r>
        <w:rPr>
          <w:rFonts w:hint="eastAsia" w:ascii="仿宋_GB2312" w:eastAsia="仿宋_GB2312"/>
          <w:color w:val="000000"/>
          <w:sz w:val="32"/>
          <w:szCs w:val="32"/>
          <w:lang w:eastAsia="zh-CN"/>
        </w:rPr>
        <w:t>元；</w:t>
      </w:r>
    </w:p>
    <w:p>
      <w:pPr>
        <w:widowControl/>
        <w:spacing w:line="560" w:lineRule="exact"/>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lang w:val="en-US" w:eastAsia="zh-CN"/>
        </w:rPr>
        <w:t>3</w:t>
      </w:r>
      <w:r>
        <w:rPr>
          <w:rFonts w:hint="eastAsia" w:ascii="仿宋_GB2312" w:eastAsia="仿宋_GB2312"/>
          <w:color w:val="000000"/>
          <w:sz w:val="32"/>
          <w:szCs w:val="32"/>
          <w:lang w:eastAsia="zh-CN"/>
        </w:rPr>
        <w:t>.中标供应商数量：1；</w:t>
      </w:r>
    </w:p>
    <w:p>
      <w:pPr>
        <w:widowControl/>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4</w:t>
      </w:r>
      <w:r>
        <w:rPr>
          <w:rFonts w:hint="eastAsia" w:ascii="仿宋_GB2312" w:eastAsia="仿宋_GB2312"/>
          <w:color w:val="000000"/>
          <w:sz w:val="32"/>
          <w:szCs w:val="32"/>
          <w:lang w:eastAsia="zh-CN"/>
        </w:rPr>
        <w:t>.评审方法：</w:t>
      </w:r>
      <w:r>
        <w:rPr>
          <w:rFonts w:hint="eastAsia" w:ascii="仿宋_GB2312" w:eastAsia="仿宋_GB2312"/>
          <w:color w:val="000000"/>
          <w:sz w:val="32"/>
          <w:szCs w:val="32"/>
          <w:lang w:val="en-US" w:eastAsia="zh-CN"/>
        </w:rPr>
        <w:t>综合评分法</w:t>
      </w:r>
      <w:r>
        <w:rPr>
          <w:rFonts w:hint="eastAsia" w:ascii="仿宋_GB2312" w:eastAsia="仿宋_GB2312"/>
          <w:color w:val="000000"/>
          <w:sz w:val="32"/>
          <w:szCs w:val="32"/>
          <w:lang w:eastAsia="zh-CN"/>
        </w:rPr>
        <w:t>。</w:t>
      </w:r>
    </w:p>
    <w:p>
      <w:pPr>
        <w:widowControl/>
        <w:spacing w:line="560" w:lineRule="exact"/>
        <w:ind w:firstLine="640" w:firstLineChars="200"/>
        <w:jc w:val="left"/>
        <w:rPr>
          <w:rFonts w:ascii="黑体" w:hAnsi="黑体" w:eastAsia="黑体"/>
          <w:color w:val="000000"/>
          <w:sz w:val="32"/>
          <w:szCs w:val="32"/>
        </w:rPr>
      </w:pPr>
      <w:r>
        <w:rPr>
          <w:rFonts w:hint="eastAsia" w:ascii="黑体" w:hAnsi="黑体" w:eastAsia="黑体"/>
          <w:color w:val="000000"/>
          <w:sz w:val="32"/>
          <w:szCs w:val="32"/>
        </w:rPr>
        <w:t>二、采购项目清单</w:t>
      </w:r>
    </w:p>
    <w:p>
      <w:pPr>
        <w:widowControl/>
        <w:spacing w:line="560" w:lineRule="exact"/>
        <w:ind w:firstLine="640" w:firstLineChars="200"/>
        <w:jc w:val="left"/>
        <w:rPr>
          <w:rFonts w:hint="eastAsia" w:ascii="仿宋_GB2312" w:eastAsia="仿宋_GB2312"/>
          <w:color w:val="000000"/>
          <w:sz w:val="32"/>
          <w:szCs w:val="32"/>
          <w:lang w:eastAsia="zh-CN"/>
        </w:rPr>
      </w:pPr>
      <w:r>
        <w:rPr>
          <w:rFonts w:hint="eastAsia" w:ascii="仿宋_GB2312" w:eastAsia="仿宋_GB2312"/>
          <w:color w:val="000000"/>
          <w:sz w:val="32"/>
          <w:szCs w:val="32"/>
        </w:rPr>
        <w:t>我院拟为138名干警配备审判制服及服饰，</w:t>
      </w:r>
      <w:r>
        <w:rPr>
          <w:rFonts w:hint="eastAsia" w:ascii="仿宋_GB2312" w:eastAsia="仿宋_GB2312"/>
          <w:color w:val="000000"/>
          <w:sz w:val="32"/>
          <w:szCs w:val="32"/>
          <w:lang w:val="en-US" w:eastAsia="zh-CN"/>
        </w:rPr>
        <w:t>涉及</w:t>
      </w:r>
      <w:r>
        <w:rPr>
          <w:rFonts w:hint="eastAsia" w:ascii="仿宋_GB2312" w:eastAsia="仿宋_GB2312"/>
          <w:color w:val="000000"/>
          <w:sz w:val="32"/>
          <w:szCs w:val="32"/>
        </w:rPr>
        <w:t>定制夏服、春秋制服、内穿长袖衬衣、外穿长袖衬衣、领带</w:t>
      </w:r>
      <w:r>
        <w:rPr>
          <w:rFonts w:ascii="仿宋_GB2312" w:eastAsia="仿宋_GB2312"/>
          <w:color w:val="000000"/>
          <w:sz w:val="32"/>
          <w:szCs w:val="32"/>
        </w:rPr>
        <w:t>（红色）</w:t>
      </w:r>
      <w:r>
        <w:rPr>
          <w:rFonts w:hint="eastAsia" w:ascii="仿宋_GB2312" w:eastAsia="仿宋_GB2312"/>
          <w:color w:val="000000"/>
          <w:sz w:val="32"/>
          <w:szCs w:val="32"/>
        </w:rPr>
        <w:t>和</w:t>
      </w:r>
      <w:r>
        <w:rPr>
          <w:rFonts w:ascii="仿宋_GB2312" w:eastAsia="仿宋_GB2312"/>
          <w:color w:val="000000"/>
          <w:sz w:val="32"/>
          <w:szCs w:val="32"/>
        </w:rPr>
        <w:t>领带（蓝色）</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下表</w:t>
      </w:r>
      <w:r>
        <w:rPr>
          <w:rFonts w:hint="eastAsia" w:ascii="仿宋_GB2312" w:eastAsia="仿宋_GB2312"/>
          <w:color w:val="000000"/>
          <w:sz w:val="32"/>
          <w:szCs w:val="32"/>
        </w:rPr>
        <w:t>所列采购产品为拟采购</w:t>
      </w:r>
      <w:r>
        <w:rPr>
          <w:rFonts w:hint="eastAsia" w:ascii="仿宋_GB2312" w:eastAsia="仿宋_GB2312"/>
          <w:color w:val="000000"/>
          <w:sz w:val="32"/>
          <w:szCs w:val="32"/>
          <w:lang w:val="en-US" w:eastAsia="zh-CN"/>
        </w:rPr>
        <w:t>清单</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最终</w:t>
      </w:r>
      <w:r>
        <w:rPr>
          <w:rFonts w:hint="eastAsia" w:ascii="仿宋_GB2312" w:eastAsia="仿宋_GB2312"/>
          <w:color w:val="000000"/>
          <w:sz w:val="32"/>
          <w:szCs w:val="32"/>
        </w:rPr>
        <w:t>以采购人实际需求为准</w:t>
      </w:r>
      <w:r>
        <w:rPr>
          <w:rFonts w:hint="eastAsia" w:ascii="仿宋_GB2312" w:eastAsia="仿宋_GB2312"/>
          <w:color w:val="000000"/>
          <w:sz w:val="32"/>
          <w:szCs w:val="32"/>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062"/>
        <w:gridCol w:w="1138"/>
        <w:gridCol w:w="1179"/>
        <w:gridCol w:w="1352"/>
        <w:gridCol w:w="1429"/>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名称</w:t>
            </w:r>
          </w:p>
        </w:tc>
        <w:tc>
          <w:tcPr>
            <w:tcW w:w="1062" w:type="dxa"/>
            <w:vAlign w:val="center"/>
          </w:tcPr>
          <w:p>
            <w:pPr>
              <w:widowControl/>
              <w:spacing w:line="560" w:lineRule="exact"/>
              <w:jc w:val="center"/>
              <w:rPr>
                <w:rFonts w:hint="eastAsia" w:ascii="仿宋_GB2312" w:eastAsia="仿宋_GB2312"/>
                <w:color w:val="000000"/>
                <w:sz w:val="32"/>
                <w:szCs w:val="32"/>
                <w:vertAlign w:val="baseline"/>
              </w:rPr>
            </w:pPr>
            <w:r>
              <w:rPr>
                <w:rFonts w:hint="eastAsia" w:ascii="仿宋_GB2312" w:eastAsia="仿宋_GB2312"/>
                <w:color w:val="000000"/>
                <w:sz w:val="32"/>
                <w:szCs w:val="32"/>
                <w:vertAlign w:val="baseline"/>
                <w:lang w:val="en-US" w:eastAsia="zh-CN"/>
              </w:rPr>
              <w:t>夏服</w:t>
            </w:r>
          </w:p>
        </w:tc>
        <w:tc>
          <w:tcPr>
            <w:tcW w:w="1138"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春秋服</w:t>
            </w:r>
          </w:p>
        </w:tc>
        <w:tc>
          <w:tcPr>
            <w:tcW w:w="1179"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内穿长袖</w:t>
            </w:r>
            <w:r>
              <w:rPr>
                <w:rFonts w:hint="eastAsia" w:ascii="仿宋_GB2312" w:eastAsia="仿宋_GB2312"/>
                <w:color w:val="000000"/>
                <w:sz w:val="32"/>
                <w:szCs w:val="32"/>
                <w:vertAlign w:val="baseline"/>
              </w:rPr>
              <w:t>衬衣</w:t>
            </w:r>
          </w:p>
        </w:tc>
        <w:tc>
          <w:tcPr>
            <w:tcW w:w="1352" w:type="dxa"/>
            <w:vAlign w:val="center"/>
          </w:tcPr>
          <w:p>
            <w:pPr>
              <w:widowControl/>
              <w:spacing w:line="560" w:lineRule="exact"/>
              <w:jc w:val="center"/>
              <w:rPr>
                <w:rFonts w:hint="eastAsia" w:ascii="仿宋_GB2312" w:eastAsia="仿宋_GB2312"/>
                <w:color w:val="000000"/>
                <w:sz w:val="32"/>
                <w:szCs w:val="32"/>
                <w:vertAlign w:val="baseline"/>
              </w:rPr>
            </w:pPr>
            <w:r>
              <w:rPr>
                <w:rFonts w:hint="eastAsia" w:ascii="仿宋_GB2312" w:eastAsia="仿宋_GB2312"/>
                <w:color w:val="000000"/>
                <w:sz w:val="32"/>
                <w:szCs w:val="32"/>
                <w:vertAlign w:val="baseline"/>
              </w:rPr>
              <w:t>外穿长袖衬衣</w:t>
            </w:r>
          </w:p>
        </w:tc>
        <w:tc>
          <w:tcPr>
            <w:tcW w:w="1429" w:type="dxa"/>
            <w:vAlign w:val="center"/>
          </w:tcPr>
          <w:p>
            <w:pPr>
              <w:widowControl/>
              <w:spacing w:line="560" w:lineRule="exact"/>
              <w:jc w:val="center"/>
              <w:rPr>
                <w:rFonts w:hint="eastAsia" w:ascii="仿宋_GB2312" w:eastAsia="仿宋_GB2312"/>
                <w:color w:val="000000"/>
                <w:sz w:val="32"/>
                <w:szCs w:val="32"/>
                <w:vertAlign w:val="baseline"/>
                <w:lang w:eastAsia="zh-CN"/>
              </w:rPr>
            </w:pPr>
            <w:r>
              <w:rPr>
                <w:rFonts w:hint="eastAsia" w:ascii="仿宋_GB2312" w:eastAsia="仿宋_GB2312"/>
                <w:color w:val="000000"/>
                <w:sz w:val="32"/>
                <w:szCs w:val="32"/>
                <w:vertAlign w:val="baseline"/>
              </w:rPr>
              <w:t>领带</w:t>
            </w:r>
            <w:r>
              <w:rPr>
                <w:rFonts w:hint="eastAsia" w:ascii="仿宋_GB2312" w:eastAsia="仿宋_GB2312"/>
                <w:color w:val="000000"/>
                <w:sz w:val="32"/>
                <w:szCs w:val="32"/>
                <w:vertAlign w:val="baseline"/>
                <w:lang w:eastAsia="zh-CN"/>
              </w:rPr>
              <w:t>（</w:t>
            </w:r>
            <w:r>
              <w:rPr>
                <w:rFonts w:hint="eastAsia" w:ascii="仿宋_GB2312" w:eastAsia="仿宋_GB2312"/>
                <w:color w:val="000000"/>
                <w:sz w:val="32"/>
                <w:szCs w:val="32"/>
                <w:vertAlign w:val="baseline"/>
                <w:lang w:val="en-US" w:eastAsia="zh-CN"/>
              </w:rPr>
              <w:t>红色</w:t>
            </w:r>
            <w:r>
              <w:rPr>
                <w:rFonts w:hint="eastAsia" w:ascii="仿宋_GB2312" w:eastAsia="仿宋_GB2312"/>
                <w:color w:val="000000"/>
                <w:sz w:val="32"/>
                <w:szCs w:val="32"/>
                <w:vertAlign w:val="baseline"/>
                <w:lang w:eastAsia="zh-CN"/>
              </w:rPr>
              <w:t>）</w:t>
            </w:r>
          </w:p>
        </w:tc>
        <w:tc>
          <w:tcPr>
            <w:tcW w:w="1429" w:type="dxa"/>
            <w:vAlign w:val="center"/>
          </w:tcPr>
          <w:p>
            <w:pPr>
              <w:widowControl/>
              <w:spacing w:line="560" w:lineRule="exact"/>
              <w:jc w:val="center"/>
              <w:rPr>
                <w:rFonts w:hint="eastAsia" w:ascii="仿宋_GB2312" w:eastAsia="仿宋_GB2312"/>
                <w:color w:val="000000"/>
                <w:sz w:val="32"/>
                <w:szCs w:val="32"/>
                <w:vertAlign w:val="baseline"/>
              </w:rPr>
            </w:pPr>
            <w:r>
              <w:rPr>
                <w:rFonts w:hint="eastAsia" w:ascii="仿宋_GB2312" w:eastAsia="仿宋_GB2312"/>
                <w:color w:val="000000"/>
                <w:sz w:val="32"/>
                <w:szCs w:val="32"/>
                <w:vertAlign w:val="baseline"/>
              </w:rPr>
              <w:t>领带</w:t>
            </w:r>
            <w:r>
              <w:rPr>
                <w:rFonts w:hint="eastAsia" w:ascii="仿宋_GB2312" w:eastAsia="仿宋_GB2312"/>
                <w:color w:val="000000"/>
                <w:sz w:val="32"/>
                <w:szCs w:val="32"/>
                <w:vertAlign w:val="baseline"/>
                <w:lang w:eastAsia="zh-CN"/>
              </w:rPr>
              <w:t>（</w:t>
            </w:r>
            <w:r>
              <w:rPr>
                <w:rFonts w:hint="eastAsia" w:ascii="仿宋_GB2312" w:eastAsia="仿宋_GB2312"/>
                <w:color w:val="000000"/>
                <w:sz w:val="32"/>
                <w:szCs w:val="32"/>
                <w:vertAlign w:val="baseline"/>
                <w:lang w:val="en-US" w:eastAsia="zh-CN"/>
              </w:rPr>
              <w:t>蓝色</w:t>
            </w:r>
            <w:r>
              <w:rPr>
                <w:rFonts w:hint="eastAsia" w:ascii="仿宋_GB2312" w:eastAsia="仿宋_GB2312"/>
                <w:color w:val="000000"/>
                <w:sz w:val="32"/>
                <w:szCs w:val="32"/>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930" w:type="dxa"/>
            <w:vAlign w:val="center"/>
          </w:tcPr>
          <w:p>
            <w:pPr>
              <w:widowControl/>
              <w:spacing w:line="560" w:lineRule="exact"/>
              <w:jc w:val="center"/>
              <w:rPr>
                <w:rFonts w:hint="eastAsia"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数量</w:t>
            </w:r>
          </w:p>
        </w:tc>
        <w:tc>
          <w:tcPr>
            <w:tcW w:w="1062"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144套</w:t>
            </w:r>
          </w:p>
        </w:tc>
        <w:tc>
          <w:tcPr>
            <w:tcW w:w="1138"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154套</w:t>
            </w:r>
          </w:p>
        </w:tc>
        <w:tc>
          <w:tcPr>
            <w:tcW w:w="1179"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90件</w:t>
            </w:r>
          </w:p>
        </w:tc>
        <w:tc>
          <w:tcPr>
            <w:tcW w:w="1352"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158件</w:t>
            </w:r>
          </w:p>
        </w:tc>
        <w:tc>
          <w:tcPr>
            <w:tcW w:w="1429"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10条</w:t>
            </w:r>
          </w:p>
        </w:tc>
        <w:tc>
          <w:tcPr>
            <w:tcW w:w="1429" w:type="dxa"/>
            <w:vAlign w:val="center"/>
          </w:tcPr>
          <w:p>
            <w:pPr>
              <w:widowControl/>
              <w:spacing w:line="560" w:lineRule="exact"/>
              <w:jc w:val="center"/>
              <w:rPr>
                <w:rFonts w:hint="default" w:ascii="仿宋_GB2312" w:eastAsia="仿宋_GB2312"/>
                <w:color w:val="000000"/>
                <w:sz w:val="32"/>
                <w:szCs w:val="32"/>
                <w:vertAlign w:val="baseline"/>
                <w:lang w:val="en-US" w:eastAsia="zh-CN"/>
              </w:rPr>
            </w:pPr>
            <w:r>
              <w:rPr>
                <w:rFonts w:hint="eastAsia" w:ascii="仿宋_GB2312" w:eastAsia="仿宋_GB2312"/>
                <w:color w:val="000000"/>
                <w:sz w:val="32"/>
                <w:szCs w:val="32"/>
                <w:vertAlign w:val="baseline"/>
                <w:lang w:val="en-US" w:eastAsia="zh-CN"/>
              </w:rPr>
              <w:t>10条</w:t>
            </w:r>
          </w:p>
        </w:tc>
      </w:tr>
    </w:tbl>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olor w:val="000000"/>
          <w:sz w:val="32"/>
          <w:szCs w:val="32"/>
        </w:rPr>
      </w:pPr>
      <w:r>
        <w:rPr>
          <w:rFonts w:hint="eastAsia" w:ascii="黑体" w:hAnsi="黑体" w:eastAsia="黑体"/>
          <w:color w:val="000000"/>
          <w:sz w:val="32"/>
          <w:szCs w:val="32"/>
        </w:rPr>
        <w:t>三、技术要求</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（一）技术要求</w:t>
      </w:r>
    </w:p>
    <w:tbl>
      <w:tblPr>
        <w:tblStyle w:val="5"/>
        <w:tblpPr w:leftFromText="180" w:rightFromText="180" w:vertAnchor="text" w:horzAnchor="page" w:tblpX="1879" w:tblpY="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693"/>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384" w:type="dxa"/>
            <w:vAlign w:val="center"/>
          </w:tcPr>
          <w:p>
            <w:pPr>
              <w:widowControl/>
              <w:jc w:val="center"/>
              <w:rPr>
                <w:rFonts w:ascii="仿宋_GB2312" w:hAnsi="Times New Roman" w:eastAsia="仿宋_GB2312"/>
                <w:sz w:val="24"/>
                <w:szCs w:val="24"/>
              </w:rPr>
            </w:pPr>
            <w:r>
              <w:rPr>
                <w:rFonts w:hint="eastAsia" w:ascii="仿宋" w:hAnsi="仿宋" w:eastAsia="仿宋" w:cs="宋体"/>
                <w:b/>
                <w:kern w:val="0"/>
                <w:sz w:val="24"/>
                <w:szCs w:val="24"/>
              </w:rPr>
              <w:t>序号</w:t>
            </w:r>
          </w:p>
        </w:tc>
        <w:tc>
          <w:tcPr>
            <w:tcW w:w="2693" w:type="dxa"/>
            <w:vAlign w:val="center"/>
          </w:tcPr>
          <w:p>
            <w:pPr>
              <w:widowControl/>
              <w:jc w:val="center"/>
              <w:rPr>
                <w:rFonts w:ascii="仿宋_GB2312" w:hAnsi="Times New Roman" w:eastAsia="仿宋_GB2312"/>
                <w:sz w:val="24"/>
                <w:szCs w:val="24"/>
              </w:rPr>
            </w:pPr>
            <w:r>
              <w:rPr>
                <w:rFonts w:hint="eastAsia" w:ascii="仿宋" w:hAnsi="仿宋" w:eastAsia="仿宋" w:cs="宋体"/>
                <w:b/>
                <w:kern w:val="0"/>
                <w:sz w:val="24"/>
                <w:szCs w:val="24"/>
              </w:rPr>
              <w:t>产品名称</w:t>
            </w:r>
          </w:p>
        </w:tc>
        <w:tc>
          <w:tcPr>
            <w:tcW w:w="4253" w:type="dxa"/>
            <w:vAlign w:val="center"/>
          </w:tcPr>
          <w:p>
            <w:pPr>
              <w:widowControl/>
              <w:rPr>
                <w:rFonts w:ascii="仿宋_GB2312" w:hAnsi="Times New Roman" w:eastAsia="仿宋_GB2312"/>
                <w:sz w:val="24"/>
                <w:szCs w:val="24"/>
              </w:rPr>
            </w:pPr>
            <w:r>
              <w:rPr>
                <w:rFonts w:hint="eastAsia" w:ascii="仿宋_GB2312" w:hAnsi="Times New Roman" w:eastAsia="仿宋_GB2312"/>
                <w:b/>
                <w:bCs/>
                <w:sz w:val="24"/>
                <w:szCs w:val="24"/>
              </w:rPr>
              <w:t>材料参考数据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84" w:type="dxa"/>
            <w:vMerge w:val="restart"/>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1</w:t>
            </w:r>
          </w:p>
        </w:tc>
        <w:tc>
          <w:tcPr>
            <w:tcW w:w="2693" w:type="dxa"/>
            <w:vMerge w:val="restart"/>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夏服</w:t>
            </w:r>
          </w:p>
        </w:tc>
        <w:tc>
          <w:tcPr>
            <w:tcW w:w="4253" w:type="dxa"/>
            <w:vMerge w:val="restart"/>
            <w:vAlign w:val="center"/>
          </w:tcPr>
          <w:p>
            <w:pPr>
              <w:spacing w:before="62" w:beforeLines="20" w:line="300" w:lineRule="exact"/>
              <w:jc w:val="left"/>
              <w:rPr>
                <w:rFonts w:ascii="仿宋" w:hAnsi="仿宋" w:eastAsia="仿宋"/>
                <w:color w:val="000000"/>
                <w:sz w:val="24"/>
                <w:szCs w:val="24"/>
              </w:rPr>
            </w:pPr>
            <w:r>
              <w:rPr>
                <w:rFonts w:hint="eastAsia" w:ascii="仿宋" w:hAnsi="仿宋" w:eastAsia="仿宋"/>
                <w:color w:val="000000"/>
                <w:sz w:val="24"/>
                <w:szCs w:val="24"/>
              </w:rPr>
              <w:t>面料成分：涤纶70%、粘胶纤维30%；</w:t>
            </w:r>
          </w:p>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纱支：56/2*33/1；</w:t>
            </w:r>
          </w:p>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克重：176g/m</w:t>
            </w:r>
            <w:r>
              <w:rPr>
                <w:rFonts w:hint="eastAsia" w:ascii="仿宋" w:hAnsi="仿宋" w:eastAsia="仿宋"/>
                <w:color w:val="000000"/>
                <w:sz w:val="24"/>
                <w:szCs w:val="24"/>
                <w:vertAlign w:val="superscript"/>
              </w:rPr>
              <w:t>2</w:t>
            </w:r>
            <w:r>
              <w:rPr>
                <w:rFonts w:hint="eastAsia" w:ascii="仿宋" w:hAnsi="仿宋" w:eastAsia="仿宋"/>
                <w:color w:val="000000"/>
                <w:sz w:val="24"/>
                <w:szCs w:val="24"/>
              </w:rPr>
              <w:t xml:space="preserve"> </w:t>
            </w:r>
          </w:p>
          <w:p>
            <w:pPr>
              <w:widowControl/>
              <w:jc w:val="left"/>
              <w:rPr>
                <w:rFonts w:ascii="仿宋" w:hAnsi="仿宋" w:eastAsia="仿宋" w:cs="宋体"/>
                <w:b/>
                <w:kern w:val="0"/>
                <w:sz w:val="24"/>
                <w:szCs w:val="24"/>
              </w:rPr>
            </w:pPr>
            <w:r>
              <w:rPr>
                <w:rFonts w:hint="eastAsia" w:ascii="仿宋" w:hAnsi="仿宋" w:eastAsia="仿宋"/>
                <w:color w:val="000000"/>
                <w:sz w:val="24"/>
                <w:szCs w:val="24"/>
              </w:rPr>
              <w:t>颜色：灰色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4" w:type="dxa"/>
            <w:vMerge w:val="continue"/>
            <w:vAlign w:val="center"/>
          </w:tcPr>
          <w:p>
            <w:pPr>
              <w:widowControl/>
              <w:jc w:val="center"/>
              <w:rPr>
                <w:rFonts w:ascii="仿宋" w:hAnsi="仿宋" w:eastAsia="仿宋" w:cs="宋体"/>
                <w:b/>
                <w:kern w:val="0"/>
                <w:sz w:val="24"/>
                <w:szCs w:val="24"/>
              </w:rPr>
            </w:pPr>
          </w:p>
        </w:tc>
        <w:tc>
          <w:tcPr>
            <w:tcW w:w="2693" w:type="dxa"/>
            <w:vMerge w:val="continue"/>
            <w:vAlign w:val="center"/>
          </w:tcPr>
          <w:p>
            <w:pPr>
              <w:widowControl/>
              <w:jc w:val="center"/>
              <w:rPr>
                <w:rFonts w:ascii="仿宋" w:hAnsi="仿宋" w:eastAsia="仿宋" w:cs="宋体"/>
                <w:b/>
                <w:kern w:val="0"/>
                <w:sz w:val="24"/>
                <w:szCs w:val="24"/>
              </w:rPr>
            </w:pPr>
          </w:p>
        </w:tc>
        <w:tc>
          <w:tcPr>
            <w:tcW w:w="4253" w:type="dxa"/>
            <w:vMerge w:val="continue"/>
            <w:vAlign w:val="center"/>
          </w:tcPr>
          <w:p>
            <w:pPr>
              <w:widowControl/>
              <w:jc w:val="left"/>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4" w:type="dxa"/>
            <w:vMerge w:val="continue"/>
            <w:vAlign w:val="center"/>
          </w:tcPr>
          <w:p>
            <w:pPr>
              <w:widowControl/>
              <w:jc w:val="center"/>
              <w:rPr>
                <w:rFonts w:ascii="仿宋" w:hAnsi="仿宋" w:eastAsia="仿宋" w:cs="宋体"/>
                <w:b/>
                <w:kern w:val="0"/>
                <w:sz w:val="24"/>
                <w:szCs w:val="24"/>
              </w:rPr>
            </w:pPr>
          </w:p>
        </w:tc>
        <w:tc>
          <w:tcPr>
            <w:tcW w:w="2693" w:type="dxa"/>
            <w:vMerge w:val="continue"/>
            <w:vAlign w:val="center"/>
          </w:tcPr>
          <w:p>
            <w:pPr>
              <w:widowControl/>
              <w:jc w:val="center"/>
              <w:rPr>
                <w:rFonts w:ascii="仿宋" w:hAnsi="仿宋" w:eastAsia="仿宋" w:cs="宋体"/>
                <w:b/>
                <w:kern w:val="0"/>
                <w:sz w:val="24"/>
                <w:szCs w:val="24"/>
              </w:rPr>
            </w:pPr>
          </w:p>
        </w:tc>
        <w:tc>
          <w:tcPr>
            <w:tcW w:w="4253" w:type="dxa"/>
            <w:vMerge w:val="continue"/>
            <w:vAlign w:val="center"/>
          </w:tcPr>
          <w:p>
            <w:pPr>
              <w:widowControl/>
              <w:jc w:val="left"/>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84" w:type="dxa"/>
            <w:vMerge w:val="restart"/>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2</w:t>
            </w:r>
          </w:p>
        </w:tc>
        <w:tc>
          <w:tcPr>
            <w:tcW w:w="2693" w:type="dxa"/>
            <w:vMerge w:val="restart"/>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春秋服</w:t>
            </w:r>
          </w:p>
        </w:tc>
        <w:tc>
          <w:tcPr>
            <w:tcW w:w="4253" w:type="dxa"/>
            <w:vMerge w:val="restart"/>
            <w:vAlign w:val="center"/>
          </w:tcPr>
          <w:p>
            <w:pPr>
              <w:spacing w:before="62" w:beforeLines="20" w:line="300" w:lineRule="exact"/>
              <w:jc w:val="left"/>
              <w:rPr>
                <w:rFonts w:ascii="仿宋" w:hAnsi="仿宋" w:eastAsia="仿宋"/>
                <w:color w:val="000000"/>
                <w:sz w:val="24"/>
                <w:szCs w:val="24"/>
              </w:rPr>
            </w:pPr>
            <w:r>
              <w:rPr>
                <w:rFonts w:hint="eastAsia" w:ascii="仿宋" w:hAnsi="仿宋" w:eastAsia="仿宋"/>
                <w:color w:val="000000"/>
                <w:sz w:val="24"/>
                <w:szCs w:val="24"/>
              </w:rPr>
              <w:t>面料成分：羊毛30%、涤纶35%、PTT弹性纤维12%、粘胶纤维20%、氨纶3%；</w:t>
            </w:r>
          </w:p>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纱支：90/2*90/2；</w:t>
            </w:r>
          </w:p>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克重：180g/m</w:t>
            </w:r>
            <w:r>
              <w:rPr>
                <w:rFonts w:hint="eastAsia" w:ascii="仿宋" w:hAnsi="仿宋" w:eastAsia="仿宋"/>
                <w:color w:val="000000"/>
                <w:sz w:val="24"/>
                <w:szCs w:val="24"/>
                <w:vertAlign w:val="superscript"/>
              </w:rPr>
              <w:t>2</w:t>
            </w:r>
          </w:p>
          <w:p>
            <w:pPr>
              <w:widowControl/>
              <w:jc w:val="left"/>
              <w:rPr>
                <w:rFonts w:ascii="仿宋" w:hAnsi="仿宋" w:eastAsia="仿宋" w:cs="宋体"/>
                <w:b/>
                <w:kern w:val="0"/>
                <w:sz w:val="24"/>
                <w:szCs w:val="24"/>
              </w:rPr>
            </w:pPr>
            <w:r>
              <w:rPr>
                <w:rFonts w:hint="eastAsia" w:ascii="仿宋" w:hAnsi="仿宋" w:eastAsia="仿宋"/>
                <w:color w:val="000000"/>
                <w:sz w:val="24"/>
                <w:szCs w:val="24"/>
              </w:rPr>
              <w:t>颜色：黑色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384" w:type="dxa"/>
            <w:vMerge w:val="continue"/>
            <w:vAlign w:val="center"/>
          </w:tcPr>
          <w:p>
            <w:pPr>
              <w:widowControl/>
              <w:jc w:val="center"/>
              <w:rPr>
                <w:rFonts w:ascii="仿宋" w:hAnsi="仿宋" w:eastAsia="仿宋" w:cs="宋体"/>
                <w:b/>
                <w:kern w:val="0"/>
                <w:sz w:val="24"/>
                <w:szCs w:val="24"/>
              </w:rPr>
            </w:pPr>
          </w:p>
        </w:tc>
        <w:tc>
          <w:tcPr>
            <w:tcW w:w="2693" w:type="dxa"/>
            <w:vMerge w:val="continue"/>
            <w:vAlign w:val="center"/>
          </w:tcPr>
          <w:p>
            <w:pPr>
              <w:widowControl/>
              <w:jc w:val="center"/>
              <w:rPr>
                <w:rFonts w:ascii="仿宋" w:hAnsi="仿宋" w:eastAsia="仿宋" w:cs="宋体"/>
                <w:b/>
                <w:kern w:val="0"/>
                <w:sz w:val="24"/>
                <w:szCs w:val="24"/>
              </w:rPr>
            </w:pPr>
          </w:p>
        </w:tc>
        <w:tc>
          <w:tcPr>
            <w:tcW w:w="4253" w:type="dxa"/>
            <w:vMerge w:val="continue"/>
            <w:vAlign w:val="center"/>
          </w:tcPr>
          <w:p>
            <w:pPr>
              <w:widowControl/>
              <w:jc w:val="left"/>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84" w:type="dxa"/>
            <w:vMerge w:val="continue"/>
            <w:vAlign w:val="center"/>
          </w:tcPr>
          <w:p>
            <w:pPr>
              <w:widowControl/>
              <w:jc w:val="center"/>
              <w:rPr>
                <w:rFonts w:ascii="仿宋" w:hAnsi="仿宋" w:eastAsia="仿宋" w:cs="宋体"/>
                <w:b/>
                <w:kern w:val="0"/>
                <w:sz w:val="24"/>
                <w:szCs w:val="24"/>
              </w:rPr>
            </w:pPr>
          </w:p>
        </w:tc>
        <w:tc>
          <w:tcPr>
            <w:tcW w:w="2693" w:type="dxa"/>
            <w:vMerge w:val="continue"/>
            <w:vAlign w:val="center"/>
          </w:tcPr>
          <w:p>
            <w:pPr>
              <w:widowControl/>
              <w:jc w:val="center"/>
              <w:rPr>
                <w:rFonts w:ascii="仿宋" w:hAnsi="仿宋" w:eastAsia="仿宋" w:cs="宋体"/>
                <w:b/>
                <w:kern w:val="0"/>
                <w:sz w:val="24"/>
                <w:szCs w:val="24"/>
              </w:rPr>
            </w:pPr>
          </w:p>
        </w:tc>
        <w:tc>
          <w:tcPr>
            <w:tcW w:w="4253" w:type="dxa"/>
            <w:vMerge w:val="continue"/>
            <w:vAlign w:val="center"/>
          </w:tcPr>
          <w:p>
            <w:pPr>
              <w:widowControl/>
              <w:jc w:val="left"/>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1384" w:type="dxa"/>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3</w:t>
            </w:r>
          </w:p>
        </w:tc>
        <w:tc>
          <w:tcPr>
            <w:tcW w:w="2693" w:type="dxa"/>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内穿长袖衬衣</w:t>
            </w:r>
          </w:p>
        </w:tc>
        <w:tc>
          <w:tcPr>
            <w:tcW w:w="4253" w:type="dxa"/>
            <w:vAlign w:val="center"/>
          </w:tcPr>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面料成分：60%棉，40%涤纶；</w:t>
            </w:r>
          </w:p>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纱支：100/2×100/2，</w:t>
            </w:r>
          </w:p>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克重： 112g/m</w:t>
            </w:r>
            <w:r>
              <w:rPr>
                <w:rFonts w:hint="eastAsia" w:ascii="仿宋" w:hAnsi="仿宋" w:eastAsia="仿宋"/>
                <w:color w:val="000000"/>
                <w:sz w:val="24"/>
                <w:szCs w:val="24"/>
                <w:vertAlign w:val="superscript"/>
              </w:rPr>
              <w:t>2</w:t>
            </w:r>
          </w:p>
          <w:p>
            <w:pPr>
              <w:widowControl/>
              <w:jc w:val="left"/>
              <w:rPr>
                <w:rFonts w:ascii="仿宋" w:hAnsi="仿宋" w:eastAsia="仿宋" w:cs="宋体"/>
                <w:b/>
                <w:kern w:val="0"/>
                <w:sz w:val="24"/>
                <w:szCs w:val="24"/>
              </w:rPr>
            </w:pPr>
            <w:r>
              <w:rPr>
                <w:rFonts w:ascii="仿宋" w:hAnsi="仿宋" w:eastAsia="仿宋" w:cs="宋体"/>
                <w:bCs/>
                <w:kern w:val="0"/>
                <w:sz w:val="24"/>
                <w:szCs w:val="24"/>
              </w:rPr>
              <w:t>颜色：白色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384" w:type="dxa"/>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4</w:t>
            </w:r>
          </w:p>
        </w:tc>
        <w:tc>
          <w:tcPr>
            <w:tcW w:w="2693" w:type="dxa"/>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外穿长袖衬衣</w:t>
            </w:r>
          </w:p>
        </w:tc>
        <w:tc>
          <w:tcPr>
            <w:tcW w:w="4253" w:type="dxa"/>
            <w:vAlign w:val="center"/>
          </w:tcPr>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面料成分：60%棉，40%涤纶；</w:t>
            </w:r>
          </w:p>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纱支：100/2×100/2，</w:t>
            </w:r>
          </w:p>
          <w:p>
            <w:pPr>
              <w:spacing w:line="300" w:lineRule="exact"/>
              <w:jc w:val="left"/>
              <w:rPr>
                <w:rFonts w:ascii="仿宋" w:hAnsi="仿宋" w:eastAsia="仿宋"/>
                <w:color w:val="000000"/>
                <w:sz w:val="24"/>
                <w:szCs w:val="24"/>
              </w:rPr>
            </w:pPr>
            <w:r>
              <w:rPr>
                <w:rFonts w:hint="eastAsia" w:ascii="仿宋" w:hAnsi="仿宋" w:eastAsia="仿宋"/>
                <w:color w:val="000000"/>
                <w:sz w:val="24"/>
                <w:szCs w:val="24"/>
              </w:rPr>
              <w:t>克重： 112g/m</w:t>
            </w:r>
            <w:r>
              <w:rPr>
                <w:rFonts w:hint="eastAsia" w:ascii="仿宋" w:hAnsi="仿宋" w:eastAsia="仿宋"/>
                <w:color w:val="000000"/>
                <w:sz w:val="24"/>
                <w:szCs w:val="24"/>
                <w:vertAlign w:val="superscript"/>
              </w:rPr>
              <w:t>2</w:t>
            </w:r>
          </w:p>
          <w:p>
            <w:pPr>
              <w:widowControl/>
              <w:jc w:val="left"/>
              <w:rPr>
                <w:rFonts w:ascii="仿宋" w:hAnsi="仿宋" w:eastAsia="仿宋" w:cs="宋体"/>
                <w:b/>
                <w:kern w:val="0"/>
                <w:sz w:val="24"/>
                <w:szCs w:val="24"/>
              </w:rPr>
            </w:pPr>
            <w:r>
              <w:rPr>
                <w:rFonts w:ascii="仿宋" w:hAnsi="仿宋" w:eastAsia="仿宋"/>
                <w:color w:val="000000"/>
                <w:sz w:val="24"/>
                <w:szCs w:val="24"/>
              </w:rPr>
              <w:t>颜色：</w:t>
            </w:r>
            <w:r>
              <w:rPr>
                <w:rFonts w:hint="eastAsia" w:ascii="仿宋" w:hAnsi="仿宋" w:eastAsia="仿宋"/>
                <w:color w:val="000000"/>
                <w:sz w:val="24"/>
                <w:szCs w:val="24"/>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4" w:type="dxa"/>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5</w:t>
            </w:r>
          </w:p>
        </w:tc>
        <w:tc>
          <w:tcPr>
            <w:tcW w:w="2693" w:type="dxa"/>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领带</w:t>
            </w:r>
            <w:r>
              <w:rPr>
                <w:rFonts w:ascii="仿宋" w:hAnsi="仿宋" w:eastAsia="仿宋" w:cs="宋体"/>
                <w:b/>
                <w:kern w:val="0"/>
                <w:sz w:val="24"/>
                <w:szCs w:val="24"/>
              </w:rPr>
              <w:t>（红色）</w:t>
            </w:r>
          </w:p>
        </w:tc>
        <w:tc>
          <w:tcPr>
            <w:tcW w:w="4253" w:type="dxa"/>
            <w:vAlign w:val="center"/>
          </w:tcPr>
          <w:p>
            <w:pPr>
              <w:widowControl/>
              <w:jc w:val="left"/>
              <w:rPr>
                <w:rFonts w:ascii="仿宋" w:hAnsi="仿宋" w:eastAsia="仿宋"/>
                <w:color w:val="000000"/>
                <w:sz w:val="24"/>
                <w:szCs w:val="24"/>
              </w:rPr>
            </w:pPr>
            <w:r>
              <w:rPr>
                <w:rFonts w:hint="eastAsia" w:ascii="仿宋" w:hAnsi="仿宋" w:eastAsia="仿宋"/>
                <w:color w:val="000000"/>
                <w:sz w:val="24"/>
                <w:szCs w:val="24"/>
              </w:rPr>
              <w:t>面料成分：100%聚酯纤维</w:t>
            </w:r>
          </w:p>
          <w:p>
            <w:pPr>
              <w:widowControl/>
              <w:jc w:val="left"/>
              <w:rPr>
                <w:rFonts w:ascii="仿宋" w:hAnsi="仿宋" w:eastAsia="仿宋"/>
                <w:color w:val="000000"/>
                <w:sz w:val="24"/>
                <w:szCs w:val="24"/>
              </w:rPr>
            </w:pPr>
            <w:r>
              <w:rPr>
                <w:rFonts w:hint="eastAsia" w:ascii="仿宋" w:hAnsi="仿宋" w:eastAsia="仿宋"/>
                <w:color w:val="000000"/>
                <w:sz w:val="24"/>
                <w:szCs w:val="24"/>
              </w:rPr>
              <w:t>克重：145g左右</w:t>
            </w:r>
          </w:p>
          <w:p>
            <w:pPr>
              <w:widowControl/>
              <w:jc w:val="left"/>
              <w:rPr>
                <w:rFonts w:ascii="仿宋" w:hAnsi="仿宋" w:eastAsia="仿宋" w:cs="宋体"/>
                <w:b/>
                <w:kern w:val="0"/>
                <w:sz w:val="24"/>
                <w:szCs w:val="24"/>
              </w:rPr>
            </w:pPr>
            <w:r>
              <w:rPr>
                <w:rFonts w:hint="eastAsia" w:ascii="仿宋" w:hAnsi="仿宋" w:eastAsia="仿宋"/>
                <w:color w:val="000000"/>
                <w:sz w:val="24"/>
                <w:szCs w:val="24"/>
              </w:rPr>
              <w:t>颜色：红色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4" w:type="dxa"/>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6</w:t>
            </w:r>
          </w:p>
        </w:tc>
        <w:tc>
          <w:tcPr>
            <w:tcW w:w="2693" w:type="dxa"/>
            <w:vAlign w:val="center"/>
          </w:tcPr>
          <w:p>
            <w:pPr>
              <w:widowControl/>
              <w:jc w:val="center"/>
              <w:rPr>
                <w:rFonts w:ascii="仿宋" w:hAnsi="仿宋" w:eastAsia="仿宋" w:cs="宋体"/>
                <w:b/>
                <w:kern w:val="0"/>
                <w:sz w:val="24"/>
                <w:szCs w:val="24"/>
              </w:rPr>
            </w:pPr>
            <w:r>
              <w:rPr>
                <w:rFonts w:ascii="仿宋" w:hAnsi="仿宋" w:eastAsia="仿宋" w:cs="宋体"/>
                <w:b/>
                <w:kern w:val="0"/>
                <w:sz w:val="24"/>
                <w:szCs w:val="24"/>
              </w:rPr>
              <w:t>领带（蓝色）</w:t>
            </w:r>
          </w:p>
        </w:tc>
        <w:tc>
          <w:tcPr>
            <w:tcW w:w="4253" w:type="dxa"/>
            <w:vAlign w:val="center"/>
          </w:tcPr>
          <w:p>
            <w:pPr>
              <w:widowControl/>
              <w:jc w:val="left"/>
              <w:rPr>
                <w:rFonts w:ascii="仿宋" w:hAnsi="仿宋" w:eastAsia="仿宋"/>
                <w:color w:val="000000"/>
                <w:sz w:val="24"/>
                <w:szCs w:val="24"/>
              </w:rPr>
            </w:pPr>
            <w:r>
              <w:rPr>
                <w:rFonts w:hint="eastAsia" w:ascii="仿宋" w:hAnsi="仿宋" w:eastAsia="仿宋"/>
                <w:color w:val="000000"/>
                <w:sz w:val="24"/>
                <w:szCs w:val="24"/>
              </w:rPr>
              <w:t>面料成分：100%聚酯纤维</w:t>
            </w:r>
          </w:p>
          <w:p>
            <w:pPr>
              <w:widowControl/>
              <w:jc w:val="left"/>
              <w:rPr>
                <w:rFonts w:ascii="仿宋" w:hAnsi="仿宋" w:eastAsia="仿宋"/>
                <w:color w:val="000000"/>
                <w:sz w:val="24"/>
                <w:szCs w:val="24"/>
              </w:rPr>
            </w:pPr>
            <w:r>
              <w:rPr>
                <w:rFonts w:hint="eastAsia" w:ascii="仿宋" w:hAnsi="仿宋" w:eastAsia="仿宋"/>
                <w:color w:val="000000"/>
                <w:sz w:val="24"/>
                <w:szCs w:val="24"/>
              </w:rPr>
              <w:t>克重：145g左右</w:t>
            </w:r>
          </w:p>
          <w:p>
            <w:pPr>
              <w:widowControl/>
              <w:jc w:val="left"/>
              <w:rPr>
                <w:rFonts w:ascii="仿宋" w:hAnsi="仿宋" w:eastAsia="仿宋" w:cs="宋体"/>
                <w:b/>
                <w:kern w:val="0"/>
                <w:sz w:val="24"/>
                <w:szCs w:val="24"/>
              </w:rPr>
            </w:pPr>
            <w:r>
              <w:rPr>
                <w:rFonts w:hint="eastAsia" w:ascii="仿宋" w:hAnsi="仿宋" w:eastAsia="仿宋"/>
                <w:color w:val="000000"/>
                <w:sz w:val="24"/>
                <w:szCs w:val="24"/>
              </w:rPr>
              <w:t>颜色：红色</w:t>
            </w:r>
          </w:p>
        </w:tc>
      </w:tr>
    </w:tbl>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（二）服务要求</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1.中标人接到采购人量体通知后1个工作日内，至少安排2位量体人员到采购人指定地点完成量体，量体人员须按部门上门服务，量体人员费用及安全由中标人负责。</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修改响应及解决时间：服务期间，中标人将向采购人提供优质的售后服务支持，如有制服不合身等情况，在接到采购人电话通知后的2小时内响应，中标人与采购人约定时间派专人在采购人现场进行处理，给予及时修改或更换，直到全部合身满意为止。</w:t>
      </w:r>
    </w:p>
    <w:p>
      <w:pPr>
        <w:spacing w:line="560" w:lineRule="exact"/>
        <w:ind w:firstLine="640" w:firstLineChars="200"/>
        <w:rPr>
          <w:rFonts w:hint="eastAsia" w:ascii="黑体" w:hAnsi="黑体" w:eastAsia="黑体"/>
          <w:color w:val="000000"/>
          <w:sz w:val="32"/>
          <w:szCs w:val="32"/>
          <w:lang w:eastAsia="zh-CN"/>
        </w:rPr>
      </w:pPr>
      <w:r>
        <w:rPr>
          <w:rFonts w:hint="eastAsia" w:ascii="黑体" w:hAnsi="黑体" w:eastAsia="黑体"/>
          <w:color w:val="000000"/>
          <w:sz w:val="32"/>
          <w:szCs w:val="32"/>
        </w:rPr>
        <w:t>四、供应商资格条件</w:t>
      </w:r>
      <w:r>
        <w:rPr>
          <w:rFonts w:hint="eastAsia" w:ascii="黑体" w:hAnsi="黑体" w:eastAsia="黑体"/>
          <w:color w:val="000000"/>
          <w:sz w:val="32"/>
          <w:szCs w:val="32"/>
          <w:lang w:val="en-US" w:eastAsia="zh-CN"/>
        </w:rPr>
        <w:t>要求</w:t>
      </w:r>
    </w:p>
    <w:p>
      <w:pPr>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1.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spacing w:line="58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2.参与本项目政府采购活动时不存在被有关部门禁止参与政府采购活动且在有效期内的情况，在“信用中国”网站（www.creditchina.gov.cn）和中国政府采购网（www.ccgp.gov.cn）无不良信用记录；</w:t>
      </w:r>
    </w:p>
    <w:p>
      <w:pPr>
        <w:spacing w:line="580" w:lineRule="exact"/>
        <w:ind w:firstLine="640" w:firstLineChars="200"/>
        <w:jc w:val="left"/>
        <w:rPr>
          <w:rFonts w:ascii="仿宋_GB2312" w:hAnsi="新宋体" w:eastAsia="仿宋_GB2312" w:cs="宋体"/>
          <w:sz w:val="32"/>
          <w:szCs w:val="32"/>
        </w:rPr>
      </w:pPr>
      <w:r>
        <w:rPr>
          <w:rFonts w:hint="eastAsia" w:ascii="仿宋_GB2312" w:hAnsi="新宋体" w:eastAsia="仿宋_GB2312" w:cs="宋体"/>
          <w:sz w:val="32"/>
          <w:szCs w:val="32"/>
        </w:rPr>
        <w:t>3.依据《中华人民共和国政府采购法实施条例》第十八条第一款规定，单位负责人为同一人或者存在直接控股、管理关系的不同供应商，不得参加同一合同项下的政府采购活动；</w:t>
      </w:r>
    </w:p>
    <w:p>
      <w:pPr>
        <w:spacing w:line="580" w:lineRule="exact"/>
        <w:ind w:firstLine="640" w:firstLineChars="200"/>
        <w:jc w:val="left"/>
        <w:rPr>
          <w:rFonts w:ascii="仿宋_GB2312" w:hAnsi="新宋体" w:eastAsia="仿宋_GB2312" w:cs="宋体"/>
          <w:sz w:val="32"/>
          <w:szCs w:val="32"/>
        </w:rPr>
      </w:pPr>
      <w:r>
        <w:rPr>
          <w:rFonts w:hint="eastAsia" w:ascii="仿宋_GB2312" w:hAnsi="新宋体" w:eastAsia="仿宋_GB2312" w:cs="宋体"/>
          <w:sz w:val="32"/>
          <w:szCs w:val="32"/>
        </w:rPr>
        <w:t>4.本项目不允许联合体投标；</w:t>
      </w:r>
    </w:p>
    <w:p>
      <w:pPr>
        <w:spacing w:line="580" w:lineRule="exact"/>
        <w:ind w:firstLine="640" w:firstLineChars="200"/>
        <w:jc w:val="left"/>
        <w:rPr>
          <w:rFonts w:hint="eastAsia" w:ascii="黑体" w:hAnsi="黑体" w:eastAsia="仿宋_GB2312"/>
          <w:color w:val="000000"/>
          <w:sz w:val="32"/>
          <w:szCs w:val="32"/>
          <w:lang w:eastAsia="zh-CN"/>
        </w:rPr>
      </w:pPr>
      <w:r>
        <w:rPr>
          <w:rFonts w:hint="eastAsia" w:ascii="仿宋_GB2312" w:hAnsi="新宋体" w:eastAsia="仿宋_GB2312" w:cs="宋体"/>
          <w:sz w:val="32"/>
          <w:szCs w:val="32"/>
        </w:rPr>
        <w:t>5.本项目是（否）专门面向中小企业采购：否</w:t>
      </w:r>
      <w:r>
        <w:rPr>
          <w:rFonts w:hint="eastAsia" w:ascii="仿宋_GB2312" w:hAnsi="新宋体" w:eastAsia="仿宋_GB2312" w:cs="宋体"/>
          <w:sz w:val="32"/>
          <w:szCs w:val="32"/>
          <w:lang w:eastAsia="zh-CN"/>
        </w:rPr>
        <w:t>。</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lang w:val="en-US" w:eastAsia="zh-CN"/>
        </w:rPr>
        <w:t>五、</w:t>
      </w:r>
      <w:r>
        <w:rPr>
          <w:rFonts w:hint="eastAsia" w:ascii="黑体" w:hAnsi="黑体" w:eastAsia="黑体"/>
          <w:color w:val="000000"/>
          <w:sz w:val="32"/>
          <w:szCs w:val="32"/>
        </w:rPr>
        <w:t>商务要求</w:t>
      </w:r>
    </w:p>
    <w:p>
      <w:pPr>
        <w:spacing w:line="560" w:lineRule="exact"/>
        <w:ind w:firstLine="640" w:firstLineChars="200"/>
        <w:rPr>
          <w:rFonts w:ascii="楷体" w:hAnsi="楷体" w:eastAsia="楷体" w:cs="宋体"/>
          <w:sz w:val="32"/>
          <w:szCs w:val="32"/>
        </w:rPr>
      </w:pPr>
      <w:r>
        <w:rPr>
          <w:rFonts w:hint="eastAsia" w:ascii="楷体" w:hAnsi="楷体" w:eastAsia="楷体" w:cs="宋体"/>
          <w:sz w:val="32"/>
          <w:szCs w:val="32"/>
        </w:rPr>
        <w:t>（一）投标报价</w:t>
      </w:r>
    </w:p>
    <w:p>
      <w:pPr>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1.本项目服务费采用包干制，应包括本项目实际发生的所有服务成本、人工成本（其中人工成本需投标人根据市场价格进行报价）、法定税费和利润。由企业根据采购文件所提供的资料自行测算投标报价；一经中标，投标报价总价作为中标人与采购人签订的合同金额，合同期限内不做调整；</w:t>
      </w:r>
    </w:p>
    <w:p>
      <w:pPr>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2.投标人应根据本企业的成本自行决定报价，报价明显低于其他通过资格及符合性审查的投标人的报价，投标人必须做出报价合理性说明（格式自定），证明低价不会影响服务的质量或者导致不能诚信履约。投标人的报价说明是否合理，由评委会判定，如评委会认为该报价低于成本价则作投标无效处理；</w:t>
      </w:r>
    </w:p>
    <w:p>
      <w:pPr>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3.投标人的投标报价不得超过财政预算限额，如设投标最高限价的，报价不得超过最高限价；</w:t>
      </w:r>
    </w:p>
    <w:p>
      <w:pPr>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4.投标人的投标报价，应是本项目招标范围和采购文件及合同条款上所列的各项内容中所述的全部，不得以任何理由予以重复，并以投标人在报价中提出的综合单价或总价为依据；</w:t>
      </w:r>
    </w:p>
    <w:p>
      <w:pPr>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5.除非采购人或采购代理机构通过修改采购文件予以更正，否则，投标人应毫无例外地按采购文件要求填报综合单价和合价。投标人未填综合单价或合价的项目，视作该项费用已包括在其它有价款的综合单价或合价内；</w:t>
      </w:r>
    </w:p>
    <w:p>
      <w:pPr>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6.投标人不得期望通过索赔等方式获取补偿，否则，除可能遭到拒绝外，还可能将被作为不良行为记录在案，并可能影响其以后参加政府采购的项目投标。各投标人在投标报价时，应充分考虑投标报价的风险。</w:t>
      </w:r>
    </w:p>
    <w:p>
      <w:pPr>
        <w:spacing w:line="560" w:lineRule="exact"/>
        <w:ind w:firstLine="640" w:firstLineChars="200"/>
        <w:rPr>
          <w:rFonts w:ascii="楷体" w:hAnsi="楷体" w:eastAsia="楷体" w:cs="宋体"/>
          <w:sz w:val="32"/>
          <w:szCs w:val="32"/>
        </w:rPr>
      </w:pPr>
      <w:r>
        <w:rPr>
          <w:rFonts w:hint="eastAsia" w:ascii="楷体" w:hAnsi="楷体" w:eastAsia="楷体" w:cs="宋体"/>
          <w:sz w:val="32"/>
          <w:szCs w:val="32"/>
        </w:rPr>
        <w:t>（二）付款方式</w:t>
      </w:r>
    </w:p>
    <w:p>
      <w:pPr>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在合同签订后，中标人提供等额发票给采购人，采购人在十个工作日内支付70%合同预付款，货物验收合格后收到中标人发票后十个工作日内支付剩余30%的合同款项，实际支付以财政批复为准。</w:t>
      </w:r>
    </w:p>
    <w:p>
      <w:pPr>
        <w:spacing w:line="560" w:lineRule="exact"/>
        <w:ind w:firstLine="640" w:firstLineChars="200"/>
        <w:rPr>
          <w:rFonts w:ascii="楷体" w:hAnsi="楷体" w:eastAsia="楷体" w:cs="宋体"/>
          <w:sz w:val="32"/>
          <w:szCs w:val="32"/>
        </w:rPr>
      </w:pPr>
      <w:r>
        <w:rPr>
          <w:rFonts w:hint="eastAsia" w:ascii="楷体" w:hAnsi="楷体" w:eastAsia="楷体" w:cs="宋体"/>
          <w:sz w:val="32"/>
          <w:szCs w:val="32"/>
        </w:rPr>
        <w:t>（三）验收要求</w:t>
      </w:r>
    </w:p>
    <w:p>
      <w:pPr>
        <w:widowControl/>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1.交货地点：采购方指定地点。</w:t>
      </w:r>
    </w:p>
    <w:p>
      <w:pPr>
        <w:widowControl/>
        <w:spacing w:line="560" w:lineRule="exact"/>
        <w:ind w:firstLine="640" w:firstLineChars="200"/>
        <w:rPr>
          <w:rFonts w:ascii="仿宋_GB2312" w:hAnsi="新宋体" w:eastAsia="仿宋_GB2312" w:cs="宋体"/>
          <w:sz w:val="32"/>
          <w:szCs w:val="32"/>
        </w:rPr>
      </w:pPr>
      <w:r>
        <w:rPr>
          <w:rFonts w:hint="eastAsia" w:ascii="仿宋_GB2312" w:hAnsi="新宋体" w:eastAsia="仿宋_GB2312" w:cs="宋体"/>
          <w:sz w:val="32"/>
          <w:szCs w:val="32"/>
        </w:rPr>
        <w:t>2.中标人必须承担货物包装、运输、验收检测和提供合理修改等其他类似的义务。</w:t>
      </w:r>
    </w:p>
    <w:p>
      <w:pPr>
        <w:pStyle w:val="2"/>
        <w:spacing w:before="78" w:beforeLines="25" w:after="78" w:afterLines="25" w:line="560" w:lineRule="exact"/>
        <w:ind w:firstLine="640"/>
        <w:jc w:val="left"/>
        <w:rPr>
          <w:rFonts w:ascii="仿宋_GB2312" w:hAnsi="新宋体" w:eastAsia="仿宋_GB2312" w:cs="宋体"/>
          <w:sz w:val="32"/>
          <w:szCs w:val="32"/>
        </w:rPr>
      </w:pPr>
      <w:r>
        <w:rPr>
          <w:rFonts w:hint="eastAsia" w:ascii="仿宋_GB2312" w:hAnsi="新宋体" w:eastAsia="仿宋_GB2312" w:cs="宋体"/>
          <w:sz w:val="32"/>
          <w:szCs w:val="32"/>
        </w:rPr>
        <w:t>3.签订合同后40天（日历日）内交货。货物经过双方检验认可后，签署验收报告。</w:t>
      </w:r>
    </w:p>
    <w:p>
      <w:pPr>
        <w:pStyle w:val="2"/>
        <w:spacing w:before="78" w:beforeLines="25" w:after="78" w:afterLines="25" w:line="560" w:lineRule="exact"/>
        <w:ind w:firstLine="640"/>
        <w:jc w:val="left"/>
        <w:rPr>
          <w:rFonts w:ascii="仿宋_GB2312" w:hAnsi="新宋体" w:eastAsia="仿宋_GB2312" w:cs="宋体"/>
          <w:sz w:val="32"/>
          <w:szCs w:val="32"/>
        </w:rPr>
      </w:pPr>
      <w:r>
        <w:rPr>
          <w:rFonts w:hint="eastAsia" w:ascii="仿宋_GB2312" w:hAnsi="新宋体" w:eastAsia="仿宋_GB2312" w:cs="宋体"/>
          <w:sz w:val="32"/>
          <w:szCs w:val="32"/>
        </w:rPr>
        <w:t>4.违约责任：中标人不能交货的，需偿付不能交货部分货款的10%支付违约金并按主管部门相关规定处理；中标人所交付产品、服务不符合其投标承诺的，或在投标阶段为了中标而盲目虚假承诺、低价恶意竞争，在履约阶段则通过偷工减料、以次充好而获取利润的，将被履约评价工作实施机构评为履约等级“差”并按主管部门相关规定处理。</w:t>
      </w:r>
    </w:p>
    <w:p>
      <w:pPr>
        <w:spacing w:line="560" w:lineRule="exact"/>
        <w:ind w:firstLine="640" w:firstLineChars="200"/>
        <w:rPr>
          <w:rFonts w:ascii="楷体" w:hAnsi="楷体" w:eastAsia="楷体" w:cs="宋体"/>
          <w:sz w:val="32"/>
          <w:szCs w:val="32"/>
        </w:rPr>
      </w:pPr>
      <w:r>
        <w:rPr>
          <w:rFonts w:hint="eastAsia" w:ascii="楷体" w:hAnsi="楷体" w:eastAsia="楷体" w:cs="宋体"/>
          <w:sz w:val="32"/>
          <w:szCs w:val="32"/>
        </w:rPr>
        <w:t>（四）争议解决方法</w:t>
      </w:r>
    </w:p>
    <w:p>
      <w:pPr>
        <w:pStyle w:val="2"/>
        <w:spacing w:before="78" w:beforeLines="25" w:after="78" w:afterLines="25" w:line="560" w:lineRule="exact"/>
        <w:ind w:firstLine="640"/>
        <w:jc w:val="left"/>
        <w:rPr>
          <w:rFonts w:hint="eastAsia" w:ascii="仿宋_GB2312" w:hAnsi="黑体" w:eastAsia="仿宋_GB2312"/>
          <w:color w:val="000000"/>
          <w:sz w:val="32"/>
          <w:szCs w:val="32"/>
        </w:rPr>
      </w:pPr>
      <w:r>
        <w:rPr>
          <w:rFonts w:hint="eastAsia" w:ascii="仿宋_GB2312" w:hAnsi="新宋体" w:eastAsia="仿宋_GB2312" w:cs="宋体"/>
          <w:sz w:val="32"/>
          <w:szCs w:val="32"/>
        </w:rPr>
        <w:t>凡因本项目引起的或与本项目有关的任何争议，由双方友好协商解决。协商不成时，双方一致同意由国际仲裁院仲裁。</w:t>
      </w:r>
      <w:r>
        <w:rPr>
          <w:rFonts w:hint="eastAsia" w:ascii="仿宋_GB2312" w:hAnsi="黑体" w:eastAsia="仿宋_GB2312"/>
          <w:color w:val="000000"/>
          <w:sz w:val="32"/>
          <w:szCs w:val="32"/>
        </w:rPr>
        <w:t xml:space="preserve"> </w:t>
      </w:r>
    </w:p>
    <w:p>
      <w:pPr>
        <w:rPr>
          <w:rFonts w:hint="eastAsia" w:ascii="方正仿宋_GBK" w:hAnsi="方正仿宋_GBK" w:eastAsia="方正仿宋_GBK" w:cs="方正仿宋_GBK"/>
          <w:b/>
          <w:bCs/>
          <w:sz w:val="32"/>
          <w:szCs w:val="32"/>
          <w:lang w:val="en-US" w:eastAsia="zh-CN"/>
        </w:rPr>
      </w:pPr>
      <w:r>
        <w:rPr>
          <w:rFonts w:ascii="黑体" w:hAnsi="宋体" w:eastAsia="黑体" w:cs="宋体"/>
          <w:color w:val="000000"/>
          <w:sz w:val="32"/>
          <w:szCs w:val="32"/>
        </w:rPr>
        <w:br w:type="page"/>
      </w:r>
      <w:r>
        <w:rPr>
          <w:rFonts w:hint="eastAsia" w:ascii="方正仿宋_GBK" w:hAnsi="方正仿宋_GBK" w:eastAsia="方正仿宋_GBK" w:cs="方正仿宋_GBK"/>
          <w:b/>
          <w:bCs/>
          <w:sz w:val="32"/>
          <w:szCs w:val="32"/>
          <w:lang w:eastAsia="zh-CN"/>
        </w:rPr>
        <w:t>附件</w:t>
      </w:r>
      <w:r>
        <w:rPr>
          <w:rFonts w:hint="eastAsia" w:ascii="方正仿宋_GBK" w:hAnsi="方正仿宋_GBK" w:eastAsia="方正仿宋_GBK" w:cs="方正仿宋_GBK"/>
          <w:b/>
          <w:bCs/>
          <w:sz w:val="32"/>
          <w:szCs w:val="32"/>
          <w:lang w:val="en-US" w:eastAsia="zh-CN"/>
        </w:rPr>
        <w:t>1</w:t>
      </w:r>
    </w:p>
    <w:p>
      <w:pPr>
        <w:pStyle w:val="4"/>
        <w:jc w:val="center"/>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全省法院系统审判制服及服饰预算支出标准的最高限额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pStyle w:val="4"/>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配发品种</w:t>
            </w:r>
          </w:p>
        </w:tc>
        <w:tc>
          <w:tcPr>
            <w:tcW w:w="1704" w:type="dxa"/>
            <w:noWrap w:val="0"/>
            <w:vAlign w:val="center"/>
          </w:tcPr>
          <w:p>
            <w:pPr>
              <w:pStyle w:val="4"/>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核定预算支付定额标准单价</w:t>
            </w:r>
          </w:p>
        </w:tc>
        <w:tc>
          <w:tcPr>
            <w:tcW w:w="1704" w:type="dxa"/>
            <w:noWrap w:val="0"/>
            <w:vAlign w:val="center"/>
          </w:tcPr>
          <w:p>
            <w:pPr>
              <w:pStyle w:val="4"/>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配发品种</w:t>
            </w:r>
          </w:p>
        </w:tc>
        <w:tc>
          <w:tcPr>
            <w:tcW w:w="1705" w:type="dxa"/>
            <w:noWrap w:val="0"/>
            <w:vAlign w:val="center"/>
          </w:tcPr>
          <w:p>
            <w:pPr>
              <w:pStyle w:val="4"/>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核定预算支付定额标准单价</w:t>
            </w:r>
          </w:p>
        </w:tc>
        <w:tc>
          <w:tcPr>
            <w:tcW w:w="1705" w:type="dxa"/>
            <w:noWrap w:val="0"/>
            <w:vAlign w:val="center"/>
          </w:tcPr>
          <w:p>
            <w:pPr>
              <w:pStyle w:val="4"/>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短袖上衣</w:t>
            </w:r>
          </w:p>
        </w:tc>
        <w:tc>
          <w:tcPr>
            <w:tcW w:w="1704" w:type="dxa"/>
            <w:vMerge w:val="restart"/>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350元</w:t>
            </w:r>
          </w:p>
        </w:tc>
        <w:tc>
          <w:tcPr>
            <w:tcW w:w="1704" w:type="dxa"/>
            <w:noWrap w:val="0"/>
            <w:vAlign w:val="top"/>
          </w:tcPr>
          <w:p>
            <w:pPr>
              <w:pStyle w:val="4"/>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内穿长袖衬衣</w:t>
            </w:r>
          </w:p>
        </w:tc>
        <w:tc>
          <w:tcPr>
            <w:tcW w:w="1705" w:type="dxa"/>
            <w:noWrap w:val="0"/>
            <w:vAlign w:val="top"/>
          </w:tcPr>
          <w:p>
            <w:pPr>
              <w:pStyle w:val="4"/>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81元</w:t>
            </w:r>
          </w:p>
        </w:tc>
        <w:tc>
          <w:tcPr>
            <w:tcW w:w="1705" w:type="dxa"/>
            <w:noWrap w:val="0"/>
            <w:vAlign w:val="top"/>
          </w:tcPr>
          <w:p>
            <w:pPr>
              <w:pStyle w:val="4"/>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pStyle w:val="4"/>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长裤/裙</w:t>
            </w:r>
          </w:p>
        </w:tc>
        <w:tc>
          <w:tcPr>
            <w:tcW w:w="1704" w:type="dxa"/>
            <w:vMerge w:val="continue"/>
            <w:noWrap w:val="0"/>
            <w:vAlign w:val="top"/>
          </w:tcPr>
          <w:p>
            <w:pPr>
              <w:rPr>
                <w:rFonts w:hint="eastAsia"/>
                <w:lang w:val="en-US" w:eastAsia="zh-CN"/>
              </w:rPr>
            </w:pPr>
          </w:p>
        </w:tc>
        <w:tc>
          <w:tcPr>
            <w:tcW w:w="1704" w:type="dxa"/>
            <w:noWrap w:val="0"/>
            <w:vAlign w:val="top"/>
          </w:tcPr>
          <w:p>
            <w:pPr>
              <w:pStyle w:val="4"/>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外穿长袖衬衣</w:t>
            </w:r>
          </w:p>
        </w:tc>
        <w:tc>
          <w:tcPr>
            <w:tcW w:w="1705" w:type="dxa"/>
            <w:noWrap w:val="0"/>
            <w:vAlign w:val="top"/>
          </w:tcPr>
          <w:p>
            <w:pPr>
              <w:pStyle w:val="4"/>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81元</w:t>
            </w:r>
          </w:p>
        </w:tc>
        <w:tc>
          <w:tcPr>
            <w:tcW w:w="1705" w:type="dxa"/>
            <w:noWrap w:val="0"/>
            <w:vAlign w:val="top"/>
          </w:tcPr>
          <w:p>
            <w:pPr>
              <w:pStyle w:val="4"/>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pStyle w:val="4"/>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春秋服</w:t>
            </w:r>
          </w:p>
        </w:tc>
        <w:tc>
          <w:tcPr>
            <w:tcW w:w="1704" w:type="dxa"/>
            <w:noWrap w:val="0"/>
            <w:vAlign w:val="top"/>
          </w:tcPr>
          <w:p>
            <w:pPr>
              <w:pStyle w:val="4"/>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i w:val="0"/>
                <w:color w:val="000000"/>
                <w:kern w:val="0"/>
                <w:sz w:val="24"/>
                <w:szCs w:val="24"/>
                <w:u w:val="none"/>
                <w:lang w:val="en-US" w:eastAsia="zh-CN" w:bidi="ar"/>
              </w:rPr>
              <w:t>455元</w:t>
            </w:r>
          </w:p>
        </w:tc>
        <w:tc>
          <w:tcPr>
            <w:tcW w:w="1704" w:type="dxa"/>
            <w:noWrap w:val="0"/>
            <w:vAlign w:val="top"/>
          </w:tcPr>
          <w:p>
            <w:pPr>
              <w:pStyle w:val="4"/>
              <w:jc w:val="center"/>
              <w:rPr>
                <w:rFonts w:hint="eastAsia" w:ascii="方正仿宋_GBK" w:hAnsi="方正仿宋_GBK" w:eastAsia="方正仿宋_GBK" w:cs="方正仿宋_GBK"/>
                <w:kern w:val="2"/>
                <w:sz w:val="24"/>
                <w:szCs w:val="24"/>
                <w:vertAlign w:val="baseline"/>
                <w:lang w:val="en-US" w:eastAsia="zh-CN" w:bidi="ar-SA"/>
              </w:rPr>
            </w:pPr>
            <w:r>
              <w:rPr>
                <w:rFonts w:hint="eastAsia" w:ascii="方正仿宋_GBK" w:hAnsi="方正仿宋_GBK" w:eastAsia="方正仿宋_GBK" w:cs="方正仿宋_GBK"/>
                <w:i w:val="0"/>
                <w:color w:val="000000"/>
                <w:kern w:val="0"/>
                <w:sz w:val="24"/>
                <w:szCs w:val="24"/>
                <w:u w:val="none"/>
                <w:lang w:val="en-US" w:eastAsia="zh-CN" w:bidi="ar"/>
              </w:rPr>
              <w:t>领带</w:t>
            </w:r>
          </w:p>
        </w:tc>
        <w:tc>
          <w:tcPr>
            <w:tcW w:w="1705" w:type="dxa"/>
            <w:noWrap w:val="0"/>
            <w:vAlign w:val="top"/>
          </w:tcPr>
          <w:p>
            <w:pPr>
              <w:pStyle w:val="4"/>
              <w:jc w:val="center"/>
              <w:rPr>
                <w:rFonts w:hint="eastAsia" w:ascii="方正仿宋_GBK" w:hAnsi="方正仿宋_GBK" w:eastAsia="方正仿宋_GBK" w:cs="方正仿宋_GBK"/>
                <w:kern w:val="2"/>
                <w:sz w:val="24"/>
                <w:szCs w:val="24"/>
                <w:vertAlign w:val="baseline"/>
                <w:lang w:val="en-US" w:eastAsia="zh-CN" w:bidi="ar-SA"/>
              </w:rPr>
            </w:pPr>
            <w:r>
              <w:rPr>
                <w:rFonts w:hint="eastAsia" w:ascii="方正仿宋_GBK" w:hAnsi="方正仿宋_GBK" w:eastAsia="方正仿宋_GBK" w:cs="方正仿宋_GBK"/>
                <w:i w:val="0"/>
                <w:color w:val="000000"/>
                <w:kern w:val="0"/>
                <w:sz w:val="24"/>
                <w:szCs w:val="24"/>
                <w:u w:val="none"/>
                <w:lang w:val="en-US" w:eastAsia="zh-CN" w:bidi="ar"/>
              </w:rPr>
              <w:t>22元</w:t>
            </w:r>
          </w:p>
        </w:tc>
        <w:tc>
          <w:tcPr>
            <w:tcW w:w="1705" w:type="dxa"/>
            <w:noWrap w:val="0"/>
            <w:vAlign w:val="top"/>
          </w:tcPr>
          <w:p>
            <w:pPr>
              <w:pStyle w:val="4"/>
              <w:rPr>
                <w:rFonts w:hint="eastAsia" w:ascii="方正仿宋_GBK" w:hAnsi="方正仿宋_GBK" w:eastAsia="方正仿宋_GBK" w:cs="方正仿宋_GBK"/>
                <w:sz w:val="24"/>
                <w:szCs w:val="24"/>
                <w:vertAlign w:val="baseline"/>
                <w:lang w:val="en-US" w:eastAsia="zh-CN"/>
              </w:rPr>
            </w:pPr>
          </w:p>
        </w:tc>
      </w:tr>
    </w:tbl>
    <w:p>
      <w:pP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注：所报单价超过《广东省法院系统审判制服及服饰预算支出标准及编制规范》中的最高限额视为无效投标。</w:t>
      </w:r>
    </w:p>
    <w:p>
      <w:pPr>
        <w:rPr>
          <w:rFonts w:hint="eastAsia" w:ascii="方正仿宋_GBK" w:hAnsi="方正仿宋_GBK" w:eastAsia="方正仿宋_GBK" w:cs="方正仿宋_GBK"/>
          <w:b/>
          <w:bCs/>
          <w:sz w:val="32"/>
          <w:szCs w:val="32"/>
          <w:lang w:eastAsia="zh-CN"/>
        </w:rPr>
      </w:pPr>
    </w:p>
    <w:p>
      <w:pPr>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eastAsia="zh-CN"/>
        </w:rPr>
        <w:t>附件</w:t>
      </w:r>
      <w:r>
        <w:rPr>
          <w:rFonts w:hint="eastAsia" w:ascii="方正仿宋_GBK" w:hAnsi="方正仿宋_GBK" w:eastAsia="方正仿宋_GBK" w:cs="方正仿宋_GBK"/>
          <w:b/>
          <w:bCs/>
          <w:sz w:val="32"/>
          <w:szCs w:val="32"/>
          <w:lang w:val="en-US" w:eastAsia="zh-CN"/>
        </w:rPr>
        <w:t xml:space="preserve">2               </w:t>
      </w:r>
    </w:p>
    <w:p>
      <w:pPr>
        <w:jc w:val="center"/>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采购评分项</w:t>
      </w:r>
    </w:p>
    <w:tbl>
      <w:tblPr>
        <w:tblStyle w:val="5"/>
        <w:tblpPr w:leftFromText="180" w:rightFromText="180" w:vertAnchor="text" w:tblpXSpec="center" w:tblpY="1"/>
        <w:tblOverlap w:val="never"/>
        <w:tblW w:w="9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480"/>
        <w:gridCol w:w="929"/>
        <w:gridCol w:w="5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Align w:val="center"/>
          </w:tcPr>
          <w:p>
            <w:pPr>
              <w:jc w:val="center"/>
              <w:rPr>
                <w:rFonts w:ascii="新宋体" w:hAnsi="新宋体" w:eastAsia="新宋体"/>
                <w:b/>
                <w:szCs w:val="21"/>
              </w:rPr>
            </w:pPr>
            <w:r>
              <w:rPr>
                <w:rFonts w:hint="eastAsia" w:ascii="新宋体" w:hAnsi="新宋体" w:eastAsia="新宋体"/>
                <w:b/>
                <w:szCs w:val="21"/>
              </w:rPr>
              <w:t>序号</w:t>
            </w:r>
          </w:p>
        </w:tc>
        <w:tc>
          <w:tcPr>
            <w:tcW w:w="3379" w:type="dxa"/>
            <w:gridSpan w:val="3"/>
            <w:vAlign w:val="center"/>
          </w:tcPr>
          <w:p>
            <w:pPr>
              <w:jc w:val="center"/>
              <w:rPr>
                <w:rFonts w:ascii="新宋体" w:hAnsi="新宋体" w:eastAsia="新宋体"/>
                <w:b/>
                <w:szCs w:val="21"/>
              </w:rPr>
            </w:pPr>
            <w:r>
              <w:rPr>
                <w:rFonts w:hint="eastAsia" w:ascii="新宋体" w:hAnsi="新宋体" w:eastAsia="新宋体"/>
                <w:b/>
                <w:szCs w:val="21"/>
              </w:rPr>
              <w:t>评分项</w:t>
            </w:r>
          </w:p>
        </w:tc>
        <w:tc>
          <w:tcPr>
            <w:tcW w:w="5075" w:type="dxa"/>
            <w:vAlign w:val="center"/>
          </w:tcPr>
          <w:p>
            <w:pPr>
              <w:jc w:val="center"/>
              <w:rPr>
                <w:rFonts w:ascii="新宋体" w:hAnsi="新宋体" w:eastAsia="新宋体"/>
                <w:b/>
                <w:szCs w:val="21"/>
              </w:rPr>
            </w:pPr>
            <w:r>
              <w:rPr>
                <w:rFonts w:hint="eastAsia" w:ascii="新宋体" w:hAnsi="新宋体" w:eastAsia="新宋体"/>
                <w:b/>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Align w:val="center"/>
          </w:tcPr>
          <w:p>
            <w:pPr>
              <w:jc w:val="center"/>
              <w:rPr>
                <w:rFonts w:ascii="新宋体" w:hAnsi="新宋体" w:eastAsia="新宋体"/>
                <w:b/>
                <w:szCs w:val="21"/>
              </w:rPr>
            </w:pPr>
            <w:r>
              <w:rPr>
                <w:rFonts w:ascii="新宋体" w:hAnsi="新宋体" w:eastAsia="新宋体"/>
                <w:b/>
                <w:szCs w:val="21"/>
              </w:rPr>
              <w:t>1</w:t>
            </w:r>
          </w:p>
        </w:tc>
        <w:tc>
          <w:tcPr>
            <w:tcW w:w="3379" w:type="dxa"/>
            <w:gridSpan w:val="3"/>
            <w:vAlign w:val="center"/>
          </w:tcPr>
          <w:p>
            <w:pPr>
              <w:jc w:val="center"/>
              <w:rPr>
                <w:rFonts w:ascii="新宋体" w:hAnsi="新宋体" w:eastAsia="新宋体"/>
                <w:b/>
                <w:szCs w:val="21"/>
              </w:rPr>
            </w:pPr>
            <w:r>
              <w:rPr>
                <w:rFonts w:hint="eastAsia" w:ascii="新宋体" w:hAnsi="新宋体" w:eastAsia="新宋体"/>
                <w:b/>
                <w:szCs w:val="21"/>
              </w:rPr>
              <w:t>价格</w:t>
            </w:r>
          </w:p>
        </w:tc>
        <w:tc>
          <w:tcPr>
            <w:tcW w:w="5075" w:type="dxa"/>
            <w:vAlign w:val="center"/>
          </w:tcPr>
          <w:p>
            <w:pPr>
              <w:jc w:val="center"/>
              <w:rPr>
                <w:rFonts w:ascii="新宋体" w:hAnsi="新宋体" w:eastAsia="新宋体"/>
                <w:b/>
                <w:szCs w:val="21"/>
              </w:rPr>
            </w:pPr>
            <w:r>
              <w:rPr>
                <w:rFonts w:ascii="新宋体" w:hAnsi="新宋体" w:eastAsia="新宋体"/>
                <w:b/>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Align w:val="center"/>
          </w:tcPr>
          <w:p>
            <w:pPr>
              <w:jc w:val="center"/>
              <w:rPr>
                <w:rFonts w:ascii="新宋体" w:hAnsi="新宋体" w:eastAsia="新宋体"/>
                <w:b/>
                <w:szCs w:val="21"/>
              </w:rPr>
            </w:pPr>
            <w:r>
              <w:rPr>
                <w:rFonts w:ascii="新宋体" w:hAnsi="新宋体" w:eastAsia="新宋体"/>
                <w:b/>
                <w:szCs w:val="21"/>
              </w:rPr>
              <w:t>2</w:t>
            </w:r>
          </w:p>
        </w:tc>
        <w:tc>
          <w:tcPr>
            <w:tcW w:w="3379" w:type="dxa"/>
            <w:gridSpan w:val="3"/>
            <w:vAlign w:val="center"/>
          </w:tcPr>
          <w:p>
            <w:pPr>
              <w:jc w:val="center"/>
              <w:rPr>
                <w:rFonts w:ascii="新宋体" w:hAnsi="新宋体" w:eastAsia="新宋体"/>
                <w:b/>
                <w:szCs w:val="21"/>
              </w:rPr>
            </w:pPr>
            <w:r>
              <w:rPr>
                <w:rFonts w:hint="eastAsia" w:ascii="新宋体" w:hAnsi="新宋体" w:eastAsia="新宋体"/>
                <w:b/>
                <w:szCs w:val="21"/>
              </w:rPr>
              <w:t>技术部分</w:t>
            </w:r>
          </w:p>
        </w:tc>
        <w:tc>
          <w:tcPr>
            <w:tcW w:w="5075" w:type="dxa"/>
            <w:vAlign w:val="center"/>
          </w:tcPr>
          <w:p>
            <w:pPr>
              <w:jc w:val="center"/>
              <w:rPr>
                <w:rFonts w:ascii="新宋体" w:hAnsi="新宋体" w:eastAsia="新宋体"/>
                <w:b/>
                <w:szCs w:val="21"/>
              </w:rPr>
            </w:pPr>
            <w:r>
              <w:rPr>
                <w:rFonts w:hint="eastAsia" w:ascii="新宋体" w:hAnsi="新宋体" w:eastAsia="新宋体"/>
                <w:b/>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restart"/>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hint="eastAsia" w:ascii="新宋体" w:hAnsi="新宋体" w:eastAsia="新宋体"/>
                <w:szCs w:val="21"/>
              </w:rPr>
              <w:t>序号</w:t>
            </w:r>
          </w:p>
        </w:tc>
        <w:tc>
          <w:tcPr>
            <w:tcW w:w="1480" w:type="dxa"/>
            <w:vAlign w:val="center"/>
          </w:tcPr>
          <w:p>
            <w:pPr>
              <w:jc w:val="center"/>
              <w:rPr>
                <w:rFonts w:ascii="新宋体" w:hAnsi="新宋体" w:eastAsia="新宋体"/>
                <w:szCs w:val="21"/>
              </w:rPr>
            </w:pPr>
            <w:r>
              <w:rPr>
                <w:rFonts w:hint="eastAsia" w:ascii="新宋体" w:hAnsi="新宋体" w:eastAsia="新宋体"/>
                <w:szCs w:val="21"/>
              </w:rPr>
              <w:t>评分因素</w:t>
            </w:r>
          </w:p>
        </w:tc>
        <w:tc>
          <w:tcPr>
            <w:tcW w:w="929" w:type="dxa"/>
            <w:vAlign w:val="center"/>
          </w:tcPr>
          <w:p>
            <w:pPr>
              <w:jc w:val="center"/>
              <w:rPr>
                <w:rFonts w:ascii="新宋体" w:hAnsi="新宋体" w:eastAsia="新宋体"/>
                <w:szCs w:val="21"/>
              </w:rPr>
            </w:pPr>
            <w:r>
              <w:rPr>
                <w:rFonts w:hint="eastAsia" w:ascii="新宋体" w:hAnsi="新宋体" w:eastAsia="新宋体"/>
                <w:szCs w:val="21"/>
              </w:rPr>
              <w:t>权重</w:t>
            </w:r>
          </w:p>
        </w:tc>
        <w:tc>
          <w:tcPr>
            <w:tcW w:w="5075" w:type="dxa"/>
            <w:vAlign w:val="center"/>
          </w:tcPr>
          <w:p>
            <w:pPr>
              <w:jc w:val="center"/>
              <w:rPr>
                <w:rFonts w:ascii="新宋体" w:hAnsi="新宋体" w:eastAsia="新宋体"/>
                <w:szCs w:val="21"/>
              </w:rPr>
            </w:pPr>
            <w:r>
              <w:rPr>
                <w:rFonts w:hint="eastAsia" w:ascii="新宋体" w:hAnsi="新宋体" w:eastAsia="新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ascii="新宋体" w:hAnsi="新宋体" w:eastAsia="新宋体"/>
                <w:szCs w:val="21"/>
              </w:rPr>
              <w:t>1</w:t>
            </w:r>
          </w:p>
        </w:tc>
        <w:tc>
          <w:tcPr>
            <w:tcW w:w="1480" w:type="dxa"/>
            <w:vAlign w:val="center"/>
          </w:tcPr>
          <w:p>
            <w:pPr>
              <w:rPr>
                <w:rFonts w:ascii="新宋体" w:hAnsi="新宋体" w:eastAsia="新宋体"/>
                <w:b/>
                <w:color w:val="FF0000"/>
                <w:szCs w:val="21"/>
              </w:rPr>
            </w:pPr>
            <w:r>
              <w:rPr>
                <w:rFonts w:hint="eastAsia" w:ascii="新宋体" w:hAnsi="新宋体" w:eastAsia="新宋体"/>
                <w:szCs w:val="21"/>
              </w:rPr>
              <w:t>用户需求响应服务方案</w:t>
            </w:r>
          </w:p>
        </w:tc>
        <w:tc>
          <w:tcPr>
            <w:tcW w:w="929" w:type="dxa"/>
            <w:vAlign w:val="center"/>
          </w:tcPr>
          <w:p>
            <w:pPr>
              <w:jc w:val="center"/>
              <w:rPr>
                <w:rFonts w:ascii="新宋体" w:hAnsi="新宋体" w:eastAsia="新宋体"/>
                <w:szCs w:val="21"/>
              </w:rPr>
            </w:pPr>
            <w:r>
              <w:rPr>
                <w:rFonts w:ascii="新宋体" w:hAnsi="新宋体" w:eastAsia="新宋体"/>
                <w:szCs w:val="21"/>
              </w:rPr>
              <w:t>1</w:t>
            </w:r>
            <w:r>
              <w:rPr>
                <w:rFonts w:hint="eastAsia" w:ascii="新宋体" w:hAnsi="新宋体" w:eastAsia="新宋体"/>
                <w:szCs w:val="21"/>
              </w:rPr>
              <w:t>0</w:t>
            </w:r>
          </w:p>
        </w:tc>
        <w:tc>
          <w:tcPr>
            <w:tcW w:w="5075" w:type="dxa"/>
            <w:vAlign w:val="center"/>
          </w:tcPr>
          <w:p>
            <w:pPr>
              <w:rPr>
                <w:rFonts w:ascii="新宋体" w:hAnsi="新宋体" w:eastAsia="新宋体" w:cs="宋体"/>
                <w:bCs/>
                <w:szCs w:val="21"/>
              </w:rPr>
            </w:pPr>
            <w:r>
              <w:rPr>
                <w:rFonts w:hint="eastAsia" w:ascii="新宋体" w:hAnsi="新宋体" w:eastAsia="新宋体" w:cs="宋体"/>
                <w:bCs/>
                <w:szCs w:val="21"/>
              </w:rPr>
              <w:t>（一）评分内容：</w:t>
            </w:r>
          </w:p>
          <w:p>
            <w:pPr>
              <w:rPr>
                <w:rFonts w:ascii="新宋体" w:hAnsi="新宋体" w:eastAsia="新宋体" w:cs="宋体"/>
                <w:bCs/>
                <w:szCs w:val="21"/>
              </w:rPr>
            </w:pPr>
            <w:r>
              <w:rPr>
                <w:rFonts w:hint="eastAsia" w:ascii="新宋体" w:hAnsi="新宋体" w:eastAsia="新宋体" w:cs="宋体"/>
                <w:bCs/>
                <w:szCs w:val="21"/>
              </w:rPr>
              <w:t>投标人针对本项目需求提供服务方案：</w:t>
            </w:r>
          </w:p>
          <w:p>
            <w:pPr>
              <w:rPr>
                <w:rFonts w:ascii="新宋体" w:hAnsi="新宋体" w:eastAsia="新宋体" w:cs="宋体"/>
                <w:bCs/>
                <w:szCs w:val="21"/>
              </w:rPr>
            </w:pPr>
            <w:r>
              <w:rPr>
                <w:rFonts w:hint="eastAsia" w:ascii="新宋体" w:hAnsi="新宋体" w:eastAsia="新宋体" w:cs="宋体"/>
                <w:bCs/>
                <w:szCs w:val="21"/>
              </w:rPr>
              <w:t>（1）技术团队方案；</w:t>
            </w:r>
          </w:p>
          <w:p>
            <w:pPr>
              <w:rPr>
                <w:rFonts w:ascii="新宋体" w:hAnsi="新宋体" w:eastAsia="新宋体" w:cs="宋体"/>
                <w:bCs/>
                <w:szCs w:val="21"/>
              </w:rPr>
            </w:pPr>
            <w:r>
              <w:rPr>
                <w:rFonts w:hint="eastAsia" w:ascii="新宋体" w:hAnsi="新宋体" w:eastAsia="新宋体" w:cs="宋体"/>
                <w:bCs/>
                <w:szCs w:val="21"/>
              </w:rPr>
              <w:t>（2）实施计划；</w:t>
            </w:r>
          </w:p>
          <w:p>
            <w:pPr>
              <w:rPr>
                <w:rFonts w:ascii="新宋体" w:hAnsi="新宋体" w:eastAsia="新宋体" w:cs="宋体"/>
                <w:bCs/>
                <w:szCs w:val="21"/>
              </w:rPr>
            </w:pPr>
            <w:r>
              <w:rPr>
                <w:rFonts w:hint="eastAsia" w:ascii="新宋体" w:hAnsi="新宋体" w:eastAsia="新宋体" w:cs="宋体"/>
                <w:bCs/>
                <w:szCs w:val="21"/>
              </w:rPr>
              <w:t>（二）评分标准：</w:t>
            </w:r>
          </w:p>
          <w:p>
            <w:pPr>
              <w:rPr>
                <w:rFonts w:ascii="新宋体" w:hAnsi="新宋体" w:eastAsia="新宋体" w:cs="宋体"/>
                <w:bCs/>
                <w:szCs w:val="21"/>
              </w:rPr>
            </w:pPr>
            <w:r>
              <w:rPr>
                <w:rFonts w:hint="eastAsia" w:ascii="新宋体" w:hAnsi="新宋体" w:eastAsia="新宋体" w:cs="宋体"/>
                <w:bCs/>
                <w:szCs w:val="21"/>
              </w:rPr>
              <w:t>满足以上两项要求得6分，满足以上任意一项要求得3分，其它情况不得分。</w:t>
            </w:r>
          </w:p>
          <w:p>
            <w:pPr>
              <w:rPr>
                <w:rFonts w:ascii="新宋体" w:hAnsi="新宋体" w:eastAsia="新宋体" w:cs="宋体"/>
                <w:bCs/>
                <w:szCs w:val="21"/>
              </w:rPr>
            </w:pPr>
            <w:r>
              <w:rPr>
                <w:rFonts w:hint="eastAsia" w:ascii="新宋体" w:hAnsi="新宋体" w:eastAsia="新宋体" w:cs="宋体"/>
                <w:bCs/>
                <w:szCs w:val="21"/>
              </w:rPr>
              <w:t>在此基础上：专家根据投标人对招标文件中用户需求的响应程度进行评价：</w:t>
            </w:r>
          </w:p>
          <w:p>
            <w:pPr>
              <w:rPr>
                <w:rFonts w:ascii="新宋体" w:hAnsi="新宋体" w:eastAsia="新宋体" w:cs="宋体"/>
                <w:bCs/>
                <w:szCs w:val="21"/>
              </w:rPr>
            </w:pPr>
            <w:r>
              <w:rPr>
                <w:rFonts w:hint="eastAsia" w:ascii="新宋体" w:hAnsi="新宋体" w:eastAsia="新宋体" w:cs="宋体"/>
                <w:bCs/>
                <w:szCs w:val="21"/>
              </w:rPr>
              <w:t>（1）用户需求的响应内容全面；</w:t>
            </w:r>
          </w:p>
          <w:p>
            <w:pPr>
              <w:rPr>
                <w:rFonts w:ascii="新宋体" w:hAnsi="新宋体" w:eastAsia="新宋体" w:cs="宋体"/>
                <w:bCs/>
                <w:szCs w:val="21"/>
              </w:rPr>
            </w:pPr>
            <w:r>
              <w:rPr>
                <w:rFonts w:hint="eastAsia" w:ascii="新宋体" w:hAnsi="新宋体" w:eastAsia="新宋体" w:cs="宋体"/>
                <w:bCs/>
                <w:szCs w:val="21"/>
              </w:rPr>
              <w:t>（2）用户需求的响应内容具体，表达清晰、完整、严谨；</w:t>
            </w:r>
          </w:p>
          <w:p>
            <w:pPr>
              <w:rPr>
                <w:rFonts w:ascii="新宋体" w:hAnsi="新宋体" w:eastAsia="新宋体" w:cs="宋体"/>
                <w:bCs/>
                <w:szCs w:val="21"/>
              </w:rPr>
            </w:pPr>
            <w:r>
              <w:rPr>
                <w:rFonts w:hint="eastAsia" w:ascii="新宋体" w:hAnsi="新宋体" w:eastAsia="新宋体" w:cs="宋体"/>
                <w:bCs/>
                <w:szCs w:val="21"/>
              </w:rPr>
              <w:t>（3）用户需求的响应内容针对性强；</w:t>
            </w:r>
          </w:p>
          <w:p>
            <w:pPr>
              <w:rPr>
                <w:rFonts w:ascii="新宋体" w:hAnsi="新宋体" w:eastAsia="新宋体" w:cs="宋体"/>
                <w:bCs/>
                <w:szCs w:val="21"/>
              </w:rPr>
            </w:pPr>
            <w:r>
              <w:rPr>
                <w:rFonts w:hint="eastAsia" w:ascii="新宋体" w:hAnsi="新宋体" w:eastAsia="新宋体" w:cs="宋体"/>
                <w:bCs/>
                <w:szCs w:val="21"/>
              </w:rPr>
              <w:t>（4）用户需求的响应内容先进，科学合理；</w:t>
            </w:r>
          </w:p>
          <w:p>
            <w:pPr>
              <w:rPr>
                <w:rFonts w:ascii="新宋体" w:hAnsi="新宋体" w:eastAsia="新宋体" w:cs="宋体"/>
                <w:bCs/>
                <w:szCs w:val="21"/>
              </w:rPr>
            </w:pPr>
            <w:r>
              <w:rPr>
                <w:rFonts w:hint="eastAsia" w:ascii="新宋体" w:hAnsi="新宋体" w:eastAsia="新宋体" w:cs="宋体"/>
                <w:bCs/>
                <w:szCs w:val="21"/>
              </w:rPr>
              <w:t>（5）用户需求的响应内容可操作性强；</w:t>
            </w:r>
          </w:p>
          <w:p>
            <w:pPr>
              <w:rPr>
                <w:rFonts w:ascii="新宋体" w:hAnsi="新宋体" w:eastAsia="新宋体" w:cs="宋体"/>
                <w:bCs/>
                <w:szCs w:val="21"/>
              </w:rPr>
            </w:pPr>
            <w:r>
              <w:rPr>
                <w:rFonts w:hint="eastAsia" w:ascii="新宋体" w:hAnsi="新宋体" w:eastAsia="新宋体" w:cs="宋体"/>
                <w:bCs/>
                <w:szCs w:val="21"/>
              </w:rPr>
              <w:t>满足以上五项要求加4分，满足以上四项要求加3分，满足以上三项要求加2分，其它情况不加分。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ascii="新宋体" w:hAnsi="新宋体" w:eastAsia="新宋体"/>
                <w:szCs w:val="21"/>
              </w:rPr>
              <w:t>2</w:t>
            </w:r>
          </w:p>
        </w:tc>
        <w:tc>
          <w:tcPr>
            <w:tcW w:w="1480" w:type="dxa"/>
            <w:vAlign w:val="center"/>
          </w:tcPr>
          <w:p>
            <w:pPr>
              <w:rPr>
                <w:rFonts w:ascii="新宋体" w:hAnsi="新宋体" w:eastAsia="新宋体"/>
                <w:szCs w:val="21"/>
              </w:rPr>
            </w:pPr>
            <w:r>
              <w:rPr>
                <w:rFonts w:hint="eastAsia" w:ascii="新宋体" w:hAnsi="新宋体" w:eastAsia="新宋体" w:cs="宋体"/>
                <w:kern w:val="0"/>
                <w:szCs w:val="21"/>
              </w:rPr>
              <w:t>服务期计划、售后服务、配送方案</w:t>
            </w:r>
          </w:p>
        </w:tc>
        <w:tc>
          <w:tcPr>
            <w:tcW w:w="929" w:type="dxa"/>
            <w:vAlign w:val="center"/>
          </w:tcPr>
          <w:p>
            <w:pPr>
              <w:jc w:val="center"/>
              <w:rPr>
                <w:rFonts w:ascii="新宋体" w:hAnsi="新宋体" w:eastAsia="新宋体"/>
                <w:szCs w:val="21"/>
              </w:rPr>
            </w:pPr>
            <w:r>
              <w:rPr>
                <w:rFonts w:ascii="新宋体" w:hAnsi="新宋体" w:eastAsia="新宋体" w:cs="宋体"/>
                <w:szCs w:val="21"/>
              </w:rPr>
              <w:t>1</w:t>
            </w:r>
            <w:r>
              <w:rPr>
                <w:rFonts w:hint="eastAsia" w:ascii="新宋体" w:hAnsi="新宋体" w:eastAsia="新宋体" w:cs="宋体"/>
                <w:szCs w:val="21"/>
              </w:rPr>
              <w:t>0</w:t>
            </w:r>
          </w:p>
        </w:tc>
        <w:tc>
          <w:tcPr>
            <w:tcW w:w="5075" w:type="dxa"/>
            <w:vAlign w:val="center"/>
          </w:tcPr>
          <w:p>
            <w:pPr>
              <w:rPr>
                <w:rFonts w:ascii="新宋体" w:hAnsi="新宋体" w:eastAsia="新宋体" w:cs="宋体"/>
                <w:bCs/>
                <w:szCs w:val="21"/>
              </w:rPr>
            </w:pPr>
            <w:r>
              <w:rPr>
                <w:rFonts w:hint="eastAsia" w:ascii="新宋体" w:hAnsi="新宋体" w:eastAsia="新宋体" w:cs="宋体"/>
                <w:bCs/>
                <w:szCs w:val="21"/>
              </w:rPr>
              <w:t>（一）评分内容：</w:t>
            </w:r>
          </w:p>
          <w:p>
            <w:pPr>
              <w:rPr>
                <w:rFonts w:ascii="新宋体" w:hAnsi="新宋体" w:eastAsia="新宋体" w:cs="宋体"/>
                <w:szCs w:val="21"/>
              </w:rPr>
            </w:pPr>
            <w:r>
              <w:rPr>
                <w:rFonts w:hint="eastAsia" w:ascii="新宋体" w:hAnsi="新宋体" w:eastAsia="新宋体" w:cs="宋体"/>
                <w:szCs w:val="21"/>
              </w:rPr>
              <w:t>针对本项目的需求制定：</w:t>
            </w:r>
          </w:p>
          <w:p>
            <w:pPr>
              <w:rPr>
                <w:rFonts w:ascii="新宋体" w:hAnsi="新宋体" w:eastAsia="新宋体" w:cs="宋体"/>
                <w:szCs w:val="21"/>
              </w:rPr>
            </w:pPr>
            <w:r>
              <w:rPr>
                <w:rFonts w:hint="eastAsia" w:ascii="新宋体" w:hAnsi="新宋体" w:eastAsia="新宋体" w:cs="宋体"/>
                <w:szCs w:val="21"/>
              </w:rPr>
              <w:t>1.服务期计划；</w:t>
            </w:r>
          </w:p>
          <w:p>
            <w:pPr>
              <w:rPr>
                <w:rFonts w:ascii="新宋体" w:hAnsi="新宋体" w:eastAsia="新宋体" w:cs="宋体"/>
                <w:szCs w:val="21"/>
              </w:rPr>
            </w:pPr>
            <w:r>
              <w:rPr>
                <w:rFonts w:hint="eastAsia" w:ascii="新宋体" w:hAnsi="新宋体" w:eastAsia="新宋体" w:cs="宋体"/>
                <w:szCs w:val="21"/>
              </w:rPr>
              <w:t>2.售后服务；</w:t>
            </w:r>
          </w:p>
          <w:p>
            <w:pPr>
              <w:rPr>
                <w:rFonts w:ascii="新宋体" w:hAnsi="新宋体" w:eastAsia="新宋体" w:cs="宋体"/>
                <w:szCs w:val="21"/>
              </w:rPr>
            </w:pPr>
            <w:r>
              <w:rPr>
                <w:rFonts w:hint="eastAsia" w:ascii="新宋体" w:hAnsi="新宋体" w:eastAsia="新宋体" w:cs="宋体"/>
                <w:szCs w:val="21"/>
              </w:rPr>
              <w:t>3</w:t>
            </w:r>
            <w:r>
              <w:rPr>
                <w:rFonts w:ascii="新宋体" w:hAnsi="新宋体" w:eastAsia="新宋体" w:cs="宋体"/>
                <w:szCs w:val="21"/>
              </w:rPr>
              <w:t>.</w:t>
            </w:r>
            <w:r>
              <w:rPr>
                <w:rFonts w:hint="eastAsia" w:ascii="新宋体" w:hAnsi="新宋体" w:eastAsia="新宋体" w:cs="宋体"/>
                <w:szCs w:val="21"/>
              </w:rPr>
              <w:t>配送方案。</w:t>
            </w:r>
          </w:p>
          <w:p>
            <w:pPr>
              <w:rPr>
                <w:rFonts w:ascii="新宋体" w:hAnsi="新宋体" w:eastAsia="新宋体" w:cs="宋体"/>
                <w:szCs w:val="21"/>
              </w:rPr>
            </w:pPr>
            <w:r>
              <w:rPr>
                <w:rFonts w:hint="eastAsia" w:ascii="新宋体" w:hAnsi="新宋体" w:eastAsia="新宋体" w:cs="宋体"/>
                <w:szCs w:val="21"/>
              </w:rPr>
              <w:t>（二）评分标准：</w:t>
            </w:r>
          </w:p>
          <w:p>
            <w:pPr>
              <w:rPr>
                <w:rFonts w:ascii="新宋体" w:hAnsi="新宋体" w:eastAsia="新宋体" w:cs="宋体"/>
                <w:szCs w:val="21"/>
              </w:rPr>
            </w:pPr>
            <w:r>
              <w:rPr>
                <w:rFonts w:hint="eastAsia" w:ascii="新宋体" w:hAnsi="新宋体" w:eastAsia="新宋体" w:cs="宋体"/>
                <w:szCs w:val="21"/>
              </w:rPr>
              <w:t>满足以上三项要求得3分，满足以上两项要求得2分，满足以上一项要求得1分，其他情况不得分。</w:t>
            </w:r>
          </w:p>
          <w:p>
            <w:pPr>
              <w:rPr>
                <w:rFonts w:ascii="新宋体" w:hAnsi="新宋体" w:eastAsia="新宋体" w:cs="宋体"/>
                <w:szCs w:val="21"/>
              </w:rPr>
            </w:pPr>
            <w:r>
              <w:rPr>
                <w:rFonts w:hint="eastAsia" w:ascii="新宋体" w:hAnsi="新宋体" w:eastAsia="新宋体" w:cs="宋体"/>
                <w:szCs w:val="21"/>
              </w:rPr>
              <w:t>在此基础上：专家根据各供应商的具体响应内容按照量化的评审因素指标进一步评审，并按照下列要求进行加分：</w:t>
            </w:r>
          </w:p>
          <w:p>
            <w:pPr>
              <w:rPr>
                <w:rFonts w:ascii="新宋体" w:hAnsi="新宋体" w:eastAsia="新宋体" w:cs="宋体"/>
                <w:szCs w:val="21"/>
              </w:rPr>
            </w:pPr>
            <w:r>
              <w:rPr>
                <w:rFonts w:hint="eastAsia" w:ascii="新宋体" w:hAnsi="新宋体" w:eastAsia="新宋体" w:cs="宋体"/>
                <w:szCs w:val="21"/>
              </w:rPr>
              <w:t>（1）服务期计划、售后服务、配送方案内容全面；</w:t>
            </w:r>
          </w:p>
          <w:p>
            <w:pPr>
              <w:rPr>
                <w:rFonts w:ascii="新宋体" w:hAnsi="新宋体" w:eastAsia="新宋体" w:cs="宋体"/>
                <w:szCs w:val="21"/>
              </w:rPr>
            </w:pPr>
            <w:r>
              <w:rPr>
                <w:rFonts w:hint="eastAsia" w:ascii="新宋体" w:hAnsi="新宋体" w:eastAsia="新宋体" w:cs="宋体"/>
                <w:szCs w:val="21"/>
              </w:rPr>
              <w:t>（2）服务期计划、售后服务、配送方案内容具体，表达清晰、完整、严谨；</w:t>
            </w:r>
          </w:p>
          <w:p>
            <w:pPr>
              <w:rPr>
                <w:rFonts w:ascii="新宋体" w:hAnsi="新宋体" w:eastAsia="新宋体" w:cs="宋体"/>
                <w:szCs w:val="21"/>
              </w:rPr>
            </w:pPr>
            <w:r>
              <w:rPr>
                <w:rFonts w:hint="eastAsia" w:ascii="新宋体" w:hAnsi="新宋体" w:eastAsia="新宋体" w:cs="宋体"/>
                <w:szCs w:val="21"/>
              </w:rPr>
              <w:t>（3）服务期计划、售后服务、配送方案内容针对性强；</w:t>
            </w:r>
          </w:p>
          <w:p>
            <w:pPr>
              <w:rPr>
                <w:rFonts w:ascii="新宋体" w:hAnsi="新宋体" w:eastAsia="新宋体" w:cs="宋体"/>
                <w:szCs w:val="21"/>
              </w:rPr>
            </w:pPr>
            <w:r>
              <w:rPr>
                <w:rFonts w:hint="eastAsia" w:ascii="新宋体" w:hAnsi="新宋体" w:eastAsia="新宋体" w:cs="宋体"/>
                <w:szCs w:val="21"/>
              </w:rPr>
              <w:t>（4）服务期计划、售后服务、配送方案内容先进，科学合理；</w:t>
            </w:r>
          </w:p>
          <w:p>
            <w:pPr>
              <w:rPr>
                <w:rFonts w:ascii="新宋体" w:hAnsi="新宋体" w:eastAsia="新宋体" w:cs="宋体"/>
                <w:szCs w:val="21"/>
              </w:rPr>
            </w:pPr>
            <w:r>
              <w:rPr>
                <w:rFonts w:hint="eastAsia" w:ascii="新宋体" w:hAnsi="新宋体" w:eastAsia="新宋体" w:cs="宋体"/>
                <w:szCs w:val="21"/>
              </w:rPr>
              <w:t>（5）服务期计划、售后服务、配送方案内容可操作性强；</w:t>
            </w:r>
          </w:p>
          <w:p>
            <w:pPr>
              <w:rPr>
                <w:rFonts w:ascii="新宋体" w:hAnsi="新宋体" w:eastAsia="新宋体" w:cs="宋体"/>
                <w:szCs w:val="21"/>
              </w:rPr>
            </w:pPr>
            <w:r>
              <w:rPr>
                <w:rFonts w:hint="eastAsia" w:ascii="新宋体" w:hAnsi="新宋体" w:eastAsia="新宋体" w:cs="宋体"/>
                <w:szCs w:val="21"/>
              </w:rPr>
              <w:t>满足以上五项要求加7分，满足以上四项要求加5分，满足以上三项要求加3分，满足以上两项要求加1分，其它情况不加分。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ascii="新宋体" w:hAnsi="新宋体" w:eastAsia="新宋体"/>
                <w:szCs w:val="21"/>
              </w:rPr>
              <w:t>3</w:t>
            </w:r>
          </w:p>
        </w:tc>
        <w:tc>
          <w:tcPr>
            <w:tcW w:w="1480" w:type="dxa"/>
            <w:vAlign w:val="center"/>
          </w:tcPr>
          <w:p>
            <w:pPr>
              <w:jc w:val="center"/>
              <w:rPr>
                <w:rFonts w:ascii="新宋体" w:hAnsi="新宋体" w:eastAsia="新宋体"/>
                <w:color w:val="FF0000"/>
                <w:szCs w:val="21"/>
              </w:rPr>
            </w:pPr>
            <w:r>
              <w:rPr>
                <w:rFonts w:hint="eastAsia" w:ascii="新宋体" w:hAnsi="新宋体" w:eastAsia="新宋体"/>
                <w:szCs w:val="21"/>
              </w:rPr>
              <w:t>服务保障</w:t>
            </w:r>
          </w:p>
        </w:tc>
        <w:tc>
          <w:tcPr>
            <w:tcW w:w="929" w:type="dxa"/>
            <w:vAlign w:val="center"/>
          </w:tcPr>
          <w:p>
            <w:pPr>
              <w:jc w:val="center"/>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p>
        </w:tc>
        <w:tc>
          <w:tcPr>
            <w:tcW w:w="5075" w:type="dxa"/>
            <w:vAlign w:val="center"/>
          </w:tcPr>
          <w:p>
            <w:pPr>
              <w:rPr>
                <w:rFonts w:ascii="新宋体" w:hAnsi="新宋体" w:eastAsia="新宋体" w:cs="宋体"/>
                <w:bCs/>
                <w:kern w:val="0"/>
                <w:szCs w:val="21"/>
              </w:rPr>
            </w:pPr>
            <w:r>
              <w:rPr>
                <w:rFonts w:hint="eastAsia" w:ascii="新宋体" w:hAnsi="新宋体" w:eastAsia="新宋体" w:cs="宋体"/>
                <w:bCs/>
                <w:kern w:val="0"/>
                <w:szCs w:val="21"/>
              </w:rPr>
              <w:t>（一）评分内容：</w:t>
            </w:r>
          </w:p>
          <w:p>
            <w:pPr>
              <w:rPr>
                <w:rFonts w:ascii="新宋体" w:hAnsi="新宋体" w:eastAsia="新宋体" w:cs="宋体"/>
                <w:bCs/>
                <w:kern w:val="0"/>
                <w:szCs w:val="21"/>
              </w:rPr>
            </w:pPr>
            <w:r>
              <w:rPr>
                <w:rFonts w:hint="eastAsia" w:ascii="新宋体" w:hAnsi="新宋体" w:eastAsia="新宋体" w:cs="宋体"/>
                <w:bCs/>
                <w:kern w:val="0"/>
                <w:szCs w:val="21"/>
              </w:rPr>
              <w:t>针对本项目的需求制定服务保障情况，包括但不限于：</w:t>
            </w:r>
          </w:p>
          <w:p>
            <w:pPr>
              <w:rPr>
                <w:rFonts w:ascii="新宋体" w:hAnsi="新宋体" w:eastAsia="新宋体" w:cs="宋体"/>
                <w:bCs/>
                <w:kern w:val="0"/>
                <w:szCs w:val="21"/>
              </w:rPr>
            </w:pPr>
            <w:r>
              <w:rPr>
                <w:rFonts w:hint="eastAsia" w:ascii="新宋体" w:hAnsi="新宋体" w:eastAsia="新宋体" w:cs="宋体"/>
                <w:bCs/>
                <w:kern w:val="0"/>
                <w:szCs w:val="21"/>
              </w:rPr>
              <w:t>1</w:t>
            </w:r>
            <w:r>
              <w:rPr>
                <w:rFonts w:ascii="新宋体" w:hAnsi="新宋体" w:eastAsia="新宋体" w:cs="宋体"/>
                <w:bCs/>
                <w:kern w:val="0"/>
                <w:szCs w:val="21"/>
              </w:rPr>
              <w:t>.</w:t>
            </w:r>
            <w:r>
              <w:rPr>
                <w:rFonts w:hint="eastAsia" w:ascii="新宋体" w:hAnsi="新宋体" w:eastAsia="新宋体" w:cs="宋体"/>
                <w:bCs/>
                <w:kern w:val="0"/>
                <w:szCs w:val="21"/>
              </w:rPr>
              <w:t>服务办公场所对本项目实施的便利性；</w:t>
            </w:r>
          </w:p>
          <w:p>
            <w:pPr>
              <w:rPr>
                <w:rFonts w:ascii="新宋体" w:hAnsi="新宋体" w:eastAsia="新宋体" w:cs="宋体"/>
                <w:bCs/>
                <w:kern w:val="0"/>
                <w:szCs w:val="21"/>
              </w:rPr>
            </w:pPr>
            <w:r>
              <w:rPr>
                <w:rFonts w:hint="eastAsia" w:ascii="新宋体" w:hAnsi="新宋体" w:eastAsia="新宋体" w:cs="宋体"/>
                <w:bCs/>
                <w:kern w:val="0"/>
                <w:szCs w:val="21"/>
              </w:rPr>
              <w:t>2</w:t>
            </w:r>
            <w:r>
              <w:rPr>
                <w:rFonts w:ascii="新宋体" w:hAnsi="新宋体" w:eastAsia="新宋体" w:cs="宋体"/>
                <w:bCs/>
                <w:kern w:val="0"/>
                <w:szCs w:val="21"/>
              </w:rPr>
              <w:t>.</w:t>
            </w:r>
            <w:r>
              <w:rPr>
                <w:rFonts w:hint="eastAsia" w:ascii="新宋体" w:hAnsi="新宋体" w:eastAsia="新宋体" w:cs="宋体"/>
                <w:bCs/>
                <w:kern w:val="0"/>
                <w:szCs w:val="21"/>
              </w:rPr>
              <w:t>服务响应时间及时性情况。</w:t>
            </w:r>
          </w:p>
          <w:p>
            <w:pPr>
              <w:rPr>
                <w:rFonts w:ascii="新宋体" w:hAnsi="新宋体" w:eastAsia="新宋体" w:cs="宋体"/>
                <w:bCs/>
                <w:kern w:val="0"/>
                <w:szCs w:val="21"/>
              </w:rPr>
            </w:pPr>
            <w:r>
              <w:rPr>
                <w:rFonts w:hint="eastAsia" w:ascii="新宋体" w:hAnsi="新宋体" w:eastAsia="新宋体" w:cs="宋体"/>
                <w:bCs/>
                <w:kern w:val="0"/>
                <w:szCs w:val="21"/>
              </w:rPr>
              <w:t>（二）评分标准：</w:t>
            </w:r>
          </w:p>
          <w:p>
            <w:pPr>
              <w:rPr>
                <w:rFonts w:ascii="新宋体" w:hAnsi="新宋体" w:eastAsia="新宋体" w:cs="宋体"/>
                <w:bCs/>
                <w:kern w:val="0"/>
                <w:szCs w:val="21"/>
              </w:rPr>
            </w:pPr>
            <w:r>
              <w:rPr>
                <w:rFonts w:hint="eastAsia" w:ascii="新宋体" w:hAnsi="新宋体" w:eastAsia="新宋体" w:cs="宋体"/>
                <w:szCs w:val="21"/>
              </w:rPr>
              <w:t>满足以上两项要求得4分，满足以上任意一项要求得2分，其他情况不得分。</w:t>
            </w:r>
          </w:p>
          <w:p>
            <w:pPr>
              <w:rPr>
                <w:rFonts w:ascii="新宋体" w:hAnsi="新宋体" w:eastAsia="新宋体" w:cs="宋体"/>
                <w:bCs/>
                <w:kern w:val="0"/>
                <w:szCs w:val="21"/>
              </w:rPr>
            </w:pPr>
            <w:r>
              <w:rPr>
                <w:rFonts w:hint="eastAsia" w:ascii="新宋体" w:hAnsi="新宋体" w:eastAsia="新宋体" w:cs="宋体"/>
                <w:szCs w:val="21"/>
              </w:rPr>
              <w:t>在此基础上：专家根据各供应商的具体响应内容按照量化的评审因素指标进一步评审，并按照下列要求进行加分：</w:t>
            </w:r>
          </w:p>
          <w:p>
            <w:pPr>
              <w:rPr>
                <w:rFonts w:ascii="新宋体" w:hAnsi="新宋体" w:eastAsia="新宋体" w:cs="宋体"/>
                <w:bCs/>
                <w:kern w:val="0"/>
                <w:szCs w:val="21"/>
              </w:rPr>
            </w:pPr>
            <w:r>
              <w:rPr>
                <w:rFonts w:hint="eastAsia" w:ascii="新宋体" w:hAnsi="新宋体" w:eastAsia="新宋体" w:cs="宋体"/>
                <w:bCs/>
                <w:kern w:val="0"/>
                <w:szCs w:val="21"/>
              </w:rPr>
              <w:t>（1）服务保障内容全面；</w:t>
            </w:r>
          </w:p>
          <w:p>
            <w:pPr>
              <w:rPr>
                <w:rFonts w:ascii="新宋体" w:hAnsi="新宋体" w:eastAsia="新宋体" w:cs="宋体"/>
                <w:bCs/>
                <w:kern w:val="0"/>
                <w:szCs w:val="21"/>
              </w:rPr>
            </w:pPr>
            <w:r>
              <w:rPr>
                <w:rFonts w:hint="eastAsia" w:ascii="新宋体" w:hAnsi="新宋体" w:eastAsia="新宋体" w:cs="宋体"/>
                <w:bCs/>
                <w:kern w:val="0"/>
                <w:szCs w:val="21"/>
              </w:rPr>
              <w:t>（2）服务保障内容具体，表达清晰、完整、严谨；</w:t>
            </w:r>
          </w:p>
          <w:p>
            <w:pPr>
              <w:rPr>
                <w:rFonts w:ascii="新宋体" w:hAnsi="新宋体" w:eastAsia="新宋体" w:cs="宋体"/>
                <w:bCs/>
                <w:kern w:val="0"/>
                <w:szCs w:val="21"/>
              </w:rPr>
            </w:pPr>
            <w:r>
              <w:rPr>
                <w:rFonts w:hint="eastAsia" w:ascii="新宋体" w:hAnsi="新宋体" w:eastAsia="新宋体" w:cs="宋体"/>
                <w:bCs/>
                <w:kern w:val="0"/>
                <w:szCs w:val="21"/>
              </w:rPr>
              <w:t>（3）服务保障内容针对性强；</w:t>
            </w:r>
          </w:p>
          <w:p>
            <w:pPr>
              <w:rPr>
                <w:rFonts w:ascii="新宋体" w:hAnsi="新宋体" w:eastAsia="新宋体" w:cs="宋体"/>
                <w:bCs/>
                <w:kern w:val="0"/>
                <w:szCs w:val="21"/>
              </w:rPr>
            </w:pPr>
            <w:r>
              <w:rPr>
                <w:rFonts w:hint="eastAsia" w:ascii="新宋体" w:hAnsi="新宋体" w:eastAsia="新宋体" w:cs="宋体"/>
                <w:bCs/>
                <w:kern w:val="0"/>
                <w:szCs w:val="21"/>
              </w:rPr>
              <w:t>（4）服务保障内容先进，科学合理；</w:t>
            </w:r>
          </w:p>
          <w:p>
            <w:pPr>
              <w:rPr>
                <w:rFonts w:ascii="新宋体" w:hAnsi="新宋体" w:eastAsia="新宋体" w:cs="宋体"/>
                <w:bCs/>
                <w:kern w:val="0"/>
                <w:szCs w:val="21"/>
              </w:rPr>
            </w:pPr>
            <w:r>
              <w:rPr>
                <w:rFonts w:hint="eastAsia" w:ascii="新宋体" w:hAnsi="新宋体" w:eastAsia="新宋体" w:cs="宋体"/>
                <w:bCs/>
                <w:kern w:val="0"/>
                <w:szCs w:val="21"/>
              </w:rPr>
              <w:t>（5）服务保障内容可操作性强；</w:t>
            </w:r>
          </w:p>
          <w:p>
            <w:pPr>
              <w:rPr>
                <w:rFonts w:ascii="新宋体" w:hAnsi="新宋体" w:eastAsia="新宋体" w:cs="宋体"/>
                <w:bCs/>
                <w:kern w:val="0"/>
                <w:szCs w:val="21"/>
              </w:rPr>
            </w:pPr>
            <w:r>
              <w:rPr>
                <w:rFonts w:hint="eastAsia" w:ascii="新宋体" w:hAnsi="新宋体" w:eastAsia="新宋体" w:cs="宋体"/>
                <w:bCs/>
                <w:kern w:val="0"/>
                <w:szCs w:val="21"/>
              </w:rPr>
              <w:t>满足以上五项要求加6分，满足以上四项要求加4分，满足以上三项要求加2分，满足以上两项要求加1分，其它情况不加分。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ascii="新宋体" w:hAnsi="新宋体" w:eastAsia="新宋体"/>
                <w:szCs w:val="21"/>
              </w:rPr>
              <w:t>4</w:t>
            </w:r>
          </w:p>
        </w:tc>
        <w:tc>
          <w:tcPr>
            <w:tcW w:w="1480" w:type="dxa"/>
            <w:vAlign w:val="center"/>
          </w:tcPr>
          <w:p>
            <w:pPr>
              <w:rPr>
                <w:rFonts w:ascii="新宋体" w:hAnsi="新宋体" w:eastAsia="新宋体"/>
                <w:color w:val="FF0000"/>
                <w:szCs w:val="21"/>
              </w:rPr>
            </w:pPr>
            <w:r>
              <w:rPr>
                <w:rFonts w:hint="eastAsia" w:ascii="新宋体" w:hAnsi="新宋体" w:eastAsia="新宋体" w:cs="宋体"/>
                <w:szCs w:val="21"/>
              </w:rPr>
              <w:t>投标人履约能力</w:t>
            </w:r>
          </w:p>
        </w:tc>
        <w:tc>
          <w:tcPr>
            <w:tcW w:w="929" w:type="dxa"/>
            <w:vAlign w:val="center"/>
          </w:tcPr>
          <w:p>
            <w:pPr>
              <w:jc w:val="center"/>
              <w:rPr>
                <w:rFonts w:ascii="新宋体" w:hAnsi="新宋体" w:eastAsia="新宋体"/>
                <w:szCs w:val="21"/>
              </w:rPr>
            </w:pPr>
            <w:r>
              <w:rPr>
                <w:rFonts w:hint="eastAsia" w:ascii="新宋体" w:hAnsi="新宋体" w:eastAsia="新宋体" w:cs="宋体"/>
                <w:szCs w:val="21"/>
              </w:rPr>
              <w:t>7</w:t>
            </w:r>
          </w:p>
        </w:tc>
        <w:tc>
          <w:tcPr>
            <w:tcW w:w="5075" w:type="dxa"/>
            <w:vAlign w:val="center"/>
          </w:tcPr>
          <w:p>
            <w:pPr>
              <w:rPr>
                <w:rFonts w:ascii="新宋体" w:hAnsi="新宋体" w:eastAsia="新宋体" w:cs="宋体"/>
                <w:bCs/>
                <w:kern w:val="0"/>
                <w:szCs w:val="21"/>
              </w:rPr>
            </w:pPr>
            <w:r>
              <w:rPr>
                <w:rFonts w:hint="eastAsia" w:ascii="新宋体" w:hAnsi="新宋体" w:eastAsia="新宋体" w:cs="宋体"/>
                <w:bCs/>
                <w:kern w:val="0"/>
                <w:szCs w:val="21"/>
              </w:rPr>
              <w:t>（一）评分内容：</w:t>
            </w:r>
          </w:p>
          <w:p>
            <w:pPr>
              <w:rPr>
                <w:rFonts w:ascii="新宋体" w:hAnsi="新宋体" w:eastAsia="新宋体" w:cs="宋体"/>
                <w:bCs/>
                <w:szCs w:val="21"/>
              </w:rPr>
            </w:pPr>
            <w:r>
              <w:rPr>
                <w:rFonts w:hint="eastAsia" w:ascii="新宋体" w:hAnsi="新宋体" w:eastAsia="新宋体" w:cs="宋体"/>
                <w:bCs/>
                <w:szCs w:val="21"/>
              </w:rPr>
              <w:t>针对本项目的需求提供投标人履约能力情况，包括但不限于：</w:t>
            </w:r>
          </w:p>
          <w:p>
            <w:pPr>
              <w:rPr>
                <w:rFonts w:ascii="新宋体" w:hAnsi="新宋体" w:eastAsia="新宋体" w:cs="宋体"/>
                <w:bCs/>
                <w:szCs w:val="21"/>
              </w:rPr>
            </w:pPr>
            <w:r>
              <w:rPr>
                <w:rFonts w:hint="eastAsia" w:ascii="新宋体" w:hAnsi="新宋体" w:eastAsia="新宋体" w:cs="宋体"/>
                <w:bCs/>
                <w:szCs w:val="21"/>
              </w:rPr>
              <w:t>1</w:t>
            </w:r>
            <w:r>
              <w:rPr>
                <w:rFonts w:ascii="新宋体" w:hAnsi="新宋体" w:eastAsia="新宋体" w:cs="宋体"/>
                <w:bCs/>
                <w:color w:val="FF0000"/>
                <w:szCs w:val="21"/>
              </w:rPr>
              <w:t>.</w:t>
            </w:r>
            <w:r>
              <w:rPr>
                <w:rFonts w:hint="eastAsia" w:ascii="新宋体" w:hAnsi="新宋体" w:eastAsia="新宋体" w:cs="宋体"/>
                <w:bCs/>
                <w:szCs w:val="21"/>
              </w:rPr>
              <w:t>公司架构；</w:t>
            </w:r>
          </w:p>
          <w:p>
            <w:pPr>
              <w:rPr>
                <w:rFonts w:ascii="新宋体" w:hAnsi="新宋体" w:eastAsia="新宋体" w:cs="宋体"/>
                <w:bCs/>
                <w:szCs w:val="21"/>
              </w:rPr>
            </w:pPr>
            <w:r>
              <w:rPr>
                <w:rFonts w:hint="eastAsia" w:ascii="新宋体" w:hAnsi="新宋体" w:eastAsia="新宋体" w:cs="宋体"/>
                <w:bCs/>
                <w:szCs w:val="21"/>
              </w:rPr>
              <w:t>2</w:t>
            </w:r>
            <w:r>
              <w:rPr>
                <w:rFonts w:ascii="新宋体" w:hAnsi="新宋体" w:eastAsia="新宋体" w:cs="宋体"/>
                <w:bCs/>
                <w:szCs w:val="21"/>
              </w:rPr>
              <w:t>.</w:t>
            </w:r>
            <w:r>
              <w:rPr>
                <w:rFonts w:hint="eastAsia" w:ascii="新宋体" w:hAnsi="新宋体" w:eastAsia="新宋体" w:cs="宋体"/>
                <w:bCs/>
                <w:szCs w:val="21"/>
              </w:rPr>
              <w:t>公司管理制度；</w:t>
            </w:r>
          </w:p>
          <w:p>
            <w:pPr>
              <w:rPr>
                <w:rFonts w:ascii="新宋体" w:hAnsi="新宋体" w:eastAsia="新宋体" w:cs="宋体"/>
                <w:bCs/>
                <w:szCs w:val="21"/>
              </w:rPr>
            </w:pPr>
            <w:r>
              <w:rPr>
                <w:rFonts w:hint="eastAsia" w:ascii="新宋体" w:hAnsi="新宋体" w:eastAsia="新宋体" w:cs="宋体"/>
                <w:bCs/>
                <w:szCs w:val="21"/>
              </w:rPr>
              <w:t>3</w:t>
            </w:r>
            <w:r>
              <w:rPr>
                <w:rFonts w:ascii="新宋体" w:hAnsi="新宋体" w:eastAsia="新宋体" w:cs="宋体"/>
                <w:bCs/>
                <w:szCs w:val="21"/>
              </w:rPr>
              <w:t>.</w:t>
            </w:r>
            <w:r>
              <w:rPr>
                <w:rFonts w:hint="eastAsia" w:ascii="新宋体" w:hAnsi="新宋体" w:eastAsia="新宋体" w:cs="宋体"/>
                <w:bCs/>
                <w:szCs w:val="21"/>
              </w:rPr>
              <w:t>运作流程。</w:t>
            </w:r>
          </w:p>
          <w:p>
            <w:pPr>
              <w:rPr>
                <w:rFonts w:ascii="新宋体" w:hAnsi="新宋体" w:eastAsia="新宋体" w:cs="宋体"/>
                <w:bCs/>
                <w:szCs w:val="21"/>
              </w:rPr>
            </w:pPr>
            <w:r>
              <w:rPr>
                <w:rFonts w:hint="eastAsia" w:ascii="新宋体" w:hAnsi="新宋体" w:eastAsia="新宋体" w:cs="宋体"/>
                <w:bCs/>
                <w:kern w:val="0"/>
                <w:szCs w:val="21"/>
              </w:rPr>
              <w:t>（二）</w:t>
            </w:r>
            <w:r>
              <w:rPr>
                <w:rFonts w:hint="eastAsia" w:ascii="新宋体" w:hAnsi="新宋体" w:eastAsia="新宋体" w:cs="宋体"/>
                <w:bCs/>
                <w:szCs w:val="21"/>
              </w:rPr>
              <w:t>评分标准：</w:t>
            </w:r>
          </w:p>
          <w:p>
            <w:pPr>
              <w:rPr>
                <w:rFonts w:ascii="新宋体" w:hAnsi="新宋体" w:eastAsia="新宋体" w:cs="宋体"/>
                <w:szCs w:val="21"/>
              </w:rPr>
            </w:pPr>
            <w:r>
              <w:rPr>
                <w:rFonts w:hint="eastAsia" w:ascii="新宋体" w:hAnsi="新宋体" w:eastAsia="新宋体" w:cs="宋体"/>
                <w:szCs w:val="21"/>
              </w:rPr>
              <w:t>满足以上三项要求得3分，满足以上两项要求得1分，其他情况不得分。</w:t>
            </w:r>
          </w:p>
          <w:p>
            <w:pPr>
              <w:rPr>
                <w:rFonts w:ascii="新宋体" w:hAnsi="新宋体" w:eastAsia="新宋体" w:cs="宋体"/>
                <w:szCs w:val="21"/>
              </w:rPr>
            </w:pPr>
            <w:r>
              <w:rPr>
                <w:rFonts w:hint="eastAsia" w:ascii="新宋体" w:hAnsi="新宋体" w:eastAsia="新宋体" w:cs="宋体"/>
                <w:szCs w:val="21"/>
              </w:rPr>
              <w:t>在此基础上：专家根据各供应商的具体响应内容按照量化的评审因素指标进一步评审，并按照下列要求进行加分：</w:t>
            </w:r>
          </w:p>
          <w:p>
            <w:pPr>
              <w:rPr>
                <w:rFonts w:ascii="新宋体" w:hAnsi="新宋体" w:eastAsia="新宋体" w:cs="宋体"/>
                <w:bCs/>
                <w:szCs w:val="21"/>
              </w:rPr>
            </w:pPr>
            <w:r>
              <w:rPr>
                <w:rFonts w:hint="eastAsia" w:ascii="新宋体" w:hAnsi="新宋体" w:eastAsia="新宋体" w:cs="宋体"/>
                <w:bCs/>
                <w:szCs w:val="21"/>
              </w:rPr>
              <w:t>（1）投标人履约能力内容全面；</w:t>
            </w:r>
          </w:p>
          <w:p>
            <w:pPr>
              <w:rPr>
                <w:rFonts w:ascii="新宋体" w:hAnsi="新宋体" w:eastAsia="新宋体" w:cs="宋体"/>
                <w:bCs/>
                <w:szCs w:val="21"/>
              </w:rPr>
            </w:pPr>
            <w:r>
              <w:rPr>
                <w:rFonts w:hint="eastAsia" w:ascii="新宋体" w:hAnsi="新宋体" w:eastAsia="新宋体" w:cs="宋体"/>
                <w:bCs/>
                <w:szCs w:val="21"/>
              </w:rPr>
              <w:t>（2）投标人履约能力内容具体，表达清晰、完整、严谨；</w:t>
            </w:r>
          </w:p>
          <w:p>
            <w:pPr>
              <w:rPr>
                <w:rFonts w:ascii="新宋体" w:hAnsi="新宋体" w:eastAsia="新宋体" w:cs="宋体"/>
                <w:bCs/>
                <w:szCs w:val="21"/>
              </w:rPr>
            </w:pPr>
            <w:r>
              <w:rPr>
                <w:rFonts w:hint="eastAsia" w:ascii="新宋体" w:hAnsi="新宋体" w:eastAsia="新宋体" w:cs="宋体"/>
                <w:bCs/>
                <w:szCs w:val="21"/>
              </w:rPr>
              <w:t>（3）投标人履约能力内容针对性强；</w:t>
            </w:r>
          </w:p>
          <w:p>
            <w:pPr>
              <w:rPr>
                <w:rFonts w:ascii="新宋体" w:hAnsi="新宋体" w:eastAsia="新宋体" w:cs="宋体"/>
                <w:bCs/>
                <w:szCs w:val="21"/>
              </w:rPr>
            </w:pPr>
            <w:r>
              <w:rPr>
                <w:rFonts w:hint="eastAsia" w:ascii="新宋体" w:hAnsi="新宋体" w:eastAsia="新宋体" w:cs="宋体"/>
                <w:bCs/>
                <w:szCs w:val="21"/>
              </w:rPr>
              <w:t>（4）投标人履约能力内容先进，科学合理；</w:t>
            </w:r>
          </w:p>
          <w:p>
            <w:pPr>
              <w:rPr>
                <w:rFonts w:ascii="新宋体" w:hAnsi="新宋体" w:eastAsia="新宋体" w:cs="宋体"/>
                <w:bCs/>
                <w:szCs w:val="21"/>
              </w:rPr>
            </w:pPr>
            <w:r>
              <w:rPr>
                <w:rFonts w:hint="eastAsia" w:ascii="新宋体" w:hAnsi="新宋体" w:eastAsia="新宋体" w:cs="宋体"/>
                <w:bCs/>
                <w:szCs w:val="21"/>
              </w:rPr>
              <w:t>（5）投标人履约能力内容可操作性强；</w:t>
            </w:r>
          </w:p>
          <w:p>
            <w:pPr>
              <w:rPr>
                <w:rFonts w:ascii="新宋体" w:hAnsi="新宋体" w:eastAsia="新宋体" w:cs="宋体"/>
                <w:bCs/>
                <w:szCs w:val="21"/>
              </w:rPr>
            </w:pPr>
            <w:r>
              <w:rPr>
                <w:rFonts w:hint="eastAsia" w:ascii="新宋体" w:hAnsi="新宋体" w:eastAsia="新宋体" w:cs="宋体"/>
                <w:bCs/>
                <w:szCs w:val="21"/>
              </w:rPr>
              <w:t>满足以上五项要求加4分，满足以上四项要求加3分，满足以上三项要求加2分，满足以上两项要求加1分，其它情况不加分。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hint="eastAsia" w:ascii="新宋体" w:hAnsi="新宋体" w:eastAsia="新宋体"/>
                <w:szCs w:val="21"/>
              </w:rPr>
              <w:t>5</w:t>
            </w:r>
          </w:p>
        </w:tc>
        <w:tc>
          <w:tcPr>
            <w:tcW w:w="1480" w:type="dxa"/>
            <w:vAlign w:val="center"/>
          </w:tcPr>
          <w:p>
            <w:pPr>
              <w:rPr>
                <w:rFonts w:ascii="新宋体" w:hAnsi="新宋体" w:eastAsia="新宋体" w:cs="宋体"/>
                <w:color w:val="FF0000"/>
                <w:szCs w:val="21"/>
              </w:rPr>
            </w:pPr>
            <w:r>
              <w:rPr>
                <w:rFonts w:hint="eastAsia" w:ascii="新宋体" w:hAnsi="新宋体" w:eastAsia="新宋体" w:cs="宋体"/>
                <w:szCs w:val="21"/>
              </w:rPr>
              <w:t>人员安排及保障计划</w:t>
            </w:r>
          </w:p>
        </w:tc>
        <w:tc>
          <w:tcPr>
            <w:tcW w:w="929" w:type="dxa"/>
            <w:vAlign w:val="center"/>
          </w:tcPr>
          <w:p>
            <w:pPr>
              <w:jc w:val="center"/>
              <w:rPr>
                <w:rFonts w:ascii="新宋体" w:hAnsi="新宋体" w:eastAsia="新宋体" w:cs="宋体"/>
                <w:color w:val="0000FF"/>
                <w:szCs w:val="21"/>
              </w:rPr>
            </w:pPr>
            <w:r>
              <w:rPr>
                <w:rFonts w:hint="eastAsia" w:ascii="新宋体" w:hAnsi="新宋体" w:eastAsia="新宋体" w:cs="宋体"/>
                <w:szCs w:val="21"/>
              </w:rPr>
              <w:t>6</w:t>
            </w:r>
          </w:p>
        </w:tc>
        <w:tc>
          <w:tcPr>
            <w:tcW w:w="5075" w:type="dxa"/>
            <w:vAlign w:val="center"/>
          </w:tcPr>
          <w:p>
            <w:pPr>
              <w:rPr>
                <w:rFonts w:ascii="新宋体" w:hAnsi="新宋体" w:eastAsia="新宋体" w:cs="宋体"/>
                <w:bCs/>
                <w:kern w:val="0"/>
                <w:szCs w:val="21"/>
              </w:rPr>
            </w:pPr>
            <w:r>
              <w:rPr>
                <w:rFonts w:hint="eastAsia" w:ascii="新宋体" w:hAnsi="新宋体" w:eastAsia="新宋体" w:cs="宋体"/>
                <w:bCs/>
                <w:kern w:val="0"/>
                <w:szCs w:val="21"/>
              </w:rPr>
              <w:t>（一）评分内容：</w:t>
            </w:r>
          </w:p>
          <w:p>
            <w:pPr>
              <w:rPr>
                <w:rFonts w:ascii="新宋体" w:hAnsi="新宋体" w:eastAsia="新宋体" w:cs="宋体"/>
                <w:szCs w:val="21"/>
              </w:rPr>
            </w:pPr>
            <w:r>
              <w:rPr>
                <w:rFonts w:hint="eastAsia" w:ascii="新宋体" w:hAnsi="新宋体" w:eastAsia="新宋体" w:cs="宋体"/>
                <w:szCs w:val="21"/>
              </w:rPr>
              <w:t>投标人需根据项目需求提供人员安排及保障计划。</w:t>
            </w:r>
          </w:p>
          <w:p>
            <w:pPr>
              <w:rPr>
                <w:rFonts w:ascii="新宋体" w:hAnsi="新宋体" w:eastAsia="新宋体" w:cs="宋体"/>
                <w:szCs w:val="21"/>
              </w:rPr>
            </w:pPr>
            <w:r>
              <w:rPr>
                <w:rFonts w:hint="eastAsia" w:ascii="新宋体" w:hAnsi="新宋体" w:eastAsia="新宋体" w:cs="宋体"/>
                <w:szCs w:val="21"/>
              </w:rPr>
              <w:t>1.具有人员安排计划；</w:t>
            </w:r>
          </w:p>
          <w:p>
            <w:pPr>
              <w:rPr>
                <w:rFonts w:ascii="新宋体" w:hAnsi="新宋体" w:eastAsia="新宋体" w:cs="宋体"/>
                <w:szCs w:val="21"/>
              </w:rPr>
            </w:pPr>
            <w:r>
              <w:rPr>
                <w:rFonts w:hint="eastAsia" w:ascii="新宋体" w:hAnsi="新宋体" w:eastAsia="新宋体" w:cs="宋体"/>
                <w:szCs w:val="21"/>
              </w:rPr>
              <w:t>2.具有保障计划。</w:t>
            </w:r>
          </w:p>
          <w:p>
            <w:pPr>
              <w:rPr>
                <w:rFonts w:ascii="新宋体" w:hAnsi="新宋体" w:eastAsia="新宋体" w:cs="宋体"/>
                <w:szCs w:val="21"/>
              </w:rPr>
            </w:pPr>
            <w:r>
              <w:rPr>
                <w:rFonts w:hint="eastAsia" w:ascii="新宋体" w:hAnsi="新宋体" w:eastAsia="新宋体" w:cs="宋体"/>
                <w:szCs w:val="21"/>
              </w:rPr>
              <w:t>（二）评分标准：</w:t>
            </w:r>
          </w:p>
          <w:p>
            <w:pPr>
              <w:rPr>
                <w:rFonts w:ascii="新宋体" w:hAnsi="新宋体" w:eastAsia="新宋体" w:cs="宋体"/>
                <w:szCs w:val="21"/>
              </w:rPr>
            </w:pPr>
            <w:r>
              <w:rPr>
                <w:rFonts w:hint="eastAsia" w:ascii="新宋体" w:hAnsi="新宋体" w:eastAsia="新宋体" w:cs="宋体"/>
                <w:szCs w:val="21"/>
              </w:rPr>
              <w:t>满足以上二项要求得2分，满足以上一项要求得1分，其他情况不得分。</w:t>
            </w:r>
          </w:p>
          <w:p>
            <w:pPr>
              <w:rPr>
                <w:rFonts w:ascii="新宋体" w:hAnsi="新宋体" w:eastAsia="新宋体" w:cs="宋体"/>
                <w:szCs w:val="21"/>
              </w:rPr>
            </w:pPr>
            <w:r>
              <w:rPr>
                <w:rFonts w:hint="eastAsia" w:ascii="新宋体" w:hAnsi="新宋体" w:eastAsia="新宋体" w:cs="宋体"/>
                <w:szCs w:val="21"/>
              </w:rPr>
              <w:t>在此基础上：专家根据各供应商的具体响应内容按照量化的评审因素指标进一步评审，并按照下列要求进行加分：</w:t>
            </w:r>
          </w:p>
          <w:p>
            <w:pPr>
              <w:rPr>
                <w:rFonts w:ascii="新宋体" w:hAnsi="新宋体" w:eastAsia="新宋体" w:cs="宋体"/>
                <w:szCs w:val="21"/>
              </w:rPr>
            </w:pPr>
            <w:r>
              <w:rPr>
                <w:rFonts w:hint="eastAsia" w:ascii="新宋体" w:hAnsi="新宋体" w:eastAsia="新宋体" w:cs="宋体"/>
                <w:szCs w:val="21"/>
              </w:rPr>
              <w:t>（1）人员安排及保障计划内容全面；</w:t>
            </w:r>
          </w:p>
          <w:p>
            <w:pPr>
              <w:rPr>
                <w:rFonts w:ascii="新宋体" w:hAnsi="新宋体" w:eastAsia="新宋体" w:cs="宋体"/>
                <w:szCs w:val="21"/>
              </w:rPr>
            </w:pPr>
            <w:r>
              <w:rPr>
                <w:rFonts w:hint="eastAsia" w:ascii="新宋体" w:hAnsi="新宋体" w:eastAsia="新宋体" w:cs="宋体"/>
                <w:szCs w:val="21"/>
              </w:rPr>
              <w:t>（2）人员安排及保障计划内容针对性强；</w:t>
            </w:r>
          </w:p>
          <w:p>
            <w:pPr>
              <w:rPr>
                <w:rFonts w:ascii="新宋体" w:hAnsi="新宋体" w:eastAsia="新宋体" w:cs="宋体"/>
                <w:szCs w:val="21"/>
              </w:rPr>
            </w:pPr>
            <w:r>
              <w:rPr>
                <w:rFonts w:hint="eastAsia" w:ascii="新宋体" w:hAnsi="新宋体" w:eastAsia="新宋体" w:cs="宋体"/>
                <w:szCs w:val="21"/>
              </w:rPr>
              <w:t>（3）人员安排及保障计划内容科学合理；</w:t>
            </w:r>
          </w:p>
          <w:p>
            <w:pPr>
              <w:rPr>
                <w:rFonts w:ascii="新宋体" w:hAnsi="新宋体" w:eastAsia="新宋体" w:cs="宋体"/>
                <w:szCs w:val="21"/>
              </w:rPr>
            </w:pPr>
            <w:r>
              <w:rPr>
                <w:rFonts w:hint="eastAsia" w:ascii="新宋体" w:hAnsi="新宋体" w:eastAsia="新宋体" w:cs="宋体"/>
                <w:szCs w:val="21"/>
              </w:rPr>
              <w:t>满足以上三项要求加4分，满足以上两项要求加3分，满足以上一项要求加2分，其它情况不加分。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Align w:val="center"/>
          </w:tcPr>
          <w:p>
            <w:pPr>
              <w:jc w:val="center"/>
              <w:rPr>
                <w:rFonts w:ascii="新宋体" w:hAnsi="新宋体" w:eastAsia="新宋体"/>
                <w:b/>
                <w:szCs w:val="21"/>
              </w:rPr>
            </w:pPr>
            <w:r>
              <w:rPr>
                <w:rFonts w:ascii="新宋体" w:hAnsi="新宋体" w:eastAsia="新宋体"/>
                <w:b/>
                <w:szCs w:val="21"/>
              </w:rPr>
              <w:t>3</w:t>
            </w:r>
          </w:p>
        </w:tc>
        <w:tc>
          <w:tcPr>
            <w:tcW w:w="3379" w:type="dxa"/>
            <w:gridSpan w:val="3"/>
            <w:vAlign w:val="center"/>
          </w:tcPr>
          <w:p>
            <w:pPr>
              <w:jc w:val="center"/>
              <w:rPr>
                <w:rFonts w:ascii="新宋体" w:hAnsi="新宋体" w:eastAsia="新宋体"/>
                <w:b/>
                <w:szCs w:val="21"/>
              </w:rPr>
            </w:pPr>
            <w:r>
              <w:rPr>
                <w:rFonts w:hint="eastAsia" w:ascii="新宋体" w:hAnsi="新宋体" w:eastAsia="新宋体"/>
                <w:b/>
                <w:szCs w:val="21"/>
              </w:rPr>
              <w:t>商务需求</w:t>
            </w:r>
          </w:p>
        </w:tc>
        <w:tc>
          <w:tcPr>
            <w:tcW w:w="5075" w:type="dxa"/>
            <w:vAlign w:val="center"/>
          </w:tcPr>
          <w:p>
            <w:pPr>
              <w:jc w:val="center"/>
              <w:rPr>
                <w:rFonts w:ascii="新宋体" w:hAnsi="新宋体" w:eastAsia="新宋体"/>
                <w:b/>
                <w:szCs w:val="21"/>
                <w:lang w:val="en"/>
              </w:rPr>
            </w:pPr>
            <w:r>
              <w:rPr>
                <w:rFonts w:hint="eastAsia" w:ascii="新宋体" w:hAnsi="新宋体" w:eastAsia="新宋体"/>
                <w:b/>
                <w:szCs w:val="21"/>
              </w:rPr>
              <w:t>2</w:t>
            </w:r>
            <w:r>
              <w:rPr>
                <w:rFonts w:hint="eastAsia" w:ascii="新宋体" w:hAnsi="新宋体" w:eastAsia="新宋体"/>
                <w:b/>
                <w:szCs w:val="21"/>
                <w:lang w:val="e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restart"/>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hint="eastAsia" w:ascii="新宋体" w:hAnsi="新宋体" w:eastAsia="新宋体"/>
                <w:szCs w:val="21"/>
              </w:rPr>
              <w:t>序号</w:t>
            </w:r>
          </w:p>
        </w:tc>
        <w:tc>
          <w:tcPr>
            <w:tcW w:w="1480" w:type="dxa"/>
            <w:vAlign w:val="center"/>
          </w:tcPr>
          <w:p>
            <w:pPr>
              <w:jc w:val="center"/>
              <w:rPr>
                <w:rFonts w:ascii="新宋体" w:hAnsi="新宋体" w:eastAsia="新宋体"/>
                <w:szCs w:val="21"/>
              </w:rPr>
            </w:pPr>
            <w:r>
              <w:rPr>
                <w:rFonts w:hint="eastAsia" w:ascii="新宋体" w:hAnsi="新宋体" w:eastAsia="新宋体"/>
                <w:szCs w:val="21"/>
              </w:rPr>
              <w:t>评分因素</w:t>
            </w:r>
          </w:p>
        </w:tc>
        <w:tc>
          <w:tcPr>
            <w:tcW w:w="929" w:type="dxa"/>
            <w:vAlign w:val="center"/>
          </w:tcPr>
          <w:p>
            <w:pPr>
              <w:jc w:val="center"/>
              <w:rPr>
                <w:rFonts w:ascii="新宋体" w:hAnsi="新宋体" w:eastAsia="新宋体"/>
                <w:szCs w:val="21"/>
              </w:rPr>
            </w:pPr>
            <w:r>
              <w:rPr>
                <w:rFonts w:hint="eastAsia" w:ascii="新宋体" w:hAnsi="新宋体" w:eastAsia="新宋体"/>
                <w:szCs w:val="21"/>
              </w:rPr>
              <w:t>权重</w:t>
            </w:r>
          </w:p>
        </w:tc>
        <w:tc>
          <w:tcPr>
            <w:tcW w:w="5075" w:type="dxa"/>
            <w:vAlign w:val="center"/>
          </w:tcPr>
          <w:p>
            <w:pPr>
              <w:jc w:val="center"/>
              <w:rPr>
                <w:rFonts w:ascii="新宋体" w:hAnsi="新宋体" w:eastAsia="新宋体"/>
                <w:szCs w:val="21"/>
              </w:rPr>
            </w:pPr>
            <w:r>
              <w:rPr>
                <w:rFonts w:hint="eastAsia" w:ascii="新宋体" w:hAnsi="新宋体" w:eastAsia="新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ascii="新宋体" w:hAnsi="新宋体" w:eastAsia="新宋体"/>
                <w:szCs w:val="21"/>
              </w:rPr>
              <w:t>1</w:t>
            </w:r>
          </w:p>
        </w:tc>
        <w:tc>
          <w:tcPr>
            <w:tcW w:w="1480" w:type="dxa"/>
            <w:vAlign w:val="center"/>
          </w:tcPr>
          <w:p>
            <w:pPr>
              <w:jc w:val="center"/>
              <w:rPr>
                <w:rFonts w:ascii="新宋体" w:hAnsi="新宋体" w:eastAsia="新宋体"/>
                <w:szCs w:val="21"/>
              </w:rPr>
            </w:pPr>
            <w:r>
              <w:rPr>
                <w:rFonts w:hint="eastAsia" w:ascii="新宋体" w:hAnsi="新宋体" w:eastAsia="新宋体"/>
                <w:szCs w:val="21"/>
              </w:rPr>
              <w:t>同类项目业绩</w:t>
            </w:r>
          </w:p>
        </w:tc>
        <w:tc>
          <w:tcPr>
            <w:tcW w:w="929" w:type="dxa"/>
            <w:vAlign w:val="center"/>
          </w:tcPr>
          <w:p>
            <w:pPr>
              <w:jc w:val="center"/>
              <w:rPr>
                <w:rFonts w:ascii="新宋体" w:hAnsi="新宋体" w:eastAsia="新宋体"/>
                <w:szCs w:val="21"/>
              </w:rPr>
            </w:pPr>
            <w:r>
              <w:rPr>
                <w:rFonts w:hint="eastAsia" w:ascii="新宋体" w:hAnsi="新宋体" w:eastAsia="新宋体" w:cs="宋体"/>
                <w:szCs w:val="21"/>
              </w:rPr>
              <w:t>10</w:t>
            </w:r>
          </w:p>
        </w:tc>
        <w:tc>
          <w:tcPr>
            <w:tcW w:w="5075" w:type="dxa"/>
            <w:vAlign w:val="center"/>
          </w:tcPr>
          <w:p>
            <w:pPr>
              <w:rPr>
                <w:rFonts w:ascii="新宋体" w:hAnsi="新宋体" w:eastAsia="新宋体" w:cs="宋体"/>
                <w:bCs/>
                <w:kern w:val="0"/>
                <w:szCs w:val="21"/>
              </w:rPr>
            </w:pPr>
            <w:r>
              <w:rPr>
                <w:rFonts w:hint="eastAsia" w:ascii="新宋体" w:hAnsi="新宋体" w:eastAsia="新宋体" w:cs="宋体"/>
                <w:bCs/>
                <w:kern w:val="0"/>
                <w:szCs w:val="21"/>
              </w:rPr>
              <w:t>（一）评分内容：</w:t>
            </w:r>
          </w:p>
          <w:p>
            <w:pPr>
              <w:rPr>
                <w:rFonts w:ascii="新宋体" w:hAnsi="新宋体" w:eastAsia="新宋体" w:cs="宋体"/>
                <w:szCs w:val="21"/>
              </w:rPr>
            </w:pPr>
            <w:r>
              <w:rPr>
                <w:rFonts w:hint="eastAsia" w:ascii="新宋体" w:hAnsi="新宋体" w:eastAsia="新宋体" w:cs="宋体"/>
                <w:szCs w:val="21"/>
              </w:rPr>
              <w:t>2022年1月1日至投标报名截止日投标人具有党政机关或企事业单位采购业绩的，每提供一份得5分，满分10分，无或其他不得分。</w:t>
            </w:r>
          </w:p>
          <w:p>
            <w:pPr>
              <w:rPr>
                <w:rFonts w:ascii="新宋体" w:hAnsi="新宋体" w:eastAsia="新宋体"/>
                <w:szCs w:val="21"/>
              </w:rPr>
            </w:pPr>
            <w:r>
              <w:rPr>
                <w:rFonts w:hint="eastAsia" w:ascii="新宋体" w:hAnsi="新宋体" w:eastAsia="新宋体"/>
                <w:szCs w:val="21"/>
              </w:rPr>
              <w:t>（二）评审依据：</w:t>
            </w:r>
          </w:p>
          <w:p>
            <w:pPr>
              <w:rPr>
                <w:rFonts w:ascii="新宋体" w:hAnsi="新宋体" w:eastAsia="新宋体"/>
                <w:szCs w:val="21"/>
              </w:rPr>
            </w:pPr>
            <w:r>
              <w:rPr>
                <w:rFonts w:hint="eastAsia" w:ascii="新宋体" w:hAnsi="新宋体" w:eastAsia="新宋体"/>
                <w:szCs w:val="21"/>
              </w:rPr>
              <w:t>1.要求同时提供</w:t>
            </w:r>
            <w:r>
              <w:rPr>
                <w:rFonts w:hint="eastAsia" w:ascii="新宋体" w:hAnsi="新宋体" w:eastAsia="新宋体" w:cs="宋体"/>
                <w:szCs w:val="21"/>
              </w:rPr>
              <w:t>合同关键页（必须包含：签约时间、项目名称、双方盖章）</w:t>
            </w:r>
            <w:r>
              <w:rPr>
                <w:rFonts w:hint="eastAsia" w:ascii="新宋体" w:hAnsi="新宋体" w:eastAsia="新宋体"/>
                <w:szCs w:val="21"/>
              </w:rPr>
              <w:t>作为得分依据</w:t>
            </w:r>
            <w:r>
              <w:rPr>
                <w:rFonts w:hint="eastAsia" w:ascii="新宋体" w:hAnsi="新宋体" w:eastAsia="新宋体" w:cs="宋体"/>
                <w:szCs w:val="21"/>
              </w:rPr>
              <w:t>，时间以合同签订时间为准</w:t>
            </w:r>
            <w:r>
              <w:rPr>
                <w:rFonts w:hint="eastAsia" w:ascii="新宋体" w:hAnsi="新宋体" w:eastAsia="新宋体"/>
                <w:szCs w:val="21"/>
              </w:rPr>
              <w:t>。</w:t>
            </w:r>
          </w:p>
          <w:p>
            <w:pPr>
              <w:rPr>
                <w:rFonts w:ascii="新宋体" w:hAnsi="新宋体" w:eastAsia="新宋体"/>
                <w:szCs w:val="21"/>
              </w:rPr>
            </w:pPr>
            <w:r>
              <w:rPr>
                <w:rFonts w:hint="eastAsia" w:ascii="新宋体" w:hAnsi="新宋体" w:eastAsia="新宋体"/>
                <w:szCs w:val="21"/>
              </w:rPr>
              <w:t>2.通过合同关键信息无法判断是否得分的，还须同时提供能证明得分的其它证明资料，如项目报告或合同甲方出具的证明文件等。</w:t>
            </w:r>
          </w:p>
          <w:p>
            <w:pPr>
              <w:rPr>
                <w:rFonts w:ascii="新宋体" w:hAnsi="新宋体" w:eastAsia="新宋体" w:cs="宋体"/>
                <w:szCs w:val="21"/>
              </w:rPr>
            </w:pPr>
            <w:r>
              <w:rPr>
                <w:rFonts w:hint="eastAsia" w:ascii="新宋体" w:hAnsi="新宋体" w:eastAsia="新宋体"/>
                <w:szCs w:val="21"/>
              </w:rPr>
              <w:t>3.以上资料均要求提供扫描件，原件备查。</w:t>
            </w:r>
            <w:r>
              <w:rPr>
                <w:rFonts w:ascii="新宋体" w:hAnsi="新宋体" w:eastAsia="新宋体"/>
                <w:szCs w:val="21"/>
              </w:rPr>
              <w:t>评分中出现无证明资料或专家无法凭所提供资料判断是否得分的情况，一律作不得分处理</w:t>
            </w:r>
            <w:r>
              <w:rPr>
                <w:rFonts w:hint="eastAsia" w:ascii="新宋体" w:hAnsi="新宋体" w:eastAsia="新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ascii="新宋体" w:hAnsi="新宋体" w:eastAsia="新宋体"/>
                <w:szCs w:val="21"/>
              </w:rPr>
              <w:t>2</w:t>
            </w:r>
          </w:p>
        </w:tc>
        <w:tc>
          <w:tcPr>
            <w:tcW w:w="1480" w:type="dxa"/>
            <w:vAlign w:val="center"/>
          </w:tcPr>
          <w:p>
            <w:pPr>
              <w:jc w:val="center"/>
              <w:rPr>
                <w:rFonts w:ascii="新宋体" w:hAnsi="新宋体" w:eastAsia="新宋体"/>
                <w:color w:val="FF0000"/>
                <w:szCs w:val="21"/>
              </w:rPr>
            </w:pPr>
            <w:r>
              <w:rPr>
                <w:rFonts w:hint="eastAsia" w:ascii="新宋体" w:hAnsi="新宋体" w:eastAsia="新宋体" w:cs="宋体"/>
                <w:szCs w:val="21"/>
              </w:rPr>
              <w:t>履约评价情况</w:t>
            </w:r>
          </w:p>
        </w:tc>
        <w:tc>
          <w:tcPr>
            <w:tcW w:w="929" w:type="dxa"/>
            <w:vAlign w:val="center"/>
          </w:tcPr>
          <w:p>
            <w:pPr>
              <w:jc w:val="center"/>
              <w:rPr>
                <w:rFonts w:ascii="新宋体" w:hAnsi="新宋体" w:eastAsia="新宋体"/>
                <w:szCs w:val="21"/>
              </w:rPr>
            </w:pPr>
            <w:r>
              <w:rPr>
                <w:rFonts w:hint="eastAsia" w:ascii="新宋体" w:hAnsi="新宋体" w:eastAsia="新宋体" w:cs="宋体"/>
                <w:szCs w:val="21"/>
              </w:rPr>
              <w:t>10</w:t>
            </w:r>
          </w:p>
        </w:tc>
        <w:tc>
          <w:tcPr>
            <w:tcW w:w="5075" w:type="dxa"/>
            <w:vAlign w:val="center"/>
          </w:tcPr>
          <w:p>
            <w:pPr>
              <w:rPr>
                <w:rFonts w:ascii="新宋体" w:hAnsi="新宋体" w:eastAsia="新宋体" w:cs="宋体"/>
                <w:bCs/>
                <w:kern w:val="0"/>
                <w:szCs w:val="21"/>
              </w:rPr>
            </w:pPr>
            <w:r>
              <w:rPr>
                <w:rFonts w:hint="eastAsia" w:ascii="新宋体" w:hAnsi="新宋体" w:eastAsia="新宋体" w:cs="宋体"/>
                <w:bCs/>
                <w:kern w:val="0"/>
                <w:szCs w:val="21"/>
              </w:rPr>
              <w:t>（一）评分内容：</w:t>
            </w:r>
          </w:p>
          <w:p>
            <w:pPr>
              <w:rPr>
                <w:rFonts w:ascii="新宋体" w:hAnsi="新宋体" w:eastAsia="新宋体" w:cs="宋体"/>
                <w:szCs w:val="21"/>
              </w:rPr>
            </w:pPr>
            <w:r>
              <w:rPr>
                <w:rFonts w:hint="eastAsia" w:ascii="新宋体" w:hAnsi="新宋体" w:eastAsia="新宋体" w:cs="宋体"/>
                <w:szCs w:val="21"/>
              </w:rPr>
              <w:t>投标人每提供1个“同类项目业绩”评分项要求中的有效业绩获得的验收报告或履约评价，且评价结果为优秀或满意或同等描述的得5分，最高得10分。</w:t>
            </w:r>
          </w:p>
          <w:p>
            <w:pPr>
              <w:rPr>
                <w:rFonts w:ascii="新宋体" w:hAnsi="新宋体" w:eastAsia="新宋体" w:cs="宋体"/>
                <w:szCs w:val="21"/>
              </w:rPr>
            </w:pPr>
            <w:r>
              <w:rPr>
                <w:rFonts w:hint="eastAsia" w:ascii="新宋体" w:hAnsi="新宋体" w:eastAsia="新宋体" w:cs="宋体"/>
                <w:szCs w:val="21"/>
              </w:rPr>
              <w:t>（二）</w:t>
            </w:r>
            <w:r>
              <w:rPr>
                <w:rFonts w:hint="eastAsia" w:ascii="新宋体" w:hAnsi="新宋体" w:eastAsia="新宋体"/>
                <w:szCs w:val="21"/>
              </w:rPr>
              <w:t>评审依据：</w:t>
            </w:r>
          </w:p>
          <w:p>
            <w:pPr>
              <w:rPr>
                <w:rFonts w:ascii="新宋体" w:hAnsi="新宋体" w:eastAsia="新宋体" w:cs="宋体"/>
                <w:szCs w:val="21"/>
              </w:rPr>
            </w:pPr>
            <w:r>
              <w:rPr>
                <w:rFonts w:hint="eastAsia" w:ascii="新宋体" w:hAnsi="新宋体" w:eastAsia="新宋体" w:cs="宋体"/>
                <w:szCs w:val="21"/>
              </w:rPr>
              <w:t>提供项目验收报告或客户履约评价，且评价结果为优秀或者满意或同等描述（需加盖合同甲方公章或业务章）的复印件，原件备查，否则不得分。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hint="eastAsia" w:ascii="新宋体" w:hAnsi="新宋体" w:eastAsia="新宋体"/>
                <w:szCs w:val="21"/>
              </w:rPr>
              <w:t>3</w:t>
            </w:r>
          </w:p>
        </w:tc>
        <w:tc>
          <w:tcPr>
            <w:tcW w:w="1480" w:type="dxa"/>
            <w:vAlign w:val="center"/>
          </w:tcPr>
          <w:p>
            <w:pPr>
              <w:jc w:val="center"/>
              <w:rPr>
                <w:rFonts w:ascii="新宋体" w:hAnsi="新宋体" w:eastAsia="新宋体"/>
                <w:szCs w:val="21"/>
              </w:rPr>
            </w:pPr>
            <w:r>
              <w:rPr>
                <w:rFonts w:hint="eastAsia" w:ascii="新宋体" w:hAnsi="新宋体" w:eastAsia="新宋体"/>
                <w:szCs w:val="21"/>
              </w:rPr>
              <w:t>运输保障能力</w:t>
            </w:r>
          </w:p>
        </w:tc>
        <w:tc>
          <w:tcPr>
            <w:tcW w:w="929" w:type="dxa"/>
            <w:vAlign w:val="center"/>
          </w:tcPr>
          <w:p>
            <w:pPr>
              <w:jc w:val="center"/>
              <w:rPr>
                <w:rFonts w:ascii="新宋体" w:hAnsi="新宋体" w:eastAsia="新宋体" w:cs="宋体"/>
                <w:szCs w:val="21"/>
                <w:lang w:val="en"/>
              </w:rPr>
            </w:pPr>
            <w:r>
              <w:rPr>
                <w:rFonts w:hint="eastAsia" w:ascii="新宋体" w:hAnsi="新宋体" w:eastAsia="新宋体" w:cs="宋体"/>
                <w:szCs w:val="21"/>
                <w:lang w:val="en"/>
              </w:rPr>
              <w:t>2</w:t>
            </w:r>
          </w:p>
        </w:tc>
        <w:tc>
          <w:tcPr>
            <w:tcW w:w="5075" w:type="dxa"/>
            <w:vAlign w:val="center"/>
          </w:tcPr>
          <w:p>
            <w:pPr>
              <w:rPr>
                <w:rFonts w:ascii="新宋体" w:hAnsi="新宋体" w:eastAsia="新宋体" w:cs="宋体"/>
                <w:bCs/>
                <w:kern w:val="0"/>
                <w:szCs w:val="21"/>
              </w:rPr>
            </w:pPr>
            <w:r>
              <w:rPr>
                <w:rFonts w:hint="eastAsia" w:ascii="新宋体" w:hAnsi="新宋体" w:eastAsia="新宋体" w:cs="宋体"/>
                <w:bCs/>
                <w:kern w:val="0"/>
                <w:szCs w:val="21"/>
              </w:rPr>
              <w:t>（一）评分内容：</w:t>
            </w:r>
          </w:p>
          <w:p>
            <w:pPr>
              <w:rPr>
                <w:rFonts w:ascii="新宋体" w:hAnsi="新宋体" w:eastAsia="新宋体" w:cs="宋体"/>
                <w:szCs w:val="21"/>
              </w:rPr>
            </w:pPr>
            <w:r>
              <w:rPr>
                <w:rFonts w:hint="eastAsia" w:ascii="新宋体" w:hAnsi="新宋体" w:eastAsia="新宋体" w:cs="宋体"/>
                <w:szCs w:val="21"/>
              </w:rPr>
              <w:t>投标人需具有自有或租赁的运输车辆以保障本项目的配送运输要求，每提供一辆自有或租赁的货车得2分，最高得</w:t>
            </w:r>
            <w:r>
              <w:rPr>
                <w:rFonts w:hint="eastAsia" w:ascii="新宋体" w:hAnsi="新宋体" w:eastAsia="新宋体" w:cs="宋体"/>
                <w:szCs w:val="21"/>
                <w:lang w:val="en"/>
              </w:rPr>
              <w:t>2</w:t>
            </w:r>
            <w:r>
              <w:rPr>
                <w:rFonts w:hint="eastAsia" w:ascii="新宋体" w:hAnsi="新宋体" w:eastAsia="新宋体" w:cs="宋体"/>
                <w:szCs w:val="21"/>
              </w:rPr>
              <w:t>分。</w:t>
            </w:r>
          </w:p>
          <w:p>
            <w:pPr>
              <w:rPr>
                <w:rFonts w:ascii="新宋体" w:hAnsi="新宋体" w:eastAsia="新宋体" w:cs="宋体"/>
                <w:szCs w:val="21"/>
              </w:rPr>
            </w:pPr>
            <w:r>
              <w:rPr>
                <w:rFonts w:hint="eastAsia" w:ascii="新宋体" w:hAnsi="新宋体" w:eastAsia="新宋体" w:cs="宋体"/>
                <w:szCs w:val="21"/>
              </w:rPr>
              <w:t>（二）评审依据：</w:t>
            </w:r>
          </w:p>
          <w:p>
            <w:pPr>
              <w:rPr>
                <w:rFonts w:ascii="新宋体" w:hAnsi="新宋体" w:eastAsia="新宋体" w:cs="宋体"/>
                <w:szCs w:val="21"/>
              </w:rPr>
            </w:pPr>
            <w:r>
              <w:rPr>
                <w:rFonts w:hint="eastAsia" w:ascii="新宋体" w:hAnsi="新宋体" w:eastAsia="新宋体" w:cs="宋体"/>
                <w:szCs w:val="21"/>
              </w:rPr>
              <w:t>如是自有车辆投标人需提供年审有效的行驶证（行驶证显示的所有人必须是投标人或投标人法定代表人）扫描件和车辆正面照（包含车牌号），如是租赁车辆投标人需同时提供有效租赁合同（租赁结束期距本项目开标之日时间不少于60天）、有效车辆行驶证和车辆正面照（包含车牌号），原件备查；未按要求提供相关材料或无法凭所提供资料判断是否得分的或证明材料不清晰导致无法识别的，不得相应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Align w:val="center"/>
          </w:tcPr>
          <w:p>
            <w:pPr>
              <w:jc w:val="center"/>
              <w:rPr>
                <w:rFonts w:ascii="新宋体" w:hAnsi="新宋体" w:eastAsia="新宋体"/>
                <w:b/>
                <w:szCs w:val="21"/>
              </w:rPr>
            </w:pPr>
            <w:r>
              <w:rPr>
                <w:rFonts w:hint="eastAsia" w:ascii="新宋体" w:hAnsi="新宋体" w:eastAsia="新宋体"/>
                <w:b/>
                <w:szCs w:val="21"/>
              </w:rPr>
              <w:t>4</w:t>
            </w:r>
          </w:p>
        </w:tc>
        <w:tc>
          <w:tcPr>
            <w:tcW w:w="3379" w:type="dxa"/>
            <w:gridSpan w:val="3"/>
            <w:vAlign w:val="center"/>
          </w:tcPr>
          <w:p>
            <w:pPr>
              <w:jc w:val="center"/>
              <w:rPr>
                <w:rFonts w:ascii="新宋体" w:hAnsi="新宋体" w:eastAsia="新宋体"/>
                <w:b/>
                <w:szCs w:val="21"/>
              </w:rPr>
            </w:pPr>
            <w:r>
              <w:rPr>
                <w:rFonts w:hint="eastAsia" w:ascii="新宋体" w:hAnsi="新宋体" w:eastAsia="新宋体"/>
                <w:b/>
                <w:szCs w:val="21"/>
              </w:rPr>
              <w:t>诚信情况</w:t>
            </w:r>
          </w:p>
        </w:tc>
        <w:tc>
          <w:tcPr>
            <w:tcW w:w="5075" w:type="dxa"/>
            <w:vAlign w:val="center"/>
          </w:tcPr>
          <w:p>
            <w:pPr>
              <w:jc w:val="center"/>
              <w:rPr>
                <w:rFonts w:ascii="新宋体" w:hAnsi="新宋体" w:eastAsia="新宋体"/>
                <w:b/>
                <w:szCs w:val="21"/>
                <w:lang w:val="en"/>
              </w:rPr>
            </w:pPr>
            <w:r>
              <w:rPr>
                <w:rFonts w:hint="eastAsia" w:ascii="新宋体" w:hAnsi="新宋体" w:eastAsia="新宋体"/>
                <w:b/>
                <w:szCs w:val="21"/>
                <w:lang w:val="e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restart"/>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hint="eastAsia" w:ascii="新宋体" w:hAnsi="新宋体" w:eastAsia="新宋体"/>
                <w:szCs w:val="21"/>
              </w:rPr>
              <w:t>序号</w:t>
            </w:r>
          </w:p>
        </w:tc>
        <w:tc>
          <w:tcPr>
            <w:tcW w:w="1480" w:type="dxa"/>
            <w:vAlign w:val="center"/>
          </w:tcPr>
          <w:p>
            <w:pPr>
              <w:jc w:val="center"/>
              <w:rPr>
                <w:rFonts w:ascii="新宋体" w:hAnsi="新宋体" w:eastAsia="新宋体"/>
                <w:szCs w:val="21"/>
              </w:rPr>
            </w:pPr>
            <w:r>
              <w:rPr>
                <w:rFonts w:hint="eastAsia" w:ascii="新宋体" w:hAnsi="新宋体" w:eastAsia="新宋体"/>
                <w:szCs w:val="21"/>
              </w:rPr>
              <w:t>评分因素</w:t>
            </w:r>
          </w:p>
        </w:tc>
        <w:tc>
          <w:tcPr>
            <w:tcW w:w="929" w:type="dxa"/>
            <w:vAlign w:val="center"/>
          </w:tcPr>
          <w:p>
            <w:pPr>
              <w:jc w:val="center"/>
              <w:rPr>
                <w:rFonts w:ascii="新宋体" w:hAnsi="新宋体" w:eastAsia="新宋体"/>
                <w:szCs w:val="21"/>
              </w:rPr>
            </w:pPr>
            <w:r>
              <w:rPr>
                <w:rFonts w:hint="eastAsia" w:ascii="新宋体" w:hAnsi="新宋体" w:eastAsia="新宋体"/>
                <w:szCs w:val="21"/>
              </w:rPr>
              <w:t>权重</w:t>
            </w:r>
          </w:p>
        </w:tc>
        <w:tc>
          <w:tcPr>
            <w:tcW w:w="5075" w:type="dxa"/>
            <w:vAlign w:val="center"/>
          </w:tcPr>
          <w:p>
            <w:pPr>
              <w:jc w:val="center"/>
              <w:rPr>
                <w:rFonts w:ascii="新宋体" w:hAnsi="新宋体" w:eastAsia="新宋体"/>
                <w:szCs w:val="21"/>
              </w:rPr>
            </w:pPr>
            <w:r>
              <w:rPr>
                <w:rFonts w:hint="eastAsia" w:ascii="新宋体" w:hAnsi="新宋体" w:eastAsia="新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7" w:type="dxa"/>
            <w:vMerge w:val="continue"/>
            <w:vAlign w:val="center"/>
          </w:tcPr>
          <w:p>
            <w:pPr>
              <w:rPr>
                <w:rFonts w:ascii="新宋体" w:hAnsi="新宋体" w:eastAsia="新宋体"/>
                <w:szCs w:val="21"/>
              </w:rPr>
            </w:pPr>
          </w:p>
        </w:tc>
        <w:tc>
          <w:tcPr>
            <w:tcW w:w="970" w:type="dxa"/>
            <w:vAlign w:val="center"/>
          </w:tcPr>
          <w:p>
            <w:pPr>
              <w:jc w:val="center"/>
              <w:rPr>
                <w:rFonts w:ascii="新宋体" w:hAnsi="新宋体" w:eastAsia="新宋体"/>
                <w:szCs w:val="21"/>
              </w:rPr>
            </w:pPr>
            <w:r>
              <w:rPr>
                <w:rFonts w:ascii="新宋体" w:hAnsi="新宋体" w:eastAsia="新宋体"/>
                <w:szCs w:val="21"/>
              </w:rPr>
              <w:t>1</w:t>
            </w:r>
          </w:p>
        </w:tc>
        <w:tc>
          <w:tcPr>
            <w:tcW w:w="1480" w:type="dxa"/>
            <w:vAlign w:val="center"/>
          </w:tcPr>
          <w:p>
            <w:pPr>
              <w:jc w:val="center"/>
              <w:rPr>
                <w:rFonts w:ascii="新宋体" w:hAnsi="新宋体" w:eastAsia="新宋体"/>
                <w:szCs w:val="21"/>
              </w:rPr>
            </w:pPr>
            <w:r>
              <w:rPr>
                <w:rFonts w:hint="eastAsia" w:ascii="新宋体" w:hAnsi="新宋体" w:eastAsia="新宋体"/>
                <w:szCs w:val="21"/>
              </w:rPr>
              <w:t>诚信</w:t>
            </w:r>
          </w:p>
        </w:tc>
        <w:tc>
          <w:tcPr>
            <w:tcW w:w="929" w:type="dxa"/>
            <w:vAlign w:val="center"/>
          </w:tcPr>
          <w:p>
            <w:pPr>
              <w:jc w:val="center"/>
              <w:rPr>
                <w:rFonts w:ascii="新宋体" w:hAnsi="新宋体" w:eastAsia="新宋体"/>
                <w:szCs w:val="21"/>
                <w:lang w:val="en"/>
              </w:rPr>
            </w:pPr>
            <w:r>
              <w:rPr>
                <w:rFonts w:hint="eastAsia" w:ascii="新宋体" w:hAnsi="新宋体" w:eastAsia="新宋体"/>
                <w:szCs w:val="21"/>
                <w:lang w:val="en"/>
              </w:rPr>
              <w:t>5</w:t>
            </w:r>
          </w:p>
        </w:tc>
        <w:tc>
          <w:tcPr>
            <w:tcW w:w="5075" w:type="dxa"/>
            <w:vAlign w:val="center"/>
          </w:tcPr>
          <w:p>
            <w:pPr>
              <w:rPr>
                <w:rFonts w:ascii="新宋体" w:hAnsi="新宋体" w:eastAsia="新宋体"/>
                <w:szCs w:val="21"/>
              </w:rPr>
            </w:pPr>
            <w:r>
              <w:rPr>
                <w:rFonts w:hint="eastAsia" w:ascii="新宋体" w:hAnsi="新宋体" w:eastAsia="新宋体" w:cs="宋体"/>
                <w:szCs w:val="21"/>
              </w:rPr>
              <w:t>投标人在参与政府采购活动中存在诚信相关问题且在主管部门相关处理措施实施期限内的，本项不得分，否则得满分。投标人无需提供任何证明材料，由工作人员向评审委员会提供相关信息。</w:t>
            </w:r>
          </w:p>
        </w:tc>
      </w:tr>
    </w:tbl>
    <w:p>
      <w:pPr>
        <w:rPr>
          <w:rFonts w:ascii="Times New Roman" w:hAnsi="Times New Roman"/>
        </w:rPr>
      </w:pPr>
    </w:p>
    <w:p>
      <w:pPr>
        <w:widowControl/>
        <w:kinsoku w:val="0"/>
        <w:autoSpaceDE w:val="0"/>
        <w:autoSpaceDN w:val="0"/>
        <w:adjustRightInd w:val="0"/>
        <w:snapToGrid w:val="0"/>
        <w:spacing w:before="213" w:line="221" w:lineRule="auto"/>
        <w:ind w:left="1701"/>
        <w:jc w:val="left"/>
        <w:textAlignment w:val="baseline"/>
        <w:outlineLvl w:val="0"/>
        <w:rPr>
          <w:rFonts w:ascii="宋体" w:hAnsi="宋体" w:eastAsia="宋体" w:cs="宋体"/>
          <w:snapToGrid w:val="0"/>
          <w:color w:val="000000"/>
          <w:spacing w:val="-4"/>
          <w:kern w:val="0"/>
          <w:sz w:val="52"/>
          <w:szCs w:val="52"/>
          <w:lang w:eastAsia="en-US"/>
        </w:rPr>
      </w:pPr>
    </w:p>
    <w:p>
      <w:pPr>
        <w:widowControl/>
        <w:kinsoku w:val="0"/>
        <w:autoSpaceDE w:val="0"/>
        <w:autoSpaceDN w:val="0"/>
        <w:adjustRightInd w:val="0"/>
        <w:snapToGrid w:val="0"/>
        <w:spacing w:before="213" w:line="221" w:lineRule="auto"/>
        <w:ind w:left="1701"/>
        <w:jc w:val="left"/>
        <w:textAlignment w:val="baseline"/>
        <w:outlineLvl w:val="0"/>
        <w:rPr>
          <w:rFonts w:ascii="宋体" w:hAnsi="宋体" w:eastAsia="宋体" w:cs="宋体"/>
          <w:snapToGrid w:val="0"/>
          <w:color w:val="000000"/>
          <w:spacing w:val="-4"/>
          <w:kern w:val="0"/>
          <w:sz w:val="52"/>
          <w:szCs w:val="52"/>
          <w:lang w:eastAsia="en-US"/>
        </w:rPr>
      </w:pPr>
    </w:p>
    <w:p>
      <w:pPr>
        <w:widowControl/>
        <w:kinsoku w:val="0"/>
        <w:autoSpaceDE w:val="0"/>
        <w:autoSpaceDN w:val="0"/>
        <w:adjustRightInd w:val="0"/>
        <w:snapToGrid w:val="0"/>
        <w:spacing w:before="213" w:line="221" w:lineRule="auto"/>
        <w:ind w:left="1701"/>
        <w:jc w:val="left"/>
        <w:textAlignment w:val="baseline"/>
        <w:outlineLvl w:val="0"/>
        <w:rPr>
          <w:rFonts w:ascii="宋体" w:hAnsi="宋体" w:eastAsia="宋体" w:cs="宋体"/>
          <w:snapToGrid w:val="0"/>
          <w:color w:val="000000"/>
          <w:spacing w:val="-4"/>
          <w:kern w:val="0"/>
          <w:sz w:val="52"/>
          <w:szCs w:val="52"/>
          <w:lang w:eastAsia="en-US"/>
        </w:rPr>
      </w:pPr>
    </w:p>
    <w:p>
      <w:pPr>
        <w:widowControl/>
        <w:kinsoku w:val="0"/>
        <w:autoSpaceDE w:val="0"/>
        <w:autoSpaceDN w:val="0"/>
        <w:adjustRightInd w:val="0"/>
        <w:snapToGrid w:val="0"/>
        <w:spacing w:before="213" w:line="221" w:lineRule="auto"/>
        <w:ind w:left="1701"/>
        <w:jc w:val="left"/>
        <w:textAlignment w:val="baseline"/>
        <w:outlineLvl w:val="0"/>
        <w:rPr>
          <w:rFonts w:ascii="宋体" w:hAnsi="宋体" w:eastAsia="宋体" w:cs="宋体"/>
          <w:snapToGrid w:val="0"/>
          <w:color w:val="000000"/>
          <w:spacing w:val="-4"/>
          <w:kern w:val="0"/>
          <w:sz w:val="52"/>
          <w:szCs w:val="52"/>
          <w:lang w:eastAsia="en-US"/>
        </w:rPr>
      </w:pPr>
    </w:p>
    <w:p>
      <w:pPr>
        <w:widowControl/>
        <w:kinsoku w:val="0"/>
        <w:autoSpaceDE w:val="0"/>
        <w:autoSpaceDN w:val="0"/>
        <w:adjustRightInd w:val="0"/>
        <w:snapToGrid w:val="0"/>
        <w:spacing w:before="213" w:line="221" w:lineRule="auto"/>
        <w:ind w:left="1701"/>
        <w:jc w:val="left"/>
        <w:textAlignment w:val="baseline"/>
        <w:outlineLvl w:val="0"/>
        <w:rPr>
          <w:rFonts w:ascii="宋体" w:hAnsi="宋体" w:eastAsia="宋体" w:cs="宋体"/>
          <w:snapToGrid w:val="0"/>
          <w:color w:val="000000"/>
          <w:spacing w:val="-4"/>
          <w:kern w:val="0"/>
          <w:sz w:val="52"/>
          <w:szCs w:val="52"/>
          <w:lang w:eastAsia="en-US"/>
        </w:rPr>
      </w:pPr>
    </w:p>
    <w:p>
      <w:pPr>
        <w:widowControl/>
        <w:kinsoku w:val="0"/>
        <w:autoSpaceDE w:val="0"/>
        <w:autoSpaceDN w:val="0"/>
        <w:adjustRightInd w:val="0"/>
        <w:snapToGrid w:val="0"/>
        <w:spacing w:before="213" w:line="221" w:lineRule="auto"/>
        <w:ind w:left="1701"/>
        <w:jc w:val="left"/>
        <w:textAlignment w:val="baseline"/>
        <w:outlineLvl w:val="0"/>
        <w:rPr>
          <w:rFonts w:ascii="宋体" w:hAnsi="宋体" w:eastAsia="宋体" w:cs="宋体"/>
          <w:snapToGrid w:val="0"/>
          <w:color w:val="000000"/>
          <w:spacing w:val="-4"/>
          <w:kern w:val="0"/>
          <w:sz w:val="52"/>
          <w:szCs w:val="52"/>
          <w:lang w:eastAsia="en-US"/>
        </w:rPr>
      </w:pPr>
    </w:p>
    <w:p>
      <w:pPr>
        <w:widowControl/>
        <w:kinsoku w:val="0"/>
        <w:autoSpaceDE w:val="0"/>
        <w:autoSpaceDN w:val="0"/>
        <w:adjustRightInd w:val="0"/>
        <w:snapToGrid w:val="0"/>
        <w:spacing w:before="213" w:line="221" w:lineRule="auto"/>
        <w:ind w:left="1701"/>
        <w:jc w:val="left"/>
        <w:textAlignment w:val="baseline"/>
        <w:outlineLvl w:val="0"/>
        <w:rPr>
          <w:rFonts w:ascii="宋体" w:hAnsi="宋体" w:eastAsia="宋体" w:cs="宋体"/>
          <w:snapToGrid w:val="0"/>
          <w:color w:val="000000"/>
          <w:spacing w:val="-4"/>
          <w:kern w:val="0"/>
          <w:sz w:val="52"/>
          <w:szCs w:val="52"/>
          <w:lang w:eastAsia="en-US"/>
        </w:rPr>
      </w:pPr>
    </w:p>
    <w:p>
      <w:pPr>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eastAsia="en-US"/>
        </w:rPr>
        <w:t>附件</w:t>
      </w:r>
      <w:r>
        <w:rPr>
          <w:rFonts w:hint="eastAsia" w:ascii="方正仿宋_GBK" w:hAnsi="方正仿宋_GBK" w:eastAsia="方正仿宋_GBK" w:cs="方正仿宋_GBK"/>
          <w:b/>
          <w:bCs/>
          <w:sz w:val="32"/>
          <w:szCs w:val="32"/>
          <w:lang w:val="en-US" w:eastAsia="zh-CN"/>
        </w:rPr>
        <w:t xml:space="preserve">3           </w:t>
      </w:r>
    </w:p>
    <w:p>
      <w:pPr>
        <w:jc w:val="center"/>
        <w:rPr>
          <w:rFonts w:hint="eastAsia" w:ascii="方正仿宋_GBK" w:hAnsi="方正仿宋_GBK" w:eastAsia="方正仿宋_GBK" w:cs="方正仿宋_GBK"/>
          <w:b/>
          <w:bCs/>
          <w:sz w:val="32"/>
          <w:szCs w:val="32"/>
          <w:lang w:eastAsia="en-US"/>
        </w:rPr>
      </w:pPr>
      <w:bookmarkStart w:id="0" w:name="_GoBack"/>
      <w:bookmarkEnd w:id="0"/>
      <w:r>
        <w:rPr>
          <w:rFonts w:hint="eastAsia" w:ascii="方正仿宋_GBK" w:hAnsi="方正仿宋_GBK" w:eastAsia="方正仿宋_GBK" w:cs="方正仿宋_GBK"/>
          <w:b/>
          <w:bCs/>
          <w:sz w:val="32"/>
          <w:szCs w:val="32"/>
          <w:lang w:eastAsia="en-US"/>
        </w:rPr>
        <w:t>审判制服款式及纽扣图</w:t>
      </w:r>
    </w:p>
    <w:p>
      <w:pPr>
        <w:widowControl/>
        <w:kinsoku w:val="0"/>
        <w:autoSpaceDE w:val="0"/>
        <w:autoSpaceDN w:val="0"/>
        <w:adjustRightInd w:val="0"/>
        <w:snapToGrid w:val="0"/>
        <w:spacing w:line="109" w:lineRule="exact"/>
        <w:jc w:val="left"/>
        <w:textAlignment w:val="baseline"/>
        <w:rPr>
          <w:rFonts w:ascii="Arial" w:hAnsi="Arial" w:eastAsia="Arial" w:cs="Arial"/>
          <w:snapToGrid w:val="0"/>
          <w:color w:val="000000"/>
          <w:kern w:val="0"/>
          <w:szCs w:val="21"/>
          <w:lang w:eastAsia="en-US"/>
        </w:rPr>
      </w:pPr>
    </w:p>
    <w:tbl>
      <w:tblPr>
        <w:tblStyle w:val="9"/>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
        <w:gridCol w:w="81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4" w:hRule="atLeast"/>
        </w:trPr>
        <w:tc>
          <w:tcPr>
            <w:tcW w:w="419" w:type="dxa"/>
            <w:textDirection w:val="tbRlV"/>
            <w:vAlign w:val="top"/>
          </w:tcPr>
          <w:p>
            <w:pPr>
              <w:widowControl/>
              <w:kinsoku w:val="0"/>
              <w:autoSpaceDE w:val="0"/>
              <w:autoSpaceDN w:val="0"/>
              <w:adjustRightInd w:val="0"/>
              <w:snapToGrid w:val="0"/>
              <w:spacing w:before="95" w:line="210" w:lineRule="auto"/>
              <w:ind w:left="55"/>
              <w:jc w:val="left"/>
              <w:textAlignment w:val="baseline"/>
              <w:rPr>
                <w:rFonts w:ascii="宋体" w:hAnsi="宋体" w:eastAsia="宋体" w:cs="宋体"/>
                <w:snapToGrid w:val="0"/>
                <w:color w:val="000000"/>
                <w:kern w:val="0"/>
                <w:sz w:val="21"/>
                <w:szCs w:val="21"/>
                <w:lang w:eastAsia="en-US"/>
              </w:rPr>
            </w:pPr>
            <w:r>
              <w:rPr>
                <w:rFonts w:ascii="宋体" w:hAnsi="宋体" w:eastAsia="宋体" w:cs="宋体"/>
                <w:snapToGrid w:val="0"/>
                <w:color w:val="000000"/>
                <w:spacing w:val="-1"/>
                <w:kern w:val="0"/>
                <w:sz w:val="21"/>
                <w:szCs w:val="21"/>
                <w:lang w:eastAsia="en-US"/>
              </w:rPr>
              <w:t>审 判 春 秋</w:t>
            </w:r>
            <w:r>
              <w:rPr>
                <w:rFonts w:ascii="宋体" w:hAnsi="宋体" w:eastAsia="宋体" w:cs="宋体"/>
                <w:snapToGrid w:val="0"/>
                <w:color w:val="000000"/>
                <w:spacing w:val="-4"/>
                <w:kern w:val="0"/>
                <w:sz w:val="21"/>
                <w:szCs w:val="21"/>
                <w:lang w:eastAsia="en-US"/>
              </w:rPr>
              <w:t xml:space="preserve"> </w:t>
            </w:r>
            <w:r>
              <w:rPr>
                <w:rFonts w:ascii="宋体" w:hAnsi="宋体" w:eastAsia="宋体" w:cs="宋体"/>
                <w:snapToGrid w:val="0"/>
                <w:color w:val="000000"/>
                <w:spacing w:val="-1"/>
                <w:kern w:val="0"/>
                <w:sz w:val="21"/>
                <w:szCs w:val="21"/>
                <w:lang w:eastAsia="en-US"/>
              </w:rPr>
              <w:t>服</w:t>
            </w:r>
          </w:p>
        </w:tc>
        <w:tc>
          <w:tcPr>
            <w:tcW w:w="8109" w:type="dxa"/>
            <w:vAlign w:val="top"/>
          </w:tcPr>
          <w:p>
            <w:pPr>
              <w:widowControl/>
              <w:kinsoku w:val="0"/>
              <w:autoSpaceDE w:val="0"/>
              <w:autoSpaceDN w:val="0"/>
              <w:adjustRightInd w:val="0"/>
              <w:snapToGrid w:val="0"/>
              <w:spacing w:before="13" w:line="5904" w:lineRule="exact"/>
              <w:ind w:firstLine="103"/>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118"/>
                <w:szCs w:val="21"/>
                <w:lang w:eastAsia="en-US"/>
              </w:rPr>
              <w:drawing>
                <wp:inline distT="0" distB="0" distL="0" distR="0">
                  <wp:extent cx="4733290" cy="3749040"/>
                  <wp:effectExtent l="0" t="0" r="3810" b="1016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
                          <a:stretch>
                            <a:fillRect/>
                          </a:stretch>
                        </pic:blipFill>
                        <pic:spPr>
                          <a:xfrm>
                            <a:off x="0" y="0"/>
                            <a:ext cx="4733417" cy="374904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0" w:hRule="atLeast"/>
        </w:trPr>
        <w:tc>
          <w:tcPr>
            <w:tcW w:w="419" w:type="dxa"/>
            <w:textDirection w:val="tbRlV"/>
            <w:vAlign w:val="top"/>
          </w:tcPr>
          <w:p>
            <w:pPr>
              <w:widowControl/>
              <w:kinsoku w:val="0"/>
              <w:autoSpaceDE w:val="0"/>
              <w:autoSpaceDN w:val="0"/>
              <w:adjustRightInd w:val="0"/>
              <w:snapToGrid w:val="0"/>
              <w:spacing w:before="95" w:line="210" w:lineRule="auto"/>
              <w:ind w:left="55"/>
              <w:jc w:val="left"/>
              <w:textAlignment w:val="baseline"/>
              <w:rPr>
                <w:rFonts w:ascii="宋体" w:hAnsi="宋体" w:eastAsia="宋体" w:cs="宋体"/>
                <w:snapToGrid w:val="0"/>
                <w:color w:val="000000"/>
                <w:kern w:val="0"/>
                <w:sz w:val="21"/>
                <w:szCs w:val="21"/>
                <w:lang w:eastAsia="en-US"/>
              </w:rPr>
            </w:pPr>
            <w:r>
              <w:rPr>
                <w:rFonts w:ascii="宋体" w:hAnsi="宋体" w:eastAsia="宋体" w:cs="宋体"/>
                <w:snapToGrid w:val="0"/>
                <w:color w:val="000000"/>
                <w:spacing w:val="-1"/>
                <w:kern w:val="0"/>
                <w:sz w:val="21"/>
                <w:szCs w:val="21"/>
                <w:lang w:eastAsia="en-US"/>
              </w:rPr>
              <w:t>审 判 春 秋</w:t>
            </w:r>
            <w:r>
              <w:rPr>
                <w:rFonts w:ascii="宋体" w:hAnsi="宋体" w:eastAsia="宋体" w:cs="宋体"/>
                <w:snapToGrid w:val="0"/>
                <w:color w:val="000000"/>
                <w:spacing w:val="1"/>
                <w:kern w:val="0"/>
                <w:sz w:val="21"/>
                <w:szCs w:val="21"/>
                <w:lang w:eastAsia="en-US"/>
              </w:rPr>
              <w:t xml:space="preserve"> </w:t>
            </w:r>
            <w:r>
              <w:rPr>
                <w:rFonts w:ascii="宋体" w:hAnsi="宋体" w:eastAsia="宋体" w:cs="宋体"/>
                <w:snapToGrid w:val="0"/>
                <w:color w:val="000000"/>
                <w:spacing w:val="-1"/>
                <w:kern w:val="0"/>
                <w:sz w:val="21"/>
                <w:szCs w:val="21"/>
                <w:lang w:eastAsia="en-US"/>
              </w:rPr>
              <w:t>服</w:t>
            </w:r>
            <w:r>
              <w:rPr>
                <w:rFonts w:ascii="宋体" w:hAnsi="宋体" w:eastAsia="宋体" w:cs="宋体"/>
                <w:snapToGrid w:val="0"/>
                <w:color w:val="000000"/>
                <w:spacing w:val="-5"/>
                <w:kern w:val="0"/>
                <w:sz w:val="21"/>
                <w:szCs w:val="21"/>
                <w:lang w:eastAsia="en-US"/>
              </w:rPr>
              <w:t xml:space="preserve"> </w:t>
            </w:r>
            <w:r>
              <w:rPr>
                <w:rFonts w:ascii="宋体" w:hAnsi="宋体" w:eastAsia="宋体" w:cs="宋体"/>
                <w:snapToGrid w:val="0"/>
                <w:color w:val="000000"/>
                <w:spacing w:val="-1"/>
                <w:kern w:val="0"/>
                <w:sz w:val="21"/>
                <w:szCs w:val="21"/>
                <w:lang w:eastAsia="en-US"/>
              </w:rPr>
              <w:t>纽</w:t>
            </w:r>
            <w:r>
              <w:rPr>
                <w:rFonts w:ascii="宋体" w:hAnsi="宋体" w:eastAsia="宋体" w:cs="宋体"/>
                <w:snapToGrid w:val="0"/>
                <w:color w:val="000000"/>
                <w:spacing w:val="-4"/>
                <w:kern w:val="0"/>
                <w:sz w:val="21"/>
                <w:szCs w:val="21"/>
                <w:lang w:eastAsia="en-US"/>
              </w:rPr>
              <w:t xml:space="preserve"> </w:t>
            </w:r>
            <w:r>
              <w:rPr>
                <w:rFonts w:ascii="宋体" w:hAnsi="宋体" w:eastAsia="宋体" w:cs="宋体"/>
                <w:snapToGrid w:val="0"/>
                <w:color w:val="000000"/>
                <w:spacing w:val="-1"/>
                <w:kern w:val="0"/>
                <w:sz w:val="21"/>
                <w:szCs w:val="21"/>
                <w:lang w:eastAsia="en-US"/>
              </w:rPr>
              <w:t>扣</w:t>
            </w:r>
          </w:p>
        </w:tc>
        <w:tc>
          <w:tcPr>
            <w:tcW w:w="8109" w:type="dxa"/>
            <w:vAlign w:val="top"/>
          </w:tcPr>
          <w:p>
            <w:pPr>
              <w:widowControl/>
              <w:kinsoku w:val="0"/>
              <w:autoSpaceDE w:val="0"/>
              <w:autoSpaceDN w:val="0"/>
              <w:adjustRightInd w:val="0"/>
              <w:snapToGrid w:val="0"/>
              <w:spacing w:before="24" w:line="3375" w:lineRule="exact"/>
              <w:ind w:firstLine="103"/>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67"/>
                <w:szCs w:val="21"/>
                <w:lang w:eastAsia="en-US"/>
              </w:rPr>
              <w:drawing>
                <wp:inline distT="0" distB="0" distL="0" distR="0">
                  <wp:extent cx="3237865" cy="2142490"/>
                  <wp:effectExtent l="0" t="0" r="635" b="381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
                          <a:stretch>
                            <a:fillRect/>
                          </a:stretch>
                        </pic:blipFill>
                        <pic:spPr>
                          <a:xfrm>
                            <a:off x="0" y="0"/>
                            <a:ext cx="3238119" cy="2143124"/>
                          </a:xfrm>
                          <a:prstGeom prst="rect">
                            <a:avLst/>
                          </a:prstGeom>
                        </pic:spPr>
                      </pic:pic>
                    </a:graphicData>
                  </a:graphic>
                </wp:inline>
              </w:drawing>
            </w:r>
          </w:p>
        </w:tc>
      </w:tr>
    </w:tbl>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pPr>
        <w:rPr>
          <w:rFonts w:ascii="Arial" w:hAnsi="Arial" w:eastAsia="Arial" w:cs="Arial"/>
          <w:sz w:val="21"/>
          <w:szCs w:val="21"/>
        </w:rPr>
        <w:sectPr>
          <w:pgSz w:w="11907" w:h="16839"/>
          <w:pgMar w:top="2098" w:right="1474" w:bottom="1984" w:left="1587" w:header="0" w:footer="0" w:gutter="0"/>
          <w:cols w:space="720" w:num="1"/>
        </w:sectPr>
      </w:pPr>
    </w:p>
    <w:p>
      <w:pPr>
        <w:widowControl/>
        <w:kinsoku w:val="0"/>
        <w:autoSpaceDE w:val="0"/>
        <w:autoSpaceDN w:val="0"/>
        <w:adjustRightInd w:val="0"/>
        <w:snapToGrid w:val="0"/>
        <w:spacing w:line="91" w:lineRule="auto"/>
        <w:jc w:val="left"/>
        <w:textAlignment w:val="baseline"/>
        <w:rPr>
          <w:rFonts w:ascii="Arial" w:hAnsi="Arial" w:eastAsia="Arial" w:cs="Arial"/>
          <w:snapToGrid w:val="0"/>
          <w:color w:val="000000"/>
          <w:kern w:val="0"/>
          <w:sz w:val="2"/>
          <w:szCs w:val="21"/>
          <w:lang w:eastAsia="en-US"/>
        </w:rPr>
      </w:pPr>
    </w:p>
    <w:tbl>
      <w:tblPr>
        <w:tblStyle w:val="9"/>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
        <w:gridCol w:w="4494"/>
        <w:gridCol w:w="36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2" w:hRule="atLeast"/>
        </w:trPr>
        <w:tc>
          <w:tcPr>
            <w:tcW w:w="419" w:type="dxa"/>
            <w:textDirection w:val="tbRlV"/>
            <w:vAlign w:val="top"/>
          </w:tcPr>
          <w:p>
            <w:pPr>
              <w:pStyle w:val="10"/>
              <w:widowControl/>
              <w:spacing w:before="95" w:line="210" w:lineRule="auto"/>
              <w:ind w:left="55"/>
            </w:pPr>
            <w:r>
              <w:rPr>
                <w:spacing w:val="-1"/>
              </w:rPr>
              <w:t>夏 服</w:t>
            </w:r>
          </w:p>
        </w:tc>
        <w:tc>
          <w:tcPr>
            <w:tcW w:w="8109" w:type="dxa"/>
            <w:gridSpan w:val="2"/>
            <w:vAlign w:val="top"/>
          </w:tcPr>
          <w:p>
            <w:pPr>
              <w:widowControl/>
              <w:kinsoku w:val="0"/>
              <w:autoSpaceDE w:val="0"/>
              <w:autoSpaceDN w:val="0"/>
              <w:adjustRightInd w:val="0"/>
              <w:snapToGrid w:val="0"/>
              <w:spacing w:before="31" w:line="5250" w:lineRule="exact"/>
              <w:ind w:firstLine="103"/>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105"/>
                <w:szCs w:val="21"/>
                <w:lang w:eastAsia="en-US"/>
              </w:rPr>
              <w:drawing>
                <wp:inline distT="0" distB="0" distL="0" distR="0">
                  <wp:extent cx="5080000" cy="3333750"/>
                  <wp:effectExtent l="0" t="0" r="0" b="635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
                          <a:stretch>
                            <a:fillRect/>
                          </a:stretch>
                        </pic:blipFill>
                        <pic:spPr>
                          <a:xfrm>
                            <a:off x="0" y="0"/>
                            <a:ext cx="5080431" cy="333375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8" w:hRule="atLeast"/>
        </w:trPr>
        <w:tc>
          <w:tcPr>
            <w:tcW w:w="419" w:type="dxa"/>
            <w:textDirection w:val="tbRlV"/>
            <w:vAlign w:val="top"/>
          </w:tcPr>
          <w:p>
            <w:pPr>
              <w:pStyle w:val="10"/>
              <w:widowControl/>
              <w:spacing w:before="95" w:line="209" w:lineRule="auto"/>
              <w:ind w:left="53"/>
            </w:pPr>
            <w:r>
              <w:t>夏 服</w:t>
            </w:r>
            <w:r>
              <w:rPr>
                <w:spacing w:val="-5"/>
              </w:rPr>
              <w:t xml:space="preserve"> </w:t>
            </w:r>
            <w:r>
              <w:t>纽</w:t>
            </w:r>
            <w:r>
              <w:rPr>
                <w:spacing w:val="-4"/>
              </w:rPr>
              <w:t xml:space="preserve"> </w:t>
            </w:r>
            <w:r>
              <w:t>扣</w:t>
            </w:r>
          </w:p>
        </w:tc>
        <w:tc>
          <w:tcPr>
            <w:tcW w:w="8109" w:type="dxa"/>
            <w:gridSpan w:val="2"/>
            <w:vAlign w:val="top"/>
          </w:tcPr>
          <w:p>
            <w:pPr>
              <w:widowControl/>
              <w:kinsoku w:val="0"/>
              <w:autoSpaceDE w:val="0"/>
              <w:autoSpaceDN w:val="0"/>
              <w:adjustRightInd w:val="0"/>
              <w:snapToGrid w:val="0"/>
              <w:spacing w:before="58" w:line="3630" w:lineRule="exact"/>
              <w:ind w:firstLine="103"/>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72"/>
                <w:szCs w:val="21"/>
                <w:lang w:eastAsia="en-US"/>
              </w:rPr>
              <w:drawing>
                <wp:inline distT="0" distB="0" distL="0" distR="0">
                  <wp:extent cx="2263775" cy="2304415"/>
                  <wp:effectExtent l="0" t="0" r="9525" b="698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2263775" cy="230466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0" w:hRule="atLeast"/>
        </w:trPr>
        <w:tc>
          <w:tcPr>
            <w:tcW w:w="419" w:type="dxa"/>
            <w:textDirection w:val="tbRlV"/>
            <w:vAlign w:val="top"/>
          </w:tcPr>
          <w:p>
            <w:pPr>
              <w:pStyle w:val="10"/>
              <w:widowControl/>
              <w:spacing w:before="94" w:line="209" w:lineRule="auto"/>
              <w:ind w:left="54"/>
            </w:pPr>
            <w:r>
              <w:rPr>
                <w:spacing w:val="-1"/>
              </w:rPr>
              <w:t>内 穿 白 衬</w:t>
            </w:r>
            <w:r>
              <w:rPr>
                <w:spacing w:val="-4"/>
              </w:rPr>
              <w:t xml:space="preserve"> </w:t>
            </w:r>
            <w:r>
              <w:rPr>
                <w:spacing w:val="-1"/>
              </w:rPr>
              <w:t>衣</w:t>
            </w:r>
          </w:p>
        </w:tc>
        <w:tc>
          <w:tcPr>
            <w:tcW w:w="4494" w:type="dxa"/>
            <w:tcBorders>
              <w:right w:val="nil"/>
            </w:tcBorders>
            <w:vAlign w:val="top"/>
          </w:tcPr>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3421" w:lineRule="exact"/>
              <w:ind w:firstLine="103"/>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68"/>
                <w:szCs w:val="21"/>
                <w:lang w:eastAsia="en-US"/>
              </w:rPr>
              <w:drawing>
                <wp:inline distT="0" distB="0" distL="0" distR="0">
                  <wp:extent cx="2742565" cy="2172335"/>
                  <wp:effectExtent l="0" t="0" r="635" b="1206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2742691" cy="2172335"/>
                          </a:xfrm>
                          <a:prstGeom prst="rect">
                            <a:avLst/>
                          </a:prstGeom>
                        </pic:spPr>
                      </pic:pic>
                    </a:graphicData>
                  </a:graphic>
                </wp:inline>
              </w:drawing>
            </w:r>
          </w:p>
        </w:tc>
        <w:tc>
          <w:tcPr>
            <w:tcW w:w="3615" w:type="dxa"/>
            <w:tcBorders>
              <w:left w:val="nil"/>
            </w:tcBorders>
            <w:vAlign w:val="top"/>
          </w:tcPr>
          <w:p>
            <w:pPr>
              <w:widowControl/>
              <w:kinsoku w:val="0"/>
              <w:autoSpaceDE w:val="0"/>
              <w:autoSpaceDN w:val="0"/>
              <w:adjustRightInd w:val="0"/>
              <w:snapToGrid w:val="0"/>
              <w:spacing w:before="55" w:line="4574" w:lineRule="exact"/>
              <w:ind w:firstLine="70"/>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91"/>
                <w:szCs w:val="21"/>
                <w:lang w:eastAsia="en-US"/>
              </w:rPr>
              <w:drawing>
                <wp:inline distT="0" distB="0" distL="0" distR="0">
                  <wp:extent cx="2179320" cy="2903855"/>
                  <wp:effectExtent l="0" t="0" r="5080" b="444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2179320" cy="2904489"/>
                          </a:xfrm>
                          <a:prstGeom prst="rect">
                            <a:avLst/>
                          </a:prstGeom>
                        </pic:spPr>
                      </pic:pic>
                    </a:graphicData>
                  </a:graphic>
                </wp:inline>
              </w:drawing>
            </w:r>
          </w:p>
        </w:tc>
      </w:tr>
    </w:tbl>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pPr>
        <w:rPr>
          <w:rFonts w:ascii="Arial" w:hAnsi="Arial" w:eastAsia="Arial" w:cs="Arial"/>
          <w:sz w:val="21"/>
          <w:szCs w:val="21"/>
        </w:rPr>
        <w:sectPr>
          <w:pgSz w:w="11907" w:h="16839"/>
          <w:pgMar w:top="1431" w:right="1685" w:bottom="0" w:left="1687" w:header="0" w:footer="0" w:gutter="0"/>
          <w:cols w:space="720" w:num="1"/>
        </w:sectPr>
      </w:pPr>
    </w:p>
    <w:p>
      <w:pPr>
        <w:widowControl/>
        <w:kinsoku w:val="0"/>
        <w:autoSpaceDE w:val="0"/>
        <w:autoSpaceDN w:val="0"/>
        <w:adjustRightInd w:val="0"/>
        <w:snapToGrid w:val="0"/>
        <w:spacing w:line="91" w:lineRule="auto"/>
        <w:jc w:val="left"/>
        <w:textAlignment w:val="baseline"/>
        <w:rPr>
          <w:rFonts w:ascii="Arial" w:hAnsi="Arial" w:eastAsia="Arial" w:cs="Arial"/>
          <w:snapToGrid w:val="0"/>
          <w:color w:val="000000"/>
          <w:kern w:val="0"/>
          <w:sz w:val="2"/>
          <w:szCs w:val="21"/>
          <w:lang w:eastAsia="en-US"/>
        </w:rPr>
      </w:pPr>
    </w:p>
    <w:tbl>
      <w:tblPr>
        <w:tblStyle w:val="9"/>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
        <w:gridCol w:w="6303"/>
        <w:gridCol w:w="18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0" w:hRule="atLeast"/>
        </w:trPr>
        <w:tc>
          <w:tcPr>
            <w:tcW w:w="419" w:type="dxa"/>
            <w:vMerge w:val="restart"/>
            <w:tcBorders>
              <w:bottom w:val="nil"/>
            </w:tcBorders>
            <w:vAlign w:val="top"/>
          </w:tcPr>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6303" w:type="dxa"/>
            <w:tcBorders>
              <w:bottom w:val="nil"/>
              <w:right w:val="nil"/>
            </w:tcBorders>
            <w:vAlign w:val="top"/>
          </w:tcPr>
          <w:p>
            <w:pPr>
              <w:widowControl/>
              <w:kinsoku w:val="0"/>
              <w:autoSpaceDE w:val="0"/>
              <w:autoSpaceDN w:val="0"/>
              <w:adjustRightInd w:val="0"/>
              <w:snapToGrid w:val="0"/>
              <w:spacing w:before="94" w:line="2880" w:lineRule="exact"/>
              <w:ind w:firstLine="103"/>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57"/>
                <w:szCs w:val="21"/>
                <w:lang w:eastAsia="en-US"/>
              </w:rPr>
              <w:drawing>
                <wp:inline distT="0" distB="0" distL="0" distR="0">
                  <wp:extent cx="3921760" cy="1828165"/>
                  <wp:effectExtent l="0" t="0" r="2540" b="63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3922141" cy="1828672"/>
                          </a:xfrm>
                          <a:prstGeom prst="rect">
                            <a:avLst/>
                          </a:prstGeom>
                        </pic:spPr>
                      </pic:pic>
                    </a:graphicData>
                  </a:graphic>
                </wp:inline>
              </w:drawing>
            </w:r>
          </w:p>
        </w:tc>
        <w:tc>
          <w:tcPr>
            <w:tcW w:w="1806" w:type="dxa"/>
            <w:tcBorders>
              <w:left w:val="nil"/>
              <w:bottom w:val="nil"/>
            </w:tcBorders>
            <w:vAlign w:val="top"/>
          </w:tcPr>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pPr>
              <w:widowControl/>
              <w:kinsoku w:val="0"/>
              <w:autoSpaceDE w:val="0"/>
              <w:autoSpaceDN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pPr>
              <w:pStyle w:val="10"/>
              <w:widowControl/>
              <w:spacing w:before="69" w:line="221" w:lineRule="auto"/>
              <w:ind w:left="24"/>
            </w:pPr>
            <w:r>
              <w:rPr>
                <w:spacing w:val="-2"/>
              </w:rPr>
              <w:t>口袋和左袖口绣花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9" w:type="dxa"/>
            <w:vMerge w:val="continue"/>
            <w:tcBorders>
              <w:top w:val="nil"/>
            </w:tcBorders>
            <w:vAlign w:val="top"/>
          </w:tcPr>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8109" w:type="dxa"/>
            <w:gridSpan w:val="2"/>
            <w:tcBorders>
              <w:top w:val="nil"/>
            </w:tcBorders>
            <w:vAlign w:val="top"/>
          </w:tcPr>
          <w:p>
            <w:pPr>
              <w:pStyle w:val="10"/>
              <w:widowControl/>
              <w:spacing w:before="99" w:line="177" w:lineRule="auto"/>
              <w:ind w:left="96"/>
            </w:pPr>
            <w:r>
              <w:rPr>
                <w:spacing w:val="57"/>
              </w:rPr>
              <w:t>“</w:t>
            </w:r>
            <w:r>
              <w:rPr>
                <w:sz w:val="24"/>
                <w:szCs w:val="24"/>
              </w:rPr>
              <w:t>Fayuan</w:t>
            </w:r>
            <w:r>
              <w:rPr>
                <w:spacing w:val="5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3" w:hRule="atLeast"/>
        </w:trPr>
        <w:tc>
          <w:tcPr>
            <w:tcW w:w="419" w:type="dxa"/>
            <w:textDirection w:val="tbRlV"/>
            <w:vAlign w:val="top"/>
          </w:tcPr>
          <w:p>
            <w:pPr>
              <w:pStyle w:val="10"/>
              <w:widowControl/>
              <w:spacing w:before="95" w:line="210" w:lineRule="auto"/>
              <w:ind w:left="52"/>
            </w:pPr>
            <w:r>
              <w:rPr>
                <w:spacing w:val="1"/>
              </w:rPr>
              <w:t>冬</w:t>
            </w:r>
            <w:r>
              <w:rPr>
                <w:spacing w:val="-5"/>
              </w:rPr>
              <w:t xml:space="preserve"> </w:t>
            </w:r>
            <w:r>
              <w:rPr>
                <w:spacing w:val="1"/>
              </w:rPr>
              <w:t>服</w:t>
            </w:r>
          </w:p>
        </w:tc>
        <w:tc>
          <w:tcPr>
            <w:tcW w:w="8109" w:type="dxa"/>
            <w:gridSpan w:val="2"/>
            <w:vAlign w:val="top"/>
          </w:tcPr>
          <w:p>
            <w:pPr>
              <w:widowControl/>
              <w:kinsoku w:val="0"/>
              <w:autoSpaceDE w:val="0"/>
              <w:autoSpaceDN w:val="0"/>
              <w:adjustRightInd w:val="0"/>
              <w:snapToGrid w:val="0"/>
              <w:spacing w:before="80" w:line="8580" w:lineRule="exact"/>
              <w:ind w:firstLine="103"/>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171"/>
                <w:szCs w:val="21"/>
                <w:lang w:eastAsia="en-US"/>
              </w:rPr>
              <w:drawing>
                <wp:inline distT="0" distB="0" distL="0" distR="0">
                  <wp:extent cx="5080000" cy="54483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
                          <a:stretch>
                            <a:fillRect/>
                          </a:stretch>
                        </pic:blipFill>
                        <pic:spPr>
                          <a:xfrm>
                            <a:off x="0" y="0"/>
                            <a:ext cx="5080431" cy="5448300"/>
                          </a:xfrm>
                          <a:prstGeom prst="rect">
                            <a:avLst/>
                          </a:prstGeom>
                        </pic:spPr>
                      </pic:pic>
                    </a:graphicData>
                  </a:graphic>
                </wp:inline>
              </w:drawing>
            </w:r>
          </w:p>
        </w:tc>
      </w:tr>
    </w:tbl>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pPr>
        <w:rPr>
          <w:rFonts w:ascii="Arial" w:hAnsi="Arial" w:eastAsia="Arial" w:cs="Arial"/>
          <w:sz w:val="21"/>
          <w:szCs w:val="21"/>
        </w:rPr>
        <w:sectPr>
          <w:pgSz w:w="11907" w:h="16839"/>
          <w:pgMar w:top="1431" w:right="1685" w:bottom="0" w:left="1687" w:header="0" w:footer="0" w:gutter="0"/>
          <w:cols w:space="720" w:num="1"/>
        </w:sectPr>
      </w:pPr>
    </w:p>
    <w:p>
      <w:pPr>
        <w:widowControl/>
        <w:kinsoku w:val="0"/>
        <w:autoSpaceDE w:val="0"/>
        <w:autoSpaceDN w:val="0"/>
        <w:adjustRightInd w:val="0"/>
        <w:snapToGrid w:val="0"/>
        <w:spacing w:line="91" w:lineRule="auto"/>
        <w:jc w:val="left"/>
        <w:textAlignment w:val="baseline"/>
        <w:rPr>
          <w:rFonts w:ascii="Arial" w:hAnsi="Arial" w:eastAsia="Arial" w:cs="Arial"/>
          <w:snapToGrid w:val="0"/>
          <w:color w:val="000000"/>
          <w:kern w:val="0"/>
          <w:sz w:val="2"/>
          <w:szCs w:val="21"/>
          <w:lang w:eastAsia="en-US"/>
        </w:rPr>
      </w:pPr>
    </w:p>
    <w:tbl>
      <w:tblPr>
        <w:tblStyle w:val="9"/>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0"/>
        <w:gridCol w:w="107"/>
        <w:gridCol w:w="3073"/>
        <w:gridCol w:w="49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420" w:type="dxa"/>
            <w:textDirection w:val="tbRlV"/>
            <w:vAlign w:val="top"/>
          </w:tcPr>
          <w:p>
            <w:pPr>
              <w:pStyle w:val="10"/>
              <w:widowControl/>
              <w:spacing w:before="96" w:line="209" w:lineRule="auto"/>
              <w:ind w:left="55"/>
            </w:pPr>
            <w:r>
              <w:rPr>
                <w:spacing w:val="-1"/>
              </w:rPr>
              <w:t>冬 服 纽</w:t>
            </w:r>
            <w:r>
              <w:rPr>
                <w:spacing w:val="-3"/>
              </w:rPr>
              <w:t xml:space="preserve"> </w:t>
            </w:r>
            <w:r>
              <w:rPr>
                <w:spacing w:val="-1"/>
              </w:rPr>
              <w:t>扣</w:t>
            </w:r>
          </w:p>
        </w:tc>
        <w:tc>
          <w:tcPr>
            <w:tcW w:w="107" w:type="dxa"/>
            <w:tcBorders>
              <w:right w:val="nil"/>
            </w:tcBorders>
            <w:vAlign w:val="top"/>
          </w:tcPr>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3073" w:type="dxa"/>
            <w:tcBorders>
              <w:left w:val="nil"/>
              <w:right w:val="nil"/>
            </w:tcBorders>
            <w:vAlign w:val="top"/>
          </w:tcPr>
          <w:p>
            <w:pPr>
              <w:widowControl/>
              <w:kinsoku w:val="0"/>
              <w:autoSpaceDE w:val="0"/>
              <w:autoSpaceDN w:val="0"/>
              <w:adjustRightInd w:val="0"/>
              <w:snapToGrid w:val="0"/>
              <w:spacing w:before="76" w:line="2035" w:lineRule="exact"/>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40"/>
                <w:szCs w:val="21"/>
                <w:lang w:eastAsia="en-US"/>
              </w:rPr>
              <w:drawing>
                <wp:inline distT="0" distB="0" distL="0" distR="0">
                  <wp:extent cx="1950720" cy="1292225"/>
                  <wp:effectExtent l="0" t="0" r="5080" b="317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1951113" cy="1292225"/>
                          </a:xfrm>
                          <a:prstGeom prst="rect">
                            <a:avLst/>
                          </a:prstGeom>
                        </pic:spPr>
                      </pic:pic>
                    </a:graphicData>
                  </a:graphic>
                </wp:inline>
              </w:drawing>
            </w:r>
          </w:p>
        </w:tc>
        <w:tc>
          <w:tcPr>
            <w:tcW w:w="4928" w:type="dxa"/>
            <w:tcBorders>
              <w:left w:val="nil"/>
            </w:tcBorders>
            <w:vAlign w:val="top"/>
          </w:tcPr>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pPr>
        <w:spacing w:before="78" w:beforeLines="25" w:after="78" w:afterLines="25" w:line="360" w:lineRule="auto"/>
        <w:ind w:firstLine="2160" w:firstLineChars="600"/>
        <w:jc w:val="left"/>
        <w:rPr>
          <w:rFonts w:ascii="方正小标宋简体" w:hAnsi="方正小标宋简体" w:eastAsia="方正小标宋简体" w:cs="方正小标宋简体"/>
          <w:sz w:val="36"/>
          <w:szCs w:val="36"/>
        </w:rPr>
      </w:pPr>
    </w:p>
    <w:p>
      <w:pPr>
        <w:rPr>
          <w:rFonts w:ascii="方正楷体_GBK" w:hAnsi="方正楷体_GBK" w:eastAsia="方正楷体_GBK" w:cs="方正楷体_GBK"/>
          <w:color w:val="000000"/>
          <w:szCs w:val="21"/>
        </w:rPr>
      </w:pPr>
    </w:p>
    <w:p>
      <w:pPr>
        <w:rPr>
          <w:rFonts w:ascii="Times New Roman" w:hAnsi="Times New Roman"/>
        </w:rPr>
      </w:pPr>
    </w:p>
    <w:p>
      <w:pPr>
        <w:widowControl/>
        <w:ind w:firstLine="640" w:firstLineChars="200"/>
        <w:rPr>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C6BB1B3-0C73-4E8A-8B50-CE0FA82C0415}"/>
  </w:font>
  <w:font w:name="黑体">
    <w:panose1 w:val="02010609060101010101"/>
    <w:charset w:val="86"/>
    <w:family w:val="auto"/>
    <w:pitch w:val="default"/>
    <w:sig w:usb0="800002BF" w:usb1="38CF7CFA" w:usb2="00000016" w:usb3="00000000" w:csb0="00040001" w:csb1="00000000"/>
    <w:embedRegular r:id="rId2" w:fontKey="{FFF17B1A-1E29-4529-A140-0378A0436F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BE33C4E-FEE4-4225-AE57-91C96F0D55C0}"/>
  </w:font>
  <w:font w:name="方正小标宋_GBK">
    <w:panose1 w:val="02000000000000000000"/>
    <w:charset w:val="86"/>
    <w:family w:val="script"/>
    <w:pitch w:val="default"/>
    <w:sig w:usb0="A00002BF" w:usb1="38CF7CFA" w:usb2="00082016" w:usb3="00000000" w:csb0="00040001" w:csb1="00000000"/>
    <w:embedRegular r:id="rId4" w:fontKey="{970D9804-4585-4299-8920-CF6D07EE6CC8}"/>
  </w:font>
  <w:font w:name="仿宋_GB2312">
    <w:panose1 w:val="02010609030101010101"/>
    <w:charset w:val="86"/>
    <w:family w:val="modern"/>
    <w:pitch w:val="default"/>
    <w:sig w:usb0="00000001" w:usb1="080E0000" w:usb2="00000000" w:usb3="00000000" w:csb0="00040000" w:csb1="00000000"/>
    <w:embedRegular r:id="rId5" w:fontKey="{141B9EAC-36FD-47BD-B84A-BB8F22F186EA}"/>
  </w:font>
  <w:font w:name="仿宋">
    <w:panose1 w:val="02010609060101010101"/>
    <w:charset w:val="86"/>
    <w:family w:val="modern"/>
    <w:pitch w:val="default"/>
    <w:sig w:usb0="800002BF" w:usb1="38CF7CFA" w:usb2="00000016" w:usb3="00000000" w:csb0="00040001" w:csb1="00000000"/>
    <w:embedRegular r:id="rId6" w:fontKey="{3458BC89-1A5E-4A33-8AC2-E2EEFA19907E}"/>
  </w:font>
  <w:font w:name="新宋体">
    <w:panose1 w:val="02010609030101010101"/>
    <w:charset w:val="86"/>
    <w:family w:val="modern"/>
    <w:pitch w:val="default"/>
    <w:sig w:usb0="00000203" w:usb1="288F0000" w:usb2="00000006" w:usb3="00000000" w:csb0="00040001" w:csb1="00000000"/>
    <w:embedRegular r:id="rId7" w:fontKey="{B2E4F384-8FF5-4AD8-9735-114B548B2799}"/>
  </w:font>
  <w:font w:name="楷体">
    <w:panose1 w:val="02010609060101010101"/>
    <w:charset w:val="86"/>
    <w:family w:val="modern"/>
    <w:pitch w:val="default"/>
    <w:sig w:usb0="800002BF" w:usb1="38CF7CFA" w:usb2="00000016" w:usb3="00000000" w:csb0="00040001" w:csb1="00000000"/>
    <w:embedRegular r:id="rId8" w:fontKey="{C51373A6-CCB5-4EB3-8C35-E43C05A7725A}"/>
  </w:font>
  <w:font w:name="方正仿宋_GBK">
    <w:panose1 w:val="02000000000000000000"/>
    <w:charset w:val="86"/>
    <w:family w:val="auto"/>
    <w:pitch w:val="default"/>
    <w:sig w:usb0="A00002BF" w:usb1="38CF7CFA" w:usb2="00082016" w:usb3="00000000" w:csb0="00040001" w:csb1="00000000"/>
    <w:embedRegular r:id="rId9" w:fontKey="{14C1F894-2BA5-4159-AF19-A90B0E4D531E}"/>
  </w:font>
  <w:font w:name="方正黑体_GBK">
    <w:altName w:val="微软雅黑"/>
    <w:panose1 w:val="02000000000000000000"/>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10" w:fontKey="{823D7703-186F-47C1-AD2B-B8EBB61A06E3}"/>
  </w:font>
  <w:font w:name="方正楷体_GBK">
    <w:altName w:val="Arial Unicode MS"/>
    <w:panose1 w:val="00000000000000000000"/>
    <w:charset w:val="86"/>
    <w:family w:val="auto"/>
    <w:pitch w:val="default"/>
    <w:sig w:usb0="00000000" w:usb1="00000000" w:usb2="00000016" w:usb3="00000000" w:csb0="00040000" w:csb1="00000000"/>
    <w:embedRegular r:id="rId11" w:fontKey="{BE2B769F-C7D4-445A-A6C3-E97641F4471C}"/>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wOTMyNjU2MGFmMGJhODQ4Yjc1YjY2ZjkzZDc2ZmEifQ=="/>
  </w:docVars>
  <w:rsids>
    <w:rsidRoot w:val="00EF04E9"/>
    <w:rsid w:val="00034074"/>
    <w:rsid w:val="00050EA6"/>
    <w:rsid w:val="000812FD"/>
    <w:rsid w:val="00087F28"/>
    <w:rsid w:val="000C7942"/>
    <w:rsid w:val="000E3FB8"/>
    <w:rsid w:val="001066DF"/>
    <w:rsid w:val="00114041"/>
    <w:rsid w:val="00176BED"/>
    <w:rsid w:val="00193F74"/>
    <w:rsid w:val="001B05FB"/>
    <w:rsid w:val="001D0C79"/>
    <w:rsid w:val="0022579E"/>
    <w:rsid w:val="002434B7"/>
    <w:rsid w:val="00297810"/>
    <w:rsid w:val="002A2960"/>
    <w:rsid w:val="002C06E9"/>
    <w:rsid w:val="002D772F"/>
    <w:rsid w:val="002E0773"/>
    <w:rsid w:val="003176E2"/>
    <w:rsid w:val="00337235"/>
    <w:rsid w:val="00357F39"/>
    <w:rsid w:val="003728AE"/>
    <w:rsid w:val="00372C32"/>
    <w:rsid w:val="00380152"/>
    <w:rsid w:val="003B1501"/>
    <w:rsid w:val="003E406F"/>
    <w:rsid w:val="003E610D"/>
    <w:rsid w:val="004225C0"/>
    <w:rsid w:val="00454D39"/>
    <w:rsid w:val="00465364"/>
    <w:rsid w:val="004B784E"/>
    <w:rsid w:val="004C282F"/>
    <w:rsid w:val="00515A16"/>
    <w:rsid w:val="0054300C"/>
    <w:rsid w:val="005C7734"/>
    <w:rsid w:val="006047FE"/>
    <w:rsid w:val="00623883"/>
    <w:rsid w:val="0066549D"/>
    <w:rsid w:val="006A1A85"/>
    <w:rsid w:val="006C5322"/>
    <w:rsid w:val="006D6965"/>
    <w:rsid w:val="007037F8"/>
    <w:rsid w:val="00715893"/>
    <w:rsid w:val="007218E4"/>
    <w:rsid w:val="00737F0A"/>
    <w:rsid w:val="00745509"/>
    <w:rsid w:val="00774530"/>
    <w:rsid w:val="007F4EB5"/>
    <w:rsid w:val="00811834"/>
    <w:rsid w:val="0084078D"/>
    <w:rsid w:val="00870654"/>
    <w:rsid w:val="008A6070"/>
    <w:rsid w:val="008E0D0B"/>
    <w:rsid w:val="008E57C0"/>
    <w:rsid w:val="008F4FB5"/>
    <w:rsid w:val="0090173B"/>
    <w:rsid w:val="00945CEA"/>
    <w:rsid w:val="0097674E"/>
    <w:rsid w:val="00987FA7"/>
    <w:rsid w:val="009C5A81"/>
    <w:rsid w:val="00A07C10"/>
    <w:rsid w:val="00A247C0"/>
    <w:rsid w:val="00A42556"/>
    <w:rsid w:val="00A969C9"/>
    <w:rsid w:val="00AB2C66"/>
    <w:rsid w:val="00AE238A"/>
    <w:rsid w:val="00B02F3F"/>
    <w:rsid w:val="00B456CC"/>
    <w:rsid w:val="00B70CAD"/>
    <w:rsid w:val="00BF7593"/>
    <w:rsid w:val="00C0777D"/>
    <w:rsid w:val="00C206DB"/>
    <w:rsid w:val="00C2432E"/>
    <w:rsid w:val="00C61EC2"/>
    <w:rsid w:val="00C83B2F"/>
    <w:rsid w:val="00C86182"/>
    <w:rsid w:val="00CC66B3"/>
    <w:rsid w:val="00CE77C2"/>
    <w:rsid w:val="00CF4193"/>
    <w:rsid w:val="00D207CE"/>
    <w:rsid w:val="00D37FCD"/>
    <w:rsid w:val="00D468DF"/>
    <w:rsid w:val="00E042EB"/>
    <w:rsid w:val="00E04FF4"/>
    <w:rsid w:val="00E642A6"/>
    <w:rsid w:val="00EE006D"/>
    <w:rsid w:val="00EE79ED"/>
    <w:rsid w:val="00EF04E9"/>
    <w:rsid w:val="00EF67D8"/>
    <w:rsid w:val="00F020B2"/>
    <w:rsid w:val="00F23611"/>
    <w:rsid w:val="00F57E4A"/>
    <w:rsid w:val="00F660E2"/>
    <w:rsid w:val="00FB033C"/>
    <w:rsid w:val="00FD001C"/>
    <w:rsid w:val="00FE2AFD"/>
    <w:rsid w:val="01E0373D"/>
    <w:rsid w:val="0B212DFC"/>
    <w:rsid w:val="14A6199A"/>
    <w:rsid w:val="14B754C0"/>
    <w:rsid w:val="164A1388"/>
    <w:rsid w:val="1BF12377"/>
    <w:rsid w:val="1E2F5C46"/>
    <w:rsid w:val="20640C96"/>
    <w:rsid w:val="21933ED0"/>
    <w:rsid w:val="250306A2"/>
    <w:rsid w:val="3E121833"/>
    <w:rsid w:val="42CA6DE0"/>
    <w:rsid w:val="43616C3C"/>
    <w:rsid w:val="49433231"/>
    <w:rsid w:val="4B032A11"/>
    <w:rsid w:val="5A4763F8"/>
    <w:rsid w:val="5D805AB2"/>
    <w:rsid w:val="5F7244B9"/>
    <w:rsid w:val="6213459F"/>
    <w:rsid w:val="662978C9"/>
    <w:rsid w:val="70780390"/>
    <w:rsid w:val="71642171"/>
    <w:rsid w:val="78553E8F"/>
    <w:rsid w:val="79C82539"/>
    <w:rsid w:val="7E4251F0"/>
    <w:rsid w:val="7E883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rFonts w:ascii="Times New Roman" w:hAnsi="Times New Roman"/>
    </w:rPr>
  </w:style>
  <w:style w:type="paragraph" w:styleId="3">
    <w:name w:val="annotation text"/>
    <w:basedOn w:val="1"/>
    <w:link w:val="8"/>
    <w:autoRedefine/>
    <w:qFormat/>
    <w:uiPriority w:val="0"/>
    <w:pPr>
      <w:autoSpaceDE w:val="0"/>
      <w:autoSpaceDN w:val="0"/>
      <w:adjustRightInd w:val="0"/>
      <w:jc w:val="left"/>
      <w:textAlignment w:val="baseline"/>
    </w:pPr>
    <w:rPr>
      <w:rFonts w:ascii="宋体" w:hAnsi="Times New Roman"/>
      <w:kern w:val="0"/>
      <w:sz w:val="34"/>
      <w:szCs w:val="20"/>
    </w:rPr>
  </w:style>
  <w:style w:type="paragraph" w:styleId="4">
    <w:name w:val="Body Text 2"/>
    <w:basedOn w:val="1"/>
    <w:autoRedefine/>
    <w:qFormat/>
    <w:uiPriority w:val="0"/>
    <w:pPr>
      <w:spacing w:line="360" w:lineRule="auto"/>
    </w:pPr>
    <w:rPr>
      <w:sz w:val="24"/>
    </w:rPr>
  </w:style>
  <w:style w:type="table" w:styleId="6">
    <w:name w:val="Table Grid"/>
    <w:basedOn w:val="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文字 Char"/>
    <w:basedOn w:val="7"/>
    <w:link w:val="3"/>
    <w:autoRedefine/>
    <w:qFormat/>
    <w:uiPriority w:val="0"/>
    <w:rPr>
      <w:rFonts w:ascii="宋体" w:hAnsi="Times New Roman" w:eastAsia="宋体" w:cs="Times New Roman"/>
      <w:kern w:val="0"/>
      <w:sz w:val="34"/>
      <w:szCs w:val="20"/>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autoRedefine/>
    <w:semiHidden/>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9</Pages>
  <Words>751</Words>
  <Characters>4283</Characters>
  <Lines>35</Lines>
  <Paragraphs>10</Paragraphs>
  <TotalTime>2</TotalTime>
  <ScaleCrop>false</ScaleCrop>
  <LinksUpToDate>false</LinksUpToDate>
  <CharactersWithSpaces>5024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2025-03-20T03:00:00Z</dcterms:created>
  <dc:creator>罗奕锶</dc:creator>
  <cp:lastModifiedBy>～～</cp:lastModifiedBy>
  <dcterms:modified xsi:type="dcterms:W3CDTF">2025-10-28T06:26:39Z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1113BFB927A940BCA8CAAEAFEC11AF63_12</vt:lpwstr>
  </property>
</Properties>
</file>