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F0FEA6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hint="eastAsia" w:ascii="黑体" w:hAnsi="黑体" w:eastAsia="黑体" w:cs="黑体"/>
          <w:color w:val="auto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color w:val="auto"/>
          <w:sz w:val="32"/>
          <w:szCs w:val="32"/>
          <w:lang w:val="en-US" w:eastAsia="zh-CN"/>
        </w:rPr>
        <w:t>附件1</w:t>
      </w:r>
    </w:p>
    <w:p w14:paraId="3B7A922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</w:p>
    <w:p w14:paraId="08A7491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color w:val="auto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color w:val="auto"/>
          <w:sz w:val="44"/>
          <w:szCs w:val="44"/>
          <w:lang w:val="en-US" w:eastAsia="zh-CN"/>
        </w:rPr>
        <w:t>新桥东展厅重点展陈及系统改造升级</w:t>
      </w:r>
    </w:p>
    <w:p w14:paraId="4B6F0A6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color w:val="auto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color w:val="auto"/>
          <w:sz w:val="44"/>
          <w:szCs w:val="44"/>
          <w:lang w:val="en-US" w:eastAsia="zh-CN"/>
        </w:rPr>
        <w:t>服务项目需求书</w:t>
      </w:r>
    </w:p>
    <w:p w14:paraId="430B2E2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</w:p>
    <w:p w14:paraId="6473E0E6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firstLine="640" w:firstLineChars="200"/>
        <w:jc w:val="left"/>
        <w:textAlignment w:val="auto"/>
        <w:rPr>
          <w:rFonts w:hint="eastAsia" w:ascii="黑体" w:hAnsi="黑体" w:eastAsia="黑体" w:cs="黑体"/>
          <w:color w:val="auto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color w:val="auto"/>
          <w:sz w:val="32"/>
          <w:szCs w:val="32"/>
          <w:lang w:val="en-US" w:eastAsia="zh-CN"/>
        </w:rPr>
        <w:t>项目背景</w:t>
      </w:r>
    </w:p>
    <w:p w14:paraId="03283B9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firstLine="640" w:firstLineChars="200"/>
        <w:jc w:val="both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新桥东先进制造产业园展厅位于深圳市宝安区新桥街道创新智慧港，展厅面积约1395㎡，已投用运营三年。展厅设置序厅、项目概况、规划沙盘、企业成果、路演区等功能分区，配套中控影音、电子大屏等设备，承担政务接待、招商推介、成果展示职能，是园区对外交流、产业推介的重要窗口。随着新桥东片区开发建设持续推进，园区产业落地、规划配套不断更新迭代，现有展陈内容、展示系统已难以匹配最新建设成果与接待展示需求，拟开展展厅重点展陈及系统优化升级工作。</w:t>
      </w:r>
    </w:p>
    <w:p w14:paraId="4DD45BF6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firstLine="640" w:firstLineChars="200"/>
        <w:jc w:val="left"/>
        <w:textAlignment w:val="auto"/>
        <w:rPr>
          <w:rFonts w:ascii="黑体" w:hAnsi="黑体" w:eastAsia="黑体" w:cs="黑体"/>
          <w:color w:val="auto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color w:val="auto"/>
          <w:sz w:val="32"/>
          <w:szCs w:val="32"/>
          <w:lang w:val="en-US" w:eastAsia="zh-CN"/>
        </w:rPr>
        <w:t>项目概况</w:t>
      </w:r>
    </w:p>
    <w:p w14:paraId="48DE5CE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firstLine="640" w:firstLineChars="200"/>
        <w:jc w:val="both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新桥东展厅重点展陈及系统改造升级主要包括中控系统优化改造（含调整控制界面）、展陈及展项提质更新、LED显示终端修复、讲解与会议音频系统调试升级等内容。本项目充分利旧，依托展厅原有电子屏幕、交换机、中控主机、工控主机、音频设备、控制平板等设施开展升级改造，通过新增配套配件、优化软件程序、调试联动逻辑，最大化盘活现有设备资源。</w:t>
      </w:r>
    </w:p>
    <w:p w14:paraId="1107C824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firstLine="640" w:firstLineChars="200"/>
        <w:jc w:val="left"/>
        <w:textAlignment w:val="auto"/>
        <w:rPr>
          <w:rFonts w:ascii="黑体" w:hAnsi="黑体" w:eastAsia="黑体" w:cs="黑体"/>
          <w:color w:val="auto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color w:val="auto"/>
          <w:sz w:val="32"/>
          <w:szCs w:val="32"/>
          <w:lang w:val="en-US" w:eastAsia="zh-CN"/>
        </w:rPr>
        <w:t>服务内容及成果要求</w:t>
      </w:r>
    </w:p>
    <w:p w14:paraId="328EE5B2"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firstLine="493"/>
        <w:jc w:val="left"/>
        <w:textAlignment w:val="baseline"/>
        <w:rPr>
          <w:rFonts w:hint="eastAsia" w:ascii="楷体_GB2312" w:hAnsi="楷体_GB2312" w:eastAsia="楷体_GB2312" w:cs="楷体_GB2312"/>
          <w:color w:val="auto"/>
          <w:sz w:val="32"/>
          <w:szCs w:val="32"/>
        </w:rPr>
      </w:pPr>
      <w:r>
        <w:rPr>
          <w:rFonts w:hint="eastAsia" w:ascii="楷体_GB2312" w:hAnsi="楷体_GB2312" w:eastAsia="楷体_GB2312" w:cs="楷体_GB2312"/>
          <w:b w:val="0"/>
          <w:bCs/>
          <w:color w:val="auto"/>
          <w:kern w:val="24"/>
          <w:sz w:val="32"/>
          <w:szCs w:val="32"/>
          <w:vertAlign w:val="baseline"/>
          <w:lang w:eastAsia="zh-CN"/>
        </w:rPr>
        <w:t>（</w:t>
      </w:r>
      <w:r>
        <w:rPr>
          <w:rFonts w:hint="eastAsia" w:ascii="楷体_GB2312" w:hAnsi="楷体_GB2312" w:eastAsia="楷体_GB2312" w:cs="楷体_GB2312"/>
          <w:b w:val="0"/>
          <w:bCs/>
          <w:color w:val="auto"/>
          <w:kern w:val="24"/>
          <w:sz w:val="32"/>
          <w:szCs w:val="32"/>
          <w:vertAlign w:val="baseline"/>
          <w:lang w:val="en-US" w:eastAsia="zh-CN"/>
        </w:rPr>
        <w:t>一）</w:t>
      </w:r>
      <w:r>
        <w:rPr>
          <w:rFonts w:hint="eastAsia" w:ascii="楷体_GB2312" w:hAnsi="楷体_GB2312" w:eastAsia="楷体_GB2312" w:cs="楷体_GB2312"/>
          <w:b w:val="0"/>
          <w:bCs/>
          <w:color w:val="auto"/>
          <w:kern w:val="24"/>
          <w:sz w:val="32"/>
          <w:szCs w:val="32"/>
          <w:vertAlign w:val="baseline"/>
        </w:rPr>
        <w:t>中控系统优化改造</w:t>
      </w:r>
    </w:p>
    <w:p w14:paraId="7A4EDA55"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firstLine="640" w:firstLineChars="200"/>
        <w:jc w:val="both"/>
        <w:textAlignment w:val="baseline"/>
        <w:rPr>
          <w:rFonts w:hint="eastAsia" w:ascii="仿宋_GB2312" w:hAnsi="仿宋_GB2312" w:eastAsia="仿宋_GB2312" w:cs="仿宋_GB2312"/>
          <w:color w:val="auto"/>
          <w:kern w:val="24"/>
          <w:sz w:val="32"/>
          <w:szCs w:val="32"/>
          <w:vertAlign w:val="baseline"/>
        </w:rPr>
      </w:pPr>
      <w:r>
        <w:rPr>
          <w:rFonts w:hint="eastAsia" w:ascii="仿宋_GB2312" w:hAnsi="仿宋_GB2312" w:eastAsia="仿宋_GB2312" w:cs="仿宋_GB2312"/>
          <w:color w:val="auto"/>
          <w:kern w:val="24"/>
          <w:sz w:val="32"/>
          <w:szCs w:val="32"/>
          <w:vertAlign w:val="baseline"/>
        </w:rPr>
        <w:t>依托展厅现有硬件设备与软件基础，</w:t>
      </w:r>
      <w:r>
        <w:rPr>
          <w:rFonts w:ascii="仿宋_GB2312" w:hAnsi="仿宋_GB2312" w:eastAsia="仿宋_GB2312" w:cs="仿宋_GB2312"/>
          <w:color w:val="auto"/>
          <w:sz w:val="32"/>
          <w:szCs w:val="32"/>
          <w:lang w:val="en-US" w:eastAsia="zh-CN"/>
        </w:rPr>
        <w:t>重新编写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中控及</w:t>
      </w:r>
      <w:r>
        <w:rPr>
          <w:rFonts w:ascii="仿宋_GB2312" w:hAnsi="仿宋_GB2312" w:eastAsia="仿宋_GB2312" w:cs="仿宋_GB2312"/>
          <w:color w:val="auto"/>
          <w:sz w:val="32"/>
          <w:szCs w:val="32"/>
          <w:lang w:val="en-US" w:eastAsia="zh-CN"/>
        </w:rPr>
        <w:t>平板控制程序，</w:t>
      </w:r>
      <w:r>
        <w:rPr>
          <w:rFonts w:hint="eastAsia" w:ascii="仿宋_GB2312" w:hAnsi="仿宋_GB2312" w:eastAsia="仿宋_GB2312" w:cs="仿宋_GB2312"/>
          <w:color w:val="auto"/>
          <w:kern w:val="24"/>
          <w:sz w:val="32"/>
          <w:szCs w:val="32"/>
          <w:vertAlign w:val="baseline"/>
        </w:rPr>
        <w:t>优化分区管控、信号播放、画面切换等功能</w:t>
      </w:r>
      <w:r>
        <w:rPr>
          <w:rFonts w:hint="eastAsia" w:ascii="仿宋_GB2312" w:hAnsi="仿宋_GB2312" w:eastAsia="仿宋_GB2312" w:cs="仿宋_GB2312"/>
          <w:color w:val="auto"/>
          <w:kern w:val="24"/>
          <w:sz w:val="32"/>
          <w:szCs w:val="32"/>
          <w:vertAlign w:val="baseline"/>
          <w:lang w:eastAsia="zh-CN"/>
        </w:rPr>
        <w:t>，</w:t>
      </w:r>
      <w:r>
        <w:rPr>
          <w:rFonts w:hint="eastAsia" w:ascii="仿宋_GB2312" w:hAnsi="仿宋_GB2312" w:eastAsia="仿宋_GB2312" w:cs="仿宋_GB2312"/>
          <w:color w:val="auto"/>
          <w:kern w:val="24"/>
          <w:sz w:val="32"/>
          <w:szCs w:val="32"/>
          <w:vertAlign w:val="baseline"/>
          <w:lang w:val="en-US" w:eastAsia="zh-CN"/>
        </w:rPr>
        <w:t>重新调整电子屏幕的展示控制界面</w:t>
      </w:r>
      <w:r>
        <w:rPr>
          <w:rFonts w:hint="eastAsia" w:ascii="仿宋_GB2312" w:hAnsi="仿宋_GB2312" w:eastAsia="仿宋_GB2312" w:cs="仿宋_GB2312"/>
          <w:color w:val="auto"/>
          <w:kern w:val="24"/>
          <w:sz w:val="32"/>
          <w:szCs w:val="32"/>
          <w:vertAlign w:val="baseline"/>
        </w:rPr>
        <w:t>；修复</w:t>
      </w:r>
      <w:r>
        <w:rPr>
          <w:rFonts w:hint="eastAsia" w:ascii="仿宋_GB2312" w:hAnsi="仿宋_GB2312" w:eastAsia="仿宋_GB2312" w:cs="仿宋_GB2312"/>
          <w:color w:val="auto"/>
          <w:kern w:val="24"/>
          <w:sz w:val="32"/>
          <w:szCs w:val="32"/>
          <w:vertAlign w:val="baseline"/>
          <w:lang w:val="en-US" w:eastAsia="zh-CN"/>
        </w:rPr>
        <w:t>电子屏幕</w:t>
      </w:r>
      <w:r>
        <w:rPr>
          <w:rFonts w:hint="eastAsia" w:ascii="仿宋_GB2312" w:hAnsi="仿宋_GB2312" w:eastAsia="仿宋_GB2312" w:cs="仿宋_GB2312"/>
          <w:color w:val="auto"/>
          <w:kern w:val="24"/>
          <w:sz w:val="32"/>
          <w:szCs w:val="32"/>
          <w:vertAlign w:val="baseline"/>
        </w:rPr>
        <w:t>配套控制软件，新增空调集中控制模块，预留沙盘</w:t>
      </w:r>
      <w:r>
        <w:rPr>
          <w:rFonts w:hint="eastAsia" w:ascii="仿宋_GB2312" w:hAnsi="仿宋_GB2312" w:eastAsia="仿宋_GB2312" w:cs="仿宋_GB2312"/>
          <w:color w:val="auto"/>
          <w:kern w:val="24"/>
          <w:sz w:val="32"/>
          <w:szCs w:val="32"/>
          <w:vertAlign w:val="baseline"/>
          <w:lang w:val="en-US" w:eastAsia="zh-CN"/>
        </w:rPr>
        <w:t>灯光</w:t>
      </w:r>
      <w:r>
        <w:rPr>
          <w:rFonts w:hint="eastAsia" w:ascii="仿宋_GB2312" w:hAnsi="仿宋_GB2312" w:eastAsia="仿宋_GB2312" w:cs="仿宋_GB2312"/>
          <w:color w:val="auto"/>
          <w:kern w:val="24"/>
          <w:sz w:val="32"/>
          <w:szCs w:val="32"/>
          <w:vertAlign w:val="baseline"/>
        </w:rPr>
        <w:t>控制点位接口；完成</w:t>
      </w:r>
      <w:r>
        <w:rPr>
          <w:rFonts w:hint="eastAsia" w:ascii="仿宋_GB2312" w:hAnsi="仿宋_GB2312" w:eastAsia="仿宋_GB2312" w:cs="仿宋_GB2312"/>
          <w:color w:val="auto"/>
          <w:kern w:val="24"/>
          <w:sz w:val="32"/>
          <w:szCs w:val="32"/>
          <w:vertAlign w:val="baseline"/>
          <w:lang w:val="en-US" w:eastAsia="zh-CN"/>
        </w:rPr>
        <w:t>洗手间</w:t>
      </w:r>
      <w:r>
        <w:rPr>
          <w:rFonts w:hint="eastAsia" w:ascii="仿宋_GB2312" w:hAnsi="仿宋_GB2312" w:eastAsia="仿宋_GB2312" w:cs="仿宋_GB2312"/>
          <w:color w:val="auto"/>
          <w:kern w:val="24"/>
          <w:sz w:val="32"/>
          <w:szCs w:val="32"/>
          <w:vertAlign w:val="baseline"/>
        </w:rPr>
        <w:t>感应灯智能联动优化升级；交付中控系统源代码，配套开展操作运维专项培训，形成《中控系统操作手册》，实现内容与控制参数自主调整，支持单台平板对展厅全部设备集中管控。</w:t>
      </w:r>
    </w:p>
    <w:p w14:paraId="11C0B17F"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firstLine="643" w:firstLineChars="200"/>
        <w:jc w:val="both"/>
        <w:textAlignment w:val="baseline"/>
        <w:rPr>
          <w:rFonts w:ascii="仿宋_GB2312" w:hAnsi="仿宋_GB2312" w:eastAsia="仿宋_GB2312" w:cs="仿宋_GB2312"/>
          <w:color w:val="auto"/>
          <w:kern w:val="24"/>
          <w:sz w:val="32"/>
          <w:szCs w:val="32"/>
          <w:vertAlign w:val="baseline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color w:val="auto"/>
          <w:kern w:val="24"/>
          <w:sz w:val="32"/>
          <w:szCs w:val="32"/>
          <w:vertAlign w:val="baseline"/>
          <w:lang w:val="en-US" w:eastAsia="zh-CN"/>
        </w:rPr>
        <w:t>成果要求：</w:t>
      </w:r>
      <w:r>
        <w:rPr>
          <w:rFonts w:hint="eastAsia" w:ascii="仿宋_GB2312" w:hAnsi="仿宋_GB2312" w:eastAsia="仿宋_GB2312" w:cs="仿宋_GB2312"/>
          <w:color w:val="auto"/>
          <w:kern w:val="24"/>
          <w:sz w:val="32"/>
          <w:szCs w:val="32"/>
          <w:vertAlign w:val="baseline"/>
          <w:lang w:val="en-US" w:eastAsia="zh-CN"/>
        </w:rPr>
        <w:t>交付1套可自主编辑的展厅中控软件，提供完整无加密源代码；兼容TCP、UDP、PJLink协议，支持网络唤醒、状态回读，可自定义页面、按钮、背景及场景，实现分区管控、信号切换、16台空调、感应灯联动，预留沙盘拓展接口，单平板集中管控全展厅设备。同步提供电子版和纸质版3套《中控系统操作手册》，实操运维培训3次，保障甲方可自主调整控制参数与展示场景。</w:t>
      </w:r>
    </w:p>
    <w:p w14:paraId="5E6621D1"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firstLine="493"/>
        <w:jc w:val="left"/>
        <w:textAlignment w:val="baseline"/>
        <w:rPr>
          <w:rFonts w:hint="eastAsia" w:ascii="楷体_GB2312" w:hAnsi="楷体_GB2312" w:eastAsia="楷体_GB2312" w:cs="楷体_GB2312"/>
          <w:b w:val="0"/>
          <w:bCs/>
          <w:color w:val="auto"/>
          <w:kern w:val="24"/>
          <w:sz w:val="32"/>
          <w:szCs w:val="32"/>
          <w:vertAlign w:val="baseline"/>
          <w:lang w:eastAsia="zh-CN"/>
        </w:rPr>
      </w:pPr>
      <w:r>
        <w:rPr>
          <w:rFonts w:hint="eastAsia" w:ascii="楷体_GB2312" w:hAnsi="楷体_GB2312" w:eastAsia="楷体_GB2312" w:cs="楷体_GB2312"/>
          <w:b w:val="0"/>
          <w:bCs/>
          <w:color w:val="auto"/>
          <w:kern w:val="24"/>
          <w:sz w:val="32"/>
          <w:szCs w:val="32"/>
          <w:vertAlign w:val="baseline"/>
          <w:lang w:eastAsia="zh-CN"/>
        </w:rPr>
        <w:t>（</w:t>
      </w:r>
      <w:r>
        <w:rPr>
          <w:rFonts w:hint="eastAsia" w:ascii="楷体_GB2312" w:hAnsi="楷体_GB2312" w:eastAsia="楷体_GB2312" w:cs="楷体_GB2312"/>
          <w:b w:val="0"/>
          <w:bCs/>
          <w:color w:val="auto"/>
          <w:kern w:val="24"/>
          <w:sz w:val="32"/>
          <w:szCs w:val="32"/>
          <w:vertAlign w:val="baseline"/>
          <w:lang w:val="en-US" w:eastAsia="zh-CN"/>
        </w:rPr>
        <w:t>二）</w:t>
      </w:r>
      <w:r>
        <w:rPr>
          <w:rFonts w:hint="eastAsia" w:ascii="楷体_GB2312" w:hAnsi="楷体_GB2312" w:eastAsia="楷体_GB2312" w:cs="楷体_GB2312"/>
          <w:b w:val="0"/>
          <w:bCs/>
          <w:color w:val="auto"/>
          <w:kern w:val="24"/>
          <w:sz w:val="32"/>
          <w:szCs w:val="32"/>
          <w:vertAlign w:val="baseline"/>
          <w:lang w:eastAsia="zh-CN"/>
        </w:rPr>
        <w:t>展陈及展项提质更新</w:t>
      </w:r>
    </w:p>
    <w:p w14:paraId="6630616F"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firstLine="640" w:firstLineChars="200"/>
        <w:jc w:val="left"/>
        <w:textAlignment w:val="baseline"/>
        <w:rPr>
          <w:rFonts w:hint="eastAsia" w:ascii="仿宋_GB2312" w:hAnsi="仿宋_GB2312" w:eastAsia="仿宋_GB2312" w:cs="仿宋_GB2312"/>
          <w:color w:val="auto"/>
          <w:kern w:val="24"/>
          <w:sz w:val="32"/>
          <w:szCs w:val="32"/>
          <w:vertAlign w:val="baseline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kern w:val="24"/>
          <w:sz w:val="32"/>
          <w:szCs w:val="32"/>
          <w:vertAlign w:val="baseline"/>
        </w:rPr>
        <w:t>策划设计电子屏展播素材，开展现有LED屏幕画面调试及再利用策划，新增园区重点企业及产品、配套住宅项目、重点招商项目等展示页面；优化企业展柜造型与装饰效果；完成展墙企业 LOGO、立体字的深化设计、制作及安装调试；对互动展项进行升级改造，保障互动体验良好</w:t>
      </w:r>
      <w:r>
        <w:rPr>
          <w:rFonts w:hint="eastAsia" w:ascii="仿宋_GB2312" w:hAnsi="仿宋_GB2312" w:eastAsia="仿宋_GB2312" w:cs="仿宋_GB2312"/>
          <w:color w:val="auto"/>
          <w:kern w:val="24"/>
          <w:sz w:val="32"/>
          <w:szCs w:val="32"/>
          <w:vertAlign w:val="baseline"/>
          <w:lang w:eastAsia="zh-CN"/>
        </w:rPr>
        <w:t>；</w:t>
      </w:r>
      <w:r>
        <w:rPr>
          <w:rFonts w:hint="eastAsia" w:ascii="仿宋_GB2312" w:hAnsi="仿宋_GB2312" w:eastAsia="仿宋_GB2312" w:cs="仿宋_GB2312"/>
          <w:color w:val="auto"/>
          <w:kern w:val="24"/>
          <w:sz w:val="32"/>
          <w:szCs w:val="32"/>
          <w:vertAlign w:val="baseline"/>
          <w:lang w:val="en-US" w:eastAsia="zh-CN"/>
        </w:rPr>
        <w:t>局部维修灯光、修复墙面及门锁，新增窗帘等。</w:t>
      </w:r>
    </w:p>
    <w:p w14:paraId="67197BE7"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firstLine="643" w:firstLineChars="200"/>
        <w:jc w:val="left"/>
        <w:textAlignment w:val="baseline"/>
        <w:rPr>
          <w:rFonts w:ascii="仿宋_GB2312" w:hAnsi="仿宋_GB2312" w:eastAsia="仿宋_GB2312" w:cs="仿宋_GB2312"/>
          <w:color w:val="auto"/>
          <w:kern w:val="24"/>
          <w:sz w:val="32"/>
          <w:szCs w:val="32"/>
          <w:vertAlign w:val="baseline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color w:val="auto"/>
          <w:kern w:val="24"/>
          <w:sz w:val="32"/>
          <w:szCs w:val="32"/>
          <w:vertAlign w:val="baseline"/>
          <w:lang w:val="en-US" w:eastAsia="zh-CN"/>
        </w:rPr>
        <w:t>成果要求：</w:t>
      </w:r>
      <w:r>
        <w:rPr>
          <w:rFonts w:ascii="仿宋_GB2312" w:hAnsi="仿宋_GB2312" w:eastAsia="仿宋_GB2312" w:cs="仿宋_GB2312"/>
          <w:color w:val="auto"/>
          <w:kern w:val="24"/>
          <w:sz w:val="32"/>
          <w:szCs w:val="32"/>
          <w:vertAlign w:val="baseline"/>
          <w:lang w:val="en-US" w:eastAsia="zh-CN"/>
        </w:rPr>
        <w:t>完成4组电子屏幕展示素材策划制作，每组配置5张高清展示页面，页面支持PPT、PDF、JPG等格式文件播放，画面色彩均匀、显示画质清晰；完成5个展柜外观美化升级；制作</w:t>
      </w:r>
      <w:r>
        <w:rPr>
          <w:rFonts w:hint="eastAsia" w:ascii="仿宋_GB2312" w:hAnsi="仿宋_GB2312" w:eastAsia="仿宋_GB2312" w:cs="仿宋_GB2312"/>
          <w:color w:val="auto"/>
          <w:kern w:val="24"/>
          <w:sz w:val="32"/>
          <w:szCs w:val="32"/>
          <w:vertAlign w:val="baseline"/>
          <w:lang w:val="en-US" w:eastAsia="zh-CN"/>
        </w:rPr>
        <w:t>安装</w:t>
      </w:r>
      <w:r>
        <w:rPr>
          <w:rFonts w:ascii="仿宋_GB2312" w:hAnsi="仿宋_GB2312" w:eastAsia="仿宋_GB2312" w:cs="仿宋_GB2312"/>
          <w:color w:val="auto"/>
          <w:kern w:val="24"/>
          <w:sz w:val="32"/>
          <w:szCs w:val="32"/>
          <w:vertAlign w:val="baseline"/>
          <w:lang w:val="en-US" w:eastAsia="zh-CN"/>
        </w:rPr>
        <w:t>10</w:t>
      </w:r>
      <w:r>
        <w:rPr>
          <w:rFonts w:hint="eastAsia" w:ascii="仿宋_GB2312" w:hAnsi="仿宋_GB2312" w:eastAsia="仿宋_GB2312" w:cs="仿宋_GB2312"/>
          <w:color w:val="auto"/>
          <w:kern w:val="24"/>
          <w:sz w:val="32"/>
          <w:szCs w:val="32"/>
          <w:vertAlign w:val="baseline"/>
          <w:lang w:val="en-US" w:eastAsia="zh-CN"/>
        </w:rPr>
        <w:t>个</w:t>
      </w:r>
      <w:r>
        <w:rPr>
          <w:rFonts w:ascii="仿宋_GB2312" w:hAnsi="仿宋_GB2312" w:eastAsia="仿宋_GB2312" w:cs="仿宋_GB2312"/>
          <w:color w:val="auto"/>
          <w:kern w:val="24"/>
          <w:sz w:val="32"/>
          <w:szCs w:val="32"/>
          <w:vertAlign w:val="baseline"/>
          <w:lang w:val="en-US" w:eastAsia="zh-CN"/>
        </w:rPr>
        <w:t>企业LOGO、20个墙面立体字、15个立体标识标牌；完成AR望远镜、互动手环等互动展项调试，交互响应顺畅、运行稳定；完成1处灯光维修、1㎡墙面修复、1处门锁检修更换；完成8扇窗帘安装，整体观感协调美观，满足展厅接待展示要求。</w:t>
      </w:r>
    </w:p>
    <w:p w14:paraId="5B60C9F3"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firstLine="640" w:firstLineChars="200"/>
        <w:jc w:val="left"/>
        <w:textAlignment w:val="baseline"/>
        <w:rPr>
          <w:rFonts w:hint="eastAsia" w:ascii="楷体_GB2312" w:hAnsi="楷体_GB2312" w:eastAsia="楷体_GB2312" w:cs="楷体_GB2312"/>
          <w:b w:val="0"/>
          <w:bCs/>
          <w:color w:val="auto"/>
          <w:kern w:val="24"/>
          <w:sz w:val="32"/>
          <w:szCs w:val="32"/>
          <w:vertAlign w:val="baseline"/>
          <w:lang w:eastAsia="zh-CN"/>
        </w:rPr>
      </w:pPr>
      <w:r>
        <w:rPr>
          <w:rFonts w:hint="eastAsia" w:ascii="楷体_GB2312" w:hAnsi="楷体_GB2312" w:eastAsia="楷体_GB2312" w:cs="楷体_GB2312"/>
          <w:b w:val="0"/>
          <w:bCs/>
          <w:color w:val="auto"/>
          <w:kern w:val="24"/>
          <w:sz w:val="32"/>
          <w:szCs w:val="32"/>
          <w:vertAlign w:val="baseline"/>
          <w:lang w:eastAsia="zh-CN"/>
        </w:rPr>
        <w:t>（</w:t>
      </w:r>
      <w:r>
        <w:rPr>
          <w:rFonts w:hint="eastAsia" w:ascii="楷体_GB2312" w:hAnsi="楷体_GB2312" w:eastAsia="楷体_GB2312" w:cs="楷体_GB2312"/>
          <w:b w:val="0"/>
          <w:bCs/>
          <w:color w:val="auto"/>
          <w:kern w:val="24"/>
          <w:sz w:val="32"/>
          <w:szCs w:val="32"/>
          <w:vertAlign w:val="baseline"/>
          <w:lang w:val="en-US" w:eastAsia="zh-CN"/>
        </w:rPr>
        <w:t>三）</w:t>
      </w:r>
      <w:r>
        <w:rPr>
          <w:rFonts w:hint="eastAsia" w:ascii="楷体_GB2312" w:hAnsi="楷体_GB2312" w:eastAsia="楷体_GB2312" w:cs="楷体_GB2312"/>
          <w:b w:val="0"/>
          <w:bCs/>
          <w:color w:val="auto"/>
          <w:kern w:val="24"/>
          <w:sz w:val="32"/>
          <w:szCs w:val="32"/>
          <w:vertAlign w:val="baseline"/>
          <w:lang w:eastAsia="zh-CN"/>
        </w:rPr>
        <w:t>LED显示终端修复</w:t>
      </w:r>
    </w:p>
    <w:p w14:paraId="13A714EA"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firstLine="640" w:firstLineChars="200"/>
        <w:jc w:val="left"/>
        <w:textAlignment w:val="baseline"/>
        <w:rPr>
          <w:rFonts w:hint="eastAsia" w:ascii="仿宋_GB2312" w:hAnsi="仿宋_GB2312" w:eastAsia="仿宋_GB2312" w:cs="仿宋_GB2312"/>
          <w:color w:val="auto"/>
          <w:kern w:val="24"/>
          <w:sz w:val="32"/>
          <w:szCs w:val="32"/>
          <w:vertAlign w:val="baseline"/>
        </w:rPr>
      </w:pPr>
      <w:r>
        <w:rPr>
          <w:rFonts w:hint="eastAsia" w:ascii="仿宋_GB2312" w:hAnsi="仿宋_GB2312" w:eastAsia="仿宋_GB2312" w:cs="仿宋_GB2312"/>
          <w:color w:val="auto"/>
          <w:kern w:val="24"/>
          <w:sz w:val="32"/>
          <w:szCs w:val="32"/>
          <w:vertAlign w:val="baseline"/>
        </w:rPr>
        <w:t>对展厅LED屏开展全面检测检修，按需更换故障模组，处置花屏、色块、偏色等显示故障；配套采购备用模组，储备智能化配件。</w:t>
      </w:r>
    </w:p>
    <w:p w14:paraId="2F1284B7"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firstLine="643" w:firstLineChars="200"/>
        <w:jc w:val="left"/>
        <w:textAlignment w:val="baseline"/>
        <w:rPr>
          <w:rFonts w:ascii="仿宋_GB2312" w:hAnsi="仿宋_GB2312" w:eastAsia="仿宋_GB2312" w:cs="仿宋_GB2312"/>
          <w:color w:val="auto"/>
          <w:kern w:val="24"/>
          <w:sz w:val="32"/>
          <w:szCs w:val="32"/>
          <w:vertAlign w:val="baseline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color w:val="auto"/>
          <w:kern w:val="24"/>
          <w:sz w:val="32"/>
          <w:szCs w:val="32"/>
          <w:vertAlign w:val="baseline"/>
          <w:lang w:val="en-US" w:eastAsia="zh-CN"/>
        </w:rPr>
        <w:t>成果要求：</w:t>
      </w:r>
      <w:r>
        <w:rPr>
          <w:rFonts w:hint="eastAsia" w:ascii="仿宋_GB2312" w:hAnsi="仿宋_GB2312" w:eastAsia="仿宋_GB2312" w:cs="仿宋_GB2312"/>
          <w:color w:val="auto"/>
          <w:kern w:val="24"/>
          <w:sz w:val="32"/>
          <w:szCs w:val="32"/>
          <w:vertAlign w:val="baseline"/>
          <w:lang w:val="en-US" w:eastAsia="zh-CN"/>
        </w:rPr>
        <w:t>完成展厅4块LED屏全面检测检修，处置花屏、色块、偏色等故障，调试后屏幕亮度、色彩均匀一致，画面显示正常稳定；按需更换故障模组，每种规格LED模组各采购5张备用模组及配套智能备件，备件规格与屏体匹配，可直接替换使用。</w:t>
      </w:r>
    </w:p>
    <w:p w14:paraId="33C42E77"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firstLine="640" w:firstLineChars="200"/>
        <w:jc w:val="left"/>
        <w:textAlignment w:val="baseline"/>
        <w:rPr>
          <w:rFonts w:hint="eastAsia" w:ascii="楷体_GB2312" w:hAnsi="楷体_GB2312" w:eastAsia="楷体_GB2312" w:cs="楷体_GB2312"/>
          <w:b w:val="0"/>
          <w:bCs/>
          <w:color w:val="auto"/>
          <w:kern w:val="24"/>
          <w:sz w:val="32"/>
          <w:szCs w:val="32"/>
          <w:vertAlign w:val="baseline"/>
          <w:lang w:eastAsia="zh-CN"/>
        </w:rPr>
      </w:pPr>
      <w:r>
        <w:rPr>
          <w:rFonts w:hint="eastAsia" w:ascii="楷体_GB2312" w:hAnsi="楷体_GB2312" w:eastAsia="楷体_GB2312" w:cs="楷体_GB2312"/>
          <w:b w:val="0"/>
          <w:bCs/>
          <w:color w:val="auto"/>
          <w:kern w:val="24"/>
          <w:sz w:val="32"/>
          <w:szCs w:val="32"/>
          <w:vertAlign w:val="baseline"/>
          <w:lang w:eastAsia="zh-CN"/>
        </w:rPr>
        <w:t>（</w:t>
      </w:r>
      <w:r>
        <w:rPr>
          <w:rFonts w:hint="eastAsia" w:ascii="楷体_GB2312" w:hAnsi="楷体_GB2312" w:eastAsia="楷体_GB2312" w:cs="楷体_GB2312"/>
          <w:b w:val="0"/>
          <w:bCs/>
          <w:color w:val="auto"/>
          <w:kern w:val="24"/>
          <w:sz w:val="32"/>
          <w:szCs w:val="32"/>
          <w:vertAlign w:val="baseline"/>
          <w:lang w:val="en-US" w:eastAsia="zh-CN"/>
        </w:rPr>
        <w:t>四）</w:t>
      </w:r>
      <w:r>
        <w:rPr>
          <w:rFonts w:hint="eastAsia" w:ascii="楷体_GB2312" w:hAnsi="楷体_GB2312" w:eastAsia="楷体_GB2312" w:cs="楷体_GB2312"/>
          <w:b w:val="0"/>
          <w:bCs/>
          <w:color w:val="auto"/>
          <w:kern w:val="24"/>
          <w:sz w:val="32"/>
          <w:szCs w:val="32"/>
          <w:vertAlign w:val="baseline"/>
          <w:lang w:eastAsia="zh-CN"/>
        </w:rPr>
        <w:t>讲解与会议音频系统调试</w:t>
      </w:r>
    </w:p>
    <w:p w14:paraId="27DF1200">
      <w:pPr>
        <w:keepNext w:val="0"/>
        <w:keepLines w:val="0"/>
        <w:pageBreakBefore w:val="0"/>
        <w:widowControl w:val="0"/>
        <w:tabs>
          <w:tab w:val="left" w:pos="1729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color w:val="auto"/>
          <w:kern w:val="24"/>
          <w:sz w:val="32"/>
          <w:szCs w:val="32"/>
          <w:vertAlign w:val="baseline"/>
        </w:rPr>
      </w:pPr>
      <w:r>
        <w:rPr>
          <w:rFonts w:hint="eastAsia" w:ascii="仿宋_GB2312" w:hAnsi="仿宋_GB2312" w:eastAsia="仿宋_GB2312" w:cs="仿宋_GB2312"/>
          <w:color w:val="auto"/>
          <w:kern w:val="24"/>
          <w:sz w:val="32"/>
          <w:szCs w:val="32"/>
          <w:vertAlign w:val="baseline"/>
        </w:rPr>
        <w:t>对展厅无线分区数字讲解系统进行全面调试及故障修复，确保各展区讲解播放主机独立组网、分区信号隔离，实现分区播放互不干扰；开展会议音响系统声学测试、参数调校，优化扩声效果，编制配套系统操作手册。</w:t>
      </w:r>
    </w:p>
    <w:p w14:paraId="5C0F4DAD">
      <w:pPr>
        <w:keepNext w:val="0"/>
        <w:keepLines w:val="0"/>
        <w:pageBreakBefore w:val="0"/>
        <w:widowControl w:val="0"/>
        <w:tabs>
          <w:tab w:val="left" w:pos="1729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jc w:val="left"/>
        <w:textAlignment w:val="auto"/>
        <w:rPr>
          <w:rFonts w:hint="eastAsia" w:ascii="仿宋_GB2312" w:hAnsi="仿宋_GB2312" w:eastAsia="仿宋_GB2312" w:cs="仿宋_GB2312"/>
          <w:color w:val="auto"/>
          <w:kern w:val="24"/>
          <w:sz w:val="32"/>
          <w:szCs w:val="32"/>
          <w:vertAlign w:val="baseline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color w:val="auto"/>
          <w:kern w:val="24"/>
          <w:sz w:val="32"/>
          <w:szCs w:val="32"/>
          <w:vertAlign w:val="baseline"/>
          <w:lang w:val="en-US" w:eastAsia="zh-CN"/>
        </w:rPr>
        <w:t>成果要求：</w:t>
      </w:r>
      <w:r>
        <w:rPr>
          <w:rFonts w:hint="eastAsia" w:ascii="仿宋_GB2312" w:hAnsi="仿宋_GB2312" w:eastAsia="仿宋_GB2312" w:cs="仿宋_GB2312"/>
          <w:color w:val="auto"/>
          <w:kern w:val="24"/>
          <w:sz w:val="32"/>
          <w:szCs w:val="32"/>
          <w:vertAlign w:val="baseline"/>
          <w:lang w:val="en-US" w:eastAsia="zh-CN"/>
        </w:rPr>
        <w:t>完成无线分区数字讲解系统检修调试、故障修复；完成会议音响声学测试与参数调校，扩声音质清晰、声场均衡；编制配套操作手册，提供纸质版3套、电子版1套。</w:t>
      </w:r>
    </w:p>
    <w:p w14:paraId="15AD0AF6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firstLine="640" w:firstLineChars="200"/>
        <w:jc w:val="left"/>
        <w:textAlignment w:val="auto"/>
        <w:rPr>
          <w:rFonts w:hint="eastAsia" w:ascii="黑体" w:hAnsi="黑体" w:eastAsia="黑体" w:cs="黑体"/>
          <w:color w:val="auto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color w:val="auto"/>
          <w:sz w:val="32"/>
          <w:szCs w:val="32"/>
          <w:lang w:val="en-US" w:eastAsia="zh-CN"/>
        </w:rPr>
        <w:t>现场考察</w:t>
      </w:r>
    </w:p>
    <w:p w14:paraId="1F8EDBD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firstLine="640" w:firstLineChars="200"/>
        <w:jc w:val="left"/>
        <w:textAlignment w:val="auto"/>
        <w:rPr>
          <w:rFonts w:hint="eastAsia" w:ascii="仿宋_GB2312" w:hAnsi="仿宋_GB2312" w:eastAsia="仿宋_GB2312" w:cs="仿宋_GB2312"/>
          <w:color w:val="auto"/>
          <w:kern w:val="24"/>
          <w:sz w:val="32"/>
          <w:szCs w:val="32"/>
          <w:vertAlign w:val="baseline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本项目报价单位须自行赴现场踏勘，实地核查展厅重点展陈及系统改造升级范围、现有设备现状、现场施工条件，结合招标人实际使用需求综合研判，自主测算成本并合理报价，踏勘产生的全部费用由报价单位自行承担。</w:t>
      </w:r>
    </w:p>
    <w:p w14:paraId="6BF52A0B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firstLine="640" w:firstLineChars="200"/>
        <w:jc w:val="left"/>
        <w:textAlignment w:val="auto"/>
        <w:rPr>
          <w:rFonts w:ascii="黑体" w:hAnsi="黑体" w:eastAsia="黑体" w:cs="黑体"/>
          <w:color w:val="auto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color w:val="auto"/>
          <w:sz w:val="32"/>
          <w:szCs w:val="32"/>
          <w:lang w:val="en-US" w:eastAsia="zh-CN"/>
        </w:rPr>
        <w:t>验收标准</w:t>
      </w:r>
    </w:p>
    <w:p w14:paraId="16E4ACB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firstLine="640" w:firstLineChars="200"/>
        <w:jc w:val="left"/>
        <w:textAlignment w:val="auto"/>
        <w:rPr>
          <w:rFonts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在采购</w:t>
      </w:r>
      <w:r>
        <w:rPr>
          <w:rFonts w:ascii="仿宋_GB2312" w:hAnsi="仿宋_GB2312" w:eastAsia="仿宋_GB2312" w:cs="仿宋_GB2312"/>
          <w:color w:val="auto"/>
          <w:sz w:val="32"/>
          <w:szCs w:val="32"/>
          <w:lang w:val="en-US" w:eastAsia="zh-CN"/>
        </w:rPr>
        <w:t>方要求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的时限内，交付全部工作成果，</w:t>
      </w:r>
      <w:r>
        <w:rPr>
          <w:rFonts w:ascii="仿宋_GB2312" w:hAnsi="仿宋_GB2312" w:eastAsia="仿宋_GB2312" w:cs="仿宋_GB2312"/>
          <w:color w:val="auto"/>
          <w:sz w:val="32"/>
          <w:szCs w:val="32"/>
          <w:lang w:val="en-US" w:eastAsia="zh-CN"/>
        </w:rPr>
        <w:t>经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采购</w:t>
      </w:r>
      <w:r>
        <w:rPr>
          <w:rFonts w:ascii="仿宋_GB2312" w:hAnsi="仿宋_GB2312" w:eastAsia="仿宋_GB2312" w:cs="仿宋_GB2312"/>
          <w:color w:val="auto"/>
          <w:sz w:val="32"/>
          <w:szCs w:val="32"/>
          <w:lang w:val="en-US" w:eastAsia="zh-CN"/>
        </w:rPr>
        <w:t>方组织验收合格后，签署项目《验收单》。</w:t>
      </w:r>
    </w:p>
    <w:p w14:paraId="09F4A383"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Lucida Sans">
    <w:altName w:val="Lucida Sans Unicode"/>
    <w:panose1 w:val="020B0602030504020204"/>
    <w:charset w:val="00"/>
    <w:family w:val="auto"/>
    <w:pitch w:val="default"/>
    <w:sig w:usb0="00000000" w:usb1="00000000" w:usb2="00000000" w:usb3="00000000" w:csb0="20000001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方正小标宋简体">
    <w:altName w:val="黑体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楷体_GB2312">
    <w:altName w:val="楷体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KSOFF9CBECC6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5B7F0E2F"/>
    <w:multiLevelType w:val="singleLevel"/>
    <w:tmpl w:val="5B7F0E2F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8FD289E"/>
    <w:rsid w:val="78FD28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Arial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2026-10-28T03:24:00Z</dcterms:created>
  <dc:creator>Vicky_Fang</dc:creator>
  <cp:lastModifiedBy>Vicky_Fang</cp:lastModifiedBy>
  <dcterms:modified xsi:type="dcterms:W3CDTF">2026-10-28T03:25:57Z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B32494D009BC4536B9C7A4158906FEC5_11</vt:lpwstr>
  </property>
  <property fmtid="{D5CDD505-2E9C-101B-9397-08002B2CF9AE}" pid="4" name="KSOTemplateDocerSaveRecord">
    <vt:lpwstr>eyJoZGlkIjoiZWRkY2JhNzUwZTAwMzk5YmJiYWUxNDM2NDFiODczMzUiLCJ1c2VySWQiOiIxMjM1ODAzMTgxIn0=</vt:lpwstr>
  </property>
</Properties>
</file>