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677B9">
      <w:pPr>
        <w:adjustRightInd w:val="0"/>
        <w:snapToGrid w:val="0"/>
        <w:jc w:val="center"/>
        <w:rPr>
          <w:rFonts w:hint="eastAsia" w:hAnsi="Calibri"/>
          <w:b/>
          <w:color w:val="auto"/>
          <w:spacing w:val="4"/>
          <w:kern w:val="13"/>
          <w:position w:val="2"/>
          <w:sz w:val="44"/>
          <w:szCs w:val="44"/>
          <w:highlight w:val="none"/>
          <w:lang w:val="zh-CN"/>
        </w:rPr>
      </w:pPr>
    </w:p>
    <w:p w14:paraId="127D1D06">
      <w:pPr>
        <w:pStyle w:val="4"/>
        <w:rPr>
          <w:rFonts w:hint="eastAsia" w:hAnsi="Calibri"/>
          <w:b/>
          <w:color w:val="auto"/>
          <w:spacing w:val="4"/>
          <w:kern w:val="13"/>
          <w:position w:val="2"/>
          <w:sz w:val="44"/>
          <w:szCs w:val="44"/>
          <w:highlight w:val="none"/>
          <w:lang w:val="zh-CN"/>
        </w:rPr>
      </w:pPr>
    </w:p>
    <w:p w14:paraId="3EB688B4">
      <w:pPr>
        <w:rPr>
          <w:rFonts w:hint="eastAsia" w:hAnsi="Calibri"/>
          <w:b/>
          <w:color w:val="auto"/>
          <w:spacing w:val="4"/>
          <w:kern w:val="13"/>
          <w:position w:val="2"/>
          <w:sz w:val="44"/>
          <w:szCs w:val="44"/>
          <w:highlight w:val="none"/>
          <w:lang w:val="zh-CN"/>
        </w:rPr>
      </w:pPr>
    </w:p>
    <w:p w14:paraId="7FE7BB5A">
      <w:pPr>
        <w:pStyle w:val="4"/>
        <w:rPr>
          <w:rFonts w:hint="eastAsia"/>
          <w:color w:val="auto"/>
          <w:highlight w:val="none"/>
          <w:lang w:val="zh-CN"/>
        </w:rPr>
      </w:pPr>
    </w:p>
    <w:p w14:paraId="7A040EA2">
      <w:pPr>
        <w:adjustRightInd w:val="0"/>
        <w:snapToGrid w:val="0"/>
        <w:jc w:val="center"/>
        <w:rPr>
          <w:rFonts w:hint="default" w:hAnsi="Calibri" w:eastAsia="宋体"/>
          <w:b/>
          <w:color w:val="auto"/>
          <w:spacing w:val="4"/>
          <w:kern w:val="13"/>
          <w:position w:val="2"/>
          <w:sz w:val="44"/>
          <w:szCs w:val="44"/>
          <w:highlight w:val="none"/>
          <w:lang w:val="en-US" w:eastAsia="zh-CN"/>
        </w:rPr>
      </w:pPr>
      <w:r>
        <w:rPr>
          <w:rFonts w:hint="eastAsia" w:hAnsi="Calibri"/>
          <w:b/>
          <w:color w:val="auto"/>
          <w:spacing w:val="4"/>
          <w:kern w:val="13"/>
          <w:position w:val="2"/>
          <w:sz w:val="44"/>
          <w:szCs w:val="44"/>
          <w:highlight w:val="none"/>
          <w:lang w:val="en-US" w:eastAsia="zh-CN"/>
        </w:rPr>
        <w:t>茂名石化炼油区域装置（1号石蜡成型、4号石蜡成型【含仓库】、蜡白土及储罐、轻白土【部分】）“拆卖一体”</w:t>
      </w:r>
      <w:r>
        <w:rPr>
          <w:rFonts w:hint="eastAsia" w:hAnsi="Calibri"/>
          <w:b/>
          <w:color w:val="auto"/>
          <w:spacing w:val="4"/>
          <w:kern w:val="13"/>
          <w:position w:val="2"/>
          <w:sz w:val="44"/>
          <w:szCs w:val="44"/>
          <w:highlight w:val="none"/>
        </w:rPr>
        <w:t>工程施工总承包</w:t>
      </w:r>
      <w:r>
        <w:rPr>
          <w:rFonts w:hint="eastAsia" w:hAnsi="Calibri"/>
          <w:b/>
          <w:color w:val="auto"/>
          <w:spacing w:val="4"/>
          <w:kern w:val="13"/>
          <w:position w:val="2"/>
          <w:sz w:val="44"/>
          <w:szCs w:val="44"/>
          <w:highlight w:val="none"/>
          <w:lang w:val="en-US" w:eastAsia="zh-CN"/>
        </w:rPr>
        <w:t>合同</w:t>
      </w:r>
    </w:p>
    <w:p w14:paraId="2BF40E3D">
      <w:pPr>
        <w:adjustRightInd w:val="0"/>
        <w:snapToGrid w:val="0"/>
        <w:spacing w:line="240" w:lineRule="auto"/>
        <w:rPr>
          <w:rFonts w:ascii="Calibri" w:hAnsi="Calibri"/>
          <w:color w:val="auto"/>
          <w:sz w:val="21"/>
          <w:szCs w:val="22"/>
          <w:highlight w:val="none"/>
        </w:rPr>
      </w:pPr>
    </w:p>
    <w:p w14:paraId="100AA25B">
      <w:pPr>
        <w:adjustRightInd w:val="0"/>
        <w:snapToGrid w:val="0"/>
        <w:spacing w:line="240" w:lineRule="auto"/>
        <w:rPr>
          <w:rFonts w:ascii="Calibri" w:hAnsi="Calibri"/>
          <w:color w:val="auto"/>
          <w:sz w:val="21"/>
          <w:szCs w:val="22"/>
          <w:highlight w:val="none"/>
        </w:rPr>
      </w:pPr>
    </w:p>
    <w:p w14:paraId="2FF53B34">
      <w:pPr>
        <w:adjustRightInd w:val="0"/>
        <w:snapToGrid w:val="0"/>
        <w:spacing w:line="240" w:lineRule="auto"/>
        <w:rPr>
          <w:rFonts w:ascii="Calibri" w:hAnsi="Calibri"/>
          <w:color w:val="auto"/>
          <w:sz w:val="21"/>
          <w:szCs w:val="22"/>
          <w:highlight w:val="none"/>
        </w:rPr>
      </w:pPr>
    </w:p>
    <w:p w14:paraId="5EDCCE5D">
      <w:pPr>
        <w:adjustRightInd w:val="0"/>
        <w:snapToGrid w:val="0"/>
        <w:spacing w:line="240" w:lineRule="auto"/>
        <w:rPr>
          <w:rFonts w:ascii="Calibri" w:hAnsi="Calibri"/>
          <w:color w:val="auto"/>
          <w:sz w:val="21"/>
          <w:szCs w:val="22"/>
          <w:highlight w:val="none"/>
        </w:rPr>
      </w:pPr>
    </w:p>
    <w:p w14:paraId="781084A2">
      <w:pPr>
        <w:adjustRightInd w:val="0"/>
        <w:snapToGrid w:val="0"/>
        <w:spacing w:line="240" w:lineRule="auto"/>
        <w:rPr>
          <w:rFonts w:ascii="Calibri" w:hAnsi="Calibri"/>
          <w:color w:val="auto"/>
          <w:sz w:val="21"/>
          <w:szCs w:val="22"/>
          <w:highlight w:val="none"/>
        </w:rPr>
      </w:pPr>
    </w:p>
    <w:p w14:paraId="3461CB6D">
      <w:pPr>
        <w:adjustRightInd w:val="0"/>
        <w:snapToGrid w:val="0"/>
        <w:spacing w:line="240" w:lineRule="auto"/>
        <w:rPr>
          <w:rFonts w:ascii="Calibri" w:hAnsi="Calibri"/>
          <w:color w:val="auto"/>
          <w:sz w:val="21"/>
          <w:szCs w:val="22"/>
          <w:highlight w:val="none"/>
        </w:rPr>
      </w:pPr>
    </w:p>
    <w:p w14:paraId="5B7136FD">
      <w:pPr>
        <w:adjustRightInd w:val="0"/>
        <w:snapToGrid w:val="0"/>
        <w:spacing w:line="240" w:lineRule="auto"/>
        <w:rPr>
          <w:rFonts w:ascii="Calibri" w:hAnsi="Calibri"/>
          <w:color w:val="auto"/>
          <w:sz w:val="21"/>
          <w:szCs w:val="22"/>
          <w:highlight w:val="none"/>
        </w:rPr>
      </w:pPr>
    </w:p>
    <w:p w14:paraId="7D3F4E93">
      <w:pPr>
        <w:adjustRightInd w:val="0"/>
        <w:snapToGrid w:val="0"/>
        <w:spacing w:line="240" w:lineRule="auto"/>
        <w:rPr>
          <w:rFonts w:ascii="Calibri" w:hAnsi="Calibri"/>
          <w:color w:val="auto"/>
          <w:sz w:val="21"/>
          <w:szCs w:val="22"/>
          <w:highlight w:val="none"/>
        </w:rPr>
      </w:pPr>
    </w:p>
    <w:p w14:paraId="2000043A">
      <w:pPr>
        <w:adjustRightInd w:val="0"/>
        <w:snapToGrid w:val="0"/>
        <w:spacing w:line="240" w:lineRule="auto"/>
        <w:rPr>
          <w:rFonts w:ascii="Calibri" w:hAnsi="Calibri"/>
          <w:color w:val="auto"/>
          <w:sz w:val="21"/>
          <w:szCs w:val="22"/>
          <w:highlight w:val="none"/>
        </w:rPr>
      </w:pPr>
    </w:p>
    <w:p w14:paraId="42369AB8">
      <w:pPr>
        <w:adjustRightInd w:val="0"/>
        <w:snapToGrid w:val="0"/>
        <w:spacing w:line="240" w:lineRule="auto"/>
        <w:rPr>
          <w:rFonts w:ascii="Calibri" w:hAnsi="Calibri"/>
          <w:color w:val="auto"/>
          <w:sz w:val="21"/>
          <w:szCs w:val="22"/>
          <w:highlight w:val="none"/>
        </w:rPr>
      </w:pPr>
    </w:p>
    <w:p w14:paraId="0E21CD5F">
      <w:pPr>
        <w:adjustRightInd w:val="0"/>
        <w:snapToGrid w:val="0"/>
        <w:spacing w:line="240" w:lineRule="auto"/>
        <w:rPr>
          <w:rFonts w:ascii="Calibri" w:hAnsi="Calibri"/>
          <w:color w:val="auto"/>
          <w:sz w:val="21"/>
          <w:szCs w:val="22"/>
          <w:highlight w:val="none"/>
        </w:rPr>
      </w:pPr>
    </w:p>
    <w:p w14:paraId="6349B274">
      <w:pPr>
        <w:adjustRightInd w:val="0"/>
        <w:snapToGrid w:val="0"/>
        <w:spacing w:line="240" w:lineRule="auto"/>
        <w:rPr>
          <w:rFonts w:ascii="Calibri" w:hAnsi="Calibri"/>
          <w:color w:val="auto"/>
          <w:sz w:val="21"/>
          <w:szCs w:val="22"/>
          <w:highlight w:val="none"/>
        </w:rPr>
      </w:pPr>
    </w:p>
    <w:p w14:paraId="512B470E">
      <w:pPr>
        <w:adjustRightInd w:val="0"/>
        <w:snapToGrid w:val="0"/>
        <w:spacing w:line="240" w:lineRule="auto"/>
        <w:rPr>
          <w:rFonts w:ascii="Calibri" w:hAnsi="Calibri"/>
          <w:color w:val="auto"/>
          <w:sz w:val="21"/>
          <w:szCs w:val="22"/>
          <w:highlight w:val="none"/>
        </w:rPr>
      </w:pPr>
    </w:p>
    <w:p w14:paraId="71AC2F58">
      <w:pPr>
        <w:adjustRightInd w:val="0"/>
        <w:snapToGrid w:val="0"/>
        <w:spacing w:line="240" w:lineRule="auto"/>
        <w:rPr>
          <w:rFonts w:ascii="Calibri" w:hAnsi="Calibri"/>
          <w:color w:val="auto"/>
          <w:sz w:val="21"/>
          <w:szCs w:val="22"/>
          <w:highlight w:val="none"/>
        </w:rPr>
      </w:pPr>
    </w:p>
    <w:p w14:paraId="0357DACF">
      <w:pPr>
        <w:adjustRightInd w:val="0"/>
        <w:snapToGrid w:val="0"/>
        <w:spacing w:line="240" w:lineRule="auto"/>
        <w:rPr>
          <w:rFonts w:ascii="Calibri" w:hAnsi="Calibri"/>
          <w:color w:val="auto"/>
          <w:sz w:val="21"/>
          <w:szCs w:val="22"/>
          <w:highlight w:val="none"/>
        </w:rPr>
      </w:pPr>
    </w:p>
    <w:p w14:paraId="30BC90F7">
      <w:pPr>
        <w:adjustRightInd w:val="0"/>
        <w:snapToGrid w:val="0"/>
        <w:spacing w:line="240" w:lineRule="auto"/>
        <w:rPr>
          <w:rFonts w:ascii="Calibri" w:hAnsi="Calibri"/>
          <w:color w:val="auto"/>
          <w:sz w:val="21"/>
          <w:szCs w:val="22"/>
          <w:highlight w:val="none"/>
        </w:rPr>
      </w:pPr>
    </w:p>
    <w:p w14:paraId="3E452EE3">
      <w:pPr>
        <w:adjustRightInd w:val="0"/>
        <w:snapToGrid w:val="0"/>
        <w:spacing w:line="240" w:lineRule="auto"/>
        <w:rPr>
          <w:rFonts w:ascii="Calibri" w:hAnsi="Calibri"/>
          <w:color w:val="auto"/>
          <w:sz w:val="21"/>
          <w:szCs w:val="22"/>
          <w:highlight w:val="none"/>
        </w:rPr>
      </w:pPr>
    </w:p>
    <w:p w14:paraId="4362BD0C">
      <w:pPr>
        <w:adjustRightInd w:val="0"/>
        <w:snapToGrid w:val="0"/>
        <w:spacing w:line="240" w:lineRule="auto"/>
        <w:rPr>
          <w:rFonts w:ascii="Calibri" w:hAnsi="Calibri"/>
          <w:color w:val="auto"/>
          <w:sz w:val="21"/>
          <w:szCs w:val="22"/>
          <w:highlight w:val="none"/>
        </w:rPr>
      </w:pPr>
    </w:p>
    <w:p w14:paraId="7234BF17">
      <w:pPr>
        <w:adjustRightInd w:val="0"/>
        <w:snapToGrid w:val="0"/>
        <w:spacing w:line="240" w:lineRule="auto"/>
        <w:rPr>
          <w:rFonts w:ascii="Calibri" w:hAnsi="Calibri"/>
          <w:color w:val="auto"/>
          <w:sz w:val="21"/>
          <w:szCs w:val="22"/>
          <w:highlight w:val="none"/>
        </w:rPr>
      </w:pPr>
    </w:p>
    <w:p w14:paraId="01F7ACD7">
      <w:pPr>
        <w:adjustRightInd w:val="0"/>
        <w:snapToGrid w:val="0"/>
        <w:ind w:firstLine="992" w:firstLineChars="310"/>
        <w:rPr>
          <w:rFonts w:hAnsi="Calibri" w:cs="Times New Roman"/>
          <w:bCs/>
          <w:color w:val="auto"/>
          <w:kern w:val="2"/>
          <w:sz w:val="32"/>
          <w:szCs w:val="32"/>
          <w:highlight w:val="none"/>
          <w:u w:val="single"/>
        </w:rPr>
      </w:pPr>
      <w:r>
        <w:rPr>
          <w:rFonts w:hint="eastAsia" w:hAnsi="Calibri" w:cs="Times New Roman"/>
          <w:bCs/>
          <w:color w:val="auto"/>
          <w:kern w:val="2"/>
          <w:sz w:val="32"/>
          <w:szCs w:val="32"/>
          <w:highlight w:val="none"/>
        </w:rPr>
        <w:t>发 包 人</w:t>
      </w:r>
      <w:r>
        <w:rPr>
          <w:rFonts w:hAnsi="Calibri" w:cs="Times New Roman"/>
          <w:bCs/>
          <w:color w:val="auto"/>
          <w:kern w:val="2"/>
          <w:sz w:val="32"/>
          <w:szCs w:val="32"/>
          <w:highlight w:val="none"/>
        </w:rPr>
        <w:t>：</w:t>
      </w:r>
      <w:r>
        <w:rPr>
          <w:rFonts w:hint="eastAsia" w:hAnsi="Calibri" w:cs="Times New Roman"/>
          <w:bCs/>
          <w:color w:val="auto"/>
          <w:kern w:val="2"/>
          <w:sz w:val="32"/>
          <w:szCs w:val="32"/>
          <w:highlight w:val="none"/>
        </w:rPr>
        <w:t xml:space="preserve"> </w:t>
      </w:r>
      <w:r>
        <w:rPr>
          <w:rFonts w:hAnsi="Calibri" w:cs="Times New Roman"/>
          <w:bCs/>
          <w:color w:val="auto"/>
          <w:kern w:val="2"/>
          <w:sz w:val="32"/>
          <w:szCs w:val="32"/>
          <w:highlight w:val="none"/>
          <w:u w:val="single"/>
        </w:rPr>
        <w:t xml:space="preserve"> </w:t>
      </w:r>
      <w:r>
        <w:rPr>
          <w:rFonts w:hint="eastAsia"/>
          <w:bCs/>
          <w:color w:val="auto"/>
          <w:sz w:val="32"/>
          <w:szCs w:val="32"/>
          <w:highlight w:val="none"/>
          <w:u w:val="single"/>
          <w:lang w:val="en-US" w:eastAsia="zh-CN"/>
        </w:rPr>
        <w:t xml:space="preserve">                 </w:t>
      </w:r>
      <w:r>
        <w:rPr>
          <w:rFonts w:hAnsi="Calibri" w:cs="Times New Roman"/>
          <w:bCs/>
          <w:color w:val="auto"/>
          <w:kern w:val="2"/>
          <w:sz w:val="32"/>
          <w:szCs w:val="32"/>
          <w:highlight w:val="none"/>
          <w:u w:val="single"/>
        </w:rPr>
        <w:t xml:space="preserve">   </w:t>
      </w:r>
    </w:p>
    <w:p w14:paraId="277B4772">
      <w:pPr>
        <w:adjustRightInd w:val="0"/>
        <w:snapToGrid w:val="0"/>
        <w:ind w:firstLine="992" w:firstLineChars="310"/>
        <w:rPr>
          <w:rFonts w:hAnsi="Calibri" w:cs="Times New Roman"/>
          <w:bCs/>
          <w:color w:val="auto"/>
          <w:kern w:val="2"/>
          <w:sz w:val="32"/>
          <w:szCs w:val="32"/>
          <w:highlight w:val="none"/>
          <w:u w:val="single"/>
        </w:rPr>
      </w:pPr>
      <w:r>
        <w:rPr>
          <w:rFonts w:hint="eastAsia" w:hAnsi="Calibri" w:cs="Times New Roman"/>
          <w:bCs/>
          <w:color w:val="auto"/>
          <w:kern w:val="2"/>
          <w:sz w:val="32"/>
          <w:szCs w:val="32"/>
          <w:highlight w:val="none"/>
        </w:rPr>
        <w:t>承 包 人</w:t>
      </w:r>
      <w:r>
        <w:rPr>
          <w:rFonts w:hAnsi="Calibri" w:cs="Times New Roman"/>
          <w:bCs/>
          <w:color w:val="auto"/>
          <w:kern w:val="2"/>
          <w:sz w:val="32"/>
          <w:szCs w:val="32"/>
          <w:highlight w:val="none"/>
        </w:rPr>
        <w:t>：</w:t>
      </w:r>
      <w:r>
        <w:rPr>
          <w:rFonts w:hAnsi="Calibri" w:cs="Times New Roman"/>
          <w:bCs/>
          <w:color w:val="auto"/>
          <w:kern w:val="2"/>
          <w:sz w:val="32"/>
          <w:szCs w:val="32"/>
          <w:highlight w:val="none"/>
          <w:u w:val="single"/>
        </w:rPr>
        <w:t xml:space="preserve">  </w:t>
      </w:r>
      <w:r>
        <w:rPr>
          <w:rFonts w:hint="eastAsia" w:hAnsi="Calibri" w:cs="Times New Roman"/>
          <w:bCs/>
          <w:color w:val="auto"/>
          <w:kern w:val="2"/>
          <w:sz w:val="32"/>
          <w:szCs w:val="32"/>
          <w:highlight w:val="none"/>
          <w:u w:val="single"/>
          <w:lang w:val="en-US" w:eastAsia="zh-CN"/>
        </w:rPr>
        <w:t xml:space="preserve">                 </w:t>
      </w:r>
      <w:r>
        <w:rPr>
          <w:rFonts w:hAnsi="Calibri" w:cs="Times New Roman"/>
          <w:bCs/>
          <w:color w:val="auto"/>
          <w:kern w:val="2"/>
          <w:sz w:val="32"/>
          <w:szCs w:val="32"/>
          <w:highlight w:val="none"/>
          <w:u w:val="single"/>
        </w:rPr>
        <w:t xml:space="preserve">   </w:t>
      </w:r>
    </w:p>
    <w:p w14:paraId="74D4876C">
      <w:pPr>
        <w:adjustRightInd w:val="0"/>
        <w:snapToGrid w:val="0"/>
        <w:spacing w:line="240" w:lineRule="auto"/>
        <w:rPr>
          <w:rFonts w:ascii="Calibri" w:hAnsi="Calibri"/>
          <w:color w:val="auto"/>
          <w:sz w:val="21"/>
          <w:szCs w:val="22"/>
          <w:highlight w:val="none"/>
        </w:rPr>
      </w:pPr>
    </w:p>
    <w:p w14:paraId="671EF746">
      <w:pPr>
        <w:adjustRightInd w:val="0"/>
        <w:snapToGrid w:val="0"/>
        <w:spacing w:line="240" w:lineRule="auto"/>
        <w:rPr>
          <w:rFonts w:ascii="Calibri" w:hAnsi="Calibri"/>
          <w:color w:val="auto"/>
          <w:sz w:val="21"/>
          <w:szCs w:val="22"/>
          <w:highlight w:val="none"/>
        </w:rPr>
      </w:pPr>
    </w:p>
    <w:p w14:paraId="57797E07">
      <w:pPr>
        <w:widowControl/>
        <w:jc w:val="left"/>
        <w:rPr>
          <w:b/>
          <w:bCs/>
          <w:color w:val="auto"/>
          <w:sz w:val="44"/>
          <w:szCs w:val="44"/>
          <w:highlight w:val="none"/>
        </w:rPr>
      </w:pPr>
      <w:r>
        <w:rPr>
          <w:rFonts w:ascii="Calibri"/>
          <w:color w:val="auto"/>
          <w:sz w:val="44"/>
          <w:szCs w:val="44"/>
          <w:highlight w:val="none"/>
        </w:rPr>
        <w:br w:type="page"/>
      </w:r>
    </w:p>
    <w:p w14:paraId="21774612">
      <w:pPr>
        <w:keepNext/>
        <w:keepLines/>
        <w:numPr>
          <w:ilvl w:val="0"/>
          <w:numId w:val="1"/>
        </w:numPr>
        <w:jc w:val="center"/>
        <w:outlineLvl w:val="1"/>
        <w:rPr>
          <w:rFonts w:hint="eastAsia"/>
          <w:b/>
          <w:bCs/>
          <w:color w:val="auto"/>
          <w:sz w:val="44"/>
          <w:szCs w:val="44"/>
          <w:highlight w:val="none"/>
        </w:rPr>
      </w:pPr>
      <w:bookmarkStart w:id="0" w:name="_Toc28201"/>
      <w:bookmarkStart w:id="1" w:name="_Toc256000054"/>
      <w:bookmarkStart w:id="2" w:name="_Toc749558681"/>
      <w:bookmarkStart w:id="3" w:name="_Toc119953721"/>
      <w:bookmarkStart w:id="4" w:name="_Toc117018785"/>
      <w:r>
        <w:rPr>
          <w:rFonts w:hint="eastAsia"/>
          <w:b/>
          <w:bCs/>
          <w:color w:val="auto"/>
          <w:sz w:val="44"/>
          <w:szCs w:val="44"/>
          <w:highlight w:val="none"/>
          <w:lang w:val="en-US" w:eastAsia="zh-CN"/>
        </w:rPr>
        <w:t>合同</w:t>
      </w:r>
      <w:r>
        <w:rPr>
          <w:rFonts w:hint="eastAsia"/>
          <w:b/>
          <w:bCs/>
          <w:color w:val="auto"/>
          <w:sz w:val="44"/>
          <w:szCs w:val="44"/>
          <w:highlight w:val="none"/>
        </w:rPr>
        <w:t>协议书</w:t>
      </w:r>
      <w:bookmarkEnd w:id="0"/>
      <w:bookmarkEnd w:id="1"/>
      <w:bookmarkEnd w:id="2"/>
      <w:bookmarkEnd w:id="3"/>
      <w:bookmarkEnd w:id="4"/>
    </w:p>
    <w:p w14:paraId="2F861A5A">
      <w:pPr>
        <w:snapToGrid w:val="0"/>
        <w:rPr>
          <w:color w:val="auto"/>
          <w:highlight w:val="none"/>
        </w:rPr>
      </w:pPr>
    </w:p>
    <w:p w14:paraId="3F663FE0">
      <w:pPr>
        <w:snapToGrid w:val="0"/>
        <w:ind w:firstLine="420"/>
        <w:rPr>
          <w:color w:val="auto"/>
          <w:highlight w:val="none"/>
        </w:rPr>
      </w:pPr>
      <w:r>
        <w:rPr>
          <w:rFonts w:hint="eastAsia"/>
          <w:color w:val="auto"/>
          <w:highlight w:val="none"/>
        </w:rPr>
        <w:t>发包人为建设</w:t>
      </w:r>
      <w:r>
        <w:rPr>
          <w:rFonts w:hint="eastAsia"/>
          <w:color w:val="auto"/>
          <w:highlight w:val="none"/>
          <w:u w:val="single"/>
        </w:rPr>
        <w:t>茂名石化炼油区域装置（</w:t>
      </w:r>
      <w:r>
        <w:rPr>
          <w:rFonts w:hint="eastAsia"/>
          <w:color w:val="auto"/>
          <w:szCs w:val="32"/>
          <w:highlight w:val="none"/>
          <w:u w:val="single"/>
          <w:lang w:val="zh-CN"/>
        </w:rPr>
        <w:t>1号石蜡成型、4号石蜡成型【含仓库】、蜡白土及储罐</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轻白土【部分】</w:t>
      </w:r>
      <w:r>
        <w:rPr>
          <w:rFonts w:hint="eastAsia"/>
          <w:color w:val="auto"/>
          <w:highlight w:val="none"/>
          <w:u w:val="single"/>
        </w:rPr>
        <w:t>）“拆卖一体”工程</w:t>
      </w:r>
      <w:r>
        <w:rPr>
          <w:rFonts w:hint="eastAsia"/>
          <w:color w:val="auto"/>
          <w:highlight w:val="none"/>
        </w:rPr>
        <w:t>（以下简称</w:t>
      </w:r>
      <w:r>
        <w:rPr>
          <w:color w:val="auto"/>
          <w:highlight w:val="none"/>
        </w:rPr>
        <w:t>”</w:t>
      </w:r>
      <w:r>
        <w:rPr>
          <w:rFonts w:hint="eastAsia"/>
          <w:color w:val="auto"/>
          <w:highlight w:val="none"/>
        </w:rPr>
        <w:t>工程</w:t>
      </w:r>
      <w:r>
        <w:rPr>
          <w:color w:val="auto"/>
          <w:highlight w:val="none"/>
        </w:rPr>
        <w:t>”</w:t>
      </w:r>
      <w:r>
        <w:rPr>
          <w:rFonts w:hint="eastAsia"/>
          <w:color w:val="auto"/>
          <w:highlight w:val="none"/>
        </w:rPr>
        <w:t>或“本工程”），已接受承包人提出的承担本工程的施工、交工、交付并维修其任何缺陷的投标。依照《中华人民共和国建筑法》、《中华人民共和国招标投标法》、《中华人民共和国民法典》以及其他有关法律、行政法规和中国石化的有关规定,遵循平等、自愿、公平和诚实信用的原则，双方共同达成并签订如下协议。</w:t>
      </w:r>
    </w:p>
    <w:p w14:paraId="6F09C739">
      <w:pPr>
        <w:snapToGrid w:val="0"/>
        <w:ind w:firstLine="420"/>
        <w:rPr>
          <w:b/>
          <w:color w:val="auto"/>
          <w:highlight w:val="none"/>
        </w:rPr>
      </w:pPr>
      <w:r>
        <w:rPr>
          <w:rFonts w:hint="eastAsia"/>
          <w:b/>
          <w:color w:val="auto"/>
          <w:highlight w:val="none"/>
        </w:rPr>
        <w:t>一、工程概况</w:t>
      </w:r>
    </w:p>
    <w:p w14:paraId="62E3A590">
      <w:pPr>
        <w:adjustRightInd w:val="0"/>
        <w:snapToGrid w:val="0"/>
        <w:ind w:firstLine="480" w:firstLineChars="200"/>
        <w:rPr>
          <w:color w:val="auto"/>
          <w:highlight w:val="none"/>
        </w:rPr>
      </w:pPr>
      <w:r>
        <w:rPr>
          <w:rFonts w:hint="eastAsia"/>
          <w:color w:val="auto"/>
          <w:highlight w:val="none"/>
        </w:rPr>
        <w:t>工程名称：</w:t>
      </w:r>
      <w:r>
        <w:rPr>
          <w:rFonts w:hint="eastAsia"/>
          <w:color w:val="auto"/>
          <w:highlight w:val="none"/>
          <w:u w:val="single"/>
          <w:lang w:val="zh-CN"/>
        </w:rPr>
        <w:t>茂名石化炼油区域装置（</w:t>
      </w:r>
      <w:r>
        <w:rPr>
          <w:rFonts w:hint="eastAsia"/>
          <w:color w:val="auto"/>
          <w:szCs w:val="32"/>
          <w:highlight w:val="none"/>
          <w:u w:val="single"/>
          <w:lang w:val="zh-CN"/>
        </w:rPr>
        <w:t>1号石蜡成型、4号石蜡成型【含仓库】、蜡白土及储罐</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轻白土【部分】</w:t>
      </w:r>
      <w:r>
        <w:rPr>
          <w:rFonts w:hint="eastAsia"/>
          <w:color w:val="auto"/>
          <w:highlight w:val="none"/>
          <w:u w:val="single"/>
          <w:lang w:val="zh-CN"/>
        </w:rPr>
        <w:t>）</w:t>
      </w:r>
      <w:r>
        <w:rPr>
          <w:rFonts w:hint="eastAsia"/>
          <w:color w:val="auto"/>
          <w:highlight w:val="none"/>
          <w:u w:val="single"/>
        </w:rPr>
        <w:t>“拆卖一体”工程</w:t>
      </w:r>
      <w:r>
        <w:rPr>
          <w:rFonts w:hint="eastAsia"/>
          <w:color w:val="auto"/>
          <w:highlight w:val="none"/>
        </w:rPr>
        <w:t>。</w:t>
      </w:r>
    </w:p>
    <w:p w14:paraId="7E37AF82">
      <w:pPr>
        <w:adjustRightInd w:val="0"/>
        <w:snapToGrid w:val="0"/>
        <w:ind w:firstLine="480" w:firstLineChars="200"/>
        <w:rPr>
          <w:color w:val="auto"/>
          <w:highlight w:val="none"/>
        </w:rPr>
      </w:pPr>
      <w:r>
        <w:rPr>
          <w:rFonts w:hint="eastAsia"/>
          <w:color w:val="auto"/>
          <w:highlight w:val="none"/>
        </w:rPr>
        <w:t>工程地点：</w:t>
      </w:r>
      <w:r>
        <w:rPr>
          <w:rFonts w:hint="eastAsia"/>
          <w:color w:val="auto"/>
          <w:highlight w:val="none"/>
          <w:u w:val="single"/>
        </w:rPr>
        <w:t>广东省茂名市</w:t>
      </w:r>
      <w:r>
        <w:rPr>
          <w:rFonts w:hint="eastAsia"/>
          <w:color w:val="auto"/>
          <w:highlight w:val="none"/>
          <w:u w:val="single"/>
          <w:lang w:eastAsia="zh-CN"/>
        </w:rPr>
        <w:t>炼油区域装置（</w:t>
      </w:r>
      <w:r>
        <w:rPr>
          <w:rFonts w:hint="eastAsia"/>
          <w:color w:val="auto"/>
          <w:szCs w:val="32"/>
          <w:highlight w:val="none"/>
          <w:u w:val="single"/>
          <w:lang w:val="zh-CN"/>
        </w:rPr>
        <w:t>1号石蜡成型、4号石蜡成型【含仓库】、蜡白土及储罐</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轻白土【部分】</w:t>
      </w:r>
      <w:r>
        <w:rPr>
          <w:rFonts w:hint="eastAsia"/>
          <w:color w:val="auto"/>
          <w:highlight w:val="none"/>
          <w:u w:val="single"/>
          <w:lang w:eastAsia="zh-CN"/>
        </w:rPr>
        <w:t>）</w:t>
      </w:r>
      <w:r>
        <w:rPr>
          <w:rFonts w:hint="eastAsia"/>
          <w:color w:val="auto"/>
          <w:highlight w:val="none"/>
        </w:rPr>
        <w:t>。</w:t>
      </w:r>
    </w:p>
    <w:p w14:paraId="75F574AA">
      <w:pPr>
        <w:adjustRightInd w:val="0"/>
        <w:snapToGrid w:val="0"/>
        <w:ind w:firstLine="480" w:firstLineChars="200"/>
        <w:rPr>
          <w:color w:val="auto"/>
          <w:highlight w:val="none"/>
        </w:rPr>
      </w:pPr>
      <w:r>
        <w:rPr>
          <w:rFonts w:hint="eastAsia"/>
          <w:color w:val="auto"/>
          <w:highlight w:val="none"/>
        </w:rPr>
        <w:t>工程内容：</w:t>
      </w:r>
    </w:p>
    <w:p w14:paraId="7DBFBE47">
      <w:pPr>
        <w:adjustRightInd w:val="0"/>
        <w:snapToGrid w:val="0"/>
        <w:ind w:firstLine="480" w:firstLineChars="200"/>
        <w:rPr>
          <w:color w:val="auto"/>
          <w:highlight w:val="none"/>
        </w:rPr>
      </w:pPr>
      <w:r>
        <w:rPr>
          <w:rFonts w:hint="eastAsia"/>
          <w:color w:val="auto"/>
          <w:highlight w:val="none"/>
        </w:rPr>
        <w:t>（1）</w:t>
      </w:r>
      <w:r>
        <w:rPr>
          <w:rFonts w:hint="eastAsia"/>
          <w:color w:val="auto"/>
          <w:szCs w:val="22"/>
          <w:highlight w:val="none"/>
          <w:u w:val="single"/>
          <w:lang w:val="zh-CN"/>
        </w:rPr>
        <w:t>茂名石化炼油区域装置（</w:t>
      </w:r>
      <w:r>
        <w:rPr>
          <w:rFonts w:hint="eastAsia"/>
          <w:color w:val="auto"/>
          <w:szCs w:val="32"/>
          <w:highlight w:val="none"/>
          <w:u w:val="single"/>
          <w:lang w:val="zh-CN"/>
        </w:rPr>
        <w:t>1号石蜡成型、4号石蜡成型【含仓库】、蜡白土及储罐</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轻白土【部分】</w:t>
      </w:r>
      <w:r>
        <w:rPr>
          <w:rFonts w:hint="eastAsia"/>
          <w:color w:val="auto"/>
          <w:szCs w:val="22"/>
          <w:highlight w:val="none"/>
          <w:u w:val="single"/>
          <w:lang w:val="zh-CN"/>
        </w:rPr>
        <w:t>）报废</w:t>
      </w:r>
      <w:r>
        <w:rPr>
          <w:rFonts w:hint="eastAsia" w:ascii="宋体" w:hAnsi="宋体"/>
          <w:color w:val="auto"/>
          <w:szCs w:val="22"/>
          <w:highlight w:val="none"/>
          <w:u w:val="single"/>
        </w:rPr>
        <w:t>拆除</w:t>
      </w:r>
      <w:r>
        <w:rPr>
          <w:rFonts w:hint="eastAsia"/>
          <w:color w:val="auto"/>
          <w:szCs w:val="22"/>
          <w:highlight w:val="none"/>
          <w:u w:val="single"/>
        </w:rPr>
        <w:t>。</w:t>
      </w:r>
    </w:p>
    <w:p w14:paraId="6493A1BD">
      <w:pPr>
        <w:snapToGrid w:val="0"/>
        <w:ind w:firstLine="420"/>
        <w:rPr>
          <w:rFonts w:hint="eastAsia" w:eastAsia="宋体"/>
          <w:color w:val="auto"/>
          <w:highlight w:val="none"/>
          <w:lang w:val="en-US" w:eastAsia="zh-CN"/>
        </w:rPr>
      </w:pPr>
      <w:r>
        <w:rPr>
          <w:rFonts w:hint="eastAsia"/>
          <w:color w:val="auto"/>
          <w:highlight w:val="none"/>
        </w:rPr>
        <w:t>工程立项批准文号：</w:t>
      </w:r>
      <w:r>
        <w:rPr>
          <w:rFonts w:hint="eastAsia"/>
          <w:color w:val="auto"/>
          <w:highlight w:val="none"/>
          <w:u w:val="single"/>
          <w:lang w:val="en-US" w:eastAsia="zh-CN"/>
        </w:rPr>
        <w:t xml:space="preserve">                        </w:t>
      </w:r>
      <w:r>
        <w:rPr>
          <w:rFonts w:hint="eastAsia" w:eastAsia="宋体"/>
          <w:color w:val="auto"/>
          <w:highlight w:val="none"/>
          <w:lang w:val="zh-CN" w:eastAsia="zh-CN"/>
        </w:rPr>
        <w:t>。</w:t>
      </w:r>
    </w:p>
    <w:p w14:paraId="183CF6A9">
      <w:pPr>
        <w:adjustRightInd w:val="0"/>
        <w:snapToGrid w:val="0"/>
        <w:ind w:firstLine="480" w:firstLineChars="200"/>
        <w:rPr>
          <w:color w:val="auto"/>
          <w:highlight w:val="none"/>
        </w:rPr>
      </w:pPr>
      <w:r>
        <w:rPr>
          <w:rFonts w:hint="eastAsia"/>
          <w:color w:val="auto"/>
          <w:highlight w:val="none"/>
        </w:rPr>
        <w:t>资金来源：</w:t>
      </w:r>
      <w:r>
        <w:rPr>
          <w:color w:val="auto"/>
          <w:highlight w:val="none"/>
        </w:rPr>
        <w:t>企业自筹</w:t>
      </w:r>
      <w:r>
        <w:rPr>
          <w:rFonts w:hint="eastAsia"/>
          <w:color w:val="auto"/>
          <w:highlight w:val="none"/>
        </w:rPr>
        <w:t>。</w:t>
      </w:r>
    </w:p>
    <w:p w14:paraId="709FF9AD">
      <w:pPr>
        <w:numPr>
          <w:ilvl w:val="0"/>
          <w:numId w:val="2"/>
        </w:numPr>
        <w:adjustRightInd w:val="0"/>
        <w:snapToGrid w:val="0"/>
        <w:ind w:firstLine="482" w:firstLineChars="200"/>
        <w:rPr>
          <w:b/>
          <w:color w:val="auto"/>
          <w:highlight w:val="none"/>
        </w:rPr>
      </w:pPr>
      <w:r>
        <w:rPr>
          <w:rFonts w:hint="eastAsia"/>
          <w:b/>
          <w:color w:val="auto"/>
          <w:highlight w:val="none"/>
        </w:rPr>
        <w:t>工程承包范围</w:t>
      </w:r>
    </w:p>
    <w:p w14:paraId="5B35F253">
      <w:pPr>
        <w:adjustRightInd w:val="0"/>
        <w:snapToGrid w:val="0"/>
        <w:ind w:firstLine="480" w:firstLineChars="200"/>
        <w:rPr>
          <w:rFonts w:hint="default" w:eastAsia="宋体"/>
          <w:color w:val="auto"/>
          <w:highlight w:val="none"/>
          <w:lang w:val="en-US" w:eastAsia="zh-CN"/>
        </w:rPr>
      </w:pPr>
      <w:r>
        <w:rPr>
          <w:rFonts w:hint="eastAsia" w:ascii="宋体" w:hAnsi="宋体" w:eastAsia="宋体"/>
          <w:color w:val="auto"/>
          <w:highlight w:val="none"/>
        </w:rPr>
        <w:t>（1）</w:t>
      </w:r>
      <w:r>
        <w:rPr>
          <w:rFonts w:hint="eastAsia"/>
          <w:color w:val="auto"/>
          <w:szCs w:val="32"/>
          <w:highlight w:val="none"/>
          <w:lang w:val="zh-CN"/>
        </w:rPr>
        <w:t>茂名石化炼油区域装置（1号石蜡成型、4号石蜡成型【含仓库】、蜡白土及储罐</w:t>
      </w:r>
      <w:r>
        <w:rPr>
          <w:rFonts w:hint="eastAsia" w:ascii="宋体" w:hAnsi="宋体"/>
          <w:color w:val="auto"/>
          <w:highlight w:val="none"/>
          <w:lang w:eastAsia="zh-CN"/>
        </w:rPr>
        <w:t>、</w:t>
      </w:r>
      <w:r>
        <w:rPr>
          <w:rFonts w:hint="eastAsia" w:ascii="宋体" w:hAnsi="宋体"/>
          <w:color w:val="auto"/>
          <w:highlight w:val="none"/>
          <w:lang w:val="en-US" w:eastAsia="zh-CN"/>
        </w:rPr>
        <w:t>轻白土【部分】</w:t>
      </w:r>
      <w:r>
        <w:rPr>
          <w:rFonts w:hint="eastAsia"/>
          <w:color w:val="auto"/>
          <w:szCs w:val="32"/>
          <w:highlight w:val="none"/>
          <w:lang w:val="zh-CN"/>
        </w:rPr>
        <w:t>）“拆卖一体”项目</w:t>
      </w:r>
      <w:r>
        <w:rPr>
          <w:rFonts w:hint="eastAsia" w:ascii="宋体" w:hAnsi="宋体" w:eastAsia="宋体"/>
          <w:color w:val="auto"/>
          <w:highlight w:val="none"/>
        </w:rPr>
        <w:t>拆除包含装置全部设施拆除（包括地上</w:t>
      </w:r>
      <w:r>
        <w:rPr>
          <w:rFonts w:hint="eastAsia" w:ascii="宋体" w:hAnsi="宋体"/>
          <w:color w:val="auto"/>
          <w:highlight w:val="none"/>
          <w:lang w:val="en-US" w:eastAsia="zh-CN"/>
        </w:rPr>
        <w:t>及地下</w:t>
      </w:r>
      <w:r>
        <w:rPr>
          <w:rFonts w:hint="eastAsia" w:ascii="宋体" w:hAnsi="宋体" w:eastAsia="宋体"/>
          <w:color w:val="auto"/>
          <w:highlight w:val="none"/>
        </w:rPr>
        <w:t>的静设备、动设备、工艺管道、电气设备、自动化控制与仪表设备、</w:t>
      </w:r>
      <w:r>
        <w:rPr>
          <w:rFonts w:hint="eastAsia" w:ascii="宋体" w:hAnsi="宋体"/>
          <w:color w:val="auto"/>
          <w:highlight w:val="none"/>
          <w:lang w:val="en-US" w:eastAsia="zh-CN"/>
        </w:rPr>
        <w:t>绿化植物、装置至红线外变电所电缆、</w:t>
      </w:r>
      <w:r>
        <w:rPr>
          <w:rFonts w:hint="eastAsia" w:ascii="宋体" w:hAnsi="宋体" w:eastAsia="宋体"/>
          <w:color w:val="auto"/>
          <w:highlight w:val="none"/>
        </w:rPr>
        <w:t>建（构）筑物等），含部分可调剂设备保护性拆除。</w:t>
      </w:r>
      <w:r>
        <w:rPr>
          <w:rFonts w:ascii="宋体" w:hAnsi="宋体" w:eastAsia="宋体" w:cs="宋体"/>
          <w:color w:val="auto"/>
          <w:sz w:val="24"/>
          <w:szCs w:val="24"/>
          <w:highlight w:val="none"/>
        </w:rPr>
        <w:t>地下设施拆除后并进行土方回填，回填（回填密实度达到90％以上）至原地坪标高，达到设置独立施工区域</w:t>
      </w:r>
      <w:r>
        <w:rPr>
          <w:rFonts w:hint="eastAsia" w:ascii="宋体" w:hAnsi="宋体" w:cs="宋体"/>
          <w:color w:val="auto"/>
          <w:sz w:val="24"/>
          <w:szCs w:val="24"/>
          <w:highlight w:val="none"/>
          <w:lang w:val="en-US" w:eastAsia="zh-CN"/>
        </w:rPr>
        <w:t>。</w:t>
      </w:r>
      <w:r>
        <w:rPr>
          <w:rFonts w:hint="eastAsia" w:ascii="宋体" w:hAnsi="宋体" w:eastAsia="宋体"/>
          <w:color w:val="auto"/>
          <w:highlight w:val="none"/>
        </w:rPr>
        <w:t>（2）所有拆除物切割（切割物长不宜超10米、宽不宜超2米、高不宜超2.5米进行管控）、去保温保冷衬里及非金属物资、分类堆放，达到废旧物资回收条件且去功能化。（3）危废统一堆放，由发包人处理；固废由承包商处理，保温保冷衬里等固废由承包商拉至</w:t>
      </w:r>
      <w:r>
        <w:rPr>
          <w:rFonts w:hint="eastAsia" w:ascii="宋体" w:hAnsi="宋体"/>
          <w:strike w:val="0"/>
          <w:dstrike w:val="0"/>
          <w:color w:val="auto"/>
          <w:highlight w:val="none"/>
          <w:u w:val="single"/>
          <w:lang w:val="en-US" w:eastAsia="zh-CN"/>
        </w:rPr>
        <w:t xml:space="preserve">          </w:t>
      </w:r>
      <w:r>
        <w:rPr>
          <w:rFonts w:hint="eastAsia" w:ascii="宋体" w:hAnsi="宋体" w:eastAsia="宋体"/>
          <w:color w:val="auto"/>
          <w:highlight w:val="none"/>
        </w:rPr>
        <w:t>，混凝土及其它建筑垃圾由承包商进行合法</w:t>
      </w:r>
      <w:r>
        <w:rPr>
          <w:rFonts w:hint="eastAsia" w:ascii="宋体" w:hAnsi="宋体" w:cs="Times New Roman"/>
          <w:color w:val="auto"/>
          <w:kern w:val="2"/>
          <w:sz w:val="21"/>
          <w:szCs w:val="21"/>
          <w:highlight w:val="none"/>
        </w:rPr>
        <w:t>处置</w:t>
      </w:r>
      <w:r>
        <w:rPr>
          <w:rFonts w:hint="eastAsia" w:ascii="宋体" w:hAnsi="宋体" w:eastAsia="宋体"/>
          <w:color w:val="auto"/>
          <w:highlight w:val="none"/>
        </w:rPr>
        <w:t>。</w:t>
      </w:r>
    </w:p>
    <w:p w14:paraId="2AF7C223">
      <w:pPr>
        <w:ind w:firstLine="480" w:firstLineChars="200"/>
        <w:rPr>
          <w:rFonts w:ascii="宋体" w:hAnsi="宋体" w:eastAsia="宋体"/>
          <w:bCs/>
          <w:color w:val="auto"/>
          <w:highlight w:val="none"/>
        </w:rPr>
      </w:pPr>
    </w:p>
    <w:p w14:paraId="67BFBBF4">
      <w:pPr>
        <w:adjustRightInd w:val="0"/>
        <w:snapToGrid w:val="0"/>
        <w:ind w:firstLine="480" w:firstLineChars="200"/>
        <w:jc w:val="left"/>
        <w:rPr>
          <w:color w:val="auto"/>
          <w:szCs w:val="22"/>
          <w:highlight w:val="none"/>
        </w:rPr>
      </w:pPr>
      <w:r>
        <w:rPr>
          <w:rFonts w:hint="eastAsia"/>
          <w:color w:val="auto"/>
          <w:szCs w:val="22"/>
          <w:highlight w:val="none"/>
        </w:rPr>
        <w:t>详见附件</w:t>
      </w:r>
      <w:r>
        <w:rPr>
          <w:rFonts w:hint="eastAsia"/>
          <w:color w:val="auto"/>
          <w:szCs w:val="22"/>
          <w:highlight w:val="none"/>
          <w:lang w:val="en-US" w:eastAsia="zh-CN"/>
        </w:rPr>
        <w:t>9</w:t>
      </w:r>
      <w:r>
        <w:rPr>
          <w:rFonts w:hint="eastAsia"/>
          <w:color w:val="auto"/>
          <w:szCs w:val="22"/>
          <w:highlight w:val="none"/>
        </w:rPr>
        <w:t>：</w:t>
      </w:r>
      <w:r>
        <w:rPr>
          <w:rFonts w:hint="eastAsia"/>
          <w:color w:val="auto"/>
          <w:highlight w:val="none"/>
        </w:rPr>
        <w:t>承包范围及要求</w:t>
      </w:r>
    </w:p>
    <w:p w14:paraId="716C00B4">
      <w:pPr>
        <w:adjustRightInd w:val="0"/>
        <w:snapToGrid w:val="0"/>
        <w:ind w:firstLine="482" w:firstLineChars="200"/>
        <w:rPr>
          <w:b/>
          <w:color w:val="auto"/>
          <w:highlight w:val="none"/>
        </w:rPr>
      </w:pPr>
      <w:r>
        <w:rPr>
          <w:rFonts w:hint="eastAsia"/>
          <w:b/>
          <w:color w:val="auto"/>
          <w:highlight w:val="none"/>
        </w:rPr>
        <w:t>三、合同工期</w:t>
      </w:r>
    </w:p>
    <w:p w14:paraId="19F70A78">
      <w:pPr>
        <w:adjustRightInd w:val="0"/>
        <w:snapToGrid w:val="0"/>
        <w:ind w:firstLine="480" w:firstLineChars="200"/>
        <w:rPr>
          <w:color w:val="auto"/>
          <w:highlight w:val="none"/>
        </w:rPr>
      </w:pPr>
      <w:r>
        <w:rPr>
          <w:rFonts w:hint="eastAsia"/>
          <w:color w:val="auto"/>
          <w:highlight w:val="none"/>
        </w:rPr>
        <w:t>总工期：1</w:t>
      </w:r>
      <w:r>
        <w:rPr>
          <w:rFonts w:hint="eastAsia"/>
          <w:color w:val="auto"/>
          <w:highlight w:val="none"/>
          <w:lang w:val="en-US" w:eastAsia="zh-CN"/>
        </w:rPr>
        <w:t>06</w:t>
      </w:r>
      <w:r>
        <w:rPr>
          <w:rFonts w:hint="eastAsia"/>
          <w:color w:val="auto"/>
          <w:highlight w:val="none"/>
        </w:rPr>
        <w:t>天（自</w:t>
      </w:r>
      <w:r>
        <w:rPr>
          <w:color w:val="auto"/>
          <w:highlight w:val="none"/>
        </w:rPr>
        <w:t>计划开工日期起至</w:t>
      </w:r>
      <w:r>
        <w:rPr>
          <w:rFonts w:hint="eastAsia"/>
          <w:color w:val="auto"/>
          <w:highlight w:val="none"/>
        </w:rPr>
        <w:t>交工</w:t>
      </w:r>
      <w:r>
        <w:rPr>
          <w:color w:val="auto"/>
          <w:highlight w:val="none"/>
        </w:rPr>
        <w:t>日期止</w:t>
      </w:r>
      <w:r>
        <w:rPr>
          <w:rFonts w:hint="eastAsia"/>
          <w:color w:val="auto"/>
          <w:highlight w:val="none"/>
        </w:rPr>
        <w:t>），主要工期节点：</w:t>
      </w:r>
    </w:p>
    <w:p w14:paraId="6A2E9F65">
      <w:pPr>
        <w:adjustRightInd w:val="0"/>
        <w:snapToGrid w:val="0"/>
        <w:ind w:firstLine="480" w:firstLineChars="200"/>
        <w:rPr>
          <w:color w:val="auto"/>
          <w:highlight w:val="none"/>
        </w:rPr>
      </w:pPr>
      <w:r>
        <w:rPr>
          <w:rFonts w:hint="eastAsia"/>
          <w:color w:val="auto"/>
          <w:highlight w:val="none"/>
        </w:rPr>
        <w:t>计划开工日期：</w:t>
      </w:r>
      <w:r>
        <w:rPr>
          <w:color w:val="auto"/>
          <w:highlight w:val="none"/>
        </w:rPr>
        <w:t>2</w:t>
      </w:r>
      <w:r>
        <w:rPr>
          <w:rFonts w:hint="eastAsia"/>
          <w:color w:val="auto"/>
          <w:highlight w:val="none"/>
        </w:rPr>
        <w:t>02</w:t>
      </w:r>
      <w:r>
        <w:rPr>
          <w:rFonts w:hint="eastAsia"/>
          <w:color w:val="auto"/>
          <w:highlight w:val="none"/>
          <w:lang w:val="en-US" w:eastAsia="zh-CN"/>
        </w:rPr>
        <w:t>6</w:t>
      </w:r>
      <w:r>
        <w:rPr>
          <w:color w:val="auto"/>
          <w:highlight w:val="none"/>
        </w:rPr>
        <w:t>年</w:t>
      </w:r>
      <w:r>
        <w:rPr>
          <w:rFonts w:hint="eastAsia"/>
          <w:color w:val="auto"/>
          <w:highlight w:val="none"/>
          <w:lang w:val="en-US" w:eastAsia="zh-CN"/>
        </w:rPr>
        <w:t>3</w:t>
      </w:r>
      <w:r>
        <w:rPr>
          <w:color w:val="auto"/>
          <w:highlight w:val="none"/>
        </w:rPr>
        <w:t>月</w:t>
      </w:r>
      <w:r>
        <w:rPr>
          <w:rFonts w:hint="eastAsia"/>
          <w:color w:val="auto"/>
          <w:highlight w:val="none"/>
          <w:lang w:val="en-US" w:eastAsia="zh-CN"/>
        </w:rPr>
        <w:t>17</w:t>
      </w:r>
      <w:r>
        <w:rPr>
          <w:color w:val="auto"/>
          <w:highlight w:val="none"/>
        </w:rPr>
        <w:t>日</w:t>
      </w:r>
      <w:r>
        <w:rPr>
          <w:rFonts w:hint="eastAsia"/>
          <w:color w:val="auto"/>
          <w:highlight w:val="none"/>
        </w:rPr>
        <w:t>，实际开工日期以</w:t>
      </w:r>
      <w:r>
        <w:rPr>
          <w:color w:val="auto"/>
          <w:highlight w:val="none"/>
        </w:rPr>
        <w:t>发包人或</w:t>
      </w:r>
      <w:r>
        <w:rPr>
          <w:rFonts w:hint="eastAsia"/>
          <w:color w:val="auto"/>
          <w:highlight w:val="none"/>
        </w:rPr>
        <w:t>监理人发出的开工通知中载明的开工日期为准；</w:t>
      </w:r>
    </w:p>
    <w:p w14:paraId="78830B5E">
      <w:pPr>
        <w:adjustRightInd w:val="0"/>
        <w:snapToGrid w:val="0"/>
        <w:ind w:firstLine="480" w:firstLineChars="200"/>
        <w:rPr>
          <w:color w:val="auto"/>
          <w:highlight w:val="none"/>
        </w:rPr>
      </w:pPr>
      <w:r>
        <w:rPr>
          <w:rFonts w:hint="eastAsia"/>
          <w:color w:val="auto"/>
          <w:highlight w:val="none"/>
        </w:rPr>
        <w:t>计划交工日期：</w:t>
      </w:r>
      <w:r>
        <w:rPr>
          <w:color w:val="auto"/>
          <w:highlight w:val="none"/>
        </w:rPr>
        <w:t>2</w:t>
      </w:r>
      <w:r>
        <w:rPr>
          <w:rFonts w:hint="eastAsia"/>
          <w:color w:val="auto"/>
          <w:highlight w:val="none"/>
        </w:rPr>
        <w:t>02</w:t>
      </w:r>
      <w:r>
        <w:rPr>
          <w:rFonts w:hint="eastAsia"/>
          <w:color w:val="auto"/>
          <w:highlight w:val="none"/>
          <w:lang w:val="en-US" w:eastAsia="zh-CN"/>
        </w:rPr>
        <w:t>6</w:t>
      </w:r>
      <w:r>
        <w:rPr>
          <w:color w:val="auto"/>
          <w:highlight w:val="none"/>
        </w:rPr>
        <w:t>年</w:t>
      </w:r>
      <w:r>
        <w:rPr>
          <w:rFonts w:hint="eastAsia"/>
          <w:color w:val="auto"/>
          <w:highlight w:val="none"/>
          <w:lang w:val="en-US" w:eastAsia="zh-CN"/>
        </w:rPr>
        <w:t>6</w:t>
      </w:r>
      <w:r>
        <w:rPr>
          <w:color w:val="auto"/>
          <w:highlight w:val="none"/>
        </w:rPr>
        <w:t>月</w:t>
      </w:r>
      <w:r>
        <w:rPr>
          <w:rFonts w:hint="eastAsia"/>
          <w:color w:val="auto"/>
          <w:highlight w:val="none"/>
          <w:lang w:val="en-US" w:eastAsia="zh-CN"/>
        </w:rPr>
        <w:t>30</w:t>
      </w:r>
      <w:r>
        <w:rPr>
          <w:color w:val="auto"/>
          <w:highlight w:val="none"/>
        </w:rPr>
        <w:t>日</w:t>
      </w:r>
      <w:r>
        <w:rPr>
          <w:rFonts w:hint="eastAsia"/>
          <w:color w:val="auto"/>
          <w:highlight w:val="none"/>
        </w:rPr>
        <w:t>，</w:t>
      </w:r>
      <w:r>
        <w:rPr>
          <w:color w:val="auto"/>
          <w:highlight w:val="none"/>
        </w:rPr>
        <w:t>实际交工日期以发包人签署的工程交工证书的日期为准。</w:t>
      </w:r>
    </w:p>
    <w:p w14:paraId="36443FD3">
      <w:pPr>
        <w:adjustRightInd w:val="0"/>
        <w:snapToGrid w:val="0"/>
        <w:ind w:firstLine="480" w:firstLineChars="200"/>
        <w:rPr>
          <w:color w:val="auto"/>
          <w:highlight w:val="none"/>
        </w:rPr>
      </w:pPr>
      <w:r>
        <w:rPr>
          <w:rFonts w:hint="eastAsia"/>
          <w:color w:val="auto"/>
          <w:highlight w:val="none"/>
        </w:rPr>
        <w:t>以上工期节点，以批准的总体统筹网络计划为准，实际日期以发包人或监理人发出的通知中载明的日期为准。</w:t>
      </w:r>
    </w:p>
    <w:p w14:paraId="039B5920">
      <w:pPr>
        <w:adjustRightInd w:val="0"/>
        <w:snapToGrid w:val="0"/>
        <w:ind w:firstLine="482" w:firstLineChars="200"/>
        <w:rPr>
          <w:b/>
          <w:color w:val="auto"/>
          <w:highlight w:val="none"/>
        </w:rPr>
      </w:pPr>
      <w:r>
        <w:rPr>
          <w:rFonts w:hint="eastAsia"/>
          <w:b/>
          <w:color w:val="auto"/>
          <w:highlight w:val="none"/>
        </w:rPr>
        <w:t>四、质量标准和HSE愿景目标</w:t>
      </w:r>
    </w:p>
    <w:p w14:paraId="7CB5B490">
      <w:pPr>
        <w:adjustRightInd w:val="0"/>
        <w:snapToGrid w:val="0"/>
        <w:ind w:firstLine="480" w:firstLineChars="200"/>
        <w:rPr>
          <w:color w:val="auto"/>
          <w:highlight w:val="none"/>
        </w:rPr>
      </w:pPr>
      <w:bookmarkStart w:id="5" w:name="_Toc427596699"/>
      <w:r>
        <w:rPr>
          <w:rFonts w:hint="eastAsia"/>
          <w:color w:val="auto"/>
          <w:highlight w:val="none"/>
        </w:rPr>
        <w:t>工程质量标准：</w:t>
      </w:r>
    </w:p>
    <w:p w14:paraId="7F2B0947">
      <w:pPr>
        <w:numPr>
          <w:ilvl w:val="0"/>
          <w:numId w:val="3"/>
        </w:numPr>
        <w:adjustRightInd w:val="0"/>
        <w:snapToGrid w:val="0"/>
        <w:ind w:firstLine="480" w:firstLineChars="200"/>
        <w:rPr>
          <w:color w:val="auto"/>
          <w:highlight w:val="none"/>
          <w:u w:val="single"/>
        </w:rPr>
      </w:pPr>
      <w:r>
        <w:rPr>
          <w:rFonts w:hint="eastAsia"/>
          <w:color w:val="auto"/>
          <w:highlight w:val="none"/>
          <w:u w:val="single"/>
        </w:rPr>
        <w:t>符合国家、行业等相关施工及验收规范和设计要求。</w:t>
      </w:r>
    </w:p>
    <w:p w14:paraId="5E5283E3">
      <w:pPr>
        <w:numPr>
          <w:ilvl w:val="0"/>
          <w:numId w:val="3"/>
        </w:numPr>
        <w:adjustRightInd w:val="0"/>
        <w:snapToGrid w:val="0"/>
        <w:ind w:firstLine="480" w:firstLineChars="200"/>
        <w:rPr>
          <w:color w:val="auto"/>
          <w:highlight w:val="none"/>
          <w:u w:val="single"/>
        </w:rPr>
      </w:pPr>
      <w:r>
        <w:rPr>
          <w:color w:val="auto"/>
          <w:highlight w:val="none"/>
          <w:u w:val="single"/>
        </w:rPr>
        <w:t>符合《石油化工厂区竖向工程施工及验收规范》SH/T3529-20</w:t>
      </w:r>
      <w:r>
        <w:rPr>
          <w:rFonts w:hint="eastAsia"/>
          <w:color w:val="auto"/>
          <w:highlight w:val="none"/>
          <w:u w:val="single"/>
        </w:rPr>
        <w:t>18</w:t>
      </w:r>
      <w:r>
        <w:rPr>
          <w:color w:val="auto"/>
          <w:highlight w:val="none"/>
          <w:u w:val="single"/>
        </w:rPr>
        <w:t>、《建筑地基基础工程施工质量验收标准》GB 50202-2018、《建筑地面工程施工质量验收规范》GB 50209-2010。</w:t>
      </w:r>
    </w:p>
    <w:p w14:paraId="254E0CBF">
      <w:pPr>
        <w:adjustRightInd w:val="0"/>
        <w:snapToGrid w:val="0"/>
        <w:ind w:firstLine="480" w:firstLineChars="200"/>
        <w:rPr>
          <w:color w:val="auto"/>
          <w:highlight w:val="none"/>
        </w:rPr>
      </w:pPr>
      <w:r>
        <w:rPr>
          <w:rFonts w:hint="eastAsia"/>
          <w:color w:val="auto"/>
          <w:highlight w:val="none"/>
        </w:rPr>
        <w:t>HSE愿景目标：</w:t>
      </w:r>
      <w:r>
        <w:rPr>
          <w:rFonts w:hint="eastAsia"/>
          <w:color w:val="auto"/>
          <w:highlight w:val="none"/>
          <w:u w:val="single"/>
        </w:rPr>
        <w:t>零伤害、零污染、零事故</w:t>
      </w:r>
      <w:r>
        <w:rPr>
          <w:rFonts w:hint="eastAsia"/>
          <w:color w:val="auto"/>
          <w:highlight w:val="none"/>
        </w:rPr>
        <w:t>。</w:t>
      </w:r>
    </w:p>
    <w:p w14:paraId="3E274563">
      <w:pPr>
        <w:adjustRightInd w:val="0"/>
        <w:snapToGrid w:val="0"/>
        <w:ind w:firstLine="482" w:firstLineChars="200"/>
        <w:rPr>
          <w:rFonts w:ascii="华文楷体" w:hAnsi="华文楷体" w:eastAsia="华文楷体"/>
          <w:color w:val="auto"/>
          <w:highlight w:val="none"/>
        </w:rPr>
      </w:pPr>
      <w:r>
        <w:rPr>
          <w:rFonts w:hint="eastAsia"/>
          <w:b/>
          <w:color w:val="auto"/>
          <w:highlight w:val="none"/>
        </w:rPr>
        <w:t>五、签约合同价款</w:t>
      </w:r>
      <w:bookmarkEnd w:id="5"/>
    </w:p>
    <w:p w14:paraId="1EADD57D">
      <w:pPr>
        <w:adjustRightInd w:val="0"/>
        <w:snapToGrid w:val="0"/>
        <w:ind w:firstLine="480" w:firstLineChars="200"/>
        <w:rPr>
          <w:color w:val="auto"/>
          <w:highlight w:val="none"/>
        </w:rPr>
      </w:pPr>
      <w:r>
        <w:rPr>
          <w:rFonts w:hint="eastAsia"/>
          <w:color w:val="auto"/>
          <w:highlight w:val="none"/>
        </w:rPr>
        <w:t>1.本合同价款形式为：</w:t>
      </w:r>
      <w:r>
        <w:rPr>
          <w:color w:val="auto"/>
          <w:highlight w:val="none"/>
        </w:rPr>
        <w:t>总价合同</w:t>
      </w:r>
      <w:r>
        <w:rPr>
          <w:rFonts w:hint="eastAsia"/>
          <w:color w:val="auto"/>
          <w:highlight w:val="none"/>
        </w:rPr>
        <w:t>；</w:t>
      </w:r>
    </w:p>
    <w:p w14:paraId="08711762">
      <w:pPr>
        <w:adjustRightInd w:val="0"/>
        <w:snapToGrid w:val="0"/>
        <w:ind w:firstLine="480" w:firstLineChars="200"/>
        <w:rPr>
          <w:color w:val="auto"/>
          <w:highlight w:val="none"/>
        </w:rPr>
      </w:pPr>
      <w:r>
        <w:rPr>
          <w:rFonts w:hint="eastAsia"/>
          <w:color w:val="auto"/>
          <w:highlight w:val="none"/>
        </w:rPr>
        <w:t>2.拆除部分成交</w:t>
      </w:r>
      <w:r>
        <w:rPr>
          <w:color w:val="auto"/>
          <w:highlight w:val="none"/>
        </w:rPr>
        <w:t>价：</w:t>
      </w:r>
    </w:p>
    <w:p w14:paraId="5FDB22FC">
      <w:pPr>
        <w:adjustRightInd w:val="0"/>
        <w:snapToGrid w:val="0"/>
        <w:ind w:firstLine="720" w:firstLineChars="300"/>
        <w:rPr>
          <w:color w:val="auto"/>
          <w:highlight w:val="none"/>
        </w:rPr>
      </w:pPr>
      <w:r>
        <w:rPr>
          <w:rFonts w:hint="eastAsia"/>
          <w:color w:val="auto"/>
          <w:highlight w:val="none"/>
        </w:rPr>
        <w:t>签约</w:t>
      </w:r>
      <w:r>
        <w:rPr>
          <w:color w:val="auto"/>
          <w:highlight w:val="none"/>
        </w:rPr>
        <w:t>合同价款（</w:t>
      </w:r>
      <w:r>
        <w:rPr>
          <w:rFonts w:hint="eastAsia"/>
          <w:color w:val="auto"/>
          <w:highlight w:val="none"/>
        </w:rPr>
        <w:t>不含税</w:t>
      </w:r>
      <w:r>
        <w:rPr>
          <w:color w:val="auto"/>
          <w:highlight w:val="none"/>
        </w:rPr>
        <w:t>）</w:t>
      </w:r>
      <w:r>
        <w:rPr>
          <w:rFonts w:hint="eastAsia" w:ascii="Times New Roman" w:hAnsi="Times New Roman" w:eastAsia="宋体" w:cs="Times New Roman"/>
          <w:color w:val="auto"/>
          <w:highlight w:val="none"/>
        </w:rPr>
        <w:t>：</w:t>
      </w:r>
      <w:r>
        <w:rPr>
          <w:rFonts w:hint="eastAsia" w:ascii="宋体" w:hAnsi="宋体" w:cs="宋体"/>
          <w:color w:val="auto"/>
          <w:sz w:val="24"/>
          <w:szCs w:val="24"/>
          <w:highlight w:val="none"/>
          <w:u w:val="single"/>
          <w:lang w:val="en-US" w:eastAsia="zh-CN"/>
        </w:rPr>
        <w:t xml:space="preserve">      </w:t>
      </w:r>
      <w:r>
        <w:rPr>
          <w:rFonts w:hint="eastAsia" w:ascii="Times New Roman" w:hAnsi="Times New Roman" w:eastAsia="宋体" w:cs="Times New Roman"/>
          <w:color w:val="auto"/>
          <w:highlight w:val="none"/>
          <w:lang w:val="en-US" w:eastAsia="zh-CN"/>
        </w:rPr>
        <w:t>元</w:t>
      </w:r>
      <w:r>
        <w:rPr>
          <w:color w:val="auto"/>
          <w:highlight w:val="none"/>
        </w:rPr>
        <w:t>；</w:t>
      </w:r>
    </w:p>
    <w:p w14:paraId="37E539AF">
      <w:pPr>
        <w:adjustRightInd w:val="0"/>
        <w:snapToGrid w:val="0"/>
        <w:ind w:firstLine="720" w:firstLineChars="300"/>
        <w:rPr>
          <w:color w:val="auto"/>
          <w:highlight w:val="none"/>
        </w:rPr>
      </w:pPr>
      <w:r>
        <w:rPr>
          <w:rFonts w:hint="eastAsia"/>
          <w:color w:val="auto"/>
          <w:highlight w:val="none"/>
        </w:rPr>
        <w:t>签约</w:t>
      </w:r>
      <w:r>
        <w:rPr>
          <w:color w:val="auto"/>
          <w:highlight w:val="none"/>
        </w:rPr>
        <w:t>合同价款（</w:t>
      </w:r>
      <w:r>
        <w:rPr>
          <w:rFonts w:hint="eastAsia"/>
          <w:color w:val="auto"/>
          <w:highlight w:val="none"/>
        </w:rPr>
        <w:t>含税</w:t>
      </w:r>
      <w:r>
        <w:rPr>
          <w:color w:val="auto"/>
          <w:highlight w:val="none"/>
        </w:rPr>
        <w:t>）</w:t>
      </w:r>
      <w:r>
        <w:rPr>
          <w:rFonts w:hint="eastAsia"/>
          <w:color w:val="auto"/>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cs="Times New Roman"/>
          <w:color w:val="auto"/>
          <w:kern w:val="2"/>
          <w:sz w:val="21"/>
          <w:highlight w:val="none"/>
        </w:rPr>
        <w:t>大写：</w:t>
      </w:r>
      <w:r>
        <w:rPr>
          <w:rFonts w:hint="eastAsia" w:cs="Times New Roman"/>
          <w:color w:val="auto"/>
          <w:kern w:val="2"/>
          <w:sz w:val="21"/>
          <w:highlight w:val="none"/>
          <w:u w:val="single"/>
          <w:lang w:val="en-US" w:eastAsia="zh-CN"/>
        </w:rPr>
        <w:t xml:space="preserve">        </w:t>
      </w:r>
      <w:r>
        <w:rPr>
          <w:rFonts w:cs="Times New Roman"/>
          <w:color w:val="auto"/>
          <w:kern w:val="2"/>
          <w:sz w:val="21"/>
          <w:highlight w:val="none"/>
        </w:rPr>
        <w:t>；</w:t>
      </w:r>
      <w:r>
        <w:rPr>
          <w:rFonts w:hint="eastAsia" w:cs="Times New Roman"/>
          <w:color w:val="auto"/>
          <w:kern w:val="2"/>
          <w:sz w:val="21"/>
          <w:highlight w:val="none"/>
        </w:rPr>
        <w:t>其中</w:t>
      </w:r>
      <w:r>
        <w:rPr>
          <w:rFonts w:hint="eastAsia" w:cs="Times New Roman"/>
          <w:color w:val="auto"/>
          <w:kern w:val="2"/>
          <w:sz w:val="21"/>
          <w:highlight w:val="none"/>
          <w:lang w:val="en-US" w:eastAsia="zh-CN"/>
        </w:rPr>
        <w:t>,拆除工程费（固定部分）为</w:t>
      </w:r>
      <w:r>
        <w:rPr>
          <w:rFonts w:hint="eastAsia" w:ascii="宋体" w:hAnsi="宋体" w:cs="宋体"/>
          <w:color w:val="auto"/>
          <w:sz w:val="24"/>
          <w:szCs w:val="24"/>
          <w:highlight w:val="none"/>
          <w:u w:val="single"/>
          <w:lang w:val="en-US" w:eastAsia="zh-CN"/>
        </w:rPr>
        <w:t xml:space="preserve">       </w:t>
      </w:r>
      <w:r>
        <w:rPr>
          <w:rFonts w:hint="eastAsia" w:cs="Times New Roman"/>
          <w:color w:val="auto"/>
          <w:kern w:val="2"/>
          <w:sz w:val="21"/>
          <w:highlight w:val="none"/>
          <w:lang w:val="en-US" w:eastAsia="zh-CN"/>
        </w:rPr>
        <w:t>元（脚手架金额为</w:t>
      </w:r>
      <w:r>
        <w:rPr>
          <w:rFonts w:hint="eastAsia" w:ascii="宋体" w:hAnsi="宋体" w:cs="宋体"/>
          <w:color w:val="auto"/>
          <w:sz w:val="24"/>
          <w:szCs w:val="24"/>
          <w:highlight w:val="none"/>
          <w:u w:val="single"/>
          <w:lang w:val="en-US" w:eastAsia="zh-CN"/>
        </w:rPr>
        <w:t xml:space="preserve">         </w:t>
      </w:r>
      <w:r>
        <w:rPr>
          <w:rFonts w:hint="eastAsia" w:cs="Times New Roman"/>
          <w:color w:val="auto"/>
          <w:kern w:val="2"/>
          <w:sz w:val="21"/>
          <w:highlight w:val="none"/>
          <w:lang w:val="en-US" w:eastAsia="zh-CN"/>
        </w:rPr>
        <w:t>元，安全生产费为</w:t>
      </w:r>
      <w:r>
        <w:rPr>
          <w:rFonts w:hint="eastAsia" w:ascii="宋体" w:hAnsi="宋体" w:cs="宋体"/>
          <w:color w:val="auto"/>
          <w:sz w:val="24"/>
          <w:szCs w:val="24"/>
          <w:highlight w:val="none"/>
          <w:u w:val="single"/>
          <w:lang w:val="en-US" w:eastAsia="zh-CN"/>
        </w:rPr>
        <w:t xml:space="preserve">          </w:t>
      </w:r>
      <w:r>
        <w:rPr>
          <w:rFonts w:hint="eastAsia" w:cs="Times New Roman"/>
          <w:color w:val="auto"/>
          <w:kern w:val="2"/>
          <w:sz w:val="21"/>
          <w:highlight w:val="none"/>
          <w:lang w:val="en-US" w:eastAsia="zh-CN"/>
        </w:rPr>
        <w:t>元），</w:t>
      </w:r>
      <w:r>
        <w:rPr>
          <w:rFonts w:hint="eastAsia" w:cs="Times New Roman"/>
          <w:color w:val="auto"/>
          <w:kern w:val="2"/>
          <w:sz w:val="21"/>
          <w:highlight w:val="none"/>
        </w:rPr>
        <w:t>暂列金额为</w:t>
      </w:r>
      <w:r>
        <w:rPr>
          <w:rFonts w:hint="eastAsia" w:ascii="宋体" w:hAnsi="宋体" w:cs="宋体"/>
          <w:color w:val="auto"/>
          <w:sz w:val="24"/>
          <w:szCs w:val="24"/>
          <w:highlight w:val="none"/>
          <w:u w:val="single"/>
          <w:lang w:val="en-US" w:eastAsia="zh-CN"/>
        </w:rPr>
        <w:t xml:space="preserve">      </w:t>
      </w:r>
      <w:r>
        <w:rPr>
          <w:rFonts w:hint="eastAsia" w:cs="Times New Roman"/>
          <w:color w:val="auto"/>
          <w:kern w:val="2"/>
          <w:sz w:val="21"/>
          <w:highlight w:val="none"/>
        </w:rPr>
        <w:t>元。</w:t>
      </w:r>
    </w:p>
    <w:p w14:paraId="67E3CDB8">
      <w:pPr>
        <w:snapToGrid w:val="0"/>
        <w:ind w:firstLine="480" w:firstLineChars="200"/>
        <w:rPr>
          <w:color w:val="auto"/>
          <w:highlight w:val="none"/>
        </w:rPr>
      </w:pPr>
      <w:r>
        <w:rPr>
          <w:color w:val="auto"/>
          <w:highlight w:val="none"/>
        </w:rPr>
        <w:t>3</w:t>
      </w:r>
      <w:r>
        <w:rPr>
          <w:rFonts w:hint="eastAsia"/>
          <w:color w:val="auto"/>
          <w:highlight w:val="none"/>
        </w:rPr>
        <w:t>.增值税按照一般计税方式计算，税率9%。如税率发生变动，按新税率重新计算确定合同金额。</w:t>
      </w:r>
    </w:p>
    <w:p w14:paraId="71966E2E">
      <w:pPr>
        <w:adjustRightInd w:val="0"/>
        <w:snapToGrid w:val="0"/>
        <w:ind w:firstLine="480" w:firstLineChars="200"/>
        <w:rPr>
          <w:color w:val="auto"/>
          <w:highlight w:val="none"/>
        </w:rPr>
      </w:pPr>
      <w:r>
        <w:rPr>
          <w:color w:val="auto"/>
          <w:highlight w:val="none"/>
        </w:rPr>
        <w:t>4</w:t>
      </w:r>
      <w:r>
        <w:rPr>
          <w:rFonts w:hint="eastAsia"/>
          <w:color w:val="auto"/>
          <w:highlight w:val="none"/>
        </w:rPr>
        <w:t>.投标报价说明见合同附件1。</w:t>
      </w:r>
    </w:p>
    <w:p w14:paraId="58CBBF37">
      <w:pPr>
        <w:adjustRightInd w:val="0"/>
        <w:snapToGrid w:val="0"/>
        <w:ind w:firstLine="482" w:firstLineChars="200"/>
        <w:rPr>
          <w:b/>
          <w:color w:val="auto"/>
          <w:highlight w:val="none"/>
        </w:rPr>
      </w:pPr>
      <w:bookmarkStart w:id="6" w:name="_Toc427596701"/>
      <w:r>
        <w:rPr>
          <w:rFonts w:hint="eastAsia"/>
          <w:b/>
          <w:color w:val="auto"/>
          <w:highlight w:val="none"/>
        </w:rPr>
        <w:t>六、承包人项目经理</w:t>
      </w:r>
      <w:bookmarkEnd w:id="6"/>
    </w:p>
    <w:p w14:paraId="1BB0F4AB">
      <w:pPr>
        <w:adjustRightInd w:val="0"/>
        <w:snapToGrid w:val="0"/>
        <w:ind w:firstLine="420"/>
        <w:rPr>
          <w:color w:val="auto"/>
          <w:highlight w:val="none"/>
        </w:rPr>
      </w:pPr>
      <w:bookmarkStart w:id="7" w:name="_Toc427596702"/>
      <w:r>
        <w:rPr>
          <w:rFonts w:hint="eastAsia"/>
          <w:color w:val="auto"/>
          <w:highlight w:val="none"/>
        </w:rPr>
        <w:t>姓名：</w:t>
      </w:r>
      <w:r>
        <w:rPr>
          <w:rFonts w:hint="eastAsia"/>
          <w:color w:val="auto"/>
          <w:highlight w:val="none"/>
          <w:u w:val="single"/>
        </w:rPr>
        <w:t xml:space="preserve">   </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420C510E">
      <w:pPr>
        <w:adjustRightInd w:val="0"/>
        <w:snapToGrid w:val="0"/>
        <w:ind w:firstLine="420"/>
        <w:rPr>
          <w:color w:val="auto"/>
          <w:highlight w:val="none"/>
        </w:rPr>
      </w:pPr>
      <w:r>
        <w:rPr>
          <w:rFonts w:hint="eastAsia"/>
          <w:color w:val="auto"/>
          <w:highlight w:val="none"/>
        </w:rPr>
        <w:t>联系电话：</w:t>
      </w:r>
      <w:r>
        <w:rPr>
          <w:rFonts w:hint="eastAsia"/>
          <w:color w:val="auto"/>
          <w:highlight w:val="none"/>
          <w:u w:val="single"/>
        </w:rPr>
        <w:t xml:space="preserve">  </w:t>
      </w:r>
      <w:r>
        <w:rPr>
          <w:rFonts w:hint="eastAsia" w:ascii="Times New Roman" w:hAnsi="Times New Roman" w:eastAsia="宋体" w:cs="Times New Roman"/>
          <w:color w:val="auto"/>
          <w:highlight w:val="none"/>
          <w:u w:val="single"/>
        </w:rPr>
        <w:t xml:space="preserve">  </w:t>
      </w:r>
      <w:r>
        <w:rPr>
          <w:rFonts w:hint="eastAsia" w:cs="Times New Roman"/>
          <w:color w:val="auto"/>
          <w:highlight w:val="none"/>
          <w:u w:val="single"/>
          <w:lang w:val="en-US" w:eastAsia="zh-CN"/>
        </w:rPr>
        <w:t xml:space="preserve"> </w:t>
      </w:r>
      <w:r>
        <w:rPr>
          <w:rFonts w:hint="eastAsia" w:ascii="Times New Roman" w:hAnsi="Times New Roman" w:eastAsia="宋体" w:cs="Times New Roman"/>
          <w:color w:val="auto"/>
          <w:highlight w:val="none"/>
          <w:u w:val="single"/>
        </w:rPr>
        <w:t xml:space="preserve">    </w:t>
      </w:r>
      <w:r>
        <w:rPr>
          <w:rFonts w:hint="eastAsia"/>
          <w:color w:val="auto"/>
          <w:highlight w:val="none"/>
          <w:u w:val="single"/>
        </w:rPr>
        <w:t xml:space="preserve">        </w:t>
      </w:r>
      <w:r>
        <w:rPr>
          <w:rFonts w:hint="eastAsia"/>
          <w:color w:val="auto"/>
          <w:highlight w:val="none"/>
        </w:rPr>
        <w:t>；</w:t>
      </w:r>
    </w:p>
    <w:p w14:paraId="599F6216">
      <w:pPr>
        <w:adjustRightInd w:val="0"/>
        <w:snapToGrid w:val="0"/>
        <w:ind w:firstLine="420"/>
        <w:rPr>
          <w:color w:val="auto"/>
          <w:highlight w:val="none"/>
        </w:rPr>
      </w:pPr>
      <w:r>
        <w:rPr>
          <w:rFonts w:hint="eastAsia"/>
          <w:color w:val="auto"/>
          <w:highlight w:val="none"/>
        </w:rPr>
        <w:t>身份证号：</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41466A2B">
      <w:pPr>
        <w:adjustRightInd w:val="0"/>
        <w:snapToGrid w:val="0"/>
        <w:ind w:firstLine="420"/>
        <w:rPr>
          <w:color w:val="auto"/>
          <w:highlight w:val="none"/>
        </w:rPr>
      </w:pPr>
      <w:r>
        <w:rPr>
          <w:rFonts w:hint="eastAsia"/>
          <w:color w:val="auto"/>
          <w:highlight w:val="none"/>
        </w:rPr>
        <w:t>单位职务、职称：</w:t>
      </w:r>
      <w:r>
        <w:rPr>
          <w:rFonts w:hint="eastAsia" w:ascii="宋体" w:hAnsi="宋体"/>
          <w:color w:val="auto"/>
          <w:highlight w:val="none"/>
          <w:u w:val="single"/>
          <w:lang w:val="en-US" w:eastAsia="zh-CN"/>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B0E330B">
      <w:pPr>
        <w:adjustRightInd w:val="0"/>
        <w:snapToGrid w:val="0"/>
        <w:ind w:firstLine="420"/>
        <w:rPr>
          <w:color w:val="auto"/>
          <w:highlight w:val="none"/>
        </w:rPr>
      </w:pPr>
      <w:r>
        <w:rPr>
          <w:rFonts w:hint="eastAsia"/>
          <w:color w:val="auto"/>
          <w:highlight w:val="none"/>
        </w:rPr>
        <w:t>注册执业证书名称及专业、级别：</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5394E19C">
      <w:pPr>
        <w:adjustRightInd w:val="0"/>
        <w:snapToGrid w:val="0"/>
        <w:ind w:firstLine="420"/>
        <w:rPr>
          <w:color w:val="auto"/>
          <w:highlight w:val="none"/>
        </w:rPr>
      </w:pPr>
      <w:r>
        <w:rPr>
          <w:rFonts w:hint="eastAsia"/>
          <w:color w:val="auto"/>
          <w:highlight w:val="none"/>
        </w:rPr>
        <w:t>注册证书编号：</w:t>
      </w:r>
      <w:r>
        <w:rPr>
          <w:rFonts w:hint="eastAsia"/>
          <w:color w:val="auto"/>
          <w:highlight w:val="none"/>
          <w:u w:val="single"/>
        </w:rPr>
        <w:t xml:space="preserve"> </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2F9EA1A">
      <w:pPr>
        <w:adjustRightInd w:val="0"/>
        <w:snapToGrid w:val="0"/>
        <w:ind w:firstLine="420"/>
        <w:rPr>
          <w:color w:val="auto"/>
          <w:highlight w:val="none"/>
        </w:rPr>
      </w:pPr>
      <w:r>
        <w:rPr>
          <w:rFonts w:hint="eastAsia"/>
          <w:bCs/>
          <w:color w:val="auto"/>
          <w:highlight w:val="none"/>
        </w:rPr>
        <w:t>安全生产考核合格证书编号：</w:t>
      </w:r>
      <w:r>
        <w:rPr>
          <w:rFonts w:hint="eastAsia"/>
          <w:color w:val="auto"/>
          <w:highlight w:val="none"/>
          <w:u w:val="single"/>
        </w:rPr>
        <w:t xml:space="preserve"> </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0C3867E5">
      <w:pPr>
        <w:adjustRightInd w:val="0"/>
        <w:snapToGrid w:val="0"/>
        <w:ind w:firstLine="420"/>
        <w:rPr>
          <w:color w:val="auto"/>
          <w:highlight w:val="none"/>
        </w:rPr>
      </w:pPr>
      <w:r>
        <w:rPr>
          <w:rFonts w:hint="eastAsia"/>
          <w:color w:val="auto"/>
          <w:highlight w:val="none"/>
        </w:rPr>
        <w:t>本合同生效后，承包人法定代表人应立即任命项目经理，向发包人提交任命书，明确授权范围、期限和内容。</w:t>
      </w:r>
    </w:p>
    <w:p w14:paraId="3A0794CE">
      <w:pPr>
        <w:adjustRightInd w:val="0"/>
        <w:snapToGrid w:val="0"/>
        <w:ind w:firstLine="482" w:firstLineChars="200"/>
        <w:rPr>
          <w:b/>
          <w:color w:val="auto"/>
          <w:highlight w:val="none"/>
        </w:rPr>
      </w:pPr>
      <w:r>
        <w:rPr>
          <w:rFonts w:hint="eastAsia"/>
          <w:b/>
          <w:color w:val="auto"/>
          <w:highlight w:val="none"/>
        </w:rPr>
        <w:t>七、承包人技术负责人</w:t>
      </w:r>
      <w:bookmarkEnd w:id="7"/>
    </w:p>
    <w:p w14:paraId="0CC74AC1">
      <w:pPr>
        <w:adjustRightInd w:val="0"/>
        <w:snapToGrid w:val="0"/>
        <w:ind w:firstLine="420"/>
        <w:rPr>
          <w:color w:val="auto"/>
          <w:highlight w:val="none"/>
        </w:rPr>
      </w:pPr>
      <w:bookmarkStart w:id="8" w:name="_Toc427596703"/>
      <w:r>
        <w:rPr>
          <w:rFonts w:hint="eastAsia"/>
          <w:color w:val="auto"/>
          <w:highlight w:val="none"/>
        </w:rPr>
        <w:t>姓名：</w:t>
      </w:r>
      <w:r>
        <w:rPr>
          <w:rFonts w:hint="eastAsia"/>
          <w:color w:val="auto"/>
          <w:highlight w:val="none"/>
          <w:u w:val="single"/>
        </w:rPr>
        <w:t xml:space="preserve">   </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7E0BCEEC">
      <w:pPr>
        <w:adjustRightInd w:val="0"/>
        <w:snapToGrid w:val="0"/>
        <w:ind w:firstLine="420"/>
        <w:rPr>
          <w:color w:val="auto"/>
          <w:highlight w:val="none"/>
        </w:rPr>
      </w:pPr>
      <w:r>
        <w:rPr>
          <w:rFonts w:hint="eastAsia"/>
          <w:color w:val="auto"/>
          <w:highlight w:val="none"/>
        </w:rPr>
        <w:t>联系电话：</w:t>
      </w:r>
      <w:r>
        <w:rPr>
          <w:rFonts w:hint="eastAsia"/>
          <w:color w:val="auto"/>
          <w:highlight w:val="none"/>
          <w:u w:val="single"/>
        </w:rPr>
        <w:t xml:space="preserve">   </w:t>
      </w:r>
      <w:r>
        <w:rPr>
          <w:rFonts w:hint="eastAsia" w:ascii="宋体" w:hAnsi="宋体" w:eastAsia="宋体" w:cs="Times New Roman"/>
          <w:color w:val="auto"/>
          <w:highlight w:val="none"/>
          <w:u w:val="single"/>
        </w:rPr>
        <w:t xml:space="preserve"> </w:t>
      </w:r>
      <w:r>
        <w:rPr>
          <w:rFonts w:hint="eastAsia" w:ascii="宋体" w:hAnsi="宋体" w:cs="Times New Roman"/>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20F6139E">
      <w:pPr>
        <w:adjustRightInd w:val="0"/>
        <w:snapToGrid w:val="0"/>
        <w:ind w:firstLine="420"/>
        <w:rPr>
          <w:color w:val="auto"/>
          <w:highlight w:val="none"/>
        </w:rPr>
      </w:pPr>
      <w:r>
        <w:rPr>
          <w:rFonts w:hint="eastAsia"/>
          <w:color w:val="auto"/>
          <w:highlight w:val="none"/>
        </w:rPr>
        <w:t>身份证号：</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05013E01">
      <w:pPr>
        <w:adjustRightInd w:val="0"/>
        <w:snapToGrid w:val="0"/>
        <w:ind w:left="240" w:leftChars="100" w:firstLine="180" w:firstLineChars="75"/>
        <w:rPr>
          <w:rFonts w:hint="eastAsia" w:ascii="宋体" w:hAnsi="宋体" w:eastAsia="宋体" w:cs="Times New Roman"/>
          <w:color w:val="auto"/>
          <w:highlight w:val="none"/>
          <w:u w:val="single"/>
          <w:lang w:eastAsia="zh-CN"/>
        </w:rPr>
      </w:pPr>
      <w:r>
        <w:rPr>
          <w:rFonts w:hint="eastAsia"/>
          <w:color w:val="auto"/>
          <w:highlight w:val="none"/>
        </w:rPr>
        <w:t>单位职务、职称：</w:t>
      </w:r>
      <w:r>
        <w:rPr>
          <w:rFonts w:hint="eastAsia" w:ascii="宋体" w:hAnsi="宋体" w:cs="Times New Roman"/>
          <w:color w:val="auto"/>
          <w:highlight w:val="none"/>
          <w:u w:val="single"/>
          <w:lang w:val="en-US" w:eastAsia="zh-CN"/>
        </w:rPr>
        <w:t xml:space="preserve">           </w:t>
      </w:r>
      <w:r>
        <w:rPr>
          <w:rFonts w:hint="eastAsia" w:ascii="宋体" w:hAnsi="宋体" w:eastAsia="宋体" w:cs="Times New Roman"/>
          <w:color w:val="auto"/>
          <w:highlight w:val="none"/>
          <w:u w:val="single"/>
          <w:lang w:val="en-US" w:eastAsia="zh-CN"/>
        </w:rPr>
        <w:t xml:space="preserve"> </w:t>
      </w:r>
      <w:r>
        <w:rPr>
          <w:rFonts w:hint="eastAsia" w:ascii="宋体" w:hAnsi="宋体" w:eastAsia="宋体" w:cs="Times New Roman"/>
          <w:color w:val="auto"/>
          <w:highlight w:val="none"/>
          <w:u w:val="none"/>
          <w:lang w:eastAsia="zh-CN"/>
        </w:rPr>
        <w:t>；</w:t>
      </w:r>
    </w:p>
    <w:p w14:paraId="2B046D0B">
      <w:pPr>
        <w:adjustRightInd w:val="0"/>
        <w:snapToGrid w:val="0"/>
        <w:ind w:firstLine="420"/>
        <w:rPr>
          <w:color w:val="auto"/>
          <w:highlight w:val="none"/>
        </w:rPr>
      </w:pPr>
      <w:r>
        <w:rPr>
          <w:rFonts w:hint="eastAsia"/>
          <w:color w:val="auto"/>
          <w:highlight w:val="none"/>
        </w:rPr>
        <w:t>注册执业证书或职称证书名称及专业、级别：</w:t>
      </w:r>
      <w:r>
        <w:rPr>
          <w:rFonts w:hint="eastAsia"/>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479215FF">
      <w:pPr>
        <w:adjustRightInd w:val="0"/>
        <w:snapToGrid w:val="0"/>
        <w:ind w:firstLine="420"/>
        <w:rPr>
          <w:color w:val="auto"/>
          <w:highlight w:val="none"/>
        </w:rPr>
      </w:pPr>
      <w:r>
        <w:rPr>
          <w:rFonts w:hint="eastAsia"/>
          <w:color w:val="auto"/>
          <w:highlight w:val="none"/>
        </w:rPr>
        <w:t>注册证书编号：</w:t>
      </w:r>
      <w:r>
        <w:rPr>
          <w:rFonts w:hint="eastAsia"/>
          <w:color w:val="auto"/>
          <w:highlight w:val="none"/>
          <w:u w:val="single"/>
        </w:rPr>
        <w:t xml:space="preserve">         </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2EB6E371">
      <w:pPr>
        <w:adjustRightInd w:val="0"/>
        <w:snapToGrid w:val="0"/>
        <w:ind w:firstLine="482" w:firstLineChars="200"/>
        <w:rPr>
          <w:b/>
          <w:color w:val="auto"/>
          <w:highlight w:val="none"/>
        </w:rPr>
      </w:pPr>
      <w:r>
        <w:rPr>
          <w:rFonts w:hint="eastAsia"/>
          <w:b/>
          <w:color w:val="auto"/>
          <w:highlight w:val="none"/>
        </w:rPr>
        <w:t>八、承包人安全负责人</w:t>
      </w:r>
      <w:bookmarkEnd w:id="8"/>
    </w:p>
    <w:p w14:paraId="2C9E342B">
      <w:pPr>
        <w:adjustRightInd w:val="0"/>
        <w:snapToGrid w:val="0"/>
        <w:ind w:firstLine="420"/>
        <w:rPr>
          <w:color w:val="auto"/>
          <w:highlight w:val="none"/>
        </w:rPr>
      </w:pPr>
      <w:bookmarkStart w:id="9" w:name="_Toc427596704"/>
      <w:r>
        <w:rPr>
          <w:rFonts w:hint="eastAsia"/>
          <w:color w:val="auto"/>
          <w:highlight w:val="none"/>
        </w:rPr>
        <w:t>姓名：</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5C784AF7">
      <w:pPr>
        <w:adjustRightInd w:val="0"/>
        <w:snapToGrid w:val="0"/>
        <w:ind w:firstLine="420"/>
        <w:rPr>
          <w:color w:val="auto"/>
          <w:highlight w:val="none"/>
        </w:rPr>
      </w:pPr>
      <w:r>
        <w:rPr>
          <w:rFonts w:hint="eastAsia"/>
          <w:color w:val="auto"/>
          <w:highlight w:val="none"/>
        </w:rPr>
        <w:t>联系电话：</w:t>
      </w:r>
      <w:r>
        <w:rPr>
          <w:rFonts w:hint="eastAsia"/>
          <w:color w:val="auto"/>
          <w:highlight w:val="none"/>
          <w:u w:val="single"/>
        </w:rPr>
        <w:t xml:space="preserve">    </w:t>
      </w:r>
      <w:r>
        <w:rPr>
          <w:rFonts w:hint="eastAsia" w:ascii="宋体" w:hAnsi="宋体" w:cs="Times New Roman"/>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74EEE421">
      <w:pPr>
        <w:adjustRightInd w:val="0"/>
        <w:snapToGrid w:val="0"/>
        <w:ind w:firstLine="420"/>
        <w:rPr>
          <w:color w:val="auto"/>
          <w:highlight w:val="none"/>
        </w:rPr>
      </w:pPr>
      <w:r>
        <w:rPr>
          <w:rFonts w:hint="eastAsia"/>
          <w:color w:val="auto"/>
          <w:highlight w:val="none"/>
        </w:rPr>
        <w:t>身份证号：</w:t>
      </w:r>
      <w:r>
        <w:rPr>
          <w:rFonts w:hint="eastAsia"/>
          <w:color w:val="auto"/>
          <w:highlight w:val="none"/>
          <w:u w:val="single"/>
        </w:rPr>
        <w:t xml:space="preserve"> </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1D7CFBF">
      <w:pPr>
        <w:adjustRightInd w:val="0"/>
        <w:snapToGrid w:val="0"/>
        <w:ind w:firstLine="420"/>
        <w:rPr>
          <w:color w:val="auto"/>
          <w:highlight w:val="none"/>
        </w:rPr>
      </w:pPr>
      <w:r>
        <w:rPr>
          <w:rFonts w:hint="eastAsia"/>
          <w:color w:val="auto"/>
          <w:highlight w:val="none"/>
        </w:rPr>
        <w:t>单位职务、职称</w:t>
      </w:r>
      <w:r>
        <w:rPr>
          <w:rFonts w:hint="eastAsia"/>
          <w:color w:val="auto"/>
          <w:highlight w:val="none"/>
          <w:lang w:eastAsia="zh-CN"/>
        </w:rPr>
        <w:t>：</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55341C90">
      <w:pPr>
        <w:adjustRightInd w:val="0"/>
        <w:snapToGrid w:val="0"/>
        <w:ind w:firstLine="420"/>
        <w:rPr>
          <w:color w:val="auto"/>
          <w:highlight w:val="none"/>
        </w:rPr>
      </w:pPr>
      <w:r>
        <w:rPr>
          <w:rFonts w:hint="eastAsia"/>
          <w:color w:val="auto"/>
          <w:highlight w:val="none"/>
        </w:rPr>
        <w:t>安全管理</w:t>
      </w:r>
      <w:r>
        <w:rPr>
          <w:rFonts w:hint="eastAsia"/>
          <w:bCs/>
          <w:color w:val="auto"/>
          <w:highlight w:val="none"/>
        </w:rPr>
        <w:t>人</w:t>
      </w:r>
      <w:r>
        <w:rPr>
          <w:rFonts w:hint="eastAsia"/>
          <w:color w:val="auto"/>
          <w:highlight w:val="none"/>
        </w:rPr>
        <w:t>员资格证书编号：</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07565ECE">
      <w:pPr>
        <w:ind w:firstLine="482" w:firstLineChars="200"/>
        <w:rPr>
          <w:b/>
          <w:color w:val="auto"/>
          <w:highlight w:val="none"/>
        </w:rPr>
      </w:pPr>
      <w:r>
        <w:rPr>
          <w:rFonts w:hint="eastAsia"/>
          <w:b/>
          <w:color w:val="auto"/>
          <w:highlight w:val="none"/>
        </w:rPr>
        <w:t>九、承包人</w:t>
      </w:r>
      <w:r>
        <w:rPr>
          <w:rFonts w:hint="eastAsia"/>
          <w:b/>
          <w:color w:val="auto"/>
          <w:highlight w:val="none"/>
          <w:lang w:val="en-US" w:eastAsia="zh-CN"/>
        </w:rPr>
        <w:t>施工</w:t>
      </w:r>
      <w:r>
        <w:rPr>
          <w:rFonts w:hint="eastAsia"/>
          <w:b/>
          <w:color w:val="auto"/>
          <w:highlight w:val="none"/>
        </w:rPr>
        <w:t>负责人</w:t>
      </w:r>
    </w:p>
    <w:p w14:paraId="3ACE92EB">
      <w:pPr>
        <w:adjustRightInd w:val="0"/>
        <w:snapToGrid w:val="0"/>
        <w:ind w:firstLine="420"/>
        <w:rPr>
          <w:rFonts w:hint="eastAsia"/>
          <w:color w:val="auto"/>
          <w:highlight w:val="none"/>
        </w:rPr>
      </w:pPr>
      <w:r>
        <w:rPr>
          <w:rFonts w:hint="eastAsia"/>
          <w:color w:val="auto"/>
          <w:highlight w:val="none"/>
        </w:rPr>
        <w:t>姓名：</w:t>
      </w:r>
      <w:r>
        <w:rPr>
          <w:rFonts w:hint="eastAsia"/>
          <w:color w:val="auto"/>
          <w:highlight w:val="none"/>
          <w:u w:val="single"/>
        </w:rPr>
        <w:t xml:space="preserve">   </w:t>
      </w:r>
      <w:r>
        <w:rPr>
          <w:rFonts w:hint="eastAsia" w:ascii="宋体" w:hAnsi="宋体"/>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955F3FF">
      <w:pPr>
        <w:pStyle w:val="4"/>
        <w:ind w:left="0" w:leftChars="0" w:firstLine="480" w:firstLineChars="200"/>
        <w:rPr>
          <w:color w:val="auto"/>
          <w:highlight w:val="none"/>
        </w:rPr>
      </w:pPr>
      <w:r>
        <w:rPr>
          <w:rFonts w:hint="eastAsia" w:ascii="Times New Roman" w:hAnsi="Times New Roman" w:eastAsia="宋体" w:cs="Times New Roman"/>
          <w:color w:val="auto"/>
          <w:kern w:val="2"/>
          <w:sz w:val="24"/>
          <w:szCs w:val="24"/>
          <w:highlight w:val="none"/>
          <w:lang w:val="en-US" w:eastAsia="zh-CN" w:bidi="ar-SA"/>
        </w:rPr>
        <w:t>联系电话：</w:t>
      </w:r>
      <w:r>
        <w:rPr>
          <w:rFonts w:hint="eastAsia" w:ascii="Times New Roman" w:hAnsi="Times New Roman" w:eastAsia="宋体" w:cs="Times New Roman"/>
          <w:color w:val="auto"/>
          <w:kern w:val="2"/>
          <w:sz w:val="24"/>
          <w:szCs w:val="24"/>
          <w:highlight w:val="none"/>
          <w:u w:val="single"/>
          <w:lang w:val="en-US" w:eastAsia="zh-CN" w:bidi="ar-SA"/>
        </w:rPr>
        <w:t xml:space="preserve">  </w:t>
      </w:r>
      <w:r>
        <w:rPr>
          <w:rFonts w:hint="eastAsia" w:cs="Times New Roman"/>
          <w:color w:val="auto"/>
          <w:kern w:val="2"/>
          <w:sz w:val="24"/>
          <w:szCs w:val="24"/>
          <w:highlight w:val="none"/>
          <w:u w:val="single"/>
          <w:lang w:val="en-US" w:eastAsia="zh-CN" w:bidi="ar-SA"/>
        </w:rPr>
        <w:t xml:space="preserve">   </w:t>
      </w:r>
      <w:r>
        <w:rPr>
          <w:rFonts w:hint="eastAsia" w:ascii="Times New Roman" w:hAnsi="Times New Roman" w:eastAsia="宋体" w:cs="Times New Roman"/>
          <w:color w:val="auto"/>
          <w:kern w:val="2"/>
          <w:sz w:val="24"/>
          <w:szCs w:val="24"/>
          <w:highlight w:val="none"/>
          <w:u w:val="single"/>
          <w:lang w:val="en-US" w:eastAsia="zh-CN" w:bidi="ar-SA"/>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7BD36A06">
      <w:pPr>
        <w:adjustRightInd w:val="0"/>
        <w:snapToGrid w:val="0"/>
        <w:ind w:firstLine="420"/>
        <w:rPr>
          <w:color w:val="auto"/>
          <w:highlight w:val="none"/>
        </w:rPr>
      </w:pPr>
      <w:r>
        <w:rPr>
          <w:rFonts w:hint="eastAsia"/>
          <w:color w:val="auto"/>
          <w:highlight w:val="none"/>
        </w:rPr>
        <w:t>身份证号：</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5E16CE1D">
      <w:pPr>
        <w:adjustRightInd w:val="0"/>
        <w:snapToGrid w:val="0"/>
        <w:ind w:firstLine="420"/>
        <w:rPr>
          <w:color w:val="auto"/>
          <w:highlight w:val="none"/>
        </w:rPr>
      </w:pPr>
      <w:r>
        <w:rPr>
          <w:rFonts w:hint="eastAsia"/>
          <w:color w:val="auto"/>
          <w:highlight w:val="none"/>
        </w:rPr>
        <w:t>单位职务、职称：</w:t>
      </w:r>
      <w:r>
        <w:rPr>
          <w:rFonts w:hint="eastAsia"/>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color w:val="auto"/>
          <w:highlight w:val="none"/>
        </w:rPr>
        <w:t>；</w:t>
      </w:r>
    </w:p>
    <w:p w14:paraId="680E5103">
      <w:pPr>
        <w:adjustRightInd w:val="0"/>
        <w:snapToGrid w:val="0"/>
        <w:ind w:firstLine="420"/>
        <w:rPr>
          <w:color w:val="auto"/>
          <w:highlight w:val="none"/>
        </w:rPr>
      </w:pPr>
      <w:r>
        <w:rPr>
          <w:rFonts w:hint="eastAsia"/>
          <w:color w:val="auto"/>
          <w:highlight w:val="none"/>
        </w:rPr>
        <w:t>安全管理</w:t>
      </w:r>
      <w:r>
        <w:rPr>
          <w:rFonts w:hint="eastAsia"/>
          <w:bCs/>
          <w:color w:val="auto"/>
          <w:highlight w:val="none"/>
        </w:rPr>
        <w:t>人</w:t>
      </w:r>
      <w:r>
        <w:rPr>
          <w:rFonts w:hint="eastAsia"/>
          <w:color w:val="auto"/>
          <w:highlight w:val="none"/>
        </w:rPr>
        <w:t>员资格证书编号：</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22EEA4C1">
      <w:pPr>
        <w:adjustRightInd w:val="0"/>
        <w:snapToGrid w:val="0"/>
        <w:ind w:firstLine="482" w:firstLineChars="200"/>
        <w:rPr>
          <w:b/>
          <w:color w:val="auto"/>
          <w:highlight w:val="none"/>
        </w:rPr>
      </w:pPr>
      <w:r>
        <w:rPr>
          <w:rFonts w:hint="eastAsia"/>
          <w:b/>
          <w:color w:val="auto"/>
          <w:highlight w:val="none"/>
        </w:rPr>
        <w:t>十、承诺</w:t>
      </w:r>
      <w:bookmarkEnd w:id="9"/>
    </w:p>
    <w:p w14:paraId="2134FE5F">
      <w:pPr>
        <w:adjustRightInd w:val="0"/>
        <w:snapToGrid w:val="0"/>
        <w:ind w:firstLine="480" w:firstLineChars="200"/>
        <w:rPr>
          <w:bCs/>
          <w:color w:val="auto"/>
          <w:highlight w:val="none"/>
        </w:rPr>
      </w:pPr>
      <w:bookmarkStart w:id="10" w:name="_Hlk528143113"/>
      <w:bookmarkStart w:id="11" w:name="_Toc427596705"/>
      <w:r>
        <w:rPr>
          <w:rFonts w:hint="eastAsia"/>
          <w:bCs/>
          <w:color w:val="auto"/>
          <w:highlight w:val="none"/>
        </w:rPr>
        <w:t>1.发包人承诺按照法律规定履行项目审批手续、筹集工程建设资金并按照合同约定的期限和方式支付合同价款。</w:t>
      </w:r>
    </w:p>
    <w:p w14:paraId="707C93C9">
      <w:pPr>
        <w:adjustRightInd w:val="0"/>
        <w:snapToGrid w:val="0"/>
        <w:ind w:firstLine="480" w:firstLineChars="200"/>
        <w:rPr>
          <w:bCs/>
          <w:color w:val="auto"/>
          <w:highlight w:val="none"/>
        </w:rPr>
      </w:pPr>
      <w:r>
        <w:rPr>
          <w:rFonts w:hint="eastAsia"/>
          <w:bCs/>
          <w:color w:val="auto"/>
          <w:highlight w:val="none"/>
        </w:rPr>
        <w:t>2.承包人承诺认真贯彻质量、健康、安全、环境保护管理体系，严格遵守《中国石油化工集团有限公司HSE禁令（安全生产禁令、生态环境保护禁令）》：</w:t>
      </w:r>
    </w:p>
    <w:p w14:paraId="1B612036">
      <w:pPr>
        <w:adjustRightInd w:val="0"/>
        <w:snapToGrid w:val="0"/>
        <w:ind w:firstLine="480" w:firstLineChars="200"/>
        <w:rPr>
          <w:bCs/>
          <w:color w:val="auto"/>
          <w:highlight w:val="none"/>
        </w:rPr>
      </w:pPr>
      <w:r>
        <w:rPr>
          <w:rFonts w:hint="eastAsia"/>
          <w:bCs/>
          <w:color w:val="auto"/>
          <w:highlight w:val="none"/>
        </w:rPr>
        <w:t>安全生产禁令</w:t>
      </w:r>
    </w:p>
    <w:p w14:paraId="2EAD3A8A">
      <w:pPr>
        <w:adjustRightInd w:val="0"/>
        <w:snapToGrid w:val="0"/>
        <w:ind w:firstLine="480" w:firstLineChars="200"/>
        <w:rPr>
          <w:bCs/>
          <w:color w:val="auto"/>
          <w:highlight w:val="none"/>
        </w:rPr>
      </w:pPr>
      <w:r>
        <w:rPr>
          <w:rFonts w:hint="eastAsia"/>
          <w:bCs/>
          <w:color w:val="auto"/>
          <w:highlight w:val="none"/>
        </w:rPr>
        <w:t>（1）严禁违反操作规程擅自操作。</w:t>
      </w:r>
    </w:p>
    <w:p w14:paraId="17A9EF3A">
      <w:pPr>
        <w:adjustRightInd w:val="0"/>
        <w:snapToGrid w:val="0"/>
        <w:ind w:firstLine="480" w:firstLineChars="200"/>
        <w:rPr>
          <w:bCs/>
          <w:color w:val="auto"/>
          <w:highlight w:val="none"/>
        </w:rPr>
      </w:pPr>
      <w:r>
        <w:rPr>
          <w:rFonts w:hint="eastAsia"/>
          <w:bCs/>
          <w:color w:val="auto"/>
          <w:highlight w:val="none"/>
        </w:rPr>
        <w:t>（2）严禁未到现场安全确认签批作业。</w:t>
      </w:r>
    </w:p>
    <w:p w14:paraId="30E42A71">
      <w:pPr>
        <w:adjustRightInd w:val="0"/>
        <w:snapToGrid w:val="0"/>
        <w:ind w:firstLine="480" w:firstLineChars="200"/>
        <w:rPr>
          <w:bCs/>
          <w:color w:val="auto"/>
          <w:highlight w:val="none"/>
        </w:rPr>
      </w:pPr>
      <w:r>
        <w:rPr>
          <w:rFonts w:hint="eastAsia"/>
          <w:bCs/>
          <w:color w:val="auto"/>
          <w:highlight w:val="none"/>
        </w:rPr>
        <w:t>（3）严禁违章指挥他人冒险作业。</w:t>
      </w:r>
    </w:p>
    <w:p w14:paraId="41866D9A">
      <w:pPr>
        <w:adjustRightInd w:val="0"/>
        <w:snapToGrid w:val="0"/>
        <w:ind w:firstLine="480" w:firstLineChars="200"/>
        <w:rPr>
          <w:bCs/>
          <w:color w:val="auto"/>
          <w:highlight w:val="none"/>
        </w:rPr>
      </w:pPr>
      <w:r>
        <w:rPr>
          <w:rFonts w:hint="eastAsia"/>
          <w:bCs/>
          <w:color w:val="auto"/>
          <w:highlight w:val="none"/>
        </w:rPr>
        <w:t>（4）严禁未经培训合格独立顶岗。</w:t>
      </w:r>
    </w:p>
    <w:p w14:paraId="33F648C4">
      <w:pPr>
        <w:adjustRightInd w:val="0"/>
        <w:snapToGrid w:val="0"/>
        <w:ind w:firstLine="480" w:firstLineChars="200"/>
        <w:rPr>
          <w:bCs/>
          <w:color w:val="auto"/>
          <w:highlight w:val="none"/>
        </w:rPr>
      </w:pPr>
      <w:r>
        <w:rPr>
          <w:rFonts w:hint="eastAsia"/>
          <w:bCs/>
          <w:color w:val="auto"/>
          <w:highlight w:val="none"/>
        </w:rPr>
        <w:t>（5）严禁违反程序实施变更。</w:t>
      </w:r>
    </w:p>
    <w:p w14:paraId="1E17CA46">
      <w:pPr>
        <w:adjustRightInd w:val="0"/>
        <w:snapToGrid w:val="0"/>
        <w:ind w:firstLine="480" w:firstLineChars="200"/>
        <w:rPr>
          <w:bCs/>
          <w:color w:val="auto"/>
          <w:highlight w:val="none"/>
        </w:rPr>
      </w:pPr>
      <w:r>
        <w:rPr>
          <w:rFonts w:hint="eastAsia"/>
          <w:bCs/>
          <w:color w:val="auto"/>
          <w:highlight w:val="none"/>
        </w:rPr>
        <w:t>生态环境保护禁令</w:t>
      </w:r>
    </w:p>
    <w:p w14:paraId="5114FA49">
      <w:pPr>
        <w:adjustRightInd w:val="0"/>
        <w:snapToGrid w:val="0"/>
        <w:ind w:firstLine="480" w:firstLineChars="200"/>
        <w:rPr>
          <w:bCs/>
          <w:color w:val="auto"/>
          <w:highlight w:val="none"/>
        </w:rPr>
      </w:pPr>
      <w:r>
        <w:rPr>
          <w:rFonts w:hint="eastAsia"/>
          <w:bCs/>
          <w:color w:val="auto"/>
          <w:highlight w:val="none"/>
        </w:rPr>
        <w:t>（1）严禁无证或不按证排污。</w:t>
      </w:r>
    </w:p>
    <w:p w14:paraId="1BDD76FD">
      <w:pPr>
        <w:adjustRightInd w:val="0"/>
        <w:snapToGrid w:val="0"/>
        <w:ind w:firstLine="480" w:firstLineChars="200"/>
        <w:rPr>
          <w:bCs/>
          <w:color w:val="auto"/>
          <w:highlight w:val="none"/>
        </w:rPr>
      </w:pPr>
      <w:r>
        <w:rPr>
          <w:rFonts w:hint="eastAsia"/>
          <w:bCs/>
          <w:color w:val="auto"/>
          <w:highlight w:val="none"/>
        </w:rPr>
        <w:t>（2）严禁擅自停用环保设施。</w:t>
      </w:r>
    </w:p>
    <w:p w14:paraId="15DDCB63">
      <w:pPr>
        <w:adjustRightInd w:val="0"/>
        <w:snapToGrid w:val="0"/>
        <w:ind w:firstLine="480" w:firstLineChars="200"/>
        <w:rPr>
          <w:bCs/>
          <w:color w:val="auto"/>
          <w:highlight w:val="none"/>
        </w:rPr>
      </w:pPr>
      <w:r>
        <w:rPr>
          <w:rFonts w:hint="eastAsia"/>
          <w:bCs/>
          <w:color w:val="auto"/>
          <w:highlight w:val="none"/>
        </w:rPr>
        <w:t>（3）严禁违规处置危险废物。</w:t>
      </w:r>
    </w:p>
    <w:p w14:paraId="488DCAF9">
      <w:pPr>
        <w:adjustRightInd w:val="0"/>
        <w:snapToGrid w:val="0"/>
        <w:ind w:firstLine="480" w:firstLineChars="200"/>
        <w:rPr>
          <w:bCs/>
          <w:color w:val="auto"/>
          <w:highlight w:val="none"/>
        </w:rPr>
      </w:pPr>
      <w:r>
        <w:rPr>
          <w:rFonts w:hint="eastAsia"/>
          <w:bCs/>
          <w:color w:val="auto"/>
          <w:highlight w:val="none"/>
        </w:rPr>
        <w:t>（4）严禁违反环保“三同时”。</w:t>
      </w:r>
    </w:p>
    <w:p w14:paraId="61658EE3">
      <w:pPr>
        <w:adjustRightInd w:val="0"/>
        <w:snapToGrid w:val="0"/>
        <w:ind w:firstLine="480" w:firstLineChars="200"/>
        <w:rPr>
          <w:bCs/>
          <w:color w:val="auto"/>
          <w:highlight w:val="none"/>
        </w:rPr>
      </w:pPr>
      <w:r>
        <w:rPr>
          <w:rFonts w:hint="eastAsia"/>
          <w:bCs/>
          <w:color w:val="auto"/>
          <w:highlight w:val="none"/>
        </w:rPr>
        <w:t>（5）严禁环境监测数据造假。</w:t>
      </w:r>
    </w:p>
    <w:p w14:paraId="464F584F">
      <w:pPr>
        <w:adjustRightInd w:val="0"/>
        <w:snapToGrid w:val="0"/>
        <w:ind w:firstLine="480" w:firstLineChars="200"/>
        <w:rPr>
          <w:bCs/>
          <w:color w:val="auto"/>
          <w:highlight w:val="none"/>
        </w:rPr>
      </w:pPr>
      <w:r>
        <w:rPr>
          <w:bCs/>
          <w:color w:val="auto"/>
          <w:highlight w:val="none"/>
        </w:rPr>
        <w:t>3</w:t>
      </w:r>
      <w:r>
        <w:rPr>
          <w:rFonts w:hint="eastAsia"/>
          <w:bCs/>
          <w:color w:val="auto"/>
          <w:highlight w:val="none"/>
        </w:rPr>
        <w:t>.承包人承诺按照法律规定及合同约定进行施工，确保工程施工质量，承担工程缺陷修复责任；全权负责并确保工程施工、运行安全；严格按照《中国石化建设工程分包管理办法》开展分包工作，</w:t>
      </w:r>
      <w:r>
        <w:rPr>
          <w:bCs/>
          <w:color w:val="auto"/>
          <w:highlight w:val="none"/>
        </w:rPr>
        <w:t>不违法</w:t>
      </w:r>
      <w:r>
        <w:rPr>
          <w:rFonts w:hint="eastAsia"/>
          <w:bCs/>
          <w:color w:val="auto"/>
          <w:highlight w:val="none"/>
        </w:rPr>
        <w:t>违规</w:t>
      </w:r>
      <w:r>
        <w:rPr>
          <w:bCs/>
          <w:color w:val="auto"/>
          <w:highlight w:val="none"/>
        </w:rPr>
        <w:t>进行转包、分包</w:t>
      </w:r>
      <w:r>
        <w:rPr>
          <w:rFonts w:hint="eastAsia"/>
          <w:bCs/>
          <w:color w:val="auto"/>
          <w:highlight w:val="none"/>
        </w:rPr>
        <w:t>。</w:t>
      </w:r>
    </w:p>
    <w:p w14:paraId="6741AF34">
      <w:pPr>
        <w:adjustRightInd w:val="0"/>
        <w:snapToGrid w:val="0"/>
        <w:ind w:firstLine="480" w:firstLineChars="200"/>
        <w:rPr>
          <w:bCs/>
          <w:color w:val="auto"/>
          <w:highlight w:val="none"/>
        </w:rPr>
      </w:pPr>
      <w:r>
        <w:rPr>
          <w:rFonts w:hint="eastAsia"/>
          <w:bCs/>
          <w:color w:val="auto"/>
          <w:highlight w:val="none"/>
        </w:rPr>
        <w:t>4.承包人承诺在合同约定的期限内完成并移交全部合同工程。</w:t>
      </w:r>
    </w:p>
    <w:p w14:paraId="6EB8948D">
      <w:pPr>
        <w:adjustRightInd w:val="0"/>
        <w:snapToGrid w:val="0"/>
        <w:ind w:firstLine="480" w:firstLineChars="200"/>
        <w:rPr>
          <w:bCs/>
          <w:color w:val="auto"/>
          <w:highlight w:val="none"/>
        </w:rPr>
      </w:pPr>
      <w:r>
        <w:rPr>
          <w:rFonts w:hint="eastAsia"/>
          <w:bCs/>
          <w:color w:val="auto"/>
          <w:highlight w:val="none"/>
        </w:rPr>
        <w:t>5.双方承诺安全生产、文明施工费足额计取、专款专用。</w:t>
      </w:r>
    </w:p>
    <w:p w14:paraId="3C69560A">
      <w:pPr>
        <w:adjustRightInd w:val="0"/>
        <w:snapToGrid w:val="0"/>
        <w:ind w:firstLine="480" w:firstLineChars="200"/>
        <w:rPr>
          <w:bCs/>
          <w:color w:val="auto"/>
          <w:highlight w:val="none"/>
        </w:rPr>
      </w:pPr>
      <w:r>
        <w:rPr>
          <w:rFonts w:hint="eastAsia"/>
          <w:bCs/>
          <w:color w:val="auto"/>
          <w:highlight w:val="none"/>
        </w:rPr>
        <w:t>6.发包人和承包人双方理解并承诺不再就同一工程另行签订与本合同实质性内容相背离的协议。</w:t>
      </w:r>
    </w:p>
    <w:bookmarkEnd w:id="10"/>
    <w:p w14:paraId="447FEB15">
      <w:pPr>
        <w:adjustRightInd w:val="0"/>
        <w:snapToGrid w:val="0"/>
        <w:ind w:firstLine="482" w:firstLineChars="200"/>
        <w:rPr>
          <w:b/>
          <w:color w:val="auto"/>
          <w:highlight w:val="none"/>
        </w:rPr>
      </w:pPr>
      <w:r>
        <w:rPr>
          <w:rFonts w:hint="eastAsia"/>
          <w:b/>
          <w:color w:val="auto"/>
          <w:highlight w:val="none"/>
        </w:rPr>
        <w:t>十一、合同文件构成</w:t>
      </w:r>
      <w:bookmarkEnd w:id="11"/>
    </w:p>
    <w:p w14:paraId="15C9D96C">
      <w:pPr>
        <w:adjustRightInd w:val="0"/>
        <w:snapToGrid w:val="0"/>
        <w:ind w:firstLine="480" w:firstLineChars="200"/>
        <w:rPr>
          <w:color w:val="auto"/>
          <w:highlight w:val="none"/>
        </w:rPr>
      </w:pPr>
      <w:r>
        <w:rPr>
          <w:rFonts w:hint="eastAsia"/>
          <w:color w:val="auto"/>
          <w:highlight w:val="none"/>
        </w:rPr>
        <w:t>本协议书与下列文件一起构成合同文件：</w:t>
      </w:r>
    </w:p>
    <w:p w14:paraId="1E59DE70">
      <w:pPr>
        <w:adjustRightInd w:val="0"/>
        <w:snapToGrid w:val="0"/>
        <w:ind w:firstLine="480" w:firstLineChars="200"/>
        <w:rPr>
          <w:color w:val="auto"/>
          <w:highlight w:val="none"/>
        </w:rPr>
      </w:pPr>
      <w:r>
        <w:rPr>
          <w:rFonts w:hint="eastAsia"/>
          <w:color w:val="auto"/>
          <w:highlight w:val="none"/>
        </w:rPr>
        <w:t>1.中标通知书；</w:t>
      </w:r>
    </w:p>
    <w:p w14:paraId="4DC1D20E">
      <w:pPr>
        <w:adjustRightInd w:val="0"/>
        <w:snapToGrid w:val="0"/>
        <w:ind w:firstLine="480" w:firstLineChars="200"/>
        <w:rPr>
          <w:color w:val="auto"/>
          <w:highlight w:val="none"/>
        </w:rPr>
      </w:pPr>
      <w:r>
        <w:rPr>
          <w:rFonts w:hint="eastAsia"/>
          <w:color w:val="auto"/>
          <w:highlight w:val="none"/>
        </w:rPr>
        <w:t>2.投标函及附录；</w:t>
      </w:r>
    </w:p>
    <w:p w14:paraId="460AB06F">
      <w:pPr>
        <w:adjustRightInd w:val="0"/>
        <w:snapToGrid w:val="0"/>
        <w:ind w:firstLine="480" w:firstLineChars="200"/>
        <w:rPr>
          <w:color w:val="auto"/>
          <w:highlight w:val="none"/>
        </w:rPr>
      </w:pPr>
      <w:r>
        <w:rPr>
          <w:rFonts w:hint="eastAsia"/>
          <w:color w:val="auto"/>
          <w:highlight w:val="none"/>
        </w:rPr>
        <w:t>3.专用合同条款；</w:t>
      </w:r>
    </w:p>
    <w:p w14:paraId="391FC0E9">
      <w:pPr>
        <w:adjustRightInd w:val="0"/>
        <w:snapToGrid w:val="0"/>
        <w:ind w:firstLine="480" w:firstLineChars="200"/>
        <w:rPr>
          <w:color w:val="auto"/>
          <w:highlight w:val="none"/>
        </w:rPr>
      </w:pPr>
      <w:r>
        <w:rPr>
          <w:rFonts w:hint="eastAsia"/>
          <w:color w:val="auto"/>
          <w:highlight w:val="none"/>
        </w:rPr>
        <w:t>4.通用合同条款；</w:t>
      </w:r>
    </w:p>
    <w:p w14:paraId="233C02D6">
      <w:pPr>
        <w:adjustRightInd w:val="0"/>
        <w:snapToGrid w:val="0"/>
        <w:ind w:firstLine="480" w:firstLineChars="200"/>
        <w:rPr>
          <w:color w:val="auto"/>
          <w:highlight w:val="none"/>
        </w:rPr>
      </w:pPr>
      <w:r>
        <w:rPr>
          <w:rFonts w:hint="eastAsia"/>
          <w:color w:val="auto"/>
          <w:highlight w:val="none"/>
        </w:rPr>
        <w:t>5.技术</w:t>
      </w:r>
      <w:r>
        <w:rPr>
          <w:color w:val="auto"/>
          <w:highlight w:val="none"/>
        </w:rPr>
        <w:t>规格</w:t>
      </w:r>
      <w:r>
        <w:rPr>
          <w:rFonts w:hint="eastAsia"/>
          <w:color w:val="auto"/>
          <w:highlight w:val="none"/>
        </w:rPr>
        <w:t>及要求；</w:t>
      </w:r>
    </w:p>
    <w:p w14:paraId="44A0400E">
      <w:pPr>
        <w:adjustRightInd w:val="0"/>
        <w:snapToGrid w:val="0"/>
        <w:ind w:firstLine="480" w:firstLineChars="200"/>
        <w:rPr>
          <w:color w:val="auto"/>
          <w:highlight w:val="none"/>
        </w:rPr>
      </w:pPr>
      <w:r>
        <w:rPr>
          <w:rFonts w:hint="eastAsia"/>
          <w:color w:val="auto"/>
          <w:highlight w:val="none"/>
        </w:rPr>
        <w:t>6.合同附件；</w:t>
      </w:r>
    </w:p>
    <w:p w14:paraId="7EA4A9AB">
      <w:pPr>
        <w:adjustRightInd w:val="0"/>
        <w:snapToGrid w:val="0"/>
        <w:ind w:firstLine="480" w:firstLineChars="200"/>
        <w:rPr>
          <w:color w:val="auto"/>
          <w:highlight w:val="none"/>
        </w:rPr>
      </w:pPr>
      <w:r>
        <w:rPr>
          <w:rFonts w:hint="eastAsia"/>
          <w:color w:val="auto"/>
          <w:highlight w:val="none"/>
        </w:rPr>
        <w:t>7.招标文件；</w:t>
      </w:r>
    </w:p>
    <w:p w14:paraId="56F06B79">
      <w:pPr>
        <w:adjustRightInd w:val="0"/>
        <w:snapToGrid w:val="0"/>
        <w:ind w:firstLine="480" w:firstLineChars="200"/>
        <w:rPr>
          <w:color w:val="auto"/>
          <w:highlight w:val="none"/>
        </w:rPr>
      </w:pPr>
      <w:r>
        <w:rPr>
          <w:rFonts w:hint="eastAsia"/>
          <w:color w:val="auto"/>
          <w:highlight w:val="none"/>
        </w:rPr>
        <w:t>8.投标文件；</w:t>
      </w:r>
    </w:p>
    <w:p w14:paraId="766112C9">
      <w:pPr>
        <w:adjustRightInd w:val="0"/>
        <w:snapToGrid w:val="0"/>
        <w:ind w:firstLine="480" w:firstLineChars="200"/>
        <w:rPr>
          <w:color w:val="auto"/>
          <w:highlight w:val="none"/>
        </w:rPr>
      </w:pPr>
      <w:r>
        <w:rPr>
          <w:rFonts w:hint="eastAsia"/>
          <w:color w:val="auto"/>
          <w:highlight w:val="none"/>
        </w:rPr>
        <w:t>9.其他合同文件。</w:t>
      </w:r>
    </w:p>
    <w:p w14:paraId="4D17FFC1">
      <w:pPr>
        <w:autoSpaceDE w:val="0"/>
        <w:autoSpaceDN w:val="0"/>
        <w:adjustRightInd w:val="0"/>
        <w:snapToGrid w:val="0"/>
        <w:ind w:firstLine="480" w:firstLineChars="200"/>
        <w:jc w:val="left"/>
        <w:rPr>
          <w:color w:val="auto"/>
          <w:highlight w:val="none"/>
        </w:rPr>
      </w:pPr>
      <w:r>
        <w:rPr>
          <w:rFonts w:hint="eastAsia"/>
          <w:color w:val="auto"/>
          <w:highlight w:val="none"/>
        </w:rPr>
        <w:t>在招标投标、合同订立及履行过程中形成的与合同有关的文件均构成合同文件组成部分。</w:t>
      </w:r>
    </w:p>
    <w:p w14:paraId="0903F9C7">
      <w:pPr>
        <w:autoSpaceDE w:val="0"/>
        <w:autoSpaceDN w:val="0"/>
        <w:adjustRightInd w:val="0"/>
        <w:snapToGrid w:val="0"/>
        <w:ind w:firstLine="480" w:firstLineChars="200"/>
        <w:jc w:val="left"/>
        <w:rPr>
          <w:color w:val="auto"/>
          <w:highlight w:val="none"/>
        </w:rPr>
      </w:pPr>
      <w:r>
        <w:rPr>
          <w:rFonts w:hint="eastAsia"/>
          <w:color w:val="auto"/>
          <w:highlight w:val="none"/>
        </w:rPr>
        <w:t>上述各项合同文件包括合同当事人就该项合同文件所作出的补充和修改，属于同一类内容的文件，应以最新签署的为准。</w:t>
      </w:r>
    </w:p>
    <w:p w14:paraId="527938B6">
      <w:pPr>
        <w:adjustRightInd w:val="0"/>
        <w:snapToGrid w:val="0"/>
        <w:ind w:firstLine="480" w:firstLineChars="200"/>
        <w:rPr>
          <w:color w:val="auto"/>
          <w:highlight w:val="none"/>
        </w:rPr>
      </w:pPr>
      <w:r>
        <w:rPr>
          <w:rFonts w:hint="eastAsia"/>
          <w:color w:val="auto"/>
          <w:highlight w:val="none"/>
        </w:rPr>
        <w:t>十二、本协议书中有关词语定义与通用合同条款中的定义相同。</w:t>
      </w:r>
    </w:p>
    <w:p w14:paraId="784F0CA1">
      <w:pPr>
        <w:adjustRightInd w:val="0"/>
        <w:snapToGrid w:val="0"/>
        <w:ind w:firstLine="480" w:firstLineChars="200"/>
        <w:rPr>
          <w:color w:val="auto"/>
          <w:highlight w:val="none"/>
        </w:rPr>
      </w:pPr>
      <w:r>
        <w:rPr>
          <w:rFonts w:hint="eastAsia"/>
          <w:color w:val="auto"/>
          <w:highlight w:val="none"/>
        </w:rPr>
        <w:t>十三、本协议书连同其他合同文件一式</w:t>
      </w:r>
      <w:r>
        <w:rPr>
          <w:rFonts w:hint="eastAsia"/>
          <w:color w:val="auto"/>
          <w:highlight w:val="none"/>
          <w:u w:val="single"/>
        </w:rPr>
        <w:t xml:space="preserve"> </w:t>
      </w:r>
      <w:r>
        <w:rPr>
          <w:rFonts w:hint="eastAsia" w:cs="Times New Roman"/>
          <w:color w:val="auto"/>
          <w:sz w:val="21"/>
          <w:highlight w:val="none"/>
          <w:u w:val="single"/>
        </w:rPr>
        <w:t xml:space="preserve"> 五</w:t>
      </w:r>
      <w:r>
        <w:rPr>
          <w:rFonts w:hint="eastAsia"/>
          <w:color w:val="auto"/>
          <w:highlight w:val="none"/>
          <w:u w:val="single"/>
        </w:rPr>
        <w:t xml:space="preserve"> </w:t>
      </w:r>
      <w:r>
        <w:rPr>
          <w:rFonts w:hint="eastAsia"/>
          <w:color w:val="auto"/>
          <w:highlight w:val="none"/>
        </w:rPr>
        <w:t>份，发包人执</w:t>
      </w:r>
      <w:r>
        <w:rPr>
          <w:rFonts w:hint="eastAsia"/>
          <w:color w:val="auto"/>
          <w:highlight w:val="none"/>
          <w:u w:val="single"/>
        </w:rPr>
        <w:t xml:space="preserve"> </w:t>
      </w:r>
      <w:r>
        <w:rPr>
          <w:rFonts w:hint="eastAsia" w:cs="Times New Roman"/>
          <w:color w:val="auto"/>
          <w:sz w:val="21"/>
          <w:highlight w:val="none"/>
          <w:u w:val="single"/>
        </w:rPr>
        <w:t xml:space="preserve"> 三</w:t>
      </w:r>
      <w:r>
        <w:rPr>
          <w:rFonts w:hint="eastAsia"/>
          <w:color w:val="auto"/>
          <w:highlight w:val="none"/>
          <w:u w:val="single"/>
        </w:rPr>
        <w:t xml:space="preserve">  </w:t>
      </w:r>
      <w:r>
        <w:rPr>
          <w:rFonts w:hint="eastAsia"/>
          <w:color w:val="auto"/>
          <w:highlight w:val="none"/>
        </w:rPr>
        <w:t>份，承包人执</w:t>
      </w:r>
      <w:r>
        <w:rPr>
          <w:rFonts w:hint="eastAsia"/>
          <w:color w:val="auto"/>
          <w:highlight w:val="none"/>
          <w:u w:val="single"/>
        </w:rPr>
        <w:t xml:space="preserve"> </w:t>
      </w:r>
      <w:r>
        <w:rPr>
          <w:rFonts w:hint="eastAsia" w:cs="Times New Roman"/>
          <w:color w:val="auto"/>
          <w:sz w:val="21"/>
          <w:highlight w:val="none"/>
          <w:u w:val="single"/>
        </w:rPr>
        <w:t xml:space="preserve"> 二</w:t>
      </w:r>
      <w:r>
        <w:rPr>
          <w:rFonts w:hint="eastAsia"/>
          <w:color w:val="auto"/>
          <w:highlight w:val="none"/>
          <w:u w:val="single"/>
        </w:rPr>
        <w:t xml:space="preserve">  </w:t>
      </w:r>
      <w:r>
        <w:rPr>
          <w:rFonts w:hint="eastAsia"/>
          <w:color w:val="auto"/>
          <w:highlight w:val="none"/>
        </w:rPr>
        <w:t>份。</w:t>
      </w:r>
    </w:p>
    <w:p w14:paraId="5B4CA379">
      <w:pPr>
        <w:adjustRightInd w:val="0"/>
        <w:snapToGrid w:val="0"/>
        <w:ind w:firstLine="480" w:firstLineChars="200"/>
        <w:rPr>
          <w:color w:val="auto"/>
          <w:highlight w:val="none"/>
        </w:rPr>
      </w:pPr>
      <w:r>
        <w:rPr>
          <w:rFonts w:hint="eastAsia"/>
          <w:color w:val="auto"/>
          <w:highlight w:val="none"/>
        </w:rPr>
        <w:t>十四、合同未尽事宜，双方签订补充协议，但不得背离本合同的实质性内容。</w:t>
      </w:r>
    </w:p>
    <w:p w14:paraId="36753EE6">
      <w:pPr>
        <w:adjustRightInd w:val="0"/>
        <w:snapToGrid w:val="0"/>
        <w:ind w:firstLine="480" w:firstLineChars="200"/>
        <w:rPr>
          <w:color w:val="auto"/>
          <w:highlight w:val="none"/>
        </w:rPr>
      </w:pPr>
      <w:r>
        <w:rPr>
          <w:rFonts w:hint="eastAsia"/>
          <w:color w:val="auto"/>
          <w:highlight w:val="none"/>
        </w:rPr>
        <w:t>十五、合同生效</w:t>
      </w:r>
    </w:p>
    <w:p w14:paraId="181DADBB">
      <w:pPr>
        <w:adjustRightInd w:val="0"/>
        <w:snapToGrid w:val="0"/>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r>
        <w:rPr>
          <w:rFonts w:hint="eastAsia" w:cs="Times New Roman"/>
          <w:color w:val="auto"/>
          <w:sz w:val="21"/>
          <w:highlight w:val="none"/>
          <w:u w:val="single"/>
        </w:rPr>
        <w:t xml:space="preserve"> </w:t>
      </w:r>
      <w:r>
        <w:rPr>
          <w:rFonts w:hint="eastAsia" w:ascii="Times New Roman" w:hAnsi="Times New Roman" w:eastAsia="宋体" w:cs="Times New Roman"/>
          <w:color w:val="auto"/>
          <w:highlight w:val="none"/>
          <w:u w:val="single"/>
        </w:rPr>
        <w:t>广东省茂名市茂南区</w:t>
      </w:r>
      <w:r>
        <w:rPr>
          <w:rFonts w:hint="eastAsia"/>
          <w:color w:val="auto"/>
          <w:highlight w:val="none"/>
          <w:u w:val="single"/>
        </w:rPr>
        <w:t xml:space="preserve">    </w:t>
      </w:r>
      <w:r>
        <w:rPr>
          <w:rFonts w:hint="eastAsia"/>
          <w:color w:val="auto"/>
          <w:highlight w:val="none"/>
        </w:rPr>
        <w:t>。</w:t>
      </w:r>
    </w:p>
    <w:p w14:paraId="05F721C1">
      <w:pPr>
        <w:adjustRightInd w:val="0"/>
        <w:snapToGrid w:val="0"/>
        <w:ind w:firstLine="480" w:firstLineChars="200"/>
        <w:rPr>
          <w:color w:val="auto"/>
          <w:highlight w:val="none"/>
        </w:rPr>
      </w:pPr>
      <w:r>
        <w:rPr>
          <w:rFonts w:hint="eastAsia"/>
          <w:color w:val="auto"/>
          <w:highlight w:val="none"/>
        </w:rPr>
        <w:t>本合同双方签字并加盖合同专用章后生效。</w:t>
      </w:r>
    </w:p>
    <w:p w14:paraId="65E6334D">
      <w:pPr>
        <w:adjustRightInd w:val="0"/>
        <w:snapToGrid w:val="0"/>
        <w:ind w:firstLine="480" w:firstLineChars="200"/>
        <w:rPr>
          <w:rFonts w:ascii="Times New Roman" w:hAnsi="Times New Roman" w:cs="Times New Roman"/>
          <w:color w:val="auto"/>
          <w:kern w:val="2"/>
          <w:sz w:val="21"/>
          <w:highlight w:val="none"/>
        </w:rPr>
      </w:pPr>
      <w:r>
        <w:rPr>
          <w:rFonts w:hint="eastAsia"/>
          <w:bCs/>
          <w:color w:val="auto"/>
          <w:highlight w:val="none"/>
        </w:rPr>
        <w:t>双方明确授权其代理人代表双方在【中石化电子签约平台】进行注册，并通过CA证书进行签约。双方将妥善保管有关【中石化电子签约平台】的账户信息、密码以及CA证书。双方知晓且同意通过代理人密码登录账户后的所有操作视为双方的行为，双方承担由此产生的一切法律后果。双方的代理人包括在【中石化电子签约平台】完成认证并具有相应盖章、签字权限的管理员、盖章人或签名人。</w:t>
      </w:r>
      <w:r>
        <w:rPr>
          <w:bCs/>
          <w:color w:val="auto"/>
          <w:highlight w:val="none"/>
        </w:rPr>
        <w:br w:type="textWrapping"/>
      </w:r>
      <w:r>
        <w:rPr>
          <w:rFonts w:hint="eastAsia"/>
          <w:bCs/>
          <w:color w:val="auto"/>
          <w:highlight w:val="none"/>
        </w:rPr>
        <w:t xml:space="preserve">    </w:t>
      </w:r>
      <w:r>
        <w:rPr>
          <w:bCs/>
          <w:color w:val="auto"/>
          <w:highlight w:val="none"/>
        </w:rPr>
        <w:t xml:space="preserve"> </w:t>
      </w:r>
      <w:r>
        <w:rPr>
          <w:rFonts w:hint="eastAsia"/>
          <w:bCs/>
          <w:color w:val="auto"/>
          <w:highlight w:val="none"/>
        </w:rPr>
        <w:t>合同双方同意，本合同的签署将使用电子签名、电子合同。一方通过登陆电子签约平台，在相关电子合同通过CA证书进行电子签名的，视为一方有效签署合同。本合同在双方通过CA证书进行电子签名后生效。如各方的电子签名时间不一致的，以最后电子签名的时间为准。电子签名与在纸质合同上手写签名或者盖章具有同等的法律效力。</w:t>
      </w:r>
    </w:p>
    <w:p w14:paraId="5C69B7E3">
      <w:pPr>
        <w:adjustRightInd w:val="0"/>
        <w:snapToGrid w:val="0"/>
        <w:ind w:firstLine="480" w:firstLineChars="200"/>
        <w:rPr>
          <w:color w:val="auto"/>
          <w:highlight w:val="none"/>
        </w:rPr>
      </w:pPr>
      <w:r>
        <w:rPr>
          <w:rFonts w:hint="eastAsia"/>
          <w:color w:val="auto"/>
          <w:highlight w:val="none"/>
        </w:rPr>
        <w:br w:type="page"/>
      </w:r>
      <w:r>
        <w:rPr>
          <w:rFonts w:hint="eastAsia"/>
          <w:color w:val="auto"/>
          <w:highlight w:val="none"/>
        </w:rPr>
        <w:t>（签字盖章页）</w:t>
      </w:r>
    </w:p>
    <w:p w14:paraId="0C629FA5">
      <w:pPr>
        <w:pStyle w:val="11"/>
        <w:snapToGrid w:val="0"/>
        <w:rPr>
          <w:rFonts w:ascii="宋体"/>
          <w:color w:val="auto"/>
          <w:kern w:val="0"/>
          <w:sz w:val="24"/>
          <w:szCs w:val="24"/>
          <w:highlight w:val="none"/>
        </w:rPr>
      </w:pPr>
    </w:p>
    <w:tbl>
      <w:tblPr>
        <w:tblStyle w:val="8"/>
        <w:tblW w:w="9131" w:type="dxa"/>
        <w:tblInd w:w="0" w:type="dxa"/>
        <w:tblLayout w:type="fixed"/>
        <w:tblCellMar>
          <w:top w:w="0" w:type="dxa"/>
          <w:left w:w="108" w:type="dxa"/>
          <w:bottom w:w="0" w:type="dxa"/>
          <w:right w:w="108" w:type="dxa"/>
        </w:tblCellMar>
      </w:tblPr>
      <w:tblGrid>
        <w:gridCol w:w="4622"/>
        <w:gridCol w:w="291"/>
        <w:gridCol w:w="4218"/>
      </w:tblGrid>
      <w:tr w14:paraId="2EB9A94A">
        <w:tblPrEx>
          <w:tblCellMar>
            <w:top w:w="0" w:type="dxa"/>
            <w:left w:w="108" w:type="dxa"/>
            <w:bottom w:w="0" w:type="dxa"/>
            <w:right w:w="108" w:type="dxa"/>
          </w:tblCellMar>
        </w:tblPrEx>
        <w:trPr>
          <w:trHeight w:val="340" w:hRule="atLeast"/>
        </w:trPr>
        <w:tc>
          <w:tcPr>
            <w:tcW w:w="4622" w:type="dxa"/>
            <w:noWrap w:val="0"/>
            <w:vAlign w:val="top"/>
          </w:tcPr>
          <w:p w14:paraId="70C88047">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发包人（盖章）：</w:t>
            </w:r>
          </w:p>
        </w:tc>
        <w:tc>
          <w:tcPr>
            <w:tcW w:w="291" w:type="dxa"/>
            <w:noWrap w:val="0"/>
            <w:vAlign w:val="top"/>
          </w:tcPr>
          <w:p w14:paraId="34C0DBB1">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2C1735F8">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承包人（盖章）：</w:t>
            </w:r>
          </w:p>
        </w:tc>
      </w:tr>
      <w:tr w14:paraId="5C4142D0">
        <w:tblPrEx>
          <w:tblCellMar>
            <w:top w:w="0" w:type="dxa"/>
            <w:left w:w="108" w:type="dxa"/>
            <w:bottom w:w="0" w:type="dxa"/>
            <w:right w:w="108" w:type="dxa"/>
          </w:tblCellMar>
        </w:tblPrEx>
        <w:trPr>
          <w:trHeight w:val="340" w:hRule="atLeast"/>
        </w:trPr>
        <w:tc>
          <w:tcPr>
            <w:tcW w:w="4622" w:type="dxa"/>
            <w:noWrap w:val="0"/>
            <w:vAlign w:val="top"/>
          </w:tcPr>
          <w:p w14:paraId="751BCEC3">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291" w:type="dxa"/>
            <w:noWrap w:val="0"/>
            <w:vAlign w:val="top"/>
          </w:tcPr>
          <w:p w14:paraId="6646004A">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77812981">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r>
      <w:tr w14:paraId="547CE41A">
        <w:tblPrEx>
          <w:tblCellMar>
            <w:top w:w="0" w:type="dxa"/>
            <w:left w:w="108" w:type="dxa"/>
            <w:bottom w:w="0" w:type="dxa"/>
            <w:right w:w="108" w:type="dxa"/>
          </w:tblCellMar>
        </w:tblPrEx>
        <w:trPr>
          <w:trHeight w:val="340" w:hRule="atLeast"/>
        </w:trPr>
        <w:tc>
          <w:tcPr>
            <w:tcW w:w="4622" w:type="dxa"/>
            <w:noWrap w:val="0"/>
            <w:vAlign w:val="top"/>
          </w:tcPr>
          <w:p w14:paraId="2192DFBA">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法定代表人或其</w:t>
            </w:r>
          </w:p>
        </w:tc>
        <w:tc>
          <w:tcPr>
            <w:tcW w:w="291" w:type="dxa"/>
            <w:noWrap w:val="0"/>
            <w:vAlign w:val="top"/>
          </w:tcPr>
          <w:p w14:paraId="3C6C6B5E">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055A216D">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法定代表人或其</w:t>
            </w:r>
          </w:p>
        </w:tc>
      </w:tr>
      <w:tr w14:paraId="0DD1C5F7">
        <w:tblPrEx>
          <w:tblCellMar>
            <w:top w:w="0" w:type="dxa"/>
            <w:left w:w="108" w:type="dxa"/>
            <w:bottom w:w="0" w:type="dxa"/>
            <w:right w:w="108" w:type="dxa"/>
          </w:tblCellMar>
        </w:tblPrEx>
        <w:trPr>
          <w:trHeight w:val="340" w:hRule="atLeast"/>
        </w:trPr>
        <w:tc>
          <w:tcPr>
            <w:tcW w:w="4622" w:type="dxa"/>
            <w:noWrap w:val="0"/>
            <w:vAlign w:val="top"/>
          </w:tcPr>
          <w:p w14:paraId="0DE52FC3">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委托代理人（签字）：</w:t>
            </w:r>
            <w:bookmarkStart w:id="12" w:name="JFQM"/>
            <w:bookmarkEnd w:id="12"/>
            <w:r>
              <w:rPr>
                <w:rFonts w:hint="default" w:ascii="宋体" w:hAnsi="宋体"/>
                <w:color w:val="auto"/>
                <w:sz w:val="24"/>
                <w:szCs w:val="24"/>
                <w:highlight w:val="none"/>
              </w:rPr>
              <w:t xml:space="preserve"> </w:t>
            </w:r>
          </w:p>
        </w:tc>
        <w:tc>
          <w:tcPr>
            <w:tcW w:w="291" w:type="dxa"/>
            <w:noWrap w:val="0"/>
            <w:vAlign w:val="top"/>
          </w:tcPr>
          <w:p w14:paraId="17031895">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5EF81478">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委托代理人（签字）：</w:t>
            </w:r>
            <w:bookmarkStart w:id="13" w:name="YFQM"/>
            <w:bookmarkEnd w:id="13"/>
          </w:p>
        </w:tc>
      </w:tr>
      <w:tr w14:paraId="4B326E5D">
        <w:tblPrEx>
          <w:tblCellMar>
            <w:top w:w="0" w:type="dxa"/>
            <w:left w:w="108" w:type="dxa"/>
            <w:bottom w:w="0" w:type="dxa"/>
            <w:right w:w="108" w:type="dxa"/>
          </w:tblCellMar>
        </w:tblPrEx>
        <w:trPr>
          <w:trHeight w:val="340" w:hRule="atLeast"/>
        </w:trPr>
        <w:tc>
          <w:tcPr>
            <w:tcW w:w="4622" w:type="dxa"/>
            <w:noWrap w:val="0"/>
            <w:vAlign w:val="top"/>
          </w:tcPr>
          <w:p w14:paraId="188C731D">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统一社会信用代码：</w:t>
            </w:r>
            <w:r>
              <w:rPr>
                <w:rFonts w:hint="default" w:ascii="宋体" w:hAnsi="宋体"/>
                <w:color w:val="auto"/>
                <w:sz w:val="24"/>
                <w:szCs w:val="24"/>
                <w:highlight w:val="none"/>
              </w:rPr>
              <w:t xml:space="preserve"> </w:t>
            </w:r>
          </w:p>
        </w:tc>
        <w:tc>
          <w:tcPr>
            <w:tcW w:w="291" w:type="dxa"/>
            <w:noWrap w:val="0"/>
            <w:vAlign w:val="top"/>
          </w:tcPr>
          <w:p w14:paraId="4733769A">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1E8700B4">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统一社会信用代码：</w:t>
            </w:r>
          </w:p>
        </w:tc>
      </w:tr>
      <w:tr w14:paraId="63FB334D">
        <w:tblPrEx>
          <w:tblCellMar>
            <w:top w:w="0" w:type="dxa"/>
            <w:left w:w="108" w:type="dxa"/>
            <w:bottom w:w="0" w:type="dxa"/>
            <w:right w:w="108" w:type="dxa"/>
          </w:tblCellMar>
        </w:tblPrEx>
        <w:trPr>
          <w:trHeight w:val="340" w:hRule="atLeast"/>
        </w:trPr>
        <w:tc>
          <w:tcPr>
            <w:tcW w:w="4622" w:type="dxa"/>
            <w:noWrap w:val="0"/>
            <w:vAlign w:val="top"/>
          </w:tcPr>
          <w:p w14:paraId="6A070A4B">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注册地址：</w:t>
            </w:r>
          </w:p>
        </w:tc>
        <w:tc>
          <w:tcPr>
            <w:tcW w:w="291" w:type="dxa"/>
            <w:noWrap w:val="0"/>
            <w:vAlign w:val="top"/>
          </w:tcPr>
          <w:p w14:paraId="148AA34E">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63DDAFE3">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注册地址：</w:t>
            </w:r>
          </w:p>
        </w:tc>
      </w:tr>
      <w:tr w14:paraId="070B586B">
        <w:tblPrEx>
          <w:tblCellMar>
            <w:top w:w="0" w:type="dxa"/>
            <w:left w:w="108" w:type="dxa"/>
            <w:bottom w:w="0" w:type="dxa"/>
            <w:right w:w="108" w:type="dxa"/>
          </w:tblCellMar>
        </w:tblPrEx>
        <w:trPr>
          <w:trHeight w:val="340" w:hRule="atLeast"/>
        </w:trPr>
        <w:tc>
          <w:tcPr>
            <w:tcW w:w="4622" w:type="dxa"/>
            <w:noWrap w:val="0"/>
            <w:vAlign w:val="top"/>
          </w:tcPr>
          <w:p w14:paraId="288BF999">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通讯地址：</w:t>
            </w:r>
          </w:p>
        </w:tc>
        <w:tc>
          <w:tcPr>
            <w:tcW w:w="291" w:type="dxa"/>
            <w:noWrap w:val="0"/>
            <w:vAlign w:val="top"/>
          </w:tcPr>
          <w:p w14:paraId="6B6F728A">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09FDC0CC">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通讯地址：</w:t>
            </w:r>
            <w:r>
              <w:rPr>
                <w:rFonts w:hint="default" w:ascii="宋体" w:hAnsi="宋体"/>
                <w:color w:val="auto"/>
                <w:highlight w:val="none"/>
              </w:rPr>
              <w:t xml:space="preserve"> </w:t>
            </w:r>
          </w:p>
        </w:tc>
      </w:tr>
      <w:tr w14:paraId="3AAA1383">
        <w:tblPrEx>
          <w:tblCellMar>
            <w:top w:w="0" w:type="dxa"/>
            <w:left w:w="108" w:type="dxa"/>
            <w:bottom w:w="0" w:type="dxa"/>
            <w:right w:w="108" w:type="dxa"/>
          </w:tblCellMar>
        </w:tblPrEx>
        <w:trPr>
          <w:trHeight w:val="340" w:hRule="atLeast"/>
        </w:trPr>
        <w:tc>
          <w:tcPr>
            <w:tcW w:w="4622" w:type="dxa"/>
            <w:noWrap w:val="0"/>
            <w:vAlign w:val="top"/>
          </w:tcPr>
          <w:p w14:paraId="665A850F">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邮政编码：</w:t>
            </w:r>
            <w:r>
              <w:rPr>
                <w:rFonts w:hint="default" w:ascii="宋体" w:hAnsi="宋体"/>
                <w:color w:val="auto"/>
                <w:sz w:val="24"/>
                <w:szCs w:val="24"/>
                <w:highlight w:val="none"/>
              </w:rPr>
              <w:t xml:space="preserve"> </w:t>
            </w:r>
          </w:p>
        </w:tc>
        <w:tc>
          <w:tcPr>
            <w:tcW w:w="291" w:type="dxa"/>
            <w:noWrap w:val="0"/>
            <w:vAlign w:val="top"/>
          </w:tcPr>
          <w:p w14:paraId="49096984">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66666B1C">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邮政编码：</w:t>
            </w:r>
            <w:r>
              <w:rPr>
                <w:rFonts w:hint="default" w:ascii="宋体" w:hAnsi="宋体"/>
                <w:color w:val="auto"/>
                <w:highlight w:val="none"/>
              </w:rPr>
              <w:t xml:space="preserve"> </w:t>
            </w:r>
          </w:p>
        </w:tc>
      </w:tr>
      <w:tr w14:paraId="2D9372CB">
        <w:tblPrEx>
          <w:tblCellMar>
            <w:top w:w="0" w:type="dxa"/>
            <w:left w:w="108" w:type="dxa"/>
            <w:bottom w:w="0" w:type="dxa"/>
            <w:right w:w="108" w:type="dxa"/>
          </w:tblCellMar>
        </w:tblPrEx>
        <w:trPr>
          <w:trHeight w:val="340" w:hRule="atLeast"/>
        </w:trPr>
        <w:tc>
          <w:tcPr>
            <w:tcW w:w="4622" w:type="dxa"/>
            <w:noWrap w:val="0"/>
            <w:vAlign w:val="top"/>
          </w:tcPr>
          <w:p w14:paraId="56130C6A">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电话：</w:t>
            </w:r>
          </w:p>
        </w:tc>
        <w:tc>
          <w:tcPr>
            <w:tcW w:w="291" w:type="dxa"/>
            <w:noWrap w:val="0"/>
            <w:vAlign w:val="top"/>
          </w:tcPr>
          <w:p w14:paraId="482C9E6D">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74438870">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电话：</w:t>
            </w:r>
          </w:p>
        </w:tc>
      </w:tr>
      <w:tr w14:paraId="3A627598">
        <w:tblPrEx>
          <w:tblCellMar>
            <w:top w:w="0" w:type="dxa"/>
            <w:left w:w="108" w:type="dxa"/>
            <w:bottom w:w="0" w:type="dxa"/>
            <w:right w:w="108" w:type="dxa"/>
          </w:tblCellMar>
        </w:tblPrEx>
        <w:trPr>
          <w:trHeight w:val="340" w:hRule="atLeast"/>
        </w:trPr>
        <w:tc>
          <w:tcPr>
            <w:tcW w:w="4622" w:type="dxa"/>
            <w:noWrap w:val="0"/>
            <w:vAlign w:val="top"/>
          </w:tcPr>
          <w:p w14:paraId="67D252E8">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传真：</w:t>
            </w:r>
          </w:p>
        </w:tc>
        <w:tc>
          <w:tcPr>
            <w:tcW w:w="291" w:type="dxa"/>
            <w:noWrap w:val="0"/>
            <w:vAlign w:val="top"/>
          </w:tcPr>
          <w:p w14:paraId="6FE03EE1">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54445B0A">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传真</w:t>
            </w:r>
            <w:r>
              <w:rPr>
                <w:rFonts w:hint="eastAsia" w:ascii="宋体" w:hAnsi="宋体"/>
                <w:color w:val="auto"/>
                <w:sz w:val="24"/>
                <w:szCs w:val="24"/>
                <w:highlight w:val="none"/>
                <w:lang w:eastAsia="zh-CN"/>
              </w:rPr>
              <w:t>：</w:t>
            </w:r>
          </w:p>
        </w:tc>
      </w:tr>
      <w:tr w14:paraId="605C9EA9">
        <w:tblPrEx>
          <w:tblCellMar>
            <w:top w:w="0" w:type="dxa"/>
            <w:left w:w="108" w:type="dxa"/>
            <w:bottom w:w="0" w:type="dxa"/>
            <w:right w:w="108" w:type="dxa"/>
          </w:tblCellMar>
        </w:tblPrEx>
        <w:trPr>
          <w:trHeight w:val="340" w:hRule="atLeast"/>
        </w:trPr>
        <w:tc>
          <w:tcPr>
            <w:tcW w:w="4622" w:type="dxa"/>
            <w:noWrap w:val="0"/>
            <w:vAlign w:val="top"/>
          </w:tcPr>
          <w:p w14:paraId="304EBCD7">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电子邮箱：</w:t>
            </w:r>
          </w:p>
        </w:tc>
        <w:tc>
          <w:tcPr>
            <w:tcW w:w="291" w:type="dxa"/>
            <w:noWrap w:val="0"/>
            <w:vAlign w:val="top"/>
          </w:tcPr>
          <w:p w14:paraId="0899CDDD">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110EB441">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电子邮箱：</w:t>
            </w:r>
            <w:r>
              <w:rPr>
                <w:rFonts w:hint="default" w:ascii="宋体" w:hAnsi="宋体"/>
                <w:color w:val="auto"/>
                <w:highlight w:val="none"/>
              </w:rPr>
              <w:t xml:space="preserve"> </w:t>
            </w:r>
            <w:r>
              <w:rPr>
                <w:rFonts w:hint="eastAsia" w:ascii="宋体" w:hAnsi="宋体"/>
                <w:color w:val="auto"/>
                <w:highlight w:val="none"/>
                <w:lang w:val="en-US" w:eastAsia="zh-CN"/>
              </w:rPr>
              <w:t xml:space="preserve"> </w:t>
            </w:r>
            <w:r>
              <w:rPr>
                <w:rFonts w:hint="default" w:ascii="宋体" w:hAnsi="宋体"/>
                <w:color w:val="auto"/>
                <w:highlight w:val="none"/>
              </w:rPr>
              <w:t xml:space="preserve"> </w:t>
            </w:r>
            <w:r>
              <w:rPr>
                <w:rFonts w:hint="default" w:ascii="宋体" w:hAnsi="宋体"/>
                <w:color w:val="auto"/>
                <w:sz w:val="24"/>
                <w:szCs w:val="24"/>
                <w:highlight w:val="none"/>
              </w:rPr>
              <w:t xml:space="preserve">  </w:t>
            </w:r>
          </w:p>
        </w:tc>
      </w:tr>
      <w:tr w14:paraId="0D4E2AD3">
        <w:tblPrEx>
          <w:tblCellMar>
            <w:top w:w="0" w:type="dxa"/>
            <w:left w:w="108" w:type="dxa"/>
            <w:bottom w:w="0" w:type="dxa"/>
            <w:right w:w="108" w:type="dxa"/>
          </w:tblCellMar>
        </w:tblPrEx>
        <w:trPr>
          <w:trHeight w:val="340" w:hRule="atLeast"/>
        </w:trPr>
        <w:tc>
          <w:tcPr>
            <w:tcW w:w="4622" w:type="dxa"/>
            <w:noWrap w:val="0"/>
            <w:vAlign w:val="top"/>
          </w:tcPr>
          <w:p w14:paraId="1F499C10">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开户银行：</w:t>
            </w:r>
            <w:r>
              <w:rPr>
                <w:rFonts w:hint="default" w:ascii="宋体" w:hAnsi="宋体"/>
                <w:color w:val="auto"/>
                <w:sz w:val="24"/>
                <w:szCs w:val="24"/>
                <w:highlight w:val="none"/>
              </w:rPr>
              <w:t xml:space="preserve"> </w:t>
            </w:r>
          </w:p>
        </w:tc>
        <w:tc>
          <w:tcPr>
            <w:tcW w:w="291" w:type="dxa"/>
            <w:noWrap w:val="0"/>
            <w:vAlign w:val="top"/>
          </w:tcPr>
          <w:p w14:paraId="73733E05">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0760F1BB">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开户银行：</w:t>
            </w:r>
          </w:p>
        </w:tc>
      </w:tr>
      <w:tr w14:paraId="1837926E">
        <w:tblPrEx>
          <w:tblCellMar>
            <w:top w:w="0" w:type="dxa"/>
            <w:left w:w="108" w:type="dxa"/>
            <w:bottom w:w="0" w:type="dxa"/>
            <w:right w:w="108" w:type="dxa"/>
          </w:tblCellMar>
        </w:tblPrEx>
        <w:trPr>
          <w:trHeight w:val="340" w:hRule="atLeast"/>
        </w:trPr>
        <w:tc>
          <w:tcPr>
            <w:tcW w:w="4622" w:type="dxa"/>
            <w:noWrap w:val="0"/>
            <w:vAlign w:val="top"/>
          </w:tcPr>
          <w:p w14:paraId="20ACB94A">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账号：</w:t>
            </w:r>
          </w:p>
        </w:tc>
        <w:tc>
          <w:tcPr>
            <w:tcW w:w="291" w:type="dxa"/>
            <w:noWrap w:val="0"/>
            <w:vAlign w:val="top"/>
          </w:tcPr>
          <w:p w14:paraId="42ECCD48">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640F568E">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r>
              <w:rPr>
                <w:rFonts w:hint="eastAsia" w:ascii="宋体" w:hAnsi="宋体"/>
                <w:color w:val="auto"/>
                <w:sz w:val="24"/>
                <w:szCs w:val="24"/>
                <w:highlight w:val="none"/>
              </w:rPr>
              <w:t>账号：</w:t>
            </w:r>
            <w:r>
              <w:rPr>
                <w:rFonts w:hint="default" w:ascii="宋体" w:hAnsi="宋体"/>
                <w:color w:val="auto"/>
                <w:highlight w:val="none"/>
              </w:rPr>
              <w:t xml:space="preserve"> </w:t>
            </w:r>
          </w:p>
        </w:tc>
      </w:tr>
      <w:tr w14:paraId="47E7F596">
        <w:tblPrEx>
          <w:tblCellMar>
            <w:top w:w="0" w:type="dxa"/>
            <w:left w:w="108" w:type="dxa"/>
            <w:bottom w:w="0" w:type="dxa"/>
            <w:right w:w="108" w:type="dxa"/>
          </w:tblCellMar>
        </w:tblPrEx>
        <w:trPr>
          <w:trHeight w:val="340" w:hRule="atLeast"/>
        </w:trPr>
        <w:tc>
          <w:tcPr>
            <w:tcW w:w="4622" w:type="dxa"/>
            <w:noWrap w:val="0"/>
            <w:vAlign w:val="top"/>
          </w:tcPr>
          <w:p w14:paraId="1B1327B0">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签订</w:t>
            </w:r>
            <w:r>
              <w:rPr>
                <w:rFonts w:hint="eastAsia" w:ascii="宋体" w:hAnsi="宋体"/>
                <w:color w:val="auto"/>
                <w:sz w:val="24"/>
                <w:szCs w:val="24"/>
                <w:highlight w:val="none"/>
                <w:lang w:val="en-US" w:eastAsia="zh-CN"/>
              </w:rPr>
              <w:t>日期：</w:t>
            </w:r>
            <w:bookmarkStart w:id="14" w:name="JFQMRI"/>
            <w:bookmarkEnd w:id="14"/>
          </w:p>
        </w:tc>
        <w:tc>
          <w:tcPr>
            <w:tcW w:w="291" w:type="dxa"/>
            <w:noWrap w:val="0"/>
            <w:vAlign w:val="top"/>
          </w:tcPr>
          <w:p w14:paraId="361FE9C1">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default" w:ascii="宋体" w:hAnsi="宋体"/>
                <w:color w:val="auto"/>
                <w:highlight w:val="none"/>
              </w:rPr>
            </w:pPr>
          </w:p>
        </w:tc>
        <w:tc>
          <w:tcPr>
            <w:tcW w:w="4218" w:type="dxa"/>
            <w:noWrap w:val="0"/>
            <w:vAlign w:val="top"/>
          </w:tcPr>
          <w:p w14:paraId="46DFDB54">
            <w:pPr>
              <w:pStyle w:val="15"/>
              <w:keepNext w:val="0"/>
              <w:keepLines w:val="0"/>
              <w:suppressLineNumbers w:val="0"/>
              <w:autoSpaceDE w:val="0"/>
              <w:autoSpaceDN w:val="0"/>
              <w:snapToGrid w:val="0"/>
              <w:spacing w:before="0" w:beforeAutospacing="0" w:after="0" w:afterAutospacing="0" w:line="360" w:lineRule="auto"/>
              <w:ind w:left="0" w:leftChars="0" w:right="0" w:rightChars="0" w:firstLine="480" w:firstLineChars="200"/>
              <w:jc w:val="left"/>
              <w:rPr>
                <w:rFonts w:hint="eastAsia" w:ascii="宋体" w:hAnsi="宋体"/>
                <w:color w:val="auto"/>
                <w:sz w:val="24"/>
                <w:szCs w:val="24"/>
                <w:highlight w:val="none"/>
              </w:rPr>
            </w:pPr>
            <w:r>
              <w:rPr>
                <w:rFonts w:hint="eastAsia" w:ascii="宋体" w:hAnsi="宋体" w:eastAsia="宋体"/>
                <w:color w:val="auto"/>
                <w:sz w:val="24"/>
                <w:szCs w:val="24"/>
                <w:highlight w:val="none"/>
                <w:lang w:val="en-US" w:eastAsia="zh-CN"/>
              </w:rPr>
              <w:t>签订</w:t>
            </w:r>
            <w:r>
              <w:rPr>
                <w:rFonts w:hint="eastAsia" w:ascii="宋体" w:hAnsi="宋体"/>
                <w:color w:val="auto"/>
                <w:sz w:val="24"/>
                <w:szCs w:val="24"/>
                <w:highlight w:val="none"/>
                <w:lang w:val="en-US" w:eastAsia="zh-CN"/>
              </w:rPr>
              <w:t>日期：</w:t>
            </w:r>
            <w:bookmarkStart w:id="15" w:name="YFQMRI"/>
            <w:bookmarkEnd w:id="15"/>
          </w:p>
        </w:tc>
      </w:tr>
    </w:tbl>
    <w:p w14:paraId="48AA5DB0">
      <w:pPr>
        <w:overflowPunct w:val="0"/>
        <w:autoSpaceDE w:val="0"/>
        <w:autoSpaceDN w:val="0"/>
        <w:adjustRightInd w:val="0"/>
        <w:snapToGrid w:val="0"/>
        <w:spacing w:line="336" w:lineRule="auto"/>
        <w:ind w:firstLine="230" w:firstLineChars="96"/>
        <w:rPr>
          <w:color w:val="auto"/>
          <w:highlight w:val="none"/>
        </w:rPr>
      </w:pPr>
    </w:p>
    <w:p w14:paraId="6D5F6565">
      <w:pPr>
        <w:overflowPunct w:val="0"/>
        <w:autoSpaceDE w:val="0"/>
        <w:autoSpaceDN w:val="0"/>
        <w:adjustRightInd w:val="0"/>
        <w:snapToGrid w:val="0"/>
        <w:spacing w:line="336" w:lineRule="auto"/>
        <w:ind w:firstLine="230" w:firstLineChars="96"/>
        <w:rPr>
          <w:color w:val="auto"/>
          <w:highlight w:val="none"/>
        </w:rPr>
      </w:pPr>
    </w:p>
    <w:p w14:paraId="32529D8A">
      <w:pPr>
        <w:adjustRightInd w:val="0"/>
        <w:snapToGrid w:val="0"/>
        <w:spacing w:line="336" w:lineRule="auto"/>
        <w:ind w:firstLine="240" w:firstLineChars="100"/>
        <w:rPr>
          <w:color w:val="auto"/>
          <w:highlight w:val="none"/>
          <w:u w:val="single"/>
        </w:rPr>
      </w:pPr>
    </w:p>
    <w:p w14:paraId="10C3129F">
      <w:pPr>
        <w:adjustRightInd w:val="0"/>
        <w:snapToGrid w:val="0"/>
        <w:spacing w:line="336" w:lineRule="auto"/>
        <w:ind w:firstLine="240" w:firstLineChars="100"/>
        <w:rPr>
          <w:color w:val="auto"/>
          <w:highlight w:val="none"/>
          <w:u w:val="single"/>
        </w:rPr>
      </w:pPr>
    </w:p>
    <w:p w14:paraId="18F65EAA">
      <w:pPr>
        <w:adjustRightInd w:val="0"/>
        <w:snapToGrid w:val="0"/>
        <w:spacing w:line="336" w:lineRule="auto"/>
        <w:ind w:firstLine="240" w:firstLineChars="100"/>
        <w:rPr>
          <w:color w:val="auto"/>
          <w:highlight w:val="none"/>
          <w:u w:val="single"/>
        </w:rPr>
      </w:pPr>
    </w:p>
    <w:p w14:paraId="49EED048">
      <w:pPr>
        <w:adjustRightInd w:val="0"/>
        <w:snapToGrid w:val="0"/>
        <w:spacing w:line="336" w:lineRule="auto"/>
        <w:ind w:firstLine="240" w:firstLineChars="100"/>
        <w:rPr>
          <w:color w:val="auto"/>
          <w:highlight w:val="none"/>
          <w:u w:val="single"/>
        </w:rPr>
      </w:pPr>
    </w:p>
    <w:p w14:paraId="259D2880">
      <w:pPr>
        <w:adjustRightInd w:val="0"/>
        <w:snapToGrid w:val="0"/>
        <w:spacing w:line="336" w:lineRule="auto"/>
        <w:ind w:firstLine="240" w:firstLineChars="100"/>
        <w:rPr>
          <w:color w:val="auto"/>
          <w:highlight w:val="none"/>
          <w:u w:val="single"/>
        </w:rPr>
      </w:pPr>
    </w:p>
    <w:p w14:paraId="7299EE95">
      <w:pPr>
        <w:adjustRightInd w:val="0"/>
        <w:snapToGrid w:val="0"/>
        <w:spacing w:line="336" w:lineRule="auto"/>
        <w:ind w:firstLine="240" w:firstLineChars="100"/>
        <w:rPr>
          <w:color w:val="auto"/>
          <w:highlight w:val="none"/>
          <w:u w:val="single"/>
        </w:rPr>
      </w:pPr>
    </w:p>
    <w:p w14:paraId="108E2124">
      <w:pPr>
        <w:adjustRightInd w:val="0"/>
        <w:snapToGrid w:val="0"/>
        <w:spacing w:line="336" w:lineRule="auto"/>
        <w:ind w:firstLine="240" w:firstLineChars="100"/>
        <w:rPr>
          <w:color w:val="auto"/>
          <w:highlight w:val="none"/>
          <w:u w:val="single"/>
        </w:rPr>
      </w:pPr>
    </w:p>
    <w:p w14:paraId="4F0424CE">
      <w:pPr>
        <w:adjustRightInd w:val="0"/>
        <w:snapToGrid w:val="0"/>
        <w:spacing w:line="336" w:lineRule="auto"/>
        <w:rPr>
          <w:color w:val="auto"/>
          <w:highlight w:val="none"/>
          <w:u w:val="single"/>
        </w:rPr>
      </w:pPr>
    </w:p>
    <w:p w14:paraId="37B419FC">
      <w:pPr>
        <w:overflowPunct w:val="0"/>
        <w:autoSpaceDE w:val="0"/>
        <w:autoSpaceDN w:val="0"/>
        <w:adjustRightInd w:val="0"/>
        <w:snapToGrid w:val="0"/>
        <w:rPr>
          <w:color w:val="auto"/>
          <w:highlight w:val="none"/>
        </w:rPr>
        <w:sectPr>
          <w:pgSz w:w="11906" w:h="16838"/>
          <w:pgMar w:top="1440" w:right="1800" w:bottom="1440" w:left="1800" w:header="851" w:footer="992" w:gutter="0"/>
          <w:cols w:space="720" w:num="1"/>
          <w:docGrid w:type="lines" w:linePitch="312" w:charSpace="0"/>
        </w:sectPr>
      </w:pPr>
    </w:p>
    <w:p w14:paraId="4B1255DB">
      <w:pPr>
        <w:keepNext/>
        <w:keepLines/>
        <w:spacing w:before="156" w:beforeLines="50" w:after="156" w:afterLines="50"/>
        <w:jc w:val="center"/>
        <w:outlineLvl w:val="1"/>
        <w:rPr>
          <w:rFonts w:hAnsi="Arial"/>
          <w:b/>
          <w:bCs/>
          <w:color w:val="auto"/>
          <w:sz w:val="44"/>
          <w:szCs w:val="44"/>
          <w:highlight w:val="none"/>
        </w:rPr>
      </w:pPr>
      <w:bookmarkStart w:id="16" w:name="_Toc439172957"/>
      <w:bookmarkStart w:id="17" w:name="_Toc256000055"/>
      <w:bookmarkStart w:id="18" w:name="_Toc696114386"/>
      <w:bookmarkStart w:id="19" w:name="_Toc119953722"/>
      <w:bookmarkStart w:id="20" w:name="_Toc66347010"/>
      <w:bookmarkStart w:id="21" w:name="_Toc8014"/>
      <w:bookmarkStart w:id="22" w:name="_Toc83218643"/>
      <w:bookmarkStart w:id="23" w:name="_Toc16156"/>
      <w:r>
        <w:rPr>
          <w:rFonts w:hAnsi="Arial"/>
          <w:b/>
          <w:bCs/>
          <w:color w:val="auto"/>
          <w:sz w:val="44"/>
          <w:szCs w:val="44"/>
          <w:highlight w:val="none"/>
        </w:rPr>
        <w:t>第二部分 通用合同条款</w:t>
      </w:r>
      <w:bookmarkEnd w:id="16"/>
      <w:bookmarkEnd w:id="17"/>
      <w:bookmarkEnd w:id="18"/>
      <w:bookmarkEnd w:id="19"/>
      <w:bookmarkEnd w:id="20"/>
      <w:bookmarkEnd w:id="21"/>
      <w:bookmarkEnd w:id="22"/>
      <w:bookmarkEnd w:id="23"/>
    </w:p>
    <w:p w14:paraId="2C252B36">
      <w:pPr>
        <w:keepNext/>
        <w:keepLines/>
        <w:adjustRightInd w:val="0"/>
        <w:snapToGrid w:val="0"/>
        <w:outlineLvl w:val="1"/>
        <w:rPr>
          <w:rFonts w:ascii="Arial"/>
          <w:b/>
          <w:bCs/>
          <w:color w:val="auto"/>
          <w:highlight w:val="none"/>
        </w:rPr>
      </w:pPr>
      <w:bookmarkStart w:id="24" w:name="_Toc81225270"/>
      <w:bookmarkStart w:id="25" w:name="_Toc117018787"/>
      <w:bookmarkStart w:id="26" w:name="_Toc99782810"/>
      <w:bookmarkStart w:id="27" w:name="_Toc25151"/>
      <w:bookmarkStart w:id="28" w:name="_Toc119953723"/>
      <w:bookmarkStart w:id="29" w:name="_Toc91660602"/>
      <w:bookmarkStart w:id="30" w:name="_Toc256000056"/>
      <w:r>
        <w:rPr>
          <w:rFonts w:ascii="Arial"/>
          <w:b/>
          <w:bCs/>
          <w:color w:val="auto"/>
          <w:highlight w:val="none"/>
        </w:rPr>
        <w:t xml:space="preserve">1. </w:t>
      </w:r>
      <w:r>
        <w:rPr>
          <w:rFonts w:hint="eastAsia" w:ascii="Arial"/>
          <w:b/>
          <w:bCs/>
          <w:color w:val="auto"/>
          <w:highlight w:val="none"/>
        </w:rPr>
        <w:t>一般约定</w:t>
      </w:r>
      <w:bookmarkEnd w:id="24"/>
      <w:bookmarkEnd w:id="25"/>
      <w:bookmarkEnd w:id="26"/>
      <w:bookmarkEnd w:id="27"/>
      <w:bookmarkEnd w:id="28"/>
      <w:bookmarkEnd w:id="29"/>
      <w:bookmarkEnd w:id="30"/>
    </w:p>
    <w:p w14:paraId="205322A3">
      <w:pPr>
        <w:adjustRightInd w:val="0"/>
        <w:snapToGrid w:val="0"/>
        <w:ind w:firstLine="482" w:firstLineChars="200"/>
        <w:rPr>
          <w:b/>
          <w:color w:val="auto"/>
          <w:highlight w:val="none"/>
        </w:rPr>
      </w:pPr>
      <w:r>
        <w:rPr>
          <w:rFonts w:hint="eastAsia"/>
          <w:b/>
          <w:color w:val="auto"/>
          <w:highlight w:val="none"/>
        </w:rPr>
        <w:t>1.1 词语定义与解释</w:t>
      </w:r>
    </w:p>
    <w:p w14:paraId="5DBFB0CD">
      <w:pPr>
        <w:adjustRightInd w:val="0"/>
        <w:snapToGrid w:val="0"/>
        <w:ind w:firstLine="480" w:firstLineChars="200"/>
        <w:rPr>
          <w:color w:val="auto"/>
          <w:highlight w:val="none"/>
        </w:rPr>
      </w:pPr>
      <w:r>
        <w:rPr>
          <w:rFonts w:hint="eastAsia"/>
          <w:color w:val="auto"/>
          <w:highlight w:val="none"/>
        </w:rPr>
        <w:t>通用合同条款、专用合同条款、合同附件中的下列词语应具有本款所赋予的含义。</w:t>
      </w:r>
    </w:p>
    <w:p w14:paraId="5438C31D">
      <w:pPr>
        <w:adjustRightInd w:val="0"/>
        <w:snapToGrid w:val="0"/>
        <w:ind w:firstLine="480" w:firstLineChars="200"/>
        <w:rPr>
          <w:color w:val="auto"/>
          <w:highlight w:val="none"/>
        </w:rPr>
      </w:pPr>
      <w:r>
        <w:rPr>
          <w:rFonts w:hint="eastAsia"/>
          <w:color w:val="auto"/>
          <w:highlight w:val="none"/>
        </w:rPr>
        <w:t>1.1.1 合同</w:t>
      </w:r>
    </w:p>
    <w:p w14:paraId="67E66441">
      <w:pPr>
        <w:adjustRightInd w:val="0"/>
        <w:snapToGrid w:val="0"/>
        <w:ind w:firstLine="480" w:firstLineChars="200"/>
        <w:rPr>
          <w:color w:val="auto"/>
          <w:highlight w:val="none"/>
        </w:rPr>
      </w:pPr>
      <w:r>
        <w:rPr>
          <w:rFonts w:hint="eastAsia"/>
          <w:color w:val="auto"/>
          <w:highlight w:val="none"/>
        </w:rPr>
        <w:t>1.1.1.1合同文件（或称合同）：指合同协议书、中标通知书、投标函及附录、专用合同条款、通用合同条款、技术规格及要求、合同附件、招标文件、投标文件，以及其他合同文件。</w:t>
      </w:r>
    </w:p>
    <w:p w14:paraId="1184428C">
      <w:pPr>
        <w:adjustRightInd w:val="0"/>
        <w:snapToGrid w:val="0"/>
        <w:ind w:firstLine="480" w:firstLineChars="200"/>
        <w:rPr>
          <w:color w:val="auto"/>
          <w:highlight w:val="none"/>
        </w:rPr>
      </w:pPr>
      <w:r>
        <w:rPr>
          <w:rFonts w:hint="eastAsia"/>
          <w:color w:val="auto"/>
          <w:highlight w:val="none"/>
        </w:rPr>
        <w:t>1.1.1.2 合同协议书：承包人按中标通知书规定的时间与发包人签订的合同协议书。</w:t>
      </w:r>
    </w:p>
    <w:p w14:paraId="7367436A">
      <w:pPr>
        <w:adjustRightInd w:val="0"/>
        <w:snapToGrid w:val="0"/>
        <w:ind w:firstLine="480" w:firstLineChars="200"/>
        <w:rPr>
          <w:color w:val="auto"/>
          <w:highlight w:val="none"/>
        </w:rPr>
      </w:pPr>
      <w:r>
        <w:rPr>
          <w:rFonts w:hint="eastAsia"/>
          <w:color w:val="auto"/>
          <w:highlight w:val="none"/>
        </w:rPr>
        <w:t>1.1.1.3 中标通知书：指发包人通知承包人中标的函件。中标通知书随附的澄清、说明、补正事项纪要等，是中标通知书的组成部分。</w:t>
      </w:r>
    </w:p>
    <w:p w14:paraId="2C19520E">
      <w:pPr>
        <w:adjustRightInd w:val="0"/>
        <w:snapToGrid w:val="0"/>
        <w:ind w:firstLine="480" w:firstLineChars="200"/>
        <w:rPr>
          <w:color w:val="auto"/>
          <w:highlight w:val="none"/>
        </w:rPr>
      </w:pPr>
      <w:r>
        <w:rPr>
          <w:rFonts w:hint="eastAsia"/>
          <w:color w:val="auto"/>
          <w:highlight w:val="none"/>
        </w:rPr>
        <w:t>1.1.1.4 投标函：指由承包人填写并签署的投标函件。</w:t>
      </w:r>
    </w:p>
    <w:p w14:paraId="70652E53">
      <w:pPr>
        <w:adjustRightInd w:val="0"/>
        <w:snapToGrid w:val="0"/>
        <w:ind w:firstLine="480" w:firstLineChars="200"/>
        <w:rPr>
          <w:color w:val="auto"/>
          <w:highlight w:val="none"/>
        </w:rPr>
      </w:pPr>
      <w:r>
        <w:rPr>
          <w:rFonts w:hint="eastAsia"/>
          <w:color w:val="auto"/>
          <w:highlight w:val="none"/>
        </w:rPr>
        <w:t>1.1.1.5 专用合同条款：发包人与承包人根据法律、行政法规规定，结合具体工程实际，经协商达成一致意见的条款，是对通用合同条款的具体化、补充或修改。</w:t>
      </w:r>
    </w:p>
    <w:p w14:paraId="158B5CE2">
      <w:pPr>
        <w:adjustRightInd w:val="0"/>
        <w:snapToGrid w:val="0"/>
        <w:ind w:firstLine="480" w:firstLineChars="200"/>
        <w:rPr>
          <w:color w:val="auto"/>
          <w:highlight w:val="none"/>
        </w:rPr>
      </w:pPr>
      <w:r>
        <w:rPr>
          <w:rFonts w:hint="eastAsia"/>
          <w:color w:val="auto"/>
          <w:highlight w:val="none"/>
        </w:rPr>
        <w:t>1.1.1.6 通用合同条款：根据法律、行政法规规定及建设工程项目实施的需要订立，通用于建设工程项目实施的条款。</w:t>
      </w:r>
    </w:p>
    <w:p w14:paraId="515F4036">
      <w:pPr>
        <w:adjustRightInd w:val="0"/>
        <w:snapToGrid w:val="0"/>
        <w:ind w:firstLine="480" w:firstLineChars="200"/>
        <w:rPr>
          <w:color w:val="auto"/>
          <w:highlight w:val="none"/>
        </w:rPr>
      </w:pPr>
      <w:r>
        <w:rPr>
          <w:rFonts w:hint="eastAsia"/>
          <w:color w:val="auto"/>
          <w:highlight w:val="none"/>
        </w:rPr>
        <w:t>1.1.1.7技术规格及要求: 是工程施工、试验、运行、验收的依据，指图纸、中华人民共和国国家标准和行业标准、规范、规程等，以及发包人有关工程施工、试验、运行、验收的其他书面要求。</w:t>
      </w:r>
    </w:p>
    <w:p w14:paraId="51B41679">
      <w:pPr>
        <w:adjustRightInd w:val="0"/>
        <w:snapToGrid w:val="0"/>
        <w:ind w:firstLine="480" w:firstLineChars="200"/>
        <w:rPr>
          <w:color w:val="auto"/>
          <w:highlight w:val="none"/>
        </w:rPr>
      </w:pPr>
      <w:r>
        <w:rPr>
          <w:rFonts w:hint="eastAsia"/>
          <w:color w:val="auto"/>
          <w:highlight w:val="none"/>
        </w:rPr>
        <w:t>1.1.1.8 图纸：指包含在合同中的工程图纸，以及由发包人按合同约定提供的任何补充和修改的图纸，包括配套的说明。</w:t>
      </w:r>
    </w:p>
    <w:p w14:paraId="1AB01ECF">
      <w:pPr>
        <w:adjustRightInd w:val="0"/>
        <w:snapToGrid w:val="0"/>
        <w:ind w:firstLine="480" w:firstLineChars="200"/>
        <w:rPr>
          <w:color w:val="auto"/>
          <w:highlight w:val="none"/>
        </w:rPr>
      </w:pPr>
      <w:r>
        <w:rPr>
          <w:rFonts w:hint="eastAsia"/>
          <w:color w:val="auto"/>
          <w:highlight w:val="none"/>
        </w:rPr>
        <w:t>1.1.1.9 预算书：指构成合同的由承包人按照发包人规定的格式和要求编制的工程预算文件。</w:t>
      </w:r>
    </w:p>
    <w:p w14:paraId="6E1085F5">
      <w:pPr>
        <w:adjustRightInd w:val="0"/>
        <w:snapToGrid w:val="0"/>
        <w:ind w:firstLine="480" w:firstLineChars="200"/>
        <w:rPr>
          <w:color w:val="auto"/>
          <w:highlight w:val="none"/>
        </w:rPr>
      </w:pPr>
      <w:r>
        <w:rPr>
          <w:rFonts w:hint="eastAsia"/>
          <w:color w:val="auto"/>
          <w:highlight w:val="none"/>
        </w:rPr>
        <w:t>1.1.1.10 合同附件：指构成合同文件组成部分的的附件。</w:t>
      </w:r>
    </w:p>
    <w:p w14:paraId="57131786">
      <w:pPr>
        <w:adjustRightInd w:val="0"/>
        <w:snapToGrid w:val="0"/>
        <w:ind w:firstLine="480" w:firstLineChars="200"/>
        <w:rPr>
          <w:color w:val="auto"/>
          <w:highlight w:val="none"/>
        </w:rPr>
      </w:pPr>
      <w:r>
        <w:rPr>
          <w:rFonts w:hint="eastAsia"/>
          <w:color w:val="auto"/>
          <w:highlight w:val="none"/>
        </w:rPr>
        <w:t>1.1.1.11 其他合同文件：指经合同双方当事人确认构成合同文件的其他文件。</w:t>
      </w:r>
    </w:p>
    <w:p w14:paraId="0E9B0001">
      <w:pPr>
        <w:adjustRightInd w:val="0"/>
        <w:snapToGrid w:val="0"/>
        <w:ind w:firstLine="480" w:firstLineChars="200"/>
        <w:rPr>
          <w:color w:val="auto"/>
          <w:highlight w:val="none"/>
        </w:rPr>
      </w:pPr>
      <w:r>
        <w:rPr>
          <w:rFonts w:hint="eastAsia"/>
          <w:color w:val="auto"/>
          <w:highlight w:val="none"/>
        </w:rPr>
        <w:t>1.1.2 合同当事人和人员</w:t>
      </w:r>
    </w:p>
    <w:p w14:paraId="1F7FD1B2">
      <w:pPr>
        <w:adjustRightInd w:val="0"/>
        <w:snapToGrid w:val="0"/>
        <w:ind w:firstLine="480" w:firstLineChars="200"/>
        <w:rPr>
          <w:color w:val="auto"/>
          <w:highlight w:val="none"/>
        </w:rPr>
      </w:pPr>
      <w:r>
        <w:rPr>
          <w:rFonts w:hint="eastAsia"/>
          <w:color w:val="auto"/>
          <w:highlight w:val="none"/>
        </w:rPr>
        <w:t>1.1.2.1 合同当事人：指发包人和（或）承包人。</w:t>
      </w:r>
    </w:p>
    <w:p w14:paraId="667328EE">
      <w:pPr>
        <w:adjustRightInd w:val="0"/>
        <w:snapToGrid w:val="0"/>
        <w:ind w:firstLine="480" w:firstLineChars="200"/>
        <w:rPr>
          <w:color w:val="auto"/>
          <w:highlight w:val="none"/>
        </w:rPr>
      </w:pPr>
      <w:r>
        <w:rPr>
          <w:rFonts w:hint="eastAsia"/>
          <w:color w:val="auto"/>
          <w:highlight w:val="none"/>
        </w:rPr>
        <w:t>1.1.2.2 发包人：指本合同中与承包人签订合同协议书的当事人及取得该当事人资格的合法继承人。</w:t>
      </w:r>
    </w:p>
    <w:p w14:paraId="50A45D21">
      <w:pPr>
        <w:adjustRightInd w:val="0"/>
        <w:snapToGrid w:val="0"/>
        <w:ind w:firstLine="480" w:firstLineChars="200"/>
        <w:rPr>
          <w:color w:val="auto"/>
          <w:highlight w:val="none"/>
        </w:rPr>
      </w:pPr>
      <w:r>
        <w:rPr>
          <w:rFonts w:hint="eastAsia"/>
          <w:color w:val="auto"/>
          <w:highlight w:val="none"/>
        </w:rPr>
        <w:t>1.1.2.3 承包人：指与发包人签订合同协议书的，具有相应工程总承包资质的当事人及取得该当事人资格的合法继承人。</w:t>
      </w:r>
    </w:p>
    <w:p w14:paraId="148F2F40">
      <w:pPr>
        <w:adjustRightInd w:val="0"/>
        <w:snapToGrid w:val="0"/>
        <w:ind w:firstLine="484" w:firstLineChars="202"/>
        <w:rPr>
          <w:color w:val="auto"/>
          <w:highlight w:val="none"/>
        </w:rPr>
      </w:pPr>
      <w:r>
        <w:rPr>
          <w:rFonts w:hint="eastAsia"/>
          <w:color w:val="auto"/>
          <w:highlight w:val="none"/>
        </w:rPr>
        <w:t>1.1.2.4 监理人：指受发包人委托按照法律规定进行工程监督管理并取得相应工程监理资质的法人或其他组织。</w:t>
      </w:r>
    </w:p>
    <w:p w14:paraId="44B8DCEE">
      <w:pPr>
        <w:adjustRightInd w:val="0"/>
        <w:snapToGrid w:val="0"/>
        <w:ind w:firstLine="484" w:firstLineChars="202"/>
        <w:rPr>
          <w:color w:val="auto"/>
          <w:highlight w:val="none"/>
        </w:rPr>
      </w:pPr>
      <w:r>
        <w:rPr>
          <w:rFonts w:hint="eastAsia"/>
          <w:color w:val="auto"/>
          <w:highlight w:val="none"/>
        </w:rPr>
        <w:t>1.1.2.5 承包人项目经理：指承包人法定代表人书面授权，全面履行本合同义务的负责人。</w:t>
      </w:r>
    </w:p>
    <w:p w14:paraId="30FD5C52">
      <w:pPr>
        <w:adjustRightInd w:val="0"/>
        <w:snapToGrid w:val="0"/>
        <w:ind w:firstLine="484" w:firstLineChars="202"/>
        <w:rPr>
          <w:color w:val="auto"/>
          <w:highlight w:val="none"/>
        </w:rPr>
      </w:pPr>
      <w:r>
        <w:rPr>
          <w:rFonts w:hint="eastAsia"/>
          <w:color w:val="auto"/>
          <w:highlight w:val="none"/>
        </w:rPr>
        <w:t>1.1.2.6 技术负责人：指承包人指定负责组织指导协调技术工作并具有相应资格的人员。</w:t>
      </w:r>
    </w:p>
    <w:p w14:paraId="4F538997">
      <w:pPr>
        <w:adjustRightInd w:val="0"/>
        <w:snapToGrid w:val="0"/>
        <w:ind w:firstLine="484" w:firstLineChars="202"/>
        <w:rPr>
          <w:color w:val="auto"/>
          <w:highlight w:val="none"/>
        </w:rPr>
      </w:pPr>
      <w:r>
        <w:rPr>
          <w:rFonts w:hint="eastAsia"/>
          <w:color w:val="auto"/>
          <w:highlight w:val="none"/>
        </w:rPr>
        <w:t>1.1.2.7 总监理工程师：指监理人任命并派驻施工现场进行工程监理的总负责人。</w:t>
      </w:r>
    </w:p>
    <w:p w14:paraId="54442BB3">
      <w:pPr>
        <w:adjustRightInd w:val="0"/>
        <w:snapToGrid w:val="0"/>
        <w:ind w:firstLine="484" w:firstLineChars="202"/>
        <w:rPr>
          <w:color w:val="auto"/>
          <w:highlight w:val="none"/>
        </w:rPr>
      </w:pPr>
      <w:r>
        <w:rPr>
          <w:rFonts w:hint="eastAsia"/>
          <w:color w:val="auto"/>
          <w:highlight w:val="none"/>
        </w:rPr>
        <w:t>1.1.2.8 分包人：指按照法律规定和合同约定，从承包人处分包合同中部分工程或工作，并与承包人签订分包合同的具有相应资质的法人。</w:t>
      </w:r>
    </w:p>
    <w:p w14:paraId="163EF0B6">
      <w:pPr>
        <w:adjustRightInd w:val="0"/>
        <w:snapToGrid w:val="0"/>
        <w:ind w:firstLine="484" w:firstLineChars="202"/>
        <w:rPr>
          <w:color w:val="auto"/>
          <w:highlight w:val="none"/>
        </w:rPr>
      </w:pPr>
      <w:r>
        <w:rPr>
          <w:rFonts w:hint="eastAsia"/>
          <w:color w:val="auto"/>
          <w:highlight w:val="none"/>
        </w:rPr>
        <w:t>1.1.2.9质量监督机构：本合同指石油化工工程质量监督总站或其下属的分站。</w:t>
      </w:r>
    </w:p>
    <w:p w14:paraId="0B5A79A8">
      <w:pPr>
        <w:adjustRightInd w:val="0"/>
        <w:snapToGrid w:val="0"/>
        <w:ind w:firstLine="484" w:firstLineChars="202"/>
        <w:rPr>
          <w:color w:val="auto"/>
          <w:highlight w:val="none"/>
        </w:rPr>
      </w:pPr>
      <w:r>
        <w:rPr>
          <w:rFonts w:hint="eastAsia"/>
          <w:color w:val="auto"/>
          <w:highlight w:val="none"/>
        </w:rPr>
        <w:t>1.1.3 工程和设备</w:t>
      </w:r>
    </w:p>
    <w:p w14:paraId="602E9899">
      <w:pPr>
        <w:adjustRightInd w:val="0"/>
        <w:snapToGrid w:val="0"/>
        <w:ind w:firstLine="484" w:firstLineChars="202"/>
        <w:rPr>
          <w:color w:val="auto"/>
          <w:highlight w:val="none"/>
        </w:rPr>
      </w:pPr>
      <w:r>
        <w:rPr>
          <w:rFonts w:hint="eastAsia"/>
          <w:color w:val="auto"/>
          <w:highlight w:val="none"/>
        </w:rPr>
        <w:t>1.1.3.1 工程：指永久工程和（或）临时工程。</w:t>
      </w:r>
    </w:p>
    <w:p w14:paraId="5FAC3BCC">
      <w:pPr>
        <w:adjustRightInd w:val="0"/>
        <w:snapToGrid w:val="0"/>
        <w:ind w:firstLine="480" w:firstLineChars="200"/>
        <w:rPr>
          <w:color w:val="auto"/>
          <w:highlight w:val="none"/>
        </w:rPr>
      </w:pPr>
      <w:r>
        <w:rPr>
          <w:rFonts w:hint="eastAsia"/>
          <w:color w:val="auto"/>
          <w:highlight w:val="none"/>
        </w:rPr>
        <w:t>1.1.3.2 永久工程：指按合同约定建造并移交给发包人的工程，包括工程设备。</w:t>
      </w:r>
    </w:p>
    <w:p w14:paraId="2ACD3732">
      <w:pPr>
        <w:adjustRightInd w:val="0"/>
        <w:snapToGrid w:val="0"/>
        <w:ind w:firstLine="480" w:firstLineChars="200"/>
        <w:rPr>
          <w:color w:val="auto"/>
          <w:highlight w:val="none"/>
        </w:rPr>
      </w:pPr>
      <w:r>
        <w:rPr>
          <w:rFonts w:hint="eastAsia"/>
          <w:color w:val="auto"/>
          <w:highlight w:val="none"/>
        </w:rPr>
        <w:t>1.1.3.3 临时工程：指为完成合同约定的永久工程所修建的各类临时性工程，不包括施工设备。</w:t>
      </w:r>
    </w:p>
    <w:p w14:paraId="65145921">
      <w:pPr>
        <w:adjustRightInd w:val="0"/>
        <w:snapToGrid w:val="0"/>
        <w:ind w:firstLine="480" w:firstLineChars="200"/>
        <w:rPr>
          <w:color w:val="auto"/>
          <w:highlight w:val="none"/>
        </w:rPr>
      </w:pPr>
      <w:r>
        <w:rPr>
          <w:rFonts w:hint="eastAsia"/>
          <w:color w:val="auto"/>
          <w:highlight w:val="none"/>
        </w:rPr>
        <w:t>1.1.3.4 区段工程：指专用合同条款中指明特定范围的能单独接收并使用的永久工程。</w:t>
      </w:r>
    </w:p>
    <w:p w14:paraId="67E1E952">
      <w:pPr>
        <w:adjustRightInd w:val="0"/>
        <w:snapToGrid w:val="0"/>
        <w:ind w:firstLine="480" w:firstLineChars="200"/>
        <w:rPr>
          <w:color w:val="auto"/>
          <w:highlight w:val="none"/>
        </w:rPr>
      </w:pPr>
      <w:r>
        <w:rPr>
          <w:rFonts w:hint="eastAsia"/>
          <w:color w:val="auto"/>
          <w:highlight w:val="none"/>
        </w:rPr>
        <w:t>1.1.3.5 工程设备：指构成或计划构成永久工程的机电设备、仪器装置、运输工具及其他类似的设备和装置。</w:t>
      </w:r>
    </w:p>
    <w:p w14:paraId="28A8D424">
      <w:pPr>
        <w:adjustRightInd w:val="0"/>
        <w:snapToGrid w:val="0"/>
        <w:ind w:firstLine="480" w:firstLineChars="200"/>
        <w:rPr>
          <w:color w:val="auto"/>
          <w:highlight w:val="none"/>
        </w:rPr>
      </w:pPr>
      <w:r>
        <w:rPr>
          <w:rFonts w:hint="eastAsia"/>
          <w:color w:val="auto"/>
          <w:highlight w:val="none"/>
        </w:rPr>
        <w:t>1.1.3.6 施工设备：指为完成合同约定的各项工作所需的设备、器具和其他物品，但不包括临时工程和材料。</w:t>
      </w:r>
    </w:p>
    <w:p w14:paraId="44B45D42">
      <w:pPr>
        <w:adjustRightInd w:val="0"/>
        <w:snapToGrid w:val="0"/>
        <w:ind w:firstLine="480" w:firstLineChars="200"/>
        <w:rPr>
          <w:color w:val="auto"/>
          <w:highlight w:val="none"/>
        </w:rPr>
      </w:pPr>
      <w:r>
        <w:rPr>
          <w:rFonts w:hint="eastAsia"/>
          <w:color w:val="auto"/>
          <w:highlight w:val="none"/>
        </w:rPr>
        <w:t>1.1.3.7 临时设施：指为完成合同约定的各项工作所服务的临时性生产和生活设施。</w:t>
      </w:r>
    </w:p>
    <w:p w14:paraId="7831B474">
      <w:pPr>
        <w:adjustRightInd w:val="0"/>
        <w:snapToGrid w:val="0"/>
        <w:ind w:firstLine="480" w:firstLineChars="200"/>
        <w:rPr>
          <w:color w:val="auto"/>
          <w:highlight w:val="none"/>
        </w:rPr>
      </w:pPr>
      <w:r>
        <w:rPr>
          <w:rFonts w:hint="eastAsia"/>
          <w:color w:val="auto"/>
          <w:highlight w:val="none"/>
        </w:rPr>
        <w:t>1.1.3.8 承包人设备：指承包人为工程实施提供的施工设备。</w:t>
      </w:r>
    </w:p>
    <w:p w14:paraId="25E3F0B0">
      <w:pPr>
        <w:adjustRightInd w:val="0"/>
        <w:snapToGrid w:val="0"/>
        <w:ind w:firstLine="480" w:firstLineChars="200"/>
        <w:rPr>
          <w:color w:val="auto"/>
          <w:highlight w:val="none"/>
        </w:rPr>
      </w:pPr>
      <w:r>
        <w:rPr>
          <w:rFonts w:hint="eastAsia"/>
          <w:color w:val="auto"/>
          <w:highlight w:val="none"/>
        </w:rPr>
        <w:t>1.1.3.9 施工场地（或称工地、现场）：指用于合同工程施工的场所，以及在合同中指定作为施工场地组成部分的其他场所，包括永久占地和临时占地。</w:t>
      </w:r>
    </w:p>
    <w:p w14:paraId="42F73985">
      <w:pPr>
        <w:adjustRightInd w:val="0"/>
        <w:snapToGrid w:val="0"/>
        <w:ind w:firstLine="480" w:firstLineChars="200"/>
        <w:rPr>
          <w:color w:val="auto"/>
          <w:highlight w:val="none"/>
        </w:rPr>
      </w:pPr>
      <w:r>
        <w:rPr>
          <w:rFonts w:hint="eastAsia"/>
          <w:color w:val="auto"/>
          <w:highlight w:val="none"/>
        </w:rPr>
        <w:t>1.1.3.10 永久占地：是专用合同条款中指明为实施合同工程需永久占用的土地。</w:t>
      </w:r>
    </w:p>
    <w:p w14:paraId="592F19DE">
      <w:pPr>
        <w:adjustRightInd w:val="0"/>
        <w:snapToGrid w:val="0"/>
        <w:ind w:firstLine="480" w:firstLineChars="200"/>
        <w:rPr>
          <w:color w:val="auto"/>
          <w:highlight w:val="none"/>
        </w:rPr>
      </w:pPr>
      <w:r>
        <w:rPr>
          <w:rFonts w:hint="eastAsia"/>
          <w:color w:val="auto"/>
          <w:highlight w:val="none"/>
        </w:rPr>
        <w:t>1.1.3.11 临时占地：是专用合同条款中指明为实施合同工程需临时占用的土地。</w:t>
      </w:r>
    </w:p>
    <w:p w14:paraId="0957550A">
      <w:pPr>
        <w:adjustRightInd w:val="0"/>
        <w:snapToGrid w:val="0"/>
        <w:ind w:firstLine="480" w:firstLineChars="200"/>
        <w:rPr>
          <w:color w:val="auto"/>
          <w:highlight w:val="none"/>
        </w:rPr>
      </w:pPr>
      <w:r>
        <w:rPr>
          <w:rFonts w:hint="eastAsia"/>
          <w:color w:val="auto"/>
          <w:highlight w:val="none"/>
        </w:rPr>
        <w:t>1.1.4 日期和期限</w:t>
      </w:r>
    </w:p>
    <w:p w14:paraId="618078AD">
      <w:pPr>
        <w:adjustRightInd w:val="0"/>
        <w:snapToGrid w:val="0"/>
        <w:ind w:firstLine="480" w:firstLineChars="200"/>
        <w:rPr>
          <w:color w:val="auto"/>
          <w:highlight w:val="none"/>
        </w:rPr>
      </w:pPr>
      <w:r>
        <w:rPr>
          <w:rFonts w:hint="eastAsia"/>
          <w:color w:val="auto"/>
          <w:highlight w:val="none"/>
        </w:rPr>
        <w:t>1.1.4.1工期：指在合同协议书约定的承包人完成合同工程所需的期限，包括按照合同约定所作的期限变更。</w:t>
      </w:r>
    </w:p>
    <w:p w14:paraId="3F688A66">
      <w:pPr>
        <w:adjustRightInd w:val="0"/>
        <w:snapToGrid w:val="0"/>
        <w:ind w:firstLine="480" w:firstLineChars="200"/>
        <w:rPr>
          <w:color w:val="auto"/>
          <w:highlight w:val="none"/>
        </w:rPr>
      </w:pPr>
      <w:r>
        <w:rPr>
          <w:rFonts w:hint="eastAsia"/>
          <w:color w:val="auto"/>
          <w:highlight w:val="none"/>
        </w:rPr>
        <w:t>1.1.4.2 开工通知：指监理人通知承包人开工的函件。</w:t>
      </w:r>
    </w:p>
    <w:p w14:paraId="08FEA614">
      <w:pPr>
        <w:adjustRightInd w:val="0"/>
        <w:snapToGrid w:val="0"/>
        <w:ind w:firstLine="480" w:firstLineChars="200"/>
        <w:rPr>
          <w:color w:val="auto"/>
          <w:highlight w:val="none"/>
        </w:rPr>
      </w:pPr>
      <w:r>
        <w:rPr>
          <w:rFonts w:hint="eastAsia"/>
          <w:color w:val="auto"/>
          <w:highlight w:val="none"/>
        </w:rPr>
        <w:t>1.1.4.3开工日期：包括计划开工日期和实际开工日期。计划开工日期是指合同协议书约定的开工日期；实际开工日期是指监理人经发包人同意向承包人发出的施工开工通知中写明的开工日期。</w:t>
      </w:r>
    </w:p>
    <w:p w14:paraId="60A2F62C">
      <w:pPr>
        <w:adjustRightInd w:val="0"/>
        <w:snapToGrid w:val="0"/>
        <w:ind w:firstLine="480" w:firstLineChars="200"/>
        <w:rPr>
          <w:color w:val="auto"/>
          <w:highlight w:val="none"/>
        </w:rPr>
      </w:pPr>
      <w:r>
        <w:rPr>
          <w:rFonts w:hint="eastAsia"/>
          <w:color w:val="auto"/>
          <w:highlight w:val="none"/>
        </w:rPr>
        <w:t>1.1.4.4中间交接日期：包括计划中间交接日期和实际中间交接日期。计划中间交接日期是指合同协议书约定的中间交接日期；实际中间交接日期是指工程中间交接证书中写明的日期。</w:t>
      </w:r>
    </w:p>
    <w:p w14:paraId="7E43ADD0">
      <w:pPr>
        <w:adjustRightInd w:val="0"/>
        <w:snapToGrid w:val="0"/>
        <w:ind w:firstLine="480" w:firstLineChars="200"/>
        <w:rPr>
          <w:color w:val="auto"/>
          <w:highlight w:val="none"/>
        </w:rPr>
      </w:pPr>
      <w:r>
        <w:rPr>
          <w:rFonts w:hint="eastAsia"/>
          <w:color w:val="auto"/>
          <w:highlight w:val="none"/>
        </w:rPr>
        <w:t>1.1.4.5交工日期：包括计划交工日期和实际交工日期。计划交工日期是指合同协议书约定的交工日期；实际交工日期是指工程交工证书中写明的日期。</w:t>
      </w:r>
    </w:p>
    <w:p w14:paraId="36A9A07C">
      <w:pPr>
        <w:adjustRightInd w:val="0"/>
        <w:snapToGrid w:val="0"/>
        <w:ind w:firstLine="480" w:firstLineChars="200"/>
        <w:rPr>
          <w:color w:val="auto"/>
          <w:highlight w:val="none"/>
        </w:rPr>
      </w:pPr>
      <w:r>
        <w:rPr>
          <w:rFonts w:hint="eastAsia"/>
          <w:color w:val="auto"/>
          <w:highlight w:val="none"/>
        </w:rPr>
        <w:t>1.1.4.6 缺陷责任期：指承包人按照合同约定承担缺陷修复义务，且发包人预留质量保证金的期限，自工程中间交接或交工验收合格之日起计算。</w:t>
      </w:r>
    </w:p>
    <w:p w14:paraId="51D98614">
      <w:pPr>
        <w:adjustRightInd w:val="0"/>
        <w:snapToGrid w:val="0"/>
        <w:ind w:firstLine="480" w:firstLineChars="200"/>
        <w:rPr>
          <w:color w:val="auto"/>
          <w:highlight w:val="none"/>
        </w:rPr>
      </w:pPr>
      <w:r>
        <w:rPr>
          <w:rFonts w:hint="eastAsia"/>
          <w:color w:val="auto"/>
          <w:highlight w:val="none"/>
        </w:rPr>
        <w:t>1.1.4.7 保修期：是指承包人按照合同约定对工程承担保修责任的期限，从工程中间交接或交工验收合格之日起计算。</w:t>
      </w:r>
    </w:p>
    <w:p w14:paraId="41C13378">
      <w:pPr>
        <w:adjustRightInd w:val="0"/>
        <w:snapToGrid w:val="0"/>
        <w:ind w:firstLine="480" w:firstLineChars="200"/>
        <w:rPr>
          <w:color w:val="auto"/>
          <w:highlight w:val="none"/>
        </w:rPr>
      </w:pPr>
      <w:r>
        <w:rPr>
          <w:rFonts w:hint="eastAsia"/>
          <w:color w:val="auto"/>
          <w:highlight w:val="none"/>
        </w:rPr>
        <w:t>1.1.4.8基准日期：招标发包的工程以投标截止日前28天的日期为基准日期。</w:t>
      </w:r>
    </w:p>
    <w:p w14:paraId="2D72CA98">
      <w:pPr>
        <w:adjustRightInd w:val="0"/>
        <w:snapToGrid w:val="0"/>
        <w:ind w:firstLine="480" w:firstLineChars="200"/>
        <w:rPr>
          <w:color w:val="auto"/>
          <w:highlight w:val="none"/>
        </w:rPr>
      </w:pPr>
      <w:r>
        <w:rPr>
          <w:rFonts w:hint="eastAsia"/>
          <w:color w:val="auto"/>
          <w:highlight w:val="none"/>
        </w:rPr>
        <w:t>1.1.4.9天：除特别指明外，均指日历天。合同中按天计算时间的，开始当天不计入，从次日开始计算。期限最后一天的截止时间为当天24：00时。</w:t>
      </w:r>
    </w:p>
    <w:p w14:paraId="3A354B04">
      <w:pPr>
        <w:adjustRightInd w:val="0"/>
        <w:snapToGrid w:val="0"/>
        <w:ind w:firstLine="480" w:firstLineChars="200"/>
        <w:rPr>
          <w:color w:val="auto"/>
          <w:highlight w:val="none"/>
        </w:rPr>
      </w:pPr>
      <w:r>
        <w:rPr>
          <w:rFonts w:hint="eastAsia"/>
          <w:color w:val="auto"/>
          <w:highlight w:val="none"/>
        </w:rPr>
        <w:t>1.1.5 检验和验收</w:t>
      </w:r>
    </w:p>
    <w:p w14:paraId="2BC34967">
      <w:pPr>
        <w:adjustRightInd w:val="0"/>
        <w:snapToGrid w:val="0"/>
        <w:ind w:firstLine="480" w:firstLineChars="200"/>
        <w:rPr>
          <w:color w:val="auto"/>
          <w:highlight w:val="none"/>
        </w:rPr>
      </w:pPr>
      <w:r>
        <w:rPr>
          <w:rFonts w:hint="eastAsia"/>
          <w:color w:val="auto"/>
          <w:highlight w:val="none"/>
        </w:rPr>
        <w:t>1.1.5.1单机试车：单项工程安装结束，通过对传动设备及电气、仪表、DCS等的检测、联锁、报警系统的单试，检验设备的制造、安装质量和设备性能是否符合规范和设计要求。</w:t>
      </w:r>
    </w:p>
    <w:p w14:paraId="15171559">
      <w:pPr>
        <w:adjustRightInd w:val="0"/>
        <w:snapToGrid w:val="0"/>
        <w:ind w:firstLine="480" w:firstLineChars="200"/>
        <w:rPr>
          <w:color w:val="auto"/>
          <w:highlight w:val="none"/>
        </w:rPr>
      </w:pPr>
      <w:r>
        <w:rPr>
          <w:rFonts w:hint="eastAsia"/>
          <w:color w:val="auto"/>
          <w:highlight w:val="none"/>
        </w:rPr>
        <w:t>1.1.5.2中间交接：具备中间交接条件后，由发包人组织承包人、监理人等相关单位对已完工程的质量进行确认，承包人对未完尾项进行清理，提出整改消缺清单，发包人同意接收工程实体，签署中间交接证书的过程。中间交接只是对工程保管、使用责任的移交，不解除承包人对工程质量、竣工验收应负的责任。</w:t>
      </w:r>
    </w:p>
    <w:p w14:paraId="308875D3">
      <w:pPr>
        <w:adjustRightInd w:val="0"/>
        <w:snapToGrid w:val="0"/>
        <w:ind w:firstLine="480" w:firstLineChars="200"/>
        <w:rPr>
          <w:color w:val="auto"/>
          <w:highlight w:val="none"/>
        </w:rPr>
      </w:pPr>
      <w:r>
        <w:rPr>
          <w:rFonts w:hint="eastAsia"/>
          <w:color w:val="auto"/>
          <w:highlight w:val="none"/>
        </w:rPr>
        <w:t>1.1.5.3联动试车：单机试车结束，办理工程中间交接后，由发包人或生产单位负责编制联动试车方案并组织实施，承包人、供货商等相关方参加。一般应先从先从单系统开始，然后扩大到几个系统或全装置的联运，检验装置的设备、管道、阀门、电气、仪表、DCS等的性能和质量是否符合设计与规范的要求。</w:t>
      </w:r>
    </w:p>
    <w:p w14:paraId="7BBC46E7">
      <w:pPr>
        <w:adjustRightInd w:val="0"/>
        <w:snapToGrid w:val="0"/>
        <w:ind w:firstLine="480" w:firstLineChars="200"/>
        <w:rPr>
          <w:color w:val="auto"/>
          <w:highlight w:val="none"/>
        </w:rPr>
      </w:pPr>
      <w:r>
        <w:rPr>
          <w:rFonts w:hint="eastAsia"/>
          <w:color w:val="auto"/>
          <w:highlight w:val="none"/>
        </w:rPr>
        <w:t>1.1.5.4 投料试车：石油化工生产装置按设计文件规定的介质打通生产流程，并以生产出设计文件规定的产品为目的的生产过程。</w:t>
      </w:r>
    </w:p>
    <w:p w14:paraId="2D99FE7C">
      <w:pPr>
        <w:adjustRightInd w:val="0"/>
        <w:snapToGrid w:val="0"/>
        <w:ind w:firstLine="480" w:firstLineChars="200"/>
        <w:rPr>
          <w:color w:val="auto"/>
          <w:highlight w:val="none"/>
        </w:rPr>
      </w:pPr>
      <w:r>
        <w:rPr>
          <w:rFonts w:hint="eastAsia"/>
          <w:color w:val="auto"/>
          <w:highlight w:val="none"/>
        </w:rPr>
        <w:t>1.1.5.5交工验收：工程项目经投料试车产出合格产品，或具备使用条件后，发包人组织监理、承包人及相关单位按工程合同规定对交付工程的验收。</w:t>
      </w:r>
    </w:p>
    <w:p w14:paraId="2DDF28BB">
      <w:pPr>
        <w:adjustRightInd w:val="0"/>
        <w:snapToGrid w:val="0"/>
        <w:ind w:firstLine="480" w:firstLineChars="200"/>
        <w:rPr>
          <w:color w:val="auto"/>
          <w:highlight w:val="none"/>
        </w:rPr>
      </w:pPr>
      <w:r>
        <w:rPr>
          <w:rFonts w:hint="eastAsia"/>
          <w:color w:val="auto"/>
          <w:highlight w:val="none"/>
        </w:rPr>
        <w:t>1.1.5.6专项验收：政府行政主管部门对建设工程项目消防、防雷、职业卫生、安全、环境保护等设施及其实施效果的验收。</w:t>
      </w:r>
    </w:p>
    <w:p w14:paraId="16001216">
      <w:pPr>
        <w:adjustRightInd w:val="0"/>
        <w:snapToGrid w:val="0"/>
        <w:ind w:firstLine="480" w:firstLineChars="200"/>
        <w:rPr>
          <w:color w:val="auto"/>
          <w:highlight w:val="none"/>
        </w:rPr>
      </w:pPr>
      <w:r>
        <w:rPr>
          <w:rFonts w:hint="eastAsia"/>
          <w:color w:val="auto"/>
          <w:highlight w:val="none"/>
        </w:rPr>
        <w:t>1.1.5.7 生产考核：石油化工生产装置在试生产阶段，通过规定期限的连续运行，对设计的生产能力、工艺指标、产品质量、设备性能、自控水平、消耗指标及环保指标等数据实施测量、采集并与设计值进行对比、分析与评价的活动。</w:t>
      </w:r>
    </w:p>
    <w:p w14:paraId="6C9A164C">
      <w:pPr>
        <w:adjustRightInd w:val="0"/>
        <w:snapToGrid w:val="0"/>
        <w:ind w:firstLine="480" w:firstLineChars="200"/>
        <w:rPr>
          <w:color w:val="auto"/>
          <w:highlight w:val="none"/>
        </w:rPr>
      </w:pPr>
      <w:r>
        <w:rPr>
          <w:rFonts w:hint="eastAsia"/>
          <w:color w:val="auto"/>
          <w:highlight w:val="none"/>
        </w:rPr>
        <w:t>1.1.5.8工程结算：承包人按合同规定的内容完成所承包的工程，经验收合格，与发包人进行的最终工程款结算。</w:t>
      </w:r>
    </w:p>
    <w:p w14:paraId="019A0521">
      <w:pPr>
        <w:adjustRightInd w:val="0"/>
        <w:snapToGrid w:val="0"/>
        <w:ind w:firstLine="480" w:firstLineChars="200"/>
        <w:rPr>
          <w:color w:val="auto"/>
          <w:highlight w:val="none"/>
        </w:rPr>
      </w:pPr>
      <w:r>
        <w:rPr>
          <w:rFonts w:hint="eastAsia"/>
          <w:color w:val="auto"/>
          <w:highlight w:val="none"/>
        </w:rPr>
        <w:t xml:space="preserve">1.1.5.9竣工决算：工程项目交工验收后，发包人按照国家有关规定，以实物数量和货币指标为计量单位，编制综合反映竣工项目从筹建开始到项目交付使用为止的全部建设费用、建设成果和财务情况的文件的过程，最终形成竣工决算报告。 </w:t>
      </w:r>
    </w:p>
    <w:p w14:paraId="2E22B4B7">
      <w:pPr>
        <w:adjustRightInd w:val="0"/>
        <w:snapToGrid w:val="0"/>
        <w:ind w:firstLine="480" w:firstLineChars="200"/>
        <w:rPr>
          <w:color w:val="auto"/>
          <w:highlight w:val="none"/>
        </w:rPr>
      </w:pPr>
      <w:r>
        <w:rPr>
          <w:rFonts w:hint="eastAsia"/>
          <w:color w:val="auto"/>
          <w:highlight w:val="none"/>
        </w:rPr>
        <w:t xml:space="preserve">1.1.5.10竣工决算审计：工程项目竣工验收期间，审计部门对其竣工决算以及项目建设的真实性、合法性和效益性进行的审计监督。 </w:t>
      </w:r>
    </w:p>
    <w:p w14:paraId="44202630">
      <w:pPr>
        <w:adjustRightInd w:val="0"/>
        <w:snapToGrid w:val="0"/>
        <w:ind w:firstLine="480" w:firstLineChars="200"/>
        <w:rPr>
          <w:color w:val="auto"/>
          <w:highlight w:val="none"/>
        </w:rPr>
      </w:pPr>
      <w:r>
        <w:rPr>
          <w:rFonts w:hint="eastAsia"/>
          <w:color w:val="auto"/>
          <w:highlight w:val="none"/>
        </w:rPr>
        <w:t>1.1.5.11 竣工验收：工程项目完成交工验收、专项验收、生产考核、竣工决算审计、档案验收，项目批准部门或其授权单位组织项目有关单位和部门进行工程验收，验收合格并签署“竣工验收证书”的过程。</w:t>
      </w:r>
    </w:p>
    <w:p w14:paraId="34186DF2">
      <w:pPr>
        <w:adjustRightInd w:val="0"/>
        <w:snapToGrid w:val="0"/>
        <w:ind w:firstLine="480" w:firstLineChars="200"/>
        <w:rPr>
          <w:color w:val="auto"/>
          <w:highlight w:val="none"/>
        </w:rPr>
      </w:pPr>
      <w:r>
        <w:rPr>
          <w:rFonts w:hint="eastAsia"/>
          <w:color w:val="auto"/>
          <w:highlight w:val="none"/>
        </w:rPr>
        <w:t>1.1.6 合同价款和费用</w:t>
      </w:r>
    </w:p>
    <w:p w14:paraId="45B9D394">
      <w:pPr>
        <w:adjustRightInd w:val="0"/>
        <w:snapToGrid w:val="0"/>
        <w:ind w:firstLine="480" w:firstLineChars="200"/>
        <w:rPr>
          <w:color w:val="auto"/>
          <w:highlight w:val="none"/>
        </w:rPr>
      </w:pPr>
      <w:r>
        <w:rPr>
          <w:rFonts w:hint="eastAsia"/>
          <w:color w:val="auto"/>
          <w:highlight w:val="none"/>
        </w:rPr>
        <w:t>1.1.6.1 签约合同价款：指发包人和承包人在合同协议书中确定的总金额，包括安全生产、文明施工费等。</w:t>
      </w:r>
    </w:p>
    <w:p w14:paraId="0528C450">
      <w:pPr>
        <w:adjustRightInd w:val="0"/>
        <w:snapToGrid w:val="0"/>
        <w:ind w:firstLine="480" w:firstLineChars="200"/>
        <w:rPr>
          <w:color w:val="auto"/>
          <w:highlight w:val="none"/>
        </w:rPr>
      </w:pPr>
      <w:r>
        <w:rPr>
          <w:rFonts w:hint="eastAsia"/>
          <w:color w:val="auto"/>
          <w:highlight w:val="none"/>
        </w:rPr>
        <w:t>1.1.6.2 合同价款：指发包人用于支付承包人按照合同约定完成承包范围内全部工作的金额，包括合同履行过程中按合同约定发生的价款调整。</w:t>
      </w:r>
    </w:p>
    <w:p w14:paraId="5DC88560">
      <w:pPr>
        <w:adjustRightInd w:val="0"/>
        <w:snapToGrid w:val="0"/>
        <w:ind w:firstLine="480" w:firstLineChars="200"/>
        <w:rPr>
          <w:color w:val="auto"/>
          <w:highlight w:val="none"/>
        </w:rPr>
      </w:pPr>
      <w:r>
        <w:rPr>
          <w:rFonts w:hint="eastAsia"/>
          <w:color w:val="auto"/>
          <w:highlight w:val="none"/>
        </w:rPr>
        <w:t>1.1.6.3 费用：指为履行合同所发生的或将要发生的所有合理的开支，包括管理费和应分摊的其他费用，但不包括利润。</w:t>
      </w:r>
    </w:p>
    <w:p w14:paraId="0C7BA90C">
      <w:pPr>
        <w:adjustRightInd w:val="0"/>
        <w:snapToGrid w:val="0"/>
        <w:ind w:firstLine="480" w:firstLineChars="200"/>
        <w:rPr>
          <w:color w:val="auto"/>
          <w:highlight w:val="none"/>
        </w:rPr>
      </w:pPr>
      <w:r>
        <w:rPr>
          <w:rFonts w:hint="eastAsia"/>
          <w:color w:val="auto"/>
          <w:highlight w:val="none"/>
        </w:rPr>
        <w:t>1.1.6.4 质量保证金：指按照合同约定承包人用于保证其在缺陷责任期内履行缺陷修补义务的担保。</w:t>
      </w:r>
    </w:p>
    <w:p w14:paraId="7EE41333">
      <w:pPr>
        <w:adjustRightInd w:val="0"/>
        <w:snapToGrid w:val="0"/>
        <w:ind w:firstLine="480" w:firstLineChars="200"/>
        <w:rPr>
          <w:color w:val="auto"/>
          <w:highlight w:val="none"/>
        </w:rPr>
      </w:pPr>
      <w:r>
        <w:rPr>
          <w:rFonts w:hint="eastAsia"/>
          <w:color w:val="auto"/>
          <w:highlight w:val="none"/>
        </w:rPr>
        <w:t>1.1.7 其他</w:t>
      </w:r>
    </w:p>
    <w:p w14:paraId="1E638366">
      <w:pPr>
        <w:adjustRightInd w:val="0"/>
        <w:snapToGrid w:val="0"/>
        <w:ind w:firstLine="480" w:firstLineChars="200"/>
        <w:rPr>
          <w:color w:val="auto"/>
          <w:highlight w:val="none"/>
        </w:rPr>
      </w:pPr>
      <w:r>
        <w:rPr>
          <w:rFonts w:hint="eastAsia"/>
          <w:color w:val="auto"/>
          <w:highlight w:val="none"/>
        </w:rPr>
        <w:t>1.1.7.1 书面形式：指合同文件、信函、电报、传真、电子数据交换和电子邮件等可以有形地表现所载内容的形式。</w:t>
      </w:r>
    </w:p>
    <w:p w14:paraId="70BBC37C">
      <w:pPr>
        <w:adjustRightInd w:val="0"/>
        <w:snapToGrid w:val="0"/>
        <w:ind w:firstLine="480" w:firstLineChars="200"/>
        <w:rPr>
          <w:color w:val="auto"/>
          <w:highlight w:val="none"/>
        </w:rPr>
      </w:pPr>
      <w:r>
        <w:rPr>
          <w:rFonts w:hint="eastAsia"/>
          <w:color w:val="auto"/>
          <w:highlight w:val="none"/>
        </w:rPr>
        <w:t>1.1.7.2 承包人文件：是指由承包人根据合同应提交的所有图纸、手册、模型、计算书、软件和其他文件。</w:t>
      </w:r>
    </w:p>
    <w:p w14:paraId="4066FB28">
      <w:pPr>
        <w:adjustRightInd w:val="0"/>
        <w:snapToGrid w:val="0"/>
        <w:ind w:firstLine="480" w:firstLineChars="200"/>
        <w:rPr>
          <w:color w:val="auto"/>
          <w:highlight w:val="none"/>
        </w:rPr>
      </w:pPr>
      <w:r>
        <w:rPr>
          <w:rFonts w:hint="eastAsia"/>
          <w:color w:val="auto"/>
          <w:highlight w:val="none"/>
        </w:rPr>
        <w:t>1.1.7.3中国石化：是指中国石油化工集团公司和中国石油化工股份有限公司。</w:t>
      </w:r>
    </w:p>
    <w:p w14:paraId="41514628">
      <w:pPr>
        <w:adjustRightInd w:val="0"/>
        <w:snapToGrid w:val="0"/>
        <w:ind w:firstLine="482" w:firstLineChars="200"/>
        <w:rPr>
          <w:b/>
          <w:color w:val="auto"/>
          <w:highlight w:val="none"/>
        </w:rPr>
      </w:pPr>
      <w:r>
        <w:rPr>
          <w:rFonts w:hint="eastAsia"/>
          <w:b/>
          <w:color w:val="auto"/>
          <w:highlight w:val="none"/>
        </w:rPr>
        <w:t>1.2 语言文字</w:t>
      </w:r>
    </w:p>
    <w:p w14:paraId="6D1E7397">
      <w:pPr>
        <w:adjustRightInd w:val="0"/>
        <w:snapToGrid w:val="0"/>
        <w:ind w:firstLine="480" w:firstLineChars="200"/>
        <w:rPr>
          <w:color w:val="auto"/>
          <w:highlight w:val="none"/>
        </w:rPr>
      </w:pPr>
      <w:r>
        <w:rPr>
          <w:rFonts w:hint="eastAsia"/>
          <w:color w:val="auto"/>
          <w:highlight w:val="none"/>
        </w:rPr>
        <w:t>1.2.1合同使用的语言文字为中文。专用术语使用外文的，应附有中文注释。</w:t>
      </w:r>
    </w:p>
    <w:p w14:paraId="58646C76">
      <w:pPr>
        <w:adjustRightInd w:val="0"/>
        <w:snapToGrid w:val="0"/>
        <w:ind w:firstLine="480" w:firstLineChars="200"/>
        <w:rPr>
          <w:color w:val="auto"/>
          <w:highlight w:val="none"/>
        </w:rPr>
      </w:pPr>
      <w:r>
        <w:rPr>
          <w:rFonts w:hint="eastAsia"/>
          <w:color w:val="auto"/>
          <w:highlight w:val="none"/>
        </w:rPr>
        <w:t>1.2.2合同文本以及合同履行过程中出现中文与外文不一致时，应以中文为主。</w:t>
      </w:r>
    </w:p>
    <w:p w14:paraId="13150D31">
      <w:pPr>
        <w:adjustRightInd w:val="0"/>
        <w:snapToGrid w:val="0"/>
        <w:ind w:firstLine="482" w:firstLineChars="200"/>
        <w:rPr>
          <w:b/>
          <w:color w:val="auto"/>
          <w:highlight w:val="none"/>
        </w:rPr>
      </w:pPr>
      <w:r>
        <w:rPr>
          <w:rFonts w:hint="eastAsia"/>
          <w:b/>
          <w:color w:val="auto"/>
          <w:highlight w:val="none"/>
        </w:rPr>
        <w:t>1.3 法律、标准及规范</w:t>
      </w:r>
    </w:p>
    <w:p w14:paraId="66C0A282">
      <w:pPr>
        <w:adjustRightInd w:val="0"/>
        <w:snapToGrid w:val="0"/>
        <w:ind w:firstLine="480" w:firstLineChars="200"/>
        <w:rPr>
          <w:color w:val="auto"/>
          <w:highlight w:val="none"/>
        </w:rPr>
      </w:pPr>
      <w:r>
        <w:rPr>
          <w:rFonts w:hint="eastAsia"/>
          <w:color w:val="auto"/>
          <w:highlight w:val="none"/>
        </w:rPr>
        <w:t>1.3.1 法律</w:t>
      </w:r>
    </w:p>
    <w:p w14:paraId="77FA506E">
      <w:pPr>
        <w:adjustRightInd w:val="0"/>
        <w:snapToGrid w:val="0"/>
        <w:ind w:firstLine="480" w:firstLineChars="200"/>
        <w:rPr>
          <w:color w:val="auto"/>
          <w:highlight w:val="none"/>
        </w:rPr>
      </w:pPr>
      <w:r>
        <w:rPr>
          <w:rFonts w:hint="eastAsia"/>
          <w:color w:val="auto"/>
          <w:highlight w:val="none"/>
        </w:rPr>
        <w:t>合同所称法律是指中华人民共和国法律、行政法规、部门规章，以及工程所在地的地方法规、自治条例、单行条例和地方政府规章等。</w:t>
      </w:r>
    </w:p>
    <w:p w14:paraId="46FC3D6E">
      <w:pPr>
        <w:adjustRightInd w:val="0"/>
        <w:snapToGrid w:val="0"/>
        <w:ind w:firstLine="480" w:firstLineChars="200"/>
        <w:rPr>
          <w:color w:val="auto"/>
          <w:highlight w:val="none"/>
        </w:rPr>
      </w:pPr>
      <w:r>
        <w:rPr>
          <w:rFonts w:hint="eastAsia"/>
          <w:color w:val="auto"/>
          <w:highlight w:val="none"/>
        </w:rPr>
        <w:t>1.3.2 标准及规范</w:t>
      </w:r>
    </w:p>
    <w:p w14:paraId="513D99B6">
      <w:pPr>
        <w:adjustRightInd w:val="0"/>
        <w:snapToGrid w:val="0"/>
        <w:ind w:firstLine="480" w:firstLineChars="200"/>
        <w:rPr>
          <w:color w:val="auto"/>
          <w:highlight w:val="none"/>
        </w:rPr>
      </w:pPr>
      <w:r>
        <w:rPr>
          <w:rFonts w:hint="eastAsia"/>
          <w:color w:val="auto"/>
          <w:highlight w:val="none"/>
        </w:rPr>
        <w:t>1.3.2.1 适用于工程的国家标准、行业标准、工程所在地的地方性标准，以及相应的规范、规程等，合同当事人有特别要求的，应在专用合同条款中约定。</w:t>
      </w:r>
    </w:p>
    <w:p w14:paraId="5BC56281">
      <w:pPr>
        <w:adjustRightInd w:val="0"/>
        <w:snapToGrid w:val="0"/>
        <w:ind w:firstLine="480" w:firstLineChars="200"/>
        <w:rPr>
          <w:color w:val="auto"/>
          <w:highlight w:val="none"/>
        </w:rPr>
      </w:pPr>
      <w:r>
        <w:rPr>
          <w:rFonts w:hint="eastAsia"/>
          <w:color w:val="auto"/>
          <w:highlight w:val="none"/>
        </w:rPr>
        <w:t>1.3.2.2 发包人要求使用国外标准、规范的，发包人负责提供原文版本和中文译本，并在专用合同条款中约定提供标准规范的名称、份数和时间。</w:t>
      </w:r>
    </w:p>
    <w:p w14:paraId="141998AA">
      <w:pPr>
        <w:adjustRightInd w:val="0"/>
        <w:snapToGrid w:val="0"/>
        <w:ind w:firstLine="480" w:firstLineChars="200"/>
        <w:rPr>
          <w:color w:val="auto"/>
          <w:highlight w:val="none"/>
        </w:rPr>
      </w:pPr>
      <w:r>
        <w:rPr>
          <w:rFonts w:hint="eastAsia"/>
          <w:color w:val="auto"/>
          <w:highlight w:val="none"/>
        </w:rPr>
        <w:t>1.3.2.3 发包人对工程的技术标准、功能要求高于或严于现行国家、行业或地方标准的，应当在专用合同条款中予以明确。除专用合同条款另有约定外，应视为承包人在签订合同前已充分预见前述技术标准和功能要求的复杂程序，签约合同价中已包含由此产生的费用。</w:t>
      </w:r>
    </w:p>
    <w:p w14:paraId="74C2AD5E">
      <w:pPr>
        <w:adjustRightInd w:val="0"/>
        <w:snapToGrid w:val="0"/>
        <w:ind w:firstLine="482" w:firstLineChars="200"/>
        <w:rPr>
          <w:b/>
          <w:color w:val="auto"/>
          <w:highlight w:val="none"/>
        </w:rPr>
      </w:pPr>
      <w:r>
        <w:rPr>
          <w:rFonts w:hint="eastAsia"/>
          <w:b/>
          <w:color w:val="auto"/>
          <w:highlight w:val="none"/>
        </w:rPr>
        <w:t>1.4 合同文件的优先顺序</w:t>
      </w:r>
    </w:p>
    <w:p w14:paraId="1135E51B">
      <w:pPr>
        <w:adjustRightInd w:val="0"/>
        <w:snapToGrid w:val="0"/>
        <w:ind w:firstLine="480" w:firstLineChars="200"/>
        <w:rPr>
          <w:color w:val="auto"/>
          <w:highlight w:val="none"/>
        </w:rPr>
      </w:pPr>
      <w:r>
        <w:rPr>
          <w:rFonts w:hint="eastAsia"/>
          <w:color w:val="auto"/>
          <w:highlight w:val="none"/>
        </w:rPr>
        <w:t>组成合同的各项文件应互相解释，互为说明。除专用合同条款另有约定外，解释合同文件的优先顺序如下：</w:t>
      </w:r>
    </w:p>
    <w:p w14:paraId="08C3425C">
      <w:pPr>
        <w:adjustRightInd w:val="0"/>
        <w:snapToGrid w:val="0"/>
        <w:ind w:firstLine="480" w:firstLineChars="200"/>
        <w:rPr>
          <w:color w:val="auto"/>
          <w:highlight w:val="none"/>
        </w:rPr>
      </w:pPr>
      <w:r>
        <w:rPr>
          <w:rFonts w:hint="eastAsia"/>
          <w:color w:val="auto"/>
          <w:highlight w:val="none"/>
        </w:rPr>
        <w:t>（1）合同协议书；</w:t>
      </w:r>
    </w:p>
    <w:p w14:paraId="06D4B05A">
      <w:pPr>
        <w:adjustRightInd w:val="0"/>
        <w:snapToGrid w:val="0"/>
        <w:ind w:firstLine="480" w:firstLineChars="200"/>
        <w:rPr>
          <w:color w:val="auto"/>
          <w:highlight w:val="none"/>
        </w:rPr>
      </w:pPr>
      <w:r>
        <w:rPr>
          <w:rFonts w:hint="eastAsia"/>
          <w:color w:val="auto"/>
          <w:highlight w:val="none"/>
        </w:rPr>
        <w:t>（2）中标通知书；</w:t>
      </w:r>
    </w:p>
    <w:p w14:paraId="0A01EA85">
      <w:pPr>
        <w:adjustRightInd w:val="0"/>
        <w:snapToGrid w:val="0"/>
        <w:ind w:firstLine="480" w:firstLineChars="200"/>
        <w:rPr>
          <w:color w:val="auto"/>
          <w:highlight w:val="none"/>
        </w:rPr>
      </w:pPr>
      <w:r>
        <w:rPr>
          <w:rFonts w:hint="eastAsia"/>
          <w:color w:val="auto"/>
          <w:highlight w:val="none"/>
        </w:rPr>
        <w:t>（3）投标函及附录；</w:t>
      </w:r>
    </w:p>
    <w:p w14:paraId="3C928C2F">
      <w:pPr>
        <w:adjustRightInd w:val="0"/>
        <w:snapToGrid w:val="0"/>
        <w:ind w:firstLine="480" w:firstLineChars="200"/>
        <w:rPr>
          <w:color w:val="auto"/>
          <w:highlight w:val="none"/>
        </w:rPr>
      </w:pPr>
      <w:r>
        <w:rPr>
          <w:rFonts w:hint="eastAsia"/>
          <w:color w:val="auto"/>
          <w:highlight w:val="none"/>
        </w:rPr>
        <w:t>（4）专用合同条款；</w:t>
      </w:r>
    </w:p>
    <w:p w14:paraId="0581E67D">
      <w:pPr>
        <w:adjustRightInd w:val="0"/>
        <w:snapToGrid w:val="0"/>
        <w:ind w:firstLine="480" w:firstLineChars="200"/>
        <w:rPr>
          <w:color w:val="auto"/>
          <w:highlight w:val="none"/>
        </w:rPr>
      </w:pPr>
      <w:r>
        <w:rPr>
          <w:rFonts w:hint="eastAsia"/>
          <w:color w:val="auto"/>
          <w:highlight w:val="none"/>
        </w:rPr>
        <w:t>（5）通用合同条款；</w:t>
      </w:r>
    </w:p>
    <w:p w14:paraId="22F8614C">
      <w:pPr>
        <w:adjustRightInd w:val="0"/>
        <w:snapToGrid w:val="0"/>
        <w:ind w:firstLine="480" w:firstLineChars="200"/>
        <w:rPr>
          <w:color w:val="auto"/>
          <w:highlight w:val="none"/>
        </w:rPr>
      </w:pPr>
      <w:r>
        <w:rPr>
          <w:rFonts w:hint="eastAsia"/>
          <w:color w:val="auto"/>
          <w:highlight w:val="none"/>
        </w:rPr>
        <w:t>（6）技术规格及要求；</w:t>
      </w:r>
    </w:p>
    <w:p w14:paraId="420832C0">
      <w:pPr>
        <w:adjustRightInd w:val="0"/>
        <w:snapToGrid w:val="0"/>
        <w:ind w:firstLine="480" w:firstLineChars="200"/>
        <w:rPr>
          <w:color w:val="auto"/>
          <w:highlight w:val="none"/>
        </w:rPr>
      </w:pPr>
      <w:r>
        <w:rPr>
          <w:rFonts w:hint="eastAsia"/>
          <w:color w:val="auto"/>
          <w:highlight w:val="none"/>
        </w:rPr>
        <w:t>（7）合同附件；</w:t>
      </w:r>
    </w:p>
    <w:p w14:paraId="019E82E6">
      <w:pPr>
        <w:adjustRightInd w:val="0"/>
        <w:snapToGrid w:val="0"/>
        <w:ind w:firstLine="480" w:firstLineChars="200"/>
        <w:rPr>
          <w:color w:val="auto"/>
          <w:highlight w:val="none"/>
        </w:rPr>
      </w:pPr>
      <w:r>
        <w:rPr>
          <w:rFonts w:hint="eastAsia"/>
          <w:color w:val="auto"/>
          <w:highlight w:val="none"/>
        </w:rPr>
        <w:t>（8）招标文件；</w:t>
      </w:r>
    </w:p>
    <w:p w14:paraId="1773EC5C">
      <w:pPr>
        <w:adjustRightInd w:val="0"/>
        <w:snapToGrid w:val="0"/>
        <w:ind w:firstLine="480" w:firstLineChars="200"/>
        <w:rPr>
          <w:color w:val="auto"/>
          <w:highlight w:val="none"/>
        </w:rPr>
      </w:pPr>
      <w:r>
        <w:rPr>
          <w:rFonts w:hint="eastAsia"/>
          <w:color w:val="auto"/>
          <w:highlight w:val="none"/>
        </w:rPr>
        <w:t>（9）投标文件；</w:t>
      </w:r>
    </w:p>
    <w:p w14:paraId="65E31843">
      <w:pPr>
        <w:adjustRightInd w:val="0"/>
        <w:snapToGrid w:val="0"/>
        <w:ind w:firstLine="480" w:firstLineChars="200"/>
        <w:rPr>
          <w:color w:val="auto"/>
          <w:highlight w:val="none"/>
        </w:rPr>
      </w:pPr>
      <w:r>
        <w:rPr>
          <w:rFonts w:hint="eastAsia"/>
          <w:color w:val="auto"/>
          <w:highlight w:val="none"/>
        </w:rPr>
        <w:t>（10）其他合同文件。</w:t>
      </w:r>
    </w:p>
    <w:p w14:paraId="126026B3">
      <w:pPr>
        <w:adjustRightInd w:val="0"/>
        <w:snapToGrid w:val="0"/>
        <w:ind w:firstLine="480" w:firstLineChars="200"/>
        <w:rPr>
          <w:color w:val="auto"/>
          <w:highlight w:val="none"/>
        </w:rPr>
      </w:pPr>
      <w:r>
        <w:rPr>
          <w:rFonts w:hint="eastAsia"/>
          <w:color w:val="auto"/>
          <w:highlight w:val="none"/>
        </w:rPr>
        <w:t>上述各项合同文件包括合同当事人就该项合同文件所作出的补充和修改，属于同一类内容的文件，应以最新签署的为准。</w:t>
      </w:r>
    </w:p>
    <w:p w14:paraId="077391CA">
      <w:pPr>
        <w:adjustRightInd w:val="0"/>
        <w:snapToGrid w:val="0"/>
        <w:ind w:firstLine="480" w:firstLineChars="200"/>
        <w:rPr>
          <w:color w:val="auto"/>
          <w:highlight w:val="none"/>
        </w:rPr>
      </w:pPr>
      <w:r>
        <w:rPr>
          <w:rFonts w:hint="eastAsia"/>
          <w:color w:val="auto"/>
          <w:highlight w:val="none"/>
        </w:rPr>
        <w:t>在招标投标、合同订立及履行过程中形成的与合同有关的文件均构成合同文件组成部分，并根据其性质确定优先解释顺序。</w:t>
      </w:r>
    </w:p>
    <w:p w14:paraId="052B4471">
      <w:pPr>
        <w:adjustRightInd w:val="0"/>
        <w:snapToGrid w:val="0"/>
        <w:ind w:firstLine="482" w:firstLineChars="200"/>
        <w:rPr>
          <w:b/>
          <w:color w:val="auto"/>
          <w:highlight w:val="none"/>
        </w:rPr>
      </w:pPr>
      <w:r>
        <w:rPr>
          <w:rFonts w:hint="eastAsia"/>
          <w:b/>
          <w:color w:val="auto"/>
          <w:highlight w:val="none"/>
        </w:rPr>
        <w:t>1.5 图纸和承包人文件</w:t>
      </w:r>
    </w:p>
    <w:p w14:paraId="13737AD1">
      <w:pPr>
        <w:adjustRightInd w:val="0"/>
        <w:snapToGrid w:val="0"/>
        <w:ind w:firstLine="480" w:firstLineChars="200"/>
        <w:rPr>
          <w:color w:val="auto"/>
          <w:highlight w:val="none"/>
        </w:rPr>
      </w:pPr>
      <w:r>
        <w:rPr>
          <w:rFonts w:hint="eastAsia"/>
          <w:color w:val="auto"/>
          <w:highlight w:val="none"/>
        </w:rPr>
        <w:t>1.5.1 图纸的提供和交底</w:t>
      </w:r>
    </w:p>
    <w:p w14:paraId="4D940842">
      <w:pPr>
        <w:adjustRightInd w:val="0"/>
        <w:snapToGrid w:val="0"/>
        <w:ind w:firstLine="480" w:firstLineChars="200"/>
        <w:rPr>
          <w:color w:val="auto"/>
          <w:highlight w:val="none"/>
        </w:rPr>
      </w:pPr>
      <w:r>
        <w:rPr>
          <w:rFonts w:hint="eastAsia"/>
          <w:color w:val="auto"/>
          <w:highlight w:val="none"/>
        </w:rPr>
        <w:t>发包人应按照专用合同条款约定的期限、数量和内容向承包人免费提供图纸，并组织承包人、监理人和设计人进行图纸会审和设计交底。发包人至迟不得晚于开工通知中载明的开工日期前14天向承包人提供图纸。</w:t>
      </w:r>
    </w:p>
    <w:p w14:paraId="475C4062">
      <w:pPr>
        <w:adjustRightInd w:val="0"/>
        <w:snapToGrid w:val="0"/>
        <w:ind w:firstLine="480" w:firstLineChars="200"/>
        <w:rPr>
          <w:color w:val="auto"/>
          <w:highlight w:val="none"/>
        </w:rPr>
      </w:pPr>
      <w:r>
        <w:rPr>
          <w:rFonts w:hint="eastAsia"/>
          <w:color w:val="auto"/>
          <w:highlight w:val="none"/>
        </w:rPr>
        <w:t>因发包人未按合同约定提供图纸，由发包人承担由此延误的工期，按照合同约定承担增加的费用。</w:t>
      </w:r>
    </w:p>
    <w:p w14:paraId="1A55EB11">
      <w:pPr>
        <w:adjustRightInd w:val="0"/>
        <w:snapToGrid w:val="0"/>
        <w:ind w:firstLine="480" w:firstLineChars="200"/>
        <w:rPr>
          <w:color w:val="auto"/>
          <w:highlight w:val="none"/>
        </w:rPr>
      </w:pPr>
      <w:r>
        <w:rPr>
          <w:rFonts w:hint="eastAsia"/>
          <w:color w:val="auto"/>
          <w:highlight w:val="none"/>
        </w:rPr>
        <w:t>1.5.2 图纸的错误</w:t>
      </w:r>
    </w:p>
    <w:p w14:paraId="1567AAE0">
      <w:pPr>
        <w:adjustRightInd w:val="0"/>
        <w:snapToGrid w:val="0"/>
        <w:ind w:firstLine="480" w:firstLineChars="200"/>
        <w:rPr>
          <w:color w:val="auto"/>
          <w:highlight w:val="none"/>
        </w:rPr>
      </w:pPr>
      <w:r>
        <w:rPr>
          <w:rFonts w:hint="eastAsia"/>
          <w:color w:val="auto"/>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6338F02C">
      <w:pPr>
        <w:adjustRightInd w:val="0"/>
        <w:snapToGrid w:val="0"/>
        <w:ind w:firstLine="480" w:firstLineChars="200"/>
        <w:rPr>
          <w:color w:val="auto"/>
          <w:highlight w:val="none"/>
        </w:rPr>
      </w:pPr>
      <w:r>
        <w:rPr>
          <w:rFonts w:hint="eastAsia"/>
          <w:color w:val="auto"/>
          <w:highlight w:val="none"/>
        </w:rPr>
        <w:t>1.5.3 图纸的修改和补充</w:t>
      </w:r>
    </w:p>
    <w:p w14:paraId="02A85B42">
      <w:pPr>
        <w:adjustRightInd w:val="0"/>
        <w:snapToGrid w:val="0"/>
        <w:ind w:firstLine="480" w:firstLineChars="200"/>
        <w:rPr>
          <w:color w:val="auto"/>
          <w:highlight w:val="none"/>
        </w:rPr>
      </w:pPr>
      <w:r>
        <w:rPr>
          <w:rFonts w:hint="eastAsia"/>
          <w:color w:val="auto"/>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71588965">
      <w:pPr>
        <w:adjustRightInd w:val="0"/>
        <w:snapToGrid w:val="0"/>
        <w:ind w:firstLine="480" w:firstLineChars="200"/>
        <w:rPr>
          <w:color w:val="auto"/>
          <w:highlight w:val="none"/>
        </w:rPr>
      </w:pPr>
      <w:r>
        <w:rPr>
          <w:rFonts w:hint="eastAsia"/>
          <w:color w:val="auto"/>
          <w:highlight w:val="none"/>
        </w:rPr>
        <w:t>1.5.4 承包人文件</w:t>
      </w:r>
    </w:p>
    <w:p w14:paraId="43A79419">
      <w:pPr>
        <w:adjustRightInd w:val="0"/>
        <w:snapToGrid w:val="0"/>
        <w:ind w:firstLine="480" w:firstLineChars="200"/>
        <w:rPr>
          <w:color w:val="auto"/>
          <w:highlight w:val="none"/>
        </w:rPr>
      </w:pPr>
      <w:r>
        <w:rPr>
          <w:rFonts w:hint="eastAsia"/>
          <w:color w:val="auto"/>
          <w:highlight w:val="none"/>
        </w:rPr>
        <w:t>承包人应按照专用合同条款的约定提供应当由其编制的与工程施工有关的文件，并按照专用合同条款约定的期限、数量和形式提交监理人，并由监理人报送发包人。</w:t>
      </w:r>
    </w:p>
    <w:p w14:paraId="72D83EB3">
      <w:pPr>
        <w:adjustRightInd w:val="0"/>
        <w:snapToGrid w:val="0"/>
        <w:ind w:firstLine="480" w:firstLineChars="200"/>
        <w:rPr>
          <w:color w:val="auto"/>
          <w:highlight w:val="none"/>
        </w:rPr>
      </w:pPr>
      <w:r>
        <w:rPr>
          <w:rFonts w:hint="eastAsia"/>
          <w:color w:val="auto"/>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7025D30">
      <w:pPr>
        <w:adjustRightInd w:val="0"/>
        <w:snapToGrid w:val="0"/>
        <w:ind w:firstLine="480" w:firstLineChars="200"/>
        <w:rPr>
          <w:color w:val="auto"/>
          <w:highlight w:val="none"/>
        </w:rPr>
      </w:pPr>
      <w:r>
        <w:rPr>
          <w:rFonts w:hint="eastAsia"/>
          <w:color w:val="auto"/>
          <w:highlight w:val="none"/>
        </w:rPr>
        <w:t>1.5.5 图纸和承包人文件的保管</w:t>
      </w:r>
    </w:p>
    <w:p w14:paraId="1137A15B">
      <w:pPr>
        <w:adjustRightInd w:val="0"/>
        <w:snapToGrid w:val="0"/>
        <w:ind w:firstLine="480" w:firstLineChars="200"/>
        <w:rPr>
          <w:color w:val="auto"/>
          <w:highlight w:val="none"/>
        </w:rPr>
      </w:pPr>
      <w:r>
        <w:rPr>
          <w:rFonts w:hint="eastAsia"/>
          <w:color w:val="auto"/>
          <w:highlight w:val="none"/>
        </w:rPr>
        <w:t>除专用合同条款另有约定外，承包人应在施工现场另外保存一套完整的图纸和承包人文件，供发包人、监理人及有关人员进行工程检查时使用。</w:t>
      </w:r>
    </w:p>
    <w:p w14:paraId="3CF7442C">
      <w:pPr>
        <w:adjustRightInd w:val="0"/>
        <w:snapToGrid w:val="0"/>
        <w:ind w:firstLine="482" w:firstLineChars="200"/>
        <w:rPr>
          <w:b/>
          <w:color w:val="auto"/>
          <w:highlight w:val="none"/>
        </w:rPr>
      </w:pPr>
      <w:r>
        <w:rPr>
          <w:rFonts w:hint="eastAsia"/>
          <w:b/>
          <w:color w:val="auto"/>
          <w:highlight w:val="none"/>
        </w:rPr>
        <w:t>1.6 联络</w:t>
      </w:r>
    </w:p>
    <w:p w14:paraId="159D3C37">
      <w:pPr>
        <w:adjustRightInd w:val="0"/>
        <w:snapToGrid w:val="0"/>
        <w:ind w:firstLine="480" w:firstLineChars="200"/>
        <w:rPr>
          <w:color w:val="auto"/>
          <w:highlight w:val="none"/>
        </w:rPr>
      </w:pPr>
      <w:r>
        <w:rPr>
          <w:rFonts w:hint="eastAsia"/>
          <w:color w:val="auto"/>
          <w:highlight w:val="none"/>
        </w:rPr>
        <w:t>1.6.1与合同有关的通知、批准、证明、证书、指示、要求、请求、同意、意见、确定和决定等，均应采用书面形式。</w:t>
      </w:r>
    </w:p>
    <w:p w14:paraId="1DAF6EA4">
      <w:pPr>
        <w:adjustRightInd w:val="0"/>
        <w:snapToGrid w:val="0"/>
        <w:ind w:firstLine="480" w:firstLineChars="200"/>
        <w:rPr>
          <w:color w:val="auto"/>
          <w:highlight w:val="none"/>
        </w:rPr>
      </w:pPr>
      <w:r>
        <w:rPr>
          <w:rFonts w:hint="eastAsia"/>
          <w:color w:val="auto"/>
          <w:highlight w:val="none"/>
        </w:rPr>
        <w:t>1.6.2 第1.6.1项中的通知、批准、证明、证书、指示、要求、请求、同意、意见、确定和决定等来往函件，均应在合同约定的期限内送达指定的地点和指定的接收人，并办理签收手续。</w:t>
      </w:r>
    </w:p>
    <w:p w14:paraId="641B0457">
      <w:pPr>
        <w:adjustRightInd w:val="0"/>
        <w:snapToGrid w:val="0"/>
        <w:ind w:firstLine="480" w:firstLineChars="200"/>
        <w:rPr>
          <w:color w:val="auto"/>
          <w:highlight w:val="none"/>
        </w:rPr>
      </w:pPr>
      <w:r>
        <w:rPr>
          <w:rFonts w:hint="eastAsia"/>
          <w:color w:val="auto"/>
          <w:highlight w:val="none"/>
        </w:rPr>
        <w:t>1.6.3 双方指定的联络人及其联系地址、电话、邮箱、传真发生变更时，应书面通知对方。</w:t>
      </w:r>
    </w:p>
    <w:p w14:paraId="0394BA78">
      <w:pPr>
        <w:adjustRightInd w:val="0"/>
        <w:snapToGrid w:val="0"/>
        <w:ind w:firstLine="482" w:firstLineChars="200"/>
        <w:rPr>
          <w:b/>
          <w:color w:val="auto"/>
          <w:highlight w:val="none"/>
        </w:rPr>
      </w:pPr>
      <w:r>
        <w:rPr>
          <w:rFonts w:hint="eastAsia"/>
          <w:b/>
          <w:color w:val="auto"/>
          <w:highlight w:val="none"/>
        </w:rPr>
        <w:t>1.7 严禁贿赂</w:t>
      </w:r>
    </w:p>
    <w:p w14:paraId="15DFDB45">
      <w:pPr>
        <w:adjustRightInd w:val="0"/>
        <w:snapToGrid w:val="0"/>
        <w:ind w:firstLine="480" w:firstLineChars="200"/>
        <w:rPr>
          <w:color w:val="auto"/>
          <w:highlight w:val="none"/>
        </w:rPr>
      </w:pPr>
      <w:r>
        <w:rPr>
          <w:rFonts w:hint="eastAsia"/>
          <w:color w:val="auto"/>
          <w:highlight w:val="none"/>
        </w:rPr>
        <w:t>1.7.1承包人及其雇员、承包人的代理人、承包人选择的分包人不得采用贿赂等违法违规或不正当手段获取合同。对承包人违反本条款规定的，发包人有权立即解除合同。</w:t>
      </w:r>
    </w:p>
    <w:p w14:paraId="4E333BB9">
      <w:pPr>
        <w:adjustRightInd w:val="0"/>
        <w:snapToGrid w:val="0"/>
        <w:ind w:firstLine="480" w:firstLineChars="200"/>
        <w:rPr>
          <w:color w:val="auto"/>
          <w:highlight w:val="none"/>
        </w:rPr>
      </w:pPr>
      <w:r>
        <w:rPr>
          <w:rFonts w:hint="eastAsia"/>
          <w:color w:val="auto"/>
          <w:highlight w:val="none"/>
        </w:rPr>
        <w:t>1.7.2 合同双方当事人不得以贿赂或变相贿赂的方式，谋取不当利益或损害对方权益。因贿赂造成对方损失的，行为人应赔偿损失，并承担相应的法律责任。</w:t>
      </w:r>
    </w:p>
    <w:p w14:paraId="37AD4E23">
      <w:pPr>
        <w:adjustRightInd w:val="0"/>
        <w:snapToGrid w:val="0"/>
        <w:ind w:firstLine="480" w:firstLineChars="200"/>
        <w:rPr>
          <w:color w:val="auto"/>
          <w:highlight w:val="none"/>
        </w:rPr>
      </w:pPr>
      <w:r>
        <w:rPr>
          <w:rFonts w:hint="eastAsia"/>
          <w:color w:val="auto"/>
          <w:highlight w:val="none"/>
        </w:rPr>
        <w:t>1.7.3 承包人不得与监理人或发包人聘请的第三方串通损害发包人利益。未经发包人书面同意，承包人不得为监理人提供合同约定以外的通讯设备、交通工具及其他任何形式的利益，不得向监理人支付报酬。</w:t>
      </w:r>
    </w:p>
    <w:p w14:paraId="725A884E">
      <w:pPr>
        <w:adjustRightInd w:val="0"/>
        <w:snapToGrid w:val="0"/>
        <w:ind w:firstLine="482" w:firstLineChars="200"/>
        <w:rPr>
          <w:b/>
          <w:color w:val="auto"/>
          <w:highlight w:val="none"/>
        </w:rPr>
      </w:pPr>
      <w:r>
        <w:rPr>
          <w:rFonts w:hint="eastAsia"/>
          <w:b/>
          <w:color w:val="auto"/>
          <w:highlight w:val="none"/>
        </w:rPr>
        <w:t>1.8 化石、文物</w:t>
      </w:r>
    </w:p>
    <w:p w14:paraId="77E35F5D">
      <w:pPr>
        <w:adjustRightInd w:val="0"/>
        <w:snapToGrid w:val="0"/>
        <w:ind w:firstLine="480" w:firstLineChars="200"/>
        <w:rPr>
          <w:color w:val="auto"/>
          <w:highlight w:val="none"/>
        </w:rPr>
      </w:pPr>
      <w:r>
        <w:rPr>
          <w:rFonts w:hint="eastAsia"/>
          <w:color w:val="auto"/>
          <w:highlight w:val="none"/>
        </w:rPr>
        <w:t>1.8.1 在施工现场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的保护措施，由此增加的费用和（或）延误的工期由发包人承担。</w:t>
      </w:r>
    </w:p>
    <w:p w14:paraId="429D6AEF">
      <w:pPr>
        <w:adjustRightInd w:val="0"/>
        <w:snapToGrid w:val="0"/>
        <w:ind w:firstLine="422" w:firstLineChars="176"/>
        <w:rPr>
          <w:color w:val="auto"/>
          <w:highlight w:val="none"/>
        </w:rPr>
      </w:pPr>
      <w:r>
        <w:rPr>
          <w:rFonts w:hint="eastAsia"/>
          <w:color w:val="auto"/>
          <w:highlight w:val="none"/>
        </w:rPr>
        <w:t>1.8.2 承包人发现文物后不及时报告或隐瞒不报，致使文物丢失或损坏的，应赔偿损失，并承担相应的法律责任。</w:t>
      </w:r>
    </w:p>
    <w:p w14:paraId="6411BBCF">
      <w:pPr>
        <w:adjustRightInd w:val="0"/>
        <w:snapToGrid w:val="0"/>
        <w:ind w:firstLine="424" w:firstLineChars="176"/>
        <w:rPr>
          <w:b/>
          <w:color w:val="auto"/>
          <w:highlight w:val="none"/>
        </w:rPr>
      </w:pPr>
      <w:bookmarkStart w:id="31" w:name="_Toc402863427"/>
      <w:r>
        <w:rPr>
          <w:rFonts w:hint="eastAsia"/>
          <w:b/>
          <w:color w:val="auto"/>
          <w:highlight w:val="none"/>
        </w:rPr>
        <w:t>1.9 交通运输</w:t>
      </w:r>
      <w:bookmarkEnd w:id="31"/>
    </w:p>
    <w:p w14:paraId="3AB72E38">
      <w:pPr>
        <w:adjustRightInd w:val="0"/>
        <w:snapToGrid w:val="0"/>
        <w:ind w:firstLine="422" w:firstLineChars="176"/>
        <w:rPr>
          <w:color w:val="auto"/>
          <w:highlight w:val="none"/>
        </w:rPr>
      </w:pPr>
      <w:r>
        <w:rPr>
          <w:rFonts w:hint="eastAsia"/>
          <w:color w:val="auto"/>
          <w:highlight w:val="none"/>
        </w:rPr>
        <w:t>1.9.1 出入现场的权利</w:t>
      </w:r>
    </w:p>
    <w:p w14:paraId="7D8ECC87">
      <w:pPr>
        <w:adjustRightInd w:val="0"/>
        <w:snapToGrid w:val="0"/>
        <w:ind w:firstLine="422" w:firstLineChars="176"/>
        <w:rPr>
          <w:color w:val="auto"/>
          <w:highlight w:val="none"/>
        </w:rPr>
      </w:pPr>
      <w:r>
        <w:rPr>
          <w:rFonts w:hint="eastAsia"/>
          <w:color w:val="auto"/>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FBC6295">
      <w:pPr>
        <w:adjustRightInd w:val="0"/>
        <w:snapToGrid w:val="0"/>
        <w:ind w:firstLine="422" w:firstLineChars="176"/>
        <w:rPr>
          <w:color w:val="auto"/>
          <w:highlight w:val="none"/>
        </w:rPr>
      </w:pPr>
      <w:r>
        <w:rPr>
          <w:rFonts w:hint="eastAsia"/>
          <w:color w:val="auto"/>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3D3AFFE">
      <w:pPr>
        <w:adjustRightInd w:val="0"/>
        <w:snapToGrid w:val="0"/>
        <w:ind w:firstLine="422" w:firstLineChars="176"/>
        <w:rPr>
          <w:color w:val="auto"/>
          <w:highlight w:val="none"/>
        </w:rPr>
      </w:pPr>
      <w:r>
        <w:rPr>
          <w:rFonts w:hint="eastAsia"/>
          <w:color w:val="auto"/>
          <w:highlight w:val="none"/>
        </w:rPr>
        <w:t>1.9.2 场外交通</w:t>
      </w:r>
    </w:p>
    <w:p w14:paraId="7DCB63EB">
      <w:pPr>
        <w:adjustRightInd w:val="0"/>
        <w:snapToGrid w:val="0"/>
        <w:ind w:firstLine="422" w:firstLineChars="176"/>
        <w:rPr>
          <w:color w:val="auto"/>
          <w:highlight w:val="none"/>
        </w:rPr>
      </w:pPr>
      <w:r>
        <w:rPr>
          <w:rFonts w:hint="eastAsia"/>
          <w:color w:val="auto"/>
          <w:highlight w:val="none"/>
        </w:rPr>
        <w:t>（1）承包人车辆外出行驶所需的场外公共道路的通行费、养路费和税款等由承包人承担。</w:t>
      </w:r>
    </w:p>
    <w:p w14:paraId="53089AEC">
      <w:pPr>
        <w:adjustRightInd w:val="0"/>
        <w:snapToGrid w:val="0"/>
        <w:ind w:firstLine="422" w:firstLineChars="176"/>
        <w:rPr>
          <w:color w:val="auto"/>
          <w:highlight w:val="none"/>
        </w:rPr>
      </w:pPr>
      <w:r>
        <w:rPr>
          <w:rFonts w:hint="eastAsia"/>
          <w:color w:val="auto"/>
          <w:highlight w:val="none"/>
        </w:rPr>
        <w:t>（2）发包人应提供场外交通设施的技术参数和具体条件，承包人应遵守有关交通法规，严格按照道路和桥梁的限制荷重安全行驶，执行有关道路限速、限行、禁止超载的规定，并服从交通管理部门的检查和监督。</w:t>
      </w:r>
    </w:p>
    <w:p w14:paraId="320962CF">
      <w:pPr>
        <w:adjustRightInd w:val="0"/>
        <w:snapToGrid w:val="0"/>
        <w:ind w:firstLine="422" w:firstLineChars="176"/>
        <w:rPr>
          <w:color w:val="auto"/>
          <w:highlight w:val="none"/>
        </w:rPr>
      </w:pPr>
      <w:r>
        <w:rPr>
          <w:rFonts w:hint="eastAsia"/>
          <w:color w:val="auto"/>
          <w:highlight w:val="none"/>
        </w:rPr>
        <w:t>（3）场外交通设施无法满足工程施工需要的，由发包人负责完善并承担相关费用。</w:t>
      </w:r>
    </w:p>
    <w:p w14:paraId="3F427EFB">
      <w:pPr>
        <w:adjustRightInd w:val="0"/>
        <w:snapToGrid w:val="0"/>
        <w:ind w:firstLine="422" w:firstLineChars="176"/>
        <w:rPr>
          <w:color w:val="auto"/>
          <w:highlight w:val="none"/>
        </w:rPr>
      </w:pPr>
      <w:r>
        <w:rPr>
          <w:rFonts w:hint="eastAsia"/>
          <w:color w:val="auto"/>
          <w:highlight w:val="none"/>
        </w:rPr>
        <w:t>1.9.3 场内交通</w:t>
      </w:r>
    </w:p>
    <w:p w14:paraId="751DD333">
      <w:pPr>
        <w:adjustRightInd w:val="0"/>
        <w:snapToGrid w:val="0"/>
        <w:ind w:firstLine="422" w:firstLineChars="176"/>
        <w:rPr>
          <w:color w:val="auto"/>
          <w:highlight w:val="none"/>
        </w:rPr>
      </w:pPr>
      <w:r>
        <w:rPr>
          <w:rFonts w:hint="eastAsia"/>
          <w:color w:val="auto"/>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485B144">
      <w:pPr>
        <w:adjustRightInd w:val="0"/>
        <w:snapToGrid w:val="0"/>
        <w:ind w:firstLine="480" w:firstLineChars="200"/>
        <w:rPr>
          <w:color w:val="auto"/>
          <w:highlight w:val="none"/>
        </w:rPr>
      </w:pPr>
      <w:r>
        <w:rPr>
          <w:rFonts w:hint="eastAsia"/>
          <w:color w:val="auto"/>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886D588">
      <w:pPr>
        <w:adjustRightInd w:val="0"/>
        <w:snapToGrid w:val="0"/>
        <w:ind w:firstLine="480" w:firstLineChars="200"/>
        <w:rPr>
          <w:color w:val="auto"/>
          <w:highlight w:val="none"/>
        </w:rPr>
      </w:pPr>
      <w:r>
        <w:rPr>
          <w:rFonts w:hint="eastAsia"/>
          <w:color w:val="auto"/>
          <w:highlight w:val="none"/>
        </w:rPr>
        <w:t>场外交通和场内交通的边界由合同当事人在专用合同条款中约定。</w:t>
      </w:r>
    </w:p>
    <w:p w14:paraId="4DDAC39D">
      <w:pPr>
        <w:adjustRightInd w:val="0"/>
        <w:snapToGrid w:val="0"/>
        <w:ind w:firstLine="480" w:firstLineChars="200"/>
        <w:rPr>
          <w:color w:val="auto"/>
          <w:highlight w:val="none"/>
        </w:rPr>
      </w:pPr>
      <w:r>
        <w:rPr>
          <w:rFonts w:hint="eastAsia"/>
          <w:color w:val="auto"/>
          <w:highlight w:val="none"/>
        </w:rPr>
        <w:t>1.9.4 超大件和超重件的运输</w:t>
      </w:r>
    </w:p>
    <w:p w14:paraId="5D321D16">
      <w:pPr>
        <w:adjustRightInd w:val="0"/>
        <w:snapToGrid w:val="0"/>
        <w:ind w:firstLine="480" w:firstLineChars="200"/>
        <w:rPr>
          <w:color w:val="auto"/>
          <w:highlight w:val="none"/>
        </w:rPr>
      </w:pPr>
      <w:r>
        <w:rPr>
          <w:rFonts w:hint="eastAsia"/>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5881452">
      <w:pPr>
        <w:adjustRightInd w:val="0"/>
        <w:snapToGrid w:val="0"/>
        <w:ind w:firstLine="480" w:firstLineChars="200"/>
        <w:rPr>
          <w:color w:val="auto"/>
          <w:highlight w:val="none"/>
        </w:rPr>
      </w:pPr>
      <w:r>
        <w:rPr>
          <w:rFonts w:hint="eastAsia"/>
          <w:color w:val="auto"/>
          <w:highlight w:val="none"/>
        </w:rPr>
        <w:t>1.9.5 道路和桥梁的损坏责任</w:t>
      </w:r>
    </w:p>
    <w:p w14:paraId="52DC219E">
      <w:pPr>
        <w:adjustRightInd w:val="0"/>
        <w:snapToGrid w:val="0"/>
        <w:ind w:firstLine="480" w:firstLineChars="200"/>
        <w:rPr>
          <w:color w:val="auto"/>
          <w:highlight w:val="none"/>
        </w:rPr>
      </w:pPr>
      <w:r>
        <w:rPr>
          <w:rFonts w:hint="eastAsia"/>
          <w:color w:val="auto"/>
          <w:highlight w:val="none"/>
        </w:rPr>
        <w:t>因承包人运输造成施工场地内外公共道路和桥梁损坏的，由承包人承担修复损坏的全部费用和可能引起的赔偿。</w:t>
      </w:r>
    </w:p>
    <w:p w14:paraId="0B8E23CD">
      <w:pPr>
        <w:adjustRightInd w:val="0"/>
        <w:snapToGrid w:val="0"/>
        <w:ind w:firstLine="480" w:firstLineChars="200"/>
        <w:rPr>
          <w:color w:val="auto"/>
          <w:highlight w:val="none"/>
        </w:rPr>
      </w:pPr>
      <w:r>
        <w:rPr>
          <w:rFonts w:hint="eastAsia"/>
          <w:color w:val="auto"/>
          <w:highlight w:val="none"/>
        </w:rPr>
        <w:t>1.9.6 水路和航空运输</w:t>
      </w:r>
    </w:p>
    <w:p w14:paraId="5A4425F8">
      <w:pPr>
        <w:adjustRightInd w:val="0"/>
        <w:snapToGrid w:val="0"/>
        <w:ind w:firstLine="480" w:firstLineChars="200"/>
        <w:rPr>
          <w:color w:val="auto"/>
          <w:highlight w:val="none"/>
        </w:rPr>
      </w:pPr>
      <w:r>
        <w:rPr>
          <w:rFonts w:hint="eastAsia"/>
          <w:color w:val="auto"/>
          <w:highlight w:val="none"/>
        </w:rPr>
        <w:t>本款前述各项的内容适用于水路运输和航空运输，其中“道路”一词的涵义包括河道、航线、船闸、机场、码头、堤防以及水路或航空运输中其他相似结构物；“车辆”一词的涵义包括船舶和飞机等。</w:t>
      </w:r>
    </w:p>
    <w:p w14:paraId="2C6CE852">
      <w:pPr>
        <w:adjustRightInd w:val="0"/>
        <w:snapToGrid w:val="0"/>
        <w:ind w:firstLine="482" w:firstLineChars="200"/>
        <w:rPr>
          <w:b/>
          <w:color w:val="auto"/>
          <w:highlight w:val="none"/>
        </w:rPr>
      </w:pPr>
      <w:bookmarkStart w:id="32" w:name="_Toc402863428"/>
      <w:r>
        <w:rPr>
          <w:rFonts w:hint="eastAsia"/>
          <w:b/>
          <w:color w:val="auto"/>
          <w:highlight w:val="none"/>
        </w:rPr>
        <w:t>1.10 知识产权</w:t>
      </w:r>
      <w:bookmarkEnd w:id="32"/>
      <w:r>
        <w:rPr>
          <w:rFonts w:hint="eastAsia"/>
          <w:b/>
          <w:color w:val="auto"/>
          <w:highlight w:val="none"/>
        </w:rPr>
        <w:t xml:space="preserve"> </w:t>
      </w:r>
    </w:p>
    <w:p w14:paraId="107024D7">
      <w:pPr>
        <w:adjustRightInd w:val="0"/>
        <w:snapToGrid w:val="0"/>
        <w:ind w:firstLine="480" w:firstLineChars="200"/>
        <w:rPr>
          <w:color w:val="auto"/>
          <w:highlight w:val="none"/>
        </w:rPr>
      </w:pPr>
      <w:r>
        <w:rPr>
          <w:rFonts w:hint="eastAsia"/>
          <w:color w:val="auto"/>
          <w:highlight w:val="none"/>
        </w:rPr>
        <w:t>1.10.1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8523B5C">
      <w:pPr>
        <w:adjustRightInd w:val="0"/>
        <w:snapToGrid w:val="0"/>
        <w:ind w:firstLine="480" w:firstLineChars="200"/>
        <w:rPr>
          <w:color w:val="auto"/>
          <w:highlight w:val="none"/>
        </w:rPr>
      </w:pPr>
      <w:r>
        <w:rPr>
          <w:rFonts w:hint="eastAsia"/>
          <w:color w:val="auto"/>
          <w:highlight w:val="none"/>
        </w:rPr>
        <w:t>1.10.2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6D53E5C">
      <w:pPr>
        <w:adjustRightInd w:val="0"/>
        <w:snapToGrid w:val="0"/>
        <w:ind w:firstLine="422" w:firstLineChars="176"/>
        <w:rPr>
          <w:color w:val="auto"/>
          <w:highlight w:val="none"/>
        </w:rPr>
      </w:pPr>
      <w:r>
        <w:rPr>
          <w:rFonts w:hint="eastAsia"/>
          <w:color w:val="auto"/>
          <w:highlight w:val="none"/>
        </w:rPr>
        <w:t>1.10.3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9159B4A">
      <w:pPr>
        <w:adjustRightInd w:val="0"/>
        <w:snapToGrid w:val="0"/>
        <w:ind w:firstLine="422" w:firstLineChars="176"/>
        <w:rPr>
          <w:color w:val="auto"/>
          <w:highlight w:val="none"/>
        </w:rPr>
      </w:pPr>
      <w:r>
        <w:rPr>
          <w:rFonts w:hint="eastAsia"/>
          <w:color w:val="auto"/>
          <w:highlight w:val="none"/>
        </w:rPr>
        <w:t>1.10.4 除专用合同条款另有约定外，承包人在合同签订前和签订时已确定采用的专利、专有技术、技术秘密的使用费已包含在签约合同价款中。</w:t>
      </w:r>
    </w:p>
    <w:p w14:paraId="14E21AC8">
      <w:pPr>
        <w:adjustRightInd w:val="0"/>
        <w:snapToGrid w:val="0"/>
        <w:ind w:firstLine="422" w:firstLineChars="176"/>
        <w:rPr>
          <w:color w:val="auto"/>
          <w:highlight w:val="none"/>
        </w:rPr>
      </w:pPr>
      <w:r>
        <w:rPr>
          <w:rFonts w:hint="eastAsia"/>
          <w:color w:val="auto"/>
          <w:highlight w:val="none"/>
        </w:rPr>
        <w:t>1.10.5 发包人要求使用专利技术或特殊工艺，应负责办理相应的申报手续，承担申报、试验、使用等费用；承包人提出使用专利技术或特殊工艺，应取得发包人认可，承包人负责办理申报手续并承担有关费用。</w:t>
      </w:r>
    </w:p>
    <w:p w14:paraId="387F0154">
      <w:pPr>
        <w:adjustRightInd w:val="0"/>
        <w:snapToGrid w:val="0"/>
        <w:ind w:firstLine="424" w:firstLineChars="176"/>
        <w:rPr>
          <w:b/>
          <w:color w:val="auto"/>
          <w:highlight w:val="none"/>
        </w:rPr>
      </w:pPr>
      <w:r>
        <w:rPr>
          <w:rFonts w:hint="eastAsia"/>
          <w:b/>
          <w:color w:val="auto"/>
          <w:highlight w:val="none"/>
        </w:rPr>
        <w:t>1.11 文件及信息的保密</w:t>
      </w:r>
    </w:p>
    <w:p w14:paraId="2CABDD55">
      <w:pPr>
        <w:adjustRightInd w:val="0"/>
        <w:snapToGrid w:val="0"/>
        <w:ind w:firstLine="422" w:firstLineChars="176"/>
        <w:rPr>
          <w:color w:val="auto"/>
          <w:highlight w:val="none"/>
        </w:rPr>
      </w:pPr>
      <w:r>
        <w:rPr>
          <w:rFonts w:hint="eastAsia"/>
          <w:color w:val="auto"/>
          <w:highlight w:val="none"/>
        </w:rPr>
        <w:t>1.11.1未经对方同意，任何一方当事人不得将有关文件、技术秘密、需要保密的资料和信息泄露给他人或公开发表与引用。</w:t>
      </w:r>
    </w:p>
    <w:p w14:paraId="7AF9412F">
      <w:pPr>
        <w:adjustRightInd w:val="0"/>
        <w:snapToGrid w:val="0"/>
        <w:ind w:firstLine="422" w:firstLineChars="176"/>
        <w:rPr>
          <w:color w:val="auto"/>
          <w:highlight w:val="none"/>
        </w:rPr>
      </w:pPr>
      <w:r>
        <w:rPr>
          <w:rFonts w:hint="eastAsia"/>
          <w:color w:val="auto"/>
          <w:highlight w:val="none"/>
        </w:rPr>
        <w:t>1.11.2承包人提交了符合发包人要求的所有工程交工相关资料，且经发包人代表书面确认接受后的7天内,承包人应归还从发包人直接获得或间接获得的所有资料，如所有图纸、技术数据以及其它任何资料。</w:t>
      </w:r>
    </w:p>
    <w:p w14:paraId="71EA681A">
      <w:pPr>
        <w:adjustRightInd w:val="0"/>
        <w:snapToGrid w:val="0"/>
        <w:ind w:firstLine="422" w:firstLineChars="176"/>
        <w:rPr>
          <w:color w:val="auto"/>
          <w:highlight w:val="none"/>
        </w:rPr>
      </w:pPr>
      <w:r>
        <w:rPr>
          <w:rFonts w:hint="eastAsia"/>
          <w:color w:val="auto"/>
          <w:highlight w:val="none"/>
        </w:rPr>
        <w:t>1.11.3如因承包人原因扩散失密而引起的涉外纠纷由承包人完全负责。</w:t>
      </w:r>
    </w:p>
    <w:p w14:paraId="517C8A6E">
      <w:pPr>
        <w:keepNext/>
        <w:keepLines/>
        <w:adjustRightInd w:val="0"/>
        <w:snapToGrid w:val="0"/>
        <w:outlineLvl w:val="1"/>
        <w:rPr>
          <w:rFonts w:ascii="Arial"/>
          <w:b/>
          <w:bCs/>
          <w:color w:val="auto"/>
          <w:highlight w:val="none"/>
        </w:rPr>
      </w:pPr>
      <w:bookmarkStart w:id="33" w:name="_Toc91660603"/>
      <w:bookmarkStart w:id="34" w:name="_Toc400485390"/>
      <w:bookmarkStart w:id="35" w:name="_Toc351203509"/>
      <w:bookmarkStart w:id="36" w:name="_Toc399775736"/>
      <w:bookmarkStart w:id="37" w:name="_Toc399776183"/>
      <w:bookmarkStart w:id="38" w:name="_Toc1666"/>
      <w:bookmarkStart w:id="39" w:name="_Toc256000057"/>
      <w:bookmarkStart w:id="40" w:name="_Toc117018788"/>
      <w:bookmarkStart w:id="41" w:name="_Toc99782811"/>
      <w:bookmarkStart w:id="42" w:name="_Toc400486363"/>
      <w:bookmarkStart w:id="43" w:name="_Toc81225271"/>
      <w:bookmarkStart w:id="44" w:name="_Toc399775116"/>
      <w:bookmarkStart w:id="45" w:name="_Toc119953724"/>
      <w:bookmarkStart w:id="46" w:name="_Toc400522371"/>
      <w:r>
        <w:rPr>
          <w:rFonts w:ascii="Arial"/>
          <w:b/>
          <w:bCs/>
          <w:color w:val="auto"/>
          <w:highlight w:val="none"/>
        </w:rPr>
        <w:t>2</w:t>
      </w:r>
      <w:bookmarkStart w:id="47" w:name="_Toc296503038"/>
      <w:bookmarkStart w:id="48" w:name="_Toc296346539"/>
      <w:bookmarkStart w:id="49" w:name="_Toc337558739"/>
      <w:r>
        <w:rPr>
          <w:rFonts w:ascii="Arial"/>
          <w:b/>
          <w:bCs/>
          <w:color w:val="auto"/>
          <w:highlight w:val="none"/>
        </w:rPr>
        <w:t xml:space="preserve">. </w:t>
      </w:r>
      <w:r>
        <w:rPr>
          <w:rFonts w:hint="eastAsia" w:ascii="Arial"/>
          <w:b/>
          <w:bCs/>
          <w:color w:val="auto"/>
          <w:highlight w:val="none"/>
        </w:rPr>
        <w:t>发包人</w:t>
      </w:r>
      <w:bookmarkEnd w:id="33"/>
      <w:bookmarkEnd w:id="34"/>
      <w:bookmarkEnd w:id="35"/>
      <w:bookmarkEnd w:id="36"/>
      <w:bookmarkEnd w:id="37"/>
      <w:bookmarkEnd w:id="38"/>
      <w:bookmarkEnd w:id="39"/>
      <w:bookmarkEnd w:id="40"/>
      <w:bookmarkEnd w:id="41"/>
      <w:bookmarkEnd w:id="42"/>
      <w:bookmarkEnd w:id="43"/>
      <w:bookmarkEnd w:id="44"/>
      <w:bookmarkEnd w:id="45"/>
      <w:bookmarkEnd w:id="46"/>
    </w:p>
    <w:bookmarkEnd w:id="47"/>
    <w:bookmarkEnd w:id="48"/>
    <w:bookmarkEnd w:id="49"/>
    <w:p w14:paraId="1AFA7EA9">
      <w:pPr>
        <w:adjustRightInd w:val="0"/>
        <w:snapToGrid w:val="0"/>
        <w:ind w:firstLine="482" w:firstLineChars="200"/>
        <w:rPr>
          <w:b/>
          <w:color w:val="auto"/>
          <w:highlight w:val="none"/>
        </w:rPr>
      </w:pPr>
      <w:bookmarkStart w:id="50" w:name="_Toc400485391"/>
      <w:bookmarkStart w:id="51" w:name="_Toc400486364"/>
      <w:bookmarkStart w:id="52" w:name="_Toc399776184"/>
      <w:bookmarkStart w:id="53" w:name="_Toc399775117"/>
      <w:bookmarkStart w:id="54" w:name="_Toc399775737"/>
      <w:bookmarkStart w:id="55" w:name="_Toc351203510"/>
      <w:bookmarkStart w:id="56" w:name="_Toc400522372"/>
      <w:r>
        <w:rPr>
          <w:rFonts w:hint="eastAsia"/>
          <w:b/>
          <w:color w:val="auto"/>
          <w:highlight w:val="none"/>
        </w:rPr>
        <w:t>2</w:t>
      </w:r>
      <w:bookmarkStart w:id="57" w:name="_Toc296346540"/>
      <w:bookmarkStart w:id="58" w:name="_Toc337558740"/>
      <w:bookmarkStart w:id="59" w:name="_Toc296503039"/>
      <w:r>
        <w:rPr>
          <w:rFonts w:hint="eastAsia"/>
          <w:b/>
          <w:color w:val="auto"/>
          <w:highlight w:val="none"/>
        </w:rPr>
        <w:t>.1 许可或批准</w:t>
      </w:r>
      <w:bookmarkEnd w:id="50"/>
      <w:bookmarkEnd w:id="51"/>
      <w:bookmarkEnd w:id="52"/>
      <w:bookmarkEnd w:id="53"/>
      <w:bookmarkEnd w:id="54"/>
      <w:bookmarkEnd w:id="55"/>
      <w:bookmarkEnd w:id="56"/>
    </w:p>
    <w:p w14:paraId="44BCD0AF">
      <w:pPr>
        <w:adjustRightInd w:val="0"/>
        <w:snapToGrid w:val="0"/>
        <w:ind w:firstLine="480" w:firstLineChars="200"/>
        <w:rPr>
          <w:color w:val="auto"/>
          <w:highlight w:val="none"/>
        </w:rPr>
      </w:pPr>
      <w:r>
        <w:rPr>
          <w:rFonts w:hint="eastAsia"/>
          <w:color w:val="auto"/>
          <w:highlight w:val="none"/>
        </w:rPr>
        <w:t>发包人应遵守法律，并办理法律规定由其办理的许可、批准或备案，包括但不限于建设用地规划许可证、建设工程规划许可证、建设工程开工报告（或建筑工程施工许可证）、施工所需临时用水、临时用电、中断道路交通、临时占用土地等许可和批准。发包人应协助承包人办理法律规定的有关施工证件和批件。</w:t>
      </w:r>
    </w:p>
    <w:p w14:paraId="5ED9051A">
      <w:pPr>
        <w:adjustRightInd w:val="0"/>
        <w:snapToGrid w:val="0"/>
        <w:ind w:firstLine="480" w:firstLineChars="200"/>
        <w:rPr>
          <w:color w:val="auto"/>
          <w:highlight w:val="none"/>
        </w:rPr>
      </w:pPr>
      <w:r>
        <w:rPr>
          <w:rFonts w:hint="eastAsia"/>
          <w:color w:val="auto"/>
          <w:highlight w:val="none"/>
        </w:rPr>
        <w:t>因发包人原因未能及时办理完毕前述许可、批准或备案，由发包人承担由此延误的工期和（或）按照合同约定承担增加的费用。</w:t>
      </w:r>
    </w:p>
    <w:p w14:paraId="5C4C874D">
      <w:pPr>
        <w:adjustRightInd w:val="0"/>
        <w:snapToGrid w:val="0"/>
        <w:ind w:firstLine="482" w:firstLineChars="200"/>
        <w:rPr>
          <w:b/>
          <w:color w:val="auto"/>
          <w:highlight w:val="none"/>
        </w:rPr>
      </w:pPr>
      <w:bookmarkStart w:id="60" w:name="_Toc399775118"/>
      <w:bookmarkStart w:id="61" w:name="_Toc400486365"/>
      <w:bookmarkStart w:id="62" w:name="_Toc400485392"/>
      <w:bookmarkStart w:id="63" w:name="_Toc399775738"/>
      <w:bookmarkStart w:id="64" w:name="_Toc399776185"/>
      <w:bookmarkStart w:id="65" w:name="_Toc351203511"/>
      <w:bookmarkStart w:id="66" w:name="_Toc400522373"/>
      <w:r>
        <w:rPr>
          <w:rFonts w:hint="eastAsia"/>
          <w:b/>
          <w:color w:val="auto"/>
          <w:highlight w:val="none"/>
        </w:rPr>
        <w:t>2.2 发包人代表</w:t>
      </w:r>
      <w:bookmarkEnd w:id="60"/>
      <w:bookmarkEnd w:id="61"/>
      <w:bookmarkEnd w:id="62"/>
      <w:bookmarkEnd w:id="63"/>
      <w:bookmarkEnd w:id="64"/>
      <w:bookmarkEnd w:id="65"/>
      <w:bookmarkEnd w:id="66"/>
    </w:p>
    <w:p w14:paraId="548EC8DA">
      <w:pPr>
        <w:adjustRightInd w:val="0"/>
        <w:snapToGrid w:val="0"/>
        <w:ind w:firstLine="480" w:firstLineChars="200"/>
        <w:rPr>
          <w:color w:val="auto"/>
          <w:highlight w:val="none"/>
        </w:rPr>
      </w:pPr>
      <w:r>
        <w:rPr>
          <w:rFonts w:hint="eastAsia"/>
          <w:color w:val="auto"/>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5065A8D">
      <w:pPr>
        <w:adjustRightInd w:val="0"/>
        <w:snapToGrid w:val="0"/>
        <w:ind w:firstLine="480" w:firstLineChars="200"/>
        <w:rPr>
          <w:color w:val="auto"/>
          <w:highlight w:val="none"/>
        </w:rPr>
      </w:pPr>
      <w:r>
        <w:rPr>
          <w:rFonts w:hint="eastAsia"/>
          <w:color w:val="auto"/>
          <w:highlight w:val="none"/>
        </w:rPr>
        <w:t>发包人代表不能按照合同约定履行其职责及义务，并导致合同无法继续正常履行的，承包人可以要求发包人撤换发包人代表。</w:t>
      </w:r>
    </w:p>
    <w:p w14:paraId="77E9EF39">
      <w:pPr>
        <w:adjustRightInd w:val="0"/>
        <w:snapToGrid w:val="0"/>
        <w:ind w:firstLine="482" w:firstLineChars="200"/>
        <w:rPr>
          <w:b/>
          <w:color w:val="auto"/>
          <w:highlight w:val="none"/>
        </w:rPr>
      </w:pPr>
      <w:bookmarkStart w:id="67" w:name="_Toc399775119"/>
      <w:bookmarkStart w:id="68" w:name="_Toc400522374"/>
      <w:bookmarkStart w:id="69" w:name="_Toc400486366"/>
      <w:bookmarkStart w:id="70" w:name="_Toc351203512"/>
      <w:bookmarkStart w:id="71" w:name="_Toc399775739"/>
      <w:bookmarkStart w:id="72" w:name="_Toc399776186"/>
      <w:bookmarkStart w:id="73" w:name="_Toc400485393"/>
      <w:r>
        <w:rPr>
          <w:rFonts w:hint="eastAsia"/>
          <w:b/>
          <w:color w:val="auto"/>
          <w:highlight w:val="none"/>
        </w:rPr>
        <w:t>2.3 发包人人员</w:t>
      </w:r>
      <w:bookmarkEnd w:id="67"/>
      <w:bookmarkEnd w:id="68"/>
      <w:bookmarkEnd w:id="69"/>
      <w:bookmarkEnd w:id="70"/>
      <w:bookmarkEnd w:id="71"/>
      <w:bookmarkEnd w:id="72"/>
      <w:bookmarkEnd w:id="73"/>
    </w:p>
    <w:p w14:paraId="1EA61927">
      <w:pPr>
        <w:adjustRightInd w:val="0"/>
        <w:snapToGrid w:val="0"/>
        <w:ind w:firstLine="480" w:firstLineChars="200"/>
        <w:rPr>
          <w:color w:val="auto"/>
          <w:highlight w:val="none"/>
        </w:rPr>
      </w:pPr>
      <w:r>
        <w:rPr>
          <w:rFonts w:hint="eastAsia"/>
          <w:color w:val="auto"/>
          <w:highlight w:val="none"/>
        </w:rPr>
        <w:t>发包人应要求在施工现场的发包人人员遵守法律及有关安全、质量、环境保护、文明施工等规定，并保障承包人免于承受因发包人人员未遵守上述要求给承包人造成的损失和责任。</w:t>
      </w:r>
    </w:p>
    <w:p w14:paraId="23434A7C">
      <w:pPr>
        <w:adjustRightInd w:val="0"/>
        <w:snapToGrid w:val="0"/>
        <w:ind w:firstLine="480" w:firstLineChars="200"/>
        <w:rPr>
          <w:color w:val="auto"/>
          <w:highlight w:val="none"/>
        </w:rPr>
      </w:pPr>
      <w:r>
        <w:rPr>
          <w:rFonts w:hint="eastAsia"/>
          <w:color w:val="auto"/>
          <w:highlight w:val="none"/>
        </w:rPr>
        <w:t>发包人人员包括发包人代表及其他由发包人派驻施工现场的人员。</w:t>
      </w:r>
      <w:bookmarkEnd w:id="57"/>
      <w:bookmarkEnd w:id="58"/>
      <w:bookmarkEnd w:id="59"/>
    </w:p>
    <w:p w14:paraId="7DA94A55">
      <w:pPr>
        <w:adjustRightInd w:val="0"/>
        <w:snapToGrid w:val="0"/>
        <w:ind w:firstLine="482" w:firstLineChars="200"/>
        <w:rPr>
          <w:b/>
          <w:color w:val="auto"/>
          <w:highlight w:val="none"/>
        </w:rPr>
      </w:pPr>
      <w:bookmarkStart w:id="74" w:name="_Toc400486367"/>
      <w:bookmarkStart w:id="75" w:name="_Toc351203513"/>
      <w:bookmarkStart w:id="76" w:name="_Toc400522375"/>
      <w:bookmarkStart w:id="77" w:name="_Toc399775740"/>
      <w:bookmarkStart w:id="78" w:name="_Toc399776187"/>
      <w:bookmarkStart w:id="79" w:name="_Toc399775120"/>
      <w:bookmarkStart w:id="80" w:name="_Toc400485394"/>
      <w:r>
        <w:rPr>
          <w:rFonts w:hint="eastAsia"/>
          <w:b/>
          <w:color w:val="auto"/>
          <w:highlight w:val="none"/>
        </w:rPr>
        <w:t>2</w:t>
      </w:r>
      <w:bookmarkStart w:id="81" w:name="_Toc296346541"/>
      <w:bookmarkStart w:id="82" w:name="_Toc337558741"/>
      <w:bookmarkStart w:id="83" w:name="_Toc296503040"/>
      <w:r>
        <w:rPr>
          <w:rFonts w:hint="eastAsia"/>
          <w:b/>
          <w:color w:val="auto"/>
          <w:highlight w:val="none"/>
        </w:rPr>
        <w:t>.4 施工现场、施工条件和基础资料的提供</w:t>
      </w:r>
      <w:bookmarkEnd w:id="74"/>
      <w:bookmarkEnd w:id="75"/>
      <w:bookmarkEnd w:id="76"/>
      <w:bookmarkEnd w:id="77"/>
      <w:bookmarkEnd w:id="78"/>
      <w:bookmarkEnd w:id="79"/>
      <w:bookmarkEnd w:id="80"/>
      <w:r>
        <w:rPr>
          <w:rFonts w:hint="eastAsia"/>
          <w:b/>
          <w:color w:val="auto"/>
          <w:highlight w:val="none"/>
        </w:rPr>
        <w:t xml:space="preserve"> </w:t>
      </w:r>
      <w:bookmarkEnd w:id="81"/>
      <w:bookmarkEnd w:id="82"/>
      <w:bookmarkEnd w:id="83"/>
      <w:r>
        <w:rPr>
          <w:rFonts w:hint="eastAsia"/>
          <w:b/>
          <w:color w:val="auto"/>
          <w:highlight w:val="none"/>
        </w:rPr>
        <w:t xml:space="preserve"> </w:t>
      </w:r>
    </w:p>
    <w:p w14:paraId="70748D80">
      <w:pPr>
        <w:adjustRightInd w:val="0"/>
        <w:snapToGrid w:val="0"/>
        <w:ind w:firstLine="480" w:firstLineChars="200"/>
        <w:rPr>
          <w:color w:val="auto"/>
          <w:highlight w:val="none"/>
        </w:rPr>
      </w:pPr>
      <w:r>
        <w:rPr>
          <w:rFonts w:hint="eastAsia"/>
          <w:color w:val="auto"/>
          <w:highlight w:val="none"/>
        </w:rPr>
        <w:t>2.4.1 提供施工现场</w:t>
      </w:r>
    </w:p>
    <w:p w14:paraId="21BD3D6C">
      <w:pPr>
        <w:adjustRightInd w:val="0"/>
        <w:snapToGrid w:val="0"/>
        <w:ind w:firstLine="480" w:firstLineChars="200"/>
        <w:rPr>
          <w:color w:val="auto"/>
          <w:highlight w:val="none"/>
        </w:rPr>
      </w:pPr>
      <w:r>
        <w:rPr>
          <w:rFonts w:hint="eastAsia"/>
          <w:color w:val="auto"/>
          <w:highlight w:val="none"/>
        </w:rPr>
        <w:t>除专用合同条款另有约定外，发包人应最迟于开工日期7天前向承包人移交施工现场。</w:t>
      </w:r>
    </w:p>
    <w:p w14:paraId="4CEBE9E0">
      <w:pPr>
        <w:adjustRightInd w:val="0"/>
        <w:snapToGrid w:val="0"/>
        <w:ind w:firstLine="480" w:firstLineChars="200"/>
        <w:rPr>
          <w:color w:val="auto"/>
          <w:highlight w:val="none"/>
        </w:rPr>
      </w:pPr>
      <w:r>
        <w:rPr>
          <w:rFonts w:hint="eastAsia"/>
          <w:color w:val="auto"/>
          <w:highlight w:val="none"/>
        </w:rPr>
        <w:t>2.4.2 提供施工条件</w:t>
      </w:r>
    </w:p>
    <w:p w14:paraId="5A4AE2AD">
      <w:pPr>
        <w:adjustRightInd w:val="0"/>
        <w:snapToGrid w:val="0"/>
        <w:ind w:firstLine="480" w:firstLineChars="200"/>
        <w:rPr>
          <w:color w:val="auto"/>
          <w:highlight w:val="none"/>
        </w:rPr>
      </w:pPr>
      <w:r>
        <w:rPr>
          <w:rFonts w:hint="eastAsia"/>
          <w:color w:val="auto"/>
          <w:highlight w:val="none"/>
        </w:rPr>
        <w:t>除专用合同条款另有约定外，发包人应负责提供施工所需要的条件，包括：</w:t>
      </w:r>
    </w:p>
    <w:p w14:paraId="6819325D">
      <w:pPr>
        <w:adjustRightInd w:val="0"/>
        <w:snapToGrid w:val="0"/>
        <w:ind w:firstLine="480" w:firstLineChars="200"/>
        <w:rPr>
          <w:color w:val="auto"/>
          <w:highlight w:val="none"/>
        </w:rPr>
      </w:pPr>
      <w:r>
        <w:rPr>
          <w:rFonts w:hint="eastAsia"/>
          <w:color w:val="auto"/>
          <w:highlight w:val="none"/>
        </w:rPr>
        <w:t>（1）将施工用水、电力、通讯线路等施工所必需的条件接至施工现场；</w:t>
      </w:r>
    </w:p>
    <w:p w14:paraId="31D033A4">
      <w:pPr>
        <w:adjustRightInd w:val="0"/>
        <w:snapToGrid w:val="0"/>
        <w:ind w:firstLine="480" w:firstLineChars="200"/>
        <w:rPr>
          <w:color w:val="auto"/>
          <w:highlight w:val="none"/>
        </w:rPr>
      </w:pPr>
      <w:r>
        <w:rPr>
          <w:rFonts w:hint="eastAsia"/>
          <w:color w:val="auto"/>
          <w:highlight w:val="none"/>
        </w:rPr>
        <w:t>（2）保证向承包人提供正常施工所需要的进入施工现场的交通条件；</w:t>
      </w:r>
    </w:p>
    <w:p w14:paraId="3809D7ED">
      <w:pPr>
        <w:adjustRightInd w:val="0"/>
        <w:snapToGrid w:val="0"/>
        <w:ind w:firstLine="480" w:firstLineChars="200"/>
        <w:rPr>
          <w:color w:val="auto"/>
          <w:highlight w:val="none"/>
        </w:rPr>
      </w:pPr>
      <w:r>
        <w:rPr>
          <w:rFonts w:hint="eastAsia"/>
          <w:color w:val="auto"/>
          <w:highlight w:val="none"/>
        </w:rPr>
        <w:t>（3）协调处理施工现场周围地下管线和邻近建筑物、构筑物、古树名木的保护工作，并承担相关费用；</w:t>
      </w:r>
    </w:p>
    <w:p w14:paraId="0ACB0943">
      <w:pPr>
        <w:adjustRightInd w:val="0"/>
        <w:snapToGrid w:val="0"/>
        <w:ind w:firstLine="480" w:firstLineChars="200"/>
        <w:rPr>
          <w:color w:val="auto"/>
          <w:highlight w:val="none"/>
        </w:rPr>
      </w:pPr>
      <w:r>
        <w:rPr>
          <w:rFonts w:hint="eastAsia"/>
          <w:color w:val="auto"/>
          <w:highlight w:val="none"/>
        </w:rPr>
        <w:t>（4）按照专用合同条款约定应提供的其他设施和条件。</w:t>
      </w:r>
    </w:p>
    <w:p w14:paraId="6CDAC778">
      <w:pPr>
        <w:adjustRightInd w:val="0"/>
        <w:snapToGrid w:val="0"/>
        <w:ind w:firstLine="480" w:firstLineChars="200"/>
        <w:rPr>
          <w:color w:val="auto"/>
          <w:highlight w:val="none"/>
        </w:rPr>
      </w:pPr>
      <w:r>
        <w:rPr>
          <w:rFonts w:hint="eastAsia"/>
          <w:color w:val="auto"/>
          <w:highlight w:val="none"/>
        </w:rPr>
        <w:t>2.4.3 提供基础资料</w:t>
      </w:r>
    </w:p>
    <w:p w14:paraId="26EE8A7F">
      <w:pPr>
        <w:adjustRightInd w:val="0"/>
        <w:snapToGrid w:val="0"/>
        <w:ind w:firstLine="480" w:firstLineChars="200"/>
        <w:rPr>
          <w:color w:val="auto"/>
          <w:highlight w:val="none"/>
        </w:rPr>
      </w:pPr>
      <w:r>
        <w:rPr>
          <w:rFonts w:hint="eastAsia"/>
          <w:color w:val="auto"/>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D3C9F45">
      <w:pPr>
        <w:adjustRightInd w:val="0"/>
        <w:snapToGrid w:val="0"/>
        <w:ind w:firstLine="480" w:firstLineChars="200"/>
        <w:rPr>
          <w:color w:val="auto"/>
          <w:highlight w:val="none"/>
        </w:rPr>
      </w:pPr>
      <w:r>
        <w:rPr>
          <w:rFonts w:hint="eastAsia"/>
          <w:color w:val="auto"/>
          <w:highlight w:val="none"/>
        </w:rPr>
        <w:t>按照法律规定确需在开工后方能提供的基础资料，发包人应尽其努力及时地在相应工程施工前的合理期限内提供，合理期限应以不影响承包人的正常施工为限。</w:t>
      </w:r>
    </w:p>
    <w:p w14:paraId="5ADEDB7C">
      <w:pPr>
        <w:adjustRightInd w:val="0"/>
        <w:snapToGrid w:val="0"/>
        <w:ind w:firstLine="480" w:firstLineChars="200"/>
        <w:rPr>
          <w:color w:val="auto"/>
          <w:highlight w:val="none"/>
        </w:rPr>
      </w:pPr>
      <w:r>
        <w:rPr>
          <w:rFonts w:hint="eastAsia"/>
          <w:color w:val="auto"/>
          <w:highlight w:val="none"/>
        </w:rPr>
        <w:t>2.4.4 逾期提供的责任</w:t>
      </w:r>
    </w:p>
    <w:p w14:paraId="345B2D9C">
      <w:pPr>
        <w:adjustRightInd w:val="0"/>
        <w:snapToGrid w:val="0"/>
        <w:ind w:firstLine="480" w:firstLineChars="200"/>
        <w:rPr>
          <w:color w:val="auto"/>
          <w:highlight w:val="none"/>
        </w:rPr>
      </w:pPr>
      <w:r>
        <w:rPr>
          <w:rFonts w:hint="eastAsia"/>
          <w:color w:val="auto"/>
          <w:highlight w:val="none"/>
        </w:rPr>
        <w:t>因发包人原因未能按合同约定及时向承包人提供施工现场、施工条件、基础资料的，由发包人承担由此延误的工期和（或）按照合同约定承担增加的费用。</w:t>
      </w:r>
    </w:p>
    <w:p w14:paraId="513EBEA3">
      <w:pPr>
        <w:adjustRightInd w:val="0"/>
        <w:snapToGrid w:val="0"/>
        <w:ind w:firstLine="482" w:firstLineChars="200"/>
        <w:rPr>
          <w:b/>
          <w:color w:val="auto"/>
          <w:highlight w:val="none"/>
        </w:rPr>
      </w:pPr>
      <w:bookmarkStart w:id="84" w:name="_Toc400486372"/>
      <w:bookmarkStart w:id="85" w:name="_Toc351203518"/>
      <w:bookmarkStart w:id="86" w:name="_Toc400522380"/>
      <w:bookmarkStart w:id="87" w:name="_Toc399776192"/>
      <w:bookmarkStart w:id="88" w:name="_Toc400485399"/>
      <w:bookmarkStart w:id="89" w:name="_Toc399775125"/>
      <w:bookmarkStart w:id="90" w:name="_Toc399775745"/>
      <w:r>
        <w:rPr>
          <w:rFonts w:hint="eastAsia"/>
          <w:b/>
          <w:color w:val="auto"/>
          <w:highlight w:val="none"/>
        </w:rPr>
        <w:t xml:space="preserve">2.5 </w:t>
      </w:r>
      <w:bookmarkStart w:id="91" w:name="_Toc400522377"/>
      <w:bookmarkStart w:id="92" w:name="_Toc351203515"/>
      <w:bookmarkStart w:id="93" w:name="_Toc399775122"/>
      <w:bookmarkStart w:id="94" w:name="_Toc399776189"/>
      <w:bookmarkStart w:id="95" w:name="_Toc399775742"/>
      <w:bookmarkStart w:id="96" w:name="_Toc400485396"/>
      <w:bookmarkStart w:id="97" w:name="_Toc400486369"/>
      <w:r>
        <w:rPr>
          <w:rFonts w:hint="eastAsia"/>
          <w:b/>
          <w:color w:val="auto"/>
          <w:highlight w:val="none"/>
        </w:rPr>
        <w:t>支付合同价款</w:t>
      </w:r>
      <w:bookmarkEnd w:id="91"/>
      <w:bookmarkEnd w:id="92"/>
      <w:bookmarkEnd w:id="93"/>
      <w:bookmarkEnd w:id="94"/>
      <w:bookmarkEnd w:id="95"/>
      <w:bookmarkEnd w:id="96"/>
      <w:bookmarkEnd w:id="97"/>
    </w:p>
    <w:p w14:paraId="7FB4E50B">
      <w:pPr>
        <w:adjustRightInd w:val="0"/>
        <w:snapToGrid w:val="0"/>
        <w:ind w:firstLine="480" w:firstLineChars="200"/>
        <w:rPr>
          <w:color w:val="auto"/>
          <w:highlight w:val="none"/>
        </w:rPr>
      </w:pPr>
      <w:r>
        <w:rPr>
          <w:rFonts w:hint="eastAsia"/>
          <w:color w:val="auto"/>
          <w:highlight w:val="none"/>
        </w:rPr>
        <w:t>发包人应按合同约定向承包人及时支付合同价款。</w:t>
      </w:r>
    </w:p>
    <w:p w14:paraId="58437BC7">
      <w:pPr>
        <w:adjustRightInd w:val="0"/>
        <w:snapToGrid w:val="0"/>
        <w:ind w:firstLine="482" w:firstLineChars="200"/>
        <w:rPr>
          <w:b/>
          <w:color w:val="auto"/>
          <w:highlight w:val="none"/>
        </w:rPr>
      </w:pPr>
      <w:r>
        <w:rPr>
          <w:rFonts w:hint="eastAsia"/>
          <w:b/>
          <w:color w:val="auto"/>
          <w:highlight w:val="none"/>
        </w:rPr>
        <w:t>2.6 组织验收</w:t>
      </w:r>
    </w:p>
    <w:p w14:paraId="217FD127">
      <w:pPr>
        <w:adjustRightInd w:val="0"/>
        <w:snapToGrid w:val="0"/>
        <w:ind w:firstLine="480" w:firstLineChars="200"/>
        <w:rPr>
          <w:color w:val="auto"/>
          <w:highlight w:val="none"/>
        </w:rPr>
      </w:pPr>
      <w:r>
        <w:rPr>
          <w:rFonts w:hint="eastAsia"/>
          <w:color w:val="auto"/>
          <w:highlight w:val="none"/>
        </w:rPr>
        <w:t>发包人应按合同约定及时组织中间交接、交工验收和竣工验收。</w:t>
      </w:r>
    </w:p>
    <w:p w14:paraId="2153BDFE">
      <w:pPr>
        <w:keepNext/>
        <w:keepLines/>
        <w:adjustRightInd w:val="0"/>
        <w:snapToGrid w:val="0"/>
        <w:outlineLvl w:val="1"/>
        <w:rPr>
          <w:rFonts w:ascii="Arial"/>
          <w:b/>
          <w:bCs/>
          <w:color w:val="auto"/>
          <w:highlight w:val="none"/>
        </w:rPr>
      </w:pPr>
      <w:bookmarkStart w:id="98" w:name="_Toc91660604"/>
      <w:bookmarkStart w:id="99" w:name="_Toc81225272"/>
      <w:bookmarkStart w:id="100" w:name="_Toc16873"/>
      <w:bookmarkStart w:id="101" w:name="_Toc117018789"/>
      <w:bookmarkStart w:id="102" w:name="_Toc256000058"/>
      <w:bookmarkStart w:id="103" w:name="_Toc99782812"/>
      <w:bookmarkStart w:id="104" w:name="_Toc119953725"/>
      <w:r>
        <w:rPr>
          <w:rFonts w:ascii="Arial"/>
          <w:b/>
          <w:bCs/>
          <w:color w:val="auto"/>
          <w:highlight w:val="none"/>
        </w:rPr>
        <w:t>3</w:t>
      </w:r>
      <w:bookmarkStart w:id="105" w:name="_Toc337558746"/>
      <w:bookmarkStart w:id="106" w:name="_Toc296346546"/>
      <w:bookmarkStart w:id="107" w:name="_Toc296503045"/>
      <w:r>
        <w:rPr>
          <w:rFonts w:ascii="Arial"/>
          <w:b/>
          <w:bCs/>
          <w:color w:val="auto"/>
          <w:highlight w:val="none"/>
        </w:rPr>
        <w:t xml:space="preserve">. </w:t>
      </w:r>
      <w:r>
        <w:rPr>
          <w:rFonts w:hint="eastAsia" w:ascii="Arial"/>
          <w:b/>
          <w:bCs/>
          <w:color w:val="auto"/>
          <w:highlight w:val="none"/>
        </w:rPr>
        <w:t>承包人</w:t>
      </w:r>
      <w:bookmarkEnd w:id="84"/>
      <w:bookmarkEnd w:id="85"/>
      <w:bookmarkEnd w:id="86"/>
      <w:bookmarkEnd w:id="87"/>
      <w:bookmarkEnd w:id="88"/>
      <w:bookmarkEnd w:id="89"/>
      <w:bookmarkEnd w:id="90"/>
      <w:bookmarkEnd w:id="98"/>
      <w:bookmarkEnd w:id="99"/>
      <w:bookmarkEnd w:id="100"/>
      <w:bookmarkEnd w:id="101"/>
      <w:bookmarkEnd w:id="102"/>
      <w:bookmarkEnd w:id="103"/>
      <w:bookmarkEnd w:id="104"/>
    </w:p>
    <w:bookmarkEnd w:id="105"/>
    <w:bookmarkEnd w:id="106"/>
    <w:bookmarkEnd w:id="107"/>
    <w:p w14:paraId="3E782264">
      <w:pPr>
        <w:adjustRightInd w:val="0"/>
        <w:snapToGrid w:val="0"/>
        <w:ind w:firstLine="482" w:firstLineChars="200"/>
        <w:rPr>
          <w:b/>
          <w:color w:val="auto"/>
          <w:highlight w:val="none"/>
        </w:rPr>
      </w:pPr>
      <w:bookmarkStart w:id="108" w:name="_Toc399775126"/>
      <w:bookmarkStart w:id="109" w:name="_Toc400522381"/>
      <w:bookmarkStart w:id="110" w:name="_Toc399776193"/>
      <w:bookmarkStart w:id="111" w:name="_Toc399775746"/>
      <w:bookmarkStart w:id="112" w:name="_Toc400485400"/>
      <w:bookmarkStart w:id="113" w:name="_Toc351203519"/>
      <w:bookmarkStart w:id="114" w:name="_Toc400486373"/>
      <w:r>
        <w:rPr>
          <w:rFonts w:hint="eastAsia"/>
          <w:b/>
          <w:color w:val="auto"/>
          <w:highlight w:val="none"/>
        </w:rPr>
        <w:t>3</w:t>
      </w:r>
      <w:bookmarkStart w:id="115" w:name="_Toc296503046"/>
      <w:bookmarkStart w:id="116" w:name="_Toc296346547"/>
      <w:bookmarkStart w:id="117" w:name="_Toc337558747"/>
      <w:r>
        <w:rPr>
          <w:rFonts w:hint="eastAsia"/>
          <w:b/>
          <w:color w:val="auto"/>
          <w:highlight w:val="none"/>
        </w:rPr>
        <w:t>.1 承包人的一般义务</w:t>
      </w:r>
      <w:bookmarkEnd w:id="108"/>
      <w:bookmarkEnd w:id="109"/>
      <w:bookmarkEnd w:id="110"/>
      <w:bookmarkEnd w:id="111"/>
      <w:bookmarkEnd w:id="112"/>
      <w:bookmarkEnd w:id="113"/>
      <w:bookmarkEnd w:id="114"/>
    </w:p>
    <w:bookmarkEnd w:id="115"/>
    <w:bookmarkEnd w:id="116"/>
    <w:bookmarkEnd w:id="117"/>
    <w:p w14:paraId="1D9CE1C6">
      <w:pPr>
        <w:adjustRightInd w:val="0"/>
        <w:snapToGrid w:val="0"/>
        <w:ind w:firstLine="480" w:firstLineChars="200"/>
        <w:rPr>
          <w:color w:val="auto"/>
          <w:highlight w:val="none"/>
        </w:rPr>
      </w:pPr>
      <w:r>
        <w:rPr>
          <w:rFonts w:hint="eastAsia"/>
          <w:color w:val="auto"/>
          <w:highlight w:val="none"/>
        </w:rPr>
        <w:t>承包人在履行合同过程中应遵守法律和工程建设标准规范，并履行以下义务：</w:t>
      </w:r>
    </w:p>
    <w:p w14:paraId="4DA19093">
      <w:pPr>
        <w:adjustRightInd w:val="0"/>
        <w:snapToGrid w:val="0"/>
        <w:ind w:firstLine="480" w:firstLineChars="200"/>
        <w:rPr>
          <w:color w:val="auto"/>
          <w:highlight w:val="none"/>
        </w:rPr>
      </w:pPr>
      <w:r>
        <w:rPr>
          <w:rFonts w:hint="eastAsia"/>
          <w:color w:val="auto"/>
          <w:highlight w:val="none"/>
        </w:rPr>
        <w:t>（1）办理法律规定应由承包人办理的许可和批准，并将办理结果书面报送发包人留存；</w:t>
      </w:r>
    </w:p>
    <w:p w14:paraId="3A60D659">
      <w:pPr>
        <w:adjustRightInd w:val="0"/>
        <w:snapToGrid w:val="0"/>
        <w:ind w:firstLine="480" w:firstLineChars="200"/>
        <w:rPr>
          <w:color w:val="auto"/>
          <w:highlight w:val="none"/>
        </w:rPr>
      </w:pPr>
      <w:r>
        <w:rPr>
          <w:rFonts w:hint="eastAsia"/>
          <w:color w:val="auto"/>
          <w:highlight w:val="none"/>
        </w:rPr>
        <w:t>（2）按法律规定和合同约定完成工程，并在缺陷责任期和保修期内承担保修义务；</w:t>
      </w:r>
    </w:p>
    <w:p w14:paraId="7A508805">
      <w:pPr>
        <w:adjustRightInd w:val="0"/>
        <w:snapToGrid w:val="0"/>
        <w:ind w:firstLine="480" w:firstLineChars="200"/>
        <w:rPr>
          <w:color w:val="auto"/>
          <w:highlight w:val="none"/>
        </w:rPr>
      </w:pPr>
      <w:r>
        <w:rPr>
          <w:rFonts w:hint="eastAsia"/>
          <w:color w:val="auto"/>
          <w:highlight w:val="none"/>
        </w:rPr>
        <w:t>（3）按法律规定和合同约定采取施工安全和环境保护措施，办理工伤保险，确保工程及人员、材料、设备和设施的安全；</w:t>
      </w:r>
    </w:p>
    <w:p w14:paraId="35800CE7">
      <w:pPr>
        <w:adjustRightInd w:val="0"/>
        <w:snapToGrid w:val="0"/>
        <w:ind w:firstLine="480" w:firstLineChars="200"/>
        <w:rPr>
          <w:color w:val="auto"/>
          <w:highlight w:val="none"/>
        </w:rPr>
      </w:pPr>
      <w:r>
        <w:rPr>
          <w:rFonts w:hint="eastAsia"/>
          <w:color w:val="auto"/>
          <w:highlight w:val="none"/>
        </w:rPr>
        <w:t>（4）按合同约定的工作内容和施工进度要求，编制施工组织设计和施工措施计划，并对所有施工作业和施工方法的完备性和安全可靠性负责；</w:t>
      </w:r>
    </w:p>
    <w:p w14:paraId="04970D9C">
      <w:pPr>
        <w:adjustRightInd w:val="0"/>
        <w:snapToGrid w:val="0"/>
        <w:ind w:firstLine="480" w:firstLineChars="200"/>
        <w:rPr>
          <w:color w:val="auto"/>
          <w:highlight w:val="none"/>
        </w:rPr>
      </w:pPr>
      <w:r>
        <w:rPr>
          <w:rFonts w:hint="eastAsia"/>
          <w:color w:val="auto"/>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A100184">
      <w:pPr>
        <w:adjustRightInd w:val="0"/>
        <w:snapToGrid w:val="0"/>
        <w:ind w:firstLine="480" w:firstLineChars="200"/>
        <w:rPr>
          <w:color w:val="auto"/>
          <w:highlight w:val="none"/>
        </w:rPr>
      </w:pPr>
      <w:r>
        <w:rPr>
          <w:rFonts w:hint="eastAsia"/>
          <w:color w:val="auto"/>
          <w:highlight w:val="none"/>
        </w:rPr>
        <w:t>（6）按照第6.3款约定负责施工场地及其周边环境与生态的保护工作；</w:t>
      </w:r>
    </w:p>
    <w:p w14:paraId="2DCE06FF">
      <w:pPr>
        <w:adjustRightInd w:val="0"/>
        <w:snapToGrid w:val="0"/>
        <w:ind w:firstLine="480" w:firstLineChars="200"/>
        <w:rPr>
          <w:color w:val="auto"/>
          <w:highlight w:val="none"/>
        </w:rPr>
      </w:pPr>
      <w:r>
        <w:rPr>
          <w:rFonts w:hint="eastAsia"/>
          <w:color w:val="auto"/>
          <w:highlight w:val="none"/>
        </w:rPr>
        <w:t>（7）按照第6.1款约定采取施工安全措施，确保工程及其人员、材料、设备和设施的安全，防止因工程施工造成的人身伤害和财产损失；</w:t>
      </w:r>
    </w:p>
    <w:p w14:paraId="6907613D">
      <w:pPr>
        <w:adjustRightInd w:val="0"/>
        <w:snapToGrid w:val="0"/>
        <w:ind w:firstLine="480" w:firstLineChars="200"/>
        <w:rPr>
          <w:color w:val="auto"/>
          <w:highlight w:val="none"/>
        </w:rPr>
      </w:pPr>
      <w:r>
        <w:rPr>
          <w:rFonts w:hint="eastAsia"/>
          <w:color w:val="auto"/>
          <w:highlight w:val="none"/>
        </w:rPr>
        <w:t>（8）将发包人按合同约定支付的各项价款专用于合同工程，且应及时支付其雇用人员工资，并及时向分包人支付合同价款；</w:t>
      </w:r>
    </w:p>
    <w:p w14:paraId="00897CC8">
      <w:pPr>
        <w:adjustRightInd w:val="0"/>
        <w:snapToGrid w:val="0"/>
        <w:ind w:firstLine="480" w:firstLineChars="200"/>
        <w:rPr>
          <w:color w:val="auto"/>
          <w:highlight w:val="none"/>
        </w:rPr>
      </w:pPr>
      <w:r>
        <w:rPr>
          <w:rFonts w:hint="eastAsia"/>
          <w:color w:val="auto"/>
          <w:highlight w:val="none"/>
        </w:rPr>
        <w:t>（9）按照法律规定和合同约定编制中间交接或交工资料，完成中间交接或交工资料立卷及归档，并按专用合同条款约定的中间交接或交工资料的套数、内容、时间等要求移交发包人；</w:t>
      </w:r>
    </w:p>
    <w:p w14:paraId="51FC8909">
      <w:pPr>
        <w:adjustRightInd w:val="0"/>
        <w:snapToGrid w:val="0"/>
        <w:ind w:firstLine="480" w:firstLineChars="200"/>
        <w:rPr>
          <w:color w:val="auto"/>
          <w:highlight w:val="none"/>
        </w:rPr>
      </w:pPr>
      <w:r>
        <w:rPr>
          <w:rFonts w:hint="eastAsia"/>
          <w:color w:val="auto"/>
          <w:highlight w:val="none"/>
        </w:rPr>
        <w:t xml:space="preserve"> (10)承包人应配合发包人按照《石油化工建设工程项目竣工验收规定》（SH/T 3904-2014）进行工程项目的专项验收。</w:t>
      </w:r>
    </w:p>
    <w:p w14:paraId="5D773301">
      <w:pPr>
        <w:adjustRightInd w:val="0"/>
        <w:snapToGrid w:val="0"/>
        <w:ind w:firstLine="480" w:firstLineChars="200"/>
        <w:rPr>
          <w:color w:val="auto"/>
          <w:highlight w:val="none"/>
        </w:rPr>
      </w:pPr>
      <w:r>
        <w:rPr>
          <w:rFonts w:hint="eastAsia"/>
          <w:color w:val="auto"/>
          <w:highlight w:val="none"/>
        </w:rPr>
        <w:t>（11）承包人应履行的其他义务见专用合同条款。</w:t>
      </w:r>
    </w:p>
    <w:p w14:paraId="3FECED08">
      <w:pPr>
        <w:adjustRightInd w:val="0"/>
        <w:snapToGrid w:val="0"/>
        <w:ind w:firstLine="482" w:firstLineChars="200"/>
        <w:rPr>
          <w:b/>
          <w:color w:val="auto"/>
          <w:highlight w:val="none"/>
        </w:rPr>
      </w:pPr>
      <w:bookmarkStart w:id="118" w:name="_Toc351203520"/>
      <w:bookmarkStart w:id="119" w:name="_Toc400522382"/>
      <w:bookmarkStart w:id="120" w:name="_Toc400485401"/>
      <w:bookmarkStart w:id="121" w:name="_Toc400486374"/>
      <w:bookmarkStart w:id="122" w:name="_Toc399775127"/>
      <w:bookmarkStart w:id="123" w:name="_Toc399776194"/>
      <w:bookmarkStart w:id="124" w:name="_Toc399775747"/>
      <w:r>
        <w:rPr>
          <w:rFonts w:hint="eastAsia"/>
          <w:b/>
          <w:color w:val="auto"/>
          <w:highlight w:val="none"/>
        </w:rPr>
        <w:t>3</w:t>
      </w:r>
      <w:bookmarkStart w:id="125" w:name="_Toc296346548"/>
      <w:bookmarkStart w:id="126" w:name="_Toc296503047"/>
      <w:bookmarkStart w:id="127" w:name="_Toc337558748"/>
      <w:r>
        <w:rPr>
          <w:rFonts w:hint="eastAsia"/>
          <w:b/>
          <w:color w:val="auto"/>
          <w:highlight w:val="none"/>
        </w:rPr>
        <w:t xml:space="preserve">.2 </w:t>
      </w:r>
      <w:bookmarkEnd w:id="118"/>
      <w:r>
        <w:rPr>
          <w:rFonts w:hint="eastAsia"/>
          <w:b/>
          <w:color w:val="auto"/>
          <w:highlight w:val="none"/>
        </w:rPr>
        <w:t>项目经理</w:t>
      </w:r>
      <w:bookmarkEnd w:id="119"/>
      <w:bookmarkEnd w:id="120"/>
      <w:bookmarkEnd w:id="121"/>
      <w:bookmarkEnd w:id="122"/>
      <w:bookmarkEnd w:id="123"/>
      <w:bookmarkEnd w:id="124"/>
    </w:p>
    <w:bookmarkEnd w:id="125"/>
    <w:bookmarkEnd w:id="126"/>
    <w:bookmarkEnd w:id="127"/>
    <w:p w14:paraId="14A2F445">
      <w:pPr>
        <w:adjustRightInd w:val="0"/>
        <w:snapToGrid w:val="0"/>
        <w:ind w:firstLine="480" w:firstLineChars="200"/>
        <w:rPr>
          <w:color w:val="auto"/>
          <w:highlight w:val="none"/>
        </w:rPr>
      </w:pPr>
      <w:r>
        <w:rPr>
          <w:rFonts w:hint="eastAsia"/>
          <w:color w:val="auto"/>
          <w:highlight w:val="none"/>
        </w:rPr>
        <w:t>3.2.1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14:paraId="0AD77E69">
      <w:pPr>
        <w:adjustRightInd w:val="0"/>
        <w:snapToGrid w:val="0"/>
        <w:ind w:firstLine="480" w:firstLineChars="200"/>
        <w:rPr>
          <w:color w:val="auto"/>
          <w:highlight w:val="none"/>
        </w:rPr>
      </w:pPr>
      <w:r>
        <w:rPr>
          <w:rFonts w:hint="eastAsia"/>
          <w:color w:val="auto"/>
          <w:highlight w:val="none"/>
        </w:rPr>
        <w:t>3.2.2 承包人项目经理应按合同约定，负责组织合同工作的实施。在情况紧急且无法与监理人取得联系时，可采取保证工程和人员生命财产安全的紧急措施，并在采取措施后24小时内向监理人提交书面报告。</w:t>
      </w:r>
    </w:p>
    <w:p w14:paraId="08BF46F0">
      <w:pPr>
        <w:adjustRightInd w:val="0"/>
        <w:snapToGrid w:val="0"/>
        <w:ind w:firstLine="480" w:firstLineChars="200"/>
        <w:rPr>
          <w:color w:val="auto"/>
          <w:highlight w:val="none"/>
        </w:rPr>
      </w:pPr>
      <w:r>
        <w:rPr>
          <w:rFonts w:hint="eastAsia"/>
          <w:color w:val="auto"/>
          <w:highlight w:val="none"/>
        </w:rPr>
        <w:t>3.2.3承包人为履行合同发出的一切函件均应盖有承包人授权的施工项目管理机构章，并由承包人项目经理签字。</w:t>
      </w:r>
    </w:p>
    <w:p w14:paraId="09F0FE5F">
      <w:pPr>
        <w:adjustRightInd w:val="0"/>
        <w:snapToGrid w:val="0"/>
        <w:ind w:firstLine="480" w:firstLineChars="200"/>
        <w:rPr>
          <w:color w:val="auto"/>
          <w:highlight w:val="none"/>
        </w:rPr>
      </w:pPr>
      <w:r>
        <w:rPr>
          <w:rFonts w:hint="eastAsia"/>
          <w:color w:val="auto"/>
          <w:highlight w:val="none"/>
        </w:rPr>
        <w:t>3.2.4 承包人项目经理可以授权其下属人员履行其某项职责，但事先应将这些人员的姓名和授权范围书面通知发包人和监理人。</w:t>
      </w:r>
    </w:p>
    <w:p w14:paraId="0BE5F05C">
      <w:pPr>
        <w:adjustRightInd w:val="0"/>
        <w:snapToGrid w:val="0"/>
        <w:ind w:firstLine="480" w:firstLineChars="200"/>
        <w:rPr>
          <w:color w:val="auto"/>
          <w:highlight w:val="none"/>
        </w:rPr>
      </w:pPr>
      <w:r>
        <w:rPr>
          <w:rFonts w:hint="eastAsia"/>
          <w:color w:val="auto"/>
          <w:highlight w:val="none"/>
        </w:rPr>
        <w:t>3.2.5项目经理只能担任一个承包项目的管理工作，当其负责管理的工程中间交接且经发包人同意或竣工验收后，才能担任其他工程项目的管理工作。</w:t>
      </w:r>
    </w:p>
    <w:p w14:paraId="6E234001">
      <w:pPr>
        <w:adjustRightInd w:val="0"/>
        <w:snapToGrid w:val="0"/>
        <w:ind w:firstLine="482" w:firstLineChars="200"/>
        <w:rPr>
          <w:b/>
          <w:color w:val="auto"/>
          <w:highlight w:val="none"/>
        </w:rPr>
      </w:pPr>
      <w:bookmarkStart w:id="128" w:name="_Toc399776195"/>
      <w:bookmarkStart w:id="129" w:name="_Toc400486375"/>
      <w:bookmarkStart w:id="130" w:name="_Toc400485402"/>
      <w:bookmarkStart w:id="131" w:name="_Toc399775128"/>
      <w:bookmarkStart w:id="132" w:name="_Toc400522383"/>
      <w:bookmarkStart w:id="133" w:name="_Toc351203521"/>
      <w:bookmarkStart w:id="134" w:name="_Toc399775748"/>
      <w:r>
        <w:rPr>
          <w:rFonts w:hint="eastAsia"/>
          <w:b/>
          <w:color w:val="auto"/>
          <w:highlight w:val="none"/>
        </w:rPr>
        <w:t>3</w:t>
      </w:r>
      <w:bookmarkStart w:id="135" w:name="_Toc296503048"/>
      <w:bookmarkStart w:id="136" w:name="_Toc296346549"/>
      <w:bookmarkStart w:id="137" w:name="_Toc337558749"/>
      <w:r>
        <w:rPr>
          <w:rFonts w:hint="eastAsia"/>
          <w:b/>
          <w:color w:val="auto"/>
          <w:highlight w:val="none"/>
        </w:rPr>
        <w:t xml:space="preserve">.3 </w:t>
      </w:r>
      <w:bookmarkEnd w:id="135"/>
      <w:bookmarkEnd w:id="136"/>
      <w:r>
        <w:rPr>
          <w:rFonts w:hint="eastAsia"/>
          <w:b/>
          <w:color w:val="auto"/>
          <w:highlight w:val="none"/>
        </w:rPr>
        <w:t>承包人人员</w:t>
      </w:r>
      <w:bookmarkEnd w:id="128"/>
      <w:bookmarkEnd w:id="129"/>
      <w:bookmarkEnd w:id="130"/>
      <w:bookmarkEnd w:id="131"/>
      <w:bookmarkEnd w:id="132"/>
      <w:bookmarkEnd w:id="133"/>
      <w:bookmarkEnd w:id="134"/>
    </w:p>
    <w:bookmarkEnd w:id="137"/>
    <w:p w14:paraId="1B902A5B">
      <w:pPr>
        <w:adjustRightInd w:val="0"/>
        <w:snapToGrid w:val="0"/>
        <w:ind w:firstLine="480" w:firstLineChars="200"/>
        <w:rPr>
          <w:color w:val="auto"/>
          <w:highlight w:val="none"/>
        </w:rPr>
      </w:pPr>
      <w:r>
        <w:rPr>
          <w:rFonts w:hint="eastAsia"/>
          <w:color w:val="auto"/>
          <w:highlight w:val="none"/>
        </w:rPr>
        <w:t>3.3.1 承包人应在接到开工通知之日起7天内，向监理人提交承包人的项目管理机构以及人员安排的报告，其内容应包括项目管理机构的设置、各主要岗位的技术和管理人员名单及其资格，以及各工种技术工人的安排状况。承包人安排的主要管理人员应相对稳定，更换主要管理人员的，应取得监理人、发包人的书面同意,并向监理人、发包人提交继任人员的资格、管理经验等资料。</w:t>
      </w:r>
      <w:r>
        <w:rPr>
          <w:rFonts w:hint="eastAsia" w:cs="Arial"/>
          <w:color w:val="auto"/>
          <w:highlight w:val="none"/>
        </w:rPr>
        <w:t>项目经理部人员配置表详见合同附件2。</w:t>
      </w:r>
    </w:p>
    <w:p w14:paraId="15D88BA8">
      <w:pPr>
        <w:adjustRightInd w:val="0"/>
        <w:snapToGrid w:val="0"/>
        <w:ind w:firstLine="480" w:firstLineChars="200"/>
        <w:rPr>
          <w:color w:val="auto"/>
          <w:highlight w:val="none"/>
        </w:rPr>
      </w:pPr>
      <w:r>
        <w:rPr>
          <w:rFonts w:hint="eastAsia"/>
          <w:color w:val="auto"/>
          <w:highlight w:val="none"/>
        </w:rPr>
        <w:t>3.3.2 承包人安排的主要管理人员包括项目经理、技术负责人、安全负责人以及专职质量、安全生产管理人员等。</w:t>
      </w:r>
    </w:p>
    <w:p w14:paraId="12938F42">
      <w:pPr>
        <w:adjustRightInd w:val="0"/>
        <w:snapToGrid w:val="0"/>
        <w:ind w:firstLine="480" w:firstLineChars="200"/>
        <w:rPr>
          <w:color w:val="auto"/>
          <w:highlight w:val="none"/>
        </w:rPr>
      </w:pPr>
      <w:r>
        <w:rPr>
          <w:rFonts w:hint="eastAsia"/>
          <w:color w:val="auto"/>
          <w:highlight w:val="none"/>
        </w:rPr>
        <w:t>3.3.3 国家规定应当持证上岗的工作人员均应持有相应的资格证明，监理人有权随时检查。监理人认为有必要时，可进行现场考核。</w:t>
      </w:r>
    </w:p>
    <w:p w14:paraId="78016CC4">
      <w:pPr>
        <w:adjustRightInd w:val="0"/>
        <w:snapToGrid w:val="0"/>
        <w:ind w:firstLine="482" w:firstLineChars="200"/>
        <w:rPr>
          <w:b/>
          <w:color w:val="auto"/>
          <w:highlight w:val="none"/>
        </w:rPr>
      </w:pPr>
      <w:r>
        <w:rPr>
          <w:rFonts w:hint="eastAsia"/>
          <w:b/>
          <w:color w:val="auto"/>
          <w:highlight w:val="none"/>
        </w:rPr>
        <w:t>3.4 承包人项目经理及主要管理人员离开现场或擅自更换</w:t>
      </w:r>
    </w:p>
    <w:p w14:paraId="6B22C08A">
      <w:pPr>
        <w:adjustRightInd w:val="0"/>
        <w:snapToGrid w:val="0"/>
        <w:ind w:firstLine="480" w:firstLineChars="200"/>
        <w:rPr>
          <w:color w:val="auto"/>
          <w:highlight w:val="none"/>
        </w:rPr>
      </w:pPr>
      <w:r>
        <w:rPr>
          <w:rFonts w:hint="eastAsia"/>
          <w:color w:val="auto"/>
          <w:highlight w:val="none"/>
        </w:rPr>
        <w:t>承包人的项目经理或主要施工管理人员离开施工现场连续超过3天或每月累计超过7天的，应通知监理人，并征得发包人书面同意。项目经理或主要施工管理人员离开施工现场前应指定有经验的人员临时代行其职责，该等人员应具备履行相应职责的资格和能力，且应征得监理人、发包人的同意。承包人擅自更换项目经理或主要施工管理人员，或前述人员未经监理人、发包人许可擅自离开施工现场连续超过3天或每月累计超过7天的，应按照专用合同条款约定承担违约责任。</w:t>
      </w:r>
    </w:p>
    <w:p w14:paraId="67B97B45">
      <w:pPr>
        <w:adjustRightInd w:val="0"/>
        <w:snapToGrid w:val="0"/>
        <w:ind w:firstLine="482" w:firstLineChars="200"/>
        <w:rPr>
          <w:b/>
          <w:color w:val="auto"/>
          <w:highlight w:val="none"/>
        </w:rPr>
      </w:pPr>
      <w:bookmarkStart w:id="138" w:name="_Toc399776196"/>
      <w:bookmarkStart w:id="139" w:name="_Toc400486376"/>
      <w:bookmarkStart w:id="140" w:name="_Toc400522384"/>
      <w:bookmarkStart w:id="141" w:name="_Toc400485403"/>
      <w:bookmarkStart w:id="142" w:name="_Toc351203522"/>
      <w:bookmarkStart w:id="143" w:name="_Toc399775129"/>
      <w:bookmarkStart w:id="144" w:name="_Toc399775749"/>
      <w:r>
        <w:rPr>
          <w:rFonts w:hint="eastAsia"/>
          <w:b/>
          <w:color w:val="auto"/>
          <w:highlight w:val="none"/>
        </w:rPr>
        <w:t>3</w:t>
      </w:r>
      <w:bookmarkStart w:id="145" w:name="_Toc337558750"/>
      <w:bookmarkStart w:id="146" w:name="_Toc296346551"/>
      <w:bookmarkStart w:id="147" w:name="_Toc296503050"/>
      <w:r>
        <w:rPr>
          <w:rFonts w:hint="eastAsia"/>
          <w:b/>
          <w:color w:val="auto"/>
          <w:highlight w:val="none"/>
        </w:rPr>
        <w:t>.5 承包人现场查勘</w:t>
      </w:r>
      <w:bookmarkEnd w:id="138"/>
      <w:bookmarkEnd w:id="139"/>
      <w:bookmarkEnd w:id="140"/>
      <w:bookmarkEnd w:id="141"/>
      <w:bookmarkEnd w:id="142"/>
      <w:bookmarkEnd w:id="143"/>
      <w:bookmarkEnd w:id="144"/>
    </w:p>
    <w:bookmarkEnd w:id="145"/>
    <w:bookmarkEnd w:id="146"/>
    <w:bookmarkEnd w:id="147"/>
    <w:p w14:paraId="5688235D">
      <w:pPr>
        <w:adjustRightInd w:val="0"/>
        <w:snapToGrid w:val="0"/>
        <w:ind w:firstLine="480" w:firstLineChars="200"/>
        <w:rPr>
          <w:color w:val="auto"/>
          <w:highlight w:val="none"/>
        </w:rPr>
      </w:pPr>
      <w:r>
        <w:rPr>
          <w:rFonts w:hint="eastAsia"/>
          <w:color w:val="auto"/>
          <w:highlight w:val="none"/>
        </w:rPr>
        <w:t>承包人应对基于发包人按照第2.4.3项提交的基础资料所作出的解释和推断负责，但因基础资料存在错误、遗漏导致承包人解释或推断失实的，由发包人承担责任。</w:t>
      </w:r>
    </w:p>
    <w:p w14:paraId="6A0F59B9">
      <w:pPr>
        <w:adjustRightInd w:val="0"/>
        <w:snapToGrid w:val="0"/>
        <w:ind w:firstLine="480" w:firstLineChars="200"/>
        <w:rPr>
          <w:color w:val="auto"/>
          <w:highlight w:val="none"/>
        </w:rPr>
      </w:pPr>
      <w:r>
        <w:rPr>
          <w:rFonts w:hint="eastAsia"/>
          <w:color w:val="auto"/>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DAA38F5">
      <w:pPr>
        <w:adjustRightInd w:val="0"/>
        <w:snapToGrid w:val="0"/>
        <w:ind w:firstLine="482" w:firstLineChars="200"/>
        <w:rPr>
          <w:b/>
          <w:color w:val="auto"/>
          <w:highlight w:val="none"/>
        </w:rPr>
      </w:pPr>
      <w:bookmarkStart w:id="148" w:name="_Toc351203523"/>
      <w:bookmarkStart w:id="149" w:name="_Toc400485404"/>
      <w:bookmarkStart w:id="150" w:name="_Toc399776197"/>
      <w:bookmarkStart w:id="151" w:name="_Toc400486377"/>
      <w:bookmarkStart w:id="152" w:name="_Toc399775130"/>
      <w:bookmarkStart w:id="153" w:name="_Toc399775750"/>
      <w:bookmarkStart w:id="154" w:name="_Toc400522385"/>
      <w:r>
        <w:rPr>
          <w:rFonts w:hint="eastAsia"/>
          <w:b/>
          <w:color w:val="auto"/>
          <w:highlight w:val="none"/>
        </w:rPr>
        <w:t>3</w:t>
      </w:r>
      <w:bookmarkStart w:id="155" w:name="_Toc296503051"/>
      <w:bookmarkStart w:id="156" w:name="_Toc337558751"/>
      <w:bookmarkStart w:id="157" w:name="_Toc296346552"/>
      <w:r>
        <w:rPr>
          <w:rFonts w:hint="eastAsia"/>
          <w:b/>
          <w:color w:val="auto"/>
          <w:highlight w:val="none"/>
        </w:rPr>
        <w:t>.6分包和不得转包</w:t>
      </w:r>
    </w:p>
    <w:bookmarkEnd w:id="148"/>
    <w:bookmarkEnd w:id="149"/>
    <w:bookmarkEnd w:id="150"/>
    <w:bookmarkEnd w:id="151"/>
    <w:bookmarkEnd w:id="152"/>
    <w:bookmarkEnd w:id="153"/>
    <w:bookmarkEnd w:id="154"/>
    <w:bookmarkEnd w:id="155"/>
    <w:bookmarkEnd w:id="156"/>
    <w:bookmarkEnd w:id="157"/>
    <w:p w14:paraId="7AC994BB">
      <w:pPr>
        <w:adjustRightInd w:val="0"/>
        <w:snapToGrid w:val="0"/>
        <w:ind w:firstLine="480" w:firstLineChars="200"/>
        <w:rPr>
          <w:color w:val="auto"/>
          <w:highlight w:val="none"/>
        </w:rPr>
      </w:pPr>
      <w:bookmarkStart w:id="158" w:name="_Toc400485405"/>
      <w:bookmarkStart w:id="159" w:name="_Toc399775131"/>
      <w:bookmarkStart w:id="160" w:name="_Toc351203524"/>
      <w:bookmarkStart w:id="161" w:name="_Toc400522386"/>
      <w:bookmarkStart w:id="162" w:name="_Toc399775751"/>
      <w:bookmarkStart w:id="163" w:name="_Toc399776198"/>
      <w:bookmarkStart w:id="164" w:name="_Toc400486378"/>
      <w:r>
        <w:rPr>
          <w:rFonts w:hint="eastAsia"/>
          <w:color w:val="auto"/>
          <w:highlight w:val="none"/>
        </w:rPr>
        <w:t>3.6.1 承包人应严格按照国家相关法律法规及中国石化的相关规定实施分包工作。</w:t>
      </w:r>
    </w:p>
    <w:p w14:paraId="3C4AEF78">
      <w:pPr>
        <w:adjustRightInd w:val="0"/>
        <w:snapToGrid w:val="0"/>
        <w:ind w:firstLine="480" w:firstLineChars="200"/>
        <w:rPr>
          <w:color w:val="auto"/>
          <w:highlight w:val="none"/>
        </w:rPr>
      </w:pPr>
      <w:r>
        <w:rPr>
          <w:rFonts w:hint="eastAsia"/>
          <w:color w:val="auto"/>
          <w:highlight w:val="none"/>
        </w:rPr>
        <w:t>3.6.2 承包人不得将其承包的全部工程转包给第三人，也不得将其承包的全部工程肢解后以分包的名义分别转包给第三人。</w:t>
      </w:r>
    </w:p>
    <w:p w14:paraId="006F9354">
      <w:pPr>
        <w:adjustRightInd w:val="0"/>
        <w:snapToGrid w:val="0"/>
        <w:ind w:firstLine="480" w:firstLineChars="200"/>
        <w:rPr>
          <w:color w:val="auto"/>
          <w:highlight w:val="none"/>
        </w:rPr>
      </w:pPr>
      <w:r>
        <w:rPr>
          <w:rFonts w:hint="eastAsia"/>
          <w:color w:val="auto"/>
          <w:highlight w:val="none"/>
        </w:rPr>
        <w:t>3.6.3未经发包人书面同意，承包人不得实施分包工作。发包人同意承包人分包工程的，承包人应在分包合同（包括劳务作业分包合同）签订后7日内向发包人和监理人提交分包合同副本。</w:t>
      </w:r>
    </w:p>
    <w:p w14:paraId="335A1B00">
      <w:pPr>
        <w:adjustRightInd w:val="0"/>
        <w:snapToGrid w:val="0"/>
        <w:ind w:firstLine="480" w:firstLineChars="200"/>
        <w:rPr>
          <w:color w:val="auto"/>
          <w:highlight w:val="none"/>
        </w:rPr>
      </w:pPr>
      <w:r>
        <w:rPr>
          <w:rFonts w:hint="eastAsia"/>
          <w:color w:val="auto"/>
          <w:highlight w:val="none"/>
        </w:rPr>
        <w:t>3.6.4 分包人的资格能力应与其分包工程的标准和规模相适应。</w:t>
      </w:r>
    </w:p>
    <w:p w14:paraId="5A96168F">
      <w:pPr>
        <w:adjustRightInd w:val="0"/>
        <w:snapToGrid w:val="0"/>
        <w:ind w:firstLine="480" w:firstLineChars="200"/>
        <w:rPr>
          <w:color w:val="auto"/>
          <w:highlight w:val="none"/>
        </w:rPr>
      </w:pPr>
      <w:r>
        <w:rPr>
          <w:rFonts w:hint="eastAsia"/>
          <w:color w:val="auto"/>
          <w:highlight w:val="none"/>
        </w:rPr>
        <w:t>3.6.5承包人应加强对分包人的管理，确保工程质量、安全、进度符合合同要求，承包人就分包的工程向发包人承担连带责任。</w:t>
      </w:r>
    </w:p>
    <w:p w14:paraId="082C2D31">
      <w:pPr>
        <w:adjustRightInd w:val="0"/>
        <w:snapToGrid w:val="0"/>
        <w:ind w:firstLine="480" w:firstLineChars="200"/>
        <w:rPr>
          <w:color w:val="auto"/>
          <w:highlight w:val="none"/>
        </w:rPr>
      </w:pPr>
      <w:r>
        <w:rPr>
          <w:rFonts w:hint="eastAsia"/>
          <w:color w:val="auto"/>
          <w:highlight w:val="none"/>
        </w:rPr>
        <w:t>3.6.6分包合同价款</w:t>
      </w:r>
    </w:p>
    <w:p w14:paraId="4E3FFC02">
      <w:pPr>
        <w:adjustRightInd w:val="0"/>
        <w:snapToGrid w:val="0"/>
        <w:ind w:firstLine="480" w:firstLineChars="200"/>
        <w:rPr>
          <w:color w:val="auto"/>
          <w:highlight w:val="none"/>
        </w:rPr>
      </w:pPr>
      <w:r>
        <w:rPr>
          <w:rFonts w:hint="eastAsia"/>
          <w:color w:val="auto"/>
          <w:highlight w:val="none"/>
        </w:rPr>
        <w:t>（1）除本项第（2）目约定的情况外，分包合同价款由承包人与分包人结算，未经承包人同意，发包人不得向分包人支付分包或劳务价款；</w:t>
      </w:r>
    </w:p>
    <w:p w14:paraId="2D052B62">
      <w:pPr>
        <w:adjustRightInd w:val="0"/>
        <w:snapToGrid w:val="0"/>
        <w:ind w:firstLine="480" w:firstLineChars="200"/>
        <w:rPr>
          <w:color w:val="auto"/>
          <w:highlight w:val="none"/>
        </w:rPr>
      </w:pPr>
      <w:r>
        <w:rPr>
          <w:rFonts w:hint="eastAsia"/>
          <w:color w:val="auto"/>
          <w:highlight w:val="none"/>
        </w:rPr>
        <w:t>（2）生效法律文书要求发包人向分包人支付分包合同价款的，或承包人拖欠分包人劳务款而导致群访事件时，发包人有权从应付承包人工程款中扣除该部分款项或直接支付给分包人。</w:t>
      </w:r>
    </w:p>
    <w:p w14:paraId="27FBFCA4">
      <w:pPr>
        <w:adjustRightInd w:val="0"/>
        <w:snapToGrid w:val="0"/>
        <w:ind w:firstLine="482" w:firstLineChars="200"/>
        <w:rPr>
          <w:b/>
          <w:color w:val="auto"/>
          <w:highlight w:val="none"/>
        </w:rPr>
      </w:pPr>
      <w:r>
        <w:rPr>
          <w:rFonts w:hint="eastAsia"/>
          <w:b/>
          <w:color w:val="auto"/>
          <w:highlight w:val="none"/>
        </w:rPr>
        <w:t>3.7 工程照管与成品、半成品保护</w:t>
      </w:r>
      <w:bookmarkEnd w:id="158"/>
      <w:bookmarkEnd w:id="159"/>
      <w:bookmarkEnd w:id="160"/>
      <w:bookmarkEnd w:id="161"/>
      <w:bookmarkEnd w:id="162"/>
      <w:bookmarkEnd w:id="163"/>
      <w:bookmarkEnd w:id="164"/>
    </w:p>
    <w:p w14:paraId="55E4D2C9">
      <w:pPr>
        <w:adjustRightInd w:val="0"/>
        <w:snapToGrid w:val="0"/>
        <w:ind w:firstLine="480" w:firstLineChars="200"/>
        <w:rPr>
          <w:color w:val="auto"/>
          <w:highlight w:val="none"/>
        </w:rPr>
      </w:pPr>
      <w:r>
        <w:rPr>
          <w:rFonts w:hint="eastAsia"/>
          <w:color w:val="auto"/>
          <w:highlight w:val="none"/>
        </w:rPr>
        <w:t>3.7.1除专用合同条款另有约定外，自发包人向承包人移交施工现场之日起，承包人应负责照管工程及工程相关的材料、工程设备，直到颁发工程交工证书之日止。</w:t>
      </w:r>
    </w:p>
    <w:p w14:paraId="6AD60D3F">
      <w:pPr>
        <w:adjustRightInd w:val="0"/>
        <w:snapToGrid w:val="0"/>
        <w:ind w:firstLine="480" w:firstLineChars="200"/>
        <w:rPr>
          <w:color w:val="auto"/>
          <w:highlight w:val="none"/>
        </w:rPr>
      </w:pPr>
      <w:r>
        <w:rPr>
          <w:rFonts w:hint="eastAsia"/>
          <w:color w:val="auto"/>
          <w:highlight w:val="none"/>
        </w:rPr>
        <w:t>3.7.2在承包人负责照管期间，因承包人原因造成工程、材料、工程设备损坏的，由承包人负责修复或更换，并承担由此增加的费用和（或）延误的工期。</w:t>
      </w:r>
    </w:p>
    <w:p w14:paraId="4EA689DA">
      <w:pPr>
        <w:adjustRightInd w:val="0"/>
        <w:snapToGrid w:val="0"/>
        <w:ind w:firstLine="480" w:firstLineChars="200"/>
        <w:rPr>
          <w:color w:val="auto"/>
          <w:highlight w:val="none"/>
        </w:rPr>
      </w:pPr>
      <w:r>
        <w:rPr>
          <w:rFonts w:hint="eastAsia"/>
          <w:color w:val="auto"/>
          <w:highlight w:val="none"/>
        </w:rPr>
        <w:t>3.7.3对合同内分期完成的成品和半成品，在工程交工证书颁发前，由承包人承担保护责任。因承包人原因造成成品或半成品损坏的，由承包人负责修复或更换，并承担由此增加的费用和（或）延误的工期。</w:t>
      </w:r>
    </w:p>
    <w:p w14:paraId="7C835122">
      <w:pPr>
        <w:adjustRightInd w:val="0"/>
        <w:snapToGrid w:val="0"/>
        <w:ind w:firstLine="482" w:firstLineChars="200"/>
        <w:rPr>
          <w:b/>
          <w:color w:val="auto"/>
          <w:highlight w:val="none"/>
        </w:rPr>
      </w:pPr>
      <w:bookmarkStart w:id="165" w:name="_Toc400522387"/>
      <w:bookmarkStart w:id="166" w:name="_Toc399776199"/>
      <w:bookmarkStart w:id="167" w:name="_Toc351203525"/>
      <w:bookmarkStart w:id="168" w:name="_Toc399775752"/>
      <w:bookmarkStart w:id="169" w:name="_Toc400485406"/>
      <w:bookmarkStart w:id="170" w:name="_Toc399775132"/>
      <w:bookmarkStart w:id="171" w:name="_Toc400486379"/>
      <w:r>
        <w:rPr>
          <w:rFonts w:hint="eastAsia"/>
          <w:b/>
          <w:color w:val="auto"/>
          <w:highlight w:val="none"/>
        </w:rPr>
        <w:t>3</w:t>
      </w:r>
      <w:bookmarkStart w:id="172" w:name="_Toc296346553"/>
      <w:bookmarkStart w:id="173" w:name="_Toc296503052"/>
      <w:bookmarkStart w:id="174" w:name="_Toc337558752"/>
      <w:r>
        <w:rPr>
          <w:rFonts w:hint="eastAsia"/>
          <w:b/>
          <w:color w:val="auto"/>
          <w:highlight w:val="none"/>
        </w:rPr>
        <w:t>.8 履约担保</w:t>
      </w:r>
      <w:bookmarkEnd w:id="165"/>
      <w:bookmarkEnd w:id="166"/>
      <w:bookmarkEnd w:id="167"/>
      <w:bookmarkEnd w:id="168"/>
      <w:bookmarkEnd w:id="169"/>
      <w:bookmarkEnd w:id="170"/>
      <w:bookmarkEnd w:id="171"/>
    </w:p>
    <w:bookmarkEnd w:id="172"/>
    <w:bookmarkEnd w:id="173"/>
    <w:bookmarkEnd w:id="174"/>
    <w:p w14:paraId="16FE9B37">
      <w:pPr>
        <w:adjustRightInd w:val="0"/>
        <w:snapToGrid w:val="0"/>
        <w:ind w:firstLine="480" w:firstLineChars="200"/>
        <w:rPr>
          <w:color w:val="auto"/>
          <w:highlight w:val="none"/>
        </w:rPr>
      </w:pPr>
      <w:r>
        <w:rPr>
          <w:rFonts w:hint="eastAsia"/>
          <w:color w:val="auto"/>
          <w:highlight w:val="none"/>
        </w:rPr>
        <w:t>3.8.1发包人需要承包人提供履约担保的，应采用银行履约保函的形式，履约担保的金额及期限在专用合同条款中约定。</w:t>
      </w:r>
    </w:p>
    <w:p w14:paraId="15F5714E">
      <w:pPr>
        <w:adjustRightInd w:val="0"/>
        <w:snapToGrid w:val="0"/>
        <w:ind w:firstLine="480" w:firstLineChars="200"/>
        <w:rPr>
          <w:color w:val="auto"/>
          <w:highlight w:val="none"/>
        </w:rPr>
      </w:pPr>
      <w:r>
        <w:rPr>
          <w:rFonts w:hint="eastAsia"/>
          <w:color w:val="auto"/>
          <w:highlight w:val="none"/>
        </w:rPr>
        <w:t>3.8.2承包人应保证其履约担保在发包人颁发交工证书前一直有效。发包人应在交工证书颁发后28 天内把履约担保退还给承包人。</w:t>
      </w:r>
    </w:p>
    <w:p w14:paraId="2BB8E5BB">
      <w:pPr>
        <w:adjustRightInd w:val="0"/>
        <w:snapToGrid w:val="0"/>
        <w:ind w:firstLine="480" w:firstLineChars="200"/>
        <w:rPr>
          <w:color w:val="auto"/>
          <w:highlight w:val="none"/>
        </w:rPr>
      </w:pPr>
      <w:r>
        <w:rPr>
          <w:rFonts w:hint="eastAsia"/>
          <w:color w:val="auto"/>
          <w:highlight w:val="none"/>
        </w:rPr>
        <w:t>3.8.3如工程延期，承包人有义务继续提供履约担保。由于发包人原因导致延期的，继续提供履约担保所需的费用由发包人承担；由于承包人原因导致延期的，继续提供履约担保所需费用由承包人承担。</w:t>
      </w:r>
    </w:p>
    <w:p w14:paraId="7ADCA07D">
      <w:pPr>
        <w:keepNext/>
        <w:keepLines/>
        <w:adjustRightInd w:val="0"/>
        <w:snapToGrid w:val="0"/>
        <w:outlineLvl w:val="1"/>
        <w:rPr>
          <w:rFonts w:ascii="Arial"/>
          <w:b/>
          <w:bCs/>
          <w:color w:val="auto"/>
          <w:highlight w:val="none"/>
        </w:rPr>
      </w:pPr>
      <w:bookmarkStart w:id="175" w:name="_Toc400485408"/>
      <w:bookmarkStart w:id="176" w:name="_Toc81225273"/>
      <w:bookmarkStart w:id="177" w:name="_Toc99782813"/>
      <w:bookmarkStart w:id="178" w:name="_Toc399775754"/>
      <w:bookmarkStart w:id="179" w:name="_Toc2257"/>
      <w:bookmarkStart w:id="180" w:name="_Toc400486381"/>
      <w:bookmarkStart w:id="181" w:name="_Toc399776201"/>
      <w:bookmarkStart w:id="182" w:name="_Toc399775134"/>
      <w:bookmarkStart w:id="183" w:name="_Toc400522389"/>
      <w:bookmarkStart w:id="184" w:name="_Toc119953726"/>
      <w:bookmarkStart w:id="185" w:name="_Toc351203527"/>
      <w:bookmarkStart w:id="186" w:name="_Toc117018790"/>
      <w:bookmarkStart w:id="187" w:name="_Toc256000059"/>
      <w:bookmarkStart w:id="188" w:name="_Toc91660605"/>
      <w:r>
        <w:rPr>
          <w:rFonts w:ascii="Arial"/>
          <w:b/>
          <w:bCs/>
          <w:color w:val="auto"/>
          <w:highlight w:val="none"/>
        </w:rPr>
        <w:t>4</w:t>
      </w:r>
      <w:bookmarkStart w:id="189" w:name="_Toc296503053"/>
      <w:bookmarkStart w:id="190" w:name="_Toc296346554"/>
      <w:bookmarkStart w:id="191" w:name="_Toc337558753"/>
      <w:r>
        <w:rPr>
          <w:rFonts w:ascii="Arial"/>
          <w:b/>
          <w:bCs/>
          <w:color w:val="auto"/>
          <w:highlight w:val="none"/>
        </w:rPr>
        <w:t xml:space="preserve">. </w:t>
      </w:r>
      <w:r>
        <w:rPr>
          <w:rFonts w:hint="eastAsia" w:ascii="Arial"/>
          <w:b/>
          <w:bCs/>
          <w:color w:val="auto"/>
          <w:highlight w:val="none"/>
        </w:rPr>
        <w:t>监</w:t>
      </w:r>
      <w:bookmarkEnd w:id="189"/>
      <w:bookmarkEnd w:id="190"/>
      <w:r>
        <w:rPr>
          <w:rFonts w:hint="eastAsia" w:ascii="Arial"/>
          <w:b/>
          <w:bCs/>
          <w:color w:val="auto"/>
          <w:highlight w:val="none"/>
        </w:rPr>
        <w:t>理人</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91"/>
    <w:p w14:paraId="3810D9BE">
      <w:pPr>
        <w:adjustRightInd w:val="0"/>
        <w:snapToGrid w:val="0"/>
        <w:ind w:firstLine="482" w:firstLineChars="200"/>
        <w:rPr>
          <w:b/>
          <w:color w:val="auto"/>
          <w:highlight w:val="none"/>
        </w:rPr>
      </w:pPr>
      <w:bookmarkStart w:id="192" w:name="_Toc399775139"/>
      <w:bookmarkStart w:id="193" w:name="_Toc399775759"/>
      <w:bookmarkStart w:id="194" w:name="_Toc400522394"/>
      <w:bookmarkStart w:id="195" w:name="_Toc400485413"/>
      <w:bookmarkStart w:id="196" w:name="_Toc351203532"/>
      <w:bookmarkStart w:id="197" w:name="_Toc399776206"/>
      <w:bookmarkStart w:id="198" w:name="_Toc400486386"/>
      <w:r>
        <w:rPr>
          <w:rFonts w:hint="eastAsia"/>
          <w:b/>
          <w:color w:val="auto"/>
          <w:highlight w:val="none"/>
        </w:rPr>
        <w:t>4.1 监理人的职责和权力</w:t>
      </w:r>
    </w:p>
    <w:p w14:paraId="1CCA99C0">
      <w:pPr>
        <w:adjustRightInd w:val="0"/>
        <w:snapToGrid w:val="0"/>
        <w:ind w:firstLine="480" w:firstLineChars="200"/>
        <w:rPr>
          <w:color w:val="auto"/>
          <w:highlight w:val="none"/>
        </w:rPr>
      </w:pPr>
      <w:r>
        <w:rPr>
          <w:rFonts w:hint="eastAsia"/>
          <w:color w:val="auto"/>
          <w:highlight w:val="none"/>
        </w:rPr>
        <w:t>4.1.1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14:paraId="08D712FC">
      <w:pPr>
        <w:adjustRightInd w:val="0"/>
        <w:snapToGrid w:val="0"/>
        <w:ind w:firstLine="480" w:firstLineChars="200"/>
        <w:rPr>
          <w:color w:val="auto"/>
          <w:highlight w:val="none"/>
        </w:rPr>
      </w:pPr>
      <w:r>
        <w:rPr>
          <w:rFonts w:hint="eastAsia"/>
          <w:color w:val="auto"/>
          <w:highlight w:val="none"/>
        </w:rPr>
        <w:t>4.1.2 合同约定应由承包人承担的义务和责任，不因监理人对承包人文件的审查或批准，对工程、材料和工程设备的检查和检验，以及为实施监理作出的指示等职务行为而减轻或解除。</w:t>
      </w:r>
    </w:p>
    <w:p w14:paraId="1C60A239">
      <w:pPr>
        <w:adjustRightInd w:val="0"/>
        <w:snapToGrid w:val="0"/>
        <w:ind w:firstLine="480" w:firstLineChars="200"/>
        <w:rPr>
          <w:color w:val="auto"/>
          <w:highlight w:val="none"/>
        </w:rPr>
      </w:pPr>
      <w:r>
        <w:rPr>
          <w:rFonts w:hint="eastAsia"/>
          <w:color w:val="auto"/>
          <w:highlight w:val="none"/>
        </w:rPr>
        <w:t>4.1.3监理人的具体工作内容见合同附件3。</w:t>
      </w:r>
    </w:p>
    <w:p w14:paraId="60643B68">
      <w:pPr>
        <w:adjustRightInd w:val="0"/>
        <w:snapToGrid w:val="0"/>
        <w:ind w:firstLine="482" w:firstLineChars="200"/>
        <w:rPr>
          <w:b/>
          <w:color w:val="auto"/>
          <w:highlight w:val="none"/>
        </w:rPr>
      </w:pPr>
      <w:r>
        <w:rPr>
          <w:rFonts w:hint="eastAsia"/>
          <w:b/>
          <w:color w:val="auto"/>
          <w:highlight w:val="none"/>
        </w:rPr>
        <w:t>4.2 总监理工程师</w:t>
      </w:r>
    </w:p>
    <w:p w14:paraId="16B3EE24">
      <w:pPr>
        <w:adjustRightInd w:val="0"/>
        <w:snapToGrid w:val="0"/>
        <w:ind w:firstLine="480" w:firstLineChars="200"/>
        <w:rPr>
          <w:color w:val="auto"/>
          <w:highlight w:val="none"/>
        </w:rPr>
      </w:pPr>
      <w:r>
        <w:rPr>
          <w:rFonts w:hint="eastAsia"/>
          <w:color w:val="auto"/>
          <w:highlight w:val="none"/>
        </w:rPr>
        <w:t>发包人应及时将总监理工程师的任命通知承包人。总监理工程师更换时，应提前14 天通知承包人。总监理工程师超过2天不能履行职责的，应委派代表代行其职责，并通知承包人。</w:t>
      </w:r>
    </w:p>
    <w:p w14:paraId="4BDAD4F2">
      <w:pPr>
        <w:adjustRightInd w:val="0"/>
        <w:snapToGrid w:val="0"/>
        <w:ind w:firstLine="482" w:firstLineChars="200"/>
        <w:rPr>
          <w:b/>
          <w:color w:val="auto"/>
          <w:highlight w:val="none"/>
        </w:rPr>
      </w:pPr>
      <w:r>
        <w:rPr>
          <w:rFonts w:hint="eastAsia"/>
          <w:b/>
          <w:color w:val="auto"/>
          <w:highlight w:val="none"/>
        </w:rPr>
        <w:t>4.3 监理人员</w:t>
      </w:r>
    </w:p>
    <w:p w14:paraId="410E7BD4">
      <w:pPr>
        <w:adjustRightInd w:val="0"/>
        <w:snapToGrid w:val="0"/>
        <w:ind w:firstLine="480" w:firstLineChars="200"/>
        <w:rPr>
          <w:color w:val="auto"/>
          <w:highlight w:val="none"/>
        </w:rPr>
      </w:pPr>
      <w:r>
        <w:rPr>
          <w:rFonts w:hint="eastAsia"/>
          <w:color w:val="auto"/>
          <w:highlight w:val="none"/>
        </w:rPr>
        <w:t>4.3.1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14:paraId="3009EA9D">
      <w:pPr>
        <w:adjustRightInd w:val="0"/>
        <w:snapToGrid w:val="0"/>
        <w:ind w:firstLine="480" w:firstLineChars="200"/>
        <w:rPr>
          <w:color w:val="auto"/>
          <w:highlight w:val="none"/>
        </w:rPr>
      </w:pPr>
      <w:r>
        <w:rPr>
          <w:rFonts w:hint="eastAsia"/>
          <w:color w:val="auto"/>
          <w:highlight w:val="none"/>
        </w:rPr>
        <w:t>4.3.2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14:paraId="1A516D1A">
      <w:pPr>
        <w:adjustRightInd w:val="0"/>
        <w:snapToGrid w:val="0"/>
        <w:ind w:firstLine="480" w:firstLineChars="200"/>
        <w:rPr>
          <w:color w:val="auto"/>
          <w:highlight w:val="none"/>
        </w:rPr>
      </w:pPr>
      <w:r>
        <w:rPr>
          <w:rFonts w:hint="eastAsia"/>
          <w:color w:val="auto"/>
          <w:highlight w:val="none"/>
        </w:rPr>
        <w:t>4.3.3 承包人对总监理工程师授权的监理人员发出的指示有疑问的，可在该指示发出的48小时内向总监理工程师提出书面异议，总监理工程师应在48小时内对该指示予以确认、更改或撤销。</w:t>
      </w:r>
    </w:p>
    <w:p w14:paraId="1B47223C">
      <w:pPr>
        <w:adjustRightInd w:val="0"/>
        <w:snapToGrid w:val="0"/>
        <w:ind w:firstLine="482" w:firstLineChars="200"/>
        <w:rPr>
          <w:b/>
          <w:color w:val="auto"/>
          <w:highlight w:val="none"/>
        </w:rPr>
      </w:pPr>
      <w:r>
        <w:rPr>
          <w:rFonts w:hint="eastAsia"/>
          <w:b/>
          <w:color w:val="auto"/>
          <w:highlight w:val="none"/>
        </w:rPr>
        <w:t>4.4 监理人的指示</w:t>
      </w:r>
    </w:p>
    <w:p w14:paraId="35A77545">
      <w:pPr>
        <w:adjustRightInd w:val="0"/>
        <w:snapToGrid w:val="0"/>
        <w:ind w:firstLine="480" w:firstLineChars="200"/>
        <w:rPr>
          <w:color w:val="auto"/>
          <w:highlight w:val="none"/>
        </w:rPr>
      </w:pPr>
      <w:r>
        <w:rPr>
          <w:rFonts w:hint="eastAsia"/>
          <w:color w:val="auto"/>
          <w:highlight w:val="none"/>
        </w:rPr>
        <w:t>4.4.1 监理人应按第4.1 款的约定向承包人发出指示，监理人的指示应盖有监理人授权的施工项目管理机构章，并由总监理工程师或总监理工程师按第4.3.1 项约定授权的监理人员签字。</w:t>
      </w:r>
    </w:p>
    <w:p w14:paraId="4AF1D0AB">
      <w:pPr>
        <w:adjustRightInd w:val="0"/>
        <w:snapToGrid w:val="0"/>
        <w:ind w:firstLine="480" w:firstLineChars="200"/>
        <w:rPr>
          <w:color w:val="auto"/>
          <w:highlight w:val="none"/>
        </w:rPr>
      </w:pPr>
      <w:r>
        <w:rPr>
          <w:rFonts w:hint="eastAsia"/>
          <w:color w:val="auto"/>
          <w:highlight w:val="none"/>
        </w:rPr>
        <w:t>4.4.2 承包人收到监理人按第4.4.1 项作出的指示后应遵照执行。指示构成变更的，应按第10条处理。</w:t>
      </w:r>
    </w:p>
    <w:p w14:paraId="2E1ACE45">
      <w:pPr>
        <w:adjustRightInd w:val="0"/>
        <w:snapToGrid w:val="0"/>
        <w:ind w:firstLine="480" w:firstLineChars="200"/>
        <w:rPr>
          <w:color w:val="auto"/>
          <w:highlight w:val="none"/>
        </w:rPr>
      </w:pPr>
      <w:r>
        <w:rPr>
          <w:rFonts w:hint="eastAsia"/>
          <w:color w:val="auto"/>
          <w:highlight w:val="none"/>
        </w:rPr>
        <w:t>4.4.3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6689ECC">
      <w:pPr>
        <w:adjustRightInd w:val="0"/>
        <w:snapToGrid w:val="0"/>
        <w:ind w:firstLine="480" w:firstLineChars="200"/>
        <w:rPr>
          <w:color w:val="auto"/>
          <w:highlight w:val="none"/>
        </w:rPr>
      </w:pPr>
      <w:r>
        <w:rPr>
          <w:rFonts w:hint="eastAsia"/>
          <w:color w:val="auto"/>
          <w:highlight w:val="none"/>
        </w:rPr>
        <w:t>4.4.4 除专用合同条款另有约定外，承包人只从总监理工程师或按第4.3.1 项被授权的监理人员处取得指示。</w:t>
      </w:r>
    </w:p>
    <w:p w14:paraId="070CA354">
      <w:pPr>
        <w:adjustRightInd w:val="0"/>
        <w:snapToGrid w:val="0"/>
        <w:ind w:firstLine="480" w:firstLineChars="200"/>
        <w:rPr>
          <w:color w:val="auto"/>
          <w:highlight w:val="none"/>
        </w:rPr>
      </w:pPr>
      <w:r>
        <w:rPr>
          <w:rFonts w:hint="eastAsia"/>
          <w:color w:val="auto"/>
          <w:highlight w:val="none"/>
        </w:rPr>
        <w:t>4.4.5 由于监理人未能按合同约定发出指示、指示延误或指示错误而导致承包人费用增加和（或）工期延误的，由发包人承担赔偿责任。</w:t>
      </w:r>
    </w:p>
    <w:p w14:paraId="51741F09">
      <w:pPr>
        <w:adjustRightInd w:val="0"/>
        <w:snapToGrid w:val="0"/>
        <w:ind w:firstLine="482" w:firstLineChars="200"/>
        <w:rPr>
          <w:b/>
          <w:color w:val="auto"/>
          <w:highlight w:val="none"/>
        </w:rPr>
      </w:pPr>
      <w:r>
        <w:rPr>
          <w:rFonts w:hint="eastAsia"/>
          <w:b/>
          <w:color w:val="auto"/>
          <w:highlight w:val="none"/>
        </w:rPr>
        <w:t>4.5 商定或确定</w:t>
      </w:r>
    </w:p>
    <w:p w14:paraId="3BF0A350">
      <w:pPr>
        <w:adjustRightInd w:val="0"/>
        <w:snapToGrid w:val="0"/>
        <w:ind w:firstLine="480" w:firstLineChars="200"/>
        <w:rPr>
          <w:color w:val="auto"/>
          <w:highlight w:val="none"/>
        </w:rPr>
      </w:pPr>
      <w:r>
        <w:rPr>
          <w:rFonts w:hint="eastAsia"/>
          <w:color w:val="auto"/>
          <w:highlight w:val="none"/>
        </w:rPr>
        <w:t>4.5.1总监理工程师应按照合同约定对有关事项进行商定或确定时，总监理工程师应与合同当事人协商，尽量达成一致。不能达成一致的，总监理工程师应提出建议，报送发包人确定。</w:t>
      </w:r>
    </w:p>
    <w:p w14:paraId="4B085F46">
      <w:pPr>
        <w:adjustRightInd w:val="0"/>
        <w:snapToGrid w:val="0"/>
        <w:ind w:firstLine="480" w:firstLineChars="200"/>
        <w:rPr>
          <w:color w:val="auto"/>
          <w:highlight w:val="none"/>
        </w:rPr>
      </w:pPr>
      <w:r>
        <w:rPr>
          <w:rFonts w:hint="eastAsia"/>
          <w:color w:val="auto"/>
          <w:highlight w:val="none"/>
        </w:rPr>
        <w:t>4.5.2 总监理工程师应将商定或确定的事项通知合同当事人，并附详细依据。承包人对总监理工程师的确定有异议的，构成争议，在争议解决前，应暂按总监理工程师的确定执行。</w:t>
      </w:r>
    </w:p>
    <w:p w14:paraId="5B2CF148">
      <w:pPr>
        <w:keepNext/>
        <w:keepLines/>
        <w:adjustRightInd w:val="0"/>
        <w:snapToGrid w:val="0"/>
        <w:outlineLvl w:val="1"/>
        <w:rPr>
          <w:rFonts w:ascii="Arial"/>
          <w:b/>
          <w:bCs/>
          <w:color w:val="auto"/>
          <w:highlight w:val="none"/>
        </w:rPr>
      </w:pPr>
      <w:bookmarkStart w:id="199" w:name="_Toc256000060"/>
      <w:bookmarkStart w:id="200" w:name="_Toc119953727"/>
      <w:bookmarkStart w:id="201" w:name="_Toc99782814"/>
      <w:bookmarkStart w:id="202" w:name="_Toc91660606"/>
      <w:bookmarkStart w:id="203" w:name="_Toc81225274"/>
      <w:bookmarkStart w:id="204" w:name="_Toc117018791"/>
      <w:bookmarkStart w:id="205" w:name="_Toc13231"/>
      <w:r>
        <w:rPr>
          <w:rFonts w:ascii="Arial"/>
          <w:b/>
          <w:bCs/>
          <w:color w:val="auto"/>
          <w:highlight w:val="none"/>
        </w:rPr>
        <w:t>5</w:t>
      </w:r>
      <w:bookmarkStart w:id="206" w:name="_Toc337558758"/>
      <w:r>
        <w:rPr>
          <w:rFonts w:ascii="Arial"/>
          <w:b/>
          <w:bCs/>
          <w:color w:val="auto"/>
          <w:highlight w:val="none"/>
        </w:rPr>
        <w:t xml:space="preserve">. </w:t>
      </w:r>
      <w:r>
        <w:rPr>
          <w:rFonts w:hint="eastAsia" w:ascii="Arial"/>
          <w:b/>
          <w:bCs/>
          <w:color w:val="auto"/>
          <w:highlight w:val="none"/>
        </w:rPr>
        <w:t>工程质量</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ADCEEF3">
      <w:pPr>
        <w:adjustRightInd w:val="0"/>
        <w:snapToGrid w:val="0"/>
        <w:ind w:firstLine="482" w:firstLineChars="200"/>
        <w:rPr>
          <w:b/>
          <w:color w:val="auto"/>
          <w:highlight w:val="none"/>
        </w:rPr>
      </w:pPr>
      <w:r>
        <w:rPr>
          <w:rFonts w:hint="eastAsia"/>
          <w:b/>
          <w:color w:val="auto"/>
          <w:highlight w:val="none"/>
        </w:rPr>
        <w:t>5.1 工程质量要求</w:t>
      </w:r>
    </w:p>
    <w:p w14:paraId="0B54AB01">
      <w:pPr>
        <w:adjustRightInd w:val="0"/>
        <w:snapToGrid w:val="0"/>
        <w:ind w:firstLine="480" w:firstLineChars="200"/>
        <w:rPr>
          <w:color w:val="auto"/>
          <w:highlight w:val="none"/>
        </w:rPr>
      </w:pPr>
      <w:r>
        <w:rPr>
          <w:rFonts w:hint="eastAsia"/>
          <w:color w:val="auto"/>
          <w:highlight w:val="none"/>
        </w:rPr>
        <w:t>5.1.1 工程质量验收按法律规定和合同约定的验收标准执行。</w:t>
      </w:r>
    </w:p>
    <w:p w14:paraId="2E3AABC8">
      <w:pPr>
        <w:adjustRightInd w:val="0"/>
        <w:snapToGrid w:val="0"/>
        <w:ind w:firstLine="480" w:firstLineChars="200"/>
        <w:rPr>
          <w:color w:val="auto"/>
          <w:highlight w:val="none"/>
        </w:rPr>
      </w:pPr>
      <w:r>
        <w:rPr>
          <w:rFonts w:hint="eastAsia"/>
          <w:color w:val="auto"/>
          <w:highlight w:val="none"/>
        </w:rPr>
        <w:t>5.1.2 因承包人原因造成工程质量不符合法律的规定和合同约定的，监理人有权要求承包人返工直至符合合同要求为止，由此造成的费用增加和（或）工期延误由承包人承担。</w:t>
      </w:r>
    </w:p>
    <w:p w14:paraId="5007D763">
      <w:pPr>
        <w:adjustRightInd w:val="0"/>
        <w:snapToGrid w:val="0"/>
        <w:ind w:firstLine="480" w:firstLineChars="200"/>
        <w:rPr>
          <w:color w:val="auto"/>
          <w:highlight w:val="none"/>
        </w:rPr>
      </w:pPr>
      <w:r>
        <w:rPr>
          <w:rFonts w:hint="eastAsia"/>
          <w:color w:val="auto"/>
          <w:highlight w:val="none"/>
        </w:rPr>
        <w:t>5.1.3 因发包人原因造成工程质量达不到合同约定验收标准的，发包人应承担由于承包人返工造成的费用增加和（或）工期延误。</w:t>
      </w:r>
    </w:p>
    <w:p w14:paraId="299F19F2">
      <w:pPr>
        <w:adjustRightInd w:val="0"/>
        <w:snapToGrid w:val="0"/>
        <w:ind w:firstLine="482" w:firstLineChars="200"/>
        <w:rPr>
          <w:b/>
          <w:color w:val="auto"/>
          <w:highlight w:val="none"/>
        </w:rPr>
      </w:pPr>
      <w:bookmarkStart w:id="207" w:name="_Toc399775761"/>
      <w:bookmarkStart w:id="208" w:name="_Toc399776208"/>
      <w:bookmarkStart w:id="209" w:name="_Toc400522396"/>
      <w:bookmarkStart w:id="210" w:name="_Toc400486388"/>
      <w:bookmarkStart w:id="211" w:name="_Toc351203534"/>
      <w:bookmarkStart w:id="212" w:name="_Toc400485415"/>
      <w:bookmarkStart w:id="213" w:name="_Toc399775141"/>
      <w:r>
        <w:rPr>
          <w:rFonts w:hint="eastAsia"/>
          <w:b/>
          <w:color w:val="auto"/>
          <w:highlight w:val="none"/>
        </w:rPr>
        <w:t>5</w:t>
      </w:r>
      <w:bookmarkStart w:id="214" w:name="_Toc337558760"/>
      <w:r>
        <w:rPr>
          <w:rFonts w:hint="eastAsia"/>
          <w:b/>
          <w:color w:val="auto"/>
          <w:highlight w:val="none"/>
        </w:rPr>
        <w:t>.2 质量保证措施</w:t>
      </w:r>
      <w:bookmarkEnd w:id="207"/>
      <w:bookmarkEnd w:id="208"/>
      <w:bookmarkEnd w:id="209"/>
      <w:bookmarkEnd w:id="210"/>
      <w:bookmarkEnd w:id="211"/>
      <w:bookmarkEnd w:id="212"/>
      <w:bookmarkEnd w:id="213"/>
    </w:p>
    <w:bookmarkEnd w:id="214"/>
    <w:p w14:paraId="2F13C6A1">
      <w:pPr>
        <w:adjustRightInd w:val="0"/>
        <w:snapToGrid w:val="0"/>
        <w:ind w:firstLine="480" w:firstLineChars="200"/>
        <w:rPr>
          <w:color w:val="auto"/>
          <w:highlight w:val="none"/>
        </w:rPr>
      </w:pPr>
      <w:r>
        <w:rPr>
          <w:rFonts w:hint="eastAsia"/>
          <w:color w:val="auto"/>
          <w:highlight w:val="none"/>
        </w:rPr>
        <w:t>5.2.1 发包人的质量管理</w:t>
      </w:r>
    </w:p>
    <w:p w14:paraId="12C7390D">
      <w:pPr>
        <w:adjustRightInd w:val="0"/>
        <w:snapToGrid w:val="0"/>
        <w:ind w:firstLine="480" w:firstLineChars="200"/>
        <w:rPr>
          <w:color w:val="auto"/>
          <w:highlight w:val="none"/>
        </w:rPr>
      </w:pPr>
      <w:r>
        <w:rPr>
          <w:rFonts w:hint="eastAsia"/>
          <w:color w:val="auto"/>
          <w:highlight w:val="none"/>
        </w:rPr>
        <w:t>发包人应按照法律规定及合同约定完成与工程质量有关的各项工作。</w:t>
      </w:r>
    </w:p>
    <w:p w14:paraId="3922BA2E">
      <w:pPr>
        <w:adjustRightInd w:val="0"/>
        <w:snapToGrid w:val="0"/>
        <w:ind w:firstLine="480" w:firstLineChars="200"/>
        <w:rPr>
          <w:color w:val="auto"/>
          <w:highlight w:val="none"/>
        </w:rPr>
      </w:pPr>
      <w:r>
        <w:rPr>
          <w:rFonts w:hint="eastAsia"/>
          <w:color w:val="auto"/>
          <w:highlight w:val="none"/>
        </w:rPr>
        <w:t>5.2.2 承包人的质量管理</w:t>
      </w:r>
    </w:p>
    <w:p w14:paraId="469AC799">
      <w:pPr>
        <w:adjustRightInd w:val="0"/>
        <w:snapToGrid w:val="0"/>
        <w:ind w:firstLine="480" w:firstLineChars="200"/>
        <w:rPr>
          <w:color w:val="auto"/>
          <w:highlight w:val="none"/>
        </w:rPr>
      </w:pPr>
      <w:r>
        <w:rPr>
          <w:rFonts w:hint="eastAsia"/>
          <w:color w:val="auto"/>
          <w:highlight w:val="none"/>
        </w:rPr>
        <w:t>承包人按合同约定向发包人和监理人提交工程质量保证体系及措施文件，建立完善的质量检查制度，并提交相应的工程质量文件。对于发包人和监理人违反法律规定和合同约定的错误指示，承包人有权拒绝实施。</w:t>
      </w:r>
    </w:p>
    <w:p w14:paraId="3298C5FC">
      <w:pPr>
        <w:adjustRightInd w:val="0"/>
        <w:snapToGrid w:val="0"/>
        <w:ind w:firstLine="480" w:firstLineChars="200"/>
        <w:rPr>
          <w:color w:val="auto"/>
          <w:highlight w:val="none"/>
        </w:rPr>
      </w:pPr>
      <w:r>
        <w:rPr>
          <w:rFonts w:hint="eastAsia"/>
          <w:color w:val="auto"/>
          <w:highlight w:val="none"/>
        </w:rPr>
        <w:t>承包人应对施工人员进行质量教育、施工技术交底和技术培训，定期考核施工人员的劳动技能，严格执行施工规范和操作规程。</w:t>
      </w:r>
    </w:p>
    <w:p w14:paraId="451E3F44">
      <w:pPr>
        <w:adjustRightInd w:val="0"/>
        <w:snapToGrid w:val="0"/>
        <w:ind w:firstLine="480" w:firstLineChars="200"/>
        <w:rPr>
          <w:color w:val="auto"/>
          <w:highlight w:val="none"/>
        </w:rPr>
      </w:pPr>
      <w:r>
        <w:rPr>
          <w:rFonts w:hint="eastAsia"/>
          <w:color w:val="auto"/>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实行见证取样制度，进行施工现场取样试验、工程复核测量和设备性能检测，提供试验样品、提交试验报告和测量成果以及其他工作。</w:t>
      </w:r>
    </w:p>
    <w:p w14:paraId="4390CB3A">
      <w:pPr>
        <w:adjustRightInd w:val="0"/>
        <w:snapToGrid w:val="0"/>
        <w:ind w:firstLine="480" w:firstLineChars="200"/>
        <w:rPr>
          <w:color w:val="auto"/>
          <w:highlight w:val="none"/>
        </w:rPr>
      </w:pPr>
      <w:r>
        <w:rPr>
          <w:rFonts w:hint="eastAsia"/>
          <w:color w:val="auto"/>
          <w:highlight w:val="none"/>
        </w:rPr>
        <w:t>未经发包人代表签字认可，建筑材料、构配件、设备和集中搅拌混凝土不得在工程上使用或安装，不得进入下一道工序施工。</w:t>
      </w:r>
    </w:p>
    <w:p w14:paraId="053417B8">
      <w:pPr>
        <w:adjustRightInd w:val="0"/>
        <w:snapToGrid w:val="0"/>
        <w:ind w:firstLine="480" w:firstLineChars="200"/>
        <w:rPr>
          <w:color w:val="auto"/>
          <w:highlight w:val="none"/>
        </w:rPr>
      </w:pPr>
      <w:r>
        <w:rPr>
          <w:rFonts w:hint="eastAsia"/>
          <w:color w:val="auto"/>
          <w:highlight w:val="none"/>
        </w:rPr>
        <w:t>承包人应保证提供满足现场施工质量要求的专职质检人员，且在工程实施中不得随意更换。</w:t>
      </w:r>
    </w:p>
    <w:p w14:paraId="78BDE436">
      <w:pPr>
        <w:adjustRightInd w:val="0"/>
        <w:snapToGrid w:val="0"/>
        <w:ind w:firstLine="480" w:firstLineChars="200"/>
        <w:rPr>
          <w:color w:val="auto"/>
          <w:highlight w:val="none"/>
        </w:rPr>
      </w:pPr>
      <w:r>
        <w:rPr>
          <w:rFonts w:hint="eastAsia"/>
          <w:color w:val="auto"/>
          <w:highlight w:val="none"/>
        </w:rPr>
        <w:t>5.2.3 监理人的质量检查和检验</w:t>
      </w:r>
    </w:p>
    <w:p w14:paraId="0F44F738">
      <w:pPr>
        <w:adjustRightInd w:val="0"/>
        <w:snapToGrid w:val="0"/>
        <w:ind w:firstLine="480" w:firstLineChars="200"/>
        <w:rPr>
          <w:color w:val="auto"/>
          <w:highlight w:val="none"/>
        </w:rPr>
      </w:pPr>
      <w:r>
        <w:rPr>
          <w:rFonts w:hint="eastAsia"/>
          <w:color w:val="auto"/>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场所进行察看和查阅施工原始记录。监理人为此进行的检查和检验，不免除或减轻承包人按照合同约定应当承担的责任。</w:t>
      </w:r>
    </w:p>
    <w:p w14:paraId="5C2AC7A3">
      <w:pPr>
        <w:adjustRightInd w:val="0"/>
        <w:snapToGrid w:val="0"/>
        <w:ind w:firstLine="480" w:firstLineChars="200"/>
        <w:rPr>
          <w:color w:val="auto"/>
          <w:highlight w:val="none"/>
        </w:rPr>
      </w:pPr>
      <w:r>
        <w:rPr>
          <w:rFonts w:hint="eastAsia"/>
          <w:color w:val="auto"/>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7B12B16">
      <w:pPr>
        <w:adjustRightInd w:val="0"/>
        <w:snapToGrid w:val="0"/>
        <w:ind w:firstLine="482" w:firstLineChars="200"/>
        <w:rPr>
          <w:b/>
          <w:color w:val="auto"/>
          <w:highlight w:val="none"/>
        </w:rPr>
      </w:pPr>
      <w:r>
        <w:rPr>
          <w:rFonts w:hint="eastAsia"/>
          <w:b/>
          <w:color w:val="auto"/>
          <w:highlight w:val="none"/>
        </w:rPr>
        <w:t>5.3 工程隐蔽部位覆盖前的检查</w:t>
      </w:r>
    </w:p>
    <w:p w14:paraId="4CD5DDC0">
      <w:pPr>
        <w:adjustRightInd w:val="0"/>
        <w:snapToGrid w:val="0"/>
        <w:ind w:firstLine="480" w:firstLineChars="200"/>
        <w:rPr>
          <w:color w:val="auto"/>
          <w:highlight w:val="none"/>
        </w:rPr>
      </w:pPr>
      <w:r>
        <w:rPr>
          <w:rFonts w:hint="eastAsia"/>
          <w:color w:val="auto"/>
          <w:highlight w:val="none"/>
        </w:rPr>
        <w:t>5.3.1 通知监理人检查</w:t>
      </w:r>
    </w:p>
    <w:p w14:paraId="4A27F4CB">
      <w:pPr>
        <w:adjustRightInd w:val="0"/>
        <w:snapToGrid w:val="0"/>
        <w:ind w:firstLine="480" w:firstLineChars="200"/>
        <w:rPr>
          <w:color w:val="auto"/>
          <w:highlight w:val="none"/>
        </w:rPr>
      </w:pPr>
      <w:r>
        <w:rPr>
          <w:rFonts w:hint="eastAsia"/>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6264E899">
      <w:pPr>
        <w:adjustRightInd w:val="0"/>
        <w:snapToGrid w:val="0"/>
        <w:ind w:firstLine="480" w:firstLineChars="200"/>
        <w:rPr>
          <w:color w:val="auto"/>
          <w:highlight w:val="none"/>
        </w:rPr>
      </w:pPr>
      <w:r>
        <w:rPr>
          <w:rFonts w:hint="eastAsia"/>
          <w:color w:val="auto"/>
          <w:highlight w:val="none"/>
        </w:rPr>
        <w:t>5.3.2 监理人未到场检查</w:t>
      </w:r>
    </w:p>
    <w:p w14:paraId="1941C929">
      <w:pPr>
        <w:adjustRightInd w:val="0"/>
        <w:snapToGrid w:val="0"/>
        <w:ind w:firstLine="480" w:firstLineChars="200"/>
        <w:rPr>
          <w:color w:val="auto"/>
          <w:highlight w:val="none"/>
        </w:rPr>
      </w:pPr>
      <w:r>
        <w:rPr>
          <w:rFonts w:hint="eastAsia"/>
          <w:color w:val="auto"/>
          <w:highlight w:val="none"/>
        </w:rPr>
        <w:t>监理人未按约定的时间进行检查的，除监理人另有指示外，承包人可自行完成覆盖工作，并作相应记录报送监理人，监理人应签字确认。</w:t>
      </w:r>
    </w:p>
    <w:p w14:paraId="3032879F">
      <w:pPr>
        <w:adjustRightInd w:val="0"/>
        <w:snapToGrid w:val="0"/>
        <w:ind w:firstLine="480" w:firstLineChars="200"/>
        <w:rPr>
          <w:color w:val="auto"/>
          <w:highlight w:val="none"/>
        </w:rPr>
      </w:pPr>
      <w:r>
        <w:rPr>
          <w:rFonts w:hint="eastAsia"/>
          <w:color w:val="auto"/>
          <w:highlight w:val="none"/>
        </w:rPr>
        <w:t>5.3.3 监理人重新检查</w:t>
      </w:r>
    </w:p>
    <w:p w14:paraId="37D5DB26">
      <w:pPr>
        <w:adjustRightInd w:val="0"/>
        <w:snapToGrid w:val="0"/>
        <w:ind w:firstLine="480" w:firstLineChars="200"/>
        <w:rPr>
          <w:color w:val="auto"/>
          <w:highlight w:val="none"/>
        </w:rPr>
      </w:pPr>
      <w:r>
        <w:rPr>
          <w:rFonts w:hint="eastAsia"/>
          <w:color w:val="auto"/>
          <w:highlight w:val="none"/>
        </w:rPr>
        <w:t>承包人覆盖工程隐蔽部位后，监理人对质量有疑问的，可要求承包人对已覆盖的部位进行钻孔探测或揭开重新检验，承包人应遵照执行，并在检验后重新覆盖恢复原状。经检验证明工程质量符合合同要求的，除专用合同条款另有约定外，由发包人承担由此增加的费用和（或）工期延误，并支付承包人合理利润；经检验证明工程质量不符合合同要求的，由此增加的费用和（或）工期延误由承包人承担。</w:t>
      </w:r>
    </w:p>
    <w:p w14:paraId="543512B0">
      <w:pPr>
        <w:adjustRightInd w:val="0"/>
        <w:snapToGrid w:val="0"/>
        <w:ind w:firstLine="480" w:firstLineChars="200"/>
        <w:rPr>
          <w:color w:val="auto"/>
          <w:highlight w:val="none"/>
        </w:rPr>
      </w:pPr>
      <w:r>
        <w:rPr>
          <w:rFonts w:hint="eastAsia"/>
          <w:color w:val="auto"/>
          <w:highlight w:val="none"/>
        </w:rPr>
        <w:t>5.3.4 承包人擅自覆盖</w:t>
      </w:r>
    </w:p>
    <w:p w14:paraId="350F4178">
      <w:pPr>
        <w:adjustRightInd w:val="0"/>
        <w:snapToGrid w:val="0"/>
        <w:ind w:firstLine="480" w:firstLineChars="200"/>
        <w:rPr>
          <w:color w:val="auto"/>
          <w:highlight w:val="none"/>
        </w:rPr>
      </w:pPr>
      <w:r>
        <w:rPr>
          <w:rFonts w:hint="eastAsia"/>
          <w:color w:val="auto"/>
          <w:highlight w:val="none"/>
        </w:rPr>
        <w:t>承包人未通知监理人到场检查，擅自将工程隐蔽部位覆盖的，监理人有权指示承包人钻孔探测或揭开检查，由此增加的费用和（或）工期延误由承包人承担。</w:t>
      </w:r>
    </w:p>
    <w:p w14:paraId="73CA0634">
      <w:pPr>
        <w:adjustRightInd w:val="0"/>
        <w:snapToGrid w:val="0"/>
        <w:ind w:firstLine="482" w:firstLineChars="200"/>
        <w:rPr>
          <w:b/>
          <w:color w:val="auto"/>
          <w:highlight w:val="none"/>
        </w:rPr>
      </w:pPr>
      <w:bookmarkStart w:id="215" w:name="_Toc247527734"/>
      <w:bookmarkStart w:id="216" w:name="_Toc247514133"/>
      <w:bookmarkStart w:id="217" w:name="_Toc300835136"/>
      <w:r>
        <w:rPr>
          <w:rFonts w:hint="eastAsia"/>
          <w:b/>
          <w:color w:val="auto"/>
          <w:highlight w:val="none"/>
        </w:rPr>
        <w:t>5.4 清除不合格工程</w:t>
      </w:r>
      <w:bookmarkEnd w:id="215"/>
      <w:bookmarkEnd w:id="216"/>
      <w:bookmarkEnd w:id="217"/>
    </w:p>
    <w:p w14:paraId="65A14E50">
      <w:pPr>
        <w:adjustRightInd w:val="0"/>
        <w:snapToGrid w:val="0"/>
        <w:ind w:firstLine="480" w:firstLineChars="200"/>
        <w:rPr>
          <w:color w:val="auto"/>
          <w:highlight w:val="none"/>
        </w:rPr>
      </w:pPr>
      <w:r>
        <w:rPr>
          <w:rFonts w:hint="eastAsia"/>
          <w:color w:val="auto"/>
          <w:highlight w:val="none"/>
        </w:rPr>
        <w:t>5.4.1 因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35DA690C">
      <w:pPr>
        <w:adjustRightInd w:val="0"/>
        <w:snapToGrid w:val="0"/>
        <w:ind w:firstLine="480" w:firstLineChars="200"/>
        <w:rPr>
          <w:color w:val="auto"/>
          <w:highlight w:val="none"/>
        </w:rPr>
      </w:pPr>
      <w:r>
        <w:rPr>
          <w:rFonts w:hint="eastAsia"/>
          <w:color w:val="auto"/>
          <w:highlight w:val="none"/>
        </w:rPr>
        <w:t>5.4.2 由于发包人提供的材料或工程设备不合格造成的工程不合格，需要承包人采取措施补救的，发包人应承担由此增加的费用和（或）工期延误。</w:t>
      </w:r>
    </w:p>
    <w:bookmarkEnd w:id="206"/>
    <w:p w14:paraId="6C816C67">
      <w:pPr>
        <w:adjustRightInd w:val="0"/>
        <w:snapToGrid w:val="0"/>
        <w:ind w:firstLine="482" w:firstLineChars="200"/>
        <w:rPr>
          <w:b/>
          <w:color w:val="auto"/>
          <w:highlight w:val="none"/>
        </w:rPr>
      </w:pPr>
      <w:r>
        <w:rPr>
          <w:rFonts w:hint="eastAsia"/>
          <w:b/>
          <w:color w:val="auto"/>
          <w:highlight w:val="none"/>
        </w:rPr>
        <w:t>5.5 质量争议</w:t>
      </w:r>
    </w:p>
    <w:p w14:paraId="0E7A7FB4">
      <w:pPr>
        <w:adjustRightInd w:val="0"/>
        <w:snapToGrid w:val="0"/>
        <w:ind w:firstLine="480" w:firstLineChars="200"/>
        <w:rPr>
          <w:color w:val="auto"/>
          <w:highlight w:val="none"/>
        </w:rPr>
      </w:pPr>
      <w:r>
        <w:rPr>
          <w:rFonts w:hint="eastAsia"/>
          <w:color w:val="auto"/>
          <w:highlight w:val="none"/>
        </w:rPr>
        <w:t>除专用合同条款另有约定外，合同当事人对工程质量有争议的，由质量监督机构鉴定，由此产生的费用及因此造成的损失，由责任方承担。合同当事人均有责任的，由双方根据责任分别承担。合同当事人无法达成一致的，按照第20条执行。</w:t>
      </w:r>
    </w:p>
    <w:p w14:paraId="4D80BEFA">
      <w:pPr>
        <w:adjustRightInd w:val="0"/>
        <w:snapToGrid w:val="0"/>
        <w:ind w:firstLine="482" w:firstLineChars="200"/>
        <w:rPr>
          <w:b/>
          <w:color w:val="auto"/>
          <w:highlight w:val="none"/>
        </w:rPr>
      </w:pPr>
      <w:r>
        <w:rPr>
          <w:rFonts w:hint="eastAsia"/>
          <w:b/>
          <w:color w:val="auto"/>
          <w:highlight w:val="none"/>
        </w:rPr>
        <w:t>5.6质量监督、监测</w:t>
      </w:r>
    </w:p>
    <w:p w14:paraId="07869546">
      <w:pPr>
        <w:adjustRightInd w:val="0"/>
        <w:snapToGrid w:val="0"/>
        <w:ind w:firstLine="480" w:firstLineChars="200"/>
        <w:rPr>
          <w:color w:val="auto"/>
          <w:highlight w:val="none"/>
        </w:rPr>
      </w:pPr>
      <w:r>
        <w:rPr>
          <w:rFonts w:hint="eastAsia"/>
          <w:color w:val="auto"/>
          <w:highlight w:val="none"/>
        </w:rPr>
        <w:t>承包人应严格执行中国石化工程质量监督、监测管理规定；积极配合中国石化工程质量监督机构、监测单位的工作，并提供其开展监督、监测工作的便利条件，不得妨碍其正常工作；对中国石化工程质量监督机构、监测单位提出的问题，应积极进行整改，并在规定时间内予以回复。</w:t>
      </w:r>
    </w:p>
    <w:p w14:paraId="0629A707">
      <w:pPr>
        <w:keepNext/>
        <w:keepLines/>
        <w:adjustRightInd w:val="0"/>
        <w:snapToGrid w:val="0"/>
        <w:outlineLvl w:val="1"/>
        <w:rPr>
          <w:rFonts w:ascii="Arial"/>
          <w:b/>
          <w:bCs/>
          <w:color w:val="auto"/>
          <w:highlight w:val="none"/>
        </w:rPr>
      </w:pPr>
      <w:bookmarkStart w:id="218" w:name="_Toc13187"/>
      <w:bookmarkStart w:id="219" w:name="_Toc256000061"/>
      <w:bookmarkStart w:id="220" w:name="_Toc119953728"/>
      <w:bookmarkStart w:id="221" w:name="_Toc81225275"/>
      <w:bookmarkStart w:id="222" w:name="_Toc99782815"/>
      <w:bookmarkStart w:id="223" w:name="_Toc91660607"/>
      <w:bookmarkStart w:id="224" w:name="_Toc117018792"/>
      <w:r>
        <w:rPr>
          <w:rFonts w:ascii="Arial"/>
          <w:b/>
          <w:bCs/>
          <w:color w:val="auto"/>
          <w:highlight w:val="none"/>
        </w:rPr>
        <w:t xml:space="preserve">6. </w:t>
      </w:r>
      <w:r>
        <w:rPr>
          <w:rFonts w:hint="eastAsia" w:ascii="Arial"/>
          <w:b/>
          <w:bCs/>
          <w:color w:val="auto"/>
          <w:highlight w:val="none"/>
        </w:rPr>
        <w:t>安全文明施工与环境保护</w:t>
      </w:r>
      <w:bookmarkEnd w:id="218"/>
      <w:bookmarkEnd w:id="219"/>
      <w:bookmarkEnd w:id="220"/>
      <w:bookmarkEnd w:id="221"/>
      <w:bookmarkEnd w:id="222"/>
      <w:bookmarkEnd w:id="223"/>
      <w:bookmarkEnd w:id="224"/>
    </w:p>
    <w:p w14:paraId="2D1B6326">
      <w:pPr>
        <w:adjustRightInd w:val="0"/>
        <w:snapToGrid w:val="0"/>
        <w:ind w:firstLine="482" w:firstLineChars="200"/>
        <w:rPr>
          <w:b/>
          <w:color w:val="auto"/>
          <w:highlight w:val="none"/>
        </w:rPr>
      </w:pPr>
      <w:bookmarkStart w:id="225" w:name="_Toc400486394"/>
      <w:bookmarkStart w:id="226" w:name="_Toc399775147"/>
      <w:bookmarkStart w:id="227" w:name="_Toc400485421"/>
      <w:bookmarkStart w:id="228" w:name="_Toc399775767"/>
      <w:bookmarkStart w:id="229" w:name="_Toc351203539"/>
      <w:bookmarkStart w:id="230" w:name="_Toc399776214"/>
      <w:bookmarkStart w:id="231" w:name="_Toc400522402"/>
      <w:r>
        <w:rPr>
          <w:rFonts w:hint="eastAsia"/>
          <w:b/>
          <w:color w:val="auto"/>
          <w:highlight w:val="none"/>
        </w:rPr>
        <w:t>6</w:t>
      </w:r>
      <w:bookmarkStart w:id="232" w:name="_Toc337558764"/>
      <w:r>
        <w:rPr>
          <w:rFonts w:hint="eastAsia"/>
          <w:b/>
          <w:color w:val="auto"/>
          <w:highlight w:val="none"/>
        </w:rPr>
        <w:t>.1 安全文明施工</w:t>
      </w:r>
      <w:bookmarkEnd w:id="225"/>
      <w:bookmarkEnd w:id="226"/>
      <w:bookmarkEnd w:id="227"/>
      <w:bookmarkEnd w:id="228"/>
      <w:bookmarkEnd w:id="229"/>
      <w:bookmarkEnd w:id="230"/>
      <w:bookmarkEnd w:id="231"/>
    </w:p>
    <w:bookmarkEnd w:id="232"/>
    <w:p w14:paraId="49AA9B19">
      <w:pPr>
        <w:adjustRightInd w:val="0"/>
        <w:snapToGrid w:val="0"/>
        <w:ind w:firstLine="480" w:firstLineChars="200"/>
        <w:rPr>
          <w:color w:val="auto"/>
          <w:highlight w:val="none"/>
        </w:rPr>
      </w:pPr>
      <w:r>
        <w:rPr>
          <w:rFonts w:hint="eastAsia"/>
          <w:color w:val="auto"/>
          <w:highlight w:val="none"/>
        </w:rPr>
        <w:t>6.1.1安全生产要求</w:t>
      </w:r>
    </w:p>
    <w:p w14:paraId="267F99A1">
      <w:pPr>
        <w:adjustRightInd w:val="0"/>
        <w:snapToGrid w:val="0"/>
        <w:ind w:firstLine="480" w:firstLineChars="200"/>
        <w:rPr>
          <w:color w:val="auto"/>
          <w:highlight w:val="none"/>
        </w:rPr>
      </w:pPr>
      <w:r>
        <w:rPr>
          <w:rFonts w:hint="eastAsia"/>
          <w:color w:val="auto"/>
          <w:highlight w:val="none"/>
        </w:rPr>
        <w:t>（1）合同履行期间，合同当事人均应当遵守国家、工程所在地、中国石化及相关行业有关安全生产的要求。合同当事人有特别要求的，应在专用合同条款中明确施工项目安全生产标准化达标目标及相应事项。承包人有权拒绝发包人及监理人强令承包人违章作业、冒险施工的任何指示。</w:t>
      </w:r>
    </w:p>
    <w:p w14:paraId="2446F586">
      <w:pPr>
        <w:adjustRightInd w:val="0"/>
        <w:snapToGrid w:val="0"/>
        <w:ind w:firstLine="480" w:firstLineChars="200"/>
        <w:rPr>
          <w:color w:val="auto"/>
          <w:highlight w:val="none"/>
        </w:rPr>
      </w:pPr>
      <w:r>
        <w:rPr>
          <w:rFonts w:hint="eastAsia"/>
          <w:color w:val="auto"/>
          <w:highlight w:val="none"/>
        </w:rPr>
        <w:t>（2）在施工过程中，如遇到突发的地质变动、事先未知的地下施工障碍等影响施工安全的紧急情况，承包人应及时报告监理人和发包人，发包人应当及时下令停工并报政府有关行政管理部门、中国石化主管部门采取应急措施。</w:t>
      </w:r>
    </w:p>
    <w:p w14:paraId="4B917A52">
      <w:pPr>
        <w:adjustRightInd w:val="0"/>
        <w:snapToGrid w:val="0"/>
        <w:ind w:firstLine="480" w:firstLineChars="200"/>
        <w:rPr>
          <w:color w:val="auto"/>
          <w:highlight w:val="none"/>
        </w:rPr>
      </w:pPr>
      <w:r>
        <w:rPr>
          <w:rFonts w:hint="eastAsia"/>
          <w:color w:val="auto"/>
          <w:highlight w:val="none"/>
        </w:rPr>
        <w:t>（3）因安全生产需要暂停施工的，按照第7.8款的约定执行。</w:t>
      </w:r>
    </w:p>
    <w:p w14:paraId="740D47AB">
      <w:pPr>
        <w:adjustRightInd w:val="0"/>
        <w:snapToGrid w:val="0"/>
        <w:ind w:firstLine="480" w:firstLineChars="200"/>
        <w:rPr>
          <w:color w:val="auto"/>
          <w:highlight w:val="none"/>
        </w:rPr>
      </w:pPr>
      <w:r>
        <w:rPr>
          <w:rFonts w:hint="eastAsia"/>
          <w:color w:val="auto"/>
          <w:highlight w:val="none"/>
        </w:rPr>
        <w:t>6.1.2 安全生产保证措施</w:t>
      </w:r>
    </w:p>
    <w:p w14:paraId="4A7AB66E">
      <w:pPr>
        <w:adjustRightInd w:val="0"/>
        <w:snapToGrid w:val="0"/>
        <w:ind w:firstLine="480" w:firstLineChars="200"/>
        <w:rPr>
          <w:color w:val="auto"/>
          <w:highlight w:val="none"/>
        </w:rPr>
      </w:pPr>
      <w:r>
        <w:rPr>
          <w:rFonts w:hint="eastAsia"/>
          <w:color w:val="auto"/>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94A4228">
      <w:pPr>
        <w:adjustRightInd w:val="0"/>
        <w:snapToGrid w:val="0"/>
        <w:ind w:firstLine="480" w:firstLineChars="200"/>
        <w:rPr>
          <w:color w:val="auto"/>
          <w:highlight w:val="none"/>
        </w:rPr>
      </w:pPr>
      <w:r>
        <w:rPr>
          <w:rFonts w:hint="eastAsia"/>
          <w:color w:val="auto"/>
          <w:highlight w:val="none"/>
        </w:rPr>
        <w:t>6.1.3特别安全生产事项</w:t>
      </w:r>
    </w:p>
    <w:p w14:paraId="3A636C1C">
      <w:pPr>
        <w:adjustRightInd w:val="0"/>
        <w:snapToGrid w:val="0"/>
        <w:ind w:firstLine="480" w:firstLineChars="200"/>
        <w:rPr>
          <w:color w:val="auto"/>
          <w:highlight w:val="none"/>
        </w:rPr>
      </w:pPr>
      <w:r>
        <w:rPr>
          <w:rFonts w:hint="eastAsia"/>
          <w:color w:val="auto"/>
          <w:highlight w:val="none"/>
        </w:rPr>
        <w:t>（1）承包人应按照法律规定进行施工，开工前做好安全技术交底工作，施工过程中做好各项安全防护措施。</w:t>
      </w:r>
    </w:p>
    <w:p w14:paraId="24921873">
      <w:pPr>
        <w:adjustRightInd w:val="0"/>
        <w:snapToGrid w:val="0"/>
        <w:ind w:firstLine="480" w:firstLineChars="200"/>
        <w:rPr>
          <w:color w:val="auto"/>
          <w:highlight w:val="none"/>
        </w:rPr>
      </w:pPr>
      <w:r>
        <w:rPr>
          <w:rFonts w:hint="eastAsia"/>
          <w:color w:val="auto"/>
          <w:highlight w:val="none"/>
        </w:rPr>
        <w:t>（2）承包人为实施合同而雇佣的特殊工种的人员应受过专门的培训并已取得政府有关管理机构颁发的上岗证书。</w:t>
      </w:r>
    </w:p>
    <w:p w14:paraId="22F52E64">
      <w:pPr>
        <w:adjustRightInd w:val="0"/>
        <w:snapToGrid w:val="0"/>
        <w:ind w:firstLine="480" w:firstLineChars="200"/>
        <w:rPr>
          <w:color w:val="auto"/>
          <w:highlight w:val="none"/>
        </w:rPr>
      </w:pPr>
      <w:r>
        <w:rPr>
          <w:rFonts w:hint="eastAsia"/>
          <w:color w:val="auto"/>
          <w:highlight w:val="none"/>
        </w:rPr>
        <w:t>（3）入场前，发包人应对承包人所有施工现场人员进行安全教育，经过培训合格后持证进场。</w:t>
      </w:r>
    </w:p>
    <w:p w14:paraId="5F25FC69">
      <w:pPr>
        <w:adjustRightInd w:val="0"/>
        <w:snapToGrid w:val="0"/>
        <w:ind w:firstLine="480" w:firstLineChars="200"/>
        <w:rPr>
          <w:color w:val="auto"/>
          <w:highlight w:val="none"/>
        </w:rPr>
      </w:pPr>
      <w:r>
        <w:rPr>
          <w:rFonts w:hint="eastAsia"/>
          <w:color w:val="auto"/>
          <w:highlight w:val="none"/>
        </w:rPr>
        <w:t>（4）承包人应按有关规定，在施工现场采取诸如围栏、照明、防护及看守等维护安全、防范危险、预防火灾的措施，保证施工过程中的安全，并承担由于自身管理混乱、安全措施不力造成事故的责任和因此发生的费用。</w:t>
      </w:r>
    </w:p>
    <w:p w14:paraId="2382D5DD">
      <w:pPr>
        <w:adjustRightInd w:val="0"/>
        <w:snapToGrid w:val="0"/>
        <w:ind w:firstLine="480" w:firstLineChars="200"/>
        <w:rPr>
          <w:color w:val="auto"/>
          <w:highlight w:val="none"/>
        </w:rPr>
      </w:pPr>
      <w:r>
        <w:rPr>
          <w:rFonts w:hint="eastAsia"/>
          <w:color w:val="auto"/>
          <w:highlight w:val="none"/>
        </w:rPr>
        <w:t xml:space="preserve">（5）承包人在易燃易爆区、动力设备、输电线路、地下管道、密封防震车间、自控室和变电所、压力容器、金属焊接、起重机、以及临街交通要道附近施工时，施工开始前应向发包人和监理人提出安全防护措施，经发包人和监理人审核后实施。 </w:t>
      </w:r>
    </w:p>
    <w:p w14:paraId="54273374">
      <w:pPr>
        <w:adjustRightInd w:val="0"/>
        <w:snapToGrid w:val="0"/>
        <w:ind w:firstLine="480" w:firstLineChars="200"/>
        <w:rPr>
          <w:color w:val="auto"/>
          <w:highlight w:val="none"/>
        </w:rPr>
      </w:pPr>
      <w:r>
        <w:rPr>
          <w:rFonts w:hint="eastAsia"/>
          <w:color w:val="auto"/>
          <w:highlight w:val="none"/>
        </w:rPr>
        <w:t>（6）实施爆破作业，在放射、毒害性环境中施工（含储存、运输、使用）及使用毒害性、腐蚀性物品施工时，承包人应在施工前7天以书面通知发包人和监理人，并报送相应的安全防护措施，经发包人和监理人审核后实施。</w:t>
      </w:r>
    </w:p>
    <w:p w14:paraId="2F251ABB">
      <w:pPr>
        <w:adjustRightInd w:val="0"/>
        <w:snapToGrid w:val="0"/>
        <w:ind w:firstLine="480" w:firstLineChars="200"/>
        <w:rPr>
          <w:color w:val="auto"/>
          <w:highlight w:val="none"/>
        </w:rPr>
      </w:pPr>
      <w:r>
        <w:rPr>
          <w:rFonts w:hint="eastAsia"/>
          <w:color w:val="auto"/>
          <w:highlight w:val="none"/>
        </w:rPr>
        <w:t>（7）承包人应对施工各阶段、部位和场所的危险源进行识别，制定防控措施，并对其实施管理和控制。</w:t>
      </w:r>
    </w:p>
    <w:p w14:paraId="17DBD9EA">
      <w:pPr>
        <w:adjustRightInd w:val="0"/>
        <w:snapToGrid w:val="0"/>
        <w:ind w:firstLine="480" w:firstLineChars="200"/>
        <w:rPr>
          <w:color w:val="auto"/>
          <w:highlight w:val="none"/>
        </w:rPr>
      </w:pPr>
      <w:r>
        <w:rPr>
          <w:rFonts w:hint="eastAsia"/>
          <w:color w:val="auto"/>
          <w:highlight w:val="none"/>
        </w:rPr>
        <w:t>（8）需单独编制危险性较大分部分项专项工程施工方案的，及要求进行专家论证的超过一定规模的危险性较大的分部分项工程，承包人应及时编制和组织论证。</w:t>
      </w:r>
    </w:p>
    <w:p w14:paraId="1F2FBB6D">
      <w:pPr>
        <w:adjustRightInd w:val="0"/>
        <w:snapToGrid w:val="0"/>
        <w:ind w:firstLine="480" w:firstLineChars="200"/>
        <w:rPr>
          <w:color w:val="auto"/>
          <w:highlight w:val="none"/>
        </w:rPr>
      </w:pPr>
      <w:r>
        <w:rPr>
          <w:rFonts w:hint="eastAsia"/>
          <w:color w:val="auto"/>
          <w:highlight w:val="none"/>
        </w:rPr>
        <w:t>（9）承包人应接受当地政府部门、发包人及上级主管部门、监理人对施工现场安全工作的检查。对检查中发现的安全隐患必须立即采取有效措施,加以改正。</w:t>
      </w:r>
    </w:p>
    <w:p w14:paraId="611784F6">
      <w:pPr>
        <w:adjustRightInd w:val="0"/>
        <w:snapToGrid w:val="0"/>
        <w:ind w:firstLine="480" w:firstLineChars="200"/>
        <w:rPr>
          <w:color w:val="auto"/>
          <w:highlight w:val="none"/>
        </w:rPr>
      </w:pPr>
      <w:r>
        <w:rPr>
          <w:rFonts w:hint="eastAsia"/>
          <w:color w:val="auto"/>
          <w:highlight w:val="none"/>
        </w:rPr>
        <w:t>（10）对危及安全的施工作业，发包人、监理人有权命令承包人暂停施工作业，待承包人采取措施消除危害隐患后才能恢复施工。在此期间所发生的一切费用由承包人承担，工期不予顺延。</w:t>
      </w:r>
    </w:p>
    <w:p w14:paraId="5EF26E85">
      <w:pPr>
        <w:adjustRightInd w:val="0"/>
        <w:snapToGrid w:val="0"/>
        <w:ind w:firstLine="480" w:firstLineChars="200"/>
        <w:rPr>
          <w:color w:val="auto"/>
          <w:highlight w:val="none"/>
        </w:rPr>
      </w:pPr>
      <w:r>
        <w:rPr>
          <w:rFonts w:hint="eastAsia"/>
          <w:color w:val="auto"/>
          <w:highlight w:val="none"/>
        </w:rPr>
        <w:t>6.1.4 治安保卫</w:t>
      </w:r>
    </w:p>
    <w:p w14:paraId="3E615333">
      <w:pPr>
        <w:adjustRightInd w:val="0"/>
        <w:snapToGrid w:val="0"/>
        <w:ind w:firstLine="480" w:firstLineChars="200"/>
        <w:rPr>
          <w:color w:val="auto"/>
          <w:highlight w:val="none"/>
        </w:rPr>
      </w:pPr>
      <w:r>
        <w:rPr>
          <w:rFonts w:hint="eastAsia"/>
          <w:color w:val="auto"/>
          <w:highlight w:val="none"/>
        </w:rPr>
        <w:t>（1）承包人应保证为承担本工程项目使用的所有雇员符合国家和地方政府的有关法律、法规和规定。</w:t>
      </w:r>
    </w:p>
    <w:p w14:paraId="35BA498B">
      <w:pPr>
        <w:adjustRightInd w:val="0"/>
        <w:snapToGrid w:val="0"/>
        <w:ind w:firstLine="480" w:firstLineChars="200"/>
        <w:rPr>
          <w:color w:val="auto"/>
          <w:highlight w:val="none"/>
        </w:rPr>
      </w:pPr>
      <w:r>
        <w:rPr>
          <w:rFonts w:hint="eastAsia"/>
          <w:color w:val="auto"/>
          <w:highlight w:val="none"/>
        </w:rPr>
        <w:t>（2）除专用合同条款另有约定外，发包人应与当地公安部门协商，在现场建立治安管理机构或联防组织，统一管理施工场地的治安保卫事项，履行合同工程的治安保卫职责。</w:t>
      </w:r>
    </w:p>
    <w:p w14:paraId="6AA0E28B">
      <w:pPr>
        <w:adjustRightInd w:val="0"/>
        <w:snapToGrid w:val="0"/>
        <w:ind w:firstLine="480" w:firstLineChars="200"/>
        <w:rPr>
          <w:color w:val="auto"/>
          <w:highlight w:val="none"/>
        </w:rPr>
      </w:pPr>
      <w:r>
        <w:rPr>
          <w:rFonts w:hint="eastAsia"/>
          <w:color w:val="auto"/>
          <w:highlight w:val="none"/>
        </w:rPr>
        <w:t>（3）发包人和承包人除应协助现场治安管理机构或联防组织维护施工场地的社会治安外，还应做好包括生活区在内的各自管辖区的治安保卫工作。</w:t>
      </w:r>
    </w:p>
    <w:p w14:paraId="436CD40B">
      <w:pPr>
        <w:adjustRightInd w:val="0"/>
        <w:snapToGrid w:val="0"/>
        <w:ind w:firstLine="480" w:firstLineChars="200"/>
        <w:rPr>
          <w:color w:val="auto"/>
          <w:highlight w:val="none"/>
        </w:rPr>
      </w:pPr>
      <w:r>
        <w:rPr>
          <w:rFonts w:hint="eastAsia"/>
          <w:color w:val="auto"/>
          <w:highlight w:val="none"/>
        </w:rPr>
        <w:t>（4）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106017B">
      <w:pPr>
        <w:adjustRightInd w:val="0"/>
        <w:snapToGrid w:val="0"/>
        <w:ind w:firstLine="480" w:firstLineChars="200"/>
        <w:rPr>
          <w:color w:val="auto"/>
          <w:highlight w:val="none"/>
        </w:rPr>
      </w:pPr>
      <w:r>
        <w:rPr>
          <w:rFonts w:hint="eastAsia"/>
          <w:color w:val="auto"/>
          <w:highlight w:val="none"/>
        </w:rPr>
        <w:t>6.1.5 文明施工</w:t>
      </w:r>
    </w:p>
    <w:p w14:paraId="73E81B42">
      <w:pPr>
        <w:adjustRightInd w:val="0"/>
        <w:snapToGrid w:val="0"/>
        <w:ind w:firstLine="480" w:firstLineChars="200"/>
        <w:rPr>
          <w:color w:val="auto"/>
          <w:highlight w:val="none"/>
        </w:rPr>
      </w:pPr>
      <w:r>
        <w:rPr>
          <w:rFonts w:hint="eastAsia"/>
          <w:color w:val="auto"/>
          <w:highlight w:val="none"/>
        </w:rPr>
        <w:t>（1）承包人在工程施工期间，应当采取措施保持施工现场平整，物料堆放整齐。工程所在地有关政府行政管理部门有特殊要求的，按照其要求执行。合同当事人对文明施工有其他要求的，可以在专用合同条款中明确。</w:t>
      </w:r>
    </w:p>
    <w:p w14:paraId="541830BA">
      <w:pPr>
        <w:adjustRightInd w:val="0"/>
        <w:snapToGrid w:val="0"/>
        <w:ind w:firstLine="480" w:firstLineChars="200"/>
        <w:rPr>
          <w:color w:val="auto"/>
          <w:highlight w:val="none"/>
        </w:rPr>
      </w:pPr>
      <w:r>
        <w:rPr>
          <w:rFonts w:hint="eastAsia"/>
          <w:color w:val="auto"/>
          <w:highlight w:val="none"/>
        </w:rPr>
        <w:t>（2）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0D33565">
      <w:pPr>
        <w:adjustRightInd w:val="0"/>
        <w:snapToGrid w:val="0"/>
        <w:ind w:firstLine="480" w:firstLineChars="200"/>
        <w:rPr>
          <w:color w:val="auto"/>
          <w:highlight w:val="none"/>
        </w:rPr>
      </w:pPr>
      <w:r>
        <w:rPr>
          <w:rFonts w:hint="eastAsia"/>
          <w:color w:val="auto"/>
          <w:highlight w:val="none"/>
        </w:rPr>
        <w:t>6.1.6 安全生产、文明施工费</w:t>
      </w:r>
    </w:p>
    <w:p w14:paraId="201FA982">
      <w:pPr>
        <w:adjustRightInd w:val="0"/>
        <w:snapToGrid w:val="0"/>
        <w:ind w:firstLine="480" w:firstLineChars="200"/>
        <w:rPr>
          <w:color w:val="auto"/>
          <w:highlight w:val="none"/>
        </w:rPr>
      </w:pPr>
      <w:r>
        <w:rPr>
          <w:rFonts w:hint="eastAsia"/>
          <w:color w:val="auto"/>
          <w:highlight w:val="none"/>
        </w:rPr>
        <w:t>（1）安全生产、文明施工费由发包人承担，发包人不得以任何形式扣减该部分费用。因基准日期后合同所适用的法律或政府有关规定发生变化，增加的安全生产、文明施工费由发包人承担。</w:t>
      </w:r>
    </w:p>
    <w:p w14:paraId="6E8C12DB">
      <w:pPr>
        <w:adjustRightInd w:val="0"/>
        <w:snapToGrid w:val="0"/>
        <w:ind w:firstLine="480" w:firstLineChars="200"/>
        <w:rPr>
          <w:color w:val="auto"/>
          <w:highlight w:val="none"/>
        </w:rPr>
      </w:pPr>
      <w:r>
        <w:rPr>
          <w:rFonts w:hint="eastAsia"/>
          <w:color w:val="auto"/>
          <w:highlight w:val="none"/>
        </w:rPr>
        <w:t>（2）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179349C">
      <w:pPr>
        <w:adjustRightInd w:val="0"/>
        <w:snapToGrid w:val="0"/>
        <w:ind w:firstLine="480" w:firstLineChars="200"/>
        <w:rPr>
          <w:color w:val="auto"/>
          <w:highlight w:val="none"/>
        </w:rPr>
      </w:pPr>
      <w:r>
        <w:rPr>
          <w:rFonts w:hint="eastAsia"/>
          <w:color w:val="auto"/>
          <w:highlight w:val="none"/>
        </w:rPr>
        <w:t>（3）除专用合同条款另有约定外，发包人应在开工后28天内预付安全生产、文明施工费总额的50%，其余部分与进度款同期支付。发包人逾期支付安全生产、文明施工费超过7天的，承包人有权向发包人发出要求预付的催告通知，发包人收到通知后7天内仍未支付的，承包人有权暂停施工，并按第16.1.1项执行。</w:t>
      </w:r>
    </w:p>
    <w:p w14:paraId="513FDAC5">
      <w:pPr>
        <w:adjustRightInd w:val="0"/>
        <w:snapToGrid w:val="0"/>
        <w:ind w:firstLine="480" w:firstLineChars="200"/>
        <w:rPr>
          <w:color w:val="auto"/>
          <w:highlight w:val="none"/>
        </w:rPr>
      </w:pPr>
      <w:r>
        <w:rPr>
          <w:rFonts w:hint="eastAsia"/>
          <w:color w:val="auto"/>
          <w:highlight w:val="none"/>
        </w:rPr>
        <w:t>（4）承包人对安全生产、文明施工费应专款专用，承包人应在财务账目中单独列项备查，不得挪作他用，否则发包人有权责令其限期改正；逾期未改正的，可以责令其暂停施工，由此增加的费用和（或）延误的工期由承包人承担。</w:t>
      </w:r>
    </w:p>
    <w:p w14:paraId="7AA2FC20">
      <w:pPr>
        <w:adjustRightInd w:val="0"/>
        <w:snapToGrid w:val="0"/>
        <w:ind w:firstLine="480" w:firstLineChars="200"/>
        <w:rPr>
          <w:color w:val="auto"/>
          <w:highlight w:val="none"/>
        </w:rPr>
      </w:pPr>
      <w:r>
        <w:rPr>
          <w:rFonts w:hint="eastAsia"/>
          <w:color w:val="auto"/>
          <w:highlight w:val="none"/>
        </w:rPr>
        <w:t>6.1.7 紧急情况处理</w:t>
      </w:r>
    </w:p>
    <w:p w14:paraId="79105209">
      <w:pPr>
        <w:adjustRightInd w:val="0"/>
        <w:snapToGrid w:val="0"/>
        <w:ind w:firstLine="480" w:firstLineChars="200"/>
        <w:rPr>
          <w:color w:val="auto"/>
          <w:highlight w:val="none"/>
        </w:rPr>
      </w:pPr>
      <w:r>
        <w:rPr>
          <w:rFonts w:hint="eastAsia"/>
          <w:color w:val="auto"/>
          <w:highlight w:val="none"/>
        </w:rPr>
        <w:t>在工程实施期间或质量保修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A76B316">
      <w:pPr>
        <w:adjustRightInd w:val="0"/>
        <w:snapToGrid w:val="0"/>
        <w:ind w:firstLine="480" w:firstLineChars="200"/>
        <w:rPr>
          <w:color w:val="auto"/>
          <w:highlight w:val="none"/>
        </w:rPr>
      </w:pPr>
      <w:r>
        <w:rPr>
          <w:rFonts w:hint="eastAsia"/>
          <w:color w:val="auto"/>
          <w:highlight w:val="none"/>
        </w:rPr>
        <w:t>6.1.8 事故处理</w:t>
      </w:r>
    </w:p>
    <w:p w14:paraId="28543138">
      <w:pPr>
        <w:adjustRightInd w:val="0"/>
        <w:snapToGrid w:val="0"/>
        <w:ind w:firstLine="480" w:firstLineChars="200"/>
        <w:rPr>
          <w:color w:val="auto"/>
          <w:highlight w:val="none"/>
        </w:rPr>
      </w:pPr>
      <w:r>
        <w:rPr>
          <w:rFonts w:hint="eastAsia"/>
          <w:color w:val="auto"/>
          <w:highlight w:val="none"/>
        </w:rPr>
        <w:t>工程施工过程中发生事故的，承包人应立即通知监理人和发包人。发包人和承包人应立即组织人员和设备进行紧急抢救和抢修，减少人员伤亡和财产损失，防止事故扩大，并保护事故现场。需要移动现场物品时，应作出标记和书面记录，妥善保管有关证据。发包人和承包人应按国家和中国石化有关规定，及时如实地向有关部门报告事故发生的情况，以及正在采取的紧急措施等。</w:t>
      </w:r>
    </w:p>
    <w:p w14:paraId="163CC997">
      <w:pPr>
        <w:adjustRightInd w:val="0"/>
        <w:snapToGrid w:val="0"/>
        <w:ind w:firstLine="480" w:firstLineChars="200"/>
        <w:rPr>
          <w:color w:val="auto"/>
          <w:highlight w:val="none"/>
        </w:rPr>
      </w:pPr>
      <w:r>
        <w:rPr>
          <w:rFonts w:hint="eastAsia"/>
          <w:color w:val="auto"/>
          <w:highlight w:val="none"/>
        </w:rPr>
        <w:t>6.1.9 安全生产责任</w:t>
      </w:r>
    </w:p>
    <w:p w14:paraId="46206C74">
      <w:pPr>
        <w:adjustRightInd w:val="0"/>
        <w:snapToGrid w:val="0"/>
        <w:ind w:firstLine="480" w:firstLineChars="200"/>
        <w:rPr>
          <w:color w:val="auto"/>
          <w:highlight w:val="none"/>
        </w:rPr>
      </w:pPr>
      <w:r>
        <w:rPr>
          <w:rFonts w:hint="eastAsia"/>
          <w:color w:val="auto"/>
          <w:highlight w:val="none"/>
        </w:rPr>
        <w:t>6.1.9.1 发包人的安全责任</w:t>
      </w:r>
    </w:p>
    <w:p w14:paraId="49FBC3C0">
      <w:pPr>
        <w:adjustRightInd w:val="0"/>
        <w:snapToGrid w:val="0"/>
        <w:ind w:firstLine="480" w:firstLineChars="200"/>
        <w:rPr>
          <w:color w:val="auto"/>
          <w:highlight w:val="none"/>
        </w:rPr>
      </w:pPr>
      <w:r>
        <w:rPr>
          <w:rFonts w:hint="eastAsia"/>
          <w:color w:val="auto"/>
          <w:highlight w:val="none"/>
        </w:rPr>
        <w:t>除专用合同条款另有约定外，发包人应负责赔偿以下各种情况造成的损失，并承担相应法律责任：</w:t>
      </w:r>
    </w:p>
    <w:p w14:paraId="059BDDA1">
      <w:pPr>
        <w:adjustRightInd w:val="0"/>
        <w:snapToGrid w:val="0"/>
        <w:ind w:firstLine="480" w:firstLineChars="200"/>
        <w:rPr>
          <w:color w:val="auto"/>
          <w:highlight w:val="none"/>
        </w:rPr>
      </w:pPr>
      <w:r>
        <w:rPr>
          <w:rFonts w:hint="eastAsia"/>
          <w:color w:val="auto"/>
          <w:highlight w:val="none"/>
        </w:rPr>
        <w:t>（1）工程或工程的任何部分对土地的占用所造成的第三者财产损失；</w:t>
      </w:r>
    </w:p>
    <w:p w14:paraId="3C7ACF46">
      <w:pPr>
        <w:adjustRightInd w:val="0"/>
        <w:snapToGrid w:val="0"/>
        <w:ind w:firstLine="480" w:firstLineChars="200"/>
        <w:rPr>
          <w:color w:val="auto"/>
          <w:highlight w:val="none"/>
        </w:rPr>
      </w:pPr>
      <w:r>
        <w:rPr>
          <w:rFonts w:hint="eastAsia"/>
          <w:color w:val="auto"/>
          <w:highlight w:val="none"/>
        </w:rPr>
        <w:t>（2）由于发包人原因在施工场地及其毗邻地带造成的第三者人身伤亡和财产损失；</w:t>
      </w:r>
    </w:p>
    <w:p w14:paraId="0DFBF919">
      <w:pPr>
        <w:adjustRightInd w:val="0"/>
        <w:snapToGrid w:val="0"/>
        <w:ind w:firstLine="480" w:firstLineChars="200"/>
        <w:rPr>
          <w:color w:val="auto"/>
          <w:highlight w:val="none"/>
        </w:rPr>
      </w:pPr>
      <w:r>
        <w:rPr>
          <w:rFonts w:hint="eastAsia"/>
          <w:color w:val="auto"/>
          <w:highlight w:val="none"/>
        </w:rPr>
        <w:t>（3）由于发包人原因对承包人、监理人造成的人员人身伤亡和财产损失；</w:t>
      </w:r>
    </w:p>
    <w:p w14:paraId="0E924410">
      <w:pPr>
        <w:adjustRightInd w:val="0"/>
        <w:snapToGrid w:val="0"/>
        <w:ind w:firstLine="480" w:firstLineChars="200"/>
        <w:rPr>
          <w:color w:val="auto"/>
          <w:highlight w:val="none"/>
        </w:rPr>
      </w:pPr>
      <w:r>
        <w:rPr>
          <w:rFonts w:hint="eastAsia"/>
          <w:color w:val="auto"/>
          <w:highlight w:val="none"/>
        </w:rPr>
        <w:t>（4）由于发包人原因造成的发包人自身人员的人身伤害以及财产损失。</w:t>
      </w:r>
    </w:p>
    <w:p w14:paraId="4A0C4E7C">
      <w:pPr>
        <w:adjustRightInd w:val="0"/>
        <w:snapToGrid w:val="0"/>
        <w:ind w:firstLine="480" w:firstLineChars="200"/>
        <w:rPr>
          <w:color w:val="auto"/>
          <w:highlight w:val="none"/>
        </w:rPr>
      </w:pPr>
      <w:r>
        <w:rPr>
          <w:rFonts w:hint="eastAsia"/>
          <w:color w:val="auto"/>
          <w:highlight w:val="none"/>
        </w:rPr>
        <w:t>6.1.9.2 承包人的安全责任</w:t>
      </w:r>
    </w:p>
    <w:p w14:paraId="4D2627A8">
      <w:pPr>
        <w:adjustRightInd w:val="0"/>
        <w:snapToGrid w:val="0"/>
        <w:ind w:firstLine="480" w:firstLineChars="200"/>
        <w:rPr>
          <w:color w:val="auto"/>
          <w:highlight w:val="none"/>
        </w:rPr>
      </w:pPr>
      <w:r>
        <w:rPr>
          <w:rFonts w:hint="eastAsia"/>
          <w:color w:val="auto"/>
          <w:highlight w:val="none"/>
        </w:rPr>
        <w:t>由于承包人原因在施工场地内及其毗邻地带造成的发包人、监理人以及第三者人员伤亡和财产损失，由承包人负责赔偿，并承担相应法律责任。</w:t>
      </w:r>
    </w:p>
    <w:p w14:paraId="01D50B6D">
      <w:pPr>
        <w:adjustRightInd w:val="0"/>
        <w:snapToGrid w:val="0"/>
        <w:ind w:firstLine="482" w:firstLineChars="200"/>
        <w:rPr>
          <w:b/>
          <w:color w:val="auto"/>
          <w:highlight w:val="none"/>
        </w:rPr>
      </w:pPr>
      <w:bookmarkStart w:id="233" w:name="_Toc399775768"/>
      <w:bookmarkStart w:id="234" w:name="_Toc400486395"/>
      <w:bookmarkStart w:id="235" w:name="_Toc400522403"/>
      <w:bookmarkStart w:id="236" w:name="_Toc399775148"/>
      <w:bookmarkStart w:id="237" w:name="_Toc399776215"/>
      <w:bookmarkStart w:id="238" w:name="_Toc400485422"/>
      <w:bookmarkStart w:id="239" w:name="_Toc351203540"/>
      <w:r>
        <w:rPr>
          <w:rFonts w:hint="eastAsia"/>
          <w:b/>
          <w:color w:val="auto"/>
          <w:highlight w:val="none"/>
        </w:rPr>
        <w:t>6</w:t>
      </w:r>
      <w:bookmarkStart w:id="240" w:name="_Toc337558765"/>
      <w:r>
        <w:rPr>
          <w:rFonts w:hint="eastAsia"/>
          <w:b/>
          <w:color w:val="auto"/>
          <w:highlight w:val="none"/>
        </w:rPr>
        <w:t>.2 职业健康</w:t>
      </w:r>
      <w:bookmarkEnd w:id="233"/>
      <w:bookmarkEnd w:id="234"/>
      <w:bookmarkEnd w:id="235"/>
      <w:bookmarkEnd w:id="236"/>
      <w:bookmarkEnd w:id="237"/>
      <w:bookmarkEnd w:id="238"/>
      <w:bookmarkEnd w:id="239"/>
    </w:p>
    <w:bookmarkEnd w:id="240"/>
    <w:p w14:paraId="3B1753DB">
      <w:pPr>
        <w:adjustRightInd w:val="0"/>
        <w:snapToGrid w:val="0"/>
        <w:ind w:firstLine="480" w:firstLineChars="200"/>
        <w:rPr>
          <w:color w:val="auto"/>
          <w:highlight w:val="none"/>
        </w:rPr>
      </w:pPr>
      <w:r>
        <w:rPr>
          <w:rFonts w:hint="eastAsia"/>
          <w:color w:val="auto"/>
          <w:highlight w:val="none"/>
        </w:rPr>
        <w:t>6.2.1 劳动保护</w:t>
      </w:r>
    </w:p>
    <w:p w14:paraId="2F4BAE68">
      <w:pPr>
        <w:adjustRightInd w:val="0"/>
        <w:snapToGrid w:val="0"/>
        <w:ind w:firstLine="480" w:firstLineChars="200"/>
        <w:rPr>
          <w:color w:val="auto"/>
          <w:highlight w:val="none"/>
        </w:rPr>
      </w:pPr>
      <w:r>
        <w:rPr>
          <w:rFonts w:hint="eastAsia"/>
          <w:color w:val="auto"/>
          <w:highlight w:val="none"/>
        </w:rPr>
        <w:t>（1）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DA5F443">
      <w:pPr>
        <w:adjustRightInd w:val="0"/>
        <w:snapToGrid w:val="0"/>
        <w:ind w:firstLine="480" w:firstLineChars="200"/>
        <w:rPr>
          <w:color w:val="auto"/>
          <w:highlight w:val="none"/>
        </w:rPr>
      </w:pPr>
      <w:r>
        <w:rPr>
          <w:rFonts w:hint="eastAsia"/>
          <w:color w:val="auto"/>
          <w:highlight w:val="none"/>
        </w:rPr>
        <w:t>（2）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D38163D">
      <w:pPr>
        <w:adjustRightInd w:val="0"/>
        <w:snapToGrid w:val="0"/>
        <w:ind w:firstLine="480" w:firstLineChars="200"/>
        <w:rPr>
          <w:color w:val="auto"/>
          <w:highlight w:val="none"/>
        </w:rPr>
      </w:pPr>
      <w:r>
        <w:rPr>
          <w:rFonts w:hint="eastAsia"/>
          <w:color w:val="auto"/>
          <w:highlight w:val="none"/>
        </w:rPr>
        <w:t>（3）承包人应按法律规定安排工作时间，保证其雇佣人员享有休息和休假的权利。因工程施工的特殊需要占用休假日或延长工作时间的，应不超过法律规定的限度，并按法律规定给予补休或付酬。</w:t>
      </w:r>
    </w:p>
    <w:p w14:paraId="24CBAE8B">
      <w:pPr>
        <w:adjustRightInd w:val="0"/>
        <w:snapToGrid w:val="0"/>
        <w:ind w:firstLine="480" w:firstLineChars="200"/>
        <w:rPr>
          <w:color w:val="auto"/>
          <w:highlight w:val="none"/>
        </w:rPr>
      </w:pPr>
      <w:r>
        <w:rPr>
          <w:rFonts w:hint="eastAsia"/>
          <w:color w:val="auto"/>
          <w:highlight w:val="none"/>
        </w:rPr>
        <w:t>6.2.2 生活条件</w:t>
      </w:r>
    </w:p>
    <w:p w14:paraId="0DF7793C">
      <w:pPr>
        <w:adjustRightInd w:val="0"/>
        <w:snapToGrid w:val="0"/>
        <w:ind w:firstLine="480" w:firstLineChars="200"/>
        <w:rPr>
          <w:color w:val="auto"/>
          <w:highlight w:val="none"/>
        </w:rPr>
      </w:pPr>
      <w:r>
        <w:rPr>
          <w:rFonts w:hint="eastAsia"/>
          <w:color w:val="auto"/>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653E4924">
      <w:pPr>
        <w:adjustRightInd w:val="0"/>
        <w:snapToGrid w:val="0"/>
        <w:ind w:firstLine="482" w:firstLineChars="200"/>
        <w:rPr>
          <w:b/>
          <w:color w:val="auto"/>
          <w:highlight w:val="none"/>
        </w:rPr>
      </w:pPr>
      <w:bookmarkStart w:id="241" w:name="_Toc399775149"/>
      <w:bookmarkStart w:id="242" w:name="_Toc400485423"/>
      <w:bookmarkStart w:id="243" w:name="_Toc399776216"/>
      <w:bookmarkStart w:id="244" w:name="_Toc351203541"/>
      <w:bookmarkStart w:id="245" w:name="_Toc400522404"/>
      <w:bookmarkStart w:id="246" w:name="_Toc400486396"/>
      <w:bookmarkStart w:id="247" w:name="_Toc399775769"/>
      <w:r>
        <w:rPr>
          <w:rFonts w:hint="eastAsia"/>
          <w:b/>
          <w:color w:val="auto"/>
          <w:highlight w:val="none"/>
        </w:rPr>
        <w:t>6</w:t>
      </w:r>
      <w:bookmarkStart w:id="248" w:name="_Toc337558766"/>
      <w:r>
        <w:rPr>
          <w:rFonts w:hint="eastAsia"/>
          <w:b/>
          <w:color w:val="auto"/>
          <w:highlight w:val="none"/>
        </w:rPr>
        <w:t>.3 环境保护</w:t>
      </w:r>
      <w:bookmarkEnd w:id="241"/>
      <w:bookmarkEnd w:id="242"/>
      <w:bookmarkEnd w:id="243"/>
      <w:bookmarkEnd w:id="244"/>
      <w:bookmarkEnd w:id="245"/>
      <w:bookmarkEnd w:id="246"/>
      <w:bookmarkEnd w:id="247"/>
    </w:p>
    <w:bookmarkEnd w:id="248"/>
    <w:p w14:paraId="3242FB00">
      <w:pPr>
        <w:adjustRightInd w:val="0"/>
        <w:snapToGrid w:val="0"/>
        <w:ind w:firstLine="480" w:firstLineChars="200"/>
        <w:rPr>
          <w:color w:val="auto"/>
          <w:highlight w:val="none"/>
        </w:rPr>
      </w:pPr>
      <w:r>
        <w:rPr>
          <w:rFonts w:hint="eastAsia"/>
          <w:color w:val="auto"/>
          <w:highlight w:val="none"/>
        </w:rPr>
        <w:t>（1）承包人应在施工组织设计中列明环境保护的具体措施。在合同履行期间，承包人应采取合理措施保护施工现场环境。对施工作业过程中可能引起的大气、水、噪音以及固体废物污染采取具体可行的防范措施。</w:t>
      </w:r>
    </w:p>
    <w:p w14:paraId="59719A12">
      <w:pPr>
        <w:adjustRightInd w:val="0"/>
        <w:snapToGrid w:val="0"/>
        <w:ind w:firstLine="480" w:firstLineChars="200"/>
        <w:rPr>
          <w:color w:val="auto"/>
          <w:highlight w:val="none"/>
        </w:rPr>
      </w:pPr>
      <w:r>
        <w:rPr>
          <w:rFonts w:hint="eastAsia"/>
          <w:color w:val="auto"/>
          <w:highlight w:val="none"/>
        </w:rPr>
        <w:t>（2）承包人应当承担因其原因引起的环境污染侵权损害赔偿责任，因上述环境污染引起纠纷而导致暂停施工的，由此增加的费用和（或）延误的工期由承包人承担。</w:t>
      </w:r>
    </w:p>
    <w:p w14:paraId="0F8132C1">
      <w:pPr>
        <w:keepNext/>
        <w:keepLines/>
        <w:adjustRightInd w:val="0"/>
        <w:snapToGrid w:val="0"/>
        <w:outlineLvl w:val="1"/>
        <w:rPr>
          <w:rFonts w:ascii="Arial"/>
          <w:b/>
          <w:bCs/>
          <w:color w:val="auto"/>
          <w:highlight w:val="none"/>
        </w:rPr>
      </w:pPr>
      <w:bookmarkStart w:id="249" w:name="_Toc99782816"/>
      <w:bookmarkStart w:id="250" w:name="_Toc29999"/>
      <w:bookmarkStart w:id="251" w:name="_Toc400522405"/>
      <w:bookmarkStart w:id="252" w:name="_Toc400486397"/>
      <w:bookmarkStart w:id="253" w:name="_Toc399775770"/>
      <w:bookmarkStart w:id="254" w:name="_Toc351203542"/>
      <w:bookmarkStart w:id="255" w:name="_Toc119953729"/>
      <w:bookmarkStart w:id="256" w:name="_Toc256000062"/>
      <w:bookmarkStart w:id="257" w:name="_Toc400485424"/>
      <w:bookmarkStart w:id="258" w:name="_Toc399775150"/>
      <w:bookmarkStart w:id="259" w:name="_Toc81225276"/>
      <w:bookmarkStart w:id="260" w:name="_Toc117018793"/>
      <w:bookmarkStart w:id="261" w:name="_Toc399776217"/>
      <w:bookmarkStart w:id="262" w:name="_Toc91660608"/>
      <w:r>
        <w:rPr>
          <w:rFonts w:ascii="Arial"/>
          <w:b/>
          <w:bCs/>
          <w:color w:val="auto"/>
          <w:highlight w:val="none"/>
        </w:rPr>
        <w:t>7</w:t>
      </w:r>
      <w:bookmarkStart w:id="263" w:name="_Toc337558767"/>
      <w:r>
        <w:rPr>
          <w:rFonts w:ascii="Arial"/>
          <w:b/>
          <w:bCs/>
          <w:color w:val="auto"/>
          <w:highlight w:val="none"/>
        </w:rPr>
        <w:t xml:space="preserve">. </w:t>
      </w:r>
      <w:r>
        <w:rPr>
          <w:rFonts w:hint="eastAsia" w:ascii="Arial"/>
          <w:b/>
          <w:bCs/>
          <w:color w:val="auto"/>
          <w:highlight w:val="none"/>
        </w:rPr>
        <w:t>工期和进度</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263"/>
    <w:p w14:paraId="74275399">
      <w:pPr>
        <w:adjustRightInd w:val="0"/>
        <w:snapToGrid w:val="0"/>
        <w:ind w:firstLine="482" w:firstLineChars="200"/>
        <w:rPr>
          <w:b/>
          <w:color w:val="auto"/>
          <w:highlight w:val="none"/>
        </w:rPr>
      </w:pPr>
      <w:bookmarkStart w:id="264" w:name="_Toc400486398"/>
      <w:bookmarkStart w:id="265" w:name="_Toc400522406"/>
      <w:bookmarkStart w:id="266" w:name="_Toc400485425"/>
      <w:bookmarkStart w:id="267" w:name="_Toc399775771"/>
      <w:bookmarkStart w:id="268" w:name="_Toc351203543"/>
      <w:bookmarkStart w:id="269" w:name="_Toc399775151"/>
      <w:bookmarkStart w:id="270" w:name="_Toc399776218"/>
      <w:r>
        <w:rPr>
          <w:rFonts w:hint="eastAsia"/>
          <w:b/>
          <w:color w:val="auto"/>
          <w:highlight w:val="none"/>
        </w:rPr>
        <w:t>7</w:t>
      </w:r>
      <w:bookmarkStart w:id="271" w:name="_Toc337558768"/>
      <w:bookmarkStart w:id="272" w:name="_Toc296503066"/>
      <w:bookmarkStart w:id="273" w:name="_Toc296346567"/>
      <w:r>
        <w:rPr>
          <w:rFonts w:hint="eastAsia"/>
          <w:b/>
          <w:color w:val="auto"/>
          <w:highlight w:val="none"/>
        </w:rPr>
        <w:t>.1 施工组织设计</w:t>
      </w:r>
      <w:bookmarkEnd w:id="264"/>
      <w:bookmarkEnd w:id="265"/>
      <w:bookmarkEnd w:id="266"/>
      <w:bookmarkEnd w:id="267"/>
      <w:bookmarkEnd w:id="268"/>
      <w:bookmarkEnd w:id="269"/>
      <w:bookmarkEnd w:id="270"/>
    </w:p>
    <w:bookmarkEnd w:id="271"/>
    <w:p w14:paraId="6F5A6928">
      <w:pPr>
        <w:adjustRightInd w:val="0"/>
        <w:snapToGrid w:val="0"/>
        <w:ind w:firstLine="480" w:firstLineChars="200"/>
        <w:rPr>
          <w:color w:val="auto"/>
          <w:highlight w:val="none"/>
        </w:rPr>
      </w:pPr>
      <w:r>
        <w:rPr>
          <w:rFonts w:hint="eastAsia"/>
          <w:color w:val="auto"/>
          <w:highlight w:val="none"/>
        </w:rPr>
        <w:t>7.1.1 施工组织设计的内容</w:t>
      </w:r>
    </w:p>
    <w:p w14:paraId="0AF51544">
      <w:pPr>
        <w:adjustRightInd w:val="0"/>
        <w:snapToGrid w:val="0"/>
        <w:ind w:firstLine="480" w:firstLineChars="200"/>
        <w:rPr>
          <w:color w:val="auto"/>
          <w:highlight w:val="none"/>
        </w:rPr>
      </w:pPr>
      <w:r>
        <w:rPr>
          <w:rFonts w:hint="eastAsia"/>
          <w:color w:val="auto"/>
          <w:highlight w:val="none"/>
        </w:rPr>
        <w:t>施工组织设计应包含以下内容：</w:t>
      </w:r>
    </w:p>
    <w:p w14:paraId="04EE4C0D">
      <w:pPr>
        <w:adjustRightInd w:val="0"/>
        <w:snapToGrid w:val="0"/>
        <w:ind w:firstLine="480" w:firstLineChars="200"/>
        <w:rPr>
          <w:color w:val="auto"/>
          <w:highlight w:val="none"/>
        </w:rPr>
      </w:pPr>
      <w:r>
        <w:rPr>
          <w:rFonts w:hint="eastAsia"/>
          <w:color w:val="auto"/>
          <w:highlight w:val="none"/>
        </w:rPr>
        <w:t xml:space="preserve">（1）施工方案； </w:t>
      </w:r>
    </w:p>
    <w:p w14:paraId="0F6617CE">
      <w:pPr>
        <w:adjustRightInd w:val="0"/>
        <w:snapToGrid w:val="0"/>
        <w:ind w:firstLine="480" w:firstLineChars="200"/>
        <w:rPr>
          <w:color w:val="auto"/>
          <w:highlight w:val="none"/>
        </w:rPr>
      </w:pPr>
      <w:r>
        <w:rPr>
          <w:rFonts w:hint="eastAsia"/>
          <w:color w:val="auto"/>
          <w:highlight w:val="none"/>
        </w:rPr>
        <w:t>（2）施工现场平面布置图；</w:t>
      </w:r>
    </w:p>
    <w:p w14:paraId="24D34953">
      <w:pPr>
        <w:adjustRightInd w:val="0"/>
        <w:snapToGrid w:val="0"/>
        <w:ind w:firstLine="480" w:firstLineChars="200"/>
        <w:rPr>
          <w:color w:val="auto"/>
          <w:highlight w:val="none"/>
        </w:rPr>
      </w:pPr>
      <w:r>
        <w:rPr>
          <w:rFonts w:hint="eastAsia"/>
          <w:color w:val="auto"/>
          <w:highlight w:val="none"/>
        </w:rPr>
        <w:t xml:space="preserve">（3）施工进度计划和保证措施； </w:t>
      </w:r>
    </w:p>
    <w:p w14:paraId="6E3DA757">
      <w:pPr>
        <w:adjustRightInd w:val="0"/>
        <w:snapToGrid w:val="0"/>
        <w:ind w:firstLine="480" w:firstLineChars="200"/>
        <w:rPr>
          <w:color w:val="auto"/>
          <w:highlight w:val="none"/>
        </w:rPr>
      </w:pPr>
      <w:r>
        <w:rPr>
          <w:rFonts w:hint="eastAsia"/>
          <w:color w:val="auto"/>
          <w:highlight w:val="none"/>
        </w:rPr>
        <w:t>（4）劳动力及材料供应计划；</w:t>
      </w:r>
    </w:p>
    <w:p w14:paraId="4F5082E3">
      <w:pPr>
        <w:adjustRightInd w:val="0"/>
        <w:snapToGrid w:val="0"/>
        <w:ind w:firstLine="480" w:firstLineChars="200"/>
        <w:rPr>
          <w:color w:val="auto"/>
          <w:highlight w:val="none"/>
        </w:rPr>
      </w:pPr>
      <w:r>
        <w:rPr>
          <w:rFonts w:hint="eastAsia"/>
          <w:color w:val="auto"/>
          <w:highlight w:val="none"/>
        </w:rPr>
        <w:t>（5）施工机械设备的选用；</w:t>
      </w:r>
    </w:p>
    <w:p w14:paraId="6E8BC60A">
      <w:pPr>
        <w:adjustRightInd w:val="0"/>
        <w:snapToGrid w:val="0"/>
        <w:ind w:firstLine="480" w:firstLineChars="200"/>
        <w:rPr>
          <w:color w:val="auto"/>
          <w:highlight w:val="none"/>
        </w:rPr>
      </w:pPr>
      <w:r>
        <w:rPr>
          <w:rFonts w:hint="eastAsia"/>
          <w:color w:val="auto"/>
          <w:highlight w:val="none"/>
        </w:rPr>
        <w:t>（6）质量保证体系及措施；</w:t>
      </w:r>
    </w:p>
    <w:p w14:paraId="13A0E9A1">
      <w:pPr>
        <w:adjustRightInd w:val="0"/>
        <w:snapToGrid w:val="0"/>
        <w:ind w:firstLine="480" w:firstLineChars="200"/>
        <w:rPr>
          <w:color w:val="auto"/>
          <w:highlight w:val="none"/>
        </w:rPr>
      </w:pPr>
      <w:r>
        <w:rPr>
          <w:rFonts w:hint="eastAsia"/>
          <w:color w:val="auto"/>
          <w:highlight w:val="none"/>
        </w:rPr>
        <w:t>（7）安全生产、文明施工措施；</w:t>
      </w:r>
    </w:p>
    <w:p w14:paraId="04FDF7EC">
      <w:pPr>
        <w:adjustRightInd w:val="0"/>
        <w:snapToGrid w:val="0"/>
        <w:ind w:firstLine="480" w:firstLineChars="200"/>
        <w:rPr>
          <w:color w:val="auto"/>
          <w:highlight w:val="none"/>
        </w:rPr>
      </w:pPr>
      <w:r>
        <w:rPr>
          <w:rFonts w:hint="eastAsia"/>
          <w:color w:val="auto"/>
          <w:highlight w:val="none"/>
        </w:rPr>
        <w:t>（8）环境保护、成本控制措施；</w:t>
      </w:r>
    </w:p>
    <w:p w14:paraId="45798C75">
      <w:pPr>
        <w:adjustRightInd w:val="0"/>
        <w:snapToGrid w:val="0"/>
        <w:ind w:firstLine="480" w:firstLineChars="200"/>
        <w:rPr>
          <w:color w:val="auto"/>
          <w:highlight w:val="none"/>
        </w:rPr>
      </w:pPr>
      <w:r>
        <w:rPr>
          <w:rFonts w:hint="eastAsia"/>
          <w:color w:val="auto"/>
          <w:highlight w:val="none"/>
        </w:rPr>
        <w:t>（9）合同当事人约定的其他内容。</w:t>
      </w:r>
    </w:p>
    <w:p w14:paraId="3302C72E">
      <w:pPr>
        <w:adjustRightInd w:val="0"/>
        <w:snapToGrid w:val="0"/>
        <w:ind w:firstLine="480" w:firstLineChars="200"/>
        <w:rPr>
          <w:color w:val="auto"/>
          <w:highlight w:val="none"/>
        </w:rPr>
      </w:pPr>
      <w:r>
        <w:rPr>
          <w:rFonts w:hint="eastAsia"/>
          <w:color w:val="auto"/>
          <w:highlight w:val="none"/>
        </w:rPr>
        <w:t>7.1.2 施工组织设计的提交和修改</w:t>
      </w:r>
    </w:p>
    <w:p w14:paraId="50B24603">
      <w:pPr>
        <w:adjustRightInd w:val="0"/>
        <w:snapToGrid w:val="0"/>
        <w:ind w:firstLine="480" w:firstLineChars="200"/>
        <w:rPr>
          <w:color w:val="auto"/>
          <w:highlight w:val="none"/>
        </w:rPr>
      </w:pPr>
      <w:r>
        <w:rPr>
          <w:rFonts w:hint="eastAsia"/>
          <w:color w:val="auto"/>
          <w:highlight w:val="none"/>
        </w:rPr>
        <w:t>承包人应在合同签订后14天内，但最迟不得晚于第7.3.2项载明的开工日期前7天，向监理人提交详细的施工组织设计，并由监理人报送发包人。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施工组织设计提交的时间和份数在专用合同条款中约定。</w:t>
      </w:r>
    </w:p>
    <w:p w14:paraId="662D88BB">
      <w:pPr>
        <w:adjustRightInd w:val="0"/>
        <w:snapToGrid w:val="0"/>
        <w:ind w:firstLine="480" w:firstLineChars="200"/>
        <w:rPr>
          <w:color w:val="auto"/>
          <w:highlight w:val="none"/>
        </w:rPr>
      </w:pPr>
      <w:r>
        <w:rPr>
          <w:rFonts w:hint="eastAsia"/>
          <w:color w:val="auto"/>
          <w:highlight w:val="none"/>
        </w:rPr>
        <w:t>大中型项目施工组织设计的编制内容和深度应符合国家、行业和中国石化的相关要求。</w:t>
      </w:r>
    </w:p>
    <w:p w14:paraId="47699D11">
      <w:pPr>
        <w:adjustRightInd w:val="0"/>
        <w:snapToGrid w:val="0"/>
        <w:ind w:firstLine="480" w:firstLineChars="200"/>
        <w:rPr>
          <w:color w:val="auto"/>
          <w:highlight w:val="none"/>
        </w:rPr>
      </w:pPr>
      <w:r>
        <w:rPr>
          <w:rFonts w:hint="eastAsia"/>
          <w:color w:val="auto"/>
          <w:highlight w:val="none"/>
        </w:rPr>
        <w:t>承包人应严格按批准的施工组织设计、施工技术方案施工。当承包人认为需要变更已批准的施工组织设计、施工技术方案时，须得到发包人和监理人的书面批准。如承包人擅自变更，承包人应对由此带来的后果负完全责任，发包人不支付擅自变更部分增加的措施费。</w:t>
      </w:r>
    </w:p>
    <w:p w14:paraId="1999D4E4">
      <w:pPr>
        <w:adjustRightInd w:val="0"/>
        <w:snapToGrid w:val="0"/>
        <w:ind w:firstLine="482" w:firstLineChars="200"/>
        <w:rPr>
          <w:b/>
          <w:color w:val="auto"/>
          <w:highlight w:val="none"/>
        </w:rPr>
      </w:pPr>
      <w:bookmarkStart w:id="274" w:name="_Toc351203544"/>
      <w:r>
        <w:rPr>
          <w:rFonts w:hint="eastAsia"/>
          <w:b/>
          <w:color w:val="auto"/>
          <w:highlight w:val="none"/>
        </w:rPr>
        <w:t>7</w:t>
      </w:r>
      <w:bookmarkStart w:id="275" w:name="_Toc337558769"/>
      <w:r>
        <w:rPr>
          <w:rFonts w:hint="eastAsia"/>
          <w:b/>
          <w:color w:val="auto"/>
          <w:highlight w:val="none"/>
        </w:rPr>
        <w:t>.2 施工进度计划</w:t>
      </w:r>
      <w:bookmarkEnd w:id="274"/>
    </w:p>
    <w:bookmarkEnd w:id="275"/>
    <w:p w14:paraId="66065A6B">
      <w:pPr>
        <w:adjustRightInd w:val="0"/>
        <w:snapToGrid w:val="0"/>
        <w:ind w:firstLine="480" w:firstLineChars="200"/>
        <w:rPr>
          <w:color w:val="auto"/>
          <w:highlight w:val="none"/>
        </w:rPr>
      </w:pPr>
      <w:r>
        <w:rPr>
          <w:rFonts w:hint="eastAsia"/>
          <w:color w:val="auto"/>
          <w:highlight w:val="none"/>
        </w:rPr>
        <w:t>7.2.1 施工进度计划的编制</w:t>
      </w:r>
    </w:p>
    <w:p w14:paraId="0A174EBD">
      <w:pPr>
        <w:adjustRightInd w:val="0"/>
        <w:snapToGrid w:val="0"/>
        <w:ind w:firstLine="480" w:firstLineChars="200"/>
        <w:rPr>
          <w:color w:val="auto"/>
          <w:highlight w:val="none"/>
        </w:rPr>
      </w:pPr>
      <w:r>
        <w:rPr>
          <w:rFonts w:hint="eastAsia"/>
          <w:color w:val="auto"/>
          <w:highlight w:val="none"/>
        </w:rPr>
        <w:t>承包人应按照第7.1款约定提交详细的施工进度计划，施工进度计划的编制应当符合国家、行业和中国石化的相关要求和工程实践惯例。施工进度计划经发包人和监理人批准后实施。施工进度计划是控制工程进度的依据，发包人和监理人有权按照施工进度计划检查工程进度情况。</w:t>
      </w:r>
    </w:p>
    <w:p w14:paraId="6D3E9FEE">
      <w:pPr>
        <w:adjustRightInd w:val="0"/>
        <w:snapToGrid w:val="0"/>
        <w:ind w:firstLine="480" w:firstLineChars="200"/>
        <w:rPr>
          <w:color w:val="auto"/>
          <w:highlight w:val="none"/>
        </w:rPr>
      </w:pPr>
      <w:r>
        <w:rPr>
          <w:rFonts w:hint="eastAsia"/>
          <w:color w:val="auto"/>
          <w:highlight w:val="none"/>
        </w:rPr>
        <w:t>7.2.2 施工进度计划的修订</w:t>
      </w:r>
    </w:p>
    <w:p w14:paraId="0435BE40">
      <w:pPr>
        <w:adjustRightInd w:val="0"/>
        <w:snapToGrid w:val="0"/>
        <w:ind w:firstLine="480" w:firstLineChars="200"/>
        <w:rPr>
          <w:color w:val="auto"/>
          <w:highlight w:val="none"/>
        </w:rPr>
      </w:pPr>
      <w:r>
        <w:rPr>
          <w:rFonts w:hint="eastAsia"/>
          <w:color w:val="auto"/>
          <w:highlight w:val="none"/>
        </w:rPr>
        <w:t>承包人必须按发包人和监理人确认的进度计划组织施工，接受发包人和监理人对进度的检查、监督。</w:t>
      </w:r>
    </w:p>
    <w:p w14:paraId="0F513283">
      <w:pPr>
        <w:adjustRightInd w:val="0"/>
        <w:snapToGrid w:val="0"/>
        <w:ind w:firstLine="480" w:firstLineChars="200"/>
        <w:rPr>
          <w:rFonts w:eastAsia="仿宋_GB2312"/>
          <w:color w:val="auto"/>
          <w:highlight w:val="none"/>
        </w:rPr>
      </w:pPr>
      <w:r>
        <w:rPr>
          <w:rFonts w:hint="eastAsia"/>
          <w:color w:val="auto"/>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1F4EB92">
      <w:pPr>
        <w:adjustRightInd w:val="0"/>
        <w:snapToGrid w:val="0"/>
        <w:ind w:firstLine="482" w:firstLineChars="200"/>
        <w:rPr>
          <w:b/>
          <w:color w:val="auto"/>
          <w:highlight w:val="none"/>
        </w:rPr>
      </w:pPr>
      <w:bookmarkStart w:id="276" w:name="_Toc400486399"/>
      <w:bookmarkStart w:id="277" w:name="_Toc400522407"/>
      <w:bookmarkStart w:id="278" w:name="_Toc399775152"/>
      <w:bookmarkStart w:id="279" w:name="_Toc399775772"/>
      <w:bookmarkStart w:id="280" w:name="_Toc399776219"/>
      <w:bookmarkStart w:id="281" w:name="_Toc351203545"/>
      <w:bookmarkStart w:id="282" w:name="_Toc400485426"/>
      <w:r>
        <w:rPr>
          <w:rFonts w:hint="eastAsia"/>
          <w:b/>
          <w:color w:val="auto"/>
          <w:highlight w:val="none"/>
        </w:rPr>
        <w:t>7</w:t>
      </w:r>
      <w:bookmarkStart w:id="283" w:name="_Toc337558770"/>
      <w:r>
        <w:rPr>
          <w:rFonts w:hint="eastAsia"/>
          <w:b/>
          <w:color w:val="auto"/>
          <w:highlight w:val="none"/>
        </w:rPr>
        <w:t>.3 开工</w:t>
      </w:r>
      <w:bookmarkEnd w:id="276"/>
      <w:bookmarkEnd w:id="277"/>
      <w:bookmarkEnd w:id="278"/>
      <w:bookmarkEnd w:id="279"/>
      <w:bookmarkEnd w:id="280"/>
      <w:bookmarkEnd w:id="281"/>
      <w:bookmarkEnd w:id="282"/>
    </w:p>
    <w:p w14:paraId="013320A9">
      <w:pPr>
        <w:adjustRightInd w:val="0"/>
        <w:snapToGrid w:val="0"/>
        <w:ind w:firstLine="480" w:firstLineChars="200"/>
        <w:rPr>
          <w:color w:val="auto"/>
          <w:highlight w:val="none"/>
        </w:rPr>
      </w:pPr>
      <w:r>
        <w:rPr>
          <w:rFonts w:hint="eastAsia"/>
          <w:color w:val="auto"/>
          <w:highlight w:val="none"/>
        </w:rPr>
        <w:t>7.3.1 开工准备</w:t>
      </w:r>
    </w:p>
    <w:p w14:paraId="1835C757">
      <w:pPr>
        <w:adjustRightInd w:val="0"/>
        <w:snapToGrid w:val="0"/>
        <w:ind w:firstLine="480" w:firstLineChars="200"/>
        <w:rPr>
          <w:color w:val="auto"/>
          <w:highlight w:val="none"/>
        </w:rPr>
      </w:pPr>
      <w:r>
        <w:rPr>
          <w:rFonts w:hint="eastAsia"/>
          <w:color w:val="auto"/>
          <w:highlight w:val="none"/>
        </w:rPr>
        <w:t>除专用合同条款另有约定外，承包人应按照第7.1款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8FF1DC2">
      <w:pPr>
        <w:adjustRightInd w:val="0"/>
        <w:snapToGrid w:val="0"/>
        <w:ind w:firstLine="480" w:firstLineChars="200"/>
        <w:rPr>
          <w:color w:val="auto"/>
          <w:highlight w:val="none"/>
        </w:rPr>
      </w:pPr>
      <w:r>
        <w:rPr>
          <w:rFonts w:hint="eastAsia"/>
          <w:color w:val="auto"/>
          <w:highlight w:val="none"/>
        </w:rPr>
        <w:t>合同当事人应按约定完成开工准备工作。</w:t>
      </w:r>
    </w:p>
    <w:p w14:paraId="5DD50A51">
      <w:pPr>
        <w:adjustRightInd w:val="0"/>
        <w:snapToGrid w:val="0"/>
        <w:ind w:firstLine="480" w:firstLineChars="200"/>
        <w:rPr>
          <w:color w:val="auto"/>
          <w:highlight w:val="none"/>
        </w:rPr>
      </w:pPr>
      <w:r>
        <w:rPr>
          <w:rFonts w:hint="eastAsia"/>
          <w:color w:val="auto"/>
          <w:highlight w:val="none"/>
        </w:rPr>
        <w:t>7.3.2 开工通知</w:t>
      </w:r>
    </w:p>
    <w:bookmarkEnd w:id="283"/>
    <w:p w14:paraId="79E27F54">
      <w:pPr>
        <w:adjustRightInd w:val="0"/>
        <w:snapToGrid w:val="0"/>
        <w:ind w:firstLine="480" w:firstLineChars="200"/>
        <w:rPr>
          <w:color w:val="auto"/>
          <w:highlight w:val="none"/>
        </w:rPr>
      </w:pPr>
      <w:r>
        <w:rPr>
          <w:rFonts w:hint="eastAsia"/>
          <w:color w:val="auto"/>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A3BAF6D">
      <w:pPr>
        <w:adjustRightInd w:val="0"/>
        <w:snapToGrid w:val="0"/>
        <w:ind w:firstLine="480" w:firstLineChars="200"/>
        <w:rPr>
          <w:color w:val="auto"/>
          <w:highlight w:val="none"/>
        </w:rPr>
      </w:pPr>
      <w:r>
        <w:rPr>
          <w:rFonts w:hint="eastAsia"/>
          <w:color w:val="auto"/>
          <w:highlight w:val="none"/>
        </w:rPr>
        <w:t>承包人应当按照协议书约定的开工日期开工。承包人不能按时开工，应当不迟于协议书约定的开工日期前7天，以书面形式向发包人提出延期开工的理由和要求。发包人应当在接到延期开工申请后的48小时内以书面形式答复承包人。发包人在接到延期开工申请后的48小时内不答复，视为同意承包人要求，工期相应顺延。发包人不同意延期要求或承包人未在规定时间内提出延期开工要求，工期不予顺延。</w:t>
      </w:r>
    </w:p>
    <w:p w14:paraId="070E9ECB">
      <w:pPr>
        <w:adjustRightInd w:val="0"/>
        <w:snapToGrid w:val="0"/>
        <w:ind w:firstLine="480" w:firstLineChars="200"/>
        <w:rPr>
          <w:color w:val="auto"/>
          <w:highlight w:val="none"/>
        </w:rPr>
      </w:pPr>
      <w:r>
        <w:rPr>
          <w:rFonts w:hint="eastAsia"/>
          <w:color w:val="auto"/>
          <w:highlight w:val="none"/>
        </w:rPr>
        <w:t>除专用合同条款另有约定外，因发包人原因造成监理人未能在计划开工日期之日起90天内发出开工通知的，承包人有权提出价款调整要求，或者解除合同。发包人应当承担由此增加的费用和（或）延误的工期。解除合同的，按照第16.1.3项执行。</w:t>
      </w:r>
    </w:p>
    <w:p w14:paraId="54591358">
      <w:pPr>
        <w:adjustRightInd w:val="0"/>
        <w:snapToGrid w:val="0"/>
        <w:ind w:firstLine="482" w:firstLineChars="200"/>
        <w:rPr>
          <w:b/>
          <w:color w:val="auto"/>
          <w:highlight w:val="none"/>
        </w:rPr>
      </w:pPr>
      <w:bookmarkStart w:id="284" w:name="_Toc400522408"/>
      <w:bookmarkStart w:id="285" w:name="_Toc399775153"/>
      <w:bookmarkStart w:id="286" w:name="_Toc399776220"/>
      <w:bookmarkStart w:id="287" w:name="_Toc399775773"/>
      <w:bookmarkStart w:id="288" w:name="_Toc400485427"/>
      <w:bookmarkStart w:id="289" w:name="_Toc400486400"/>
      <w:bookmarkStart w:id="290" w:name="_Toc351203546"/>
      <w:r>
        <w:rPr>
          <w:rFonts w:hint="eastAsia"/>
          <w:b/>
          <w:color w:val="auto"/>
          <w:highlight w:val="none"/>
        </w:rPr>
        <w:t>7.4 测量放线</w:t>
      </w:r>
      <w:bookmarkEnd w:id="284"/>
      <w:bookmarkEnd w:id="285"/>
      <w:bookmarkEnd w:id="286"/>
      <w:bookmarkEnd w:id="287"/>
      <w:bookmarkEnd w:id="288"/>
      <w:bookmarkEnd w:id="289"/>
      <w:bookmarkEnd w:id="290"/>
    </w:p>
    <w:p w14:paraId="430B7B13">
      <w:pPr>
        <w:adjustRightInd w:val="0"/>
        <w:snapToGrid w:val="0"/>
        <w:ind w:firstLine="480" w:firstLineChars="200"/>
        <w:rPr>
          <w:color w:val="auto"/>
          <w:highlight w:val="none"/>
        </w:rPr>
      </w:pPr>
      <w:r>
        <w:rPr>
          <w:rFonts w:hint="eastAsia"/>
          <w:color w:val="auto"/>
          <w:highlight w:val="none"/>
        </w:rPr>
        <w:t>7.4.1 除专用合同条款另有约定外，发包人应在最迟不得晚于第7.3.2项载明的开工日期前7天通过监理人向承包人提供测量基准点、基准线和水准点及其书面资料。发包人应对其提供的测量基准点、基准线和水准点及其书面资料的真实性、准确性和完整性负责。</w:t>
      </w:r>
    </w:p>
    <w:p w14:paraId="3386E6AB">
      <w:pPr>
        <w:adjustRightInd w:val="0"/>
        <w:snapToGrid w:val="0"/>
        <w:ind w:firstLine="480" w:firstLineChars="200"/>
        <w:rPr>
          <w:color w:val="auto"/>
          <w:highlight w:val="none"/>
        </w:rPr>
      </w:pPr>
      <w:r>
        <w:rPr>
          <w:rFonts w:hint="eastAsia"/>
          <w:color w:val="auto"/>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A93BB9C">
      <w:pPr>
        <w:adjustRightInd w:val="0"/>
        <w:snapToGrid w:val="0"/>
        <w:ind w:firstLine="480" w:firstLineChars="200"/>
        <w:rPr>
          <w:color w:val="auto"/>
          <w:highlight w:val="none"/>
        </w:rPr>
      </w:pPr>
      <w:r>
        <w:rPr>
          <w:rFonts w:hint="eastAsia"/>
          <w:color w:val="auto"/>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0D22F84">
      <w:pPr>
        <w:adjustRightInd w:val="0"/>
        <w:snapToGrid w:val="0"/>
        <w:ind w:firstLine="480" w:firstLineChars="200"/>
        <w:rPr>
          <w:color w:val="auto"/>
          <w:highlight w:val="none"/>
        </w:rPr>
      </w:pPr>
      <w:r>
        <w:rPr>
          <w:rFonts w:hint="eastAsia"/>
          <w:color w:val="auto"/>
          <w:highlight w:val="none"/>
        </w:rPr>
        <w:t>施工过程中对施工现场内水准点等测量标志物的保护工作由承包人负责。</w:t>
      </w:r>
      <w:bookmarkStart w:id="291" w:name="_Toc351203547"/>
    </w:p>
    <w:p w14:paraId="3CA23A6D">
      <w:pPr>
        <w:adjustRightInd w:val="0"/>
        <w:snapToGrid w:val="0"/>
        <w:ind w:firstLine="482" w:firstLineChars="200"/>
        <w:rPr>
          <w:b/>
          <w:color w:val="auto"/>
          <w:highlight w:val="none"/>
        </w:rPr>
      </w:pPr>
      <w:bookmarkStart w:id="292" w:name="_Toc399775774"/>
      <w:bookmarkStart w:id="293" w:name="_Toc399775154"/>
      <w:bookmarkStart w:id="294" w:name="_Toc400522409"/>
      <w:bookmarkStart w:id="295" w:name="_Toc400485428"/>
      <w:bookmarkStart w:id="296" w:name="_Toc399776221"/>
      <w:bookmarkStart w:id="297" w:name="_Toc400486401"/>
      <w:r>
        <w:rPr>
          <w:rFonts w:hint="eastAsia"/>
          <w:b/>
          <w:color w:val="auto"/>
          <w:highlight w:val="none"/>
        </w:rPr>
        <w:t>7</w:t>
      </w:r>
      <w:bookmarkEnd w:id="272"/>
      <w:bookmarkEnd w:id="273"/>
      <w:bookmarkStart w:id="298" w:name="_Toc296346574"/>
      <w:bookmarkStart w:id="299" w:name="_Toc296503073"/>
      <w:bookmarkStart w:id="300" w:name="_Toc337558772"/>
      <w:r>
        <w:rPr>
          <w:rFonts w:hint="eastAsia"/>
          <w:b/>
          <w:color w:val="auto"/>
          <w:highlight w:val="none"/>
        </w:rPr>
        <w:t>.5 工期延误</w:t>
      </w:r>
      <w:bookmarkEnd w:id="291"/>
      <w:bookmarkEnd w:id="292"/>
      <w:bookmarkEnd w:id="293"/>
      <w:bookmarkEnd w:id="294"/>
      <w:bookmarkEnd w:id="295"/>
      <w:bookmarkEnd w:id="296"/>
      <w:bookmarkEnd w:id="297"/>
    </w:p>
    <w:bookmarkEnd w:id="298"/>
    <w:bookmarkEnd w:id="299"/>
    <w:bookmarkEnd w:id="300"/>
    <w:p w14:paraId="1A846CEB">
      <w:pPr>
        <w:adjustRightInd w:val="0"/>
        <w:snapToGrid w:val="0"/>
        <w:ind w:firstLine="480" w:firstLineChars="200"/>
        <w:rPr>
          <w:color w:val="auto"/>
          <w:highlight w:val="none"/>
        </w:rPr>
      </w:pPr>
      <w:r>
        <w:rPr>
          <w:rFonts w:hint="eastAsia"/>
          <w:color w:val="auto"/>
          <w:highlight w:val="none"/>
        </w:rPr>
        <w:t>7.5.1发包人引起的工期延误</w:t>
      </w:r>
    </w:p>
    <w:p w14:paraId="31101662">
      <w:pPr>
        <w:adjustRightInd w:val="0"/>
        <w:snapToGrid w:val="0"/>
        <w:ind w:firstLine="480" w:firstLineChars="200"/>
        <w:rPr>
          <w:color w:val="auto"/>
          <w:highlight w:val="none"/>
        </w:rPr>
      </w:pPr>
      <w:r>
        <w:rPr>
          <w:rFonts w:hint="eastAsia"/>
          <w:color w:val="auto"/>
          <w:highlight w:val="none"/>
        </w:rPr>
        <w:t>在合同履行过程中，因下列情况导致工期延误和（或）费用增加的，按照第11.2.3项的规定执行。</w:t>
      </w:r>
    </w:p>
    <w:p w14:paraId="67326D34">
      <w:pPr>
        <w:adjustRightInd w:val="0"/>
        <w:snapToGrid w:val="0"/>
        <w:ind w:firstLine="480" w:firstLineChars="200"/>
        <w:rPr>
          <w:color w:val="auto"/>
          <w:highlight w:val="none"/>
        </w:rPr>
      </w:pPr>
      <w:r>
        <w:rPr>
          <w:rFonts w:hint="eastAsia"/>
          <w:color w:val="auto"/>
          <w:highlight w:val="none"/>
        </w:rPr>
        <w:t>（1）发包人未能按合同约定提供图纸或所提供图纸不符合合同约定的；</w:t>
      </w:r>
    </w:p>
    <w:p w14:paraId="39848FEE">
      <w:pPr>
        <w:adjustRightInd w:val="0"/>
        <w:snapToGrid w:val="0"/>
        <w:ind w:firstLine="480" w:firstLineChars="200"/>
        <w:rPr>
          <w:color w:val="auto"/>
          <w:highlight w:val="none"/>
        </w:rPr>
      </w:pPr>
      <w:r>
        <w:rPr>
          <w:rFonts w:hint="eastAsia"/>
          <w:color w:val="auto"/>
          <w:highlight w:val="none"/>
        </w:rPr>
        <w:t>（2）发包人未能按合同约定提供施工现场、施工条件、基础资料、许可、批准等开工条件的；</w:t>
      </w:r>
    </w:p>
    <w:p w14:paraId="538D34D9">
      <w:pPr>
        <w:adjustRightInd w:val="0"/>
        <w:snapToGrid w:val="0"/>
        <w:ind w:firstLine="480" w:firstLineChars="200"/>
        <w:rPr>
          <w:color w:val="auto"/>
          <w:highlight w:val="none"/>
        </w:rPr>
      </w:pPr>
      <w:r>
        <w:rPr>
          <w:rFonts w:hint="eastAsia"/>
          <w:color w:val="auto"/>
          <w:highlight w:val="none"/>
        </w:rPr>
        <w:t>（3）发包人提供的测量基准点、基准线和水准点及其书面资料存在错误或疏漏的；</w:t>
      </w:r>
    </w:p>
    <w:p w14:paraId="4CC28145">
      <w:pPr>
        <w:adjustRightInd w:val="0"/>
        <w:snapToGrid w:val="0"/>
        <w:ind w:firstLine="480" w:firstLineChars="200"/>
        <w:rPr>
          <w:color w:val="auto"/>
          <w:highlight w:val="none"/>
        </w:rPr>
      </w:pPr>
      <w:r>
        <w:rPr>
          <w:rFonts w:hint="eastAsia"/>
          <w:color w:val="auto"/>
          <w:highlight w:val="none"/>
        </w:rPr>
        <w:t>（4）发包人未能在计划开工日期之日起7天内同意下达开工通知的；</w:t>
      </w:r>
    </w:p>
    <w:p w14:paraId="3B79BCB4">
      <w:pPr>
        <w:adjustRightInd w:val="0"/>
        <w:snapToGrid w:val="0"/>
        <w:ind w:firstLine="480" w:firstLineChars="200"/>
        <w:rPr>
          <w:color w:val="auto"/>
          <w:highlight w:val="none"/>
        </w:rPr>
      </w:pPr>
      <w:r>
        <w:rPr>
          <w:rFonts w:hint="eastAsia"/>
          <w:color w:val="auto"/>
          <w:highlight w:val="none"/>
        </w:rPr>
        <w:t>（5）发包人未能按合同约定日期支付工程预付款、进度款或工程结算款的；</w:t>
      </w:r>
    </w:p>
    <w:p w14:paraId="006962D5">
      <w:pPr>
        <w:adjustRightInd w:val="0"/>
        <w:snapToGrid w:val="0"/>
        <w:ind w:firstLine="480" w:firstLineChars="200"/>
        <w:rPr>
          <w:color w:val="auto"/>
          <w:highlight w:val="none"/>
        </w:rPr>
      </w:pPr>
      <w:r>
        <w:rPr>
          <w:rFonts w:hint="eastAsia"/>
          <w:color w:val="auto"/>
          <w:highlight w:val="none"/>
        </w:rPr>
        <w:t>（6）监理人未按合同约定发出指示、批准等文件的；</w:t>
      </w:r>
    </w:p>
    <w:p w14:paraId="3B6A1C63">
      <w:pPr>
        <w:adjustRightInd w:val="0"/>
        <w:snapToGrid w:val="0"/>
        <w:ind w:firstLine="480" w:firstLineChars="200"/>
        <w:rPr>
          <w:color w:val="auto"/>
          <w:highlight w:val="none"/>
        </w:rPr>
      </w:pPr>
      <w:r>
        <w:rPr>
          <w:rFonts w:hint="eastAsia"/>
          <w:color w:val="auto"/>
          <w:highlight w:val="none"/>
        </w:rPr>
        <w:t>（7）发包人增加合同工作内容的；</w:t>
      </w:r>
    </w:p>
    <w:p w14:paraId="44B7439F">
      <w:pPr>
        <w:adjustRightInd w:val="0"/>
        <w:snapToGrid w:val="0"/>
        <w:ind w:firstLine="480" w:firstLineChars="200"/>
        <w:rPr>
          <w:color w:val="auto"/>
          <w:highlight w:val="none"/>
        </w:rPr>
      </w:pPr>
      <w:r>
        <w:rPr>
          <w:rFonts w:hint="eastAsia"/>
          <w:color w:val="auto"/>
          <w:highlight w:val="none"/>
        </w:rPr>
        <w:t>（8）发包人改变合同中任何一项工作的质量要求或其他特性；</w:t>
      </w:r>
    </w:p>
    <w:p w14:paraId="0637FFCB">
      <w:pPr>
        <w:adjustRightInd w:val="0"/>
        <w:snapToGrid w:val="0"/>
        <w:ind w:firstLine="480" w:firstLineChars="200"/>
        <w:rPr>
          <w:color w:val="auto"/>
          <w:highlight w:val="none"/>
        </w:rPr>
      </w:pPr>
      <w:r>
        <w:rPr>
          <w:rFonts w:hint="eastAsia"/>
          <w:color w:val="auto"/>
          <w:highlight w:val="none"/>
        </w:rPr>
        <w:t>（9）因发包人原因导致的暂停施工、窝工；</w:t>
      </w:r>
    </w:p>
    <w:p w14:paraId="0BFB0029">
      <w:pPr>
        <w:adjustRightInd w:val="0"/>
        <w:snapToGrid w:val="0"/>
        <w:ind w:firstLine="480" w:firstLineChars="200"/>
        <w:rPr>
          <w:color w:val="auto"/>
          <w:highlight w:val="none"/>
        </w:rPr>
      </w:pPr>
      <w:r>
        <w:rPr>
          <w:rFonts w:hint="eastAsia"/>
          <w:color w:val="auto"/>
          <w:highlight w:val="none"/>
        </w:rPr>
        <w:t>（10）专用合同条款中约定的其他情形。</w:t>
      </w:r>
    </w:p>
    <w:p w14:paraId="566A9F8A">
      <w:pPr>
        <w:adjustRightInd w:val="0"/>
        <w:snapToGrid w:val="0"/>
        <w:ind w:firstLine="480" w:firstLineChars="200"/>
        <w:rPr>
          <w:color w:val="auto"/>
          <w:highlight w:val="none"/>
        </w:rPr>
      </w:pPr>
      <w:r>
        <w:rPr>
          <w:rFonts w:hint="eastAsia"/>
          <w:color w:val="auto"/>
          <w:highlight w:val="none"/>
        </w:rPr>
        <w:t>因发包人原因未按计划开工日期开工的，发包人应按实际开工日期顺延中间交接或交工日期，确保实际工期不低于合同约定的工期天数。因发包人原因导致工期延误需要修订施工进度计划的，承包人应向监理人提交修订的施工进度计划，并附具有关措施和相关资料，由监理人报送发包人审批。</w:t>
      </w:r>
    </w:p>
    <w:p w14:paraId="1C2E3362">
      <w:pPr>
        <w:adjustRightInd w:val="0"/>
        <w:snapToGrid w:val="0"/>
        <w:ind w:firstLine="480" w:firstLineChars="200"/>
        <w:rPr>
          <w:color w:val="auto"/>
          <w:highlight w:val="none"/>
        </w:rPr>
      </w:pPr>
      <w:r>
        <w:rPr>
          <w:rFonts w:hint="eastAsia"/>
          <w:color w:val="auto"/>
          <w:highlight w:val="none"/>
        </w:rPr>
        <w:t>7.5.2 承包人引起的工期延误</w:t>
      </w:r>
    </w:p>
    <w:p w14:paraId="58110A9D">
      <w:pPr>
        <w:adjustRightInd w:val="0"/>
        <w:snapToGrid w:val="0"/>
        <w:ind w:firstLine="480" w:firstLineChars="200"/>
        <w:rPr>
          <w:color w:val="auto"/>
          <w:highlight w:val="none"/>
        </w:rPr>
      </w:pPr>
      <w:bookmarkStart w:id="301" w:name="_Toc296346577"/>
      <w:bookmarkStart w:id="302" w:name="_Toc296503076"/>
      <w:r>
        <w:rPr>
          <w:rFonts w:hint="eastAsia"/>
          <w:color w:val="auto"/>
          <w:highlight w:val="none"/>
        </w:rPr>
        <w:t>因</w:t>
      </w:r>
      <w:bookmarkEnd w:id="301"/>
      <w:bookmarkEnd w:id="302"/>
      <w:r>
        <w:rPr>
          <w:rFonts w:hint="eastAsia"/>
          <w:color w:val="auto"/>
          <w:highlight w:val="none"/>
        </w:rPr>
        <w:t>承包人原因造成工期延误的，可以在专用合同条款中约定逾期中间交接或交工违约金的计算方法和逾期中间交接或交工违约金的上限。承包人支付逾期中间交接或交工违约金后，不免除承包人继续完成工程及修补缺陷的义务。</w:t>
      </w:r>
    </w:p>
    <w:p w14:paraId="1C013741">
      <w:pPr>
        <w:adjustRightInd w:val="0"/>
        <w:snapToGrid w:val="0"/>
        <w:ind w:firstLine="482" w:firstLineChars="200"/>
        <w:rPr>
          <w:b/>
          <w:color w:val="auto"/>
          <w:highlight w:val="none"/>
        </w:rPr>
      </w:pPr>
      <w:bookmarkStart w:id="303" w:name="_Toc400486402"/>
      <w:bookmarkStart w:id="304" w:name="_Toc399775155"/>
      <w:bookmarkStart w:id="305" w:name="_Toc351203548"/>
      <w:bookmarkStart w:id="306" w:name="_Toc400522410"/>
      <w:bookmarkStart w:id="307" w:name="_Toc400485429"/>
      <w:bookmarkStart w:id="308" w:name="_Toc399776222"/>
      <w:bookmarkStart w:id="309" w:name="_Toc399775775"/>
      <w:r>
        <w:rPr>
          <w:rFonts w:hint="eastAsia"/>
          <w:b/>
          <w:color w:val="auto"/>
          <w:highlight w:val="none"/>
        </w:rPr>
        <w:t>7</w:t>
      </w:r>
      <w:bookmarkStart w:id="310" w:name="_Toc296503074"/>
      <w:bookmarkStart w:id="311" w:name="_Toc296346575"/>
      <w:bookmarkStart w:id="312" w:name="_Toc337558773"/>
      <w:bookmarkStart w:id="313" w:name="_Toc296346578"/>
      <w:bookmarkStart w:id="314" w:name="_Toc296503077"/>
      <w:r>
        <w:rPr>
          <w:rFonts w:hint="eastAsia"/>
          <w:b/>
          <w:color w:val="auto"/>
          <w:highlight w:val="none"/>
        </w:rPr>
        <w:t>.6 不利物质条件</w:t>
      </w:r>
      <w:bookmarkEnd w:id="303"/>
      <w:bookmarkEnd w:id="304"/>
      <w:bookmarkEnd w:id="305"/>
      <w:bookmarkEnd w:id="306"/>
      <w:bookmarkEnd w:id="307"/>
      <w:bookmarkEnd w:id="308"/>
      <w:bookmarkEnd w:id="309"/>
    </w:p>
    <w:bookmarkEnd w:id="310"/>
    <w:bookmarkEnd w:id="311"/>
    <w:bookmarkEnd w:id="312"/>
    <w:p w14:paraId="16E1BB0B">
      <w:pPr>
        <w:adjustRightInd w:val="0"/>
        <w:snapToGrid w:val="0"/>
        <w:ind w:firstLine="480" w:firstLineChars="200"/>
        <w:rPr>
          <w:color w:val="auto"/>
          <w:highlight w:val="none"/>
        </w:rPr>
      </w:pPr>
      <w:r>
        <w:rPr>
          <w:rFonts w:hint="eastAsia"/>
          <w:color w:val="auto"/>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2FC432D">
      <w:pPr>
        <w:adjustRightInd w:val="0"/>
        <w:snapToGrid w:val="0"/>
        <w:ind w:firstLine="480" w:firstLineChars="200"/>
        <w:rPr>
          <w:color w:val="auto"/>
          <w:highlight w:val="none"/>
        </w:rPr>
      </w:pPr>
      <w:r>
        <w:rPr>
          <w:rFonts w:hint="eastAsia"/>
          <w:color w:val="auto"/>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约定执行。承包人因采取合理措施而增加的费用和（或）延误的工期由发包人承担。</w:t>
      </w:r>
    </w:p>
    <w:p w14:paraId="6CC72053">
      <w:pPr>
        <w:adjustRightInd w:val="0"/>
        <w:snapToGrid w:val="0"/>
        <w:ind w:firstLine="482" w:firstLineChars="200"/>
        <w:rPr>
          <w:b/>
          <w:color w:val="auto"/>
          <w:highlight w:val="none"/>
        </w:rPr>
      </w:pPr>
      <w:bookmarkStart w:id="315" w:name="_Toc400485430"/>
      <w:bookmarkStart w:id="316" w:name="_Toc351203549"/>
      <w:bookmarkStart w:id="317" w:name="_Toc399775776"/>
      <w:bookmarkStart w:id="318" w:name="_Toc399776223"/>
      <w:bookmarkStart w:id="319" w:name="_Toc400522411"/>
      <w:bookmarkStart w:id="320" w:name="_Toc400486403"/>
      <w:bookmarkStart w:id="321" w:name="_Toc399775156"/>
      <w:r>
        <w:rPr>
          <w:rFonts w:hint="eastAsia"/>
          <w:b/>
          <w:color w:val="auto"/>
          <w:highlight w:val="none"/>
        </w:rPr>
        <w:t>7</w:t>
      </w:r>
      <w:bookmarkStart w:id="322" w:name="_Toc296503075"/>
      <w:bookmarkStart w:id="323" w:name="_Toc337558774"/>
      <w:bookmarkStart w:id="324" w:name="_Toc296346576"/>
      <w:r>
        <w:rPr>
          <w:rFonts w:hint="eastAsia"/>
          <w:b/>
          <w:color w:val="auto"/>
          <w:highlight w:val="none"/>
        </w:rPr>
        <w:t>.7 异常恶劣的气候条件</w:t>
      </w:r>
      <w:bookmarkEnd w:id="315"/>
      <w:bookmarkEnd w:id="316"/>
      <w:bookmarkEnd w:id="317"/>
      <w:bookmarkEnd w:id="318"/>
      <w:bookmarkEnd w:id="319"/>
      <w:bookmarkEnd w:id="320"/>
      <w:bookmarkEnd w:id="321"/>
    </w:p>
    <w:bookmarkEnd w:id="322"/>
    <w:bookmarkEnd w:id="323"/>
    <w:bookmarkEnd w:id="324"/>
    <w:p w14:paraId="055CA28A">
      <w:pPr>
        <w:adjustRightInd w:val="0"/>
        <w:snapToGrid w:val="0"/>
        <w:ind w:firstLine="480" w:firstLineChars="200"/>
        <w:rPr>
          <w:color w:val="auto"/>
          <w:highlight w:val="none"/>
        </w:rPr>
      </w:pPr>
      <w:r>
        <w:rPr>
          <w:rFonts w:hint="eastAsia"/>
          <w:color w:val="auto"/>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81AD625">
      <w:pPr>
        <w:adjustRightInd w:val="0"/>
        <w:snapToGrid w:val="0"/>
        <w:ind w:firstLine="480" w:firstLineChars="200"/>
        <w:rPr>
          <w:color w:val="auto"/>
          <w:highlight w:val="none"/>
        </w:rPr>
      </w:pPr>
      <w:r>
        <w:rPr>
          <w:rFonts w:hint="eastAsia"/>
          <w:color w:val="auto"/>
          <w:highlight w:val="none"/>
        </w:rPr>
        <w:t>承包人应采取克服异常恶劣的气候条件的合理措施继续施工，并及时通知发包人和监理人。监理人经发包人同意后应当及时发出指示，指示构成变更的，按第10条约定办理。承包人因采取合理措施而增加的费用和（或）延误的工期由发包人承担。</w:t>
      </w:r>
      <w:bookmarkStart w:id="325" w:name="_Toc351203550"/>
    </w:p>
    <w:p w14:paraId="5E258982">
      <w:pPr>
        <w:adjustRightInd w:val="0"/>
        <w:snapToGrid w:val="0"/>
        <w:ind w:firstLine="482" w:firstLineChars="200"/>
        <w:rPr>
          <w:b/>
          <w:color w:val="auto"/>
          <w:highlight w:val="none"/>
        </w:rPr>
      </w:pPr>
      <w:r>
        <w:rPr>
          <w:rFonts w:hint="eastAsia"/>
          <w:b/>
          <w:color w:val="auto"/>
          <w:highlight w:val="none"/>
        </w:rPr>
        <w:t>7</w:t>
      </w:r>
      <w:bookmarkStart w:id="326" w:name="_Toc337558775"/>
      <w:r>
        <w:rPr>
          <w:rFonts w:hint="eastAsia"/>
          <w:b/>
          <w:color w:val="auto"/>
          <w:highlight w:val="none"/>
        </w:rPr>
        <w:t>.8 暂停施工</w:t>
      </w:r>
      <w:bookmarkEnd w:id="325"/>
    </w:p>
    <w:bookmarkEnd w:id="313"/>
    <w:bookmarkEnd w:id="314"/>
    <w:bookmarkEnd w:id="326"/>
    <w:p w14:paraId="3F50EBE5">
      <w:pPr>
        <w:adjustRightInd w:val="0"/>
        <w:snapToGrid w:val="0"/>
        <w:ind w:firstLine="480" w:firstLineChars="200"/>
        <w:rPr>
          <w:color w:val="auto"/>
          <w:highlight w:val="none"/>
        </w:rPr>
      </w:pPr>
      <w:r>
        <w:rPr>
          <w:rFonts w:hint="eastAsia"/>
          <w:color w:val="auto"/>
          <w:highlight w:val="none"/>
        </w:rPr>
        <w:t>7.8.1发包人引起的暂停施工</w:t>
      </w:r>
    </w:p>
    <w:p w14:paraId="0BC74D33">
      <w:pPr>
        <w:adjustRightInd w:val="0"/>
        <w:snapToGrid w:val="0"/>
        <w:ind w:firstLine="480" w:firstLineChars="200"/>
        <w:rPr>
          <w:color w:val="auto"/>
          <w:highlight w:val="none"/>
        </w:rPr>
      </w:pPr>
      <w:r>
        <w:rPr>
          <w:rFonts w:hint="eastAsia"/>
          <w:color w:val="auto"/>
          <w:highlight w:val="none"/>
        </w:rPr>
        <w:t>因发包人原因引起暂停施工的，监理人经发包人同意后，应及时下达暂停施工指示。情况紧急且监理人未及时下达暂停施工指示的，按照第7.8.4项执行。</w:t>
      </w:r>
    </w:p>
    <w:p w14:paraId="11D549D5">
      <w:pPr>
        <w:adjustRightInd w:val="0"/>
        <w:snapToGrid w:val="0"/>
        <w:ind w:firstLine="480" w:firstLineChars="200"/>
        <w:rPr>
          <w:color w:val="auto"/>
          <w:highlight w:val="none"/>
        </w:rPr>
      </w:pPr>
      <w:r>
        <w:rPr>
          <w:rFonts w:hint="eastAsia"/>
          <w:color w:val="auto"/>
          <w:highlight w:val="none"/>
        </w:rPr>
        <w:t>因发包人原因引起的暂停施工，导致工期延误和（或）费用增加的，按照第11.2.3项的规定执行。</w:t>
      </w:r>
    </w:p>
    <w:p w14:paraId="770221C3">
      <w:pPr>
        <w:adjustRightInd w:val="0"/>
        <w:snapToGrid w:val="0"/>
        <w:ind w:firstLine="480" w:firstLineChars="200"/>
        <w:rPr>
          <w:color w:val="auto"/>
          <w:highlight w:val="none"/>
        </w:rPr>
      </w:pPr>
      <w:r>
        <w:rPr>
          <w:rFonts w:hint="eastAsia"/>
          <w:color w:val="auto"/>
          <w:highlight w:val="none"/>
        </w:rPr>
        <w:t>7.8.2 承包人引起的暂停施工</w:t>
      </w:r>
    </w:p>
    <w:p w14:paraId="1F414AAD">
      <w:pPr>
        <w:adjustRightInd w:val="0"/>
        <w:snapToGrid w:val="0"/>
        <w:ind w:firstLine="480" w:firstLineChars="200"/>
        <w:rPr>
          <w:color w:val="auto"/>
          <w:highlight w:val="none"/>
        </w:rPr>
      </w:pPr>
      <w:r>
        <w:rPr>
          <w:rFonts w:hint="eastAsia"/>
          <w:color w:val="auto"/>
          <w:highlight w:val="none"/>
        </w:rPr>
        <w:t>因承包人原因引起的暂停施工，承包人应承担由此增加的费用和（或）延误的工期，且承包人在收到监理人复工指示后84天内仍未复工的，视为第16.2.1项第（7）目约定的承包人无法继续履行合同的情形。</w:t>
      </w:r>
    </w:p>
    <w:p w14:paraId="7702BAF0">
      <w:pPr>
        <w:adjustRightInd w:val="0"/>
        <w:snapToGrid w:val="0"/>
        <w:ind w:firstLine="480" w:firstLineChars="200"/>
        <w:rPr>
          <w:color w:val="auto"/>
          <w:highlight w:val="none"/>
        </w:rPr>
      </w:pPr>
      <w:r>
        <w:rPr>
          <w:rFonts w:hint="eastAsia"/>
          <w:color w:val="auto"/>
          <w:highlight w:val="none"/>
        </w:rPr>
        <w:t>7.8.3 指示暂停施工</w:t>
      </w:r>
    </w:p>
    <w:p w14:paraId="4D790F9E">
      <w:pPr>
        <w:adjustRightInd w:val="0"/>
        <w:snapToGrid w:val="0"/>
        <w:ind w:firstLine="480" w:firstLineChars="200"/>
        <w:rPr>
          <w:color w:val="auto"/>
          <w:highlight w:val="none"/>
        </w:rPr>
      </w:pPr>
      <w:r>
        <w:rPr>
          <w:rFonts w:hint="eastAsia"/>
          <w:color w:val="auto"/>
          <w:highlight w:val="none"/>
        </w:rPr>
        <w:t>监理人认为有必要时，并经发包人批准后，可向承包人作出暂停施工的指示，承包人应按监理人指示暂停施工。</w:t>
      </w:r>
    </w:p>
    <w:p w14:paraId="7BE92C5A">
      <w:pPr>
        <w:adjustRightInd w:val="0"/>
        <w:snapToGrid w:val="0"/>
        <w:ind w:firstLine="480" w:firstLineChars="200"/>
        <w:rPr>
          <w:color w:val="auto"/>
          <w:highlight w:val="none"/>
        </w:rPr>
      </w:pPr>
      <w:r>
        <w:rPr>
          <w:rFonts w:hint="eastAsia"/>
          <w:color w:val="auto"/>
          <w:highlight w:val="none"/>
        </w:rPr>
        <w:t>7.8.4 紧急情况下的暂停施工</w:t>
      </w:r>
    </w:p>
    <w:p w14:paraId="30F3EFD2">
      <w:pPr>
        <w:adjustRightInd w:val="0"/>
        <w:snapToGrid w:val="0"/>
        <w:ind w:firstLine="480" w:firstLineChars="200"/>
        <w:rPr>
          <w:color w:val="auto"/>
          <w:highlight w:val="none"/>
        </w:rPr>
      </w:pPr>
      <w:r>
        <w:rPr>
          <w:rFonts w:hint="eastAsia"/>
          <w:color w:val="auto"/>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约定处理。</w:t>
      </w:r>
    </w:p>
    <w:p w14:paraId="023490C7">
      <w:pPr>
        <w:adjustRightInd w:val="0"/>
        <w:snapToGrid w:val="0"/>
        <w:ind w:firstLine="480" w:firstLineChars="200"/>
        <w:rPr>
          <w:color w:val="auto"/>
          <w:highlight w:val="none"/>
        </w:rPr>
      </w:pPr>
      <w:r>
        <w:rPr>
          <w:rFonts w:hint="eastAsia"/>
          <w:color w:val="auto"/>
          <w:highlight w:val="none"/>
        </w:rPr>
        <w:t>7.8.5 暂停施工后的复工</w:t>
      </w:r>
    </w:p>
    <w:p w14:paraId="0346A881">
      <w:pPr>
        <w:adjustRightInd w:val="0"/>
        <w:snapToGrid w:val="0"/>
        <w:ind w:firstLine="480" w:firstLineChars="200"/>
        <w:rPr>
          <w:color w:val="auto"/>
          <w:highlight w:val="none"/>
        </w:rPr>
      </w:pPr>
      <w:r>
        <w:rPr>
          <w:rFonts w:hint="eastAsia"/>
          <w:color w:val="auto"/>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3565F82">
      <w:pPr>
        <w:adjustRightInd w:val="0"/>
        <w:snapToGrid w:val="0"/>
        <w:ind w:firstLine="480" w:firstLineChars="200"/>
        <w:rPr>
          <w:color w:val="auto"/>
          <w:highlight w:val="none"/>
        </w:rPr>
      </w:pPr>
      <w:r>
        <w:rPr>
          <w:rFonts w:hint="eastAsia"/>
          <w:color w:val="auto"/>
          <w:highlight w:val="none"/>
        </w:rPr>
        <w:t>承包人无故拖延和拒绝复工的，承包人承担由此增加的费用和（或）延误的工期；因发包人原因无法按时复工的，按照第7.5.1项约定办理。</w:t>
      </w:r>
    </w:p>
    <w:p w14:paraId="42852EBC">
      <w:pPr>
        <w:adjustRightInd w:val="0"/>
        <w:snapToGrid w:val="0"/>
        <w:ind w:firstLine="480" w:firstLineChars="200"/>
        <w:rPr>
          <w:color w:val="auto"/>
          <w:highlight w:val="none"/>
        </w:rPr>
      </w:pPr>
      <w:r>
        <w:rPr>
          <w:rFonts w:hint="eastAsia"/>
          <w:color w:val="auto"/>
          <w:highlight w:val="none"/>
        </w:rPr>
        <w:t>7.8.6 暂停施工持续56天以上</w:t>
      </w:r>
    </w:p>
    <w:p w14:paraId="3EC7C102">
      <w:pPr>
        <w:adjustRightInd w:val="0"/>
        <w:snapToGrid w:val="0"/>
        <w:ind w:firstLine="480" w:firstLineChars="200"/>
        <w:rPr>
          <w:color w:val="auto"/>
          <w:highlight w:val="none"/>
        </w:rPr>
      </w:pPr>
      <w:r>
        <w:rPr>
          <w:rFonts w:hint="eastAsia"/>
          <w:color w:val="auto"/>
          <w:highlight w:val="none"/>
        </w:rPr>
        <w:t>监理人发出暂停施工指示后56天内未向承包人发出复工通知，除该项停工属于第7.8.2项及第17条约定的情形外，承包人可向发包人提交书面通知，要求发包人在收到书面通知后28天内准许已暂停施工的部分或全部工程继续施工。发包人逾期不予批准的，则承包人可以通知发包人，将工程受影响的部分视为按第10.1款第（2）项的可取消工作。</w:t>
      </w:r>
    </w:p>
    <w:p w14:paraId="313848BD">
      <w:pPr>
        <w:adjustRightInd w:val="0"/>
        <w:snapToGrid w:val="0"/>
        <w:ind w:firstLine="480" w:firstLineChars="200"/>
        <w:rPr>
          <w:color w:val="auto"/>
          <w:highlight w:val="none"/>
        </w:rPr>
      </w:pPr>
      <w:r>
        <w:rPr>
          <w:rFonts w:hint="eastAsia"/>
          <w:color w:val="auto"/>
          <w:highlight w:val="none"/>
        </w:rPr>
        <w:t>暂停施工持续84天以上不复工的，且不属于第7.8.2项及第17条约定的情形，并影响到整个工程以及合同目的实现的，承包人有权提出价款调整要求，或者解除合同。解除合同的，按照第16.1.3项执行。</w:t>
      </w:r>
    </w:p>
    <w:p w14:paraId="0AC32D48">
      <w:pPr>
        <w:adjustRightInd w:val="0"/>
        <w:snapToGrid w:val="0"/>
        <w:ind w:firstLine="480" w:firstLineChars="200"/>
        <w:rPr>
          <w:color w:val="auto"/>
          <w:highlight w:val="none"/>
        </w:rPr>
      </w:pPr>
      <w:r>
        <w:rPr>
          <w:rFonts w:hint="eastAsia"/>
          <w:color w:val="auto"/>
          <w:highlight w:val="none"/>
        </w:rPr>
        <w:t>7.8.7 暂停施工期间的工程照管</w:t>
      </w:r>
    </w:p>
    <w:p w14:paraId="7A6CE30F">
      <w:pPr>
        <w:adjustRightInd w:val="0"/>
        <w:snapToGrid w:val="0"/>
        <w:ind w:firstLine="480" w:firstLineChars="200"/>
        <w:rPr>
          <w:color w:val="auto"/>
          <w:highlight w:val="none"/>
        </w:rPr>
      </w:pPr>
      <w:r>
        <w:rPr>
          <w:rFonts w:hint="eastAsia"/>
          <w:color w:val="auto"/>
          <w:highlight w:val="none"/>
        </w:rPr>
        <w:t>暂停施工期间，承包人应负责妥善照管工程并提供安全保障，由此增加的费用由责任方承担。</w:t>
      </w:r>
    </w:p>
    <w:p w14:paraId="3EFA57F8">
      <w:pPr>
        <w:adjustRightInd w:val="0"/>
        <w:snapToGrid w:val="0"/>
        <w:ind w:firstLine="480" w:firstLineChars="200"/>
        <w:rPr>
          <w:color w:val="auto"/>
          <w:highlight w:val="none"/>
        </w:rPr>
      </w:pPr>
      <w:r>
        <w:rPr>
          <w:rFonts w:hint="eastAsia"/>
          <w:color w:val="auto"/>
          <w:highlight w:val="none"/>
        </w:rPr>
        <w:t>7.8.8 暂停施工的措施</w:t>
      </w:r>
    </w:p>
    <w:p w14:paraId="2B18F7A2">
      <w:pPr>
        <w:adjustRightInd w:val="0"/>
        <w:snapToGrid w:val="0"/>
        <w:ind w:firstLine="480" w:firstLineChars="200"/>
        <w:rPr>
          <w:color w:val="auto"/>
          <w:highlight w:val="none"/>
        </w:rPr>
      </w:pPr>
      <w:r>
        <w:rPr>
          <w:rFonts w:hint="eastAsia"/>
          <w:color w:val="auto"/>
          <w:highlight w:val="none"/>
        </w:rPr>
        <w:t>暂停施工期间，发包人和承包人均应采取必要的措施确保工程质量及安全，防止因暂停施工扩大损失。</w:t>
      </w:r>
    </w:p>
    <w:p w14:paraId="572D0A11">
      <w:pPr>
        <w:keepNext/>
        <w:keepLines/>
        <w:adjustRightInd w:val="0"/>
        <w:snapToGrid w:val="0"/>
        <w:outlineLvl w:val="1"/>
        <w:rPr>
          <w:rFonts w:ascii="Arial"/>
          <w:b/>
          <w:bCs/>
          <w:color w:val="auto"/>
          <w:highlight w:val="none"/>
        </w:rPr>
      </w:pPr>
      <w:bookmarkStart w:id="327" w:name="_Toc399775158"/>
      <w:bookmarkStart w:id="328" w:name="_Toc81225277"/>
      <w:bookmarkStart w:id="329" w:name="_Toc256000063"/>
      <w:bookmarkStart w:id="330" w:name="_Toc399776225"/>
      <w:bookmarkStart w:id="331" w:name="_Toc99782817"/>
      <w:bookmarkStart w:id="332" w:name="_Toc400522413"/>
      <w:bookmarkStart w:id="333" w:name="_Toc91660609"/>
      <w:bookmarkStart w:id="334" w:name="_Toc119953730"/>
      <w:bookmarkStart w:id="335" w:name="_Toc400486405"/>
      <w:bookmarkStart w:id="336" w:name="_Toc399775778"/>
      <w:bookmarkStart w:id="337" w:name="_Toc400485432"/>
      <w:bookmarkStart w:id="338" w:name="_Toc25959"/>
      <w:bookmarkStart w:id="339" w:name="_Toc351203552"/>
      <w:bookmarkStart w:id="340" w:name="_Toc117018794"/>
      <w:bookmarkStart w:id="341" w:name="_Toc351203553"/>
      <w:r>
        <w:rPr>
          <w:rFonts w:ascii="Arial"/>
          <w:b/>
          <w:bCs/>
          <w:color w:val="auto"/>
          <w:highlight w:val="none"/>
        </w:rPr>
        <w:t>8</w:t>
      </w:r>
      <w:bookmarkStart w:id="342" w:name="_Toc296346559"/>
      <w:bookmarkStart w:id="343" w:name="_Toc337558776"/>
      <w:bookmarkStart w:id="344" w:name="_Toc296503058"/>
      <w:r>
        <w:rPr>
          <w:rFonts w:ascii="Arial"/>
          <w:b/>
          <w:bCs/>
          <w:color w:val="auto"/>
          <w:highlight w:val="none"/>
        </w:rPr>
        <w:t xml:space="preserve">. </w:t>
      </w:r>
      <w:r>
        <w:rPr>
          <w:rFonts w:hint="eastAsia" w:ascii="Arial"/>
          <w:b/>
          <w:bCs/>
          <w:color w:val="auto"/>
          <w:highlight w:val="none"/>
        </w:rPr>
        <w:t>材料与设备</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bookmarkEnd w:id="342"/>
    <w:bookmarkEnd w:id="343"/>
    <w:bookmarkEnd w:id="344"/>
    <w:p w14:paraId="46DBA12B">
      <w:pPr>
        <w:adjustRightInd w:val="0"/>
        <w:snapToGrid w:val="0"/>
        <w:ind w:firstLine="482" w:firstLineChars="200"/>
        <w:rPr>
          <w:b/>
          <w:color w:val="auto"/>
          <w:highlight w:val="none"/>
        </w:rPr>
      </w:pPr>
      <w:bookmarkStart w:id="345" w:name="_Toc399776226"/>
      <w:bookmarkStart w:id="346" w:name="_Toc400485433"/>
      <w:bookmarkStart w:id="347" w:name="_Toc400522414"/>
      <w:bookmarkStart w:id="348" w:name="_Toc399775779"/>
      <w:bookmarkStart w:id="349" w:name="_Toc399775159"/>
      <w:bookmarkStart w:id="350" w:name="_Toc400486406"/>
      <w:r>
        <w:rPr>
          <w:rFonts w:hint="eastAsia"/>
          <w:b/>
          <w:color w:val="auto"/>
          <w:highlight w:val="none"/>
        </w:rPr>
        <w:t>8</w:t>
      </w:r>
      <w:bookmarkStart w:id="351" w:name="_Toc296503059"/>
      <w:bookmarkStart w:id="352" w:name="_Toc337558777"/>
      <w:bookmarkStart w:id="353" w:name="_Toc296346560"/>
      <w:bookmarkStart w:id="354" w:name="_Toc468936960"/>
      <w:r>
        <w:rPr>
          <w:rFonts w:hint="eastAsia"/>
          <w:b/>
          <w:color w:val="auto"/>
          <w:highlight w:val="none"/>
        </w:rPr>
        <w:t>.1 发包人供应材料与工程设备</w:t>
      </w:r>
      <w:bookmarkEnd w:id="341"/>
      <w:bookmarkEnd w:id="345"/>
      <w:bookmarkEnd w:id="346"/>
      <w:bookmarkEnd w:id="347"/>
      <w:bookmarkEnd w:id="348"/>
      <w:bookmarkEnd w:id="349"/>
      <w:bookmarkEnd w:id="350"/>
    </w:p>
    <w:bookmarkEnd w:id="351"/>
    <w:bookmarkEnd w:id="352"/>
    <w:bookmarkEnd w:id="353"/>
    <w:p w14:paraId="36995251">
      <w:pPr>
        <w:adjustRightInd w:val="0"/>
        <w:snapToGrid w:val="0"/>
        <w:ind w:firstLine="480" w:firstLineChars="200"/>
        <w:rPr>
          <w:color w:val="auto"/>
          <w:highlight w:val="none"/>
        </w:rPr>
      </w:pPr>
      <w:r>
        <w:rPr>
          <w:rFonts w:hint="eastAsia"/>
          <w:color w:val="auto"/>
          <w:highlight w:val="none"/>
        </w:rPr>
        <w:t>8.1.1承包人应根据合同进度计划的安排，向监理人报送发包人供应材料、工程设备的交货日期计划，监理人报送发包人审定。</w:t>
      </w:r>
    </w:p>
    <w:p w14:paraId="38B728F5">
      <w:pPr>
        <w:adjustRightInd w:val="0"/>
        <w:snapToGrid w:val="0"/>
        <w:ind w:firstLine="480" w:firstLineChars="200"/>
        <w:rPr>
          <w:color w:val="auto"/>
          <w:highlight w:val="none"/>
        </w:rPr>
      </w:pPr>
      <w:r>
        <w:rPr>
          <w:rFonts w:hint="eastAsia"/>
          <w:color w:val="auto"/>
          <w:highlight w:val="none"/>
        </w:rPr>
        <w:t>8.1.2 发包人应在材料和工程设备到货7天前通知承包人，承包人应会同监理人在约定的时间内，赴交货地点共同进行验收。除专用合同条款另有约定外，发包人提供的材料和工程设备直接送达现场或承包人仓库的由承包人负责卸车、接收和保管，发包人提供的材料和工程设备直接送达发包人仓库的，承包人负责领料、装车、运输和领料后的保管,相关费用已含在签约合同价款中。</w:t>
      </w:r>
    </w:p>
    <w:p w14:paraId="5E75A583">
      <w:pPr>
        <w:adjustRightInd w:val="0"/>
        <w:snapToGrid w:val="0"/>
        <w:ind w:firstLine="480" w:firstLineChars="200"/>
        <w:rPr>
          <w:color w:val="auto"/>
          <w:highlight w:val="none"/>
        </w:rPr>
      </w:pPr>
      <w:r>
        <w:rPr>
          <w:rFonts w:hint="eastAsia"/>
          <w:color w:val="auto"/>
          <w:highlight w:val="none"/>
        </w:rPr>
        <w:t>8.1.3 发包人要求向承包人提前交货的，承包人不得拒绝，但发包人应承担承包人由此增加的费用。</w:t>
      </w:r>
    </w:p>
    <w:p w14:paraId="10F98629">
      <w:pPr>
        <w:adjustRightInd w:val="0"/>
        <w:snapToGrid w:val="0"/>
        <w:ind w:firstLine="480" w:firstLineChars="200"/>
        <w:rPr>
          <w:color w:val="auto"/>
          <w:highlight w:val="none"/>
        </w:rPr>
      </w:pPr>
      <w:r>
        <w:rPr>
          <w:rFonts w:hint="eastAsia"/>
          <w:color w:val="auto"/>
          <w:highlight w:val="none"/>
        </w:rPr>
        <w:t>8.1.4 承包人要求更改交货日期或地点的，应事先报请监理人批准。由于承包人要求更改交货时间或地点所增加的费用和（或）工期延误由承包人承担。</w:t>
      </w:r>
    </w:p>
    <w:p w14:paraId="7DA513F9">
      <w:pPr>
        <w:adjustRightInd w:val="0"/>
        <w:snapToGrid w:val="0"/>
        <w:ind w:firstLine="480" w:firstLineChars="200"/>
        <w:rPr>
          <w:color w:val="auto"/>
          <w:highlight w:val="none"/>
        </w:rPr>
      </w:pPr>
      <w:r>
        <w:rPr>
          <w:rFonts w:hint="eastAsia"/>
          <w:color w:val="auto"/>
          <w:highlight w:val="none"/>
        </w:rPr>
        <w:t>8.1.5 发包人提供的材料和工程设备的规格、数量或质量不符合合同要求，或由于发包人原因发生交货日期延误及交货地点变更等情况的，除专用合同条款另有约定外,发包人应承担由此增加的费用和（或）工期延误，并向承包人支付合理利润。</w:t>
      </w:r>
    </w:p>
    <w:p w14:paraId="7719353B">
      <w:pPr>
        <w:adjustRightInd w:val="0"/>
        <w:snapToGrid w:val="0"/>
        <w:ind w:firstLine="480" w:firstLineChars="200"/>
        <w:rPr>
          <w:color w:val="auto"/>
          <w:highlight w:val="none"/>
        </w:rPr>
      </w:pPr>
      <w:r>
        <w:rPr>
          <w:rFonts w:hint="eastAsia"/>
          <w:color w:val="auto"/>
          <w:highlight w:val="none"/>
        </w:rPr>
        <w:t>8.1.6发包人提供的材料和工程设备见合同附件4。</w:t>
      </w:r>
    </w:p>
    <w:p w14:paraId="74961D15">
      <w:pPr>
        <w:adjustRightInd w:val="0"/>
        <w:snapToGrid w:val="0"/>
        <w:ind w:firstLine="482" w:firstLineChars="200"/>
        <w:rPr>
          <w:b/>
          <w:color w:val="auto"/>
          <w:highlight w:val="none"/>
        </w:rPr>
      </w:pPr>
      <w:bookmarkStart w:id="355" w:name="_Toc399776227"/>
      <w:bookmarkStart w:id="356" w:name="_Toc351203554"/>
      <w:bookmarkStart w:id="357" w:name="_Toc400486407"/>
      <w:bookmarkStart w:id="358" w:name="_Toc399775780"/>
      <w:bookmarkStart w:id="359" w:name="_Toc400485434"/>
      <w:bookmarkStart w:id="360" w:name="_Toc400522415"/>
      <w:bookmarkStart w:id="361" w:name="_Toc399775160"/>
      <w:r>
        <w:rPr>
          <w:rFonts w:hint="eastAsia"/>
          <w:b/>
          <w:color w:val="auto"/>
          <w:highlight w:val="none"/>
        </w:rPr>
        <w:t>8</w:t>
      </w:r>
      <w:bookmarkStart w:id="362" w:name="_Toc296346561"/>
      <w:bookmarkStart w:id="363" w:name="_Toc337558778"/>
      <w:bookmarkStart w:id="364" w:name="_Toc296503060"/>
      <w:r>
        <w:rPr>
          <w:rFonts w:hint="eastAsia"/>
          <w:b/>
          <w:color w:val="auto"/>
          <w:highlight w:val="none"/>
        </w:rPr>
        <w:t>.2 承包人采购材料与工程设备</w:t>
      </w:r>
      <w:bookmarkEnd w:id="355"/>
      <w:bookmarkEnd w:id="356"/>
      <w:bookmarkEnd w:id="357"/>
      <w:bookmarkEnd w:id="358"/>
      <w:bookmarkEnd w:id="359"/>
      <w:bookmarkEnd w:id="360"/>
      <w:bookmarkEnd w:id="361"/>
    </w:p>
    <w:bookmarkEnd w:id="362"/>
    <w:bookmarkEnd w:id="363"/>
    <w:bookmarkEnd w:id="364"/>
    <w:p w14:paraId="39E71F62">
      <w:pPr>
        <w:adjustRightInd w:val="0"/>
        <w:snapToGrid w:val="0"/>
        <w:ind w:firstLine="480" w:firstLineChars="200"/>
        <w:rPr>
          <w:color w:val="auto"/>
          <w:highlight w:val="none"/>
        </w:rPr>
      </w:pPr>
      <w:r>
        <w:rPr>
          <w:rFonts w:hint="eastAsia"/>
          <w:color w:val="auto"/>
          <w:highlight w:val="none"/>
        </w:rPr>
        <w:t>8.2.1承包人负责采购的材料、工程设备，应按照设计和有关标准要求采购，并提供产品合格证明及出厂证明，对材料、工程设备质量负责。承包人负责采购的材料、工程设备供应厂家的确定必须事先得到发包人认可。合同约定由承包人采购的材料、工程设备，发包人不得指定生产厂家或供应商，发包人违反本款约定指定生产厂家或供应商的，承包人有权拒绝，并由发包人承担相应责任。</w:t>
      </w:r>
    </w:p>
    <w:p w14:paraId="2AA8CB73">
      <w:pPr>
        <w:adjustRightInd w:val="0"/>
        <w:snapToGrid w:val="0"/>
        <w:ind w:firstLine="480" w:firstLineChars="200"/>
        <w:rPr>
          <w:color w:val="auto"/>
          <w:highlight w:val="none"/>
        </w:rPr>
      </w:pPr>
      <w:r>
        <w:rPr>
          <w:rFonts w:hint="eastAsia"/>
          <w:color w:val="auto"/>
          <w:highlight w:val="none"/>
        </w:rPr>
        <w:t>8.2.2承包人应保证采购的材料、工程设备，完全符合合同规定的质量、规格和性能的要求，没有设计、材料或工艺的缺陷，是原厂生产的、全新的、成熟可靠的、未使用过的材料、工程设备（包括零部件），并具备下列条件：</w:t>
      </w:r>
    </w:p>
    <w:p w14:paraId="3B2A52BA">
      <w:pPr>
        <w:adjustRightInd w:val="0"/>
        <w:snapToGrid w:val="0"/>
        <w:ind w:firstLine="480" w:firstLineChars="200"/>
        <w:rPr>
          <w:color w:val="auto"/>
          <w:highlight w:val="none"/>
        </w:rPr>
      </w:pPr>
      <w:r>
        <w:rPr>
          <w:rFonts w:hint="eastAsia"/>
          <w:color w:val="auto"/>
          <w:highlight w:val="none"/>
        </w:rPr>
        <w:t>(1) 有产品名称、生产厂厂名、厂址和产地；</w:t>
      </w:r>
    </w:p>
    <w:p w14:paraId="0BEB7FC4">
      <w:pPr>
        <w:adjustRightInd w:val="0"/>
        <w:snapToGrid w:val="0"/>
        <w:ind w:firstLine="480" w:firstLineChars="200"/>
        <w:rPr>
          <w:color w:val="auto"/>
          <w:highlight w:val="none"/>
        </w:rPr>
      </w:pPr>
      <w:r>
        <w:rPr>
          <w:rFonts w:hint="eastAsia"/>
          <w:color w:val="auto"/>
          <w:highlight w:val="none"/>
        </w:rPr>
        <w:t>(2) 有产品质量合格证和检验、试验报告及质量保证书；</w:t>
      </w:r>
    </w:p>
    <w:p w14:paraId="3C935FED">
      <w:pPr>
        <w:adjustRightInd w:val="0"/>
        <w:snapToGrid w:val="0"/>
        <w:ind w:firstLine="480" w:firstLineChars="200"/>
        <w:rPr>
          <w:color w:val="auto"/>
          <w:highlight w:val="none"/>
        </w:rPr>
      </w:pPr>
      <w:r>
        <w:rPr>
          <w:rFonts w:hint="eastAsia"/>
          <w:color w:val="auto"/>
          <w:highlight w:val="none"/>
        </w:rPr>
        <w:t>(3) 产品包装和商标式样符合有关规定和标准要求；</w:t>
      </w:r>
    </w:p>
    <w:p w14:paraId="6968A066">
      <w:pPr>
        <w:adjustRightInd w:val="0"/>
        <w:snapToGrid w:val="0"/>
        <w:ind w:firstLine="480" w:firstLineChars="200"/>
        <w:rPr>
          <w:color w:val="auto"/>
          <w:highlight w:val="none"/>
        </w:rPr>
      </w:pPr>
      <w:r>
        <w:rPr>
          <w:rFonts w:hint="eastAsia"/>
          <w:color w:val="auto"/>
          <w:highlight w:val="none"/>
        </w:rPr>
        <w:t>(4) 实施生产许可、准用管理或者实行质量认证的产品，应当具有相应的许可证、准用证或者认证证书。</w:t>
      </w:r>
    </w:p>
    <w:p w14:paraId="0F159609">
      <w:pPr>
        <w:adjustRightInd w:val="0"/>
        <w:snapToGrid w:val="0"/>
        <w:ind w:firstLine="480" w:firstLineChars="200"/>
        <w:rPr>
          <w:color w:val="auto"/>
          <w:highlight w:val="none"/>
        </w:rPr>
      </w:pPr>
      <w:r>
        <w:rPr>
          <w:rFonts w:hint="eastAsia"/>
          <w:color w:val="auto"/>
          <w:highlight w:val="none"/>
        </w:rPr>
        <w:t>若证明不全，需作补充试验的，其费用由承包人承担。</w:t>
      </w:r>
    </w:p>
    <w:p w14:paraId="4436ACF7">
      <w:pPr>
        <w:adjustRightInd w:val="0"/>
        <w:snapToGrid w:val="0"/>
        <w:ind w:firstLine="480" w:firstLineChars="200"/>
        <w:rPr>
          <w:color w:val="auto"/>
          <w:highlight w:val="none"/>
        </w:rPr>
      </w:pPr>
      <w:r>
        <w:rPr>
          <w:rFonts w:hint="eastAsia"/>
          <w:color w:val="auto"/>
          <w:highlight w:val="none"/>
        </w:rPr>
        <w:t>8.2.3承包人提供的材料和工程设备见合同附件5。</w:t>
      </w:r>
    </w:p>
    <w:p w14:paraId="49EE0C83">
      <w:pPr>
        <w:adjustRightInd w:val="0"/>
        <w:snapToGrid w:val="0"/>
        <w:ind w:firstLine="482" w:firstLineChars="200"/>
        <w:rPr>
          <w:b/>
          <w:color w:val="auto"/>
          <w:highlight w:val="none"/>
        </w:rPr>
      </w:pPr>
      <w:bookmarkStart w:id="365" w:name="_Toc399775161"/>
      <w:bookmarkStart w:id="366" w:name="_Toc400486408"/>
      <w:bookmarkStart w:id="367" w:name="_Toc399776228"/>
      <w:bookmarkStart w:id="368" w:name="_Toc400522416"/>
      <w:bookmarkStart w:id="369" w:name="_Toc351203555"/>
      <w:bookmarkStart w:id="370" w:name="_Toc399775781"/>
      <w:bookmarkStart w:id="371" w:name="_Toc400485435"/>
      <w:r>
        <w:rPr>
          <w:rFonts w:hint="eastAsia"/>
          <w:b/>
          <w:color w:val="auto"/>
          <w:highlight w:val="none"/>
        </w:rPr>
        <w:t>8</w:t>
      </w:r>
      <w:bookmarkStart w:id="372" w:name="_Toc337558779"/>
      <w:bookmarkStart w:id="373" w:name="_Toc296346562"/>
      <w:bookmarkStart w:id="374" w:name="_Toc296503061"/>
      <w:r>
        <w:rPr>
          <w:rFonts w:hint="eastAsia"/>
          <w:b/>
          <w:color w:val="auto"/>
          <w:highlight w:val="none"/>
        </w:rPr>
        <w:t>.3 材料与工程设备的接收与拒收</w:t>
      </w:r>
      <w:bookmarkEnd w:id="365"/>
      <w:bookmarkEnd w:id="366"/>
      <w:bookmarkEnd w:id="367"/>
      <w:bookmarkEnd w:id="368"/>
      <w:bookmarkEnd w:id="369"/>
      <w:bookmarkEnd w:id="370"/>
      <w:bookmarkEnd w:id="371"/>
    </w:p>
    <w:bookmarkEnd w:id="372"/>
    <w:bookmarkEnd w:id="373"/>
    <w:bookmarkEnd w:id="374"/>
    <w:p w14:paraId="1531AC49">
      <w:pPr>
        <w:adjustRightInd w:val="0"/>
        <w:snapToGrid w:val="0"/>
        <w:ind w:firstLine="480" w:firstLineChars="200"/>
        <w:rPr>
          <w:color w:val="auto"/>
          <w:highlight w:val="none"/>
        </w:rPr>
      </w:pPr>
      <w:r>
        <w:rPr>
          <w:rFonts w:hint="eastAsia"/>
          <w:color w:val="auto"/>
          <w:highlight w:val="none"/>
        </w:rPr>
        <w:t>8.3.1 发包人应按本合同附件《</w:t>
      </w:r>
      <w:r>
        <w:rPr>
          <w:rFonts w:hint="eastAsia" w:cs="Arial"/>
          <w:color w:val="auto"/>
          <w:highlight w:val="none"/>
        </w:rPr>
        <w:t>发包人提供的材料和设备一览表</w:t>
      </w:r>
      <w:r>
        <w:rPr>
          <w:rFonts w:hint="eastAsia"/>
          <w:color w:val="auto"/>
          <w:highlight w:val="none"/>
        </w:rPr>
        <w:t>》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7FFDBA6">
      <w:pPr>
        <w:adjustRightInd w:val="0"/>
        <w:snapToGrid w:val="0"/>
        <w:ind w:firstLine="480" w:firstLineChars="200"/>
        <w:rPr>
          <w:rFonts w:eastAsia="仿宋_GB2312"/>
          <w:color w:val="auto"/>
          <w:highlight w:val="none"/>
        </w:rPr>
      </w:pPr>
      <w:r>
        <w:rPr>
          <w:rFonts w:hint="eastAsia"/>
          <w:color w:val="auto"/>
          <w:highlight w:val="none"/>
        </w:rPr>
        <w:t>发包人提供的材料和工程设备的规格、数量或质量不符合合同约定的，或因发包人原因导致交货日期延误或交货地点变更等情况的，按照第16.1款约定办理。</w:t>
      </w:r>
    </w:p>
    <w:p w14:paraId="661DBA52">
      <w:pPr>
        <w:adjustRightInd w:val="0"/>
        <w:snapToGrid w:val="0"/>
        <w:ind w:firstLine="480" w:firstLineChars="200"/>
        <w:rPr>
          <w:color w:val="auto"/>
          <w:highlight w:val="none"/>
        </w:rPr>
      </w:pPr>
      <w:r>
        <w:rPr>
          <w:rFonts w:hint="eastAsia"/>
          <w:color w:val="auto"/>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6ED6F62A">
      <w:pPr>
        <w:adjustRightInd w:val="0"/>
        <w:snapToGrid w:val="0"/>
        <w:ind w:firstLine="480" w:firstLineChars="200"/>
        <w:rPr>
          <w:color w:val="auto"/>
          <w:highlight w:val="none"/>
        </w:rPr>
      </w:pPr>
      <w:r>
        <w:rPr>
          <w:rFonts w:hint="eastAsia"/>
          <w:color w:val="auto"/>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260116A">
      <w:pPr>
        <w:adjustRightInd w:val="0"/>
        <w:snapToGrid w:val="0"/>
        <w:ind w:firstLine="482" w:firstLineChars="200"/>
        <w:rPr>
          <w:b/>
          <w:color w:val="auto"/>
          <w:highlight w:val="none"/>
        </w:rPr>
      </w:pPr>
      <w:bookmarkStart w:id="375" w:name="_Toc400486409"/>
      <w:bookmarkStart w:id="376" w:name="_Toc400485436"/>
      <w:bookmarkStart w:id="377" w:name="_Toc399775162"/>
      <w:bookmarkStart w:id="378" w:name="_Toc399776229"/>
      <w:bookmarkStart w:id="379" w:name="_Toc400522417"/>
      <w:bookmarkStart w:id="380" w:name="_Toc351203556"/>
      <w:bookmarkStart w:id="381" w:name="_Toc399775782"/>
      <w:r>
        <w:rPr>
          <w:rFonts w:hint="eastAsia"/>
          <w:b/>
          <w:color w:val="auto"/>
          <w:highlight w:val="none"/>
        </w:rPr>
        <w:t>8</w:t>
      </w:r>
      <w:bookmarkStart w:id="382" w:name="_Toc296346563"/>
      <w:bookmarkStart w:id="383" w:name="_Toc337558780"/>
      <w:bookmarkStart w:id="384" w:name="_Toc296503062"/>
      <w:r>
        <w:rPr>
          <w:rFonts w:hint="eastAsia"/>
          <w:b/>
          <w:color w:val="auto"/>
          <w:highlight w:val="none"/>
        </w:rPr>
        <w:t>.4 材料与工程设备的保管与使用</w:t>
      </w:r>
      <w:bookmarkEnd w:id="375"/>
      <w:bookmarkEnd w:id="376"/>
      <w:bookmarkEnd w:id="377"/>
      <w:bookmarkEnd w:id="378"/>
      <w:bookmarkEnd w:id="379"/>
      <w:bookmarkEnd w:id="380"/>
      <w:bookmarkEnd w:id="381"/>
    </w:p>
    <w:bookmarkEnd w:id="382"/>
    <w:bookmarkEnd w:id="383"/>
    <w:bookmarkEnd w:id="384"/>
    <w:p w14:paraId="038D196E">
      <w:pPr>
        <w:adjustRightInd w:val="0"/>
        <w:snapToGrid w:val="0"/>
        <w:ind w:firstLine="480" w:firstLineChars="200"/>
        <w:rPr>
          <w:color w:val="auto"/>
          <w:highlight w:val="none"/>
        </w:rPr>
      </w:pPr>
      <w:r>
        <w:rPr>
          <w:rFonts w:hint="eastAsia"/>
          <w:color w:val="auto"/>
          <w:highlight w:val="none"/>
        </w:rPr>
        <w:t>8.4.1 发包人供应材料与工程设备的保管与使用</w:t>
      </w:r>
    </w:p>
    <w:p w14:paraId="3AA4DA6E">
      <w:pPr>
        <w:adjustRightInd w:val="0"/>
        <w:snapToGrid w:val="0"/>
        <w:ind w:firstLine="480" w:firstLineChars="200"/>
        <w:rPr>
          <w:color w:val="auto"/>
          <w:highlight w:val="none"/>
        </w:rPr>
      </w:pPr>
      <w:r>
        <w:rPr>
          <w:rFonts w:hint="eastAsia"/>
          <w:color w:val="auto"/>
          <w:highlight w:val="none"/>
        </w:rPr>
        <w:t>发包人供应的材料和工程设备，承包人清点后由承包人妥善保管。因承包人原因发生丢失毁损的，由承包人负责赔偿；监理人未通知承包人清点的，承包人不负责材料和工程设备的保管，由此导致丢失毁损的由发包人负责。</w:t>
      </w:r>
    </w:p>
    <w:p w14:paraId="64FC4E12">
      <w:pPr>
        <w:adjustRightInd w:val="0"/>
        <w:snapToGrid w:val="0"/>
        <w:ind w:firstLine="480" w:firstLineChars="200"/>
        <w:rPr>
          <w:color w:val="auto"/>
          <w:highlight w:val="none"/>
        </w:rPr>
      </w:pPr>
      <w:r>
        <w:rPr>
          <w:rFonts w:hint="eastAsia"/>
          <w:color w:val="auto"/>
          <w:highlight w:val="none"/>
        </w:rPr>
        <w:t>发包人供应的材料和工程设备使用前，由承包人负责检验，检验费用由发包人承担，不合格的不得使用。</w:t>
      </w:r>
    </w:p>
    <w:p w14:paraId="060DBA6D">
      <w:pPr>
        <w:adjustRightInd w:val="0"/>
        <w:snapToGrid w:val="0"/>
        <w:ind w:firstLine="480" w:firstLineChars="200"/>
        <w:rPr>
          <w:color w:val="auto"/>
          <w:highlight w:val="none"/>
        </w:rPr>
      </w:pPr>
      <w:r>
        <w:rPr>
          <w:rFonts w:hint="eastAsia"/>
          <w:color w:val="auto"/>
          <w:highlight w:val="none"/>
        </w:rPr>
        <w:t>8.4.2 承包人采购材料与工程设备的保管与使用</w:t>
      </w:r>
    </w:p>
    <w:p w14:paraId="0285E078">
      <w:pPr>
        <w:adjustRightInd w:val="0"/>
        <w:snapToGrid w:val="0"/>
        <w:ind w:firstLine="480" w:firstLineChars="200"/>
        <w:rPr>
          <w:color w:val="auto"/>
          <w:highlight w:val="none"/>
        </w:rPr>
      </w:pPr>
      <w:r>
        <w:rPr>
          <w:rFonts w:hint="eastAsia"/>
          <w:color w:val="auto"/>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4745BF17">
      <w:pPr>
        <w:adjustRightInd w:val="0"/>
        <w:snapToGrid w:val="0"/>
        <w:ind w:firstLine="480" w:firstLineChars="200"/>
        <w:rPr>
          <w:color w:val="auto"/>
          <w:highlight w:val="none"/>
        </w:rPr>
      </w:pPr>
      <w:r>
        <w:rPr>
          <w:rFonts w:hint="eastAsia"/>
          <w:color w:val="auto"/>
          <w:highlight w:val="none"/>
        </w:rPr>
        <w:t>发包人或监理人发现承包人使用不符合设计或有关标准要求的材料和工程设备时，有权要求承包人进行修复、拆除或重新采购，由此增加的费用和（或）延误的工期，由承包人承担。</w:t>
      </w:r>
    </w:p>
    <w:p w14:paraId="6120DD76">
      <w:pPr>
        <w:adjustRightInd w:val="0"/>
        <w:snapToGrid w:val="0"/>
        <w:ind w:firstLine="482" w:firstLineChars="200"/>
        <w:rPr>
          <w:b/>
          <w:color w:val="auto"/>
          <w:highlight w:val="none"/>
        </w:rPr>
      </w:pPr>
      <w:bookmarkStart w:id="385" w:name="_Toc399775163"/>
      <w:bookmarkStart w:id="386" w:name="_Toc400522418"/>
      <w:bookmarkStart w:id="387" w:name="_Toc399775783"/>
      <w:bookmarkStart w:id="388" w:name="_Toc400486410"/>
      <w:bookmarkStart w:id="389" w:name="_Toc351203557"/>
      <w:bookmarkStart w:id="390" w:name="_Toc399776230"/>
      <w:bookmarkStart w:id="391" w:name="_Toc400485437"/>
      <w:r>
        <w:rPr>
          <w:rFonts w:hint="eastAsia"/>
          <w:b/>
          <w:color w:val="auto"/>
          <w:highlight w:val="none"/>
        </w:rPr>
        <w:t>8.5 禁止使用不合格的材料和工程设备</w:t>
      </w:r>
      <w:bookmarkEnd w:id="385"/>
      <w:bookmarkEnd w:id="386"/>
      <w:bookmarkEnd w:id="387"/>
      <w:bookmarkEnd w:id="388"/>
      <w:bookmarkEnd w:id="389"/>
      <w:bookmarkEnd w:id="390"/>
      <w:bookmarkEnd w:id="391"/>
    </w:p>
    <w:p w14:paraId="20745A82">
      <w:pPr>
        <w:adjustRightInd w:val="0"/>
        <w:snapToGrid w:val="0"/>
        <w:ind w:firstLine="480" w:firstLineChars="200"/>
        <w:rPr>
          <w:color w:val="auto"/>
          <w:highlight w:val="none"/>
        </w:rPr>
      </w:pPr>
      <w:r>
        <w:rPr>
          <w:rFonts w:hint="eastAsia"/>
          <w:color w:val="auto"/>
          <w:highlight w:val="none"/>
        </w:rPr>
        <w:t>8.5.1 监理人有权拒绝承包人提供的不合格材料或工程设备，并要求承包人立即进行更换。监理人应在更换后再次进行检查和检验，由此增加的费用和（或）延误的工期由承包人承担。</w:t>
      </w:r>
    </w:p>
    <w:p w14:paraId="1C1DB10C">
      <w:pPr>
        <w:adjustRightInd w:val="0"/>
        <w:snapToGrid w:val="0"/>
        <w:ind w:firstLine="480" w:firstLineChars="200"/>
        <w:rPr>
          <w:color w:val="auto"/>
          <w:highlight w:val="none"/>
        </w:rPr>
      </w:pPr>
      <w:r>
        <w:rPr>
          <w:rFonts w:hint="eastAsia"/>
          <w:color w:val="auto"/>
          <w:highlight w:val="none"/>
        </w:rPr>
        <w:t>8.5.2 监理人发现承包人使用了不合格的材料和工程设备，承包人应按照监理人的指示立即改正，并禁止在工程中继续使用不合格的材料和工程设备。</w:t>
      </w:r>
    </w:p>
    <w:p w14:paraId="258FA598">
      <w:pPr>
        <w:adjustRightInd w:val="0"/>
        <w:snapToGrid w:val="0"/>
        <w:ind w:firstLine="480" w:firstLineChars="200"/>
        <w:rPr>
          <w:color w:val="auto"/>
          <w:highlight w:val="none"/>
        </w:rPr>
      </w:pPr>
      <w:r>
        <w:rPr>
          <w:rFonts w:hint="eastAsia"/>
          <w:color w:val="auto"/>
          <w:highlight w:val="none"/>
        </w:rPr>
        <w:t>8.5.3 发包人提供的材料或工程设备不符合合同要求的，承包人有权拒绝，并可要求发包人更换，除专用合同条款另有约定外,由此增加的费用和（或）延误的工期由发包人承担，并支付承包人合理的利润。</w:t>
      </w:r>
    </w:p>
    <w:p w14:paraId="4720EE26">
      <w:pPr>
        <w:adjustRightInd w:val="0"/>
        <w:snapToGrid w:val="0"/>
        <w:ind w:firstLine="482" w:firstLineChars="200"/>
        <w:rPr>
          <w:b/>
          <w:color w:val="auto"/>
          <w:highlight w:val="none"/>
        </w:rPr>
      </w:pPr>
      <w:bookmarkStart w:id="392" w:name="_Toc400485438"/>
      <w:bookmarkStart w:id="393" w:name="_Toc351203558"/>
      <w:bookmarkStart w:id="394" w:name="_Toc400522419"/>
      <w:bookmarkStart w:id="395" w:name="_Toc399775784"/>
      <w:bookmarkStart w:id="396" w:name="_Toc399775164"/>
      <w:bookmarkStart w:id="397" w:name="_Toc400486411"/>
      <w:bookmarkStart w:id="398" w:name="_Toc399776231"/>
      <w:r>
        <w:rPr>
          <w:rFonts w:hint="eastAsia"/>
          <w:b/>
          <w:color w:val="auto"/>
          <w:highlight w:val="none"/>
        </w:rPr>
        <w:t>8.6 样品</w:t>
      </w:r>
      <w:bookmarkEnd w:id="392"/>
      <w:bookmarkEnd w:id="393"/>
      <w:bookmarkEnd w:id="394"/>
      <w:bookmarkEnd w:id="395"/>
      <w:bookmarkEnd w:id="396"/>
      <w:bookmarkEnd w:id="397"/>
      <w:bookmarkEnd w:id="398"/>
    </w:p>
    <w:p w14:paraId="2B691DEF">
      <w:pPr>
        <w:adjustRightInd w:val="0"/>
        <w:snapToGrid w:val="0"/>
        <w:ind w:firstLine="480" w:firstLineChars="200"/>
        <w:rPr>
          <w:color w:val="auto"/>
          <w:highlight w:val="none"/>
        </w:rPr>
      </w:pPr>
      <w:r>
        <w:rPr>
          <w:rFonts w:hint="eastAsia"/>
          <w:color w:val="auto"/>
          <w:highlight w:val="none"/>
        </w:rPr>
        <w:t>8.6.1 样品的报送与封存</w:t>
      </w:r>
    </w:p>
    <w:p w14:paraId="626D2251">
      <w:pPr>
        <w:adjustRightInd w:val="0"/>
        <w:snapToGrid w:val="0"/>
        <w:ind w:firstLine="480" w:firstLineChars="200"/>
        <w:rPr>
          <w:color w:val="auto"/>
          <w:highlight w:val="none"/>
        </w:rPr>
      </w:pPr>
      <w:r>
        <w:rPr>
          <w:rFonts w:hint="eastAsia"/>
          <w:color w:val="auto"/>
          <w:highlight w:val="none"/>
        </w:rPr>
        <w:t>需要承包人报送样品的材料或工程设备，样品的种类、名称、规格、数量等要求均应在专用合同条款中约定。样品的报送程序如下：</w:t>
      </w:r>
    </w:p>
    <w:p w14:paraId="2967AFAB">
      <w:pPr>
        <w:adjustRightInd w:val="0"/>
        <w:snapToGrid w:val="0"/>
        <w:ind w:firstLine="480" w:firstLineChars="200"/>
        <w:rPr>
          <w:color w:val="auto"/>
          <w:highlight w:val="none"/>
        </w:rPr>
      </w:pPr>
      <w:r>
        <w:rPr>
          <w:rFonts w:hint="eastAsia"/>
          <w:color w:val="auto"/>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2116822">
      <w:pPr>
        <w:adjustRightInd w:val="0"/>
        <w:snapToGrid w:val="0"/>
        <w:ind w:firstLine="480" w:firstLineChars="200"/>
        <w:rPr>
          <w:color w:val="auto"/>
          <w:highlight w:val="none"/>
        </w:rPr>
      </w:pPr>
      <w:r>
        <w:rPr>
          <w:rFonts w:hint="eastAsia"/>
          <w:color w:val="auto"/>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681C928">
      <w:pPr>
        <w:adjustRightInd w:val="0"/>
        <w:snapToGrid w:val="0"/>
        <w:ind w:firstLine="480" w:firstLineChars="200"/>
        <w:rPr>
          <w:color w:val="auto"/>
          <w:highlight w:val="none"/>
        </w:rPr>
      </w:pPr>
      <w:r>
        <w:rPr>
          <w:rFonts w:hint="eastAsia"/>
          <w:color w:val="auto"/>
          <w:highlight w:val="none"/>
        </w:rPr>
        <w:t>（3）经发包人和监理人审批确认的样品应按约定的方法封样，封存的样品作为检验工程相关部分的标准之一。承包人在施工过程中不得使用与样品不符的材料或工程设备。</w:t>
      </w:r>
    </w:p>
    <w:p w14:paraId="3F3C2487">
      <w:pPr>
        <w:adjustRightInd w:val="0"/>
        <w:snapToGrid w:val="0"/>
        <w:ind w:firstLine="480" w:firstLineChars="200"/>
        <w:rPr>
          <w:color w:val="auto"/>
          <w:highlight w:val="none"/>
        </w:rPr>
      </w:pPr>
      <w:r>
        <w:rPr>
          <w:rFonts w:hint="eastAsia"/>
          <w:color w:val="auto"/>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D9D6AF0">
      <w:pPr>
        <w:adjustRightInd w:val="0"/>
        <w:snapToGrid w:val="0"/>
        <w:ind w:firstLine="480" w:firstLineChars="200"/>
        <w:rPr>
          <w:color w:val="auto"/>
          <w:highlight w:val="none"/>
        </w:rPr>
      </w:pPr>
      <w:r>
        <w:rPr>
          <w:rFonts w:hint="eastAsia"/>
          <w:color w:val="auto"/>
          <w:highlight w:val="none"/>
        </w:rPr>
        <w:t>8.6.2 样品的保管</w:t>
      </w:r>
    </w:p>
    <w:p w14:paraId="2D9C23B5">
      <w:pPr>
        <w:adjustRightInd w:val="0"/>
        <w:snapToGrid w:val="0"/>
        <w:ind w:firstLine="480" w:firstLineChars="200"/>
        <w:rPr>
          <w:color w:val="auto"/>
          <w:highlight w:val="none"/>
        </w:rPr>
      </w:pPr>
      <w:r>
        <w:rPr>
          <w:rFonts w:hint="eastAsia"/>
          <w:color w:val="auto"/>
          <w:highlight w:val="none"/>
        </w:rPr>
        <w:t>经批准的样品应由监理人负责封存于现场，承包人应在现场为保存样品提供适当和固定的场所并保持适当和良好的存储环境条件。</w:t>
      </w:r>
    </w:p>
    <w:p w14:paraId="5750835E">
      <w:pPr>
        <w:adjustRightInd w:val="0"/>
        <w:snapToGrid w:val="0"/>
        <w:ind w:firstLine="482" w:firstLineChars="200"/>
        <w:rPr>
          <w:b/>
          <w:color w:val="auto"/>
          <w:highlight w:val="none"/>
        </w:rPr>
      </w:pPr>
      <w:bookmarkStart w:id="399" w:name="_Toc399775785"/>
      <w:bookmarkStart w:id="400" w:name="_Toc399776232"/>
      <w:bookmarkStart w:id="401" w:name="_Toc400485439"/>
      <w:bookmarkStart w:id="402" w:name="_Toc399775165"/>
      <w:bookmarkStart w:id="403" w:name="_Toc400522420"/>
      <w:bookmarkStart w:id="404" w:name="_Toc351203559"/>
      <w:bookmarkStart w:id="405" w:name="_Toc400486412"/>
      <w:r>
        <w:rPr>
          <w:rFonts w:hint="eastAsia"/>
          <w:b/>
          <w:color w:val="auto"/>
          <w:highlight w:val="none"/>
        </w:rPr>
        <w:t>8.7 材料与工程设备的替代</w:t>
      </w:r>
      <w:bookmarkEnd w:id="399"/>
      <w:bookmarkEnd w:id="400"/>
      <w:bookmarkEnd w:id="401"/>
      <w:bookmarkEnd w:id="402"/>
      <w:bookmarkEnd w:id="403"/>
      <w:bookmarkEnd w:id="404"/>
      <w:bookmarkEnd w:id="405"/>
    </w:p>
    <w:p w14:paraId="75B5FD1D">
      <w:pPr>
        <w:adjustRightInd w:val="0"/>
        <w:snapToGrid w:val="0"/>
        <w:ind w:firstLine="480" w:firstLineChars="200"/>
        <w:rPr>
          <w:color w:val="auto"/>
          <w:highlight w:val="none"/>
        </w:rPr>
      </w:pPr>
      <w:r>
        <w:rPr>
          <w:rFonts w:hint="eastAsia"/>
          <w:color w:val="auto"/>
          <w:highlight w:val="none"/>
        </w:rPr>
        <w:t>8.7.1 出现下列情况需要使用替代材料和工程设备的，承包人应按照第8.7.2项约定的程序执行：</w:t>
      </w:r>
    </w:p>
    <w:p w14:paraId="40EFB36B">
      <w:pPr>
        <w:adjustRightInd w:val="0"/>
        <w:snapToGrid w:val="0"/>
        <w:ind w:firstLine="480" w:firstLineChars="200"/>
        <w:rPr>
          <w:color w:val="auto"/>
          <w:highlight w:val="none"/>
        </w:rPr>
      </w:pPr>
      <w:r>
        <w:rPr>
          <w:rFonts w:hint="eastAsia"/>
          <w:color w:val="auto"/>
          <w:highlight w:val="none"/>
        </w:rPr>
        <w:t>（1）基准日期后生效的法律规定禁止使用的；</w:t>
      </w:r>
    </w:p>
    <w:p w14:paraId="26B22701">
      <w:pPr>
        <w:adjustRightInd w:val="0"/>
        <w:snapToGrid w:val="0"/>
        <w:ind w:firstLine="480" w:firstLineChars="200"/>
        <w:rPr>
          <w:color w:val="auto"/>
          <w:highlight w:val="none"/>
        </w:rPr>
      </w:pPr>
      <w:r>
        <w:rPr>
          <w:rFonts w:hint="eastAsia"/>
          <w:color w:val="auto"/>
          <w:highlight w:val="none"/>
        </w:rPr>
        <w:t>（2）发包人要求使用替代品的；</w:t>
      </w:r>
    </w:p>
    <w:p w14:paraId="4A612EA9">
      <w:pPr>
        <w:adjustRightInd w:val="0"/>
        <w:snapToGrid w:val="0"/>
        <w:ind w:firstLine="480" w:firstLineChars="200"/>
        <w:rPr>
          <w:color w:val="auto"/>
          <w:highlight w:val="none"/>
        </w:rPr>
      </w:pPr>
      <w:r>
        <w:rPr>
          <w:rFonts w:hint="eastAsia"/>
          <w:color w:val="auto"/>
          <w:highlight w:val="none"/>
        </w:rPr>
        <w:t>（3）因其他原因必须使用替代品的。</w:t>
      </w:r>
    </w:p>
    <w:p w14:paraId="26EE01BC">
      <w:pPr>
        <w:adjustRightInd w:val="0"/>
        <w:snapToGrid w:val="0"/>
        <w:ind w:firstLine="480" w:firstLineChars="200"/>
        <w:rPr>
          <w:color w:val="auto"/>
          <w:highlight w:val="none"/>
        </w:rPr>
      </w:pPr>
      <w:r>
        <w:rPr>
          <w:rFonts w:hint="eastAsia"/>
          <w:color w:val="auto"/>
          <w:highlight w:val="none"/>
        </w:rPr>
        <w:t>8.7.2 承包人应在使用替代材料和工程设备28天前书面通知监理人，并附下列文件：</w:t>
      </w:r>
    </w:p>
    <w:p w14:paraId="7E98692C">
      <w:pPr>
        <w:adjustRightInd w:val="0"/>
        <w:snapToGrid w:val="0"/>
        <w:ind w:firstLine="480" w:firstLineChars="200"/>
        <w:rPr>
          <w:color w:val="auto"/>
          <w:highlight w:val="none"/>
        </w:rPr>
      </w:pPr>
      <w:r>
        <w:rPr>
          <w:rFonts w:hint="eastAsia"/>
          <w:color w:val="auto"/>
          <w:highlight w:val="none"/>
        </w:rPr>
        <w:t>（1）被替代的材料和工程设备的名称、数量、规格、型号、品牌、性能、价格及其他相关资料；</w:t>
      </w:r>
    </w:p>
    <w:p w14:paraId="08508DE7">
      <w:pPr>
        <w:adjustRightInd w:val="0"/>
        <w:snapToGrid w:val="0"/>
        <w:ind w:firstLine="480" w:firstLineChars="200"/>
        <w:rPr>
          <w:color w:val="auto"/>
          <w:highlight w:val="none"/>
        </w:rPr>
      </w:pPr>
      <w:r>
        <w:rPr>
          <w:rFonts w:hint="eastAsia"/>
          <w:color w:val="auto"/>
          <w:highlight w:val="none"/>
        </w:rPr>
        <w:t>（2）替代品的名称、数量、规格、型号、品牌、性能、价格及其他相关资料；</w:t>
      </w:r>
    </w:p>
    <w:p w14:paraId="28742FE9">
      <w:pPr>
        <w:adjustRightInd w:val="0"/>
        <w:snapToGrid w:val="0"/>
        <w:ind w:firstLine="480" w:firstLineChars="200"/>
        <w:rPr>
          <w:color w:val="auto"/>
          <w:highlight w:val="none"/>
        </w:rPr>
      </w:pPr>
      <w:r>
        <w:rPr>
          <w:rFonts w:hint="eastAsia"/>
          <w:color w:val="auto"/>
          <w:highlight w:val="none"/>
        </w:rPr>
        <w:t>（3）替代品与被替代产品之间的差异以及使用替代品可能对工程产生的影响；</w:t>
      </w:r>
    </w:p>
    <w:p w14:paraId="56510177">
      <w:pPr>
        <w:adjustRightInd w:val="0"/>
        <w:snapToGrid w:val="0"/>
        <w:ind w:firstLine="480" w:firstLineChars="200"/>
        <w:rPr>
          <w:color w:val="auto"/>
          <w:highlight w:val="none"/>
        </w:rPr>
      </w:pPr>
      <w:r>
        <w:rPr>
          <w:rFonts w:hint="eastAsia"/>
          <w:color w:val="auto"/>
          <w:highlight w:val="none"/>
        </w:rPr>
        <w:t>（4）替代品与被替代产品的价格差异；</w:t>
      </w:r>
    </w:p>
    <w:p w14:paraId="287FF505">
      <w:pPr>
        <w:adjustRightInd w:val="0"/>
        <w:snapToGrid w:val="0"/>
        <w:ind w:firstLine="480" w:firstLineChars="200"/>
        <w:rPr>
          <w:color w:val="auto"/>
          <w:highlight w:val="none"/>
        </w:rPr>
      </w:pPr>
      <w:r>
        <w:rPr>
          <w:rFonts w:hint="eastAsia"/>
          <w:color w:val="auto"/>
          <w:highlight w:val="none"/>
        </w:rPr>
        <w:t>（5）使用替代品的理由和原因说明；</w:t>
      </w:r>
    </w:p>
    <w:p w14:paraId="4B127711">
      <w:pPr>
        <w:adjustRightInd w:val="0"/>
        <w:snapToGrid w:val="0"/>
        <w:ind w:firstLine="480" w:firstLineChars="200"/>
        <w:rPr>
          <w:color w:val="auto"/>
          <w:highlight w:val="none"/>
        </w:rPr>
      </w:pPr>
      <w:r>
        <w:rPr>
          <w:rFonts w:hint="eastAsia"/>
          <w:color w:val="auto"/>
          <w:highlight w:val="none"/>
        </w:rPr>
        <w:t>（6）监理人要求的其他文件。</w:t>
      </w:r>
    </w:p>
    <w:p w14:paraId="47A731FD">
      <w:pPr>
        <w:adjustRightInd w:val="0"/>
        <w:snapToGrid w:val="0"/>
        <w:ind w:firstLine="480" w:firstLineChars="200"/>
        <w:rPr>
          <w:color w:val="auto"/>
          <w:highlight w:val="none"/>
        </w:rPr>
      </w:pPr>
      <w:r>
        <w:rPr>
          <w:rFonts w:hint="eastAsia"/>
          <w:color w:val="auto"/>
          <w:highlight w:val="none"/>
        </w:rPr>
        <w:t>监理人应在收到通知后14天内向承包人发出经发包人签认的书面指示；监理人逾期发出书面指示的，视为发包人和监理人同意使用替代品。</w:t>
      </w:r>
    </w:p>
    <w:p w14:paraId="53E74CBA">
      <w:pPr>
        <w:adjustRightInd w:val="0"/>
        <w:snapToGrid w:val="0"/>
        <w:ind w:firstLine="480" w:firstLineChars="200"/>
        <w:rPr>
          <w:color w:val="auto"/>
          <w:highlight w:val="none"/>
        </w:rPr>
      </w:pPr>
      <w:r>
        <w:rPr>
          <w:rFonts w:hint="eastAsia"/>
          <w:color w:val="auto"/>
          <w:highlight w:val="none"/>
        </w:rPr>
        <w:t>8.7.3 发包人认可使用替代材料和工程设备的，替代材料和工程设备的价格，按照预算书相同项目的价格认定；无相同项目的，参考相似项目价格认定；既无相同项目也无相似项目的，按照合理的成本与利润构成的原则，由合同当事人按照第4.5款确定价格。</w:t>
      </w:r>
    </w:p>
    <w:p w14:paraId="2837B540">
      <w:pPr>
        <w:adjustRightInd w:val="0"/>
        <w:snapToGrid w:val="0"/>
        <w:ind w:firstLine="482" w:firstLineChars="200"/>
        <w:rPr>
          <w:b/>
          <w:color w:val="auto"/>
          <w:highlight w:val="none"/>
        </w:rPr>
      </w:pPr>
      <w:bookmarkStart w:id="406" w:name="_Toc351203560"/>
      <w:bookmarkStart w:id="407" w:name="_Toc400522421"/>
      <w:bookmarkStart w:id="408" w:name="_Toc399776233"/>
      <w:bookmarkStart w:id="409" w:name="_Toc399775786"/>
      <w:bookmarkStart w:id="410" w:name="_Toc400485440"/>
      <w:bookmarkStart w:id="411" w:name="_Toc399775166"/>
      <w:bookmarkStart w:id="412" w:name="_Toc400486413"/>
      <w:r>
        <w:rPr>
          <w:rFonts w:hint="eastAsia"/>
          <w:b/>
          <w:color w:val="auto"/>
          <w:highlight w:val="none"/>
        </w:rPr>
        <w:t>8.8 施工设备和临时设施</w:t>
      </w:r>
      <w:bookmarkEnd w:id="406"/>
      <w:bookmarkEnd w:id="407"/>
      <w:bookmarkEnd w:id="408"/>
      <w:bookmarkEnd w:id="409"/>
      <w:bookmarkEnd w:id="410"/>
      <w:bookmarkEnd w:id="411"/>
      <w:bookmarkEnd w:id="412"/>
    </w:p>
    <w:p w14:paraId="04C5AFC9">
      <w:pPr>
        <w:adjustRightInd w:val="0"/>
        <w:snapToGrid w:val="0"/>
        <w:ind w:firstLine="480" w:firstLineChars="200"/>
        <w:rPr>
          <w:color w:val="auto"/>
          <w:highlight w:val="none"/>
        </w:rPr>
      </w:pPr>
      <w:r>
        <w:rPr>
          <w:rFonts w:hint="eastAsia"/>
          <w:color w:val="auto"/>
          <w:highlight w:val="none"/>
        </w:rPr>
        <w:t>8.8.1 承包人提供的施工设备和临时设施</w:t>
      </w:r>
    </w:p>
    <w:p w14:paraId="0AB3DA5E">
      <w:pPr>
        <w:adjustRightInd w:val="0"/>
        <w:snapToGrid w:val="0"/>
        <w:ind w:firstLine="480" w:firstLineChars="200"/>
        <w:rPr>
          <w:color w:val="auto"/>
          <w:highlight w:val="none"/>
        </w:rPr>
      </w:pPr>
      <w:r>
        <w:rPr>
          <w:rFonts w:hint="eastAsia"/>
          <w:color w:val="auto"/>
          <w:highlight w:val="none"/>
        </w:rPr>
        <w:t>合同签订后，承包人应及时编制施工平面布置方案报发包人批准。承包人应按合同进度计划的要求，及时配置施工设备和修建临时设施。承包人提供的设备进入施工场地需经监理人核查后才能投入使用。承包人更换合同约定的承包人设备的，应报监理人批准。</w:t>
      </w:r>
    </w:p>
    <w:p w14:paraId="3D01EFD9">
      <w:pPr>
        <w:adjustRightInd w:val="0"/>
        <w:snapToGrid w:val="0"/>
        <w:ind w:firstLine="480" w:firstLineChars="200"/>
        <w:rPr>
          <w:color w:val="auto"/>
          <w:highlight w:val="none"/>
        </w:rPr>
      </w:pPr>
      <w:r>
        <w:rPr>
          <w:rFonts w:hint="eastAsia"/>
          <w:color w:val="auto"/>
          <w:highlight w:val="none"/>
        </w:rPr>
        <w:t>除专用合同条款另有约定外，承包人应自行承担修建临时设施的费用，需要临时占地的，应由发包人负责提供。</w:t>
      </w:r>
    </w:p>
    <w:p w14:paraId="1926F3FC">
      <w:pPr>
        <w:adjustRightInd w:val="0"/>
        <w:snapToGrid w:val="0"/>
        <w:ind w:firstLine="480" w:firstLineChars="200"/>
        <w:rPr>
          <w:color w:val="auto"/>
          <w:highlight w:val="none"/>
        </w:rPr>
      </w:pPr>
      <w:r>
        <w:rPr>
          <w:rFonts w:hint="eastAsia"/>
          <w:color w:val="auto"/>
          <w:highlight w:val="none"/>
        </w:rPr>
        <w:t>8.8.2发包人提供的施工设备和临时设施</w:t>
      </w:r>
    </w:p>
    <w:p w14:paraId="7585D47C">
      <w:pPr>
        <w:adjustRightInd w:val="0"/>
        <w:snapToGrid w:val="0"/>
        <w:ind w:firstLine="480" w:firstLineChars="200"/>
        <w:rPr>
          <w:color w:val="auto"/>
          <w:highlight w:val="none"/>
        </w:rPr>
      </w:pPr>
      <w:r>
        <w:rPr>
          <w:rFonts w:hint="eastAsia"/>
          <w:color w:val="auto"/>
          <w:highlight w:val="none"/>
        </w:rPr>
        <w:t>发包人提供的施工设备和临时设施在专用合同条款中约定。</w:t>
      </w:r>
    </w:p>
    <w:p w14:paraId="23915CF9">
      <w:pPr>
        <w:adjustRightInd w:val="0"/>
        <w:snapToGrid w:val="0"/>
        <w:ind w:firstLine="480" w:firstLineChars="200"/>
        <w:rPr>
          <w:color w:val="auto"/>
          <w:highlight w:val="none"/>
        </w:rPr>
      </w:pPr>
      <w:r>
        <w:rPr>
          <w:rFonts w:hint="eastAsia"/>
          <w:color w:val="auto"/>
          <w:highlight w:val="none"/>
        </w:rPr>
        <w:t>8.8.3要求承包人增加或更换施工设备</w:t>
      </w:r>
    </w:p>
    <w:p w14:paraId="037DDFA3">
      <w:pPr>
        <w:adjustRightInd w:val="0"/>
        <w:snapToGrid w:val="0"/>
        <w:ind w:firstLine="480" w:firstLineChars="200"/>
        <w:rPr>
          <w:color w:val="auto"/>
          <w:highlight w:val="none"/>
        </w:rPr>
      </w:pPr>
      <w:r>
        <w:rPr>
          <w:rFonts w:hint="eastAsia"/>
          <w:color w:val="auto"/>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B55AB56">
      <w:pPr>
        <w:adjustRightInd w:val="0"/>
        <w:snapToGrid w:val="0"/>
        <w:ind w:firstLine="482" w:firstLineChars="200"/>
        <w:rPr>
          <w:b/>
          <w:color w:val="auto"/>
          <w:highlight w:val="none"/>
        </w:rPr>
      </w:pPr>
      <w:bookmarkStart w:id="413" w:name="_Toc351203561"/>
      <w:bookmarkStart w:id="414" w:name="_Toc399775167"/>
      <w:bookmarkStart w:id="415" w:name="_Toc399775787"/>
      <w:bookmarkStart w:id="416" w:name="_Toc400486414"/>
      <w:bookmarkStart w:id="417" w:name="_Toc400522422"/>
      <w:bookmarkStart w:id="418" w:name="_Toc400485441"/>
      <w:bookmarkStart w:id="419" w:name="_Toc399776234"/>
      <w:r>
        <w:rPr>
          <w:rFonts w:hint="eastAsia"/>
          <w:b/>
          <w:color w:val="auto"/>
          <w:highlight w:val="none"/>
        </w:rPr>
        <w:t>8</w:t>
      </w:r>
      <w:bookmarkStart w:id="420" w:name="_Toc296346564"/>
      <w:bookmarkStart w:id="421" w:name="_Toc337558781"/>
      <w:bookmarkStart w:id="422" w:name="_Toc296503063"/>
      <w:r>
        <w:rPr>
          <w:rFonts w:hint="eastAsia"/>
          <w:b/>
          <w:color w:val="auto"/>
          <w:highlight w:val="none"/>
        </w:rPr>
        <w:t>.9 材料与设备专用</w:t>
      </w:r>
      <w:bookmarkEnd w:id="413"/>
      <w:r>
        <w:rPr>
          <w:rFonts w:hint="eastAsia"/>
          <w:b/>
          <w:color w:val="auto"/>
          <w:highlight w:val="none"/>
        </w:rPr>
        <w:t>要求</w:t>
      </w:r>
      <w:bookmarkEnd w:id="414"/>
      <w:bookmarkEnd w:id="415"/>
      <w:bookmarkEnd w:id="416"/>
      <w:bookmarkEnd w:id="417"/>
      <w:bookmarkEnd w:id="418"/>
      <w:bookmarkEnd w:id="419"/>
    </w:p>
    <w:bookmarkEnd w:id="420"/>
    <w:bookmarkEnd w:id="421"/>
    <w:bookmarkEnd w:id="422"/>
    <w:p w14:paraId="2F55EAEE">
      <w:pPr>
        <w:adjustRightInd w:val="0"/>
        <w:snapToGrid w:val="0"/>
        <w:ind w:firstLine="480" w:firstLineChars="200"/>
        <w:rPr>
          <w:color w:val="auto"/>
          <w:highlight w:val="none"/>
        </w:rPr>
      </w:pPr>
      <w:r>
        <w:rPr>
          <w:rFonts w:hint="eastAsia"/>
          <w:color w:val="auto"/>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354"/>
      <w:r>
        <w:rPr>
          <w:rFonts w:hint="eastAsia"/>
          <w:color w:val="auto"/>
          <w:highlight w:val="none"/>
        </w:rPr>
        <w:t>经发包人批准，承包人可以根据施工进度计划撤走闲置的施工设备和其他物品。</w:t>
      </w:r>
    </w:p>
    <w:p w14:paraId="3FD931AB">
      <w:pPr>
        <w:keepNext/>
        <w:keepLines/>
        <w:adjustRightInd w:val="0"/>
        <w:snapToGrid w:val="0"/>
        <w:outlineLvl w:val="1"/>
        <w:rPr>
          <w:rFonts w:ascii="Arial"/>
          <w:b/>
          <w:bCs/>
          <w:color w:val="auto"/>
          <w:highlight w:val="none"/>
        </w:rPr>
      </w:pPr>
      <w:bookmarkStart w:id="423" w:name="_Toc99782818"/>
      <w:bookmarkStart w:id="424" w:name="_Toc19193"/>
      <w:bookmarkStart w:id="425" w:name="_Toc399776235"/>
      <w:bookmarkStart w:id="426" w:name="_Toc400486415"/>
      <w:bookmarkStart w:id="427" w:name="_Toc400522423"/>
      <w:bookmarkStart w:id="428" w:name="_Toc91660610"/>
      <w:bookmarkStart w:id="429" w:name="_Toc399775168"/>
      <w:bookmarkStart w:id="430" w:name="_Toc351203562"/>
      <w:bookmarkStart w:id="431" w:name="_Toc81225278"/>
      <w:bookmarkStart w:id="432" w:name="_Toc119953731"/>
      <w:bookmarkStart w:id="433" w:name="_Toc256000064"/>
      <w:bookmarkStart w:id="434" w:name="_Toc117018795"/>
      <w:bookmarkStart w:id="435" w:name="_Toc399775788"/>
      <w:bookmarkStart w:id="436" w:name="_Toc400485442"/>
      <w:r>
        <w:rPr>
          <w:rFonts w:ascii="Arial"/>
          <w:b/>
          <w:bCs/>
          <w:color w:val="auto"/>
          <w:highlight w:val="none"/>
        </w:rPr>
        <w:t>9</w:t>
      </w:r>
      <w:bookmarkStart w:id="437" w:name="_Toc337558782"/>
      <w:r>
        <w:rPr>
          <w:rFonts w:ascii="Arial"/>
          <w:b/>
          <w:bCs/>
          <w:color w:val="auto"/>
          <w:highlight w:val="none"/>
        </w:rPr>
        <w:t xml:space="preserve">. </w:t>
      </w:r>
      <w:r>
        <w:rPr>
          <w:rFonts w:hint="eastAsia" w:ascii="Arial"/>
          <w:b/>
          <w:bCs/>
          <w:color w:val="auto"/>
          <w:highlight w:val="none"/>
        </w:rPr>
        <w:t>试验与检验</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bookmarkEnd w:id="437"/>
    <w:p w14:paraId="17824CC8">
      <w:pPr>
        <w:adjustRightInd w:val="0"/>
        <w:snapToGrid w:val="0"/>
        <w:ind w:firstLine="482" w:firstLineChars="200"/>
        <w:rPr>
          <w:b/>
          <w:color w:val="auto"/>
          <w:highlight w:val="none"/>
        </w:rPr>
      </w:pPr>
      <w:bookmarkStart w:id="438" w:name="_Toc351203563"/>
      <w:bookmarkStart w:id="439" w:name="_Toc400485443"/>
      <w:bookmarkStart w:id="440" w:name="_Toc400522424"/>
      <w:bookmarkStart w:id="441" w:name="_Toc399775169"/>
      <w:bookmarkStart w:id="442" w:name="_Toc400486416"/>
      <w:bookmarkStart w:id="443" w:name="_Toc399776236"/>
      <w:bookmarkStart w:id="444" w:name="_Toc399775789"/>
      <w:r>
        <w:rPr>
          <w:rFonts w:hint="eastAsia"/>
          <w:b/>
          <w:color w:val="auto"/>
          <w:highlight w:val="none"/>
        </w:rPr>
        <w:t>9</w:t>
      </w:r>
      <w:bookmarkStart w:id="445" w:name="_Toc337558783"/>
      <w:r>
        <w:rPr>
          <w:rFonts w:hint="eastAsia"/>
          <w:b/>
          <w:color w:val="auto"/>
          <w:highlight w:val="none"/>
        </w:rPr>
        <w:t>.1试验设备与试验人员</w:t>
      </w:r>
      <w:bookmarkEnd w:id="438"/>
      <w:bookmarkEnd w:id="439"/>
      <w:bookmarkEnd w:id="440"/>
      <w:bookmarkEnd w:id="441"/>
      <w:bookmarkEnd w:id="442"/>
      <w:bookmarkEnd w:id="443"/>
      <w:bookmarkEnd w:id="444"/>
    </w:p>
    <w:bookmarkEnd w:id="445"/>
    <w:p w14:paraId="1EEEE2B2">
      <w:pPr>
        <w:adjustRightInd w:val="0"/>
        <w:snapToGrid w:val="0"/>
        <w:ind w:firstLine="480" w:firstLineChars="200"/>
        <w:rPr>
          <w:color w:val="auto"/>
          <w:highlight w:val="none"/>
        </w:rPr>
      </w:pPr>
      <w:r>
        <w:rPr>
          <w:rFonts w:hint="eastAsia"/>
          <w:color w:val="auto"/>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BA9A6AE">
      <w:pPr>
        <w:adjustRightInd w:val="0"/>
        <w:snapToGrid w:val="0"/>
        <w:ind w:firstLine="480" w:firstLineChars="200"/>
        <w:rPr>
          <w:color w:val="auto"/>
          <w:highlight w:val="none"/>
        </w:rPr>
      </w:pPr>
      <w:r>
        <w:rPr>
          <w:rFonts w:hint="eastAsia"/>
          <w:color w:val="auto"/>
          <w:highlight w:val="none"/>
        </w:rPr>
        <w:t>9.1.2 承包人应按专用合同条款的约定提供试验设备、取样装置、试验场所和试验条件，并向监理人提交相应进场计划表。</w:t>
      </w:r>
    </w:p>
    <w:p w14:paraId="215AE4FB">
      <w:pPr>
        <w:adjustRightInd w:val="0"/>
        <w:snapToGrid w:val="0"/>
        <w:ind w:firstLine="480" w:firstLineChars="200"/>
        <w:rPr>
          <w:color w:val="auto"/>
          <w:highlight w:val="none"/>
        </w:rPr>
      </w:pPr>
      <w:r>
        <w:rPr>
          <w:rFonts w:hint="eastAsia"/>
          <w:color w:val="auto"/>
          <w:highlight w:val="none"/>
        </w:rPr>
        <w:t>承包人配置的试验设备要符合相应试验规程的要求并经过具有资质的检测单位检测，且在正式使用该试验设备前，需要经过监理人与承包人共同校定。</w:t>
      </w:r>
    </w:p>
    <w:p w14:paraId="0DB785DD">
      <w:pPr>
        <w:adjustRightInd w:val="0"/>
        <w:snapToGrid w:val="0"/>
        <w:ind w:firstLine="480" w:firstLineChars="200"/>
        <w:rPr>
          <w:color w:val="auto"/>
          <w:highlight w:val="none"/>
        </w:rPr>
      </w:pPr>
      <w:r>
        <w:rPr>
          <w:rFonts w:hint="eastAsia"/>
          <w:color w:val="auto"/>
          <w:highlight w:val="none"/>
        </w:rPr>
        <w:t>9.1.3 承包人应向监理人提交试验人员的名单及其岗位、资格等证明资料，试验人员必须能够熟练进行相应的检测试验，承包人对试验人员的试验程序和试验结果的正确性负责。</w:t>
      </w:r>
    </w:p>
    <w:p w14:paraId="328523C0">
      <w:pPr>
        <w:adjustRightInd w:val="0"/>
        <w:snapToGrid w:val="0"/>
        <w:ind w:firstLine="482" w:firstLineChars="200"/>
        <w:rPr>
          <w:b/>
          <w:color w:val="auto"/>
          <w:highlight w:val="none"/>
        </w:rPr>
      </w:pPr>
      <w:bookmarkStart w:id="446" w:name="_Toc400522425"/>
      <w:bookmarkStart w:id="447" w:name="_Toc400485444"/>
      <w:bookmarkStart w:id="448" w:name="_Toc351203564"/>
      <w:bookmarkStart w:id="449" w:name="_Toc400486417"/>
      <w:bookmarkStart w:id="450" w:name="_Toc399776237"/>
      <w:bookmarkStart w:id="451" w:name="_Toc399775790"/>
      <w:bookmarkStart w:id="452" w:name="_Toc399775170"/>
      <w:r>
        <w:rPr>
          <w:rFonts w:hint="eastAsia"/>
          <w:b/>
          <w:color w:val="auto"/>
          <w:highlight w:val="none"/>
        </w:rPr>
        <w:t>9</w:t>
      </w:r>
      <w:bookmarkStart w:id="453" w:name="_Toc337558784"/>
      <w:r>
        <w:rPr>
          <w:rFonts w:hint="eastAsia"/>
          <w:b/>
          <w:color w:val="auto"/>
          <w:highlight w:val="none"/>
        </w:rPr>
        <w:t>.2取样</w:t>
      </w:r>
      <w:bookmarkEnd w:id="446"/>
      <w:bookmarkEnd w:id="447"/>
      <w:bookmarkEnd w:id="448"/>
      <w:bookmarkEnd w:id="449"/>
      <w:bookmarkEnd w:id="450"/>
      <w:bookmarkEnd w:id="451"/>
      <w:bookmarkEnd w:id="452"/>
    </w:p>
    <w:bookmarkEnd w:id="453"/>
    <w:p w14:paraId="1F986F00">
      <w:pPr>
        <w:adjustRightInd w:val="0"/>
        <w:snapToGrid w:val="0"/>
        <w:ind w:firstLine="480" w:firstLineChars="200"/>
        <w:rPr>
          <w:color w:val="auto"/>
          <w:highlight w:val="none"/>
        </w:rPr>
      </w:pPr>
      <w:r>
        <w:rPr>
          <w:rFonts w:hint="eastAsia"/>
          <w:color w:val="auto"/>
          <w:highlight w:val="none"/>
        </w:rPr>
        <w:t>试验属于自检性质的，承包人可以单独取样。试验属于监理人抽检性质的，可由监理人取样，也可由承包人的试验人员在监理人的监督下取样。</w:t>
      </w:r>
    </w:p>
    <w:p w14:paraId="64B8F016">
      <w:pPr>
        <w:adjustRightInd w:val="0"/>
        <w:snapToGrid w:val="0"/>
        <w:ind w:firstLine="482" w:firstLineChars="200"/>
        <w:rPr>
          <w:b/>
          <w:color w:val="auto"/>
          <w:highlight w:val="none"/>
        </w:rPr>
      </w:pPr>
      <w:bookmarkStart w:id="454" w:name="_Toc399775171"/>
      <w:bookmarkStart w:id="455" w:name="_Toc399776238"/>
      <w:bookmarkStart w:id="456" w:name="_Toc400486418"/>
      <w:bookmarkStart w:id="457" w:name="_Toc400522426"/>
      <w:bookmarkStart w:id="458" w:name="_Toc400485445"/>
      <w:bookmarkStart w:id="459" w:name="_Toc351203565"/>
      <w:bookmarkStart w:id="460" w:name="_Toc399775791"/>
      <w:r>
        <w:rPr>
          <w:rFonts w:hint="eastAsia"/>
          <w:b/>
          <w:color w:val="auto"/>
          <w:highlight w:val="none"/>
        </w:rPr>
        <w:t>9</w:t>
      </w:r>
      <w:bookmarkStart w:id="461" w:name="_Toc337558785"/>
      <w:r>
        <w:rPr>
          <w:rFonts w:hint="eastAsia"/>
          <w:b/>
          <w:color w:val="auto"/>
          <w:highlight w:val="none"/>
        </w:rPr>
        <w:t>.3材料、工程设备和工程的试验和检验</w:t>
      </w:r>
      <w:bookmarkEnd w:id="454"/>
      <w:bookmarkEnd w:id="455"/>
      <w:bookmarkEnd w:id="456"/>
      <w:bookmarkEnd w:id="457"/>
      <w:bookmarkEnd w:id="458"/>
      <w:bookmarkEnd w:id="459"/>
      <w:bookmarkEnd w:id="460"/>
    </w:p>
    <w:bookmarkEnd w:id="461"/>
    <w:p w14:paraId="04FC8349">
      <w:pPr>
        <w:adjustRightInd w:val="0"/>
        <w:snapToGrid w:val="0"/>
        <w:ind w:firstLine="480" w:firstLineChars="200"/>
        <w:rPr>
          <w:color w:val="auto"/>
          <w:highlight w:val="none"/>
        </w:rPr>
      </w:pPr>
      <w:r>
        <w:rPr>
          <w:rFonts w:hint="eastAsia"/>
          <w:color w:val="auto"/>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F9975A2">
      <w:pPr>
        <w:adjustRightInd w:val="0"/>
        <w:snapToGrid w:val="0"/>
        <w:ind w:firstLine="480" w:firstLineChars="200"/>
        <w:rPr>
          <w:color w:val="auto"/>
          <w:highlight w:val="none"/>
        </w:rPr>
      </w:pPr>
      <w:r>
        <w:rPr>
          <w:rFonts w:hint="eastAsia"/>
          <w:color w:val="auto"/>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3D157A8">
      <w:pPr>
        <w:adjustRightInd w:val="0"/>
        <w:snapToGrid w:val="0"/>
        <w:ind w:firstLine="480" w:firstLineChars="200"/>
        <w:rPr>
          <w:color w:val="auto"/>
          <w:highlight w:val="none"/>
        </w:rPr>
      </w:pPr>
      <w:r>
        <w:rPr>
          <w:rFonts w:hint="eastAsia"/>
          <w:color w:val="auto"/>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按照第11.2.3项的规定执行。</w:t>
      </w:r>
    </w:p>
    <w:p w14:paraId="6CC320BF">
      <w:pPr>
        <w:adjustRightInd w:val="0"/>
        <w:snapToGrid w:val="0"/>
        <w:ind w:firstLine="482" w:firstLineChars="200"/>
        <w:rPr>
          <w:b/>
          <w:color w:val="auto"/>
          <w:highlight w:val="none"/>
        </w:rPr>
      </w:pPr>
      <w:bookmarkStart w:id="462" w:name="_Toc399776239"/>
      <w:bookmarkStart w:id="463" w:name="_Toc400486419"/>
      <w:bookmarkStart w:id="464" w:name="_Toc400485446"/>
      <w:bookmarkStart w:id="465" w:name="_Toc351203566"/>
      <w:bookmarkStart w:id="466" w:name="_Toc399775792"/>
      <w:bookmarkStart w:id="467" w:name="_Toc399775172"/>
      <w:bookmarkStart w:id="468" w:name="_Toc400522427"/>
      <w:r>
        <w:rPr>
          <w:rFonts w:hint="eastAsia"/>
          <w:b/>
          <w:color w:val="auto"/>
          <w:highlight w:val="none"/>
        </w:rPr>
        <w:t>9</w:t>
      </w:r>
      <w:bookmarkStart w:id="469" w:name="_Toc337558786"/>
      <w:r>
        <w:rPr>
          <w:rFonts w:hint="eastAsia"/>
          <w:b/>
          <w:color w:val="auto"/>
          <w:highlight w:val="none"/>
        </w:rPr>
        <w:t>.4现场工艺试验</w:t>
      </w:r>
      <w:bookmarkEnd w:id="462"/>
      <w:bookmarkEnd w:id="463"/>
      <w:bookmarkEnd w:id="464"/>
      <w:bookmarkEnd w:id="465"/>
      <w:bookmarkEnd w:id="466"/>
      <w:bookmarkEnd w:id="467"/>
      <w:bookmarkEnd w:id="468"/>
    </w:p>
    <w:bookmarkEnd w:id="469"/>
    <w:p w14:paraId="322946A3">
      <w:pPr>
        <w:adjustRightInd w:val="0"/>
        <w:snapToGrid w:val="0"/>
        <w:ind w:firstLine="480" w:firstLineChars="200"/>
        <w:rPr>
          <w:color w:val="auto"/>
          <w:highlight w:val="none"/>
        </w:rPr>
      </w:pPr>
      <w:r>
        <w:rPr>
          <w:rFonts w:hint="eastAsia"/>
          <w:color w:val="auto"/>
          <w:highlight w:val="none"/>
        </w:rPr>
        <w:t>承包人应按专用合同条款约定或监理人指示进行现场工艺试验。对大型的现场工艺试验，监理人认为必要时，承包人应根据监理人提出的工艺试验要求，编制工艺试验措施计划，报送监理人审查。</w:t>
      </w:r>
    </w:p>
    <w:p w14:paraId="2849FF9A">
      <w:pPr>
        <w:keepNext/>
        <w:keepLines/>
        <w:adjustRightInd w:val="0"/>
        <w:snapToGrid w:val="0"/>
        <w:outlineLvl w:val="1"/>
        <w:rPr>
          <w:rFonts w:ascii="Arial"/>
          <w:b/>
          <w:bCs/>
          <w:color w:val="auto"/>
          <w:highlight w:val="none"/>
        </w:rPr>
      </w:pPr>
      <w:bookmarkStart w:id="470" w:name="_Toc400522428"/>
      <w:bookmarkStart w:id="471" w:name="_Toc91660611"/>
      <w:bookmarkStart w:id="472" w:name="_Toc117018796"/>
      <w:bookmarkStart w:id="473" w:name="_Toc99782819"/>
      <w:bookmarkStart w:id="474" w:name="_Toc119953732"/>
      <w:bookmarkStart w:id="475" w:name="_Toc13764"/>
      <w:bookmarkStart w:id="476" w:name="_Toc400485447"/>
      <w:bookmarkStart w:id="477" w:name="_Toc399775793"/>
      <w:bookmarkStart w:id="478" w:name="_Toc400486420"/>
      <w:bookmarkStart w:id="479" w:name="_Toc256000065"/>
      <w:bookmarkStart w:id="480" w:name="_Toc399776240"/>
      <w:bookmarkStart w:id="481" w:name="_Toc399775173"/>
      <w:bookmarkStart w:id="482" w:name="_Toc81225279"/>
      <w:bookmarkStart w:id="483" w:name="_Toc351203567"/>
      <w:r>
        <w:rPr>
          <w:rFonts w:ascii="Arial"/>
          <w:b/>
          <w:bCs/>
          <w:color w:val="auto"/>
          <w:highlight w:val="none"/>
        </w:rPr>
        <w:t>1</w:t>
      </w:r>
      <w:bookmarkStart w:id="484" w:name="_Toc337558787"/>
      <w:r>
        <w:rPr>
          <w:rFonts w:ascii="Arial"/>
          <w:b/>
          <w:bCs/>
          <w:color w:val="auto"/>
          <w:highlight w:val="none"/>
        </w:rPr>
        <w:t xml:space="preserve">0. </w:t>
      </w:r>
      <w:r>
        <w:rPr>
          <w:rFonts w:hint="eastAsia" w:ascii="Arial"/>
          <w:b/>
          <w:bCs/>
          <w:color w:val="auto"/>
          <w:highlight w:val="none"/>
        </w:rPr>
        <w:t>变更</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bookmarkEnd w:id="484"/>
    <w:p w14:paraId="2B208F61">
      <w:pPr>
        <w:adjustRightInd w:val="0"/>
        <w:snapToGrid w:val="0"/>
        <w:ind w:firstLine="482" w:firstLineChars="200"/>
        <w:rPr>
          <w:b/>
          <w:color w:val="auto"/>
          <w:highlight w:val="none"/>
        </w:rPr>
      </w:pPr>
      <w:bookmarkStart w:id="485" w:name="_Toc399775794"/>
      <w:bookmarkStart w:id="486" w:name="_Toc399775174"/>
      <w:bookmarkStart w:id="487" w:name="_Toc400486421"/>
      <w:bookmarkStart w:id="488" w:name="_Toc400522429"/>
      <w:bookmarkStart w:id="489" w:name="_Toc351203568"/>
      <w:bookmarkStart w:id="490" w:name="_Toc399776241"/>
      <w:bookmarkStart w:id="491" w:name="_Toc400485448"/>
      <w:r>
        <w:rPr>
          <w:rFonts w:hint="eastAsia"/>
          <w:b/>
          <w:color w:val="auto"/>
          <w:highlight w:val="none"/>
        </w:rPr>
        <w:t>1</w:t>
      </w:r>
      <w:bookmarkStart w:id="492" w:name="_Toc337558788"/>
      <w:bookmarkStart w:id="493" w:name="_Toc296503084"/>
      <w:bookmarkStart w:id="494" w:name="_Toc296346585"/>
      <w:r>
        <w:rPr>
          <w:rFonts w:hint="eastAsia"/>
          <w:b/>
          <w:color w:val="auto"/>
          <w:highlight w:val="none"/>
        </w:rPr>
        <w:t>0.1 变更的范围</w:t>
      </w:r>
      <w:bookmarkEnd w:id="485"/>
      <w:bookmarkEnd w:id="486"/>
      <w:bookmarkEnd w:id="487"/>
      <w:bookmarkEnd w:id="488"/>
      <w:bookmarkEnd w:id="489"/>
      <w:bookmarkEnd w:id="490"/>
      <w:bookmarkEnd w:id="491"/>
    </w:p>
    <w:bookmarkEnd w:id="492"/>
    <w:bookmarkEnd w:id="493"/>
    <w:bookmarkEnd w:id="494"/>
    <w:p w14:paraId="60D796A9">
      <w:pPr>
        <w:adjustRightInd w:val="0"/>
        <w:snapToGrid w:val="0"/>
        <w:ind w:firstLine="480" w:firstLineChars="200"/>
        <w:rPr>
          <w:color w:val="auto"/>
          <w:highlight w:val="none"/>
        </w:rPr>
      </w:pPr>
      <w:r>
        <w:rPr>
          <w:rFonts w:hint="eastAsia"/>
          <w:color w:val="auto"/>
          <w:highlight w:val="none"/>
        </w:rPr>
        <w:t>除专用合同条款另有约定外，合同履行过程中发生以下情形的，应按照本条约定进行变更：</w:t>
      </w:r>
    </w:p>
    <w:p w14:paraId="54E1165C">
      <w:pPr>
        <w:adjustRightInd w:val="0"/>
        <w:snapToGrid w:val="0"/>
        <w:ind w:firstLine="480" w:firstLineChars="200"/>
        <w:rPr>
          <w:color w:val="auto"/>
          <w:highlight w:val="none"/>
        </w:rPr>
      </w:pPr>
      <w:r>
        <w:rPr>
          <w:rFonts w:hint="eastAsia"/>
          <w:color w:val="auto"/>
          <w:highlight w:val="none"/>
        </w:rPr>
        <w:t>（1）增加或减少合同中任何工作，或追加额外的工作；</w:t>
      </w:r>
    </w:p>
    <w:p w14:paraId="6130795F">
      <w:pPr>
        <w:adjustRightInd w:val="0"/>
        <w:snapToGrid w:val="0"/>
        <w:ind w:firstLine="480" w:firstLineChars="200"/>
        <w:rPr>
          <w:color w:val="auto"/>
          <w:highlight w:val="none"/>
        </w:rPr>
      </w:pPr>
      <w:r>
        <w:rPr>
          <w:rFonts w:hint="eastAsia"/>
          <w:color w:val="auto"/>
          <w:highlight w:val="none"/>
        </w:rPr>
        <w:t>（2）取消合同中任何工作，但转由他人实施的工作除外；</w:t>
      </w:r>
    </w:p>
    <w:p w14:paraId="0B518057">
      <w:pPr>
        <w:adjustRightInd w:val="0"/>
        <w:snapToGrid w:val="0"/>
        <w:ind w:firstLine="480" w:firstLineChars="200"/>
        <w:rPr>
          <w:color w:val="auto"/>
          <w:highlight w:val="none"/>
        </w:rPr>
      </w:pPr>
      <w:r>
        <w:rPr>
          <w:rFonts w:hint="eastAsia"/>
          <w:color w:val="auto"/>
          <w:highlight w:val="none"/>
        </w:rPr>
        <w:t>（3）改变合同中任何工作的质量标准或其他特性；</w:t>
      </w:r>
    </w:p>
    <w:p w14:paraId="3FF3F250">
      <w:pPr>
        <w:adjustRightInd w:val="0"/>
        <w:snapToGrid w:val="0"/>
        <w:ind w:firstLine="480" w:firstLineChars="200"/>
        <w:rPr>
          <w:color w:val="auto"/>
          <w:highlight w:val="none"/>
        </w:rPr>
      </w:pPr>
      <w:r>
        <w:rPr>
          <w:rFonts w:hint="eastAsia"/>
          <w:color w:val="auto"/>
          <w:highlight w:val="none"/>
        </w:rPr>
        <w:t>（4）改变工程的基线、标高、位置和尺寸；</w:t>
      </w:r>
    </w:p>
    <w:p w14:paraId="6973734F">
      <w:pPr>
        <w:adjustRightInd w:val="0"/>
        <w:snapToGrid w:val="0"/>
        <w:ind w:firstLine="480" w:firstLineChars="200"/>
        <w:rPr>
          <w:color w:val="auto"/>
          <w:highlight w:val="none"/>
        </w:rPr>
      </w:pPr>
      <w:r>
        <w:rPr>
          <w:rFonts w:hint="eastAsia"/>
          <w:color w:val="auto"/>
          <w:highlight w:val="none"/>
        </w:rPr>
        <w:t>（5）改变工程的时间安排或实施顺序。</w:t>
      </w:r>
    </w:p>
    <w:p w14:paraId="602E7F57">
      <w:pPr>
        <w:adjustRightInd w:val="0"/>
        <w:snapToGrid w:val="0"/>
        <w:ind w:firstLine="482" w:firstLineChars="200"/>
        <w:rPr>
          <w:b/>
          <w:color w:val="auto"/>
          <w:highlight w:val="none"/>
        </w:rPr>
      </w:pPr>
      <w:bookmarkStart w:id="495" w:name="_Toc351203569"/>
      <w:bookmarkStart w:id="496" w:name="_Toc399775175"/>
      <w:bookmarkStart w:id="497" w:name="_Toc399775795"/>
      <w:bookmarkStart w:id="498" w:name="_Toc400486422"/>
      <w:bookmarkStart w:id="499" w:name="_Toc400522430"/>
      <w:bookmarkStart w:id="500" w:name="_Toc399776242"/>
      <w:bookmarkStart w:id="501" w:name="_Toc400485449"/>
      <w:r>
        <w:rPr>
          <w:rFonts w:hint="eastAsia"/>
          <w:b/>
          <w:color w:val="auto"/>
          <w:highlight w:val="none"/>
        </w:rPr>
        <w:t>1</w:t>
      </w:r>
      <w:bookmarkStart w:id="502" w:name="_Toc296503085"/>
      <w:bookmarkStart w:id="503" w:name="_Toc296346586"/>
      <w:bookmarkStart w:id="504" w:name="_Toc337558789"/>
      <w:r>
        <w:rPr>
          <w:rFonts w:hint="eastAsia"/>
          <w:b/>
          <w:color w:val="auto"/>
          <w:highlight w:val="none"/>
        </w:rPr>
        <w:t>0.2 变更权</w:t>
      </w:r>
      <w:bookmarkEnd w:id="495"/>
      <w:bookmarkEnd w:id="496"/>
      <w:bookmarkEnd w:id="497"/>
      <w:bookmarkEnd w:id="498"/>
      <w:bookmarkEnd w:id="499"/>
      <w:bookmarkEnd w:id="500"/>
      <w:bookmarkEnd w:id="501"/>
    </w:p>
    <w:bookmarkEnd w:id="502"/>
    <w:bookmarkEnd w:id="503"/>
    <w:bookmarkEnd w:id="504"/>
    <w:p w14:paraId="72903E01">
      <w:pPr>
        <w:adjustRightInd w:val="0"/>
        <w:snapToGrid w:val="0"/>
        <w:ind w:firstLine="480" w:firstLineChars="200"/>
        <w:rPr>
          <w:color w:val="auto"/>
          <w:highlight w:val="none"/>
        </w:rPr>
      </w:pPr>
      <w:r>
        <w:rPr>
          <w:rFonts w:hint="eastAsia"/>
          <w:color w:val="auto"/>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F0141C2">
      <w:pPr>
        <w:adjustRightInd w:val="0"/>
        <w:snapToGrid w:val="0"/>
        <w:ind w:firstLine="480" w:firstLineChars="200"/>
        <w:rPr>
          <w:color w:val="auto"/>
          <w:highlight w:val="none"/>
        </w:rPr>
      </w:pPr>
      <w:r>
        <w:rPr>
          <w:rFonts w:hint="eastAsia"/>
          <w:color w:val="auto"/>
          <w:highlight w:val="none"/>
        </w:rPr>
        <w:t>涉及设计变更的，应由设计人提供变更后的图纸和说明。如变更超过原设计标准或批准的建设规模时，发包人应及时办理规划、设计变更等审批手续。</w:t>
      </w:r>
    </w:p>
    <w:p w14:paraId="26784134">
      <w:pPr>
        <w:adjustRightInd w:val="0"/>
        <w:snapToGrid w:val="0"/>
        <w:ind w:firstLine="480" w:firstLineChars="200"/>
        <w:rPr>
          <w:color w:val="auto"/>
          <w:highlight w:val="none"/>
        </w:rPr>
      </w:pPr>
      <w:r>
        <w:rPr>
          <w:rFonts w:hint="eastAsia"/>
          <w:color w:val="auto"/>
          <w:highlight w:val="none"/>
        </w:rPr>
        <w:t>合同履行过程中发现图纸、指示、他人所做的工作或场地条件出现任何冲突、错误或不合理、疏漏或分歧，承包人应立刻书面通知监理人和发包人，并按照监理人和发包人答复的处理意见实施。</w:t>
      </w:r>
    </w:p>
    <w:p w14:paraId="3CFE2D99">
      <w:pPr>
        <w:adjustRightInd w:val="0"/>
        <w:snapToGrid w:val="0"/>
        <w:ind w:firstLine="482" w:firstLineChars="200"/>
        <w:rPr>
          <w:b/>
          <w:color w:val="auto"/>
          <w:highlight w:val="none"/>
        </w:rPr>
      </w:pPr>
      <w:bookmarkStart w:id="505" w:name="_Toc400486423"/>
      <w:bookmarkStart w:id="506" w:name="_Toc399776243"/>
      <w:bookmarkStart w:id="507" w:name="_Toc400522431"/>
      <w:bookmarkStart w:id="508" w:name="_Toc399775176"/>
      <w:bookmarkStart w:id="509" w:name="_Toc400485450"/>
      <w:bookmarkStart w:id="510" w:name="_Toc351203570"/>
      <w:bookmarkStart w:id="511" w:name="_Toc399775796"/>
      <w:r>
        <w:rPr>
          <w:rFonts w:hint="eastAsia"/>
          <w:b/>
          <w:color w:val="auto"/>
          <w:highlight w:val="none"/>
        </w:rPr>
        <w:t>1</w:t>
      </w:r>
      <w:bookmarkStart w:id="512" w:name="_Toc296346587"/>
      <w:bookmarkStart w:id="513" w:name="_Toc337558790"/>
      <w:bookmarkStart w:id="514" w:name="_Toc296503086"/>
      <w:r>
        <w:rPr>
          <w:rFonts w:hint="eastAsia"/>
          <w:b/>
          <w:color w:val="auto"/>
          <w:highlight w:val="none"/>
        </w:rPr>
        <w:t>0.3 变更程序</w:t>
      </w:r>
      <w:bookmarkEnd w:id="505"/>
      <w:bookmarkEnd w:id="506"/>
      <w:bookmarkEnd w:id="507"/>
      <w:bookmarkEnd w:id="508"/>
      <w:bookmarkEnd w:id="509"/>
      <w:bookmarkEnd w:id="510"/>
      <w:bookmarkEnd w:id="511"/>
    </w:p>
    <w:bookmarkEnd w:id="512"/>
    <w:bookmarkEnd w:id="513"/>
    <w:bookmarkEnd w:id="514"/>
    <w:p w14:paraId="337AECC0">
      <w:pPr>
        <w:adjustRightInd w:val="0"/>
        <w:snapToGrid w:val="0"/>
        <w:ind w:firstLine="480" w:firstLineChars="200"/>
        <w:rPr>
          <w:color w:val="auto"/>
          <w:highlight w:val="none"/>
        </w:rPr>
      </w:pPr>
      <w:r>
        <w:rPr>
          <w:rFonts w:hint="eastAsia"/>
          <w:color w:val="auto"/>
          <w:highlight w:val="none"/>
        </w:rPr>
        <w:t>10.3.1 发包人提出变更</w:t>
      </w:r>
    </w:p>
    <w:p w14:paraId="1A89A518">
      <w:pPr>
        <w:adjustRightInd w:val="0"/>
        <w:snapToGrid w:val="0"/>
        <w:ind w:firstLine="480" w:firstLineChars="200"/>
        <w:rPr>
          <w:color w:val="auto"/>
          <w:highlight w:val="none"/>
        </w:rPr>
      </w:pPr>
      <w:r>
        <w:rPr>
          <w:rFonts w:hint="eastAsia"/>
          <w:color w:val="auto"/>
          <w:highlight w:val="none"/>
        </w:rPr>
        <w:t>发包人提出变更的，应通过监理人向承包人发出变更指示，变更指示应说明计划变更的工程范围和变更的内容。</w:t>
      </w:r>
    </w:p>
    <w:p w14:paraId="003C9542">
      <w:pPr>
        <w:adjustRightInd w:val="0"/>
        <w:snapToGrid w:val="0"/>
        <w:ind w:firstLine="480" w:firstLineChars="200"/>
        <w:rPr>
          <w:color w:val="auto"/>
          <w:highlight w:val="none"/>
        </w:rPr>
      </w:pPr>
      <w:r>
        <w:rPr>
          <w:rFonts w:hint="eastAsia"/>
          <w:color w:val="auto"/>
          <w:highlight w:val="none"/>
        </w:rPr>
        <w:t>10.3.2 监理人提出变更建议</w:t>
      </w:r>
    </w:p>
    <w:p w14:paraId="63E51769">
      <w:pPr>
        <w:adjustRightInd w:val="0"/>
        <w:snapToGrid w:val="0"/>
        <w:ind w:firstLine="480" w:firstLineChars="200"/>
        <w:rPr>
          <w:color w:val="auto"/>
          <w:highlight w:val="none"/>
        </w:rPr>
      </w:pPr>
      <w:r>
        <w:rPr>
          <w:rFonts w:hint="eastAsia"/>
          <w:color w:val="auto"/>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583580E">
      <w:pPr>
        <w:adjustRightInd w:val="0"/>
        <w:snapToGrid w:val="0"/>
        <w:ind w:firstLine="480" w:firstLineChars="200"/>
        <w:rPr>
          <w:color w:val="auto"/>
          <w:highlight w:val="none"/>
        </w:rPr>
      </w:pPr>
      <w:r>
        <w:rPr>
          <w:rFonts w:hint="eastAsia"/>
          <w:color w:val="auto"/>
          <w:highlight w:val="none"/>
        </w:rPr>
        <w:t>10.3.3 变更执行</w:t>
      </w:r>
    </w:p>
    <w:p w14:paraId="1AF74252">
      <w:pPr>
        <w:adjustRightInd w:val="0"/>
        <w:snapToGrid w:val="0"/>
        <w:ind w:firstLine="480" w:firstLineChars="200"/>
        <w:rPr>
          <w:color w:val="auto"/>
          <w:highlight w:val="none"/>
        </w:rPr>
      </w:pPr>
      <w:r>
        <w:rPr>
          <w:rFonts w:hint="eastAsia"/>
          <w:color w:val="auto"/>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约定确定变更估价。</w:t>
      </w:r>
    </w:p>
    <w:p w14:paraId="7E78EBBB">
      <w:pPr>
        <w:adjustRightInd w:val="0"/>
        <w:snapToGrid w:val="0"/>
        <w:ind w:firstLine="482" w:firstLineChars="200"/>
        <w:rPr>
          <w:b/>
          <w:color w:val="auto"/>
          <w:highlight w:val="none"/>
        </w:rPr>
      </w:pPr>
      <w:bookmarkStart w:id="515" w:name="_Toc400485451"/>
      <w:bookmarkStart w:id="516" w:name="_Toc400522432"/>
      <w:bookmarkStart w:id="517" w:name="_Toc399775177"/>
      <w:bookmarkStart w:id="518" w:name="_Toc400486424"/>
      <w:bookmarkStart w:id="519" w:name="_Toc399775797"/>
      <w:bookmarkStart w:id="520" w:name="_Toc399776244"/>
      <w:bookmarkStart w:id="521" w:name="_Toc351203571"/>
      <w:r>
        <w:rPr>
          <w:rFonts w:hint="eastAsia"/>
          <w:b/>
          <w:color w:val="auto"/>
          <w:highlight w:val="none"/>
        </w:rPr>
        <w:t>1</w:t>
      </w:r>
      <w:bookmarkStart w:id="522" w:name="_Toc296503087"/>
      <w:bookmarkStart w:id="523" w:name="_Toc296346588"/>
      <w:bookmarkStart w:id="524" w:name="_Toc337558791"/>
      <w:r>
        <w:rPr>
          <w:rFonts w:hint="eastAsia"/>
          <w:b/>
          <w:color w:val="auto"/>
          <w:highlight w:val="none"/>
        </w:rPr>
        <w:t>0.4 变更估价</w:t>
      </w:r>
      <w:bookmarkEnd w:id="515"/>
      <w:bookmarkEnd w:id="516"/>
      <w:bookmarkEnd w:id="517"/>
      <w:bookmarkEnd w:id="518"/>
      <w:bookmarkEnd w:id="519"/>
      <w:bookmarkEnd w:id="520"/>
      <w:bookmarkEnd w:id="521"/>
    </w:p>
    <w:bookmarkEnd w:id="522"/>
    <w:bookmarkEnd w:id="523"/>
    <w:bookmarkEnd w:id="524"/>
    <w:p w14:paraId="38B4BD43">
      <w:pPr>
        <w:adjustRightInd w:val="0"/>
        <w:snapToGrid w:val="0"/>
        <w:ind w:firstLine="480" w:firstLineChars="200"/>
        <w:rPr>
          <w:color w:val="auto"/>
          <w:highlight w:val="none"/>
        </w:rPr>
      </w:pPr>
      <w:r>
        <w:rPr>
          <w:rFonts w:hint="eastAsia"/>
          <w:color w:val="auto"/>
          <w:highlight w:val="none"/>
        </w:rPr>
        <w:t>10.4.1 变更的估价原则</w:t>
      </w:r>
    </w:p>
    <w:p w14:paraId="726BAAA3">
      <w:pPr>
        <w:adjustRightInd w:val="0"/>
        <w:snapToGrid w:val="0"/>
        <w:ind w:firstLine="480" w:firstLineChars="200"/>
        <w:rPr>
          <w:color w:val="auto"/>
          <w:highlight w:val="none"/>
        </w:rPr>
      </w:pPr>
      <w:r>
        <w:rPr>
          <w:rFonts w:hint="eastAsia"/>
          <w:color w:val="auto"/>
          <w:highlight w:val="none"/>
        </w:rPr>
        <w:t>除专用合同条款另有约定外，因变更引起的价款调整按照以下约定处理：</w:t>
      </w:r>
    </w:p>
    <w:p w14:paraId="64008E73">
      <w:pPr>
        <w:adjustRightInd w:val="0"/>
        <w:snapToGrid w:val="0"/>
        <w:ind w:firstLine="480" w:firstLineChars="200"/>
        <w:rPr>
          <w:color w:val="auto"/>
          <w:highlight w:val="none"/>
        </w:rPr>
      </w:pPr>
      <w:r>
        <w:rPr>
          <w:rFonts w:hint="eastAsia"/>
          <w:color w:val="auto"/>
          <w:highlight w:val="none"/>
        </w:rPr>
        <w:t>（1）预算书中已有适用于变更工作的相应单价的，采用该单价确定价款；</w:t>
      </w:r>
    </w:p>
    <w:p w14:paraId="046A33D4">
      <w:pPr>
        <w:adjustRightInd w:val="0"/>
        <w:snapToGrid w:val="0"/>
        <w:ind w:firstLine="480" w:firstLineChars="200"/>
        <w:rPr>
          <w:color w:val="auto"/>
          <w:highlight w:val="none"/>
        </w:rPr>
      </w:pPr>
      <w:r>
        <w:rPr>
          <w:rFonts w:hint="eastAsia"/>
          <w:color w:val="auto"/>
          <w:highlight w:val="none"/>
        </w:rPr>
        <w:t xml:space="preserve">（2）预算书中无适用于变更工作的相应单价，但有类似单价的，可在合理范围内参照类似单价，确定变更工作的价款； </w:t>
      </w:r>
    </w:p>
    <w:p w14:paraId="0E09CFFE">
      <w:pPr>
        <w:adjustRightInd w:val="0"/>
        <w:snapToGrid w:val="0"/>
        <w:ind w:firstLine="480" w:firstLineChars="200"/>
        <w:rPr>
          <w:color w:val="auto"/>
          <w:highlight w:val="none"/>
        </w:rPr>
      </w:pPr>
      <w:r>
        <w:rPr>
          <w:rFonts w:hint="eastAsia"/>
          <w:color w:val="auto"/>
          <w:highlight w:val="none"/>
        </w:rPr>
        <w:t>（3）预算书中无适用或类似单价的，可参照原预算书编制的计价依据，确定变更工作的价款。</w:t>
      </w:r>
    </w:p>
    <w:p w14:paraId="7AF9E236">
      <w:pPr>
        <w:adjustRightInd w:val="0"/>
        <w:snapToGrid w:val="0"/>
        <w:ind w:firstLine="480" w:firstLineChars="200"/>
        <w:rPr>
          <w:color w:val="auto"/>
          <w:highlight w:val="none"/>
        </w:rPr>
      </w:pPr>
      <w:r>
        <w:rPr>
          <w:rFonts w:hint="eastAsia"/>
          <w:color w:val="auto"/>
          <w:highlight w:val="none"/>
        </w:rPr>
        <w:t>10.4.2 变更估价程序</w:t>
      </w:r>
    </w:p>
    <w:p w14:paraId="6172A237">
      <w:pPr>
        <w:adjustRightInd w:val="0"/>
        <w:snapToGrid w:val="0"/>
        <w:ind w:firstLine="480" w:firstLineChars="200"/>
        <w:rPr>
          <w:color w:val="auto"/>
          <w:highlight w:val="none"/>
        </w:rPr>
      </w:pPr>
      <w:r>
        <w:rPr>
          <w:rFonts w:hint="eastAsia"/>
          <w:color w:val="auto"/>
          <w:highlight w:val="none"/>
        </w:rPr>
        <w:t>除专用合同条款另有约定外，承包人应在收到变更指示后14天内，向监理人提交变更估价申请。监理人应在收到承包人提交的变更估价申请后7天内审查完毕并报送发包人。监理人对变更估价申请有异议的，通知承包人修改后重新提交。发包人应在承包人提交变更估价申请后14天内审批完毕。发包人逾期未完成审批或未提出异议的，视为认可承包人提交的变更估价申请。</w:t>
      </w:r>
    </w:p>
    <w:p w14:paraId="4B21AA71">
      <w:pPr>
        <w:adjustRightInd w:val="0"/>
        <w:snapToGrid w:val="0"/>
        <w:ind w:firstLine="482" w:firstLineChars="200"/>
        <w:rPr>
          <w:b/>
          <w:color w:val="auto"/>
          <w:highlight w:val="none"/>
        </w:rPr>
      </w:pPr>
      <w:bookmarkStart w:id="525" w:name="_Toc400522433"/>
      <w:bookmarkStart w:id="526" w:name="_Toc399775798"/>
      <w:bookmarkStart w:id="527" w:name="_Toc400485452"/>
      <w:bookmarkStart w:id="528" w:name="_Toc351203572"/>
      <w:bookmarkStart w:id="529" w:name="_Toc399775178"/>
      <w:bookmarkStart w:id="530" w:name="_Toc400486425"/>
      <w:bookmarkStart w:id="531" w:name="_Toc399776245"/>
      <w:r>
        <w:rPr>
          <w:rFonts w:hint="eastAsia"/>
          <w:b/>
          <w:color w:val="auto"/>
          <w:highlight w:val="none"/>
        </w:rPr>
        <w:t>1</w:t>
      </w:r>
      <w:bookmarkStart w:id="532" w:name="_Toc337558792"/>
      <w:bookmarkStart w:id="533" w:name="_Toc296346595"/>
      <w:bookmarkStart w:id="534" w:name="_Toc296503094"/>
      <w:r>
        <w:rPr>
          <w:rFonts w:hint="eastAsia"/>
          <w:b/>
          <w:color w:val="auto"/>
          <w:highlight w:val="none"/>
        </w:rPr>
        <w:t>0.5 承包人的合理化建议</w:t>
      </w:r>
      <w:bookmarkEnd w:id="525"/>
      <w:bookmarkEnd w:id="526"/>
      <w:bookmarkEnd w:id="527"/>
      <w:bookmarkEnd w:id="528"/>
      <w:bookmarkEnd w:id="529"/>
      <w:bookmarkEnd w:id="530"/>
      <w:bookmarkEnd w:id="531"/>
    </w:p>
    <w:bookmarkEnd w:id="532"/>
    <w:bookmarkEnd w:id="533"/>
    <w:bookmarkEnd w:id="534"/>
    <w:p w14:paraId="11F378D7">
      <w:pPr>
        <w:adjustRightInd w:val="0"/>
        <w:snapToGrid w:val="0"/>
        <w:ind w:firstLine="480" w:firstLineChars="200"/>
        <w:rPr>
          <w:color w:val="auto"/>
          <w:highlight w:val="none"/>
        </w:rPr>
      </w:pPr>
      <w:r>
        <w:rPr>
          <w:rFonts w:hint="eastAsia"/>
          <w:color w:val="auto"/>
          <w:highlight w:val="none"/>
        </w:rPr>
        <w:t>10.5.1 承包人提出合理化建议的，应向监理人提交合理化建议说明，说明建议的内容和理由，以及实施该建议对合同价款和工期的影响。</w:t>
      </w:r>
    </w:p>
    <w:p w14:paraId="316C5330">
      <w:pPr>
        <w:adjustRightInd w:val="0"/>
        <w:snapToGrid w:val="0"/>
        <w:ind w:firstLine="480" w:firstLineChars="200"/>
        <w:rPr>
          <w:color w:val="auto"/>
          <w:highlight w:val="none"/>
        </w:rPr>
      </w:pPr>
      <w:r>
        <w:rPr>
          <w:rFonts w:hint="eastAsia"/>
          <w:color w:val="auto"/>
          <w:highlight w:val="none"/>
        </w:rPr>
        <w:t>10.5.2 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款调整按照第10.4款约定执行。发包人不同意变更的，监理人应书面通知承包人。</w:t>
      </w:r>
    </w:p>
    <w:p w14:paraId="6B0AD667">
      <w:pPr>
        <w:adjustRightInd w:val="0"/>
        <w:snapToGrid w:val="0"/>
        <w:ind w:firstLine="480" w:firstLineChars="200"/>
        <w:rPr>
          <w:color w:val="auto"/>
          <w:highlight w:val="none"/>
        </w:rPr>
      </w:pPr>
      <w:r>
        <w:rPr>
          <w:rFonts w:hint="eastAsia"/>
          <w:color w:val="auto"/>
          <w:highlight w:val="none"/>
        </w:rPr>
        <w:t>10.5.3 合理化建议降低了合同价款或者提高了工程经济效益的，发包人可对承包人给予奖励，奖励的方法和金额在专用合同条款中约定。</w:t>
      </w:r>
    </w:p>
    <w:p w14:paraId="65DDB0C9">
      <w:pPr>
        <w:keepNext/>
        <w:keepLines/>
        <w:adjustRightInd w:val="0"/>
        <w:snapToGrid w:val="0"/>
        <w:outlineLvl w:val="1"/>
        <w:rPr>
          <w:rFonts w:ascii="Arial"/>
          <w:b/>
          <w:bCs/>
          <w:color w:val="auto"/>
          <w:highlight w:val="none"/>
        </w:rPr>
      </w:pPr>
      <w:bookmarkStart w:id="535" w:name="_Toc399776250"/>
      <w:bookmarkStart w:id="536" w:name="_Toc256000066"/>
      <w:bookmarkStart w:id="537" w:name="_Toc91660612"/>
      <w:bookmarkStart w:id="538" w:name="_Toc399775803"/>
      <w:bookmarkStart w:id="539" w:name="_Toc400522438"/>
      <w:bookmarkStart w:id="540" w:name="_Toc10314"/>
      <w:bookmarkStart w:id="541" w:name="_Toc399775183"/>
      <w:bookmarkStart w:id="542" w:name="_Toc81225280"/>
      <w:bookmarkStart w:id="543" w:name="_Toc400486430"/>
      <w:bookmarkStart w:id="544" w:name="_Toc400485457"/>
      <w:bookmarkStart w:id="545" w:name="_Toc351203577"/>
      <w:bookmarkStart w:id="546" w:name="_Toc117018797"/>
      <w:bookmarkStart w:id="547" w:name="_Toc119953733"/>
      <w:bookmarkStart w:id="548" w:name="_Toc99782820"/>
      <w:r>
        <w:rPr>
          <w:rFonts w:ascii="Arial"/>
          <w:b/>
          <w:bCs/>
          <w:color w:val="auto"/>
          <w:highlight w:val="none"/>
        </w:rPr>
        <w:t xml:space="preserve">11. </w:t>
      </w:r>
      <w:r>
        <w:rPr>
          <w:rFonts w:hint="eastAsia" w:ascii="Arial"/>
          <w:b/>
          <w:bCs/>
          <w:color w:val="auto"/>
          <w:highlight w:val="none"/>
        </w:rPr>
        <w:t>价款调整</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468D85C0">
      <w:pPr>
        <w:adjustRightInd w:val="0"/>
        <w:snapToGrid w:val="0"/>
        <w:ind w:firstLine="482" w:firstLineChars="200"/>
        <w:rPr>
          <w:b/>
          <w:color w:val="auto"/>
          <w:highlight w:val="none"/>
        </w:rPr>
      </w:pPr>
      <w:r>
        <w:rPr>
          <w:rFonts w:hint="eastAsia"/>
          <w:b/>
          <w:color w:val="auto"/>
          <w:highlight w:val="none"/>
        </w:rPr>
        <w:t>11.1合同价款中包含的风险费用</w:t>
      </w:r>
    </w:p>
    <w:p w14:paraId="58657D95">
      <w:pPr>
        <w:adjustRightInd w:val="0"/>
        <w:snapToGrid w:val="0"/>
        <w:ind w:firstLine="480" w:firstLineChars="200"/>
        <w:rPr>
          <w:color w:val="auto"/>
          <w:highlight w:val="none"/>
        </w:rPr>
      </w:pPr>
      <w:r>
        <w:rPr>
          <w:rFonts w:hint="eastAsia"/>
          <w:color w:val="auto"/>
          <w:highlight w:val="none"/>
        </w:rPr>
        <w:t>发包人和承包人在专用合同条款中选择下列一种固定总价合同中所包含的风险费用：</w:t>
      </w:r>
    </w:p>
    <w:p w14:paraId="768AB204">
      <w:pPr>
        <w:adjustRightInd w:val="0"/>
        <w:snapToGrid w:val="0"/>
        <w:ind w:firstLine="480" w:firstLineChars="200"/>
        <w:rPr>
          <w:color w:val="auto"/>
          <w:highlight w:val="none"/>
        </w:rPr>
      </w:pPr>
      <w:r>
        <w:rPr>
          <w:rFonts w:hint="eastAsia"/>
          <w:color w:val="auto"/>
          <w:highlight w:val="none"/>
        </w:rPr>
        <w:t>（1）合同期内市场人工等各种价格波动造成的成本变化，包括市场物价的不稳定因素，各项调价因素，气候等自然条件的不利影响，技术经济条件发生变化（如资源、劳动力、交通条件等），国家宏观经济调控政策引起的影响以及其他难以预测的费用，承包范围内工程量和报价出现的漏算或少算、非承包人原因引起工期的延长、停（窝）工或不能连续施工、工作时间的延长及节假日加班、施工进场次数的不确定等有可能产生的费用。</w:t>
      </w:r>
    </w:p>
    <w:p w14:paraId="5D0CF44B">
      <w:pPr>
        <w:adjustRightInd w:val="0"/>
        <w:snapToGrid w:val="0"/>
        <w:ind w:firstLine="480" w:firstLineChars="200"/>
        <w:rPr>
          <w:color w:val="auto"/>
          <w:highlight w:val="none"/>
        </w:rPr>
      </w:pPr>
      <w:r>
        <w:rPr>
          <w:rFonts w:hint="eastAsia"/>
          <w:color w:val="auto"/>
          <w:highlight w:val="none"/>
        </w:rPr>
        <w:t>（2）合同价款中的风险费用包含以下内容:</w:t>
      </w:r>
    </w:p>
    <w:p w14:paraId="562A4E17">
      <w:pPr>
        <w:adjustRightInd w:val="0"/>
        <w:snapToGrid w:val="0"/>
        <w:ind w:firstLine="480" w:firstLineChars="200"/>
        <w:rPr>
          <w:color w:val="auto"/>
          <w:highlight w:val="none"/>
        </w:rPr>
      </w:pPr>
      <w:r>
        <w:rPr>
          <w:rFonts w:hint="eastAsia"/>
          <w:color w:val="auto"/>
          <w:highlight w:val="none"/>
        </w:rPr>
        <w:t>a.合同期内气候等自然条件的不利影响，承包范围内工程量和报价出现的漏算或少算、节假日加班、施工进场次数的不确定等有可能产生的费用。</w:t>
      </w:r>
    </w:p>
    <w:p w14:paraId="3572316D">
      <w:pPr>
        <w:adjustRightInd w:val="0"/>
        <w:snapToGrid w:val="0"/>
        <w:ind w:firstLine="480" w:firstLineChars="200"/>
        <w:rPr>
          <w:color w:val="auto"/>
          <w:highlight w:val="none"/>
        </w:rPr>
      </w:pPr>
      <w:r>
        <w:rPr>
          <w:rFonts w:hint="eastAsia"/>
          <w:color w:val="auto"/>
          <w:highlight w:val="none"/>
        </w:rPr>
        <w:t>b.非承包人原因引起工期超出合同约定工期20%（含20%）以内所涉及的费用。</w:t>
      </w:r>
    </w:p>
    <w:p w14:paraId="3DB8E869">
      <w:pPr>
        <w:adjustRightInd w:val="0"/>
        <w:snapToGrid w:val="0"/>
        <w:ind w:firstLine="480" w:firstLineChars="200"/>
        <w:rPr>
          <w:color w:val="auto"/>
          <w:highlight w:val="none"/>
        </w:rPr>
      </w:pPr>
      <w:r>
        <w:rPr>
          <w:rFonts w:hint="eastAsia"/>
          <w:color w:val="auto"/>
          <w:highlight w:val="none"/>
        </w:rPr>
        <w:t>c.合同期内市场人工、材料、机械等各种价格波动造成的成本变化，包括市场物价的不稳定因素，各项调价因素等所涉及的风险费用按第11.2.1项的约定调整。</w:t>
      </w:r>
    </w:p>
    <w:p w14:paraId="41A330FC">
      <w:pPr>
        <w:adjustRightInd w:val="0"/>
        <w:snapToGrid w:val="0"/>
        <w:ind w:firstLine="480" w:firstLineChars="200"/>
        <w:rPr>
          <w:color w:val="auto"/>
          <w:highlight w:val="none"/>
        </w:rPr>
      </w:pPr>
      <w:r>
        <w:rPr>
          <w:rFonts w:hint="eastAsia"/>
          <w:color w:val="auto"/>
          <w:highlight w:val="none"/>
        </w:rPr>
        <w:t>d. 国家宏观经济调控政策引起的影响所涉及的风险费用在专用合同条款中约定。</w:t>
      </w:r>
    </w:p>
    <w:p w14:paraId="77590817">
      <w:pPr>
        <w:adjustRightInd w:val="0"/>
        <w:snapToGrid w:val="0"/>
        <w:ind w:firstLine="480" w:firstLineChars="200"/>
        <w:rPr>
          <w:color w:val="auto"/>
          <w:highlight w:val="none"/>
        </w:rPr>
      </w:pPr>
      <w:r>
        <w:rPr>
          <w:rFonts w:hint="eastAsia"/>
          <w:color w:val="auto"/>
          <w:highlight w:val="none"/>
        </w:rPr>
        <w:t>（3）合同价款中的风险费用在专用合同条款中另行约定。</w:t>
      </w:r>
    </w:p>
    <w:p w14:paraId="61262A8F">
      <w:pPr>
        <w:adjustRightInd w:val="0"/>
        <w:snapToGrid w:val="0"/>
        <w:ind w:firstLine="482" w:firstLineChars="200"/>
        <w:rPr>
          <w:b/>
          <w:color w:val="auto"/>
          <w:highlight w:val="none"/>
        </w:rPr>
      </w:pPr>
      <w:bookmarkStart w:id="549" w:name="_Toc400486431"/>
      <w:bookmarkStart w:id="550" w:name="_Toc399775804"/>
      <w:bookmarkStart w:id="551" w:name="_Toc399776251"/>
      <w:bookmarkStart w:id="552" w:name="_Toc351203578"/>
      <w:bookmarkStart w:id="553" w:name="_Toc400522439"/>
      <w:bookmarkStart w:id="554" w:name="_Toc399775184"/>
      <w:bookmarkStart w:id="555" w:name="_Toc400485458"/>
      <w:bookmarkStart w:id="556" w:name="_Toc296346593"/>
      <w:bookmarkStart w:id="557" w:name="_Toc337558797"/>
      <w:bookmarkStart w:id="558" w:name="_Toc296503092"/>
      <w:r>
        <w:rPr>
          <w:rFonts w:hint="eastAsia"/>
          <w:b/>
          <w:color w:val="auto"/>
          <w:highlight w:val="none"/>
        </w:rPr>
        <w:t>11.2 合同价款调整</w:t>
      </w:r>
    </w:p>
    <w:p w14:paraId="0A405DB8">
      <w:pPr>
        <w:adjustRightInd w:val="0"/>
        <w:snapToGrid w:val="0"/>
        <w:ind w:firstLine="480" w:firstLineChars="200"/>
        <w:rPr>
          <w:color w:val="auto"/>
          <w:highlight w:val="none"/>
        </w:rPr>
      </w:pPr>
      <w:r>
        <w:rPr>
          <w:rFonts w:hint="eastAsia"/>
          <w:color w:val="auto"/>
          <w:highlight w:val="none"/>
        </w:rPr>
        <w:t>11.2.1 市场价格波动引起的调整</w:t>
      </w:r>
      <w:bookmarkEnd w:id="549"/>
      <w:bookmarkEnd w:id="550"/>
      <w:bookmarkEnd w:id="551"/>
      <w:bookmarkEnd w:id="552"/>
      <w:bookmarkEnd w:id="553"/>
      <w:bookmarkEnd w:id="554"/>
      <w:bookmarkEnd w:id="555"/>
    </w:p>
    <w:bookmarkEnd w:id="556"/>
    <w:bookmarkEnd w:id="557"/>
    <w:bookmarkEnd w:id="558"/>
    <w:p w14:paraId="63F81970">
      <w:pPr>
        <w:adjustRightInd w:val="0"/>
        <w:snapToGrid w:val="0"/>
        <w:ind w:firstLine="480" w:firstLineChars="200"/>
        <w:rPr>
          <w:color w:val="auto"/>
          <w:highlight w:val="none"/>
        </w:rPr>
      </w:pPr>
      <w:r>
        <w:rPr>
          <w:rFonts w:hint="eastAsia"/>
          <w:color w:val="auto"/>
          <w:highlight w:val="none"/>
        </w:rPr>
        <w:t>除专用合同条款另有约定外，市场价格波动超过合同当事人约定的范围，合同价款应当调整。合同当事人可以在专用合同条款中约定选择以下一种方式对合同价款进行调整：</w:t>
      </w:r>
    </w:p>
    <w:p w14:paraId="23FFEA37">
      <w:pPr>
        <w:adjustRightInd w:val="0"/>
        <w:snapToGrid w:val="0"/>
        <w:ind w:firstLine="480" w:firstLineChars="200"/>
        <w:rPr>
          <w:color w:val="auto"/>
          <w:highlight w:val="none"/>
        </w:rPr>
      </w:pPr>
      <w:r>
        <w:rPr>
          <w:rFonts w:hint="eastAsia"/>
          <w:color w:val="auto"/>
          <w:highlight w:val="none"/>
        </w:rPr>
        <w:t>第1种方式：采用价格指数进行价格调整。</w:t>
      </w:r>
    </w:p>
    <w:p w14:paraId="79A7000D">
      <w:pPr>
        <w:adjustRightInd w:val="0"/>
        <w:snapToGrid w:val="0"/>
        <w:ind w:firstLine="480" w:firstLineChars="200"/>
        <w:rPr>
          <w:color w:val="auto"/>
          <w:highlight w:val="none"/>
        </w:rPr>
      </w:pPr>
      <w:r>
        <w:rPr>
          <w:rFonts w:hint="eastAsia"/>
          <w:color w:val="auto"/>
          <w:highlight w:val="none"/>
        </w:rPr>
        <w:t>（1）价格调整公式</w:t>
      </w:r>
    </w:p>
    <w:p w14:paraId="14CCBA3F">
      <w:pPr>
        <w:adjustRightInd w:val="0"/>
        <w:snapToGrid w:val="0"/>
        <w:ind w:firstLine="480" w:firstLineChars="200"/>
        <w:rPr>
          <w:color w:val="auto"/>
          <w:highlight w:val="none"/>
        </w:rPr>
      </w:pPr>
      <w:r>
        <w:rPr>
          <w:rFonts w:hint="eastAsia"/>
          <w:color w:val="auto"/>
          <w:highlight w:val="none"/>
        </w:rPr>
        <w:t>因人工、材料和设备等价格波动影响合同价格时，根据专用合同条款中约定的数据，按以下公式计算差额并调整合同价格：</w:t>
      </w:r>
    </w:p>
    <w:p w14:paraId="2865F493">
      <w:pPr>
        <w:adjustRightInd w:val="0"/>
        <w:snapToGrid w:val="0"/>
        <w:ind w:firstLine="480" w:firstLineChars="200"/>
        <w:rPr>
          <w:color w:val="auto"/>
          <w:highlight w:val="none"/>
        </w:rPr>
      </w:pPr>
      <w:r>
        <w:rPr>
          <w:rFonts w:hint="eastAsia"/>
          <w:color w:val="auto"/>
          <w:highlight w:val="none"/>
        </w:rPr>
        <w:drawing>
          <wp:inline distT="0" distB="0" distL="114300" distR="114300">
            <wp:extent cx="4572000" cy="553085"/>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8"/>
                    <a:stretch>
                      <a:fillRect/>
                    </a:stretch>
                  </pic:blipFill>
                  <pic:spPr>
                    <a:xfrm>
                      <a:off x="0" y="0"/>
                      <a:ext cx="4572000" cy="553085"/>
                    </a:xfrm>
                    <a:prstGeom prst="rect">
                      <a:avLst/>
                    </a:prstGeom>
                    <a:noFill/>
                    <a:ln>
                      <a:noFill/>
                    </a:ln>
                  </pic:spPr>
                </pic:pic>
              </a:graphicData>
            </a:graphic>
          </wp:inline>
        </w:drawing>
      </w:r>
    </w:p>
    <w:p w14:paraId="1E9891F3">
      <w:pPr>
        <w:adjustRightInd w:val="0"/>
        <w:snapToGrid w:val="0"/>
        <w:ind w:firstLine="480" w:firstLineChars="200"/>
        <w:rPr>
          <w:color w:val="auto"/>
          <w:highlight w:val="none"/>
        </w:rPr>
      </w:pPr>
      <w:r>
        <w:rPr>
          <w:rFonts w:hint="eastAsia"/>
          <w:color w:val="auto"/>
          <w:highlight w:val="none"/>
        </w:rPr>
        <w:t>公式中：ΔP——需调整的价格差额；</w:t>
      </w:r>
    </w:p>
    <w:p w14:paraId="4801627A">
      <w:pPr>
        <w:adjustRightInd w:val="0"/>
        <w:snapToGrid w:val="0"/>
        <w:ind w:firstLine="480" w:firstLineChars="200"/>
        <w:rPr>
          <w:color w:val="auto"/>
          <w:highlight w:val="none"/>
        </w:rPr>
      </w:pPr>
      <w:r>
        <w:rPr>
          <w:rFonts w:hint="eastAsia"/>
          <w:color w:val="auto"/>
          <w:highlight w:val="none"/>
        </w:rPr>
        <w:drawing>
          <wp:inline distT="0" distB="0" distL="114300" distR="114300">
            <wp:extent cx="180975" cy="180975"/>
            <wp:effectExtent l="0" t="0" r="952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9"/>
                    <a:stretch>
                      <a:fillRect/>
                    </a:stretch>
                  </pic:blipFill>
                  <pic:spPr>
                    <a:xfrm>
                      <a:off x="0" y="0"/>
                      <a:ext cx="180975" cy="180975"/>
                    </a:xfrm>
                    <a:prstGeom prst="rect">
                      <a:avLst/>
                    </a:prstGeom>
                    <a:noFill/>
                    <a:ln>
                      <a:noFill/>
                    </a:ln>
                  </pic:spPr>
                </pic:pic>
              </a:graphicData>
            </a:graphic>
          </wp:inline>
        </w:drawing>
      </w:r>
      <w:r>
        <w:rPr>
          <w:rFonts w:hint="eastAsia"/>
          <w:color w:val="auto"/>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1AFA295">
      <w:pPr>
        <w:adjustRightInd w:val="0"/>
        <w:snapToGrid w:val="0"/>
        <w:ind w:firstLine="480" w:firstLineChars="200"/>
        <w:rPr>
          <w:color w:val="auto"/>
          <w:highlight w:val="none"/>
        </w:rPr>
      </w:pPr>
      <w:r>
        <w:rPr>
          <w:rFonts w:hint="eastAsia"/>
          <w:color w:val="auto"/>
          <w:highlight w:val="none"/>
        </w:rPr>
        <w:t>A——定值权重（即不调部分的权重）；</w:t>
      </w:r>
    </w:p>
    <w:p w14:paraId="6286219E">
      <w:pPr>
        <w:adjustRightInd w:val="0"/>
        <w:snapToGrid w:val="0"/>
        <w:ind w:firstLine="480" w:firstLineChars="200"/>
        <w:rPr>
          <w:color w:val="auto"/>
          <w:highlight w:val="none"/>
        </w:rPr>
      </w:pPr>
      <w:r>
        <w:rPr>
          <w:rFonts w:hint="eastAsia"/>
          <w:color w:val="auto"/>
          <w:highlight w:val="none"/>
        </w:rPr>
        <w:drawing>
          <wp:inline distT="0" distB="0" distL="114300" distR="114300">
            <wp:extent cx="1276985" cy="180975"/>
            <wp:effectExtent l="0" t="0" r="0" b="1016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0"/>
                    <a:stretch>
                      <a:fillRect/>
                    </a:stretch>
                  </pic:blipFill>
                  <pic:spPr>
                    <a:xfrm>
                      <a:off x="0" y="0"/>
                      <a:ext cx="1276985" cy="180975"/>
                    </a:xfrm>
                    <a:prstGeom prst="rect">
                      <a:avLst/>
                    </a:prstGeom>
                    <a:noFill/>
                    <a:ln>
                      <a:noFill/>
                    </a:ln>
                  </pic:spPr>
                </pic:pic>
              </a:graphicData>
            </a:graphic>
          </wp:inline>
        </w:drawing>
      </w:r>
      <w:r>
        <w:rPr>
          <w:rFonts w:hint="eastAsia"/>
          <w:color w:val="auto"/>
          <w:highlight w:val="none"/>
        </w:rPr>
        <w:t>——各可调因子的变值权重（即可调部分的权重），为各可调因子在签约合同价中所占的比例；</w:t>
      </w:r>
    </w:p>
    <w:p w14:paraId="09262136">
      <w:pPr>
        <w:adjustRightInd w:val="0"/>
        <w:snapToGrid w:val="0"/>
        <w:ind w:firstLine="480" w:firstLineChars="200"/>
        <w:rPr>
          <w:color w:val="auto"/>
          <w:highlight w:val="none"/>
        </w:rPr>
      </w:pPr>
      <w:r>
        <w:rPr>
          <w:rFonts w:hint="eastAsia"/>
          <w:color w:val="auto"/>
          <w:highlight w:val="none"/>
        </w:rPr>
        <w:drawing>
          <wp:inline distT="0" distB="0" distL="114300" distR="114300">
            <wp:extent cx="1276350" cy="180975"/>
            <wp:effectExtent l="0" t="0" r="0" b="1016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11"/>
                    <a:stretch>
                      <a:fillRect/>
                    </a:stretch>
                  </pic:blipFill>
                  <pic:spPr>
                    <a:xfrm>
                      <a:off x="0" y="0"/>
                      <a:ext cx="1276350" cy="180975"/>
                    </a:xfrm>
                    <a:prstGeom prst="rect">
                      <a:avLst/>
                    </a:prstGeom>
                    <a:noFill/>
                    <a:ln>
                      <a:noFill/>
                    </a:ln>
                  </pic:spPr>
                </pic:pic>
              </a:graphicData>
            </a:graphic>
          </wp:inline>
        </w:drawing>
      </w:r>
      <w:r>
        <w:rPr>
          <w:rFonts w:hint="eastAsia"/>
          <w:color w:val="auto"/>
          <w:highlight w:val="none"/>
        </w:rPr>
        <w:t>——各可调因子的现行价格指数，指约定的付款证书相关周期最后一天的前42天的各可调因子的价格指数；</w:t>
      </w:r>
    </w:p>
    <w:p w14:paraId="0DEC6B5E">
      <w:pPr>
        <w:adjustRightInd w:val="0"/>
        <w:snapToGrid w:val="0"/>
        <w:ind w:firstLine="480" w:firstLineChars="200"/>
        <w:rPr>
          <w:color w:val="auto"/>
          <w:highlight w:val="none"/>
        </w:rPr>
      </w:pPr>
      <w:r>
        <w:rPr>
          <w:rFonts w:hint="eastAsia"/>
          <w:color w:val="auto"/>
          <w:highlight w:val="none"/>
        </w:rPr>
        <w:drawing>
          <wp:inline distT="0" distB="0" distL="114300" distR="114300">
            <wp:extent cx="1370965" cy="180975"/>
            <wp:effectExtent l="0" t="0" r="0" b="1016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12"/>
                    <a:stretch>
                      <a:fillRect/>
                    </a:stretch>
                  </pic:blipFill>
                  <pic:spPr>
                    <a:xfrm>
                      <a:off x="0" y="0"/>
                      <a:ext cx="1370965" cy="180975"/>
                    </a:xfrm>
                    <a:prstGeom prst="rect">
                      <a:avLst/>
                    </a:prstGeom>
                    <a:noFill/>
                    <a:ln>
                      <a:noFill/>
                    </a:ln>
                  </pic:spPr>
                </pic:pic>
              </a:graphicData>
            </a:graphic>
          </wp:inline>
        </w:drawing>
      </w:r>
      <w:r>
        <w:rPr>
          <w:rFonts w:hint="eastAsia"/>
          <w:color w:val="auto"/>
          <w:highlight w:val="none"/>
        </w:rPr>
        <w:t>——各可调因子的基本价格指数，指基准日期的各可调因子的价格指数。</w:t>
      </w:r>
    </w:p>
    <w:p w14:paraId="5D001436">
      <w:pPr>
        <w:adjustRightInd w:val="0"/>
        <w:snapToGrid w:val="0"/>
        <w:ind w:firstLine="480" w:firstLineChars="200"/>
        <w:rPr>
          <w:color w:val="auto"/>
          <w:highlight w:val="none"/>
        </w:rPr>
      </w:pPr>
      <w:r>
        <w:rPr>
          <w:rFonts w:hint="eastAsia"/>
          <w:color w:val="auto"/>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8161F63">
      <w:pPr>
        <w:adjustRightInd w:val="0"/>
        <w:snapToGrid w:val="0"/>
        <w:ind w:firstLine="480" w:firstLineChars="200"/>
        <w:rPr>
          <w:color w:val="auto"/>
          <w:highlight w:val="none"/>
        </w:rPr>
      </w:pPr>
      <w:r>
        <w:rPr>
          <w:rFonts w:hint="eastAsia"/>
          <w:color w:val="auto"/>
          <w:highlight w:val="none"/>
        </w:rPr>
        <w:t>（2）暂时确定调整差额</w:t>
      </w:r>
    </w:p>
    <w:p w14:paraId="571D8388">
      <w:pPr>
        <w:adjustRightInd w:val="0"/>
        <w:snapToGrid w:val="0"/>
        <w:ind w:firstLine="480" w:firstLineChars="200"/>
        <w:rPr>
          <w:color w:val="auto"/>
          <w:highlight w:val="none"/>
        </w:rPr>
      </w:pPr>
      <w:r>
        <w:rPr>
          <w:rFonts w:hint="eastAsia"/>
          <w:color w:val="auto"/>
          <w:highlight w:val="none"/>
        </w:rPr>
        <w:t>在计算调整差额时无现行价格指数的，合同当事人同意暂用前次价格指数计算。实际价格指数有调整的，合同当事人进行相应调整。</w:t>
      </w:r>
    </w:p>
    <w:p w14:paraId="101ECE6D">
      <w:pPr>
        <w:adjustRightInd w:val="0"/>
        <w:snapToGrid w:val="0"/>
        <w:ind w:firstLine="480" w:firstLineChars="200"/>
        <w:rPr>
          <w:color w:val="auto"/>
          <w:highlight w:val="none"/>
        </w:rPr>
      </w:pPr>
      <w:r>
        <w:rPr>
          <w:rFonts w:hint="eastAsia"/>
          <w:color w:val="auto"/>
          <w:highlight w:val="none"/>
        </w:rPr>
        <w:t>（3）权重的调整</w:t>
      </w:r>
    </w:p>
    <w:p w14:paraId="1B157D71">
      <w:pPr>
        <w:adjustRightInd w:val="0"/>
        <w:snapToGrid w:val="0"/>
        <w:ind w:firstLine="480" w:firstLineChars="200"/>
        <w:rPr>
          <w:color w:val="auto"/>
          <w:highlight w:val="none"/>
        </w:rPr>
      </w:pPr>
      <w:r>
        <w:rPr>
          <w:rFonts w:hint="eastAsia"/>
          <w:color w:val="auto"/>
          <w:highlight w:val="none"/>
        </w:rPr>
        <w:t>因变更导致合同约定的权重不合理时，按照第4.5款执行。</w:t>
      </w:r>
    </w:p>
    <w:p w14:paraId="4A71D089">
      <w:pPr>
        <w:adjustRightInd w:val="0"/>
        <w:snapToGrid w:val="0"/>
        <w:ind w:firstLine="480" w:firstLineChars="200"/>
        <w:rPr>
          <w:color w:val="auto"/>
          <w:highlight w:val="none"/>
        </w:rPr>
      </w:pPr>
      <w:r>
        <w:rPr>
          <w:rFonts w:hint="eastAsia"/>
          <w:color w:val="auto"/>
          <w:highlight w:val="none"/>
        </w:rPr>
        <w:t>（4）因承包人原因工期延误后的价格调整</w:t>
      </w:r>
    </w:p>
    <w:p w14:paraId="2C5E26DE">
      <w:pPr>
        <w:adjustRightInd w:val="0"/>
        <w:snapToGrid w:val="0"/>
        <w:ind w:firstLine="480" w:firstLineChars="200"/>
        <w:rPr>
          <w:color w:val="auto"/>
          <w:highlight w:val="none"/>
        </w:rPr>
      </w:pPr>
      <w:r>
        <w:rPr>
          <w:rFonts w:hint="eastAsia"/>
          <w:color w:val="auto"/>
          <w:highlight w:val="none"/>
        </w:rPr>
        <w:t>因承包人原因未按期中间交接或交工的，对合同约定的中间交接或交工日期后继续施工的工程，在使用价格调整公式时，应采用计划中间交接或交工日期与实际中间交接或交工日期的两个价格指数中较低的一个作为现行价格指数。</w:t>
      </w:r>
    </w:p>
    <w:p w14:paraId="35D246F2">
      <w:pPr>
        <w:adjustRightInd w:val="0"/>
        <w:snapToGrid w:val="0"/>
        <w:ind w:firstLine="480" w:firstLineChars="200"/>
        <w:rPr>
          <w:color w:val="auto"/>
          <w:highlight w:val="none"/>
        </w:rPr>
      </w:pPr>
      <w:r>
        <w:rPr>
          <w:rFonts w:hint="eastAsia"/>
          <w:color w:val="auto"/>
          <w:highlight w:val="none"/>
        </w:rPr>
        <w:t>第2种方式：采用造价信息进行价格调整。</w:t>
      </w:r>
    </w:p>
    <w:p w14:paraId="2EE2D670">
      <w:pPr>
        <w:adjustRightInd w:val="0"/>
        <w:snapToGrid w:val="0"/>
        <w:ind w:firstLine="480" w:firstLineChars="200"/>
        <w:rPr>
          <w:rFonts w:eastAsia="仿宋_GB2312"/>
          <w:color w:val="auto"/>
          <w:highlight w:val="none"/>
        </w:rPr>
      </w:pPr>
      <w:r>
        <w:rPr>
          <w:rFonts w:hint="eastAsia"/>
          <w:color w:val="auto"/>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2DA9684">
      <w:pPr>
        <w:adjustRightInd w:val="0"/>
        <w:snapToGrid w:val="0"/>
        <w:ind w:firstLine="480" w:firstLineChars="200"/>
        <w:rPr>
          <w:color w:val="auto"/>
          <w:highlight w:val="none"/>
        </w:rPr>
      </w:pPr>
      <w:r>
        <w:rPr>
          <w:rFonts w:hint="eastAsia"/>
          <w:color w:val="auto"/>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88648DA">
      <w:pPr>
        <w:adjustRightInd w:val="0"/>
        <w:snapToGrid w:val="0"/>
        <w:ind w:firstLine="480" w:firstLineChars="200"/>
        <w:rPr>
          <w:color w:val="auto"/>
          <w:highlight w:val="none"/>
        </w:rPr>
      </w:pPr>
      <w:r>
        <w:rPr>
          <w:rFonts w:hint="eastAsia"/>
          <w:color w:val="auto"/>
          <w:highlight w:val="none"/>
        </w:rPr>
        <w:t>（2）材料、工程设备价格变化的价款调整按照发包人提供的基准价格，按以下风险范围规定执行:</w:t>
      </w:r>
    </w:p>
    <w:p w14:paraId="2DBCDF2D">
      <w:pPr>
        <w:adjustRightInd w:val="0"/>
        <w:snapToGrid w:val="0"/>
        <w:ind w:firstLine="480" w:firstLineChars="200"/>
        <w:rPr>
          <w:color w:val="auto"/>
          <w:highlight w:val="none"/>
        </w:rPr>
      </w:pPr>
      <w:r>
        <w:rPr>
          <w:rFonts w:hint="eastAsia"/>
          <w:color w:val="auto"/>
          <w:highlight w:val="none"/>
        </w:rPr>
        <w:t>①承包人在预算书中载明材料单价低于基准价格的：除专用合同条款另有约定外，合同履行期间材料单价涨幅以基准价格为基础超过5%时，或材料单价跌幅以在预算书中载明材料单价为基础超过5%时，其超过部分据实调整。</w:t>
      </w:r>
    </w:p>
    <w:p w14:paraId="3A8310F8">
      <w:pPr>
        <w:adjustRightInd w:val="0"/>
        <w:snapToGrid w:val="0"/>
        <w:ind w:firstLine="480" w:firstLineChars="200"/>
        <w:rPr>
          <w:color w:val="auto"/>
          <w:highlight w:val="none"/>
        </w:rPr>
      </w:pPr>
      <w:r>
        <w:rPr>
          <w:rFonts w:hint="eastAsia"/>
          <w:color w:val="auto"/>
          <w:highlight w:val="none"/>
        </w:rPr>
        <w:t>②承包人在预算书中载明材料单价高于基准价格的：除专用合同条款另有约定外，合同履行期间材料单价跌幅以基准价格为基础超过5%时，材料单价涨幅以在预算书中载明材料单价为基础超过5%时，其超过部分据实调整。</w:t>
      </w:r>
    </w:p>
    <w:p w14:paraId="05494125">
      <w:pPr>
        <w:adjustRightInd w:val="0"/>
        <w:snapToGrid w:val="0"/>
        <w:ind w:firstLine="480" w:firstLineChars="200"/>
        <w:rPr>
          <w:color w:val="auto"/>
          <w:highlight w:val="none"/>
        </w:rPr>
      </w:pPr>
      <w:r>
        <w:rPr>
          <w:rFonts w:hint="eastAsia"/>
          <w:color w:val="auto"/>
          <w:highlight w:val="none"/>
        </w:rPr>
        <w:t>③承包人在预算书中载明材料单价等于基准价格的：除专用合同条款另有约定外，合同履行期间材料单价涨跌幅以基准价格为基础超过±5%时，其超过部分据实调整。</w:t>
      </w:r>
    </w:p>
    <w:p w14:paraId="2C6C6AB5">
      <w:pPr>
        <w:adjustRightInd w:val="0"/>
        <w:snapToGrid w:val="0"/>
        <w:ind w:firstLine="480" w:firstLineChars="200"/>
        <w:rPr>
          <w:color w:val="auto"/>
          <w:highlight w:val="none"/>
        </w:rPr>
      </w:pPr>
      <w:r>
        <w:rPr>
          <w:rFonts w:hint="eastAsia"/>
          <w:color w:val="auto"/>
          <w:highlight w:val="none"/>
        </w:rPr>
        <w:t>④承包人应在采购材料前将采购数量和新的材料单价报发包人核对，发包人确认用于工程时，发包人应确认采购材料的数量和单价。发包人在收到承包人报送的确认资料后7天内不予答复的视为认可，作为调整合同价格的依据。未经发包人事先核对，承包人自行采购材料的，发包人有权不予调整合同价格。发包人同意的，可以调整合同价格。</w:t>
      </w:r>
    </w:p>
    <w:p w14:paraId="295367A3">
      <w:pPr>
        <w:adjustRightInd w:val="0"/>
        <w:snapToGrid w:val="0"/>
        <w:ind w:firstLine="480" w:firstLineChars="200"/>
        <w:rPr>
          <w:color w:val="auto"/>
          <w:highlight w:val="none"/>
        </w:rPr>
      </w:pPr>
      <w:r>
        <w:rPr>
          <w:rFonts w:hint="eastAsia"/>
          <w:color w:val="auto"/>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6E3968AF">
      <w:pPr>
        <w:adjustRightInd w:val="0"/>
        <w:snapToGrid w:val="0"/>
        <w:ind w:firstLine="480" w:firstLineChars="200"/>
        <w:rPr>
          <w:color w:val="auto"/>
          <w:highlight w:val="none"/>
        </w:rPr>
      </w:pPr>
      <w:r>
        <w:rPr>
          <w:rFonts w:hint="eastAsia"/>
          <w:color w:val="auto"/>
          <w:highlight w:val="none"/>
        </w:rPr>
        <w:t>（3）施工机械台班单价或施工机械使用费发生变化超过省级或行业建设主管部门或其授权的工程造价管理机构规定的范围时，按规定调整合同价格。</w:t>
      </w:r>
    </w:p>
    <w:p w14:paraId="0CFD30C4">
      <w:pPr>
        <w:adjustRightInd w:val="0"/>
        <w:snapToGrid w:val="0"/>
        <w:ind w:firstLine="480" w:firstLineChars="200"/>
        <w:rPr>
          <w:color w:val="auto"/>
          <w:highlight w:val="none"/>
        </w:rPr>
      </w:pPr>
      <w:r>
        <w:rPr>
          <w:rFonts w:hint="eastAsia"/>
          <w:color w:val="auto"/>
          <w:highlight w:val="none"/>
        </w:rPr>
        <w:t>第3种方式：专用合同条款约定的其他方式。</w:t>
      </w:r>
    </w:p>
    <w:p w14:paraId="176D284B">
      <w:pPr>
        <w:adjustRightInd w:val="0"/>
        <w:snapToGrid w:val="0"/>
        <w:ind w:firstLine="480" w:firstLineChars="200"/>
        <w:rPr>
          <w:color w:val="auto"/>
          <w:highlight w:val="none"/>
        </w:rPr>
      </w:pPr>
      <w:bookmarkStart w:id="559" w:name="_Toc400485459"/>
      <w:bookmarkStart w:id="560" w:name="_Toc400486432"/>
      <w:bookmarkStart w:id="561" w:name="_Toc399776252"/>
      <w:bookmarkStart w:id="562" w:name="_Toc400522440"/>
      <w:bookmarkStart w:id="563" w:name="_Toc399775185"/>
      <w:bookmarkStart w:id="564" w:name="_Toc399775805"/>
      <w:bookmarkStart w:id="565" w:name="_Toc351203579"/>
      <w:bookmarkStart w:id="566" w:name="_Toc296346594"/>
      <w:bookmarkStart w:id="567" w:name="_Toc337558798"/>
      <w:bookmarkStart w:id="568" w:name="_Toc296503093"/>
      <w:r>
        <w:rPr>
          <w:rFonts w:hint="eastAsia"/>
          <w:color w:val="auto"/>
          <w:highlight w:val="none"/>
        </w:rPr>
        <w:t>11.2.2 法律变化引起的调整</w:t>
      </w:r>
      <w:bookmarkEnd w:id="559"/>
      <w:bookmarkEnd w:id="560"/>
      <w:bookmarkEnd w:id="561"/>
      <w:bookmarkEnd w:id="562"/>
      <w:bookmarkEnd w:id="563"/>
      <w:bookmarkEnd w:id="564"/>
      <w:bookmarkEnd w:id="565"/>
    </w:p>
    <w:bookmarkEnd w:id="566"/>
    <w:bookmarkEnd w:id="567"/>
    <w:bookmarkEnd w:id="568"/>
    <w:p w14:paraId="6043E592">
      <w:pPr>
        <w:adjustRightInd w:val="0"/>
        <w:snapToGrid w:val="0"/>
        <w:ind w:firstLine="480" w:firstLineChars="200"/>
        <w:rPr>
          <w:color w:val="auto"/>
          <w:highlight w:val="none"/>
        </w:rPr>
      </w:pPr>
      <w:r>
        <w:rPr>
          <w:rFonts w:hint="eastAsia"/>
          <w:color w:val="auto"/>
          <w:highlight w:val="none"/>
        </w:rPr>
        <w:t>基准日期后，法律变化导致承包人在合同履行过程中所需要的费用发生除第11.1款约定以外的增加时，由发包人承担由此增加的费用；减少时，应从合同价格中予以扣减。基准日期后，因法律变化造成工期延误时，工期应予以顺延。</w:t>
      </w:r>
    </w:p>
    <w:p w14:paraId="67425830">
      <w:pPr>
        <w:adjustRightInd w:val="0"/>
        <w:snapToGrid w:val="0"/>
        <w:ind w:firstLine="480" w:firstLineChars="200"/>
        <w:rPr>
          <w:color w:val="auto"/>
          <w:highlight w:val="none"/>
        </w:rPr>
      </w:pPr>
      <w:r>
        <w:rPr>
          <w:rFonts w:hint="eastAsia"/>
          <w:color w:val="auto"/>
          <w:highlight w:val="none"/>
        </w:rPr>
        <w:t>因法律变化引起的合同价格和工期调整，按第4.5款的约定处理。</w:t>
      </w:r>
    </w:p>
    <w:p w14:paraId="1A9BD76B">
      <w:pPr>
        <w:adjustRightInd w:val="0"/>
        <w:snapToGrid w:val="0"/>
        <w:ind w:firstLine="480" w:firstLineChars="200"/>
        <w:rPr>
          <w:color w:val="auto"/>
          <w:highlight w:val="none"/>
        </w:rPr>
      </w:pPr>
      <w:r>
        <w:rPr>
          <w:rFonts w:hint="eastAsia"/>
          <w:color w:val="auto"/>
          <w:highlight w:val="none"/>
        </w:rPr>
        <w:t>因承包人原因造成工期延误，在工期延误期间出现法律变化的，由此增加的费用和（或）延误的工期由承包人承担。</w:t>
      </w:r>
    </w:p>
    <w:p w14:paraId="014EEE8A">
      <w:pPr>
        <w:adjustRightInd w:val="0"/>
        <w:snapToGrid w:val="0"/>
        <w:ind w:firstLine="480" w:firstLineChars="200"/>
        <w:rPr>
          <w:color w:val="auto"/>
          <w:highlight w:val="none"/>
        </w:rPr>
      </w:pPr>
      <w:r>
        <w:rPr>
          <w:rFonts w:hint="eastAsia"/>
          <w:color w:val="auto"/>
          <w:highlight w:val="none"/>
        </w:rPr>
        <w:t>11.2.3工期变化引起的调整</w:t>
      </w:r>
    </w:p>
    <w:p w14:paraId="562F7EAE">
      <w:pPr>
        <w:adjustRightInd w:val="0"/>
        <w:snapToGrid w:val="0"/>
        <w:ind w:firstLine="480" w:firstLineChars="200"/>
        <w:rPr>
          <w:color w:val="auto"/>
          <w:highlight w:val="none"/>
        </w:rPr>
      </w:pPr>
      <w:r>
        <w:rPr>
          <w:rFonts w:hint="eastAsia"/>
          <w:color w:val="auto"/>
          <w:highlight w:val="none"/>
        </w:rPr>
        <w:t>非承包人原因造成的工程实际工期在合同约定工期的20%（含20%）以内时，只相应顺延工期，合同价款不作调整。</w:t>
      </w:r>
    </w:p>
    <w:p w14:paraId="09A45B24">
      <w:pPr>
        <w:adjustRightInd w:val="0"/>
        <w:snapToGrid w:val="0"/>
        <w:ind w:firstLine="480" w:firstLineChars="200"/>
        <w:rPr>
          <w:color w:val="auto"/>
          <w:highlight w:val="none"/>
        </w:rPr>
      </w:pPr>
      <w:r>
        <w:rPr>
          <w:rFonts w:hint="eastAsia"/>
          <w:color w:val="auto"/>
          <w:highlight w:val="none"/>
        </w:rPr>
        <w:t>非承包人原因造成的工程实际工期在合同约定工期的20%（不含20%）以外时，工期顺延，按照专用合同条款的约定调整合同价款。</w:t>
      </w:r>
    </w:p>
    <w:p w14:paraId="390F637D">
      <w:pPr>
        <w:adjustRightInd w:val="0"/>
        <w:snapToGrid w:val="0"/>
        <w:ind w:firstLine="480" w:firstLineChars="200"/>
        <w:rPr>
          <w:color w:val="auto"/>
          <w:highlight w:val="none"/>
        </w:rPr>
      </w:pPr>
      <w:r>
        <w:rPr>
          <w:rFonts w:hint="eastAsia"/>
          <w:color w:val="auto"/>
          <w:highlight w:val="none"/>
        </w:rPr>
        <w:t>如合同双方已按照第11.1（1）项约定了合同价款中所包含的风险费用的，只相应顺延工期，合同价款不作调整。</w:t>
      </w:r>
    </w:p>
    <w:p w14:paraId="2951F53E">
      <w:pPr>
        <w:keepNext/>
        <w:keepLines/>
        <w:adjustRightInd w:val="0"/>
        <w:snapToGrid w:val="0"/>
        <w:outlineLvl w:val="1"/>
        <w:rPr>
          <w:rFonts w:ascii="Arial"/>
          <w:b/>
          <w:bCs/>
          <w:color w:val="auto"/>
          <w:highlight w:val="none"/>
        </w:rPr>
      </w:pPr>
      <w:bookmarkStart w:id="569" w:name="_Toc351203580"/>
      <w:bookmarkStart w:id="570" w:name="_Toc256000067"/>
      <w:bookmarkStart w:id="571" w:name="_Toc91660613"/>
      <w:bookmarkStart w:id="572" w:name="_Toc400486433"/>
      <w:bookmarkStart w:id="573" w:name="_Toc400522441"/>
      <w:bookmarkStart w:id="574" w:name="_Toc399776253"/>
      <w:bookmarkStart w:id="575" w:name="_Toc399775806"/>
      <w:bookmarkStart w:id="576" w:name="_Toc26544"/>
      <w:bookmarkStart w:id="577" w:name="_Toc117018798"/>
      <w:bookmarkStart w:id="578" w:name="_Toc400485460"/>
      <w:bookmarkStart w:id="579" w:name="_Toc99782821"/>
      <w:bookmarkStart w:id="580" w:name="_Toc119953734"/>
      <w:bookmarkStart w:id="581" w:name="_Toc399775186"/>
      <w:bookmarkStart w:id="582" w:name="_Toc81225281"/>
      <w:bookmarkStart w:id="583" w:name="_Toc337558799"/>
      <w:bookmarkStart w:id="584" w:name="_Toc296503096"/>
      <w:bookmarkStart w:id="585" w:name="_Toc296346597"/>
      <w:r>
        <w:rPr>
          <w:rFonts w:ascii="Arial"/>
          <w:b/>
          <w:bCs/>
          <w:color w:val="auto"/>
          <w:highlight w:val="none"/>
        </w:rPr>
        <w:t xml:space="preserve">12. </w:t>
      </w:r>
      <w:r>
        <w:rPr>
          <w:rFonts w:hint="eastAsia" w:ascii="Arial"/>
          <w:b/>
          <w:bCs/>
          <w:color w:val="auto"/>
          <w:highlight w:val="none"/>
        </w:rPr>
        <w:t>合同价款、计量与支付</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bookmarkEnd w:id="583"/>
    <w:p w14:paraId="33D90C22">
      <w:pPr>
        <w:adjustRightInd w:val="0"/>
        <w:snapToGrid w:val="0"/>
        <w:ind w:firstLine="482" w:firstLineChars="200"/>
        <w:rPr>
          <w:b/>
          <w:color w:val="auto"/>
          <w:highlight w:val="none"/>
        </w:rPr>
      </w:pPr>
      <w:bookmarkStart w:id="586" w:name="_Toc400522442"/>
      <w:bookmarkStart w:id="587" w:name="_Toc400486434"/>
      <w:bookmarkStart w:id="588" w:name="_Toc399775187"/>
      <w:bookmarkStart w:id="589" w:name="_Toc400485461"/>
      <w:bookmarkStart w:id="590" w:name="_Toc399775807"/>
      <w:bookmarkStart w:id="591" w:name="_Toc399776254"/>
      <w:bookmarkStart w:id="592" w:name="_Toc351203581"/>
      <w:bookmarkStart w:id="593" w:name="_Toc337558800"/>
      <w:r>
        <w:rPr>
          <w:rFonts w:hint="eastAsia"/>
          <w:b/>
          <w:color w:val="auto"/>
          <w:highlight w:val="none"/>
        </w:rPr>
        <w:t>12.1 合同</w:t>
      </w:r>
      <w:bookmarkEnd w:id="584"/>
      <w:bookmarkEnd w:id="585"/>
      <w:r>
        <w:rPr>
          <w:rFonts w:hint="eastAsia"/>
          <w:b/>
          <w:color w:val="auto"/>
          <w:highlight w:val="none"/>
        </w:rPr>
        <w:t>价款形式</w:t>
      </w:r>
      <w:bookmarkEnd w:id="586"/>
      <w:bookmarkEnd w:id="587"/>
      <w:bookmarkEnd w:id="588"/>
      <w:bookmarkEnd w:id="589"/>
      <w:bookmarkEnd w:id="590"/>
      <w:bookmarkEnd w:id="591"/>
      <w:bookmarkEnd w:id="592"/>
    </w:p>
    <w:bookmarkEnd w:id="593"/>
    <w:p w14:paraId="2C5A1CDC">
      <w:pPr>
        <w:adjustRightInd w:val="0"/>
        <w:snapToGrid w:val="0"/>
        <w:ind w:firstLine="480" w:firstLineChars="200"/>
        <w:rPr>
          <w:color w:val="auto"/>
          <w:highlight w:val="none"/>
        </w:rPr>
      </w:pPr>
      <w:r>
        <w:rPr>
          <w:rFonts w:hint="eastAsia"/>
          <w:color w:val="auto"/>
          <w:highlight w:val="none"/>
        </w:rPr>
        <w:t xml:space="preserve">发包人和承包人应在合同协议书中选择下列一种合同价款形式： </w:t>
      </w:r>
    </w:p>
    <w:p w14:paraId="1B2550B4">
      <w:pPr>
        <w:adjustRightInd w:val="0"/>
        <w:snapToGrid w:val="0"/>
        <w:ind w:firstLine="480" w:firstLineChars="200"/>
        <w:rPr>
          <w:color w:val="auto"/>
          <w:highlight w:val="none"/>
        </w:rPr>
      </w:pPr>
      <w:r>
        <w:rPr>
          <w:rFonts w:hint="eastAsia"/>
          <w:color w:val="auto"/>
          <w:highlight w:val="none"/>
        </w:rPr>
        <w:t>（1）固定总价合同</w:t>
      </w:r>
    </w:p>
    <w:p w14:paraId="57E3B155">
      <w:pPr>
        <w:adjustRightInd w:val="0"/>
        <w:snapToGrid w:val="0"/>
        <w:ind w:firstLine="480" w:firstLineChars="200"/>
        <w:rPr>
          <w:color w:val="auto"/>
          <w:highlight w:val="none"/>
        </w:rPr>
      </w:pPr>
      <w:r>
        <w:rPr>
          <w:rFonts w:hint="eastAsia"/>
          <w:color w:val="auto"/>
          <w:highlight w:val="none"/>
        </w:rPr>
        <w:t>固定总价合同是指合同当事人约定以详细工程设计/施工图、预算书及有关条件进行合同价格计算、调整和确认的建设工程施工合同，在第11.1款约定的合同价款风险范围内合同总价不作调整。</w:t>
      </w:r>
    </w:p>
    <w:p w14:paraId="36E24CF9">
      <w:pPr>
        <w:adjustRightInd w:val="0"/>
        <w:snapToGrid w:val="0"/>
        <w:ind w:firstLine="480" w:firstLineChars="200"/>
        <w:rPr>
          <w:color w:val="auto"/>
          <w:highlight w:val="none"/>
        </w:rPr>
      </w:pPr>
      <w:r>
        <w:rPr>
          <w:rFonts w:hint="eastAsia"/>
          <w:color w:val="auto"/>
          <w:highlight w:val="none"/>
        </w:rPr>
        <w:t>（2）其它合同价款形式</w:t>
      </w:r>
    </w:p>
    <w:p w14:paraId="1C92C70A">
      <w:pPr>
        <w:adjustRightInd w:val="0"/>
        <w:snapToGrid w:val="0"/>
        <w:ind w:firstLine="480" w:firstLineChars="200"/>
        <w:rPr>
          <w:color w:val="auto"/>
          <w:highlight w:val="none"/>
        </w:rPr>
      </w:pPr>
      <w:r>
        <w:rPr>
          <w:rFonts w:hint="eastAsia"/>
          <w:color w:val="auto"/>
          <w:highlight w:val="none"/>
        </w:rPr>
        <w:t>合同当事人可在专用合同条款中约定其他合同价款形式。</w:t>
      </w:r>
    </w:p>
    <w:p w14:paraId="79514A38">
      <w:pPr>
        <w:adjustRightInd w:val="0"/>
        <w:snapToGrid w:val="0"/>
        <w:ind w:firstLine="482" w:firstLineChars="200"/>
        <w:rPr>
          <w:b/>
          <w:color w:val="auto"/>
          <w:highlight w:val="none"/>
        </w:rPr>
      </w:pPr>
      <w:bookmarkStart w:id="594" w:name="_Toc296346598"/>
      <w:bookmarkStart w:id="595" w:name="_Toc296503097"/>
      <w:bookmarkStart w:id="596" w:name="_Toc400522443"/>
      <w:bookmarkStart w:id="597" w:name="_Toc399775188"/>
      <w:bookmarkStart w:id="598" w:name="_Toc400485462"/>
      <w:bookmarkStart w:id="599" w:name="_Toc351203582"/>
      <w:bookmarkStart w:id="600" w:name="_Toc399776255"/>
      <w:bookmarkStart w:id="601" w:name="_Toc399775808"/>
      <w:bookmarkStart w:id="602" w:name="_Toc400486435"/>
      <w:bookmarkStart w:id="603" w:name="_Toc337558801"/>
      <w:r>
        <w:rPr>
          <w:rFonts w:hint="eastAsia"/>
          <w:b/>
          <w:color w:val="auto"/>
          <w:highlight w:val="none"/>
        </w:rPr>
        <w:t>12.2 预</w:t>
      </w:r>
      <w:bookmarkEnd w:id="594"/>
      <w:bookmarkEnd w:id="595"/>
      <w:bookmarkStart w:id="604" w:name="_Toc296346601"/>
      <w:bookmarkStart w:id="605" w:name="_Toc296503100"/>
      <w:r>
        <w:rPr>
          <w:rFonts w:hint="eastAsia"/>
          <w:b/>
          <w:color w:val="auto"/>
          <w:highlight w:val="none"/>
        </w:rPr>
        <w:t>付款</w:t>
      </w:r>
      <w:bookmarkEnd w:id="596"/>
      <w:bookmarkEnd w:id="597"/>
      <w:bookmarkEnd w:id="598"/>
      <w:bookmarkEnd w:id="599"/>
      <w:bookmarkEnd w:id="600"/>
      <w:bookmarkEnd w:id="601"/>
      <w:bookmarkEnd w:id="602"/>
    </w:p>
    <w:bookmarkEnd w:id="603"/>
    <w:bookmarkEnd w:id="604"/>
    <w:bookmarkEnd w:id="605"/>
    <w:p w14:paraId="7D1A3E01">
      <w:pPr>
        <w:adjustRightInd w:val="0"/>
        <w:snapToGrid w:val="0"/>
        <w:ind w:firstLine="480" w:firstLineChars="200"/>
        <w:rPr>
          <w:color w:val="auto"/>
          <w:highlight w:val="none"/>
        </w:rPr>
      </w:pPr>
      <w:bookmarkStart w:id="606" w:name="_Toc400485463"/>
      <w:bookmarkStart w:id="607" w:name="_Toc351203583"/>
      <w:bookmarkStart w:id="608" w:name="_Toc399775809"/>
      <w:bookmarkStart w:id="609" w:name="_Toc399776256"/>
      <w:bookmarkStart w:id="610" w:name="_Toc399775189"/>
      <w:bookmarkStart w:id="611" w:name="_Toc400486436"/>
      <w:bookmarkStart w:id="612" w:name="_Toc400522444"/>
      <w:bookmarkStart w:id="613" w:name="_Toc337558802"/>
      <w:r>
        <w:rPr>
          <w:rFonts w:hint="eastAsia"/>
          <w:color w:val="auto"/>
          <w:highlight w:val="none"/>
        </w:rPr>
        <w:t>12.2.1 预付款</w:t>
      </w:r>
    </w:p>
    <w:p w14:paraId="31D0FE66">
      <w:pPr>
        <w:adjustRightInd w:val="0"/>
        <w:snapToGrid w:val="0"/>
        <w:ind w:firstLine="480" w:firstLineChars="200"/>
        <w:rPr>
          <w:color w:val="auto"/>
          <w:highlight w:val="none"/>
        </w:rPr>
      </w:pPr>
      <w:r>
        <w:rPr>
          <w:rFonts w:hint="eastAsia"/>
          <w:color w:val="auto"/>
          <w:highlight w:val="none"/>
        </w:rPr>
        <w:t>预付款用于承包人为工程实施购置材料、工程设备、施工设备、修建临时设施以及组织施工队伍进场等。预付款的额度和支付在专用合同条款中约定。预付款必须专用于合同工作。</w:t>
      </w:r>
    </w:p>
    <w:p w14:paraId="24DA160A">
      <w:pPr>
        <w:adjustRightInd w:val="0"/>
        <w:snapToGrid w:val="0"/>
        <w:ind w:firstLine="480" w:firstLineChars="200"/>
        <w:rPr>
          <w:color w:val="auto"/>
          <w:highlight w:val="none"/>
        </w:rPr>
      </w:pPr>
      <w:r>
        <w:rPr>
          <w:rFonts w:hint="eastAsia"/>
          <w:color w:val="auto"/>
          <w:highlight w:val="none"/>
        </w:rPr>
        <w:t>12.2.2 预付款保函</w:t>
      </w:r>
    </w:p>
    <w:p w14:paraId="08321A14">
      <w:pPr>
        <w:adjustRightInd w:val="0"/>
        <w:snapToGrid w:val="0"/>
        <w:ind w:firstLine="480" w:firstLineChars="200"/>
        <w:rPr>
          <w:color w:val="auto"/>
          <w:highlight w:val="none"/>
        </w:rPr>
      </w:pPr>
      <w:r>
        <w:rPr>
          <w:rFonts w:hint="eastAsia"/>
          <w:color w:val="auto"/>
          <w:highlight w:val="none"/>
        </w:rPr>
        <w:t>除专用合同条款另有约定外，承包人应在提交预付款申请的同时向发包人提交预付款保函。预付款保函的担保金额应与预付款金额相同。保函的担保金额可根据预付款扣回的金额相应递减。</w:t>
      </w:r>
    </w:p>
    <w:p w14:paraId="6B6286C7">
      <w:pPr>
        <w:adjustRightInd w:val="0"/>
        <w:snapToGrid w:val="0"/>
        <w:ind w:firstLine="480" w:firstLineChars="200"/>
        <w:rPr>
          <w:color w:val="auto"/>
          <w:highlight w:val="none"/>
        </w:rPr>
      </w:pPr>
      <w:r>
        <w:rPr>
          <w:rFonts w:hint="eastAsia"/>
          <w:color w:val="auto"/>
          <w:highlight w:val="none"/>
        </w:rPr>
        <w:t>12.2.3 预付款的扣回与还清</w:t>
      </w:r>
    </w:p>
    <w:p w14:paraId="256D508F">
      <w:pPr>
        <w:adjustRightInd w:val="0"/>
        <w:snapToGrid w:val="0"/>
        <w:ind w:firstLine="480" w:firstLineChars="200"/>
        <w:rPr>
          <w:color w:val="auto"/>
          <w:highlight w:val="none"/>
        </w:rPr>
      </w:pPr>
      <w:r>
        <w:rPr>
          <w:rFonts w:hint="eastAsia"/>
          <w:color w:val="auto"/>
          <w:highlight w:val="none"/>
        </w:rPr>
        <w:t>预付款在进度付款中扣回，扣回办法在专用合同条款中约定。在颁发工程交工验收证书前，由于不可抗力或其他原因解除合同时，预付款尚未扣清的，尚未扣清的预付款余额应作为承包人的到期应付款。</w:t>
      </w:r>
    </w:p>
    <w:p w14:paraId="36288BA1">
      <w:pPr>
        <w:adjustRightInd w:val="0"/>
        <w:snapToGrid w:val="0"/>
        <w:ind w:firstLine="482" w:firstLineChars="200"/>
        <w:rPr>
          <w:b/>
          <w:color w:val="auto"/>
          <w:highlight w:val="none"/>
        </w:rPr>
      </w:pPr>
      <w:r>
        <w:rPr>
          <w:rFonts w:hint="eastAsia"/>
          <w:b/>
          <w:color w:val="auto"/>
          <w:highlight w:val="none"/>
        </w:rPr>
        <w:t>12.3 计量</w:t>
      </w:r>
      <w:bookmarkEnd w:id="606"/>
      <w:bookmarkEnd w:id="607"/>
      <w:bookmarkEnd w:id="608"/>
      <w:bookmarkEnd w:id="609"/>
      <w:bookmarkEnd w:id="610"/>
      <w:bookmarkEnd w:id="611"/>
      <w:bookmarkEnd w:id="612"/>
    </w:p>
    <w:bookmarkEnd w:id="613"/>
    <w:p w14:paraId="6A439618">
      <w:pPr>
        <w:adjustRightInd w:val="0"/>
        <w:snapToGrid w:val="0"/>
        <w:ind w:firstLine="480" w:firstLineChars="200"/>
        <w:rPr>
          <w:color w:val="auto"/>
          <w:highlight w:val="none"/>
        </w:rPr>
      </w:pPr>
      <w:r>
        <w:rPr>
          <w:rFonts w:hint="eastAsia"/>
          <w:color w:val="auto"/>
          <w:highlight w:val="none"/>
        </w:rPr>
        <w:t>12.3.1 计量原则</w:t>
      </w:r>
    </w:p>
    <w:p w14:paraId="37686DF1">
      <w:pPr>
        <w:adjustRightInd w:val="0"/>
        <w:snapToGrid w:val="0"/>
        <w:ind w:firstLine="480" w:firstLineChars="200"/>
        <w:rPr>
          <w:color w:val="auto"/>
          <w:highlight w:val="none"/>
        </w:rPr>
      </w:pPr>
      <w:r>
        <w:rPr>
          <w:rFonts w:hint="eastAsia"/>
          <w:color w:val="auto"/>
          <w:highlight w:val="none"/>
        </w:rPr>
        <w:t>工程量计量按照合同约定的工程量计算规则、图纸及变更指示等进行计量。工程量计算规则应以相关的国家标准、行业标准和中国石化规定等为依据，由合同当事人在专用合同条款中约定。</w:t>
      </w:r>
    </w:p>
    <w:p w14:paraId="5F5CBE0C">
      <w:pPr>
        <w:adjustRightInd w:val="0"/>
        <w:snapToGrid w:val="0"/>
        <w:ind w:firstLine="480" w:firstLineChars="200"/>
        <w:rPr>
          <w:color w:val="auto"/>
          <w:highlight w:val="none"/>
        </w:rPr>
      </w:pPr>
      <w:r>
        <w:rPr>
          <w:rFonts w:hint="eastAsia"/>
          <w:color w:val="auto"/>
          <w:highlight w:val="none"/>
        </w:rPr>
        <w:t>12.3.2 计量周期</w:t>
      </w:r>
    </w:p>
    <w:p w14:paraId="225B09B7">
      <w:pPr>
        <w:adjustRightInd w:val="0"/>
        <w:snapToGrid w:val="0"/>
        <w:ind w:firstLine="480" w:firstLineChars="200"/>
        <w:rPr>
          <w:color w:val="auto"/>
          <w:highlight w:val="none"/>
        </w:rPr>
      </w:pPr>
      <w:r>
        <w:rPr>
          <w:rFonts w:hint="eastAsia"/>
          <w:color w:val="auto"/>
          <w:highlight w:val="none"/>
        </w:rPr>
        <w:t>除专用合同条款另有约定外，工程量的计量按月进行。</w:t>
      </w:r>
    </w:p>
    <w:p w14:paraId="3BB57055">
      <w:pPr>
        <w:adjustRightInd w:val="0"/>
        <w:snapToGrid w:val="0"/>
        <w:ind w:firstLine="480" w:firstLineChars="200"/>
        <w:rPr>
          <w:color w:val="auto"/>
          <w:highlight w:val="none"/>
        </w:rPr>
      </w:pPr>
      <w:r>
        <w:rPr>
          <w:rFonts w:hint="eastAsia"/>
          <w:color w:val="auto"/>
          <w:highlight w:val="none"/>
        </w:rPr>
        <w:t>12.3.3 固定总价合同的计量</w:t>
      </w:r>
    </w:p>
    <w:p w14:paraId="5E64EE6B">
      <w:pPr>
        <w:adjustRightInd w:val="0"/>
        <w:snapToGrid w:val="0"/>
        <w:ind w:firstLine="480" w:firstLineChars="200"/>
        <w:rPr>
          <w:color w:val="auto"/>
          <w:highlight w:val="none"/>
        </w:rPr>
      </w:pPr>
      <w:r>
        <w:rPr>
          <w:rFonts w:hint="eastAsia"/>
          <w:color w:val="auto"/>
          <w:highlight w:val="none"/>
        </w:rPr>
        <w:t>除专用合同条款另有约定外，按月计量支付的固定总价合同，按照本项约定执行：</w:t>
      </w:r>
    </w:p>
    <w:p w14:paraId="156F1371">
      <w:pPr>
        <w:adjustRightInd w:val="0"/>
        <w:snapToGrid w:val="0"/>
        <w:ind w:firstLine="480" w:firstLineChars="200"/>
        <w:rPr>
          <w:color w:val="auto"/>
          <w:highlight w:val="none"/>
        </w:rPr>
      </w:pPr>
      <w:r>
        <w:rPr>
          <w:rFonts w:hint="eastAsia"/>
          <w:color w:val="auto"/>
          <w:highlight w:val="none"/>
        </w:rPr>
        <w:t>（1）承包人应于每月25日向监理人报送上月20日至当月19日已完成的工程量报告，并附具进度付款申请单、已完成工程量报表和有关资料。</w:t>
      </w:r>
    </w:p>
    <w:p w14:paraId="10550B87">
      <w:pPr>
        <w:adjustRightInd w:val="0"/>
        <w:snapToGrid w:val="0"/>
        <w:ind w:firstLine="480" w:firstLineChars="200"/>
        <w:rPr>
          <w:color w:val="auto"/>
          <w:highlight w:val="none"/>
        </w:rPr>
      </w:pPr>
      <w:r>
        <w:rPr>
          <w:rFonts w:hint="eastAsia"/>
          <w:color w:val="auto"/>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3E6BA23">
      <w:pPr>
        <w:adjustRightInd w:val="0"/>
        <w:snapToGrid w:val="0"/>
        <w:ind w:firstLine="480" w:firstLineChars="200"/>
        <w:rPr>
          <w:color w:val="auto"/>
          <w:highlight w:val="none"/>
        </w:rPr>
      </w:pPr>
      <w:r>
        <w:rPr>
          <w:rFonts w:hint="eastAsia"/>
          <w:color w:val="auto"/>
          <w:highlight w:val="none"/>
        </w:rPr>
        <w:t>（3）监理人未在收到承包人提交的工程量报表后的7天内完成复核的，承包人提交的工程量报告中的工程量视为承包人实际完成的工程量。</w:t>
      </w:r>
    </w:p>
    <w:p w14:paraId="7C38069F">
      <w:pPr>
        <w:adjustRightInd w:val="0"/>
        <w:snapToGrid w:val="0"/>
        <w:ind w:firstLine="480" w:firstLineChars="200"/>
        <w:rPr>
          <w:color w:val="auto"/>
          <w:highlight w:val="none"/>
        </w:rPr>
      </w:pPr>
      <w:r>
        <w:rPr>
          <w:rFonts w:hint="eastAsia"/>
          <w:color w:val="auto"/>
          <w:highlight w:val="none"/>
        </w:rPr>
        <w:t>12.3.4 固定总价合同采用支付分解表计量支付的，可以按照第12.3.3项约定进行计量，但合同价款按照支付分解表进行支付。</w:t>
      </w:r>
    </w:p>
    <w:p w14:paraId="06C75275">
      <w:pPr>
        <w:adjustRightInd w:val="0"/>
        <w:snapToGrid w:val="0"/>
        <w:ind w:firstLine="480" w:firstLineChars="200"/>
        <w:rPr>
          <w:color w:val="auto"/>
          <w:highlight w:val="none"/>
        </w:rPr>
      </w:pPr>
      <w:r>
        <w:rPr>
          <w:rFonts w:hint="eastAsia"/>
          <w:color w:val="auto"/>
          <w:highlight w:val="none"/>
        </w:rPr>
        <w:t>12.3.5 其他价款形式合同的计量</w:t>
      </w:r>
    </w:p>
    <w:p w14:paraId="027F168E">
      <w:pPr>
        <w:adjustRightInd w:val="0"/>
        <w:snapToGrid w:val="0"/>
        <w:ind w:firstLine="480" w:firstLineChars="200"/>
        <w:rPr>
          <w:color w:val="auto"/>
          <w:highlight w:val="none"/>
        </w:rPr>
      </w:pPr>
      <w:r>
        <w:rPr>
          <w:rFonts w:hint="eastAsia"/>
          <w:color w:val="auto"/>
          <w:highlight w:val="none"/>
        </w:rPr>
        <w:t>合同当事人可在专用合同条款中约定其他价款形式合同的计量方式和程序。</w:t>
      </w:r>
    </w:p>
    <w:p w14:paraId="4BC3B209">
      <w:pPr>
        <w:adjustRightInd w:val="0"/>
        <w:snapToGrid w:val="0"/>
        <w:ind w:firstLine="482" w:firstLineChars="200"/>
        <w:rPr>
          <w:b/>
          <w:color w:val="auto"/>
          <w:highlight w:val="none"/>
        </w:rPr>
      </w:pPr>
      <w:bookmarkStart w:id="614" w:name="_Toc296503101"/>
      <w:bookmarkStart w:id="615" w:name="_Toc296346602"/>
      <w:bookmarkStart w:id="616" w:name="_Toc399776257"/>
      <w:bookmarkStart w:id="617" w:name="_Toc400522445"/>
      <w:bookmarkStart w:id="618" w:name="_Toc399775190"/>
      <w:bookmarkStart w:id="619" w:name="_Toc400485464"/>
      <w:bookmarkStart w:id="620" w:name="_Toc400486437"/>
      <w:bookmarkStart w:id="621" w:name="_Toc351203584"/>
      <w:bookmarkStart w:id="622" w:name="_Toc399775810"/>
      <w:bookmarkStart w:id="623" w:name="_Toc337558803"/>
      <w:r>
        <w:rPr>
          <w:rFonts w:hint="eastAsia"/>
          <w:b/>
          <w:color w:val="auto"/>
          <w:highlight w:val="none"/>
        </w:rPr>
        <w:t>12.4 工程进度款支</w:t>
      </w:r>
      <w:bookmarkEnd w:id="614"/>
      <w:bookmarkEnd w:id="615"/>
      <w:r>
        <w:rPr>
          <w:rFonts w:hint="eastAsia"/>
          <w:b/>
          <w:color w:val="auto"/>
          <w:highlight w:val="none"/>
        </w:rPr>
        <w:t>付</w:t>
      </w:r>
      <w:bookmarkEnd w:id="616"/>
      <w:bookmarkEnd w:id="617"/>
      <w:bookmarkEnd w:id="618"/>
      <w:bookmarkEnd w:id="619"/>
      <w:bookmarkEnd w:id="620"/>
      <w:bookmarkEnd w:id="621"/>
      <w:bookmarkEnd w:id="622"/>
    </w:p>
    <w:bookmarkEnd w:id="623"/>
    <w:p w14:paraId="1B8EC2C3">
      <w:pPr>
        <w:adjustRightInd w:val="0"/>
        <w:snapToGrid w:val="0"/>
        <w:ind w:firstLine="480" w:firstLineChars="200"/>
        <w:rPr>
          <w:color w:val="auto"/>
          <w:highlight w:val="none"/>
        </w:rPr>
      </w:pPr>
      <w:r>
        <w:rPr>
          <w:rFonts w:hint="eastAsia"/>
          <w:color w:val="auto"/>
          <w:highlight w:val="none"/>
        </w:rPr>
        <w:t>12.4.1 付款周期</w:t>
      </w:r>
    </w:p>
    <w:p w14:paraId="3148E73E">
      <w:pPr>
        <w:adjustRightInd w:val="0"/>
        <w:snapToGrid w:val="0"/>
        <w:ind w:firstLine="480" w:firstLineChars="200"/>
        <w:rPr>
          <w:color w:val="auto"/>
          <w:highlight w:val="none"/>
        </w:rPr>
      </w:pPr>
      <w:r>
        <w:rPr>
          <w:rFonts w:hint="eastAsia"/>
          <w:color w:val="auto"/>
          <w:highlight w:val="none"/>
        </w:rPr>
        <w:t>除专用合同条款另有约定外，付款周期应按照第12.3.2项的约定与计量周期保持一致。</w:t>
      </w:r>
    </w:p>
    <w:p w14:paraId="692C3657">
      <w:pPr>
        <w:adjustRightInd w:val="0"/>
        <w:snapToGrid w:val="0"/>
        <w:ind w:firstLine="480" w:firstLineChars="200"/>
        <w:rPr>
          <w:color w:val="auto"/>
          <w:highlight w:val="none"/>
        </w:rPr>
      </w:pPr>
      <w:r>
        <w:rPr>
          <w:rFonts w:hint="eastAsia"/>
          <w:color w:val="auto"/>
          <w:highlight w:val="none"/>
        </w:rPr>
        <w:t>12.4.2 进度付款申请单的编制</w:t>
      </w:r>
    </w:p>
    <w:p w14:paraId="606CD049">
      <w:pPr>
        <w:adjustRightInd w:val="0"/>
        <w:snapToGrid w:val="0"/>
        <w:ind w:firstLine="480" w:firstLineChars="200"/>
        <w:rPr>
          <w:color w:val="auto"/>
          <w:highlight w:val="none"/>
        </w:rPr>
      </w:pPr>
      <w:r>
        <w:rPr>
          <w:rFonts w:hint="eastAsia"/>
          <w:color w:val="auto"/>
          <w:highlight w:val="none"/>
        </w:rPr>
        <w:t>除专用合同条款另有约定外，进度付款申请单应包括下列内容：</w:t>
      </w:r>
    </w:p>
    <w:p w14:paraId="7A61DECE">
      <w:pPr>
        <w:adjustRightInd w:val="0"/>
        <w:snapToGrid w:val="0"/>
        <w:ind w:firstLine="480" w:firstLineChars="200"/>
        <w:rPr>
          <w:color w:val="auto"/>
          <w:highlight w:val="none"/>
        </w:rPr>
      </w:pPr>
      <w:r>
        <w:rPr>
          <w:rFonts w:hint="eastAsia"/>
          <w:color w:val="auto"/>
          <w:highlight w:val="none"/>
        </w:rPr>
        <w:t>（1）截至本次付款周期已完成工作对应的金额；</w:t>
      </w:r>
    </w:p>
    <w:p w14:paraId="27A5DA84">
      <w:pPr>
        <w:adjustRightInd w:val="0"/>
        <w:snapToGrid w:val="0"/>
        <w:ind w:firstLine="480" w:firstLineChars="200"/>
        <w:rPr>
          <w:color w:val="auto"/>
          <w:highlight w:val="none"/>
        </w:rPr>
      </w:pPr>
      <w:r>
        <w:rPr>
          <w:rFonts w:hint="eastAsia"/>
          <w:color w:val="auto"/>
          <w:highlight w:val="none"/>
        </w:rPr>
        <w:t>（2）根据第10条应增加和扣减的变更金额；</w:t>
      </w:r>
    </w:p>
    <w:p w14:paraId="209E819F">
      <w:pPr>
        <w:adjustRightInd w:val="0"/>
        <w:snapToGrid w:val="0"/>
        <w:ind w:firstLine="480" w:firstLineChars="200"/>
        <w:rPr>
          <w:color w:val="auto"/>
          <w:highlight w:val="none"/>
        </w:rPr>
      </w:pPr>
      <w:r>
        <w:rPr>
          <w:rFonts w:hint="eastAsia"/>
          <w:color w:val="auto"/>
          <w:highlight w:val="none"/>
        </w:rPr>
        <w:t>（3）根据第12.2款约定应支付的预付款和扣减的返还预付款；</w:t>
      </w:r>
    </w:p>
    <w:p w14:paraId="7E65D80C">
      <w:pPr>
        <w:adjustRightInd w:val="0"/>
        <w:snapToGrid w:val="0"/>
        <w:ind w:firstLine="480" w:firstLineChars="200"/>
        <w:rPr>
          <w:color w:val="auto"/>
          <w:highlight w:val="none"/>
        </w:rPr>
      </w:pPr>
      <w:r>
        <w:rPr>
          <w:rFonts w:hint="eastAsia"/>
          <w:color w:val="auto"/>
          <w:highlight w:val="none"/>
        </w:rPr>
        <w:t>（4）根据第15.6款约定应扣减的质量保证金；</w:t>
      </w:r>
    </w:p>
    <w:p w14:paraId="2D387BEF">
      <w:pPr>
        <w:adjustRightInd w:val="0"/>
        <w:snapToGrid w:val="0"/>
        <w:ind w:firstLine="480" w:firstLineChars="200"/>
        <w:rPr>
          <w:color w:val="auto"/>
          <w:highlight w:val="none"/>
        </w:rPr>
      </w:pPr>
      <w:r>
        <w:rPr>
          <w:rFonts w:hint="eastAsia"/>
          <w:color w:val="auto"/>
          <w:highlight w:val="none"/>
        </w:rPr>
        <w:t>（5）根据第19条应增加和扣减的索赔金额；</w:t>
      </w:r>
    </w:p>
    <w:p w14:paraId="2BE6C126">
      <w:pPr>
        <w:adjustRightInd w:val="0"/>
        <w:snapToGrid w:val="0"/>
        <w:ind w:firstLine="480" w:firstLineChars="200"/>
        <w:rPr>
          <w:color w:val="auto"/>
          <w:highlight w:val="none"/>
        </w:rPr>
      </w:pPr>
      <w:r>
        <w:rPr>
          <w:rFonts w:hint="eastAsia"/>
          <w:color w:val="auto"/>
          <w:highlight w:val="none"/>
        </w:rPr>
        <w:t>（6）对已签发的进度款支付证书中出现错误的修正，应在本次进度付款中支付或扣除的金额；</w:t>
      </w:r>
    </w:p>
    <w:p w14:paraId="49C02D83">
      <w:pPr>
        <w:adjustRightInd w:val="0"/>
        <w:snapToGrid w:val="0"/>
        <w:ind w:firstLine="480" w:firstLineChars="200"/>
        <w:rPr>
          <w:color w:val="auto"/>
          <w:highlight w:val="none"/>
        </w:rPr>
      </w:pPr>
      <w:r>
        <w:rPr>
          <w:rFonts w:hint="eastAsia"/>
          <w:color w:val="auto"/>
          <w:highlight w:val="none"/>
        </w:rPr>
        <w:t>（7）根据合同约定应增加和扣减的其他金额。</w:t>
      </w:r>
    </w:p>
    <w:p w14:paraId="604E4AC0">
      <w:pPr>
        <w:adjustRightInd w:val="0"/>
        <w:snapToGrid w:val="0"/>
        <w:ind w:firstLine="480" w:firstLineChars="200"/>
        <w:rPr>
          <w:color w:val="auto"/>
          <w:highlight w:val="none"/>
        </w:rPr>
      </w:pPr>
      <w:r>
        <w:rPr>
          <w:rFonts w:hint="eastAsia"/>
          <w:color w:val="auto"/>
          <w:highlight w:val="none"/>
        </w:rPr>
        <w:t>12.4.3 进度付款申请单的提交</w:t>
      </w:r>
    </w:p>
    <w:p w14:paraId="40AF2278">
      <w:pPr>
        <w:adjustRightInd w:val="0"/>
        <w:snapToGrid w:val="0"/>
        <w:ind w:firstLine="480" w:firstLineChars="200"/>
        <w:rPr>
          <w:color w:val="auto"/>
          <w:highlight w:val="none"/>
        </w:rPr>
      </w:pPr>
      <w:r>
        <w:rPr>
          <w:rFonts w:hint="eastAsia"/>
          <w:color w:val="auto"/>
          <w:highlight w:val="none"/>
        </w:rPr>
        <w:t>（1）固定总价合同进度付款申请单的提交</w:t>
      </w:r>
    </w:p>
    <w:p w14:paraId="2E948E51">
      <w:pPr>
        <w:adjustRightInd w:val="0"/>
        <w:snapToGrid w:val="0"/>
        <w:ind w:firstLine="480" w:firstLineChars="200"/>
        <w:rPr>
          <w:color w:val="auto"/>
          <w:highlight w:val="none"/>
        </w:rPr>
      </w:pPr>
      <w:r>
        <w:rPr>
          <w:rFonts w:hint="eastAsia"/>
          <w:color w:val="auto"/>
          <w:highlight w:val="none"/>
        </w:rPr>
        <w:t>固定总价合同按月计量支付的，承包人按照第12.3.3项约定的时间按月向监理人提交进度付款申请单，并附上已完成工程量报表和有关资料。</w:t>
      </w:r>
    </w:p>
    <w:p w14:paraId="659FA354">
      <w:pPr>
        <w:adjustRightInd w:val="0"/>
        <w:snapToGrid w:val="0"/>
        <w:ind w:firstLine="480" w:firstLineChars="200"/>
        <w:rPr>
          <w:color w:val="auto"/>
          <w:highlight w:val="none"/>
        </w:rPr>
      </w:pPr>
      <w:r>
        <w:rPr>
          <w:rFonts w:hint="eastAsia"/>
          <w:color w:val="auto"/>
          <w:highlight w:val="none"/>
        </w:rPr>
        <w:t>固定总价合同按支付分解表支付的，承包人应按照第12.4.6项及第12.4.2项的约定向监理人提交进度付款申请单。</w:t>
      </w:r>
    </w:p>
    <w:p w14:paraId="5BBCA253">
      <w:pPr>
        <w:adjustRightInd w:val="0"/>
        <w:snapToGrid w:val="0"/>
        <w:ind w:firstLine="480" w:firstLineChars="200"/>
        <w:rPr>
          <w:color w:val="auto"/>
          <w:highlight w:val="none"/>
        </w:rPr>
      </w:pPr>
      <w:r>
        <w:rPr>
          <w:rFonts w:hint="eastAsia"/>
          <w:color w:val="auto"/>
          <w:highlight w:val="none"/>
        </w:rPr>
        <w:t>（2）其他价款形式合同的进度付款申请单的提交</w:t>
      </w:r>
    </w:p>
    <w:p w14:paraId="539286EA">
      <w:pPr>
        <w:adjustRightInd w:val="0"/>
        <w:snapToGrid w:val="0"/>
        <w:ind w:firstLine="480" w:firstLineChars="200"/>
        <w:rPr>
          <w:color w:val="auto"/>
          <w:highlight w:val="none"/>
        </w:rPr>
      </w:pPr>
      <w:r>
        <w:rPr>
          <w:rFonts w:hint="eastAsia"/>
          <w:color w:val="auto"/>
          <w:highlight w:val="none"/>
        </w:rPr>
        <w:t>合同当事人可在专用合同条款中约定其他价款形式合同的进度付款申请单的编制和提交程序。</w:t>
      </w:r>
    </w:p>
    <w:p w14:paraId="035B4E19">
      <w:pPr>
        <w:adjustRightInd w:val="0"/>
        <w:snapToGrid w:val="0"/>
        <w:ind w:firstLine="480" w:firstLineChars="200"/>
        <w:rPr>
          <w:color w:val="auto"/>
          <w:highlight w:val="none"/>
        </w:rPr>
      </w:pPr>
      <w:r>
        <w:rPr>
          <w:rFonts w:hint="eastAsia"/>
          <w:color w:val="auto"/>
          <w:highlight w:val="none"/>
        </w:rPr>
        <w:t>12.4.4 进度款审核和支付</w:t>
      </w:r>
    </w:p>
    <w:p w14:paraId="3F71CB97">
      <w:pPr>
        <w:adjustRightInd w:val="0"/>
        <w:snapToGrid w:val="0"/>
        <w:ind w:firstLine="480" w:firstLineChars="200"/>
        <w:rPr>
          <w:color w:val="auto"/>
          <w:highlight w:val="none"/>
        </w:rPr>
      </w:pPr>
      <w:r>
        <w:rPr>
          <w:rFonts w:hint="eastAsia"/>
          <w:color w:val="auto"/>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02498008">
      <w:pPr>
        <w:adjustRightInd w:val="0"/>
        <w:snapToGrid w:val="0"/>
        <w:ind w:firstLine="480" w:firstLineChars="200"/>
        <w:rPr>
          <w:color w:val="auto"/>
          <w:highlight w:val="none"/>
        </w:rPr>
      </w:pPr>
      <w:r>
        <w:rPr>
          <w:rFonts w:hint="eastAsia"/>
          <w:color w:val="auto"/>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的约定处理。</w:t>
      </w:r>
    </w:p>
    <w:p w14:paraId="6D59BD17">
      <w:pPr>
        <w:adjustRightInd w:val="0"/>
        <w:snapToGrid w:val="0"/>
        <w:ind w:firstLine="480" w:firstLineChars="200"/>
        <w:rPr>
          <w:color w:val="auto"/>
          <w:highlight w:val="none"/>
        </w:rPr>
      </w:pPr>
      <w:r>
        <w:rPr>
          <w:rFonts w:hint="eastAsia"/>
          <w:color w:val="auto"/>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103D8C0C">
      <w:pPr>
        <w:adjustRightInd w:val="0"/>
        <w:snapToGrid w:val="0"/>
        <w:ind w:firstLine="480" w:firstLineChars="200"/>
        <w:rPr>
          <w:color w:val="auto"/>
          <w:highlight w:val="none"/>
        </w:rPr>
      </w:pPr>
      <w:r>
        <w:rPr>
          <w:rFonts w:hint="eastAsia"/>
          <w:color w:val="auto"/>
          <w:highlight w:val="none"/>
        </w:rPr>
        <w:t>（3）发包人签发进度款支付证书或临时进度款支付证书，不表明发包人已同意、批准或接受了承包人完成的相应部分的工作。</w:t>
      </w:r>
    </w:p>
    <w:p w14:paraId="0E73AD42">
      <w:pPr>
        <w:adjustRightInd w:val="0"/>
        <w:snapToGrid w:val="0"/>
        <w:ind w:firstLine="480" w:firstLineChars="200"/>
        <w:rPr>
          <w:color w:val="auto"/>
          <w:highlight w:val="none"/>
        </w:rPr>
      </w:pPr>
      <w:r>
        <w:rPr>
          <w:rFonts w:hint="eastAsia"/>
          <w:color w:val="auto"/>
          <w:highlight w:val="none"/>
        </w:rPr>
        <w:t>12.4.5 进度付款的修正</w:t>
      </w:r>
    </w:p>
    <w:p w14:paraId="54128B7A">
      <w:pPr>
        <w:adjustRightInd w:val="0"/>
        <w:snapToGrid w:val="0"/>
        <w:ind w:firstLine="480" w:firstLineChars="200"/>
        <w:rPr>
          <w:color w:val="auto"/>
          <w:highlight w:val="none"/>
        </w:rPr>
      </w:pPr>
      <w:r>
        <w:rPr>
          <w:rFonts w:hint="eastAsia"/>
          <w:color w:val="auto"/>
          <w:highlight w:val="none"/>
        </w:rPr>
        <w:t>在对已签发的进度款支付证书进行阶段汇总和复核中发现错误、遗漏或重复的，发包人和承包人均有权提出修正申请。经发包人和承包人同意的修正，应在下期进度付款中支付或扣除。</w:t>
      </w:r>
    </w:p>
    <w:p w14:paraId="1D302C4C">
      <w:pPr>
        <w:adjustRightInd w:val="0"/>
        <w:snapToGrid w:val="0"/>
        <w:ind w:firstLine="480" w:firstLineChars="200"/>
        <w:rPr>
          <w:color w:val="auto"/>
          <w:highlight w:val="none"/>
        </w:rPr>
      </w:pPr>
      <w:r>
        <w:rPr>
          <w:rFonts w:hint="eastAsia"/>
          <w:color w:val="auto"/>
          <w:highlight w:val="none"/>
        </w:rPr>
        <w:t>12.4.6 支付分解表</w:t>
      </w:r>
    </w:p>
    <w:p w14:paraId="3D98BF75">
      <w:pPr>
        <w:adjustRightInd w:val="0"/>
        <w:snapToGrid w:val="0"/>
        <w:ind w:firstLine="480" w:firstLineChars="200"/>
        <w:rPr>
          <w:color w:val="auto"/>
          <w:highlight w:val="none"/>
        </w:rPr>
      </w:pPr>
      <w:r>
        <w:rPr>
          <w:rFonts w:hint="eastAsia"/>
          <w:color w:val="auto"/>
          <w:highlight w:val="none"/>
        </w:rPr>
        <w:t>12.4.6.1支付分解表的编制要求</w:t>
      </w:r>
    </w:p>
    <w:p w14:paraId="715B8D90">
      <w:pPr>
        <w:adjustRightInd w:val="0"/>
        <w:snapToGrid w:val="0"/>
        <w:ind w:firstLine="480" w:firstLineChars="200"/>
        <w:rPr>
          <w:color w:val="auto"/>
          <w:highlight w:val="none"/>
        </w:rPr>
      </w:pPr>
      <w:r>
        <w:rPr>
          <w:rFonts w:hint="eastAsia"/>
          <w:color w:val="auto"/>
          <w:highlight w:val="none"/>
        </w:rPr>
        <w:t>（1）支付分解表中所列的每期付款金额，应为第12.4.2项第（1）目的估算金额；</w:t>
      </w:r>
    </w:p>
    <w:p w14:paraId="518AC07D">
      <w:pPr>
        <w:adjustRightInd w:val="0"/>
        <w:snapToGrid w:val="0"/>
        <w:ind w:firstLine="480" w:firstLineChars="200"/>
        <w:rPr>
          <w:color w:val="auto"/>
          <w:highlight w:val="none"/>
        </w:rPr>
      </w:pPr>
      <w:r>
        <w:rPr>
          <w:rFonts w:hint="eastAsia"/>
          <w:color w:val="auto"/>
          <w:highlight w:val="none"/>
        </w:rPr>
        <w:t>（2）实际进度与施工进度计划不一致的，合同当事人可按照第4.5款修改支付分解表；</w:t>
      </w:r>
    </w:p>
    <w:p w14:paraId="150C5A7D">
      <w:pPr>
        <w:adjustRightInd w:val="0"/>
        <w:snapToGrid w:val="0"/>
        <w:ind w:firstLine="480" w:firstLineChars="200"/>
        <w:rPr>
          <w:color w:val="auto"/>
          <w:highlight w:val="none"/>
        </w:rPr>
      </w:pPr>
      <w:r>
        <w:rPr>
          <w:rFonts w:hint="eastAsia"/>
          <w:color w:val="auto"/>
          <w:highlight w:val="none"/>
        </w:rPr>
        <w:t>（3）不采用支付分解表的，承包人应向发包人和监理人提交按季度编制的支付估算分解表，用于支付参考。</w:t>
      </w:r>
    </w:p>
    <w:p w14:paraId="20C052BA">
      <w:pPr>
        <w:adjustRightInd w:val="0"/>
        <w:snapToGrid w:val="0"/>
        <w:ind w:firstLine="480" w:firstLineChars="200"/>
        <w:rPr>
          <w:color w:val="auto"/>
          <w:highlight w:val="none"/>
        </w:rPr>
      </w:pPr>
      <w:r>
        <w:rPr>
          <w:rFonts w:hint="eastAsia"/>
          <w:color w:val="auto"/>
          <w:highlight w:val="none"/>
        </w:rPr>
        <w:t>12.4.6.2固定总价合同支付分解表的编制与审批</w:t>
      </w:r>
    </w:p>
    <w:p w14:paraId="2E687BF0">
      <w:pPr>
        <w:adjustRightInd w:val="0"/>
        <w:snapToGrid w:val="0"/>
        <w:ind w:firstLine="480" w:firstLineChars="200"/>
        <w:rPr>
          <w:color w:val="auto"/>
          <w:highlight w:val="none"/>
        </w:rPr>
      </w:pPr>
      <w:r>
        <w:rPr>
          <w:rFonts w:hint="eastAsia"/>
          <w:color w:val="auto"/>
          <w:highlight w:val="none"/>
        </w:rPr>
        <w:t>（1）除专用合同条款另有约定外，承包人应根据第7.2款约定的施工进度计划、签约合同价款和工程量等因素对固定总价合同按月进行分解，编制支付分解表。承包人应当在收到监理人和发包人批准的施工进度计划后7天内，将支付分解表及编制支付分解表的支持性资料报送监理人。</w:t>
      </w:r>
    </w:p>
    <w:p w14:paraId="46167D09">
      <w:pPr>
        <w:adjustRightInd w:val="0"/>
        <w:snapToGrid w:val="0"/>
        <w:ind w:firstLine="480" w:firstLineChars="200"/>
        <w:rPr>
          <w:rFonts w:eastAsia="仿宋_GB2312"/>
          <w:color w:val="auto"/>
          <w:highlight w:val="none"/>
        </w:rPr>
      </w:pPr>
      <w:r>
        <w:rPr>
          <w:rFonts w:hint="eastAsia"/>
          <w:color w:val="auto"/>
          <w:highlight w:val="none"/>
        </w:rPr>
        <w:t>（2）监理人应在收到支付分解表后7天内完成审核并报送发包人。发包人应在收到经监理人审核的支付分解表后7天内完成审批，经发包人批准的支付分解表为有约束力的支付分解表。</w:t>
      </w:r>
    </w:p>
    <w:p w14:paraId="5867F4FF">
      <w:pPr>
        <w:adjustRightInd w:val="0"/>
        <w:snapToGrid w:val="0"/>
        <w:ind w:firstLine="480" w:firstLineChars="200"/>
        <w:rPr>
          <w:color w:val="auto"/>
          <w:highlight w:val="none"/>
        </w:rPr>
      </w:pPr>
      <w:r>
        <w:rPr>
          <w:rFonts w:hint="eastAsia"/>
          <w:color w:val="auto"/>
          <w:highlight w:val="none"/>
        </w:rPr>
        <w:t>（3）发包人逾期未完成支付分解表审批的，也未及时要求承包人进行修正和提供补充资料的，则承包人提交的支付分解表视为已经获得发包人批准。</w:t>
      </w:r>
    </w:p>
    <w:p w14:paraId="4FFB569A">
      <w:pPr>
        <w:adjustRightInd w:val="0"/>
        <w:snapToGrid w:val="0"/>
        <w:ind w:firstLine="482" w:firstLineChars="200"/>
        <w:rPr>
          <w:b/>
          <w:color w:val="auto"/>
          <w:highlight w:val="none"/>
        </w:rPr>
      </w:pPr>
      <w:bookmarkStart w:id="624" w:name="_Toc351203585"/>
      <w:bookmarkStart w:id="625" w:name="_Toc400486438"/>
      <w:bookmarkStart w:id="626" w:name="_Toc399775191"/>
      <w:bookmarkStart w:id="627" w:name="_Toc400485465"/>
      <w:bookmarkStart w:id="628" w:name="_Toc399776258"/>
      <w:bookmarkStart w:id="629" w:name="_Toc400522446"/>
      <w:bookmarkStart w:id="630" w:name="_Toc399775811"/>
      <w:r>
        <w:rPr>
          <w:rFonts w:hint="eastAsia"/>
          <w:b/>
          <w:color w:val="auto"/>
          <w:highlight w:val="none"/>
        </w:rPr>
        <w:t>12.5 支付账户</w:t>
      </w:r>
      <w:bookmarkEnd w:id="624"/>
      <w:bookmarkEnd w:id="625"/>
      <w:bookmarkEnd w:id="626"/>
      <w:bookmarkEnd w:id="627"/>
      <w:bookmarkEnd w:id="628"/>
      <w:bookmarkEnd w:id="629"/>
      <w:bookmarkEnd w:id="630"/>
    </w:p>
    <w:p w14:paraId="7D4BB067">
      <w:pPr>
        <w:adjustRightInd w:val="0"/>
        <w:snapToGrid w:val="0"/>
        <w:ind w:firstLine="480" w:firstLineChars="200"/>
        <w:rPr>
          <w:color w:val="auto"/>
          <w:highlight w:val="none"/>
        </w:rPr>
      </w:pPr>
      <w:r>
        <w:rPr>
          <w:rFonts w:hint="eastAsia"/>
          <w:color w:val="auto"/>
          <w:highlight w:val="none"/>
        </w:rPr>
        <w:t>发包人应将合同价款支付至合同协议书中约定的承包人账户。</w:t>
      </w:r>
    </w:p>
    <w:p w14:paraId="0B9CB51A">
      <w:pPr>
        <w:keepNext/>
        <w:keepLines/>
        <w:snapToGrid w:val="0"/>
        <w:outlineLvl w:val="1"/>
        <w:rPr>
          <w:rFonts w:ascii="Arial" w:hAnsi="Arial"/>
          <w:b/>
          <w:bCs/>
          <w:color w:val="auto"/>
          <w:highlight w:val="none"/>
        </w:rPr>
      </w:pPr>
      <w:bookmarkStart w:id="631" w:name="_Toc117018799"/>
      <w:bookmarkStart w:id="632" w:name="_Toc119953735"/>
      <w:bookmarkStart w:id="633" w:name="_Toc99782822"/>
      <w:bookmarkStart w:id="634" w:name="_Toc91660614"/>
      <w:bookmarkStart w:id="635" w:name="_Toc81225282"/>
      <w:bookmarkStart w:id="636" w:name="_Toc5513"/>
      <w:bookmarkStart w:id="637" w:name="_Toc256000068"/>
      <w:r>
        <w:rPr>
          <w:rFonts w:ascii="Arial" w:hAnsi="Arial"/>
          <w:b/>
          <w:bCs/>
          <w:color w:val="auto"/>
          <w:highlight w:val="none"/>
        </w:rPr>
        <w:t xml:space="preserve">13. </w:t>
      </w:r>
      <w:r>
        <w:rPr>
          <w:rFonts w:hint="eastAsia" w:ascii="Arial" w:hAnsi="Arial"/>
          <w:b/>
          <w:bCs/>
          <w:color w:val="auto"/>
          <w:highlight w:val="none"/>
        </w:rPr>
        <w:t>工程试车、中间交接、交工验收和竣工验收</w:t>
      </w:r>
      <w:bookmarkEnd w:id="631"/>
      <w:bookmarkEnd w:id="632"/>
      <w:bookmarkEnd w:id="633"/>
      <w:bookmarkEnd w:id="634"/>
      <w:bookmarkEnd w:id="635"/>
      <w:bookmarkEnd w:id="636"/>
      <w:bookmarkEnd w:id="637"/>
    </w:p>
    <w:p w14:paraId="31E91094">
      <w:pPr>
        <w:adjustRightInd w:val="0"/>
        <w:snapToGrid w:val="0"/>
        <w:ind w:firstLine="482" w:firstLineChars="200"/>
        <w:rPr>
          <w:b/>
          <w:color w:val="auto"/>
          <w:highlight w:val="none"/>
        </w:rPr>
      </w:pPr>
      <w:bookmarkStart w:id="638" w:name="_Toc400522398"/>
      <w:bookmarkStart w:id="639" w:name="_Toc399776210"/>
      <w:bookmarkStart w:id="640" w:name="_Toc399775763"/>
      <w:bookmarkStart w:id="641" w:name="_Toc400486390"/>
      <w:bookmarkStart w:id="642" w:name="_Toc399775143"/>
      <w:bookmarkStart w:id="643" w:name="_Toc400485417"/>
      <w:bookmarkStart w:id="644" w:name="_Toc300835163"/>
      <w:bookmarkStart w:id="645" w:name="_Toc247514162"/>
      <w:bookmarkStart w:id="646" w:name="_Toc247527763"/>
      <w:r>
        <w:rPr>
          <w:rFonts w:hint="eastAsia"/>
          <w:b/>
          <w:color w:val="auto"/>
          <w:highlight w:val="none"/>
        </w:rPr>
        <w:t>13.1工程试车</w:t>
      </w:r>
      <w:bookmarkEnd w:id="638"/>
      <w:bookmarkEnd w:id="639"/>
      <w:bookmarkEnd w:id="640"/>
      <w:bookmarkEnd w:id="641"/>
      <w:bookmarkEnd w:id="642"/>
      <w:bookmarkEnd w:id="643"/>
    </w:p>
    <w:p w14:paraId="33DAEDA6">
      <w:pPr>
        <w:adjustRightInd w:val="0"/>
        <w:snapToGrid w:val="0"/>
        <w:ind w:firstLine="480" w:firstLineChars="200"/>
        <w:rPr>
          <w:color w:val="auto"/>
          <w:highlight w:val="none"/>
        </w:rPr>
      </w:pPr>
      <w:r>
        <w:rPr>
          <w:rFonts w:hint="eastAsia"/>
          <w:color w:val="auto"/>
          <w:highlight w:val="none"/>
        </w:rPr>
        <w:t>13.1.1 单机试车</w:t>
      </w:r>
    </w:p>
    <w:p w14:paraId="0B72B46D">
      <w:pPr>
        <w:adjustRightInd w:val="0"/>
        <w:snapToGrid w:val="0"/>
        <w:ind w:firstLine="480" w:firstLineChars="200"/>
        <w:rPr>
          <w:color w:val="auto"/>
          <w:highlight w:val="none"/>
        </w:rPr>
      </w:pPr>
      <w:r>
        <w:rPr>
          <w:rFonts w:hint="eastAsia"/>
          <w:color w:val="auto"/>
          <w:highlight w:val="none"/>
        </w:rPr>
        <w:t>（1）设备安装工程具备单机无负荷试车条件，承包人组织试车，并在开车前48小时以书面形式通知监理人、发包人。通知包括试车内容、时间、地点。承包人准备试车记录，发包人根据承包人要求为试车提供必要条件。试车合格，监理人、发包人在试车记录上签字。</w:t>
      </w:r>
    </w:p>
    <w:p w14:paraId="11CD5164">
      <w:pPr>
        <w:adjustRightInd w:val="0"/>
        <w:snapToGrid w:val="0"/>
        <w:ind w:firstLine="480" w:firstLineChars="200"/>
        <w:rPr>
          <w:color w:val="auto"/>
          <w:highlight w:val="none"/>
        </w:rPr>
      </w:pPr>
      <w:r>
        <w:rPr>
          <w:rFonts w:hint="eastAsia"/>
          <w:color w:val="auto"/>
          <w:highlight w:val="none"/>
        </w:rPr>
        <w:t>（2）监理人、发包人不能按时参加单机试车，须在开始试车前24小时以书面形式向承包人提出延期要求，延期不能超过48小时。监理人、发包人未能按以上时间提出延期要求，不参加试车，应承认试车记录。</w:t>
      </w:r>
    </w:p>
    <w:p w14:paraId="17433D8C">
      <w:pPr>
        <w:adjustRightInd w:val="0"/>
        <w:snapToGrid w:val="0"/>
        <w:ind w:firstLine="480" w:firstLineChars="200"/>
        <w:rPr>
          <w:color w:val="auto"/>
          <w:highlight w:val="none"/>
        </w:rPr>
      </w:pPr>
      <w:r>
        <w:rPr>
          <w:rFonts w:hint="eastAsia"/>
          <w:color w:val="auto"/>
          <w:highlight w:val="none"/>
        </w:rPr>
        <w:t>13.1.2 无负荷联动试车</w:t>
      </w:r>
    </w:p>
    <w:p w14:paraId="013D8440">
      <w:pPr>
        <w:adjustRightInd w:val="0"/>
        <w:snapToGrid w:val="0"/>
        <w:ind w:firstLine="480" w:firstLineChars="200"/>
        <w:rPr>
          <w:color w:val="auto"/>
          <w:highlight w:val="none"/>
        </w:rPr>
      </w:pPr>
      <w:r>
        <w:rPr>
          <w:rFonts w:hint="eastAsia"/>
          <w:color w:val="auto"/>
          <w:highlight w:val="none"/>
        </w:rPr>
        <w:t>设备安装工程具备无负荷联动试车条件，由发包人组织试车，发包人在试车前48小时以书面形式通知承包人。通知包括试车内容、时间、地点和对承包人的要求，承包人按要求做好配合和协助工作。试车合格，双方在试车记录上签字。</w:t>
      </w:r>
    </w:p>
    <w:p w14:paraId="5B1D5A11">
      <w:pPr>
        <w:adjustRightInd w:val="0"/>
        <w:snapToGrid w:val="0"/>
        <w:ind w:firstLine="480" w:firstLineChars="200"/>
        <w:rPr>
          <w:color w:val="auto"/>
          <w:highlight w:val="none"/>
        </w:rPr>
      </w:pPr>
      <w:r>
        <w:rPr>
          <w:rFonts w:hint="eastAsia"/>
          <w:color w:val="auto"/>
          <w:highlight w:val="none"/>
        </w:rPr>
        <w:t>13.1.3 投料试车</w:t>
      </w:r>
    </w:p>
    <w:p w14:paraId="7E7B06C8">
      <w:pPr>
        <w:adjustRightInd w:val="0"/>
        <w:snapToGrid w:val="0"/>
        <w:ind w:firstLine="480" w:firstLineChars="200"/>
        <w:rPr>
          <w:color w:val="auto"/>
          <w:highlight w:val="none"/>
        </w:rPr>
      </w:pPr>
      <w:r>
        <w:rPr>
          <w:rFonts w:hint="eastAsia"/>
          <w:color w:val="auto"/>
          <w:highlight w:val="none"/>
        </w:rPr>
        <w:t>投料试车应在工程中间交接、无负荷联动试车已完成并已消除了缺陷后由发包人（生产单位）负责。投料试车时承包人必须密切配合，派遣熟悉工程有经验的人员协助进行开车准备和投料试车工作。上述投料试车时配合工作由承包人与发包人（生产单位）另行签订保运协议。</w:t>
      </w:r>
    </w:p>
    <w:p w14:paraId="00ECC843">
      <w:pPr>
        <w:adjustRightInd w:val="0"/>
        <w:snapToGrid w:val="0"/>
        <w:ind w:firstLine="480" w:firstLineChars="200"/>
        <w:rPr>
          <w:color w:val="auto"/>
          <w:highlight w:val="none"/>
        </w:rPr>
      </w:pPr>
      <w:r>
        <w:rPr>
          <w:rFonts w:hint="eastAsia"/>
          <w:color w:val="auto"/>
          <w:highlight w:val="none"/>
        </w:rPr>
        <w:t>13.1.4 工程试车双方责任</w:t>
      </w:r>
    </w:p>
    <w:p w14:paraId="16BDA0EF">
      <w:pPr>
        <w:adjustRightInd w:val="0"/>
        <w:snapToGrid w:val="0"/>
        <w:ind w:firstLine="480" w:firstLineChars="200"/>
        <w:rPr>
          <w:color w:val="auto"/>
          <w:highlight w:val="none"/>
        </w:rPr>
      </w:pPr>
      <w:r>
        <w:rPr>
          <w:rFonts w:hint="eastAsia"/>
          <w:color w:val="auto"/>
          <w:highlight w:val="none"/>
        </w:rPr>
        <w:t>（1）由于设计原因试车达不到验收要求，发包人安排修改设计，承包人按修改后的设计重新施工，工期相应顺延，费用由发包人承担。</w:t>
      </w:r>
    </w:p>
    <w:p w14:paraId="33E72158">
      <w:pPr>
        <w:adjustRightInd w:val="0"/>
        <w:snapToGrid w:val="0"/>
        <w:ind w:firstLine="480" w:firstLineChars="200"/>
        <w:rPr>
          <w:color w:val="auto"/>
          <w:highlight w:val="none"/>
        </w:rPr>
      </w:pPr>
      <w:r>
        <w:rPr>
          <w:rFonts w:hint="eastAsia"/>
          <w:color w:val="auto"/>
          <w:highlight w:val="none"/>
        </w:rPr>
        <w:t>（2）由于设备制造原因试车达不到验收要求，由该设备采购一方负责重新采购或修理，承包人负责拆除和重新安装。设备由承包人采购的，由承包人承担修理或重新采购、拆除及重新安装的费用，工期不予顺延；设备由发包人采购的，由此增加的费用和（或）延误的工期由发包人承担。</w:t>
      </w:r>
    </w:p>
    <w:p w14:paraId="108EC301">
      <w:pPr>
        <w:adjustRightInd w:val="0"/>
        <w:snapToGrid w:val="0"/>
        <w:ind w:firstLine="480" w:firstLineChars="200"/>
        <w:rPr>
          <w:color w:val="auto"/>
          <w:highlight w:val="none"/>
        </w:rPr>
      </w:pPr>
      <w:r>
        <w:rPr>
          <w:rFonts w:hint="eastAsia"/>
          <w:color w:val="auto"/>
          <w:highlight w:val="none"/>
        </w:rPr>
        <w:t>（3）由于材料原因试车达不到验收要求，该材料由发包人（生产单位）采购的，由发包人（生产单位）负责重新采购或修理，承包人负责拆除和重新安装。该材料由承包人采购的，由承包人承担修理或重新采购、拆除及重新安装的费用，工期不予顺延。</w:t>
      </w:r>
    </w:p>
    <w:p w14:paraId="3D608F1D">
      <w:pPr>
        <w:adjustRightInd w:val="0"/>
        <w:snapToGrid w:val="0"/>
        <w:ind w:firstLine="480" w:firstLineChars="200"/>
        <w:rPr>
          <w:color w:val="auto"/>
          <w:highlight w:val="none"/>
        </w:rPr>
      </w:pPr>
      <w:r>
        <w:rPr>
          <w:rFonts w:hint="eastAsia"/>
          <w:color w:val="auto"/>
          <w:highlight w:val="none"/>
        </w:rPr>
        <w:t>（4）由于承包人施工原因试车达不到验收要求，承包人按发包人代表要求重新安装和试车，并承担重新安装和试车的全部费用，工期不予顺延。</w:t>
      </w:r>
    </w:p>
    <w:p w14:paraId="45FEE901">
      <w:pPr>
        <w:adjustRightInd w:val="0"/>
        <w:snapToGrid w:val="0"/>
        <w:ind w:firstLine="480" w:firstLineChars="200"/>
        <w:rPr>
          <w:color w:val="auto"/>
          <w:highlight w:val="none"/>
        </w:rPr>
      </w:pPr>
      <w:r>
        <w:rPr>
          <w:rFonts w:hint="eastAsia"/>
          <w:color w:val="auto"/>
          <w:highlight w:val="none"/>
        </w:rPr>
        <w:t>（5）发包人人员在试车合格后不在试车记录上签字，试车结束24小时后，视为发包人已经认可试车记录，承包人可继续施工或办理交工验收手续。</w:t>
      </w:r>
    </w:p>
    <w:p w14:paraId="7A895010">
      <w:pPr>
        <w:adjustRightInd w:val="0"/>
        <w:snapToGrid w:val="0"/>
        <w:ind w:firstLine="482" w:firstLineChars="200"/>
        <w:rPr>
          <w:b/>
          <w:color w:val="auto"/>
          <w:highlight w:val="none"/>
        </w:rPr>
      </w:pPr>
      <w:r>
        <w:rPr>
          <w:rFonts w:hint="eastAsia"/>
          <w:b/>
          <w:color w:val="auto"/>
          <w:highlight w:val="none"/>
        </w:rPr>
        <w:t>13.2 中间交接</w:t>
      </w:r>
    </w:p>
    <w:p w14:paraId="6BE7048F">
      <w:pPr>
        <w:adjustRightInd w:val="0"/>
        <w:snapToGrid w:val="0"/>
        <w:ind w:firstLine="480" w:firstLineChars="200"/>
        <w:rPr>
          <w:color w:val="auto"/>
          <w:highlight w:val="none"/>
        </w:rPr>
      </w:pPr>
      <w:r>
        <w:rPr>
          <w:rFonts w:hint="eastAsia"/>
          <w:color w:val="auto"/>
          <w:highlight w:val="none"/>
        </w:rPr>
        <w:t>13.2.1承包人完成合同主要工作后，向发包人办理中间交接，一般按单项或系统工程进行交接，中间交接只是工程保管、使用责任的移交，不能解除承包人对工程质量、竣工验收应负的责任。</w:t>
      </w:r>
    </w:p>
    <w:p w14:paraId="3C5EDF89">
      <w:pPr>
        <w:adjustRightInd w:val="0"/>
        <w:snapToGrid w:val="0"/>
        <w:ind w:firstLine="480" w:firstLineChars="200"/>
        <w:rPr>
          <w:color w:val="auto"/>
          <w:highlight w:val="none"/>
        </w:rPr>
      </w:pPr>
      <w:r>
        <w:rPr>
          <w:rFonts w:hint="eastAsia"/>
          <w:color w:val="auto"/>
          <w:highlight w:val="none"/>
        </w:rPr>
        <w:t>13.2.1中间交接应具备的条件为：</w:t>
      </w:r>
    </w:p>
    <w:p w14:paraId="69F17A5C">
      <w:pPr>
        <w:adjustRightInd w:val="0"/>
        <w:snapToGrid w:val="0"/>
        <w:ind w:firstLine="480" w:firstLineChars="200"/>
        <w:rPr>
          <w:color w:val="auto"/>
          <w:highlight w:val="none"/>
        </w:rPr>
      </w:pPr>
      <w:r>
        <w:rPr>
          <w:rFonts w:hint="eastAsia"/>
          <w:color w:val="auto"/>
          <w:highlight w:val="none"/>
        </w:rPr>
        <w:t>（1）工程按设计内容完成施工；</w:t>
      </w:r>
    </w:p>
    <w:p w14:paraId="420019C1">
      <w:pPr>
        <w:adjustRightInd w:val="0"/>
        <w:snapToGrid w:val="0"/>
        <w:ind w:firstLine="480" w:firstLineChars="200"/>
        <w:rPr>
          <w:color w:val="auto"/>
          <w:highlight w:val="none"/>
        </w:rPr>
      </w:pPr>
      <w:r>
        <w:rPr>
          <w:rFonts w:hint="eastAsia"/>
          <w:color w:val="auto"/>
          <w:highlight w:val="none"/>
        </w:rPr>
        <w:t>（2）工程质量符合国家和行业标准；</w:t>
      </w:r>
    </w:p>
    <w:p w14:paraId="3BFAEAFB">
      <w:pPr>
        <w:adjustRightInd w:val="0"/>
        <w:snapToGrid w:val="0"/>
        <w:ind w:firstLine="480" w:firstLineChars="200"/>
        <w:rPr>
          <w:color w:val="auto"/>
          <w:highlight w:val="none"/>
        </w:rPr>
      </w:pPr>
      <w:r>
        <w:rPr>
          <w:rFonts w:hint="eastAsia"/>
          <w:color w:val="auto"/>
          <w:highlight w:val="none"/>
        </w:rPr>
        <w:t>（3）工艺、动力管道的耐压试验完成，系统清洗、吹扫完，保温基本完成；</w:t>
      </w:r>
    </w:p>
    <w:p w14:paraId="21CB599E">
      <w:pPr>
        <w:adjustRightInd w:val="0"/>
        <w:snapToGrid w:val="0"/>
        <w:ind w:firstLine="480" w:firstLineChars="200"/>
        <w:rPr>
          <w:color w:val="auto"/>
          <w:highlight w:val="none"/>
        </w:rPr>
      </w:pPr>
      <w:r>
        <w:rPr>
          <w:rFonts w:hint="eastAsia"/>
          <w:color w:val="auto"/>
          <w:highlight w:val="none"/>
        </w:rPr>
        <w:t>（4）静设备无损检验、强度试验、清扫完成；安全附件（安全阀、防爆门等）已调试合格；</w:t>
      </w:r>
    </w:p>
    <w:p w14:paraId="136712D3">
      <w:pPr>
        <w:adjustRightInd w:val="0"/>
        <w:snapToGrid w:val="0"/>
        <w:ind w:firstLine="480" w:firstLineChars="200"/>
        <w:rPr>
          <w:color w:val="auto"/>
          <w:highlight w:val="none"/>
        </w:rPr>
      </w:pPr>
      <w:r>
        <w:rPr>
          <w:rFonts w:hint="eastAsia"/>
          <w:color w:val="auto"/>
          <w:highlight w:val="none"/>
        </w:rPr>
        <w:t>（5）动设备单机试车合格（需实物料或特殊介质而未试车的除外）；</w:t>
      </w:r>
    </w:p>
    <w:p w14:paraId="534E49CE">
      <w:pPr>
        <w:adjustRightInd w:val="0"/>
        <w:snapToGrid w:val="0"/>
        <w:ind w:firstLine="480" w:firstLineChars="200"/>
        <w:rPr>
          <w:color w:val="auto"/>
          <w:highlight w:val="none"/>
        </w:rPr>
      </w:pPr>
      <w:r>
        <w:rPr>
          <w:rFonts w:hint="eastAsia"/>
          <w:color w:val="auto"/>
          <w:highlight w:val="none"/>
        </w:rPr>
        <w:t>（6）大机组空负荷试车完成，机组保护性联锁和报警等自控系统静态调试联校合格；</w:t>
      </w:r>
    </w:p>
    <w:p w14:paraId="452F25D7">
      <w:pPr>
        <w:adjustRightInd w:val="0"/>
        <w:snapToGrid w:val="0"/>
        <w:ind w:firstLine="480" w:firstLineChars="200"/>
        <w:rPr>
          <w:color w:val="auto"/>
          <w:highlight w:val="none"/>
        </w:rPr>
      </w:pPr>
      <w:r>
        <w:rPr>
          <w:rFonts w:hint="eastAsia"/>
          <w:color w:val="auto"/>
          <w:highlight w:val="none"/>
        </w:rPr>
        <w:t>（7）装置电气、仪表、计算机、防毒防火防爆等系统调试联校合格；</w:t>
      </w:r>
    </w:p>
    <w:p w14:paraId="3671FA63">
      <w:pPr>
        <w:adjustRightInd w:val="0"/>
        <w:snapToGrid w:val="0"/>
        <w:ind w:firstLine="480" w:firstLineChars="200"/>
        <w:rPr>
          <w:color w:val="auto"/>
          <w:highlight w:val="none"/>
        </w:rPr>
      </w:pPr>
      <w:r>
        <w:rPr>
          <w:rFonts w:hint="eastAsia"/>
          <w:color w:val="auto"/>
          <w:highlight w:val="none"/>
        </w:rPr>
        <w:t>（8）装置区施工临时设施已拆除，工完、料净、场地清，竖向工程施工已完成；</w:t>
      </w:r>
    </w:p>
    <w:p w14:paraId="38CBD780">
      <w:pPr>
        <w:adjustRightInd w:val="0"/>
        <w:snapToGrid w:val="0"/>
        <w:ind w:firstLine="480" w:firstLineChars="200"/>
        <w:rPr>
          <w:color w:val="auto"/>
          <w:highlight w:val="none"/>
        </w:rPr>
      </w:pPr>
      <w:r>
        <w:rPr>
          <w:rFonts w:hint="eastAsia"/>
          <w:color w:val="auto"/>
          <w:highlight w:val="none"/>
        </w:rPr>
        <w:t>（9）对联动试车有影响的“三查四定”（三查是指“查设计漏项、查工程质量及隐患、查未完工程量”，四定是指“定任务、定人员、定措施、定时间”）项目及设计变更已处理完成，其他未完施工尾项责任、完成时间已明确。</w:t>
      </w:r>
    </w:p>
    <w:p w14:paraId="1C0EF5C6">
      <w:pPr>
        <w:adjustRightInd w:val="0"/>
        <w:snapToGrid w:val="0"/>
        <w:ind w:firstLine="480" w:firstLineChars="200"/>
        <w:rPr>
          <w:color w:val="auto"/>
          <w:highlight w:val="none"/>
        </w:rPr>
      </w:pPr>
      <w:r>
        <w:rPr>
          <w:rFonts w:hint="eastAsia"/>
          <w:color w:val="auto"/>
          <w:highlight w:val="none"/>
        </w:rPr>
        <w:t>13.2.3工程中间交接的主要内容：</w:t>
      </w:r>
    </w:p>
    <w:p w14:paraId="23BF5FE4">
      <w:pPr>
        <w:adjustRightInd w:val="0"/>
        <w:snapToGrid w:val="0"/>
        <w:ind w:firstLine="480" w:firstLineChars="200"/>
        <w:rPr>
          <w:color w:val="auto"/>
          <w:highlight w:val="none"/>
        </w:rPr>
      </w:pPr>
      <w:r>
        <w:rPr>
          <w:rFonts w:hint="eastAsia"/>
          <w:color w:val="auto"/>
          <w:highlight w:val="none"/>
        </w:rPr>
        <w:t>（1）按设计内容对工程实物量的核实交接；</w:t>
      </w:r>
    </w:p>
    <w:p w14:paraId="019C45B1">
      <w:pPr>
        <w:adjustRightInd w:val="0"/>
        <w:snapToGrid w:val="0"/>
        <w:ind w:firstLine="480" w:firstLineChars="200"/>
        <w:rPr>
          <w:color w:val="auto"/>
          <w:highlight w:val="none"/>
        </w:rPr>
      </w:pPr>
      <w:r>
        <w:rPr>
          <w:rFonts w:hint="eastAsia"/>
          <w:color w:val="auto"/>
          <w:highlight w:val="none"/>
        </w:rPr>
        <w:t>（2）工程质量资料及有关调试记录的审核验证与交接；</w:t>
      </w:r>
    </w:p>
    <w:p w14:paraId="7EEF4104">
      <w:pPr>
        <w:adjustRightInd w:val="0"/>
        <w:snapToGrid w:val="0"/>
        <w:ind w:firstLine="480" w:firstLineChars="200"/>
        <w:rPr>
          <w:color w:val="auto"/>
          <w:highlight w:val="none"/>
        </w:rPr>
      </w:pPr>
      <w:r>
        <w:rPr>
          <w:rFonts w:hint="eastAsia"/>
          <w:color w:val="auto"/>
          <w:highlight w:val="none"/>
        </w:rPr>
        <w:t>（3）安装专用工具和剩余随机备件、材料交接；</w:t>
      </w:r>
    </w:p>
    <w:p w14:paraId="00E8697A">
      <w:pPr>
        <w:adjustRightInd w:val="0"/>
        <w:snapToGrid w:val="0"/>
        <w:ind w:firstLine="480" w:firstLineChars="200"/>
        <w:rPr>
          <w:color w:val="auto"/>
          <w:highlight w:val="none"/>
        </w:rPr>
      </w:pPr>
      <w:r>
        <w:rPr>
          <w:rFonts w:hint="eastAsia"/>
          <w:color w:val="auto"/>
          <w:highlight w:val="none"/>
        </w:rPr>
        <w:t>（4）工程尾项清理，明确实施方案及完成时间；</w:t>
      </w:r>
    </w:p>
    <w:p w14:paraId="484D7BBE">
      <w:pPr>
        <w:adjustRightInd w:val="0"/>
        <w:snapToGrid w:val="0"/>
        <w:ind w:firstLine="480" w:firstLineChars="200"/>
        <w:rPr>
          <w:color w:val="auto"/>
          <w:highlight w:val="none"/>
        </w:rPr>
      </w:pPr>
      <w:r>
        <w:rPr>
          <w:rFonts w:hint="eastAsia"/>
          <w:color w:val="auto"/>
          <w:highlight w:val="none"/>
        </w:rPr>
        <w:t>（5）随机技术资料交接。</w:t>
      </w:r>
    </w:p>
    <w:p w14:paraId="241E1ADF">
      <w:pPr>
        <w:adjustRightInd w:val="0"/>
        <w:snapToGrid w:val="0"/>
        <w:ind w:firstLine="480" w:firstLineChars="200"/>
        <w:rPr>
          <w:color w:val="auto"/>
          <w:highlight w:val="none"/>
        </w:rPr>
      </w:pPr>
      <w:r>
        <w:rPr>
          <w:rFonts w:hint="eastAsia"/>
          <w:color w:val="auto"/>
          <w:highlight w:val="none"/>
        </w:rPr>
        <w:t>13.2.4工程中间交接先由发包人组织承包人、监理人按单元工程、分专业进行中间验收，其最后组织中间交接会议，并分别在工程中间交接协议书及附件上签字。</w:t>
      </w:r>
    </w:p>
    <w:p w14:paraId="1592FCD3">
      <w:pPr>
        <w:adjustRightInd w:val="0"/>
        <w:snapToGrid w:val="0"/>
        <w:ind w:firstLine="480" w:firstLineChars="200"/>
        <w:rPr>
          <w:color w:val="auto"/>
          <w:highlight w:val="none"/>
        </w:rPr>
      </w:pPr>
      <w:r>
        <w:rPr>
          <w:rFonts w:hint="eastAsia"/>
          <w:color w:val="auto"/>
          <w:highlight w:val="none"/>
        </w:rPr>
        <w:t>13.2.5中间交接日期为发包人批准中间交接验收申请报告的日期。若验收达不到要求，承包人按发包人要求修改，并承担由自身原因造成的修改费用。发包人代表在收到承包人送交的中间交接验收申请报告 10天内无正当理由不组织验收,或验收后 5天内不予批准且不能提出修改意见，可视为工程中间交接，中间交接日期为承包人送交中间交接验收申请报告的日期，需修改后才能达到中间交接要求的，应为承包人修改后重新送交申请验收报告的日期。</w:t>
      </w:r>
    </w:p>
    <w:p w14:paraId="6AEFB879">
      <w:pPr>
        <w:adjustRightInd w:val="0"/>
        <w:snapToGrid w:val="0"/>
        <w:ind w:firstLine="480" w:firstLineChars="200"/>
        <w:rPr>
          <w:color w:val="auto"/>
          <w:highlight w:val="none"/>
        </w:rPr>
      </w:pPr>
      <w:r>
        <w:rPr>
          <w:rFonts w:hint="eastAsia"/>
          <w:color w:val="auto"/>
          <w:highlight w:val="none"/>
        </w:rPr>
        <w:t>13.2.6工程未经中间交接或中间交接未通过的，发包人不得使用。发包人强行使用时，由此发生的质量问题及其它问题，由发包人承担责任。</w:t>
      </w:r>
    </w:p>
    <w:p w14:paraId="7362AEB2">
      <w:pPr>
        <w:adjustRightInd w:val="0"/>
        <w:snapToGrid w:val="0"/>
        <w:ind w:firstLine="482" w:firstLineChars="200"/>
        <w:rPr>
          <w:b/>
          <w:color w:val="auto"/>
          <w:highlight w:val="none"/>
        </w:rPr>
      </w:pPr>
      <w:r>
        <w:rPr>
          <w:rFonts w:hint="eastAsia"/>
          <w:b/>
          <w:color w:val="auto"/>
          <w:highlight w:val="none"/>
        </w:rPr>
        <w:t>13.3 交工验收</w:t>
      </w:r>
    </w:p>
    <w:p w14:paraId="194F635E">
      <w:pPr>
        <w:adjustRightInd w:val="0"/>
        <w:snapToGrid w:val="0"/>
        <w:ind w:firstLine="480" w:firstLineChars="200"/>
        <w:rPr>
          <w:color w:val="auto"/>
          <w:highlight w:val="none"/>
        </w:rPr>
      </w:pPr>
      <w:r>
        <w:rPr>
          <w:rFonts w:hint="eastAsia"/>
          <w:color w:val="auto"/>
          <w:highlight w:val="none"/>
        </w:rPr>
        <w:t xml:space="preserve">13.3.1工程项目交工验收应符合下列规定： </w:t>
      </w:r>
    </w:p>
    <w:p w14:paraId="2B7A7071">
      <w:pPr>
        <w:adjustRightInd w:val="0"/>
        <w:snapToGrid w:val="0"/>
        <w:ind w:firstLine="480" w:firstLineChars="200"/>
        <w:rPr>
          <w:color w:val="auto"/>
          <w:highlight w:val="none"/>
        </w:rPr>
      </w:pPr>
      <w:r>
        <w:rPr>
          <w:rFonts w:hint="eastAsia"/>
          <w:color w:val="auto"/>
          <w:highlight w:val="none"/>
        </w:rPr>
        <w:t xml:space="preserve">（1）全部工程内容已按工程合同完成，验收合格； </w:t>
      </w:r>
    </w:p>
    <w:p w14:paraId="59761F18">
      <w:pPr>
        <w:adjustRightInd w:val="0"/>
        <w:snapToGrid w:val="0"/>
        <w:ind w:firstLine="480" w:firstLineChars="200"/>
        <w:rPr>
          <w:color w:val="auto"/>
          <w:highlight w:val="none"/>
        </w:rPr>
      </w:pPr>
      <w:r>
        <w:rPr>
          <w:rFonts w:hint="eastAsia"/>
          <w:color w:val="auto"/>
          <w:highlight w:val="none"/>
        </w:rPr>
        <w:t xml:space="preserve">（2）按SH/T 3503-2007规定及工程合同约定向发包人移交了建设工程交工技术文件； </w:t>
      </w:r>
    </w:p>
    <w:p w14:paraId="396916CA">
      <w:pPr>
        <w:adjustRightInd w:val="0"/>
        <w:snapToGrid w:val="0"/>
        <w:ind w:firstLine="480" w:firstLineChars="200"/>
        <w:rPr>
          <w:color w:val="auto"/>
          <w:highlight w:val="none"/>
        </w:rPr>
      </w:pPr>
      <w:r>
        <w:rPr>
          <w:rFonts w:hint="eastAsia"/>
          <w:color w:val="auto"/>
          <w:highlight w:val="none"/>
        </w:rPr>
        <w:t xml:space="preserve">（3）工程质量保修书已出具； </w:t>
      </w:r>
    </w:p>
    <w:p w14:paraId="5403FFB2">
      <w:pPr>
        <w:adjustRightInd w:val="0"/>
        <w:snapToGrid w:val="0"/>
        <w:ind w:firstLine="480" w:firstLineChars="200"/>
        <w:rPr>
          <w:color w:val="auto"/>
          <w:highlight w:val="none"/>
        </w:rPr>
      </w:pPr>
      <w:r>
        <w:rPr>
          <w:rFonts w:hint="eastAsia"/>
          <w:color w:val="auto"/>
          <w:highlight w:val="none"/>
        </w:rPr>
        <w:t xml:space="preserve">（4）工程交工验收申请已向发包人提交； </w:t>
      </w:r>
    </w:p>
    <w:p w14:paraId="0B11F45C">
      <w:pPr>
        <w:adjustRightInd w:val="0"/>
        <w:snapToGrid w:val="0"/>
        <w:ind w:firstLine="480" w:firstLineChars="200"/>
        <w:rPr>
          <w:color w:val="auto"/>
          <w:highlight w:val="none"/>
        </w:rPr>
      </w:pPr>
      <w:r>
        <w:rPr>
          <w:rFonts w:hint="eastAsia"/>
          <w:color w:val="auto"/>
          <w:highlight w:val="none"/>
        </w:rPr>
        <w:t xml:space="preserve">（5）工程项目经投料试车产出合格产品或具备使用条件。 </w:t>
      </w:r>
    </w:p>
    <w:p w14:paraId="25A34F14">
      <w:pPr>
        <w:adjustRightInd w:val="0"/>
        <w:snapToGrid w:val="0"/>
        <w:ind w:firstLine="480" w:firstLineChars="200"/>
        <w:rPr>
          <w:color w:val="auto"/>
          <w:highlight w:val="none"/>
        </w:rPr>
      </w:pPr>
      <w:r>
        <w:rPr>
          <w:rFonts w:hint="eastAsia"/>
          <w:color w:val="auto"/>
          <w:highlight w:val="none"/>
        </w:rPr>
        <w:t xml:space="preserve">13.3.2承包人按SH/T 3503-2007规定向发包人移交交工技术文件，并提交验收申请。 </w:t>
      </w:r>
    </w:p>
    <w:p w14:paraId="4159DACD">
      <w:pPr>
        <w:adjustRightInd w:val="0"/>
        <w:snapToGrid w:val="0"/>
        <w:ind w:firstLine="480" w:firstLineChars="200"/>
        <w:rPr>
          <w:color w:val="auto"/>
          <w:highlight w:val="none"/>
        </w:rPr>
      </w:pPr>
      <w:r>
        <w:rPr>
          <w:rFonts w:hint="eastAsia"/>
          <w:color w:val="auto"/>
          <w:highlight w:val="none"/>
        </w:rPr>
        <w:t xml:space="preserve">13.3.3 在一个总体建设项目中包含多个单项工程的，每个单项工程应单独办理交工验收。 </w:t>
      </w:r>
    </w:p>
    <w:p w14:paraId="7AE3E875">
      <w:pPr>
        <w:adjustRightInd w:val="0"/>
        <w:snapToGrid w:val="0"/>
        <w:ind w:firstLine="480" w:firstLineChars="200"/>
        <w:rPr>
          <w:color w:val="auto"/>
          <w:highlight w:val="none"/>
        </w:rPr>
      </w:pPr>
      <w:r>
        <w:rPr>
          <w:rFonts w:hint="eastAsia"/>
          <w:color w:val="auto"/>
          <w:highlight w:val="none"/>
        </w:rPr>
        <w:t xml:space="preserve">13.3.4发包人在受理承包人提交的交工验收申请后，应在规定期间内组织发包人（生产单位）、承包人、设计、施工、监理及有关单位对工程项目进行检查、验收。 </w:t>
      </w:r>
    </w:p>
    <w:p w14:paraId="24F6BCF2">
      <w:pPr>
        <w:adjustRightInd w:val="0"/>
        <w:snapToGrid w:val="0"/>
        <w:ind w:firstLine="480" w:firstLineChars="200"/>
        <w:rPr>
          <w:color w:val="auto"/>
          <w:highlight w:val="none"/>
        </w:rPr>
      </w:pPr>
      <w:r>
        <w:rPr>
          <w:rFonts w:hint="eastAsia"/>
          <w:color w:val="auto"/>
          <w:highlight w:val="none"/>
        </w:rPr>
        <w:t xml:space="preserve">13.3.5交工验收后应办理工程交工验收手续，各方签署“工程交工证书”。 </w:t>
      </w:r>
    </w:p>
    <w:p w14:paraId="7196B164">
      <w:pPr>
        <w:adjustRightInd w:val="0"/>
        <w:snapToGrid w:val="0"/>
        <w:ind w:firstLine="480" w:firstLineChars="200"/>
        <w:rPr>
          <w:color w:val="auto"/>
          <w:highlight w:val="none"/>
        </w:rPr>
      </w:pPr>
      <w:r>
        <w:rPr>
          <w:rFonts w:hint="eastAsia"/>
          <w:color w:val="auto"/>
          <w:highlight w:val="none"/>
        </w:rPr>
        <w:t xml:space="preserve">13.3.6 自签署“工程交工证书”之日，承包人开始履行保修责任。 </w:t>
      </w:r>
    </w:p>
    <w:p w14:paraId="1E9203E6">
      <w:pPr>
        <w:adjustRightInd w:val="0"/>
        <w:snapToGrid w:val="0"/>
        <w:ind w:firstLine="480" w:firstLineChars="200"/>
        <w:rPr>
          <w:color w:val="auto"/>
          <w:highlight w:val="none"/>
        </w:rPr>
      </w:pPr>
      <w:r>
        <w:rPr>
          <w:rFonts w:hint="eastAsia"/>
          <w:color w:val="auto"/>
          <w:highlight w:val="none"/>
        </w:rPr>
        <w:t>13.3.7 交工验收其他规定见专用合同条款。</w:t>
      </w:r>
    </w:p>
    <w:p w14:paraId="681BCCCE">
      <w:pPr>
        <w:adjustRightInd w:val="0"/>
        <w:snapToGrid w:val="0"/>
        <w:ind w:firstLine="482" w:firstLineChars="200"/>
        <w:rPr>
          <w:b/>
          <w:color w:val="auto"/>
          <w:highlight w:val="none"/>
        </w:rPr>
      </w:pPr>
      <w:r>
        <w:rPr>
          <w:rFonts w:hint="eastAsia"/>
          <w:b/>
          <w:color w:val="auto"/>
          <w:highlight w:val="none"/>
        </w:rPr>
        <w:t>13.4 竣工验收</w:t>
      </w:r>
    </w:p>
    <w:bookmarkEnd w:id="644"/>
    <w:bookmarkEnd w:id="645"/>
    <w:bookmarkEnd w:id="646"/>
    <w:p w14:paraId="1B8FFF46">
      <w:pPr>
        <w:adjustRightInd w:val="0"/>
        <w:snapToGrid w:val="0"/>
        <w:ind w:firstLine="480" w:firstLineChars="200"/>
        <w:rPr>
          <w:color w:val="auto"/>
          <w:highlight w:val="none"/>
        </w:rPr>
      </w:pPr>
      <w:r>
        <w:rPr>
          <w:rFonts w:hint="eastAsia"/>
          <w:color w:val="auto"/>
          <w:highlight w:val="none"/>
        </w:rPr>
        <w:t>13.4.1工程项目竣工验收宜在签署“工程交工证书”后12个月内完成。</w:t>
      </w:r>
    </w:p>
    <w:p w14:paraId="4827056E">
      <w:pPr>
        <w:adjustRightInd w:val="0"/>
        <w:snapToGrid w:val="0"/>
        <w:ind w:firstLine="480" w:firstLineChars="200"/>
        <w:rPr>
          <w:color w:val="auto"/>
          <w:highlight w:val="none"/>
        </w:rPr>
      </w:pPr>
      <w:r>
        <w:rPr>
          <w:rFonts w:hint="eastAsia"/>
          <w:color w:val="auto"/>
          <w:highlight w:val="none"/>
        </w:rPr>
        <w:t xml:space="preserve">13.4.2 竣工验收程序 </w:t>
      </w:r>
    </w:p>
    <w:p w14:paraId="12A9F300">
      <w:pPr>
        <w:adjustRightInd w:val="0"/>
        <w:snapToGrid w:val="0"/>
        <w:ind w:firstLine="480" w:firstLineChars="200"/>
        <w:rPr>
          <w:color w:val="auto"/>
          <w:highlight w:val="none"/>
        </w:rPr>
      </w:pPr>
      <w:r>
        <w:rPr>
          <w:rFonts w:hint="eastAsia"/>
          <w:color w:val="auto"/>
          <w:highlight w:val="none"/>
        </w:rPr>
        <w:t xml:space="preserve">（1）工程项目投入试生产前，发包人应向政府行政主管部门办理消防验收、防雷设施验收、试生产（使用）方案备案、试生产申请等相关手续； </w:t>
      </w:r>
    </w:p>
    <w:p w14:paraId="15F98CFF">
      <w:pPr>
        <w:adjustRightInd w:val="0"/>
        <w:snapToGrid w:val="0"/>
        <w:ind w:firstLine="480" w:firstLineChars="200"/>
        <w:rPr>
          <w:color w:val="auto"/>
          <w:highlight w:val="none"/>
        </w:rPr>
      </w:pPr>
      <w:r>
        <w:rPr>
          <w:rFonts w:hint="eastAsia"/>
          <w:color w:val="auto"/>
          <w:highlight w:val="none"/>
        </w:rPr>
        <w:t xml:space="preserve">（2）特种设备投入使用前或者投入使用后30天内，应向特种设备安全监督管理部门办理登记手续； </w:t>
      </w:r>
    </w:p>
    <w:p w14:paraId="1306E0BE">
      <w:pPr>
        <w:adjustRightInd w:val="0"/>
        <w:snapToGrid w:val="0"/>
        <w:ind w:firstLine="480" w:firstLineChars="200"/>
        <w:rPr>
          <w:color w:val="auto"/>
          <w:highlight w:val="none"/>
        </w:rPr>
      </w:pPr>
      <w:r>
        <w:rPr>
          <w:rFonts w:hint="eastAsia"/>
          <w:color w:val="auto"/>
          <w:highlight w:val="none"/>
        </w:rPr>
        <w:t xml:space="preserve">（3）装置投料试车产出合格产品并连续运行72小时后，可进行交工验收； </w:t>
      </w:r>
    </w:p>
    <w:p w14:paraId="79EF8A84">
      <w:pPr>
        <w:adjustRightInd w:val="0"/>
        <w:snapToGrid w:val="0"/>
        <w:ind w:firstLine="480" w:firstLineChars="200"/>
        <w:rPr>
          <w:color w:val="auto"/>
          <w:highlight w:val="none"/>
        </w:rPr>
      </w:pPr>
      <w:r>
        <w:rPr>
          <w:rFonts w:hint="eastAsia"/>
          <w:color w:val="auto"/>
          <w:highlight w:val="none"/>
        </w:rPr>
        <w:t xml:space="preserve">（4）试生产阶段，发包人应进行职业病防护设施、安全设施、环境保护设施等实施效果检测及验收； </w:t>
      </w:r>
    </w:p>
    <w:p w14:paraId="27D17FE2">
      <w:pPr>
        <w:adjustRightInd w:val="0"/>
        <w:snapToGrid w:val="0"/>
        <w:ind w:firstLine="480" w:firstLineChars="200"/>
        <w:rPr>
          <w:color w:val="auto"/>
          <w:highlight w:val="none"/>
        </w:rPr>
      </w:pPr>
      <w:r>
        <w:rPr>
          <w:rFonts w:hint="eastAsia"/>
          <w:color w:val="auto"/>
          <w:highlight w:val="none"/>
        </w:rPr>
        <w:t xml:space="preserve">（5）试生产阶段，发包人应组织生产考核，编制竣工决算，办理竣工决算审计，办理档案验收； </w:t>
      </w:r>
    </w:p>
    <w:p w14:paraId="1249782A">
      <w:pPr>
        <w:adjustRightInd w:val="0"/>
        <w:snapToGrid w:val="0"/>
        <w:ind w:firstLine="480" w:firstLineChars="200"/>
        <w:rPr>
          <w:color w:val="auto"/>
          <w:highlight w:val="none"/>
        </w:rPr>
      </w:pPr>
      <w:r>
        <w:rPr>
          <w:rFonts w:hint="eastAsia"/>
          <w:color w:val="auto"/>
          <w:highlight w:val="none"/>
        </w:rPr>
        <w:t>（6）发包人应编写竣工验收报告，并向项目批准部门提出竣工验收申请；</w:t>
      </w:r>
    </w:p>
    <w:p w14:paraId="745C613D">
      <w:pPr>
        <w:adjustRightInd w:val="0"/>
        <w:snapToGrid w:val="0"/>
        <w:ind w:firstLine="480" w:firstLineChars="200"/>
        <w:rPr>
          <w:color w:val="auto"/>
          <w:highlight w:val="none"/>
        </w:rPr>
      </w:pPr>
      <w:r>
        <w:rPr>
          <w:rFonts w:hint="eastAsia"/>
          <w:color w:val="auto"/>
          <w:highlight w:val="none"/>
        </w:rPr>
        <w:t>（7）项目批准部门应批复竣工验收申请并组织竣工验收。</w:t>
      </w:r>
    </w:p>
    <w:p w14:paraId="12CF718F">
      <w:pPr>
        <w:adjustRightInd w:val="0"/>
        <w:snapToGrid w:val="0"/>
        <w:ind w:firstLine="480" w:firstLineChars="200"/>
        <w:rPr>
          <w:color w:val="auto"/>
          <w:highlight w:val="none"/>
        </w:rPr>
      </w:pPr>
      <w:r>
        <w:rPr>
          <w:rFonts w:hint="eastAsia"/>
          <w:color w:val="auto"/>
          <w:highlight w:val="none"/>
        </w:rPr>
        <w:t xml:space="preserve">13.4.3 竣工验收应具备的条件 </w:t>
      </w:r>
    </w:p>
    <w:p w14:paraId="0CC47911">
      <w:pPr>
        <w:adjustRightInd w:val="0"/>
        <w:snapToGrid w:val="0"/>
        <w:ind w:firstLine="480" w:firstLineChars="200"/>
        <w:rPr>
          <w:color w:val="auto"/>
          <w:highlight w:val="none"/>
        </w:rPr>
      </w:pPr>
      <w:r>
        <w:rPr>
          <w:rFonts w:hint="eastAsia"/>
          <w:color w:val="auto"/>
          <w:highlight w:val="none"/>
        </w:rPr>
        <w:t xml:space="preserve">（1） 完成交工验收、专项验收、生产考核、竣工决算与审计、档案验收工作； </w:t>
      </w:r>
    </w:p>
    <w:p w14:paraId="3EF1F7BF">
      <w:pPr>
        <w:adjustRightInd w:val="0"/>
        <w:snapToGrid w:val="0"/>
        <w:ind w:firstLine="480" w:firstLineChars="200"/>
        <w:rPr>
          <w:color w:val="auto"/>
          <w:highlight w:val="none"/>
        </w:rPr>
      </w:pPr>
      <w:r>
        <w:rPr>
          <w:rFonts w:hint="eastAsia"/>
          <w:color w:val="auto"/>
          <w:highlight w:val="none"/>
        </w:rPr>
        <w:t xml:space="preserve">（2） 完成竣工验收报告的编写工作； </w:t>
      </w:r>
    </w:p>
    <w:p w14:paraId="5780ED4A">
      <w:pPr>
        <w:adjustRightInd w:val="0"/>
        <w:snapToGrid w:val="0"/>
        <w:ind w:firstLine="480" w:firstLineChars="200"/>
        <w:rPr>
          <w:color w:val="auto"/>
          <w:highlight w:val="none"/>
        </w:rPr>
      </w:pPr>
      <w:r>
        <w:rPr>
          <w:rFonts w:hint="eastAsia"/>
          <w:color w:val="auto"/>
          <w:highlight w:val="none"/>
        </w:rPr>
        <w:t xml:space="preserve">（3） 取得工程项目质量监督报告； </w:t>
      </w:r>
    </w:p>
    <w:p w14:paraId="1606B081">
      <w:pPr>
        <w:adjustRightInd w:val="0"/>
        <w:snapToGrid w:val="0"/>
        <w:ind w:firstLine="480" w:firstLineChars="200"/>
        <w:rPr>
          <w:color w:val="auto"/>
          <w:highlight w:val="none"/>
        </w:rPr>
      </w:pPr>
      <w:r>
        <w:rPr>
          <w:rFonts w:hint="eastAsia"/>
          <w:color w:val="auto"/>
          <w:highlight w:val="none"/>
        </w:rPr>
        <w:t xml:space="preserve">（4） 竣工验收申请已由项目批准部门批复。 </w:t>
      </w:r>
    </w:p>
    <w:p w14:paraId="02C03364">
      <w:pPr>
        <w:adjustRightInd w:val="0"/>
        <w:snapToGrid w:val="0"/>
        <w:ind w:firstLine="480" w:firstLineChars="200"/>
        <w:rPr>
          <w:color w:val="auto"/>
          <w:highlight w:val="none"/>
        </w:rPr>
      </w:pPr>
      <w:r>
        <w:rPr>
          <w:rFonts w:hint="eastAsia"/>
          <w:color w:val="auto"/>
          <w:highlight w:val="none"/>
        </w:rPr>
        <w:t xml:space="preserve">13.4.4 竣工验收的组织 </w:t>
      </w:r>
    </w:p>
    <w:p w14:paraId="1F0F9B67">
      <w:pPr>
        <w:adjustRightInd w:val="0"/>
        <w:snapToGrid w:val="0"/>
        <w:ind w:firstLine="480" w:firstLineChars="200"/>
        <w:rPr>
          <w:color w:val="auto"/>
          <w:highlight w:val="none"/>
        </w:rPr>
      </w:pPr>
      <w:r>
        <w:rPr>
          <w:rFonts w:hint="eastAsia"/>
          <w:color w:val="auto"/>
          <w:highlight w:val="none"/>
        </w:rPr>
        <w:t xml:space="preserve">（1）竣工验收由项目批准部门或其授权单位组织； </w:t>
      </w:r>
    </w:p>
    <w:p w14:paraId="717F74DF">
      <w:pPr>
        <w:adjustRightInd w:val="0"/>
        <w:snapToGrid w:val="0"/>
        <w:ind w:firstLine="480" w:firstLineChars="200"/>
        <w:rPr>
          <w:color w:val="auto"/>
          <w:highlight w:val="none"/>
        </w:rPr>
      </w:pPr>
      <w:r>
        <w:rPr>
          <w:rFonts w:hint="eastAsia"/>
          <w:color w:val="auto"/>
          <w:highlight w:val="none"/>
        </w:rPr>
        <w:t xml:space="preserve">（2）根据工程项目验收的需要，由项目批准部门或其授权单位会同建设工程项目主管部门和各专项主管部门组成竣工验收委员会； </w:t>
      </w:r>
    </w:p>
    <w:p w14:paraId="4A1E43B7">
      <w:pPr>
        <w:adjustRightInd w:val="0"/>
        <w:snapToGrid w:val="0"/>
        <w:ind w:firstLine="480" w:firstLineChars="200"/>
        <w:rPr>
          <w:color w:val="auto"/>
          <w:highlight w:val="none"/>
        </w:rPr>
      </w:pPr>
      <w:r>
        <w:rPr>
          <w:rFonts w:hint="eastAsia"/>
          <w:color w:val="auto"/>
          <w:highlight w:val="none"/>
        </w:rPr>
        <w:t xml:space="preserve">（3）竣工验收委员会组织竣工验收。发包人、监理人、承包人、质量监督机构和相关单位参加竣工验收； </w:t>
      </w:r>
    </w:p>
    <w:p w14:paraId="725D1CB4">
      <w:pPr>
        <w:adjustRightInd w:val="0"/>
        <w:snapToGrid w:val="0"/>
        <w:ind w:firstLine="480" w:firstLineChars="200"/>
        <w:rPr>
          <w:color w:val="auto"/>
          <w:highlight w:val="none"/>
        </w:rPr>
      </w:pPr>
      <w:r>
        <w:rPr>
          <w:rFonts w:hint="eastAsia"/>
          <w:color w:val="auto"/>
          <w:highlight w:val="none"/>
        </w:rPr>
        <w:t xml:space="preserve">（4）竣工验收委员会听取发包人工程项目建设情况汇报；实地查验工程实体，审阅相关资料；审议竣工验收报告；提出竣工验收意见， 签署“竣工验收证书”。 </w:t>
      </w:r>
    </w:p>
    <w:p w14:paraId="0EC74BAD">
      <w:pPr>
        <w:adjustRightInd w:val="0"/>
        <w:snapToGrid w:val="0"/>
        <w:ind w:firstLine="480" w:firstLineChars="200"/>
        <w:rPr>
          <w:color w:val="auto"/>
          <w:highlight w:val="none"/>
        </w:rPr>
      </w:pPr>
      <w:r>
        <w:rPr>
          <w:rFonts w:hint="eastAsia"/>
          <w:color w:val="auto"/>
          <w:highlight w:val="none"/>
        </w:rPr>
        <w:t xml:space="preserve">13.4.5  竣工验收报告 </w:t>
      </w:r>
    </w:p>
    <w:p w14:paraId="5D66127D">
      <w:pPr>
        <w:adjustRightInd w:val="0"/>
        <w:snapToGrid w:val="0"/>
        <w:ind w:firstLine="480" w:firstLineChars="200"/>
        <w:rPr>
          <w:color w:val="auto"/>
          <w:highlight w:val="none"/>
        </w:rPr>
      </w:pPr>
      <w:r>
        <w:rPr>
          <w:rFonts w:hint="eastAsia"/>
          <w:color w:val="auto"/>
          <w:highlight w:val="none"/>
        </w:rPr>
        <w:t xml:space="preserve">（1） 竣工验收报告应对工程项目进行全面、全过程的概括总结。 </w:t>
      </w:r>
    </w:p>
    <w:p w14:paraId="074A03D1">
      <w:pPr>
        <w:adjustRightInd w:val="0"/>
        <w:snapToGrid w:val="0"/>
        <w:ind w:firstLine="480" w:firstLineChars="200"/>
        <w:rPr>
          <w:color w:val="auto"/>
          <w:highlight w:val="none"/>
        </w:rPr>
      </w:pPr>
      <w:r>
        <w:rPr>
          <w:rFonts w:hint="eastAsia"/>
          <w:color w:val="auto"/>
          <w:highlight w:val="none"/>
        </w:rPr>
        <w:t xml:space="preserve">（2）工程项目相关的批复文件，作为竣工验收报告的附件。 </w:t>
      </w:r>
    </w:p>
    <w:p w14:paraId="66FC02FD">
      <w:pPr>
        <w:adjustRightInd w:val="0"/>
        <w:snapToGrid w:val="0"/>
        <w:ind w:firstLine="480" w:firstLineChars="200"/>
        <w:rPr>
          <w:color w:val="auto"/>
          <w:highlight w:val="none"/>
        </w:rPr>
      </w:pPr>
      <w:r>
        <w:rPr>
          <w:rFonts w:hint="eastAsia"/>
          <w:color w:val="auto"/>
          <w:highlight w:val="none"/>
        </w:rPr>
        <w:t xml:space="preserve">13.4.6 档案验收 </w:t>
      </w:r>
    </w:p>
    <w:p w14:paraId="3A5380B4">
      <w:pPr>
        <w:adjustRightInd w:val="0"/>
        <w:snapToGrid w:val="0"/>
        <w:ind w:firstLine="480" w:firstLineChars="200"/>
        <w:rPr>
          <w:color w:val="auto"/>
          <w:highlight w:val="none"/>
        </w:rPr>
      </w:pPr>
      <w:r>
        <w:rPr>
          <w:rFonts w:hint="eastAsia"/>
          <w:color w:val="auto"/>
          <w:highlight w:val="none"/>
        </w:rPr>
        <w:t xml:space="preserve">（1）承包人应按GB/T 50328-2014、SH/T 3503-2007和工程合同规定向发包人移交经整理组卷的交工技术文件。 </w:t>
      </w:r>
    </w:p>
    <w:p w14:paraId="167FDDDD">
      <w:pPr>
        <w:adjustRightInd w:val="0"/>
        <w:snapToGrid w:val="0"/>
        <w:ind w:firstLine="480" w:firstLineChars="200"/>
        <w:rPr>
          <w:color w:val="auto"/>
          <w:highlight w:val="none"/>
        </w:rPr>
      </w:pPr>
      <w:r>
        <w:rPr>
          <w:rFonts w:hint="eastAsia"/>
          <w:color w:val="auto"/>
          <w:highlight w:val="none"/>
        </w:rPr>
        <w:t xml:space="preserve">（2）监理人应按GB/T 50328-2014、SH/T 3903-2004和监理合同的约定收集、整理工程监理文件，按SH/T 3903-2004的规定分类、组卷，并移交发包人。 </w:t>
      </w:r>
    </w:p>
    <w:p w14:paraId="6E6B0745">
      <w:pPr>
        <w:adjustRightInd w:val="0"/>
        <w:snapToGrid w:val="0"/>
        <w:ind w:firstLine="480" w:firstLineChars="200"/>
        <w:rPr>
          <w:color w:val="auto"/>
          <w:highlight w:val="none"/>
        </w:rPr>
      </w:pPr>
      <w:r>
        <w:rPr>
          <w:rFonts w:hint="eastAsia"/>
          <w:color w:val="auto"/>
          <w:highlight w:val="none"/>
        </w:rPr>
        <w:t xml:space="preserve">（3）工程项目形成的各类电子资料应按GB/T 18894-2002、CJJ/T 117-2007和工程合同规定收集、整理、归档。 </w:t>
      </w:r>
    </w:p>
    <w:p w14:paraId="2B82D227">
      <w:pPr>
        <w:adjustRightInd w:val="0"/>
        <w:snapToGrid w:val="0"/>
        <w:ind w:firstLine="482" w:firstLineChars="200"/>
        <w:rPr>
          <w:b/>
          <w:color w:val="auto"/>
          <w:highlight w:val="none"/>
        </w:rPr>
      </w:pPr>
      <w:r>
        <w:rPr>
          <w:rFonts w:hint="eastAsia"/>
          <w:b/>
          <w:color w:val="auto"/>
          <w:highlight w:val="none"/>
        </w:rPr>
        <w:t>13.5清场</w:t>
      </w:r>
    </w:p>
    <w:p w14:paraId="26D14179">
      <w:pPr>
        <w:adjustRightInd w:val="0"/>
        <w:snapToGrid w:val="0"/>
        <w:ind w:firstLine="480" w:firstLineChars="200"/>
        <w:rPr>
          <w:color w:val="auto"/>
          <w:highlight w:val="none"/>
        </w:rPr>
      </w:pPr>
      <w:r>
        <w:rPr>
          <w:rFonts w:hint="eastAsia"/>
          <w:color w:val="auto"/>
          <w:highlight w:val="none"/>
        </w:rPr>
        <w:t>13.5.1工程交工证书颁发后，承包人应按以下要求对施工场地进行清理，直至监理人检验合格为止。清场费用由承包人承担。</w:t>
      </w:r>
    </w:p>
    <w:p w14:paraId="2ABE2F41">
      <w:pPr>
        <w:adjustRightInd w:val="0"/>
        <w:snapToGrid w:val="0"/>
        <w:ind w:firstLine="480" w:firstLineChars="200"/>
        <w:rPr>
          <w:color w:val="auto"/>
          <w:highlight w:val="none"/>
        </w:rPr>
      </w:pPr>
      <w:r>
        <w:rPr>
          <w:rFonts w:hint="eastAsia"/>
          <w:color w:val="auto"/>
          <w:highlight w:val="none"/>
        </w:rPr>
        <w:t>（1）施工场地内残留的垃圾已全部清除出场；</w:t>
      </w:r>
    </w:p>
    <w:p w14:paraId="2870080A">
      <w:pPr>
        <w:adjustRightInd w:val="0"/>
        <w:snapToGrid w:val="0"/>
        <w:ind w:firstLine="480" w:firstLineChars="200"/>
        <w:rPr>
          <w:color w:val="auto"/>
          <w:highlight w:val="none"/>
        </w:rPr>
      </w:pPr>
      <w:r>
        <w:rPr>
          <w:rFonts w:hint="eastAsia"/>
          <w:color w:val="auto"/>
          <w:highlight w:val="none"/>
        </w:rPr>
        <w:t>（2）临时工程已拆除，场地已按合同要求进行清理、平整或复原；</w:t>
      </w:r>
    </w:p>
    <w:p w14:paraId="3E15E3C0">
      <w:pPr>
        <w:adjustRightInd w:val="0"/>
        <w:snapToGrid w:val="0"/>
        <w:ind w:firstLine="480" w:firstLineChars="200"/>
        <w:rPr>
          <w:color w:val="auto"/>
          <w:highlight w:val="none"/>
        </w:rPr>
      </w:pPr>
      <w:r>
        <w:rPr>
          <w:rFonts w:hint="eastAsia"/>
          <w:color w:val="auto"/>
          <w:highlight w:val="none"/>
        </w:rPr>
        <w:t>（3）按合同约定应撤离的承包人设备和剩余的材料，包括废弃的施工设备和材料，已按计划撤离施工场地；</w:t>
      </w:r>
    </w:p>
    <w:p w14:paraId="5FE51541">
      <w:pPr>
        <w:adjustRightInd w:val="0"/>
        <w:snapToGrid w:val="0"/>
        <w:ind w:firstLine="480" w:firstLineChars="200"/>
        <w:rPr>
          <w:color w:val="auto"/>
          <w:highlight w:val="none"/>
        </w:rPr>
      </w:pPr>
      <w:r>
        <w:rPr>
          <w:rFonts w:hint="eastAsia"/>
          <w:color w:val="auto"/>
          <w:highlight w:val="none"/>
        </w:rPr>
        <w:t>（4）工程建筑物周边及其附近道路、河道的施工堆积物，已按监理人指示全部清理；</w:t>
      </w:r>
    </w:p>
    <w:p w14:paraId="07C3C594">
      <w:pPr>
        <w:adjustRightInd w:val="0"/>
        <w:snapToGrid w:val="0"/>
        <w:ind w:firstLine="480" w:firstLineChars="200"/>
        <w:rPr>
          <w:color w:val="auto"/>
          <w:highlight w:val="none"/>
        </w:rPr>
      </w:pPr>
      <w:r>
        <w:rPr>
          <w:rFonts w:hint="eastAsia"/>
          <w:color w:val="auto"/>
          <w:highlight w:val="none"/>
        </w:rPr>
        <w:t>（5）监理人指示的其他场地清理工作已全部完成。</w:t>
      </w:r>
    </w:p>
    <w:p w14:paraId="493038B0">
      <w:pPr>
        <w:adjustRightInd w:val="0"/>
        <w:snapToGrid w:val="0"/>
        <w:ind w:firstLine="480" w:firstLineChars="200"/>
        <w:rPr>
          <w:color w:val="auto"/>
          <w:highlight w:val="none"/>
        </w:rPr>
      </w:pPr>
      <w:r>
        <w:rPr>
          <w:rFonts w:hint="eastAsia"/>
          <w:color w:val="auto"/>
          <w:highlight w:val="none"/>
        </w:rPr>
        <w:t>13.5.2 承包人未按监理人的要求恢复临时占地，或者场地清理未达到合同约定的，发包人有权委托其他人恢复或清理，所发生的金额从拟支付给承包人的款项中扣除。</w:t>
      </w:r>
    </w:p>
    <w:p w14:paraId="75226BAF">
      <w:pPr>
        <w:adjustRightInd w:val="0"/>
        <w:snapToGrid w:val="0"/>
        <w:ind w:firstLine="482" w:firstLineChars="200"/>
        <w:rPr>
          <w:b/>
          <w:color w:val="auto"/>
          <w:highlight w:val="none"/>
        </w:rPr>
      </w:pPr>
      <w:r>
        <w:rPr>
          <w:rFonts w:hint="eastAsia"/>
          <w:b/>
          <w:color w:val="auto"/>
          <w:highlight w:val="none"/>
        </w:rPr>
        <w:t>13.6 施工队伍的撤离</w:t>
      </w:r>
    </w:p>
    <w:p w14:paraId="5B40C753">
      <w:pPr>
        <w:adjustRightInd w:val="0"/>
        <w:snapToGrid w:val="0"/>
        <w:ind w:firstLine="480" w:firstLineChars="200"/>
        <w:rPr>
          <w:color w:val="auto"/>
          <w:highlight w:val="none"/>
        </w:rPr>
      </w:pPr>
      <w:r>
        <w:rPr>
          <w:rFonts w:hint="eastAsia"/>
          <w:color w:val="auto"/>
          <w:highlight w:val="none"/>
        </w:rPr>
        <w:t>工程交工证书颁发后的56天内，除了经监理人同意需在缺陷责任期内继续工作和使用的人员、施工设备和临时工程外，其余的人员、施工设备和临时工程均应撤离施工场地或拆除。除专用合同条款另有约定外，缺陷责任期满时，承包人的人员和施工设备应全部撤离施工场地。</w:t>
      </w:r>
    </w:p>
    <w:p w14:paraId="1A5EECDC">
      <w:pPr>
        <w:adjustRightInd w:val="0"/>
        <w:snapToGrid w:val="0"/>
        <w:ind w:firstLine="482" w:firstLineChars="200"/>
        <w:rPr>
          <w:b/>
          <w:color w:val="auto"/>
          <w:highlight w:val="none"/>
        </w:rPr>
      </w:pPr>
      <w:r>
        <w:rPr>
          <w:rFonts w:hint="eastAsia"/>
          <w:b/>
          <w:color w:val="auto"/>
          <w:highlight w:val="none"/>
        </w:rPr>
        <w:t>13.7 生产考核</w:t>
      </w:r>
    </w:p>
    <w:p w14:paraId="048E9445">
      <w:pPr>
        <w:adjustRightInd w:val="0"/>
        <w:snapToGrid w:val="0"/>
        <w:ind w:firstLine="480" w:firstLineChars="200"/>
        <w:rPr>
          <w:color w:val="auto"/>
          <w:highlight w:val="none"/>
        </w:rPr>
      </w:pPr>
      <w:r>
        <w:rPr>
          <w:rFonts w:hint="eastAsia"/>
          <w:color w:val="auto"/>
          <w:highlight w:val="none"/>
        </w:rPr>
        <w:t>13.7.1工程项目生产装置在投料试车产出合格产品试生产稳定后，发包人应组织承包人及有关单位，按《石油化工建设工程项目竣工验收规定》的相关规定进行生产考核，编写生产考核评价报告。</w:t>
      </w:r>
    </w:p>
    <w:p w14:paraId="1CFED310">
      <w:pPr>
        <w:adjustRightInd w:val="0"/>
        <w:snapToGrid w:val="0"/>
        <w:ind w:firstLine="480" w:firstLineChars="200"/>
        <w:rPr>
          <w:color w:val="auto"/>
          <w:highlight w:val="none"/>
        </w:rPr>
      </w:pPr>
      <w:r>
        <w:rPr>
          <w:rFonts w:hint="eastAsia"/>
          <w:color w:val="auto"/>
          <w:highlight w:val="none"/>
        </w:rPr>
        <w:t>13.7.2 发包人应将生产考核的结果编入工程项目竣工验收报告。</w:t>
      </w:r>
    </w:p>
    <w:p w14:paraId="1B9E40FB">
      <w:pPr>
        <w:keepNext/>
        <w:keepLines/>
        <w:snapToGrid w:val="0"/>
        <w:outlineLvl w:val="1"/>
        <w:rPr>
          <w:rFonts w:ascii="Arial" w:hAnsi="Arial"/>
          <w:b/>
          <w:bCs/>
          <w:color w:val="auto"/>
          <w:highlight w:val="none"/>
        </w:rPr>
      </w:pPr>
      <w:bookmarkStart w:id="647" w:name="_Toc29969"/>
      <w:bookmarkStart w:id="648" w:name="_Toc399775200"/>
      <w:bookmarkStart w:id="649" w:name="_Toc119953736"/>
      <w:bookmarkStart w:id="650" w:name="_Toc351203593"/>
      <w:bookmarkStart w:id="651" w:name="_Toc81225283"/>
      <w:bookmarkStart w:id="652" w:name="_Toc399775820"/>
      <w:bookmarkStart w:id="653" w:name="_Toc400486447"/>
      <w:bookmarkStart w:id="654" w:name="_Toc256000069"/>
      <w:bookmarkStart w:id="655" w:name="_Toc91660615"/>
      <w:bookmarkStart w:id="656" w:name="_Toc399776267"/>
      <w:bookmarkStart w:id="657" w:name="_Toc99782823"/>
      <w:bookmarkStart w:id="658" w:name="_Toc117018800"/>
      <w:bookmarkStart w:id="659" w:name="_Toc400522455"/>
      <w:bookmarkStart w:id="660" w:name="_Toc400485474"/>
      <w:bookmarkStart w:id="661" w:name="_Toc337558810"/>
      <w:r>
        <w:rPr>
          <w:rFonts w:ascii="Arial" w:hAnsi="Arial"/>
          <w:b/>
          <w:bCs/>
          <w:color w:val="auto"/>
          <w:highlight w:val="none"/>
        </w:rPr>
        <w:t xml:space="preserve">14. </w:t>
      </w:r>
      <w:r>
        <w:rPr>
          <w:rFonts w:hint="eastAsia" w:ascii="Arial" w:hAnsi="Arial"/>
          <w:b/>
          <w:bCs/>
          <w:color w:val="auto"/>
          <w:highlight w:val="none"/>
        </w:rPr>
        <w:t>工程结算</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bookmarkEnd w:id="661"/>
    <w:p w14:paraId="287A44F5">
      <w:pPr>
        <w:adjustRightInd w:val="0"/>
        <w:snapToGrid w:val="0"/>
        <w:ind w:firstLine="482" w:firstLineChars="200"/>
        <w:rPr>
          <w:b/>
          <w:color w:val="auto"/>
          <w:highlight w:val="none"/>
        </w:rPr>
      </w:pPr>
      <w:bookmarkStart w:id="662" w:name="_Toc399776268"/>
      <w:bookmarkStart w:id="663" w:name="_Toc399775201"/>
      <w:bookmarkStart w:id="664" w:name="_Toc399775821"/>
      <w:bookmarkStart w:id="665" w:name="_Toc400522456"/>
      <w:bookmarkStart w:id="666" w:name="_Toc400486448"/>
      <w:bookmarkStart w:id="667" w:name="_Toc400485475"/>
      <w:bookmarkStart w:id="668" w:name="_Toc351203594"/>
      <w:bookmarkStart w:id="669" w:name="_Toc337558811"/>
      <w:r>
        <w:rPr>
          <w:rFonts w:hint="eastAsia"/>
          <w:b/>
          <w:color w:val="auto"/>
          <w:highlight w:val="none"/>
        </w:rPr>
        <w:t>14.1 工程结算申请</w:t>
      </w:r>
      <w:bookmarkEnd w:id="662"/>
      <w:bookmarkEnd w:id="663"/>
      <w:bookmarkEnd w:id="664"/>
      <w:bookmarkEnd w:id="665"/>
      <w:bookmarkEnd w:id="666"/>
      <w:bookmarkEnd w:id="667"/>
      <w:bookmarkEnd w:id="668"/>
    </w:p>
    <w:bookmarkEnd w:id="669"/>
    <w:p w14:paraId="34A96AAA">
      <w:pPr>
        <w:adjustRightInd w:val="0"/>
        <w:snapToGrid w:val="0"/>
        <w:ind w:firstLine="480" w:firstLineChars="200"/>
        <w:rPr>
          <w:color w:val="auto"/>
          <w:highlight w:val="none"/>
        </w:rPr>
      </w:pPr>
      <w:r>
        <w:rPr>
          <w:rFonts w:hint="eastAsia"/>
          <w:color w:val="auto"/>
          <w:highlight w:val="none"/>
        </w:rPr>
        <w:t>除专用合同条款另有约定外，承包人应在工程中间交接或交工验收合格后28天内向发包人和监理人提交工程结算申请单，并提交完整的结算资料。有关工程结算申请单的资料清单和份数等有特殊要求的，由合同当事人在专用合同条款中约定。</w:t>
      </w:r>
    </w:p>
    <w:p w14:paraId="6623BFB5">
      <w:pPr>
        <w:adjustRightInd w:val="0"/>
        <w:snapToGrid w:val="0"/>
        <w:ind w:firstLine="480" w:firstLineChars="200"/>
        <w:rPr>
          <w:color w:val="auto"/>
          <w:highlight w:val="none"/>
        </w:rPr>
      </w:pPr>
      <w:r>
        <w:rPr>
          <w:rFonts w:hint="eastAsia"/>
          <w:color w:val="auto"/>
          <w:highlight w:val="none"/>
        </w:rPr>
        <w:t>工程结算申请单应包括以下主要内容：</w:t>
      </w:r>
    </w:p>
    <w:p w14:paraId="2F9E06D9">
      <w:pPr>
        <w:adjustRightInd w:val="0"/>
        <w:snapToGrid w:val="0"/>
        <w:ind w:firstLine="480" w:firstLineChars="200"/>
        <w:rPr>
          <w:color w:val="auto"/>
          <w:highlight w:val="none"/>
        </w:rPr>
      </w:pPr>
      <w:r>
        <w:rPr>
          <w:rFonts w:hint="eastAsia"/>
          <w:color w:val="auto"/>
          <w:highlight w:val="none"/>
        </w:rPr>
        <w:t>（1）签约合同价款；</w:t>
      </w:r>
    </w:p>
    <w:p w14:paraId="53EEAC07">
      <w:pPr>
        <w:adjustRightInd w:val="0"/>
        <w:snapToGrid w:val="0"/>
        <w:ind w:firstLine="480" w:firstLineChars="200"/>
        <w:rPr>
          <w:color w:val="auto"/>
          <w:highlight w:val="none"/>
        </w:rPr>
      </w:pPr>
      <w:r>
        <w:rPr>
          <w:rFonts w:hint="eastAsia"/>
          <w:color w:val="auto"/>
          <w:highlight w:val="none"/>
        </w:rPr>
        <w:t>（2）工程结算价款；</w:t>
      </w:r>
    </w:p>
    <w:p w14:paraId="15D7F7CB">
      <w:pPr>
        <w:adjustRightInd w:val="0"/>
        <w:snapToGrid w:val="0"/>
        <w:ind w:firstLine="480" w:firstLineChars="200"/>
        <w:rPr>
          <w:color w:val="auto"/>
          <w:highlight w:val="none"/>
        </w:rPr>
      </w:pPr>
      <w:r>
        <w:rPr>
          <w:rFonts w:hint="eastAsia"/>
          <w:color w:val="auto"/>
          <w:highlight w:val="none"/>
        </w:rPr>
        <w:t>（3）发包人已支付承包人的款项；</w:t>
      </w:r>
    </w:p>
    <w:p w14:paraId="2741E55C">
      <w:pPr>
        <w:adjustRightInd w:val="0"/>
        <w:snapToGrid w:val="0"/>
        <w:ind w:firstLine="480" w:firstLineChars="200"/>
        <w:rPr>
          <w:color w:val="auto"/>
          <w:highlight w:val="none"/>
        </w:rPr>
      </w:pPr>
      <w:r>
        <w:rPr>
          <w:rFonts w:hint="eastAsia"/>
          <w:color w:val="auto"/>
          <w:highlight w:val="none"/>
        </w:rPr>
        <w:t xml:space="preserve">（4）应扣留的质量保证金； </w:t>
      </w:r>
    </w:p>
    <w:p w14:paraId="2D38FE04">
      <w:pPr>
        <w:adjustRightInd w:val="0"/>
        <w:snapToGrid w:val="0"/>
        <w:ind w:firstLine="480" w:firstLineChars="200"/>
        <w:rPr>
          <w:color w:val="auto"/>
          <w:highlight w:val="none"/>
        </w:rPr>
      </w:pPr>
      <w:r>
        <w:rPr>
          <w:rFonts w:hint="eastAsia"/>
          <w:color w:val="auto"/>
          <w:highlight w:val="none"/>
        </w:rPr>
        <w:t>（5）发包人应支付承包人的合同价款。</w:t>
      </w:r>
    </w:p>
    <w:p w14:paraId="7D71DDEC">
      <w:pPr>
        <w:adjustRightInd w:val="0"/>
        <w:snapToGrid w:val="0"/>
        <w:ind w:firstLine="482" w:firstLineChars="200"/>
        <w:rPr>
          <w:b/>
          <w:color w:val="auto"/>
          <w:highlight w:val="none"/>
        </w:rPr>
      </w:pPr>
      <w:bookmarkStart w:id="670" w:name="_Toc399776269"/>
      <w:bookmarkStart w:id="671" w:name="_Toc400522457"/>
      <w:bookmarkStart w:id="672" w:name="_Toc399775822"/>
      <w:bookmarkStart w:id="673" w:name="_Toc399775202"/>
      <w:bookmarkStart w:id="674" w:name="_Toc400485476"/>
      <w:bookmarkStart w:id="675" w:name="_Toc400486449"/>
      <w:bookmarkStart w:id="676" w:name="_Toc351203595"/>
      <w:bookmarkStart w:id="677" w:name="_Toc337558812"/>
      <w:r>
        <w:rPr>
          <w:rFonts w:hint="eastAsia"/>
          <w:b/>
          <w:color w:val="auto"/>
          <w:highlight w:val="none"/>
        </w:rPr>
        <w:t>14.2 工程结算审核</w:t>
      </w:r>
      <w:bookmarkEnd w:id="670"/>
      <w:bookmarkEnd w:id="671"/>
      <w:bookmarkEnd w:id="672"/>
      <w:bookmarkEnd w:id="673"/>
      <w:bookmarkEnd w:id="674"/>
      <w:bookmarkEnd w:id="675"/>
      <w:bookmarkEnd w:id="676"/>
    </w:p>
    <w:bookmarkEnd w:id="677"/>
    <w:p w14:paraId="0F239934">
      <w:pPr>
        <w:adjustRightInd w:val="0"/>
        <w:snapToGrid w:val="0"/>
        <w:ind w:firstLine="480" w:firstLineChars="200"/>
        <w:rPr>
          <w:color w:val="auto"/>
          <w:highlight w:val="none"/>
        </w:rPr>
      </w:pPr>
      <w:r>
        <w:rPr>
          <w:rFonts w:hint="eastAsia"/>
          <w:color w:val="auto"/>
          <w:highlight w:val="none"/>
        </w:rPr>
        <w:t>（1）除专用合同条款另有约定外，监理人应在收到工程结算申请单后28天内完成核查并报送发包人。发包人应在收到监理人提交的经审核的工程结算申请单后56天内完成审批。并由监理人向承包人签发经发包人签认的中间交接或交工付款证书。监理人或发包人对工程结算申请单有异议的，有权要求承包人进行修正和提供补充资料，承包人应提交修正后的工程结算申请单。</w:t>
      </w:r>
    </w:p>
    <w:p w14:paraId="11BA77E3">
      <w:pPr>
        <w:adjustRightInd w:val="0"/>
        <w:snapToGrid w:val="0"/>
        <w:ind w:firstLine="480" w:firstLineChars="200"/>
        <w:rPr>
          <w:color w:val="auto"/>
          <w:highlight w:val="none"/>
        </w:rPr>
      </w:pPr>
      <w:r>
        <w:rPr>
          <w:rFonts w:hint="eastAsia"/>
          <w:color w:val="auto"/>
          <w:highlight w:val="none"/>
        </w:rPr>
        <w:t>除专用合同条款另有约定外，发包人在收到承包人提交工程结算申请书后56天内未完成审批且未提出异议的，视为发包人认可承包人提交的工程结算申请单，并自发包人收到承包人提交的工程结算申请单后第57天起视为已签发中间交接或交工付款证书。</w:t>
      </w:r>
    </w:p>
    <w:p w14:paraId="56CF5614">
      <w:pPr>
        <w:adjustRightInd w:val="0"/>
        <w:snapToGrid w:val="0"/>
        <w:ind w:firstLine="480" w:firstLineChars="200"/>
        <w:rPr>
          <w:color w:val="auto"/>
          <w:highlight w:val="none"/>
        </w:rPr>
      </w:pPr>
      <w:r>
        <w:rPr>
          <w:rFonts w:hint="eastAsia"/>
          <w:color w:val="auto"/>
          <w:highlight w:val="none"/>
        </w:rPr>
        <w:t>（2）除专用合同条款另有约定外，承包人完成发包人物资核销、结清施工水电费用、移交工程设备专用工具以及将施工临时设施场地恢复原貌等相关工作，双方并就工程结算达成一致后，发包人应在签发中间交接或交工付款证书后的56天内，完成对承包人的中间交接或交工付款。发包人逾期支付的，按照中国人民银行发布的同期同类贷款基准利率支付违约金；逾期支付超过56天的，按照中国人民银行发布的同期同类贷款基准利率的两倍支付违约金。</w:t>
      </w:r>
    </w:p>
    <w:p w14:paraId="721D824D">
      <w:pPr>
        <w:adjustRightInd w:val="0"/>
        <w:snapToGrid w:val="0"/>
        <w:ind w:firstLine="480" w:firstLineChars="200"/>
        <w:rPr>
          <w:color w:val="auto"/>
          <w:highlight w:val="none"/>
        </w:rPr>
      </w:pPr>
      <w:r>
        <w:rPr>
          <w:rFonts w:hint="eastAsia"/>
          <w:color w:val="auto"/>
          <w:highlight w:val="none"/>
        </w:rPr>
        <w:t>（3）承包人对发包人签认的中间交接或交工付款证书有异议的，对于有异议部分应在收到发包人签认的中间交接或交工付款证书后7天内提出异议，并由合同当事人按照专用合同条款约定的方式和程序进行复核，或按照第20条约定处理。对于无异议部分，发包人应签发临时中间交接或交工付款证书，并按本款第（2）项完成付款。承包人逾期未提出异议的，视为认可发包人的审批结果。</w:t>
      </w:r>
    </w:p>
    <w:p w14:paraId="467FAF05">
      <w:pPr>
        <w:adjustRightInd w:val="0"/>
        <w:snapToGrid w:val="0"/>
        <w:ind w:firstLine="482" w:firstLineChars="200"/>
        <w:rPr>
          <w:b/>
          <w:color w:val="auto"/>
          <w:highlight w:val="none"/>
        </w:rPr>
      </w:pPr>
      <w:bookmarkStart w:id="678" w:name="_Toc400485477"/>
      <w:bookmarkStart w:id="679" w:name="_Toc400486450"/>
      <w:bookmarkStart w:id="680" w:name="_Toc351203596"/>
      <w:bookmarkStart w:id="681" w:name="_Toc399775203"/>
      <w:bookmarkStart w:id="682" w:name="_Toc400522458"/>
      <w:bookmarkStart w:id="683" w:name="_Toc399775823"/>
      <w:bookmarkStart w:id="684" w:name="_Toc399776270"/>
      <w:bookmarkStart w:id="685" w:name="_Toc337558813"/>
      <w:r>
        <w:rPr>
          <w:rFonts w:hint="eastAsia"/>
          <w:b/>
          <w:color w:val="auto"/>
          <w:highlight w:val="none"/>
        </w:rPr>
        <w:t>14.3 甩项交工协议</w:t>
      </w:r>
      <w:bookmarkEnd w:id="678"/>
      <w:bookmarkEnd w:id="679"/>
      <w:bookmarkEnd w:id="680"/>
      <w:bookmarkEnd w:id="681"/>
      <w:bookmarkEnd w:id="682"/>
      <w:bookmarkEnd w:id="683"/>
      <w:bookmarkEnd w:id="684"/>
    </w:p>
    <w:bookmarkEnd w:id="685"/>
    <w:p w14:paraId="2C2B5493">
      <w:pPr>
        <w:adjustRightInd w:val="0"/>
        <w:snapToGrid w:val="0"/>
        <w:ind w:firstLine="480" w:firstLineChars="200"/>
        <w:rPr>
          <w:color w:val="auto"/>
          <w:highlight w:val="none"/>
        </w:rPr>
      </w:pPr>
      <w:r>
        <w:rPr>
          <w:rFonts w:hint="eastAsia"/>
          <w:color w:val="auto"/>
          <w:highlight w:val="none"/>
        </w:rPr>
        <w:t>发包人要求甩项交工的，合同当事人应签订甩项交工协议。在甩项交工协议中应明确，合同当事人按照第14.1款及14.2款的约定，对已完合格工程进行结算，并支付相应合同价款。</w:t>
      </w:r>
    </w:p>
    <w:p w14:paraId="3F95684B">
      <w:pPr>
        <w:adjustRightInd w:val="0"/>
        <w:snapToGrid w:val="0"/>
        <w:ind w:firstLine="482" w:firstLineChars="200"/>
        <w:rPr>
          <w:b/>
          <w:color w:val="auto"/>
          <w:highlight w:val="none"/>
        </w:rPr>
      </w:pPr>
      <w:bookmarkStart w:id="686" w:name="_Toc400486451"/>
      <w:bookmarkStart w:id="687" w:name="_Toc351203597"/>
      <w:bookmarkStart w:id="688" w:name="_Toc399775204"/>
      <w:bookmarkStart w:id="689" w:name="_Toc400522459"/>
      <w:bookmarkStart w:id="690" w:name="_Toc399776271"/>
      <w:bookmarkStart w:id="691" w:name="_Toc400485478"/>
      <w:bookmarkStart w:id="692" w:name="_Toc399775824"/>
      <w:bookmarkStart w:id="693" w:name="_Toc337558814"/>
      <w:r>
        <w:rPr>
          <w:rFonts w:hint="eastAsia"/>
          <w:b/>
          <w:color w:val="auto"/>
          <w:highlight w:val="none"/>
        </w:rPr>
        <w:t>14.4 最终结清</w:t>
      </w:r>
      <w:bookmarkEnd w:id="686"/>
      <w:bookmarkEnd w:id="687"/>
      <w:bookmarkEnd w:id="688"/>
      <w:bookmarkEnd w:id="689"/>
      <w:bookmarkEnd w:id="690"/>
      <w:bookmarkEnd w:id="691"/>
      <w:bookmarkEnd w:id="692"/>
    </w:p>
    <w:bookmarkEnd w:id="693"/>
    <w:p w14:paraId="2E6CACD7">
      <w:pPr>
        <w:adjustRightInd w:val="0"/>
        <w:snapToGrid w:val="0"/>
        <w:ind w:firstLine="480" w:firstLineChars="200"/>
        <w:rPr>
          <w:color w:val="auto"/>
          <w:highlight w:val="none"/>
        </w:rPr>
      </w:pPr>
      <w:r>
        <w:rPr>
          <w:rFonts w:hint="eastAsia"/>
          <w:color w:val="auto"/>
          <w:highlight w:val="none"/>
        </w:rPr>
        <w:t>14.4.1 最终结清申请单</w:t>
      </w:r>
    </w:p>
    <w:p w14:paraId="30090DB0">
      <w:pPr>
        <w:adjustRightInd w:val="0"/>
        <w:snapToGrid w:val="0"/>
        <w:ind w:firstLine="480" w:firstLineChars="200"/>
        <w:rPr>
          <w:color w:val="auto"/>
          <w:highlight w:val="none"/>
        </w:rPr>
      </w:pPr>
      <w:r>
        <w:rPr>
          <w:rFonts w:hint="eastAsia"/>
          <w:color w:val="auto"/>
          <w:highlight w:val="none"/>
        </w:rPr>
        <w:t>（1）除专用合同条款另有约定外，承包人应在缺陷责任期终止证书颁发后7天内，按专用合同条款约定的份数向发包人提交最终结清申请单，并提供相关证明材料。</w:t>
      </w:r>
    </w:p>
    <w:p w14:paraId="45C916C8">
      <w:pPr>
        <w:adjustRightInd w:val="0"/>
        <w:snapToGrid w:val="0"/>
        <w:ind w:firstLine="480" w:firstLineChars="200"/>
        <w:rPr>
          <w:color w:val="auto"/>
          <w:highlight w:val="none"/>
        </w:rPr>
      </w:pPr>
      <w:r>
        <w:rPr>
          <w:rFonts w:hint="eastAsia"/>
          <w:color w:val="auto"/>
          <w:highlight w:val="none"/>
        </w:rPr>
        <w:t>最终结清申请单应列明质量保证金、应扣除的质量保证金、缺陷责任期内发生的增减费用等。</w:t>
      </w:r>
    </w:p>
    <w:p w14:paraId="405B2A94">
      <w:pPr>
        <w:adjustRightInd w:val="0"/>
        <w:snapToGrid w:val="0"/>
        <w:ind w:firstLine="480" w:firstLineChars="200"/>
        <w:rPr>
          <w:color w:val="auto"/>
          <w:highlight w:val="none"/>
        </w:rPr>
      </w:pPr>
      <w:r>
        <w:rPr>
          <w:rFonts w:hint="eastAsia"/>
          <w:color w:val="auto"/>
          <w:highlight w:val="none"/>
        </w:rPr>
        <w:t>（2）发包人对最终结清申请单内容有异议的，有权要求承包人进行修正和提供补充资料，承包人应向发包人提交修正后的最终结清申请单。</w:t>
      </w:r>
    </w:p>
    <w:p w14:paraId="57543951">
      <w:pPr>
        <w:adjustRightInd w:val="0"/>
        <w:snapToGrid w:val="0"/>
        <w:ind w:firstLine="480" w:firstLineChars="200"/>
        <w:rPr>
          <w:color w:val="auto"/>
          <w:highlight w:val="none"/>
        </w:rPr>
      </w:pPr>
      <w:r>
        <w:rPr>
          <w:rFonts w:hint="eastAsia"/>
          <w:color w:val="auto"/>
          <w:highlight w:val="none"/>
        </w:rPr>
        <w:t>14.4.2 最终结清证书和支付</w:t>
      </w:r>
    </w:p>
    <w:p w14:paraId="191A4A5D">
      <w:pPr>
        <w:adjustRightInd w:val="0"/>
        <w:snapToGrid w:val="0"/>
        <w:ind w:firstLine="480" w:firstLineChars="200"/>
        <w:rPr>
          <w:color w:val="auto"/>
          <w:highlight w:val="none"/>
        </w:rPr>
      </w:pPr>
      <w:r>
        <w:rPr>
          <w:rFonts w:hint="eastAsia"/>
          <w:color w:val="auto"/>
          <w:highlight w:val="none"/>
        </w:rPr>
        <w:t>（1）除专用合同条款另有约定外，发包人应在收到承包人提交的最终结清申请单后28天内完成审批并向承包人颁发最终结清证书。发包人逾期未完成审批，又未提出修改意见的，视为发包人同意承包人提交的最终结清申请单，且自发包人收到承包人提交的最终结清申请单后29天起视为已颁发最终结清证书。</w:t>
      </w:r>
    </w:p>
    <w:p w14:paraId="5565C204">
      <w:pPr>
        <w:adjustRightInd w:val="0"/>
        <w:snapToGrid w:val="0"/>
        <w:ind w:firstLine="480" w:firstLineChars="200"/>
        <w:rPr>
          <w:color w:val="auto"/>
          <w:highlight w:val="none"/>
        </w:rPr>
      </w:pPr>
      <w:r>
        <w:rPr>
          <w:rFonts w:hint="eastAsia"/>
          <w:color w:val="auto"/>
          <w:highlight w:val="none"/>
        </w:rPr>
        <w:t>（2）除专用合同条款另有约定外，发包人应在颁发最终结清证书后56天内完成支付。发包人逾期支付的，按照中国人民银行发布的同期同类贷款基准利率支付违约金；逾期支付超过56天的，按照中国人民银行发布的同期同类贷款基准利率的两倍支付违约金。</w:t>
      </w:r>
    </w:p>
    <w:p w14:paraId="64073FEC">
      <w:pPr>
        <w:adjustRightInd w:val="0"/>
        <w:snapToGrid w:val="0"/>
        <w:ind w:firstLine="480" w:firstLineChars="200"/>
        <w:rPr>
          <w:color w:val="auto"/>
          <w:highlight w:val="none"/>
        </w:rPr>
      </w:pPr>
      <w:r>
        <w:rPr>
          <w:rFonts w:hint="eastAsia"/>
          <w:color w:val="auto"/>
          <w:highlight w:val="none"/>
        </w:rPr>
        <w:t>（3）承包人对发包人颁发的最终结清证书有异议的，按第20条的约定办理。</w:t>
      </w:r>
    </w:p>
    <w:p w14:paraId="170271D5">
      <w:pPr>
        <w:keepNext/>
        <w:keepLines/>
        <w:adjustRightInd w:val="0"/>
        <w:snapToGrid w:val="0"/>
        <w:outlineLvl w:val="1"/>
        <w:rPr>
          <w:rFonts w:ascii="Arial"/>
          <w:b/>
          <w:bCs/>
          <w:color w:val="auto"/>
          <w:highlight w:val="none"/>
        </w:rPr>
      </w:pPr>
      <w:bookmarkStart w:id="694" w:name="_Toc119953737"/>
      <w:bookmarkStart w:id="695" w:name="_Toc99782824"/>
      <w:bookmarkStart w:id="696" w:name="_Toc91660616"/>
      <w:bookmarkStart w:id="697" w:name="_Toc81225284"/>
      <w:bookmarkStart w:id="698" w:name="_Toc256000070"/>
      <w:bookmarkStart w:id="699" w:name="_Toc22244"/>
      <w:bookmarkStart w:id="700" w:name="_Toc117018801"/>
      <w:r>
        <w:rPr>
          <w:rFonts w:ascii="Arial"/>
          <w:b/>
          <w:bCs/>
          <w:color w:val="auto"/>
          <w:highlight w:val="none"/>
        </w:rPr>
        <w:t xml:space="preserve">15. </w:t>
      </w:r>
      <w:r>
        <w:rPr>
          <w:rFonts w:hint="eastAsia" w:ascii="Arial"/>
          <w:b/>
          <w:bCs/>
          <w:color w:val="auto"/>
          <w:highlight w:val="none"/>
        </w:rPr>
        <w:t>缺陷责任与保修责任</w:t>
      </w:r>
      <w:bookmarkEnd w:id="694"/>
      <w:bookmarkEnd w:id="695"/>
      <w:bookmarkEnd w:id="696"/>
      <w:bookmarkEnd w:id="697"/>
      <w:bookmarkEnd w:id="698"/>
      <w:bookmarkEnd w:id="699"/>
      <w:bookmarkEnd w:id="700"/>
    </w:p>
    <w:p w14:paraId="01E9A01C">
      <w:pPr>
        <w:adjustRightInd w:val="0"/>
        <w:snapToGrid w:val="0"/>
        <w:ind w:firstLine="482" w:firstLineChars="200"/>
        <w:rPr>
          <w:b/>
          <w:color w:val="auto"/>
          <w:highlight w:val="none"/>
        </w:rPr>
      </w:pPr>
      <w:bookmarkStart w:id="701" w:name="_Toc247514166"/>
      <w:bookmarkStart w:id="702" w:name="_Toc300835169"/>
      <w:bookmarkStart w:id="703" w:name="_Toc247527767"/>
      <w:r>
        <w:rPr>
          <w:rFonts w:hint="eastAsia"/>
          <w:b/>
          <w:color w:val="auto"/>
          <w:highlight w:val="none"/>
        </w:rPr>
        <w:t>15.1 缺陷责任期</w:t>
      </w:r>
      <w:bookmarkEnd w:id="701"/>
      <w:bookmarkEnd w:id="702"/>
      <w:bookmarkEnd w:id="703"/>
    </w:p>
    <w:p w14:paraId="707FD964">
      <w:pPr>
        <w:adjustRightInd w:val="0"/>
        <w:snapToGrid w:val="0"/>
        <w:ind w:firstLine="480" w:firstLineChars="200"/>
        <w:rPr>
          <w:color w:val="auto"/>
          <w:highlight w:val="none"/>
        </w:rPr>
      </w:pPr>
      <w:r>
        <w:rPr>
          <w:rFonts w:hint="eastAsia"/>
          <w:color w:val="auto"/>
          <w:highlight w:val="none"/>
        </w:rPr>
        <w:t>缺陷责任期自实际工程交工验收日期起计算。在全部工程交工验收前，发包人已经提前验收的单位/单元工程并进入施工期运行的工程，其缺陷责任期的起算日期相应提前到相应工程交工日期。</w:t>
      </w:r>
    </w:p>
    <w:p w14:paraId="784E4588">
      <w:pPr>
        <w:adjustRightInd w:val="0"/>
        <w:snapToGrid w:val="0"/>
        <w:ind w:firstLine="480" w:firstLineChars="200"/>
        <w:rPr>
          <w:color w:val="auto"/>
          <w:highlight w:val="none"/>
        </w:rPr>
      </w:pPr>
      <w:r>
        <w:rPr>
          <w:rFonts w:hint="eastAsia"/>
          <w:color w:val="auto"/>
          <w:highlight w:val="none"/>
        </w:rPr>
        <w:t>除专用合同条款另有约定外，缺陷责任期为24个月。</w:t>
      </w:r>
    </w:p>
    <w:p w14:paraId="60AD1612">
      <w:pPr>
        <w:adjustRightInd w:val="0"/>
        <w:snapToGrid w:val="0"/>
        <w:ind w:firstLine="482" w:firstLineChars="200"/>
        <w:rPr>
          <w:b/>
          <w:color w:val="auto"/>
          <w:highlight w:val="none"/>
        </w:rPr>
      </w:pPr>
      <w:r>
        <w:rPr>
          <w:rFonts w:hint="eastAsia"/>
          <w:b/>
          <w:color w:val="auto"/>
          <w:highlight w:val="none"/>
        </w:rPr>
        <w:t>15.2 缺陷责任</w:t>
      </w:r>
    </w:p>
    <w:p w14:paraId="57FD5B22">
      <w:pPr>
        <w:adjustRightInd w:val="0"/>
        <w:snapToGrid w:val="0"/>
        <w:ind w:firstLine="480" w:firstLineChars="200"/>
        <w:rPr>
          <w:color w:val="auto"/>
          <w:highlight w:val="none"/>
        </w:rPr>
      </w:pPr>
      <w:r>
        <w:rPr>
          <w:rFonts w:hint="eastAsia"/>
          <w:color w:val="auto"/>
          <w:highlight w:val="none"/>
        </w:rPr>
        <w:t>15.2.1 承包人应在缺陷责任期内对已交付使用的工程承担缺陷责任。</w:t>
      </w:r>
    </w:p>
    <w:p w14:paraId="3FD72181">
      <w:pPr>
        <w:adjustRightInd w:val="0"/>
        <w:snapToGrid w:val="0"/>
        <w:ind w:firstLine="480" w:firstLineChars="200"/>
        <w:rPr>
          <w:color w:val="auto"/>
          <w:highlight w:val="none"/>
        </w:rPr>
      </w:pPr>
      <w:r>
        <w:rPr>
          <w:rFonts w:hint="eastAsia"/>
          <w:color w:val="auto"/>
          <w:highlight w:val="none"/>
        </w:rPr>
        <w:t>15.2.2 缺陷责任期内，发包人对已接收使用的工程负责日常维护工作。发包人在使用过程中，发现已接收的工程存在新的缺陷或已修复的缺陷部位或部件又遭损坏的，承包人应负责修复，直至检验合格为止。</w:t>
      </w:r>
    </w:p>
    <w:p w14:paraId="669093C4">
      <w:pPr>
        <w:adjustRightInd w:val="0"/>
        <w:snapToGrid w:val="0"/>
        <w:ind w:firstLine="480" w:firstLineChars="200"/>
        <w:rPr>
          <w:color w:val="auto"/>
          <w:highlight w:val="none"/>
        </w:rPr>
      </w:pPr>
      <w:r>
        <w:rPr>
          <w:rFonts w:hint="eastAsia"/>
          <w:color w:val="auto"/>
          <w:highlight w:val="none"/>
        </w:rPr>
        <w:t>15.2.3 监理人和承包人应共同查清缺陷和（或）损坏的原因。经查明属承包人原因造成的，应由承包人承担修复和查验的费用。经查验属发包人原因造成的，发包人应承担修复和查验的费用，并支付承包人合理利润。</w:t>
      </w:r>
    </w:p>
    <w:p w14:paraId="72B68D24">
      <w:pPr>
        <w:adjustRightInd w:val="0"/>
        <w:snapToGrid w:val="0"/>
        <w:ind w:firstLine="480" w:firstLineChars="200"/>
        <w:rPr>
          <w:color w:val="auto"/>
          <w:highlight w:val="none"/>
        </w:rPr>
      </w:pPr>
      <w:r>
        <w:rPr>
          <w:rFonts w:hint="eastAsia"/>
          <w:color w:val="auto"/>
          <w:highlight w:val="none"/>
        </w:rPr>
        <w:t>15.2.4 承包人不能在合理时间内修复缺陷的，发包人可自行修复或委托其他人修复，所需费用和利润的由责任承担。</w:t>
      </w:r>
    </w:p>
    <w:p w14:paraId="65FC6B04">
      <w:pPr>
        <w:adjustRightInd w:val="0"/>
        <w:snapToGrid w:val="0"/>
        <w:ind w:firstLine="482" w:firstLineChars="200"/>
        <w:rPr>
          <w:b/>
          <w:color w:val="auto"/>
          <w:highlight w:val="none"/>
        </w:rPr>
      </w:pPr>
      <w:bookmarkStart w:id="704" w:name="_Toc300835171"/>
      <w:bookmarkStart w:id="705" w:name="_Toc247527769"/>
      <w:bookmarkStart w:id="706" w:name="_Toc247514168"/>
      <w:r>
        <w:rPr>
          <w:rFonts w:hint="eastAsia"/>
          <w:b/>
          <w:color w:val="auto"/>
          <w:highlight w:val="none"/>
        </w:rPr>
        <w:t>15.3 缺陷责任期的延长</w:t>
      </w:r>
      <w:bookmarkEnd w:id="704"/>
      <w:bookmarkEnd w:id="705"/>
      <w:bookmarkEnd w:id="706"/>
    </w:p>
    <w:p w14:paraId="51EBE10A">
      <w:pPr>
        <w:adjustRightInd w:val="0"/>
        <w:snapToGrid w:val="0"/>
        <w:ind w:firstLine="480" w:firstLineChars="200"/>
        <w:rPr>
          <w:color w:val="auto"/>
          <w:highlight w:val="none"/>
        </w:rPr>
      </w:pPr>
      <w:r>
        <w:rPr>
          <w:rFonts w:hint="eastAsia"/>
          <w:color w:val="auto"/>
          <w:highlight w:val="none"/>
        </w:rPr>
        <w:t>由于承包人原因造成某项缺陷或损坏使某项工程或工程设备不能按原定目标使用而需要再次检查、检验和修复的，发包人有权要求承包人相应延长缺陷责任期，但缺陷责任期最长不超过24个月。</w:t>
      </w:r>
    </w:p>
    <w:p w14:paraId="557B5533">
      <w:pPr>
        <w:adjustRightInd w:val="0"/>
        <w:snapToGrid w:val="0"/>
        <w:ind w:firstLine="482" w:firstLineChars="200"/>
        <w:rPr>
          <w:b/>
          <w:color w:val="auto"/>
          <w:highlight w:val="none"/>
        </w:rPr>
      </w:pPr>
      <w:bookmarkStart w:id="707" w:name="_Toc247514169"/>
      <w:bookmarkStart w:id="708" w:name="_Toc247527770"/>
      <w:bookmarkStart w:id="709" w:name="_Toc300835172"/>
      <w:r>
        <w:rPr>
          <w:rFonts w:hint="eastAsia"/>
          <w:b/>
          <w:color w:val="auto"/>
          <w:highlight w:val="none"/>
        </w:rPr>
        <w:t>15.4 进一步试验和试运行</w:t>
      </w:r>
      <w:bookmarkEnd w:id="707"/>
      <w:bookmarkEnd w:id="708"/>
      <w:bookmarkEnd w:id="709"/>
    </w:p>
    <w:p w14:paraId="0094AFCD">
      <w:pPr>
        <w:adjustRightInd w:val="0"/>
        <w:snapToGrid w:val="0"/>
        <w:ind w:firstLine="480" w:firstLineChars="200"/>
        <w:rPr>
          <w:color w:val="auto"/>
          <w:highlight w:val="none"/>
        </w:rPr>
      </w:pPr>
      <w:r>
        <w:rPr>
          <w:rFonts w:hint="eastAsia"/>
          <w:color w:val="auto"/>
          <w:highlight w:val="none"/>
        </w:rPr>
        <w:t>任何一项缺陷或损坏修复后，经检查证明其影响了工程或工程设备的使用性能，承包人应重新进行合同约定的试验和试运行，试验和试运行的全部费用应由责任方承担。</w:t>
      </w:r>
    </w:p>
    <w:p w14:paraId="66D4CA57">
      <w:pPr>
        <w:adjustRightInd w:val="0"/>
        <w:snapToGrid w:val="0"/>
        <w:ind w:firstLine="482" w:firstLineChars="200"/>
        <w:rPr>
          <w:b/>
          <w:color w:val="auto"/>
          <w:highlight w:val="none"/>
        </w:rPr>
      </w:pPr>
      <w:bookmarkStart w:id="710" w:name="_Toc300835173"/>
      <w:bookmarkStart w:id="711" w:name="_Toc247527771"/>
      <w:bookmarkStart w:id="712" w:name="_Toc247514170"/>
      <w:r>
        <w:rPr>
          <w:rFonts w:hint="eastAsia"/>
          <w:b/>
          <w:color w:val="auto"/>
          <w:highlight w:val="none"/>
        </w:rPr>
        <w:t>15.5 承包人的进入权</w:t>
      </w:r>
      <w:bookmarkEnd w:id="710"/>
      <w:bookmarkEnd w:id="711"/>
      <w:bookmarkEnd w:id="712"/>
    </w:p>
    <w:p w14:paraId="4921EB75">
      <w:pPr>
        <w:adjustRightInd w:val="0"/>
        <w:snapToGrid w:val="0"/>
        <w:ind w:firstLine="480" w:firstLineChars="200"/>
        <w:rPr>
          <w:color w:val="auto"/>
          <w:highlight w:val="none"/>
        </w:rPr>
      </w:pPr>
      <w:r>
        <w:rPr>
          <w:rFonts w:hint="eastAsia"/>
          <w:color w:val="auto"/>
          <w:highlight w:val="none"/>
        </w:rPr>
        <w:t>缺陷责任期内承包人为缺陷修复工作需要，有权进入工程现场，但应遵守发包人的保安和保密规定。</w:t>
      </w:r>
    </w:p>
    <w:p w14:paraId="00500EAA">
      <w:pPr>
        <w:adjustRightInd w:val="0"/>
        <w:snapToGrid w:val="0"/>
        <w:ind w:firstLine="482" w:firstLineChars="200"/>
        <w:rPr>
          <w:b/>
          <w:color w:val="auto"/>
          <w:highlight w:val="none"/>
        </w:rPr>
      </w:pPr>
      <w:bookmarkStart w:id="713" w:name="_Toc247514150"/>
      <w:bookmarkStart w:id="714" w:name="_Toc300835154"/>
      <w:bookmarkStart w:id="715" w:name="_Toc247527751"/>
      <w:r>
        <w:rPr>
          <w:rFonts w:hint="eastAsia"/>
          <w:b/>
          <w:color w:val="auto"/>
          <w:highlight w:val="none"/>
        </w:rPr>
        <w:t>15.6 质量保证金</w:t>
      </w:r>
      <w:bookmarkEnd w:id="713"/>
      <w:bookmarkEnd w:id="714"/>
      <w:bookmarkEnd w:id="715"/>
    </w:p>
    <w:p w14:paraId="65F1FBF8">
      <w:pPr>
        <w:adjustRightInd w:val="0"/>
        <w:snapToGrid w:val="0"/>
        <w:ind w:firstLine="480" w:firstLineChars="200"/>
        <w:rPr>
          <w:color w:val="auto"/>
          <w:highlight w:val="none"/>
        </w:rPr>
      </w:pPr>
      <w:r>
        <w:rPr>
          <w:rFonts w:hint="eastAsia"/>
          <w:color w:val="auto"/>
          <w:highlight w:val="none"/>
        </w:rPr>
        <w:t>15.6.1质量保证金为工程结算价款的3%。</w:t>
      </w:r>
    </w:p>
    <w:p w14:paraId="4DF96828">
      <w:pPr>
        <w:adjustRightInd w:val="0"/>
        <w:snapToGrid w:val="0"/>
        <w:ind w:firstLine="480" w:firstLineChars="200"/>
        <w:rPr>
          <w:color w:val="auto"/>
          <w:highlight w:val="none"/>
        </w:rPr>
      </w:pPr>
      <w:r>
        <w:rPr>
          <w:rFonts w:hint="eastAsia"/>
          <w:color w:val="auto"/>
          <w:highlight w:val="none"/>
        </w:rPr>
        <w:t>15.6.2质量保证金的实际扣留时间与缺陷责任期一致。</w:t>
      </w:r>
    </w:p>
    <w:p w14:paraId="36009321">
      <w:pPr>
        <w:adjustRightInd w:val="0"/>
        <w:snapToGrid w:val="0"/>
        <w:ind w:firstLine="480" w:firstLineChars="200"/>
        <w:rPr>
          <w:color w:val="auto"/>
          <w:highlight w:val="none"/>
        </w:rPr>
      </w:pPr>
      <w:r>
        <w:rPr>
          <w:rFonts w:hint="eastAsia"/>
          <w:color w:val="auto"/>
          <w:highlight w:val="none"/>
        </w:rPr>
        <w:t>15.6.3 在合同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14:paraId="14F71490">
      <w:pPr>
        <w:adjustRightInd w:val="0"/>
        <w:snapToGrid w:val="0"/>
        <w:ind w:firstLine="480" w:firstLineChars="200"/>
        <w:rPr>
          <w:color w:val="auto"/>
          <w:highlight w:val="none"/>
        </w:rPr>
      </w:pPr>
      <w:r>
        <w:rPr>
          <w:rFonts w:hint="eastAsia"/>
          <w:color w:val="auto"/>
          <w:highlight w:val="none"/>
        </w:rPr>
        <w:t>15.6.4 在合同约定的缺陷责任期满时，承包人没有完成缺陷责任的，发包人有权扣留与未履行责任剩余工作所需金额相应的质量保证金余额，并有权根据合同约定要求延长缺陷责任期，直至完成剩余工作为止。</w:t>
      </w:r>
    </w:p>
    <w:p w14:paraId="7CB7A241">
      <w:pPr>
        <w:adjustRightInd w:val="0"/>
        <w:snapToGrid w:val="0"/>
        <w:ind w:firstLine="482" w:firstLineChars="200"/>
        <w:rPr>
          <w:b/>
          <w:color w:val="auto"/>
          <w:highlight w:val="none"/>
        </w:rPr>
      </w:pPr>
      <w:bookmarkStart w:id="716" w:name="_Toc247514172"/>
      <w:bookmarkStart w:id="717" w:name="_Toc247527773"/>
      <w:bookmarkStart w:id="718" w:name="_Toc300835175"/>
      <w:r>
        <w:rPr>
          <w:rFonts w:hint="eastAsia"/>
          <w:b/>
          <w:color w:val="auto"/>
          <w:highlight w:val="none"/>
        </w:rPr>
        <w:t>15.7 保修责任</w:t>
      </w:r>
      <w:bookmarkEnd w:id="716"/>
      <w:bookmarkEnd w:id="717"/>
      <w:bookmarkEnd w:id="718"/>
    </w:p>
    <w:p w14:paraId="30611B25">
      <w:pPr>
        <w:adjustRightInd w:val="0"/>
        <w:snapToGrid w:val="0"/>
        <w:ind w:firstLine="480" w:firstLineChars="200"/>
        <w:rPr>
          <w:color w:val="auto"/>
          <w:highlight w:val="none"/>
        </w:rPr>
      </w:pPr>
      <w:r>
        <w:rPr>
          <w:rFonts w:hint="eastAsia"/>
          <w:color w:val="auto"/>
          <w:highlight w:val="none"/>
        </w:rPr>
        <w:t>保修期自实际工程交工验收日期起计算。</w:t>
      </w:r>
    </w:p>
    <w:p w14:paraId="24A06B55">
      <w:pPr>
        <w:adjustRightInd w:val="0"/>
        <w:snapToGrid w:val="0"/>
        <w:ind w:firstLine="480" w:firstLineChars="200"/>
        <w:rPr>
          <w:color w:val="auto"/>
          <w:highlight w:val="none"/>
        </w:rPr>
      </w:pPr>
      <w:r>
        <w:rPr>
          <w:rFonts w:hint="eastAsia"/>
          <w:color w:val="auto"/>
          <w:highlight w:val="none"/>
        </w:rPr>
        <w:t>合同当事人根据有关法律规定，在专用合同条款中约定工程质量保修范围、期限和责任，但不得低于法定保修年限。在工程保修期内，承包人应当根据有关法律规定以及合同约定承担保修责任。</w:t>
      </w:r>
    </w:p>
    <w:p w14:paraId="210BF4F1">
      <w:pPr>
        <w:keepNext/>
        <w:keepLines/>
        <w:adjustRightInd w:val="0"/>
        <w:snapToGrid w:val="0"/>
        <w:outlineLvl w:val="1"/>
        <w:rPr>
          <w:rFonts w:ascii="Arial"/>
          <w:b/>
          <w:bCs/>
          <w:color w:val="auto"/>
          <w:highlight w:val="none"/>
        </w:rPr>
      </w:pPr>
      <w:bookmarkStart w:id="719" w:name="_Toc117018802"/>
      <w:bookmarkStart w:id="720" w:name="_Toc91660617"/>
      <w:bookmarkStart w:id="721" w:name="_Toc99782825"/>
      <w:bookmarkStart w:id="722" w:name="_Toc399776276"/>
      <w:bookmarkStart w:id="723" w:name="_Toc400486456"/>
      <w:bookmarkStart w:id="724" w:name="_Toc399775209"/>
      <w:bookmarkStart w:id="725" w:name="_Toc400522464"/>
      <w:bookmarkStart w:id="726" w:name="_Toc399775829"/>
      <w:bookmarkStart w:id="727" w:name="_Toc27657"/>
      <w:bookmarkStart w:id="728" w:name="_Toc119953738"/>
      <w:bookmarkStart w:id="729" w:name="_Toc351203603"/>
      <w:bookmarkStart w:id="730" w:name="_Toc256000071"/>
      <w:bookmarkStart w:id="731" w:name="_Toc400485483"/>
      <w:bookmarkStart w:id="732" w:name="_Toc81225285"/>
      <w:bookmarkStart w:id="733" w:name="_Toc337558820"/>
      <w:r>
        <w:rPr>
          <w:rFonts w:ascii="Arial"/>
          <w:b/>
          <w:bCs/>
          <w:color w:val="auto"/>
          <w:highlight w:val="none"/>
        </w:rPr>
        <w:t xml:space="preserve">16. </w:t>
      </w:r>
      <w:r>
        <w:rPr>
          <w:rFonts w:hint="eastAsia" w:ascii="Arial"/>
          <w:b/>
          <w:bCs/>
          <w:color w:val="auto"/>
          <w:highlight w:val="none"/>
        </w:rPr>
        <w:t>违约</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bookmarkEnd w:id="733"/>
    <w:p w14:paraId="046762DE">
      <w:pPr>
        <w:adjustRightInd w:val="0"/>
        <w:snapToGrid w:val="0"/>
        <w:ind w:firstLine="482" w:firstLineChars="200"/>
        <w:rPr>
          <w:b/>
          <w:color w:val="auto"/>
          <w:highlight w:val="none"/>
        </w:rPr>
      </w:pPr>
      <w:bookmarkStart w:id="734" w:name="_Toc296346630"/>
      <w:bookmarkStart w:id="735" w:name="_Toc296503129"/>
      <w:bookmarkStart w:id="736" w:name="_Toc400485484"/>
      <w:bookmarkStart w:id="737" w:name="_Toc399775210"/>
      <w:bookmarkStart w:id="738" w:name="_Toc399776277"/>
      <w:bookmarkStart w:id="739" w:name="_Toc351203604"/>
      <w:bookmarkStart w:id="740" w:name="_Toc400522465"/>
      <w:bookmarkStart w:id="741" w:name="_Toc400486457"/>
      <w:bookmarkStart w:id="742" w:name="_Toc399775830"/>
      <w:bookmarkStart w:id="743" w:name="_Toc337558821"/>
      <w:r>
        <w:rPr>
          <w:rFonts w:hint="eastAsia"/>
          <w:b/>
          <w:color w:val="auto"/>
          <w:highlight w:val="none"/>
        </w:rPr>
        <w:t>16.1 发</w:t>
      </w:r>
      <w:bookmarkEnd w:id="734"/>
      <w:bookmarkEnd w:id="735"/>
      <w:r>
        <w:rPr>
          <w:rFonts w:hint="eastAsia"/>
          <w:b/>
          <w:color w:val="auto"/>
          <w:highlight w:val="none"/>
        </w:rPr>
        <w:t>包人违约</w:t>
      </w:r>
      <w:bookmarkEnd w:id="736"/>
      <w:bookmarkEnd w:id="737"/>
      <w:bookmarkEnd w:id="738"/>
      <w:bookmarkEnd w:id="739"/>
      <w:bookmarkEnd w:id="740"/>
      <w:bookmarkEnd w:id="741"/>
      <w:bookmarkEnd w:id="742"/>
    </w:p>
    <w:bookmarkEnd w:id="743"/>
    <w:p w14:paraId="726E4460">
      <w:pPr>
        <w:adjustRightInd w:val="0"/>
        <w:snapToGrid w:val="0"/>
        <w:ind w:firstLine="480" w:firstLineChars="200"/>
        <w:rPr>
          <w:color w:val="auto"/>
          <w:highlight w:val="none"/>
        </w:rPr>
      </w:pPr>
      <w:r>
        <w:rPr>
          <w:rFonts w:hint="eastAsia"/>
          <w:color w:val="auto"/>
          <w:highlight w:val="none"/>
        </w:rPr>
        <w:t>16.1.1 发包人违约的情形</w:t>
      </w:r>
    </w:p>
    <w:p w14:paraId="4C49DC17">
      <w:pPr>
        <w:adjustRightInd w:val="0"/>
        <w:snapToGrid w:val="0"/>
        <w:ind w:firstLine="480" w:firstLineChars="200"/>
        <w:rPr>
          <w:color w:val="auto"/>
          <w:highlight w:val="none"/>
        </w:rPr>
      </w:pPr>
      <w:r>
        <w:rPr>
          <w:rFonts w:hint="eastAsia"/>
          <w:color w:val="auto"/>
          <w:highlight w:val="none"/>
        </w:rPr>
        <w:t>在合同履行过程中发生的下列情形，属于发包人违约：</w:t>
      </w:r>
    </w:p>
    <w:p w14:paraId="1C508E3E">
      <w:pPr>
        <w:adjustRightInd w:val="0"/>
        <w:snapToGrid w:val="0"/>
        <w:ind w:firstLine="480" w:firstLineChars="200"/>
        <w:rPr>
          <w:color w:val="auto"/>
          <w:highlight w:val="none"/>
        </w:rPr>
      </w:pPr>
      <w:r>
        <w:rPr>
          <w:rFonts w:hint="eastAsia"/>
          <w:color w:val="auto"/>
          <w:highlight w:val="none"/>
        </w:rPr>
        <w:t>（1）因发包人原因未能在计划开工日期前7天内下达开工通知的；</w:t>
      </w:r>
    </w:p>
    <w:p w14:paraId="32435119">
      <w:pPr>
        <w:adjustRightInd w:val="0"/>
        <w:snapToGrid w:val="0"/>
        <w:ind w:firstLine="480" w:firstLineChars="200"/>
        <w:rPr>
          <w:color w:val="auto"/>
          <w:highlight w:val="none"/>
        </w:rPr>
      </w:pPr>
      <w:r>
        <w:rPr>
          <w:rFonts w:hint="eastAsia"/>
          <w:color w:val="auto"/>
          <w:highlight w:val="none"/>
        </w:rPr>
        <w:t>（2）因发包人原因未能按合同约定支付合同价款的；</w:t>
      </w:r>
    </w:p>
    <w:p w14:paraId="7106FE26">
      <w:pPr>
        <w:adjustRightInd w:val="0"/>
        <w:snapToGrid w:val="0"/>
        <w:ind w:firstLine="480" w:firstLineChars="200"/>
        <w:rPr>
          <w:color w:val="auto"/>
          <w:highlight w:val="none"/>
        </w:rPr>
      </w:pPr>
      <w:r>
        <w:rPr>
          <w:rFonts w:hint="eastAsia"/>
          <w:color w:val="auto"/>
          <w:highlight w:val="none"/>
        </w:rPr>
        <w:t>（3）发包人违反第10.1款第（2）项约定，自行实施被取消的工作或转由他人实施的；</w:t>
      </w:r>
    </w:p>
    <w:p w14:paraId="7B56E6EA">
      <w:pPr>
        <w:adjustRightInd w:val="0"/>
        <w:snapToGrid w:val="0"/>
        <w:ind w:firstLine="480" w:firstLineChars="200"/>
        <w:rPr>
          <w:color w:val="auto"/>
          <w:highlight w:val="none"/>
        </w:rPr>
      </w:pPr>
      <w:r>
        <w:rPr>
          <w:rFonts w:hint="eastAsia"/>
          <w:color w:val="auto"/>
          <w:highlight w:val="none"/>
        </w:rPr>
        <w:t>（4）发包人提供的材料、工程设备的规格、数量或质量不符合合同约定，或因发包人原因导致交货日期延误或交货地点变更等情况的；</w:t>
      </w:r>
    </w:p>
    <w:p w14:paraId="380BF693">
      <w:pPr>
        <w:adjustRightInd w:val="0"/>
        <w:snapToGrid w:val="0"/>
        <w:ind w:firstLine="480" w:firstLineChars="200"/>
        <w:rPr>
          <w:color w:val="auto"/>
          <w:highlight w:val="none"/>
        </w:rPr>
      </w:pPr>
      <w:r>
        <w:rPr>
          <w:rFonts w:hint="eastAsia"/>
          <w:color w:val="auto"/>
          <w:highlight w:val="none"/>
        </w:rPr>
        <w:t>（5）因发包人违反合同约定造成暂停施工的；</w:t>
      </w:r>
    </w:p>
    <w:p w14:paraId="4439AA16">
      <w:pPr>
        <w:adjustRightInd w:val="0"/>
        <w:snapToGrid w:val="0"/>
        <w:ind w:firstLine="480" w:firstLineChars="200"/>
        <w:rPr>
          <w:color w:val="auto"/>
          <w:highlight w:val="none"/>
        </w:rPr>
      </w:pPr>
      <w:r>
        <w:rPr>
          <w:rFonts w:hint="eastAsia"/>
          <w:color w:val="auto"/>
          <w:highlight w:val="none"/>
        </w:rPr>
        <w:t>（6）发包人无正当理由没有在约定期限内发出复工指示，导致承包人无法复工的；</w:t>
      </w:r>
    </w:p>
    <w:p w14:paraId="0A311A96">
      <w:pPr>
        <w:adjustRightInd w:val="0"/>
        <w:snapToGrid w:val="0"/>
        <w:ind w:firstLine="480" w:firstLineChars="200"/>
        <w:rPr>
          <w:color w:val="auto"/>
          <w:highlight w:val="none"/>
        </w:rPr>
      </w:pPr>
      <w:r>
        <w:rPr>
          <w:rFonts w:hint="eastAsia"/>
          <w:color w:val="auto"/>
          <w:highlight w:val="none"/>
        </w:rPr>
        <w:t>（7）发包人明确表示或者以其行为表明不履行合同主要义务的；</w:t>
      </w:r>
    </w:p>
    <w:p w14:paraId="38515FC7">
      <w:pPr>
        <w:adjustRightInd w:val="0"/>
        <w:snapToGrid w:val="0"/>
        <w:ind w:firstLine="480" w:firstLineChars="200"/>
        <w:rPr>
          <w:color w:val="auto"/>
          <w:highlight w:val="none"/>
        </w:rPr>
      </w:pPr>
      <w:r>
        <w:rPr>
          <w:rFonts w:hint="eastAsia"/>
          <w:color w:val="auto"/>
          <w:highlight w:val="none"/>
        </w:rPr>
        <w:t>（8）发包人未能按照合同约定履行其他义务的。</w:t>
      </w:r>
    </w:p>
    <w:p w14:paraId="36ED3224">
      <w:pPr>
        <w:adjustRightInd w:val="0"/>
        <w:snapToGrid w:val="0"/>
        <w:ind w:firstLine="480" w:firstLineChars="200"/>
        <w:rPr>
          <w:color w:val="auto"/>
          <w:highlight w:val="none"/>
        </w:rPr>
      </w:pPr>
      <w:r>
        <w:rPr>
          <w:rFonts w:hint="eastAsia"/>
          <w:color w:val="auto"/>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10555691">
      <w:pPr>
        <w:adjustRightInd w:val="0"/>
        <w:snapToGrid w:val="0"/>
        <w:ind w:firstLine="480" w:firstLineChars="200"/>
        <w:rPr>
          <w:color w:val="auto"/>
          <w:highlight w:val="none"/>
        </w:rPr>
      </w:pPr>
      <w:r>
        <w:rPr>
          <w:rFonts w:hint="eastAsia"/>
          <w:color w:val="auto"/>
          <w:highlight w:val="none"/>
        </w:rPr>
        <w:t>16.1.2 发包人违约的责任</w:t>
      </w:r>
    </w:p>
    <w:p w14:paraId="2B68ABB9">
      <w:pPr>
        <w:adjustRightInd w:val="0"/>
        <w:snapToGrid w:val="0"/>
        <w:ind w:firstLine="480" w:firstLineChars="200"/>
        <w:rPr>
          <w:color w:val="auto"/>
          <w:highlight w:val="none"/>
        </w:rPr>
      </w:pPr>
      <w:r>
        <w:rPr>
          <w:rFonts w:hint="eastAsia"/>
          <w:color w:val="auto"/>
          <w:highlight w:val="none"/>
        </w:rPr>
        <w:t>因发包人违约引起的工期延误和承包人费用的增加，按照第11.2.3项执行。</w:t>
      </w:r>
    </w:p>
    <w:p w14:paraId="14D112FB">
      <w:pPr>
        <w:adjustRightInd w:val="0"/>
        <w:snapToGrid w:val="0"/>
        <w:ind w:firstLine="480" w:firstLineChars="200"/>
        <w:rPr>
          <w:color w:val="auto"/>
          <w:highlight w:val="none"/>
        </w:rPr>
      </w:pPr>
      <w:r>
        <w:rPr>
          <w:rFonts w:hint="eastAsia"/>
          <w:color w:val="auto"/>
          <w:highlight w:val="none"/>
        </w:rPr>
        <w:t>因发包人未能按合同约定支付合同价款等违约责任按本合同相关条款执行。</w:t>
      </w:r>
    </w:p>
    <w:p w14:paraId="5D17B793">
      <w:pPr>
        <w:adjustRightInd w:val="0"/>
        <w:snapToGrid w:val="0"/>
        <w:ind w:firstLine="480" w:firstLineChars="200"/>
        <w:rPr>
          <w:color w:val="auto"/>
          <w:highlight w:val="none"/>
        </w:rPr>
      </w:pPr>
      <w:r>
        <w:rPr>
          <w:rFonts w:hint="eastAsia"/>
          <w:color w:val="auto"/>
          <w:highlight w:val="none"/>
        </w:rPr>
        <w:t>16.1.3 因发包人违约解除合同</w:t>
      </w:r>
    </w:p>
    <w:p w14:paraId="09BF3134">
      <w:pPr>
        <w:adjustRightInd w:val="0"/>
        <w:snapToGrid w:val="0"/>
        <w:ind w:firstLine="480" w:firstLineChars="200"/>
        <w:rPr>
          <w:color w:val="auto"/>
          <w:highlight w:val="none"/>
        </w:rPr>
      </w:pPr>
      <w:r>
        <w:rPr>
          <w:rFonts w:hint="eastAsia"/>
          <w:color w:val="auto"/>
          <w:highlight w:val="none"/>
        </w:rPr>
        <w:t>除专用合同条款另有约定外，承包人按第16.1.1项约定暂停施工满28天后，发包人仍不纠正其违约行为并致使合同目的不能实现的，或出现第16.1.1项第（7）目约定的违约情况，承包人有权解除合同，发包人应承担由此增加的费用，并支付承包人合理的利润。</w:t>
      </w:r>
    </w:p>
    <w:p w14:paraId="3808BB27">
      <w:pPr>
        <w:adjustRightInd w:val="0"/>
        <w:snapToGrid w:val="0"/>
        <w:ind w:firstLine="480" w:firstLineChars="200"/>
        <w:rPr>
          <w:color w:val="auto"/>
          <w:highlight w:val="none"/>
        </w:rPr>
      </w:pPr>
      <w:r>
        <w:rPr>
          <w:rFonts w:hint="eastAsia"/>
          <w:color w:val="auto"/>
          <w:highlight w:val="none"/>
        </w:rPr>
        <w:t>16.1.4 因发包人违约解除合同后的付款</w:t>
      </w:r>
    </w:p>
    <w:p w14:paraId="5450A595">
      <w:pPr>
        <w:adjustRightInd w:val="0"/>
        <w:snapToGrid w:val="0"/>
        <w:ind w:firstLine="480" w:firstLineChars="200"/>
        <w:rPr>
          <w:color w:val="auto"/>
          <w:highlight w:val="none"/>
        </w:rPr>
      </w:pPr>
      <w:r>
        <w:rPr>
          <w:rFonts w:hint="eastAsia"/>
          <w:color w:val="auto"/>
          <w:highlight w:val="none"/>
        </w:rPr>
        <w:t>承包人按照本款约定解除合同的，发包人应在解除合同后28天内支付下列款项，并解除履约担保：</w:t>
      </w:r>
    </w:p>
    <w:p w14:paraId="4947382D">
      <w:pPr>
        <w:adjustRightInd w:val="0"/>
        <w:snapToGrid w:val="0"/>
        <w:ind w:firstLine="480" w:firstLineChars="200"/>
        <w:rPr>
          <w:color w:val="auto"/>
          <w:highlight w:val="none"/>
        </w:rPr>
      </w:pPr>
      <w:r>
        <w:rPr>
          <w:rFonts w:hint="eastAsia"/>
          <w:color w:val="auto"/>
          <w:highlight w:val="none"/>
        </w:rPr>
        <w:t>（1）合同解除前所完成工作的价款；</w:t>
      </w:r>
    </w:p>
    <w:p w14:paraId="22B395CF">
      <w:pPr>
        <w:adjustRightInd w:val="0"/>
        <w:snapToGrid w:val="0"/>
        <w:ind w:firstLine="480" w:firstLineChars="200"/>
        <w:rPr>
          <w:color w:val="auto"/>
          <w:highlight w:val="none"/>
        </w:rPr>
      </w:pPr>
      <w:r>
        <w:rPr>
          <w:rFonts w:hint="eastAsia"/>
          <w:color w:val="auto"/>
          <w:highlight w:val="none"/>
        </w:rPr>
        <w:t>（2）承包人为工程施工订购并已付款的材料、工程设备和其他物品的价款；</w:t>
      </w:r>
    </w:p>
    <w:p w14:paraId="2CABF282">
      <w:pPr>
        <w:adjustRightInd w:val="0"/>
        <w:snapToGrid w:val="0"/>
        <w:ind w:firstLine="480" w:firstLineChars="200"/>
        <w:rPr>
          <w:color w:val="auto"/>
          <w:highlight w:val="none"/>
        </w:rPr>
      </w:pPr>
      <w:r>
        <w:rPr>
          <w:rFonts w:hint="eastAsia"/>
          <w:color w:val="auto"/>
          <w:highlight w:val="none"/>
        </w:rPr>
        <w:t>（3）承包人撤离施工现场以及遣散承包人人员的款项；</w:t>
      </w:r>
    </w:p>
    <w:p w14:paraId="346EC0FA">
      <w:pPr>
        <w:adjustRightInd w:val="0"/>
        <w:snapToGrid w:val="0"/>
        <w:ind w:firstLine="480" w:firstLineChars="200"/>
        <w:rPr>
          <w:color w:val="auto"/>
          <w:highlight w:val="none"/>
        </w:rPr>
      </w:pPr>
      <w:r>
        <w:rPr>
          <w:rFonts w:hint="eastAsia"/>
          <w:color w:val="auto"/>
          <w:highlight w:val="none"/>
        </w:rPr>
        <w:t>（4）按照合同约定在合同解除前应支付的违约金；</w:t>
      </w:r>
    </w:p>
    <w:p w14:paraId="29E904E9">
      <w:pPr>
        <w:adjustRightInd w:val="0"/>
        <w:snapToGrid w:val="0"/>
        <w:ind w:firstLine="480" w:firstLineChars="200"/>
        <w:rPr>
          <w:color w:val="auto"/>
          <w:highlight w:val="none"/>
        </w:rPr>
      </w:pPr>
      <w:r>
        <w:rPr>
          <w:rFonts w:hint="eastAsia"/>
          <w:color w:val="auto"/>
          <w:highlight w:val="none"/>
        </w:rPr>
        <w:t>（5）按照合同约定应当支付给承包人的其他款项；</w:t>
      </w:r>
    </w:p>
    <w:p w14:paraId="35D33C14">
      <w:pPr>
        <w:adjustRightInd w:val="0"/>
        <w:snapToGrid w:val="0"/>
        <w:ind w:firstLine="480" w:firstLineChars="200"/>
        <w:rPr>
          <w:color w:val="auto"/>
          <w:highlight w:val="none"/>
        </w:rPr>
      </w:pPr>
      <w:r>
        <w:rPr>
          <w:rFonts w:hint="eastAsia"/>
          <w:color w:val="auto"/>
          <w:highlight w:val="none"/>
        </w:rPr>
        <w:t>（6）按照合同约定应退还的质量保证金；</w:t>
      </w:r>
    </w:p>
    <w:p w14:paraId="2FEE1262">
      <w:pPr>
        <w:adjustRightInd w:val="0"/>
        <w:snapToGrid w:val="0"/>
        <w:ind w:firstLine="480" w:firstLineChars="200"/>
        <w:rPr>
          <w:color w:val="auto"/>
          <w:highlight w:val="none"/>
        </w:rPr>
      </w:pPr>
      <w:r>
        <w:rPr>
          <w:rFonts w:hint="eastAsia"/>
          <w:color w:val="auto"/>
          <w:highlight w:val="none"/>
        </w:rPr>
        <w:t>（7）因解除合同给承包人造成的损失。</w:t>
      </w:r>
    </w:p>
    <w:p w14:paraId="5C6B4780">
      <w:pPr>
        <w:adjustRightInd w:val="0"/>
        <w:snapToGrid w:val="0"/>
        <w:ind w:firstLine="480" w:firstLineChars="200"/>
        <w:rPr>
          <w:color w:val="auto"/>
          <w:highlight w:val="none"/>
        </w:rPr>
      </w:pPr>
      <w:r>
        <w:rPr>
          <w:rFonts w:hint="eastAsia"/>
          <w:color w:val="auto"/>
          <w:highlight w:val="none"/>
        </w:rPr>
        <w:t>合同当事人未能就解除合同后的结清达成一致的，按照第20条的约定处理。</w:t>
      </w:r>
    </w:p>
    <w:p w14:paraId="5D76524C">
      <w:pPr>
        <w:adjustRightInd w:val="0"/>
        <w:snapToGrid w:val="0"/>
        <w:ind w:firstLine="480" w:firstLineChars="200"/>
        <w:rPr>
          <w:color w:val="auto"/>
          <w:highlight w:val="none"/>
        </w:rPr>
      </w:pPr>
      <w:r>
        <w:rPr>
          <w:rFonts w:hint="eastAsia"/>
          <w:color w:val="auto"/>
          <w:highlight w:val="none"/>
        </w:rPr>
        <w:t>承包人应妥善做好已完工程和与工程有关的已购材料、工程设备的保护和移交工作，并将施工设备和人员撤出施工现场，发包人应为承包人撤出提供必要条件。</w:t>
      </w:r>
    </w:p>
    <w:p w14:paraId="1CF4A4B6">
      <w:pPr>
        <w:adjustRightInd w:val="0"/>
        <w:snapToGrid w:val="0"/>
        <w:ind w:firstLine="482" w:firstLineChars="200"/>
        <w:rPr>
          <w:b/>
          <w:color w:val="auto"/>
          <w:highlight w:val="none"/>
        </w:rPr>
      </w:pPr>
      <w:bookmarkStart w:id="744" w:name="_Toc400522466"/>
      <w:bookmarkStart w:id="745" w:name="_Toc400485485"/>
      <w:bookmarkStart w:id="746" w:name="_Toc399775211"/>
      <w:bookmarkStart w:id="747" w:name="_Toc399775831"/>
      <w:bookmarkStart w:id="748" w:name="_Toc351203605"/>
      <w:bookmarkStart w:id="749" w:name="_Toc399776278"/>
      <w:bookmarkStart w:id="750" w:name="_Toc400486458"/>
      <w:bookmarkStart w:id="751" w:name="_Toc337558822"/>
      <w:bookmarkStart w:id="752" w:name="_Toc296346632"/>
      <w:bookmarkStart w:id="753" w:name="_Toc296503131"/>
      <w:r>
        <w:rPr>
          <w:rFonts w:hint="eastAsia"/>
          <w:b/>
          <w:color w:val="auto"/>
          <w:highlight w:val="none"/>
        </w:rPr>
        <w:t>16.2 承包人违约</w:t>
      </w:r>
      <w:bookmarkEnd w:id="744"/>
      <w:bookmarkEnd w:id="745"/>
      <w:bookmarkEnd w:id="746"/>
      <w:bookmarkEnd w:id="747"/>
      <w:bookmarkEnd w:id="748"/>
      <w:bookmarkEnd w:id="749"/>
      <w:bookmarkEnd w:id="750"/>
    </w:p>
    <w:bookmarkEnd w:id="751"/>
    <w:bookmarkEnd w:id="752"/>
    <w:bookmarkEnd w:id="753"/>
    <w:p w14:paraId="7C59AE9E">
      <w:pPr>
        <w:adjustRightInd w:val="0"/>
        <w:snapToGrid w:val="0"/>
        <w:ind w:firstLine="480" w:firstLineChars="200"/>
        <w:rPr>
          <w:color w:val="auto"/>
          <w:highlight w:val="none"/>
        </w:rPr>
      </w:pPr>
      <w:r>
        <w:rPr>
          <w:rFonts w:hint="eastAsia"/>
          <w:color w:val="auto"/>
          <w:highlight w:val="none"/>
        </w:rPr>
        <w:t>16.2.1 承包人违约的情形</w:t>
      </w:r>
    </w:p>
    <w:p w14:paraId="4DE4E203">
      <w:pPr>
        <w:adjustRightInd w:val="0"/>
        <w:snapToGrid w:val="0"/>
        <w:ind w:firstLine="480" w:firstLineChars="200"/>
        <w:rPr>
          <w:color w:val="auto"/>
          <w:highlight w:val="none"/>
        </w:rPr>
      </w:pPr>
      <w:r>
        <w:rPr>
          <w:rFonts w:hint="eastAsia"/>
          <w:color w:val="auto"/>
          <w:highlight w:val="none"/>
        </w:rPr>
        <w:t>在合同履行过程中发生的下列情形，属于承包人违约：</w:t>
      </w:r>
    </w:p>
    <w:p w14:paraId="08C054C6">
      <w:pPr>
        <w:adjustRightInd w:val="0"/>
        <w:snapToGrid w:val="0"/>
        <w:ind w:firstLine="480" w:firstLineChars="200"/>
        <w:rPr>
          <w:color w:val="auto"/>
          <w:highlight w:val="none"/>
        </w:rPr>
      </w:pPr>
      <w:r>
        <w:rPr>
          <w:rFonts w:hint="eastAsia"/>
          <w:color w:val="auto"/>
          <w:highlight w:val="none"/>
        </w:rPr>
        <w:t>（1）承包人违反合同约定进行转包或违法分包的；</w:t>
      </w:r>
    </w:p>
    <w:p w14:paraId="3847C109">
      <w:pPr>
        <w:adjustRightInd w:val="0"/>
        <w:snapToGrid w:val="0"/>
        <w:ind w:firstLine="480" w:firstLineChars="200"/>
        <w:rPr>
          <w:color w:val="auto"/>
          <w:highlight w:val="none"/>
        </w:rPr>
      </w:pPr>
      <w:r>
        <w:rPr>
          <w:rFonts w:hint="eastAsia"/>
          <w:color w:val="auto"/>
          <w:highlight w:val="none"/>
        </w:rPr>
        <w:t>（2）承包人违反合同约定采购和使用不合格的材料和工程设备的；</w:t>
      </w:r>
    </w:p>
    <w:p w14:paraId="751482CC">
      <w:pPr>
        <w:adjustRightInd w:val="0"/>
        <w:snapToGrid w:val="0"/>
        <w:ind w:firstLine="480" w:firstLineChars="200"/>
        <w:rPr>
          <w:color w:val="auto"/>
          <w:highlight w:val="none"/>
        </w:rPr>
      </w:pPr>
      <w:r>
        <w:rPr>
          <w:rFonts w:hint="eastAsia"/>
          <w:color w:val="auto"/>
          <w:highlight w:val="none"/>
        </w:rPr>
        <w:t xml:space="preserve">（3）因承包人原因导致工程质量不符合合同要求的； </w:t>
      </w:r>
    </w:p>
    <w:p w14:paraId="68535BBA">
      <w:pPr>
        <w:adjustRightInd w:val="0"/>
        <w:snapToGrid w:val="0"/>
        <w:ind w:firstLine="480" w:firstLineChars="200"/>
        <w:rPr>
          <w:color w:val="auto"/>
          <w:highlight w:val="none"/>
        </w:rPr>
      </w:pPr>
      <w:r>
        <w:rPr>
          <w:rFonts w:hint="eastAsia"/>
          <w:color w:val="auto"/>
          <w:highlight w:val="none"/>
        </w:rPr>
        <w:t>（4）承包人违反第8.9款的约定，未经批准，私自将已按照合同约定进入施工现场的材料或设备撤离施工现场的；</w:t>
      </w:r>
    </w:p>
    <w:p w14:paraId="118F10E8">
      <w:pPr>
        <w:adjustRightInd w:val="0"/>
        <w:snapToGrid w:val="0"/>
        <w:ind w:firstLine="480" w:firstLineChars="200"/>
        <w:rPr>
          <w:color w:val="auto"/>
          <w:highlight w:val="none"/>
        </w:rPr>
      </w:pPr>
      <w:r>
        <w:rPr>
          <w:rFonts w:hint="eastAsia"/>
          <w:color w:val="auto"/>
          <w:highlight w:val="none"/>
        </w:rPr>
        <w:t>（5）承包人未能按施工进度计划及时完成合同约定的工作，造成工期延误的；</w:t>
      </w:r>
    </w:p>
    <w:p w14:paraId="6AE5C9F8">
      <w:pPr>
        <w:adjustRightInd w:val="0"/>
        <w:snapToGrid w:val="0"/>
        <w:ind w:firstLine="480" w:firstLineChars="200"/>
        <w:rPr>
          <w:color w:val="auto"/>
          <w:highlight w:val="none"/>
        </w:rPr>
      </w:pPr>
      <w:r>
        <w:rPr>
          <w:rFonts w:hint="eastAsia"/>
          <w:color w:val="auto"/>
          <w:highlight w:val="none"/>
        </w:rPr>
        <w:t>（6）承包人在缺陷责任期及保修期内，未能在合理期限对工程缺陷进行修复，或拒绝按发包人要求进行修复的；</w:t>
      </w:r>
    </w:p>
    <w:p w14:paraId="33DB4CD0">
      <w:pPr>
        <w:adjustRightInd w:val="0"/>
        <w:snapToGrid w:val="0"/>
        <w:ind w:firstLine="480" w:firstLineChars="200"/>
        <w:rPr>
          <w:color w:val="auto"/>
          <w:highlight w:val="none"/>
        </w:rPr>
      </w:pPr>
      <w:r>
        <w:rPr>
          <w:rFonts w:hint="eastAsia"/>
          <w:color w:val="auto"/>
          <w:highlight w:val="none"/>
        </w:rPr>
        <w:t>（7）承包人明确表示或者以其行为表明不履行合同主要义务的；</w:t>
      </w:r>
    </w:p>
    <w:p w14:paraId="63B46297">
      <w:pPr>
        <w:adjustRightInd w:val="0"/>
        <w:snapToGrid w:val="0"/>
        <w:ind w:firstLine="480" w:firstLineChars="200"/>
        <w:rPr>
          <w:color w:val="auto"/>
          <w:highlight w:val="none"/>
        </w:rPr>
      </w:pPr>
      <w:r>
        <w:rPr>
          <w:rFonts w:hint="eastAsia"/>
          <w:color w:val="auto"/>
          <w:highlight w:val="none"/>
        </w:rPr>
        <w:t>（8）承包人未能按照合同约定履行其他义务的。</w:t>
      </w:r>
    </w:p>
    <w:p w14:paraId="1A386C63">
      <w:pPr>
        <w:adjustRightInd w:val="0"/>
        <w:snapToGrid w:val="0"/>
        <w:ind w:firstLine="480" w:firstLineChars="200"/>
        <w:rPr>
          <w:color w:val="auto"/>
          <w:highlight w:val="none"/>
        </w:rPr>
      </w:pPr>
      <w:r>
        <w:rPr>
          <w:rFonts w:hint="eastAsia"/>
          <w:color w:val="auto"/>
          <w:highlight w:val="none"/>
        </w:rPr>
        <w:t>承包人发生除本项第（7）目约定以外的其他违约情况时，监理人可向承包人发出整改通知，要求其在指定的期限内改正。</w:t>
      </w:r>
    </w:p>
    <w:p w14:paraId="22F81237">
      <w:pPr>
        <w:adjustRightInd w:val="0"/>
        <w:snapToGrid w:val="0"/>
        <w:ind w:firstLine="480" w:firstLineChars="200"/>
        <w:rPr>
          <w:color w:val="auto"/>
          <w:highlight w:val="none"/>
        </w:rPr>
      </w:pPr>
      <w:r>
        <w:rPr>
          <w:rFonts w:hint="eastAsia"/>
          <w:color w:val="auto"/>
          <w:highlight w:val="none"/>
        </w:rPr>
        <w:t>16.2.2 承包人违约的责任</w:t>
      </w:r>
    </w:p>
    <w:p w14:paraId="0989124E">
      <w:pPr>
        <w:adjustRightInd w:val="0"/>
        <w:snapToGrid w:val="0"/>
        <w:ind w:firstLine="480" w:firstLineChars="200"/>
        <w:rPr>
          <w:color w:val="auto"/>
          <w:highlight w:val="none"/>
        </w:rPr>
      </w:pPr>
      <w:r>
        <w:rPr>
          <w:rFonts w:hint="eastAsia"/>
          <w:color w:val="auto"/>
          <w:highlight w:val="none"/>
        </w:rPr>
        <w:t>承包人应承担因其违约行为而增加的费用和（或）延误的工期。此外，合同当事人可在专用合同条款中另行约定承包人违约责任的承担方式和计算方法。</w:t>
      </w:r>
    </w:p>
    <w:p w14:paraId="1A181DE7">
      <w:pPr>
        <w:adjustRightInd w:val="0"/>
        <w:snapToGrid w:val="0"/>
        <w:ind w:firstLine="480" w:firstLineChars="200"/>
        <w:rPr>
          <w:color w:val="auto"/>
          <w:highlight w:val="none"/>
        </w:rPr>
      </w:pPr>
      <w:r>
        <w:rPr>
          <w:rFonts w:hint="eastAsia"/>
          <w:color w:val="auto"/>
          <w:highlight w:val="none"/>
        </w:rPr>
        <w:t>16.2.3 因承包人违约解除合同</w:t>
      </w:r>
    </w:p>
    <w:p w14:paraId="4A1AC21D">
      <w:pPr>
        <w:adjustRightInd w:val="0"/>
        <w:snapToGrid w:val="0"/>
        <w:ind w:firstLine="480" w:firstLineChars="200"/>
        <w:rPr>
          <w:color w:val="auto"/>
          <w:highlight w:val="none"/>
        </w:rPr>
      </w:pPr>
      <w:r>
        <w:rPr>
          <w:rFonts w:hint="eastAsia"/>
          <w:color w:val="auto"/>
          <w:highlight w:val="none"/>
        </w:rPr>
        <w:t>除专用合同条款另有约定外，出现第16.2.1项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5AE5450">
      <w:pPr>
        <w:adjustRightInd w:val="0"/>
        <w:snapToGrid w:val="0"/>
        <w:ind w:firstLine="480" w:firstLineChars="200"/>
        <w:rPr>
          <w:color w:val="auto"/>
          <w:highlight w:val="none"/>
        </w:rPr>
      </w:pPr>
      <w:r>
        <w:rPr>
          <w:rFonts w:hint="eastAsia"/>
          <w:color w:val="auto"/>
          <w:highlight w:val="none"/>
        </w:rPr>
        <w:t>16.2.4因承包人违约解除合同后的处理</w:t>
      </w:r>
    </w:p>
    <w:p w14:paraId="57A9B605">
      <w:pPr>
        <w:adjustRightInd w:val="0"/>
        <w:snapToGrid w:val="0"/>
        <w:ind w:firstLine="480" w:firstLineChars="200"/>
        <w:rPr>
          <w:color w:val="auto"/>
          <w:highlight w:val="none"/>
        </w:rPr>
      </w:pPr>
      <w:r>
        <w:rPr>
          <w:rFonts w:hint="eastAsia"/>
          <w:color w:val="auto"/>
          <w:highlight w:val="none"/>
        </w:rPr>
        <w:t>因承包人原因导致合同解除的，则合同当事人应在合同解除后28天内完成估价、付款和清算，并按以下约定执行：</w:t>
      </w:r>
    </w:p>
    <w:p w14:paraId="62D2EFC7">
      <w:pPr>
        <w:adjustRightInd w:val="0"/>
        <w:snapToGrid w:val="0"/>
        <w:ind w:firstLine="480" w:firstLineChars="200"/>
        <w:rPr>
          <w:color w:val="auto"/>
          <w:highlight w:val="none"/>
        </w:rPr>
      </w:pPr>
      <w:r>
        <w:rPr>
          <w:rFonts w:hint="eastAsia"/>
          <w:color w:val="auto"/>
          <w:highlight w:val="none"/>
        </w:rPr>
        <w:t>（1）合同解除后，按第4.5款商定或确定承包人实际完成工作对应的合同价款，以及承包人已提供的材料、工程设备、施工设备和临时工程等的价值；</w:t>
      </w:r>
    </w:p>
    <w:p w14:paraId="3F57A61E">
      <w:pPr>
        <w:adjustRightInd w:val="0"/>
        <w:snapToGrid w:val="0"/>
        <w:ind w:firstLine="480" w:firstLineChars="200"/>
        <w:rPr>
          <w:color w:val="auto"/>
          <w:highlight w:val="none"/>
        </w:rPr>
      </w:pPr>
      <w:r>
        <w:rPr>
          <w:rFonts w:hint="eastAsia"/>
          <w:color w:val="auto"/>
          <w:highlight w:val="none"/>
        </w:rPr>
        <w:t>（2）合同解除后，承包人应支付的违约金；</w:t>
      </w:r>
    </w:p>
    <w:p w14:paraId="0195A8D6">
      <w:pPr>
        <w:adjustRightInd w:val="0"/>
        <w:snapToGrid w:val="0"/>
        <w:ind w:firstLine="480" w:firstLineChars="200"/>
        <w:rPr>
          <w:color w:val="auto"/>
          <w:highlight w:val="none"/>
        </w:rPr>
      </w:pPr>
      <w:r>
        <w:rPr>
          <w:rFonts w:hint="eastAsia"/>
          <w:color w:val="auto"/>
          <w:highlight w:val="none"/>
        </w:rPr>
        <w:t>（3）合同解除后，因解除合同给发包人造成的损失；</w:t>
      </w:r>
    </w:p>
    <w:p w14:paraId="0846FB12">
      <w:pPr>
        <w:adjustRightInd w:val="0"/>
        <w:snapToGrid w:val="0"/>
        <w:ind w:firstLine="480" w:firstLineChars="200"/>
        <w:rPr>
          <w:color w:val="auto"/>
          <w:highlight w:val="none"/>
        </w:rPr>
      </w:pPr>
      <w:r>
        <w:rPr>
          <w:rFonts w:hint="eastAsia"/>
          <w:color w:val="auto"/>
          <w:highlight w:val="none"/>
        </w:rPr>
        <w:t>（4）合同解除后，承包人应按照发包人要求和监理人的指示完成现场的清理和撤离；</w:t>
      </w:r>
    </w:p>
    <w:p w14:paraId="1C59982C">
      <w:pPr>
        <w:adjustRightInd w:val="0"/>
        <w:snapToGrid w:val="0"/>
        <w:ind w:firstLine="480" w:firstLineChars="200"/>
        <w:rPr>
          <w:color w:val="auto"/>
          <w:highlight w:val="none"/>
        </w:rPr>
      </w:pPr>
      <w:r>
        <w:rPr>
          <w:rFonts w:hint="eastAsia"/>
          <w:color w:val="auto"/>
          <w:highlight w:val="none"/>
        </w:rPr>
        <w:t>（5）发包人和承包人应在合同解除后进行清算，出具最终结清付款证书，结清全部款项。</w:t>
      </w:r>
    </w:p>
    <w:p w14:paraId="61CFDFEF">
      <w:pPr>
        <w:adjustRightInd w:val="0"/>
        <w:snapToGrid w:val="0"/>
        <w:ind w:firstLine="480" w:firstLineChars="200"/>
        <w:rPr>
          <w:color w:val="auto"/>
          <w:highlight w:val="none"/>
        </w:rPr>
      </w:pPr>
      <w:r>
        <w:rPr>
          <w:rFonts w:hint="eastAsia"/>
          <w:color w:val="auto"/>
          <w:highlight w:val="none"/>
        </w:rPr>
        <w:t>因承包人违约解除合同的，发包人有权暂停对承包人的付款，查清各项付款和已扣款项。发包人和承包人未能就合同解除后的清算和款项支付达成一致的，按照第20条的约定处理。</w:t>
      </w:r>
    </w:p>
    <w:p w14:paraId="2EA90672">
      <w:pPr>
        <w:adjustRightInd w:val="0"/>
        <w:snapToGrid w:val="0"/>
        <w:ind w:firstLine="480" w:firstLineChars="200"/>
        <w:rPr>
          <w:color w:val="auto"/>
          <w:highlight w:val="none"/>
        </w:rPr>
      </w:pPr>
      <w:r>
        <w:rPr>
          <w:rFonts w:hint="eastAsia"/>
          <w:color w:val="auto"/>
          <w:highlight w:val="none"/>
        </w:rPr>
        <w:t>16.2.5采购合同权益转让</w:t>
      </w:r>
    </w:p>
    <w:p w14:paraId="7927EBD2">
      <w:pPr>
        <w:adjustRightInd w:val="0"/>
        <w:snapToGrid w:val="0"/>
        <w:ind w:firstLine="480" w:firstLineChars="200"/>
        <w:rPr>
          <w:color w:val="auto"/>
          <w:highlight w:val="none"/>
        </w:rPr>
      </w:pPr>
      <w:r>
        <w:rPr>
          <w:rFonts w:hint="eastAsia"/>
          <w:color w:val="auto"/>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4758C43">
      <w:pPr>
        <w:adjustRightInd w:val="0"/>
        <w:snapToGrid w:val="0"/>
        <w:ind w:firstLine="482" w:firstLineChars="200"/>
        <w:rPr>
          <w:b/>
          <w:color w:val="auto"/>
          <w:highlight w:val="none"/>
        </w:rPr>
      </w:pPr>
      <w:bookmarkStart w:id="754" w:name="_Toc399776279"/>
      <w:bookmarkStart w:id="755" w:name="_Toc400522467"/>
      <w:bookmarkStart w:id="756" w:name="_Toc400486459"/>
      <w:bookmarkStart w:id="757" w:name="_Toc399775832"/>
      <w:bookmarkStart w:id="758" w:name="_Toc351203606"/>
      <w:bookmarkStart w:id="759" w:name="_Toc400485486"/>
      <w:bookmarkStart w:id="760" w:name="_Toc399775212"/>
      <w:r>
        <w:rPr>
          <w:rFonts w:hint="eastAsia"/>
          <w:b/>
          <w:color w:val="auto"/>
          <w:highlight w:val="none"/>
        </w:rPr>
        <w:t>16.3 第三人造成的违约</w:t>
      </w:r>
      <w:bookmarkEnd w:id="754"/>
      <w:bookmarkEnd w:id="755"/>
      <w:bookmarkEnd w:id="756"/>
      <w:bookmarkEnd w:id="757"/>
      <w:bookmarkEnd w:id="758"/>
      <w:bookmarkEnd w:id="759"/>
      <w:bookmarkEnd w:id="760"/>
    </w:p>
    <w:p w14:paraId="5E40282F">
      <w:pPr>
        <w:adjustRightInd w:val="0"/>
        <w:snapToGrid w:val="0"/>
        <w:ind w:firstLine="480" w:firstLineChars="200"/>
        <w:rPr>
          <w:color w:val="auto"/>
          <w:highlight w:val="none"/>
        </w:rPr>
      </w:pPr>
      <w:r>
        <w:rPr>
          <w:rFonts w:hint="eastAsia"/>
          <w:color w:val="auto"/>
          <w:highlight w:val="none"/>
        </w:rPr>
        <w:t>在履行合同过程中，一方当事人因第三人的原因造成违约的，应当向对方当事人承担违约责任。一方当事人和第三人之间的纠纷，依照法律规定或者按照约定解决。</w:t>
      </w:r>
    </w:p>
    <w:p w14:paraId="13D6EA31">
      <w:pPr>
        <w:keepNext/>
        <w:keepLines/>
        <w:adjustRightInd w:val="0"/>
        <w:snapToGrid w:val="0"/>
        <w:outlineLvl w:val="1"/>
        <w:rPr>
          <w:rFonts w:ascii="Arial"/>
          <w:b/>
          <w:bCs/>
          <w:color w:val="auto"/>
          <w:highlight w:val="none"/>
        </w:rPr>
      </w:pPr>
      <w:bookmarkStart w:id="761" w:name="_Toc81225286"/>
      <w:bookmarkStart w:id="762" w:name="_Toc256000154"/>
      <w:bookmarkStart w:id="763" w:name="_Toc117018803"/>
      <w:bookmarkStart w:id="764" w:name="_Toc256000072"/>
      <w:bookmarkStart w:id="765" w:name="_Toc119953739"/>
      <w:bookmarkStart w:id="766" w:name="_Toc91660618"/>
      <w:bookmarkStart w:id="767" w:name="_Toc7291"/>
      <w:bookmarkStart w:id="768" w:name="_Toc99782826"/>
      <w:r>
        <w:rPr>
          <w:rFonts w:ascii="Arial"/>
          <w:b/>
          <w:bCs/>
          <w:color w:val="auto"/>
          <w:highlight w:val="none"/>
        </w:rPr>
        <w:t xml:space="preserve">17. </w:t>
      </w:r>
      <w:r>
        <w:rPr>
          <w:rFonts w:hint="eastAsia" w:ascii="Arial"/>
          <w:b/>
          <w:bCs/>
          <w:color w:val="auto"/>
          <w:highlight w:val="none"/>
        </w:rPr>
        <w:t>不可抗力</w:t>
      </w:r>
      <w:bookmarkEnd w:id="761"/>
      <w:bookmarkEnd w:id="762"/>
      <w:bookmarkEnd w:id="763"/>
      <w:bookmarkEnd w:id="764"/>
      <w:bookmarkEnd w:id="765"/>
      <w:bookmarkEnd w:id="766"/>
      <w:bookmarkEnd w:id="767"/>
      <w:bookmarkEnd w:id="768"/>
    </w:p>
    <w:p w14:paraId="00DA070E">
      <w:pPr>
        <w:adjustRightInd w:val="0"/>
        <w:snapToGrid w:val="0"/>
        <w:ind w:firstLine="482" w:firstLineChars="200"/>
        <w:rPr>
          <w:b/>
          <w:color w:val="auto"/>
          <w:highlight w:val="none"/>
        </w:rPr>
      </w:pPr>
      <w:r>
        <w:rPr>
          <w:rFonts w:hint="eastAsia"/>
          <w:b/>
          <w:color w:val="auto"/>
          <w:highlight w:val="none"/>
        </w:rPr>
        <w:t>17.1 不可抗力的确认</w:t>
      </w:r>
    </w:p>
    <w:p w14:paraId="0533452C">
      <w:pPr>
        <w:adjustRightInd w:val="0"/>
        <w:snapToGrid w:val="0"/>
        <w:ind w:firstLine="480" w:firstLineChars="200"/>
        <w:rPr>
          <w:color w:val="auto"/>
          <w:highlight w:val="none"/>
        </w:rPr>
      </w:pPr>
      <w:r>
        <w:rPr>
          <w:rFonts w:hint="eastAsia"/>
          <w:color w:val="auto"/>
          <w:highlight w:val="none"/>
        </w:rPr>
        <w:t>17.1.1 不可抗力是指承包人和发包人在订立合同时不可预见，在履行合同过程中不可避免发生并不能克服的自然灾害和社会性突发事件，如地震、海啸、瘟疫、水灾、骚乱、暴动、战争和专用合同条款约定的其他情形。</w:t>
      </w:r>
    </w:p>
    <w:p w14:paraId="5DC561C9">
      <w:pPr>
        <w:adjustRightInd w:val="0"/>
        <w:snapToGrid w:val="0"/>
        <w:ind w:firstLine="480" w:firstLineChars="200"/>
        <w:rPr>
          <w:color w:val="auto"/>
          <w:highlight w:val="none"/>
        </w:rPr>
      </w:pPr>
      <w:r>
        <w:rPr>
          <w:rFonts w:hint="eastAsia"/>
          <w:color w:val="auto"/>
          <w:highlight w:val="none"/>
        </w:rPr>
        <w:t>17.1.2 不可抗力发生后，发包人和承包人应及时认真统计所造成的损失，收集不可抗力造成损失的证据。</w:t>
      </w:r>
    </w:p>
    <w:p w14:paraId="68B64DC9">
      <w:pPr>
        <w:adjustRightInd w:val="0"/>
        <w:snapToGrid w:val="0"/>
        <w:ind w:firstLine="482" w:firstLineChars="200"/>
        <w:rPr>
          <w:b/>
          <w:color w:val="auto"/>
          <w:highlight w:val="none"/>
        </w:rPr>
      </w:pPr>
      <w:r>
        <w:rPr>
          <w:rFonts w:hint="eastAsia"/>
          <w:b/>
          <w:color w:val="auto"/>
          <w:highlight w:val="none"/>
        </w:rPr>
        <w:t>17.2 不可抗力的通知</w:t>
      </w:r>
    </w:p>
    <w:p w14:paraId="0DE3E2A2">
      <w:pPr>
        <w:adjustRightInd w:val="0"/>
        <w:snapToGrid w:val="0"/>
        <w:ind w:firstLine="480" w:firstLineChars="200"/>
        <w:rPr>
          <w:color w:val="auto"/>
          <w:highlight w:val="none"/>
        </w:rPr>
      </w:pPr>
      <w:r>
        <w:rPr>
          <w:rFonts w:hint="eastAsia"/>
          <w:color w:val="auto"/>
          <w:highlight w:val="none"/>
        </w:rPr>
        <w:t>合同一方当事人遇到不可抗力事件，使其履行合同义务受到阻碍时，应立即通知合同另一方当事人和监理人，书面说明不可抗力和受阻碍的详细情况，并提供必要的证明。如不可抗力持续发生，合同一方当事人应及时向合同另一方当事人和监理人提交中间报告，说明不可抗力和履行合同受阻的情况，并于不可抗力事件结束后14天内提交最终报告及有关资料。</w:t>
      </w:r>
    </w:p>
    <w:p w14:paraId="356BB9C3">
      <w:pPr>
        <w:adjustRightInd w:val="0"/>
        <w:snapToGrid w:val="0"/>
        <w:ind w:firstLine="482" w:firstLineChars="200"/>
        <w:rPr>
          <w:b/>
          <w:color w:val="auto"/>
          <w:highlight w:val="none"/>
        </w:rPr>
      </w:pPr>
      <w:r>
        <w:rPr>
          <w:rFonts w:hint="eastAsia"/>
          <w:b/>
          <w:color w:val="auto"/>
          <w:highlight w:val="none"/>
        </w:rPr>
        <w:t>17.3 不可抗力后果及其处理</w:t>
      </w:r>
    </w:p>
    <w:p w14:paraId="7A44AE20">
      <w:pPr>
        <w:adjustRightInd w:val="0"/>
        <w:snapToGrid w:val="0"/>
        <w:ind w:firstLine="480" w:firstLineChars="200"/>
        <w:rPr>
          <w:color w:val="auto"/>
          <w:highlight w:val="none"/>
        </w:rPr>
      </w:pPr>
      <w:r>
        <w:rPr>
          <w:rFonts w:hint="eastAsia"/>
          <w:color w:val="auto"/>
          <w:highlight w:val="none"/>
        </w:rPr>
        <w:t>除专用合同条款另有约定外，不可抗力导致的人员伤亡、财产损失、费用增加和（或）工期延误等后果，由合同双方按以下原则承担：</w:t>
      </w:r>
    </w:p>
    <w:p w14:paraId="382F524C">
      <w:pPr>
        <w:adjustRightInd w:val="0"/>
        <w:snapToGrid w:val="0"/>
        <w:ind w:firstLine="480" w:firstLineChars="200"/>
        <w:rPr>
          <w:color w:val="auto"/>
          <w:highlight w:val="none"/>
        </w:rPr>
      </w:pPr>
      <w:r>
        <w:rPr>
          <w:rFonts w:hint="eastAsia"/>
          <w:color w:val="auto"/>
          <w:highlight w:val="none"/>
        </w:rPr>
        <w:t>（1）永久工程，包括已运至施工场地的材料和工程设备的损害，以及因工程损害造成的第三者人员伤亡和财产损失由发包人承担；</w:t>
      </w:r>
    </w:p>
    <w:p w14:paraId="494097D0">
      <w:pPr>
        <w:adjustRightInd w:val="0"/>
        <w:snapToGrid w:val="0"/>
        <w:ind w:firstLine="480" w:firstLineChars="200"/>
        <w:rPr>
          <w:color w:val="auto"/>
          <w:highlight w:val="none"/>
        </w:rPr>
      </w:pPr>
      <w:r>
        <w:rPr>
          <w:rFonts w:hint="eastAsia"/>
          <w:color w:val="auto"/>
          <w:highlight w:val="none"/>
        </w:rPr>
        <w:t>（2）承包人设备的损坏由承包人承担；</w:t>
      </w:r>
    </w:p>
    <w:p w14:paraId="52B9DDB2">
      <w:pPr>
        <w:adjustRightInd w:val="0"/>
        <w:snapToGrid w:val="0"/>
        <w:ind w:firstLine="480" w:firstLineChars="200"/>
        <w:rPr>
          <w:color w:val="auto"/>
          <w:highlight w:val="none"/>
        </w:rPr>
      </w:pPr>
      <w:r>
        <w:rPr>
          <w:rFonts w:hint="eastAsia"/>
          <w:color w:val="auto"/>
          <w:highlight w:val="none"/>
        </w:rPr>
        <w:t>（3）发包人和承包人各自承担其人员伤亡和其他财产损失及其相关费用；</w:t>
      </w:r>
    </w:p>
    <w:p w14:paraId="4F890240">
      <w:pPr>
        <w:adjustRightInd w:val="0"/>
        <w:snapToGrid w:val="0"/>
        <w:ind w:firstLine="480" w:firstLineChars="200"/>
        <w:rPr>
          <w:color w:val="auto"/>
          <w:highlight w:val="none"/>
        </w:rPr>
      </w:pPr>
      <w:r>
        <w:rPr>
          <w:rFonts w:hint="eastAsia"/>
          <w:color w:val="auto"/>
          <w:highlight w:val="none"/>
        </w:rPr>
        <w:t>（4）承包人的停工损失由承包人承担，但停工期间应监理人要求照管工程和清理、修复工程的金额由发包人承担；</w:t>
      </w:r>
    </w:p>
    <w:p w14:paraId="57556281">
      <w:pPr>
        <w:adjustRightInd w:val="0"/>
        <w:snapToGrid w:val="0"/>
        <w:ind w:firstLine="480" w:firstLineChars="200"/>
        <w:rPr>
          <w:color w:val="auto"/>
          <w:highlight w:val="none"/>
        </w:rPr>
      </w:pPr>
      <w:r>
        <w:rPr>
          <w:rFonts w:hint="eastAsia"/>
          <w:color w:val="auto"/>
          <w:highlight w:val="none"/>
        </w:rPr>
        <w:t>（5）不能按期交工的，应合理延长工期，承包人不需支付逾期交工违约金。发包人要求赶工的，承包人应采取赶工措施，赶工费用由发包人承担。</w:t>
      </w:r>
    </w:p>
    <w:p w14:paraId="00995094">
      <w:pPr>
        <w:adjustRightInd w:val="0"/>
        <w:snapToGrid w:val="0"/>
        <w:ind w:firstLine="480" w:firstLineChars="200"/>
        <w:rPr>
          <w:color w:val="auto"/>
          <w:highlight w:val="none"/>
        </w:rPr>
      </w:pPr>
      <w:r>
        <w:rPr>
          <w:rFonts w:hint="eastAsia"/>
          <w:color w:val="auto"/>
          <w:highlight w:val="none"/>
        </w:rPr>
        <w:t>不可抗力发生后，合同当事人均应采取措施尽量避免和减少损失的扩大，任何一方当事人没有采取有效措施导致损失扩大的，应对扩大的损失承担责任。</w:t>
      </w:r>
    </w:p>
    <w:p w14:paraId="39EECF6E">
      <w:pPr>
        <w:adjustRightInd w:val="0"/>
        <w:snapToGrid w:val="0"/>
        <w:ind w:firstLine="480" w:firstLineChars="200"/>
        <w:rPr>
          <w:color w:val="auto"/>
          <w:highlight w:val="none"/>
        </w:rPr>
      </w:pPr>
      <w:r>
        <w:rPr>
          <w:rFonts w:hint="eastAsia"/>
          <w:color w:val="auto"/>
          <w:highlight w:val="none"/>
        </w:rPr>
        <w:t>因合同一方迟延履行合同义务，在迟延履行期间遭遇不可抗力的，不免除其违约责任。</w:t>
      </w:r>
    </w:p>
    <w:p w14:paraId="4484168C">
      <w:pPr>
        <w:adjustRightInd w:val="0"/>
        <w:snapToGrid w:val="0"/>
        <w:ind w:firstLine="482" w:firstLineChars="200"/>
        <w:rPr>
          <w:b/>
          <w:color w:val="auto"/>
          <w:highlight w:val="none"/>
        </w:rPr>
      </w:pPr>
      <w:r>
        <w:rPr>
          <w:rFonts w:hint="eastAsia"/>
          <w:b/>
          <w:color w:val="auto"/>
          <w:highlight w:val="none"/>
        </w:rPr>
        <w:t>17.4 因不可抗力解除合同</w:t>
      </w:r>
    </w:p>
    <w:p w14:paraId="69CBE48F">
      <w:pPr>
        <w:adjustRightInd w:val="0"/>
        <w:snapToGrid w:val="0"/>
        <w:ind w:firstLine="480" w:firstLineChars="200"/>
        <w:rPr>
          <w:color w:val="auto"/>
          <w:highlight w:val="none"/>
        </w:rPr>
      </w:pPr>
      <w:r>
        <w:rPr>
          <w:rFonts w:hint="eastAsia"/>
          <w:color w:val="auto"/>
          <w:highlight w:val="none"/>
        </w:rPr>
        <w:t>因不可抗力导致合同无法履行连续超过84天或累计超过140天的，发包人和承包人均有权解除合同。合同解除后，承包人应撤离施工场地。已经订货的材料、设备由订货方负责退货或解除订货合同，不能退还的货款和因退货、解除订货合同发生的费用，由发包人承担，因未及时退货造成的损失由责任方承担。</w:t>
      </w:r>
    </w:p>
    <w:p w14:paraId="2CCF66E4">
      <w:pPr>
        <w:keepNext/>
        <w:keepLines/>
        <w:snapToGrid w:val="0"/>
        <w:outlineLvl w:val="1"/>
        <w:rPr>
          <w:rFonts w:ascii="Arial" w:hAnsi="Arial"/>
          <w:b/>
          <w:bCs/>
          <w:color w:val="auto"/>
          <w:highlight w:val="none"/>
        </w:rPr>
      </w:pPr>
      <w:bookmarkStart w:id="769" w:name="_Toc117018804"/>
      <w:bookmarkStart w:id="770" w:name="_Toc351203612"/>
      <w:bookmarkStart w:id="771" w:name="_Toc399775218"/>
      <w:bookmarkStart w:id="772" w:name="_Toc5878"/>
      <w:bookmarkStart w:id="773" w:name="_Toc399775838"/>
      <w:bookmarkStart w:id="774" w:name="_Toc81225287"/>
      <w:bookmarkStart w:id="775" w:name="_Toc400522473"/>
      <w:bookmarkStart w:id="776" w:name="_Toc91660619"/>
      <w:bookmarkStart w:id="777" w:name="_Toc400486465"/>
      <w:bookmarkStart w:id="778" w:name="_Toc400485492"/>
      <w:bookmarkStart w:id="779" w:name="_Toc399776285"/>
      <w:bookmarkStart w:id="780" w:name="_Toc256000073"/>
      <w:bookmarkStart w:id="781" w:name="_Toc119953740"/>
      <w:bookmarkStart w:id="782" w:name="_Toc256000155"/>
      <w:bookmarkStart w:id="783" w:name="_Toc99782827"/>
      <w:bookmarkStart w:id="784" w:name="_Toc337558828"/>
      <w:bookmarkStart w:id="785" w:name="_Toc296503120"/>
      <w:bookmarkStart w:id="786" w:name="_Toc296346621"/>
      <w:r>
        <w:rPr>
          <w:rFonts w:ascii="Arial" w:hAnsi="Arial"/>
          <w:b/>
          <w:bCs/>
          <w:color w:val="auto"/>
          <w:highlight w:val="none"/>
        </w:rPr>
        <w:t xml:space="preserve">18. </w:t>
      </w:r>
      <w:r>
        <w:rPr>
          <w:rFonts w:hint="eastAsia" w:ascii="Arial" w:hAnsi="Arial"/>
          <w:b/>
          <w:bCs/>
          <w:color w:val="auto"/>
          <w:highlight w:val="none"/>
        </w:rPr>
        <w:t>保险</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bookmarkEnd w:id="784"/>
    <w:bookmarkEnd w:id="785"/>
    <w:bookmarkEnd w:id="786"/>
    <w:p w14:paraId="611B946F">
      <w:pPr>
        <w:adjustRightInd w:val="0"/>
        <w:snapToGrid w:val="0"/>
        <w:ind w:firstLine="482" w:firstLineChars="200"/>
        <w:rPr>
          <w:b/>
          <w:color w:val="auto"/>
          <w:highlight w:val="none"/>
        </w:rPr>
      </w:pPr>
      <w:bookmarkStart w:id="787" w:name="_Toc400485493"/>
      <w:bookmarkStart w:id="788" w:name="_Toc399775219"/>
      <w:bookmarkStart w:id="789" w:name="_Toc400522474"/>
      <w:bookmarkStart w:id="790" w:name="_Toc399776286"/>
      <w:bookmarkStart w:id="791" w:name="_Toc351203613"/>
      <w:bookmarkStart w:id="792" w:name="_Toc400486466"/>
      <w:bookmarkStart w:id="793" w:name="_Toc399775839"/>
      <w:bookmarkStart w:id="794" w:name="_Toc337558829"/>
      <w:bookmarkStart w:id="795" w:name="_Toc296503121"/>
      <w:bookmarkStart w:id="796" w:name="_Toc296346622"/>
      <w:r>
        <w:rPr>
          <w:rFonts w:hint="eastAsia"/>
          <w:b/>
          <w:color w:val="auto"/>
          <w:highlight w:val="none"/>
        </w:rPr>
        <w:t>18.1 工程保险</w:t>
      </w:r>
      <w:bookmarkEnd w:id="787"/>
      <w:bookmarkEnd w:id="788"/>
      <w:bookmarkEnd w:id="789"/>
      <w:bookmarkEnd w:id="790"/>
      <w:bookmarkEnd w:id="791"/>
      <w:bookmarkEnd w:id="792"/>
      <w:bookmarkEnd w:id="793"/>
    </w:p>
    <w:bookmarkEnd w:id="794"/>
    <w:bookmarkEnd w:id="795"/>
    <w:bookmarkEnd w:id="796"/>
    <w:p w14:paraId="2F2A9ACB">
      <w:pPr>
        <w:adjustRightInd w:val="0"/>
        <w:snapToGrid w:val="0"/>
        <w:ind w:firstLine="480" w:firstLineChars="200"/>
        <w:rPr>
          <w:color w:val="auto"/>
          <w:highlight w:val="none"/>
        </w:rPr>
      </w:pPr>
      <w:r>
        <w:rPr>
          <w:rFonts w:hint="eastAsia"/>
          <w:color w:val="auto"/>
          <w:highlight w:val="none"/>
        </w:rPr>
        <w:t>除专用合同条款另有约定外，发包人应投保建筑工程一切险或安装工程一切险；发包人委托承包人投保的，因投保产生的保险费和其他相关费用由发包人承担。</w:t>
      </w:r>
    </w:p>
    <w:p w14:paraId="3FDFDF10">
      <w:pPr>
        <w:adjustRightInd w:val="0"/>
        <w:snapToGrid w:val="0"/>
        <w:ind w:firstLine="482" w:firstLineChars="200"/>
        <w:rPr>
          <w:b/>
          <w:color w:val="auto"/>
          <w:highlight w:val="none"/>
        </w:rPr>
      </w:pPr>
      <w:bookmarkStart w:id="797" w:name="_Toc399776287"/>
      <w:bookmarkStart w:id="798" w:name="_Toc400485494"/>
      <w:bookmarkStart w:id="799" w:name="_Toc399775840"/>
      <w:bookmarkStart w:id="800" w:name="_Toc400522475"/>
      <w:bookmarkStart w:id="801" w:name="_Toc399775220"/>
      <w:bookmarkStart w:id="802" w:name="_Toc400486467"/>
      <w:bookmarkStart w:id="803" w:name="_Toc351203614"/>
      <w:bookmarkStart w:id="804" w:name="_Toc296503122"/>
      <w:bookmarkStart w:id="805" w:name="_Toc337558830"/>
      <w:bookmarkStart w:id="806" w:name="_Toc296346623"/>
      <w:r>
        <w:rPr>
          <w:rFonts w:hint="eastAsia"/>
          <w:b/>
          <w:color w:val="auto"/>
          <w:highlight w:val="none"/>
        </w:rPr>
        <w:t>18.2 工伤保险</w:t>
      </w:r>
      <w:bookmarkEnd w:id="797"/>
      <w:bookmarkEnd w:id="798"/>
      <w:bookmarkEnd w:id="799"/>
      <w:bookmarkEnd w:id="800"/>
      <w:bookmarkEnd w:id="801"/>
      <w:bookmarkEnd w:id="802"/>
      <w:bookmarkEnd w:id="803"/>
    </w:p>
    <w:bookmarkEnd w:id="804"/>
    <w:bookmarkEnd w:id="805"/>
    <w:bookmarkEnd w:id="806"/>
    <w:p w14:paraId="5A7DCACB">
      <w:pPr>
        <w:adjustRightInd w:val="0"/>
        <w:snapToGrid w:val="0"/>
        <w:ind w:firstLine="480" w:firstLineChars="200"/>
        <w:rPr>
          <w:color w:val="auto"/>
          <w:highlight w:val="none"/>
        </w:rPr>
      </w:pPr>
      <w:r>
        <w:rPr>
          <w:rFonts w:hint="eastAsia"/>
          <w:color w:val="auto"/>
          <w:highlight w:val="none"/>
        </w:rPr>
        <w:t>18.2.1 发包人应依照法律规定参加工伤保险，并为在施工现场的全部员工办理工伤保险，缴纳工伤保险费，并要求监理人及由发包人为履行合同聘请的第三方依法参加工伤保险。</w:t>
      </w:r>
    </w:p>
    <w:p w14:paraId="5394F90D">
      <w:pPr>
        <w:adjustRightInd w:val="0"/>
        <w:snapToGrid w:val="0"/>
        <w:ind w:firstLine="480" w:firstLineChars="200"/>
        <w:rPr>
          <w:color w:val="auto"/>
          <w:highlight w:val="none"/>
        </w:rPr>
      </w:pPr>
      <w:r>
        <w:rPr>
          <w:rFonts w:hint="eastAsia"/>
          <w:color w:val="auto"/>
          <w:highlight w:val="none"/>
        </w:rPr>
        <w:t>18.2.2 承包人应依照法律规定参加工伤保险，并为其履行合同的全部员工办理工伤保险，缴纳工伤保险费，并要求分包人及由承包人为履行合同聘请的第三方依法参加工伤保险。</w:t>
      </w:r>
    </w:p>
    <w:p w14:paraId="6A23141D">
      <w:pPr>
        <w:adjustRightInd w:val="0"/>
        <w:snapToGrid w:val="0"/>
        <w:ind w:firstLine="482" w:firstLineChars="200"/>
        <w:rPr>
          <w:b/>
          <w:color w:val="auto"/>
          <w:highlight w:val="none"/>
        </w:rPr>
      </w:pPr>
      <w:bookmarkStart w:id="807" w:name="_Toc400485495"/>
      <w:bookmarkStart w:id="808" w:name="_Toc399776288"/>
      <w:bookmarkStart w:id="809" w:name="_Toc399775841"/>
      <w:bookmarkStart w:id="810" w:name="_Toc351203615"/>
      <w:bookmarkStart w:id="811" w:name="_Toc400522476"/>
      <w:bookmarkStart w:id="812" w:name="_Toc399775221"/>
      <w:bookmarkStart w:id="813" w:name="_Toc400486468"/>
      <w:bookmarkStart w:id="814" w:name="_Toc296503125"/>
      <w:bookmarkStart w:id="815" w:name="_Toc296346626"/>
      <w:bookmarkStart w:id="816" w:name="_Toc337558831"/>
      <w:r>
        <w:rPr>
          <w:rFonts w:hint="eastAsia"/>
          <w:b/>
          <w:color w:val="auto"/>
          <w:highlight w:val="none"/>
        </w:rPr>
        <w:t>18.3 其他保险</w:t>
      </w:r>
      <w:bookmarkEnd w:id="807"/>
      <w:bookmarkEnd w:id="808"/>
      <w:bookmarkEnd w:id="809"/>
      <w:bookmarkEnd w:id="810"/>
      <w:bookmarkEnd w:id="811"/>
      <w:bookmarkEnd w:id="812"/>
      <w:bookmarkEnd w:id="813"/>
    </w:p>
    <w:bookmarkEnd w:id="814"/>
    <w:bookmarkEnd w:id="815"/>
    <w:bookmarkEnd w:id="816"/>
    <w:p w14:paraId="3F5EA481">
      <w:pPr>
        <w:adjustRightInd w:val="0"/>
        <w:snapToGrid w:val="0"/>
        <w:ind w:firstLine="480" w:firstLineChars="200"/>
        <w:rPr>
          <w:color w:val="auto"/>
          <w:highlight w:val="none"/>
        </w:rPr>
      </w:pPr>
      <w:r>
        <w:rPr>
          <w:rFonts w:hint="eastAsia"/>
          <w:color w:val="auto"/>
          <w:highlight w:val="none"/>
        </w:rPr>
        <w:t>发包人和承包人可以为其施工现场的全部人员办理人身意外伤害保险并支付保险费，包括其员工及为履行合同聘请的第三方的人员，具体事项由合同当事人在专用合同条款约定。</w:t>
      </w:r>
    </w:p>
    <w:p w14:paraId="50040B9D">
      <w:pPr>
        <w:adjustRightInd w:val="0"/>
        <w:snapToGrid w:val="0"/>
        <w:ind w:firstLine="480" w:firstLineChars="200"/>
        <w:rPr>
          <w:color w:val="auto"/>
          <w:highlight w:val="none"/>
        </w:rPr>
      </w:pPr>
      <w:r>
        <w:rPr>
          <w:rFonts w:hint="eastAsia"/>
          <w:color w:val="auto"/>
          <w:highlight w:val="none"/>
        </w:rPr>
        <w:t>除专用合同条款另有约定外，承包人应为其施工设备等办理财产保险。</w:t>
      </w:r>
    </w:p>
    <w:p w14:paraId="669F0DF5">
      <w:pPr>
        <w:adjustRightInd w:val="0"/>
        <w:snapToGrid w:val="0"/>
        <w:ind w:firstLine="482" w:firstLineChars="200"/>
        <w:rPr>
          <w:b/>
          <w:color w:val="auto"/>
          <w:highlight w:val="none"/>
        </w:rPr>
      </w:pPr>
      <w:bookmarkStart w:id="817" w:name="_Toc400485496"/>
      <w:bookmarkStart w:id="818" w:name="_Toc400522477"/>
      <w:bookmarkStart w:id="819" w:name="_Toc399775842"/>
      <w:bookmarkStart w:id="820" w:name="_Toc400486469"/>
      <w:bookmarkStart w:id="821" w:name="_Toc399776289"/>
      <w:bookmarkStart w:id="822" w:name="_Toc399775222"/>
      <w:bookmarkStart w:id="823" w:name="_Toc351203616"/>
      <w:r>
        <w:rPr>
          <w:rFonts w:hint="eastAsia"/>
          <w:b/>
          <w:color w:val="auto"/>
          <w:highlight w:val="none"/>
        </w:rPr>
        <w:t>18.4 持续保险</w:t>
      </w:r>
      <w:bookmarkEnd w:id="817"/>
      <w:bookmarkEnd w:id="818"/>
      <w:bookmarkEnd w:id="819"/>
      <w:bookmarkEnd w:id="820"/>
      <w:bookmarkEnd w:id="821"/>
      <w:bookmarkEnd w:id="822"/>
      <w:bookmarkEnd w:id="823"/>
    </w:p>
    <w:p w14:paraId="1A2C1EF7">
      <w:pPr>
        <w:adjustRightInd w:val="0"/>
        <w:snapToGrid w:val="0"/>
        <w:ind w:firstLine="480" w:firstLineChars="200"/>
        <w:rPr>
          <w:color w:val="auto"/>
          <w:highlight w:val="none"/>
        </w:rPr>
      </w:pPr>
      <w:r>
        <w:rPr>
          <w:rFonts w:hint="eastAsia"/>
          <w:color w:val="auto"/>
          <w:highlight w:val="none"/>
        </w:rPr>
        <w:t>合同当事人应与保险人保持联系，使保险人能够随时了解工程实施中的变动，并确保按保险合同条款要求持续保险。</w:t>
      </w:r>
    </w:p>
    <w:p w14:paraId="3F6CDB63">
      <w:pPr>
        <w:adjustRightInd w:val="0"/>
        <w:snapToGrid w:val="0"/>
        <w:ind w:firstLine="482" w:firstLineChars="200"/>
        <w:rPr>
          <w:b/>
          <w:color w:val="auto"/>
          <w:highlight w:val="none"/>
        </w:rPr>
      </w:pPr>
      <w:r>
        <w:rPr>
          <w:rFonts w:hint="eastAsia"/>
          <w:b/>
          <w:color w:val="auto"/>
          <w:highlight w:val="none"/>
        </w:rPr>
        <w:t>18.5 保险凭证</w:t>
      </w:r>
    </w:p>
    <w:p w14:paraId="3C10062D">
      <w:pPr>
        <w:adjustRightInd w:val="0"/>
        <w:snapToGrid w:val="0"/>
        <w:ind w:firstLine="480" w:firstLineChars="200"/>
        <w:rPr>
          <w:color w:val="auto"/>
          <w:highlight w:val="none"/>
        </w:rPr>
      </w:pPr>
      <w:r>
        <w:rPr>
          <w:rFonts w:hint="eastAsia"/>
          <w:color w:val="auto"/>
          <w:highlight w:val="none"/>
        </w:rPr>
        <w:t>承包人应及时向发包人提交其已投保的各项保险的凭证和保险单扫描件。</w:t>
      </w:r>
    </w:p>
    <w:p w14:paraId="025100C9">
      <w:pPr>
        <w:adjustRightInd w:val="0"/>
        <w:snapToGrid w:val="0"/>
        <w:ind w:firstLine="482" w:firstLineChars="200"/>
        <w:rPr>
          <w:b/>
          <w:color w:val="auto"/>
          <w:highlight w:val="none"/>
        </w:rPr>
      </w:pPr>
      <w:r>
        <w:rPr>
          <w:rFonts w:hint="eastAsia"/>
          <w:b/>
          <w:color w:val="auto"/>
          <w:highlight w:val="none"/>
        </w:rPr>
        <w:t>18.6 未按约定投保的补救</w:t>
      </w:r>
    </w:p>
    <w:p w14:paraId="4C18CAB3">
      <w:pPr>
        <w:adjustRightInd w:val="0"/>
        <w:snapToGrid w:val="0"/>
        <w:ind w:firstLine="480" w:firstLineChars="200"/>
        <w:rPr>
          <w:color w:val="auto"/>
          <w:highlight w:val="none"/>
        </w:rPr>
      </w:pPr>
      <w:r>
        <w:rPr>
          <w:rFonts w:hint="eastAsia"/>
          <w:color w:val="auto"/>
          <w:highlight w:val="none"/>
        </w:rPr>
        <w:t>18.6.1发包人未按合同约定办理保险，或未能使保险持续有效的，则承包人可代为办理，所需费用由发包人承担。发包人未按合同约定办理保险，导致未能得到足额赔偿的，由发包人负责补足。</w:t>
      </w:r>
    </w:p>
    <w:p w14:paraId="7FF9D4CE">
      <w:pPr>
        <w:adjustRightInd w:val="0"/>
        <w:snapToGrid w:val="0"/>
        <w:ind w:firstLine="480" w:firstLineChars="200"/>
        <w:rPr>
          <w:color w:val="auto"/>
          <w:highlight w:val="none"/>
        </w:rPr>
      </w:pPr>
      <w:r>
        <w:rPr>
          <w:rFonts w:hint="eastAsia"/>
          <w:color w:val="auto"/>
          <w:highlight w:val="none"/>
        </w:rPr>
        <w:t>18.6.2承包人未按合同约定办理保险，或未能使保险持续有效的，则发包人可代为办理，所需费用由承包人承担。承包人未按合同约定办理保险，导致未能得到足额赔偿的，由承包人负责补足。</w:t>
      </w:r>
    </w:p>
    <w:p w14:paraId="700D92CB">
      <w:pPr>
        <w:adjustRightInd w:val="0"/>
        <w:snapToGrid w:val="0"/>
        <w:ind w:firstLine="482" w:firstLineChars="200"/>
        <w:rPr>
          <w:b/>
          <w:color w:val="auto"/>
          <w:highlight w:val="none"/>
        </w:rPr>
      </w:pPr>
      <w:r>
        <w:rPr>
          <w:rFonts w:hint="eastAsia"/>
          <w:b/>
          <w:color w:val="auto"/>
          <w:highlight w:val="none"/>
        </w:rPr>
        <w:t>18.7 通知义务</w:t>
      </w:r>
    </w:p>
    <w:p w14:paraId="56574033">
      <w:pPr>
        <w:adjustRightInd w:val="0"/>
        <w:snapToGrid w:val="0"/>
        <w:ind w:firstLine="480" w:firstLineChars="200"/>
        <w:rPr>
          <w:color w:val="auto"/>
          <w:highlight w:val="none"/>
        </w:rPr>
      </w:pPr>
      <w:r>
        <w:rPr>
          <w:rFonts w:hint="eastAsia"/>
          <w:color w:val="auto"/>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56ADDA4E">
      <w:pPr>
        <w:adjustRightInd w:val="0"/>
        <w:snapToGrid w:val="0"/>
        <w:ind w:firstLine="480" w:firstLineChars="200"/>
        <w:rPr>
          <w:color w:val="auto"/>
          <w:highlight w:val="none"/>
        </w:rPr>
      </w:pPr>
      <w:r>
        <w:rPr>
          <w:rFonts w:hint="eastAsia"/>
          <w:color w:val="auto"/>
          <w:highlight w:val="none"/>
        </w:rPr>
        <w:t>保险事故发生时，投保人应按照保险合同规定的条件和期限及时向保险人报告。发包人和承包人应当在知道保险事故发生后及时通知对方。</w:t>
      </w:r>
    </w:p>
    <w:p w14:paraId="678ECC50">
      <w:pPr>
        <w:keepNext/>
        <w:keepLines/>
        <w:adjustRightInd w:val="0"/>
        <w:snapToGrid w:val="0"/>
        <w:outlineLvl w:val="1"/>
        <w:rPr>
          <w:rFonts w:ascii="Arial"/>
          <w:b/>
          <w:bCs/>
          <w:color w:val="auto"/>
          <w:highlight w:val="none"/>
        </w:rPr>
      </w:pPr>
      <w:bookmarkStart w:id="824" w:name="_Toc256000156"/>
      <w:bookmarkStart w:id="825" w:name="_Toc117018805"/>
      <w:bookmarkStart w:id="826" w:name="_Toc256000074"/>
      <w:bookmarkStart w:id="827" w:name="_Toc12741"/>
      <w:bookmarkStart w:id="828" w:name="_Toc119953741"/>
      <w:bookmarkStart w:id="829" w:name="_Toc91660620"/>
      <w:bookmarkStart w:id="830" w:name="_Toc99782828"/>
      <w:bookmarkStart w:id="831" w:name="_Toc81225288"/>
      <w:r>
        <w:rPr>
          <w:rFonts w:ascii="Arial"/>
          <w:b/>
          <w:bCs/>
          <w:color w:val="auto"/>
          <w:highlight w:val="none"/>
        </w:rPr>
        <w:t xml:space="preserve">19. </w:t>
      </w:r>
      <w:r>
        <w:rPr>
          <w:rFonts w:hint="eastAsia" w:ascii="Arial"/>
          <w:b/>
          <w:bCs/>
          <w:color w:val="auto"/>
          <w:highlight w:val="none"/>
        </w:rPr>
        <w:t>索赔</w:t>
      </w:r>
      <w:bookmarkEnd w:id="824"/>
      <w:bookmarkEnd w:id="825"/>
      <w:bookmarkEnd w:id="826"/>
      <w:bookmarkEnd w:id="827"/>
      <w:bookmarkEnd w:id="828"/>
      <w:bookmarkEnd w:id="829"/>
      <w:bookmarkEnd w:id="830"/>
      <w:bookmarkEnd w:id="831"/>
    </w:p>
    <w:p w14:paraId="001E77B6">
      <w:pPr>
        <w:adjustRightInd w:val="0"/>
        <w:snapToGrid w:val="0"/>
        <w:ind w:firstLine="482" w:firstLineChars="200"/>
        <w:rPr>
          <w:b/>
          <w:color w:val="auto"/>
          <w:highlight w:val="none"/>
        </w:rPr>
      </w:pPr>
      <w:r>
        <w:rPr>
          <w:rFonts w:hint="eastAsia"/>
          <w:b/>
          <w:color w:val="auto"/>
          <w:highlight w:val="none"/>
        </w:rPr>
        <w:t>19.1 承包人索赔的提出</w:t>
      </w:r>
    </w:p>
    <w:p w14:paraId="7FEA5B69">
      <w:pPr>
        <w:adjustRightInd w:val="0"/>
        <w:snapToGrid w:val="0"/>
        <w:ind w:firstLine="480" w:firstLineChars="200"/>
        <w:rPr>
          <w:color w:val="auto"/>
          <w:highlight w:val="none"/>
        </w:rPr>
      </w:pPr>
      <w:r>
        <w:rPr>
          <w:rFonts w:hint="eastAsia"/>
          <w:color w:val="auto"/>
          <w:highlight w:val="none"/>
        </w:rPr>
        <w:t>根据合同约定，承包人认为有权得到追加付款和（或）延长工期的，应按以下程序向发包人提出索赔：</w:t>
      </w:r>
    </w:p>
    <w:p w14:paraId="1830E6EC">
      <w:pPr>
        <w:adjustRightInd w:val="0"/>
        <w:snapToGrid w:val="0"/>
        <w:ind w:firstLine="480" w:firstLineChars="200"/>
        <w:rPr>
          <w:color w:val="auto"/>
          <w:highlight w:val="none"/>
        </w:rPr>
      </w:pPr>
      <w:r>
        <w:rPr>
          <w:rFonts w:hint="eastAsia"/>
          <w:color w:val="auto"/>
          <w:highlight w:val="none"/>
        </w:rPr>
        <w:t>（1）承包人应在知道或应当知道索赔事件发生后28 天内，向监理人递交索赔意向通知书，并说明发生索赔事件的事由。承包人未在前述28天内发出索赔意向通知书的，丧失要求追加付款和（或）延长工期的权利；</w:t>
      </w:r>
    </w:p>
    <w:p w14:paraId="4FA0D0A2">
      <w:pPr>
        <w:adjustRightInd w:val="0"/>
        <w:snapToGrid w:val="0"/>
        <w:ind w:firstLine="480" w:firstLineChars="200"/>
        <w:rPr>
          <w:color w:val="auto"/>
          <w:highlight w:val="none"/>
        </w:rPr>
      </w:pPr>
      <w:r>
        <w:rPr>
          <w:rFonts w:hint="eastAsia"/>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14:paraId="23CF83BF">
      <w:pPr>
        <w:adjustRightInd w:val="0"/>
        <w:snapToGrid w:val="0"/>
        <w:ind w:firstLine="480" w:firstLineChars="200"/>
        <w:rPr>
          <w:color w:val="auto"/>
          <w:highlight w:val="none"/>
        </w:rPr>
      </w:pPr>
      <w:r>
        <w:rPr>
          <w:rFonts w:hint="eastAsia"/>
          <w:color w:val="auto"/>
          <w:highlight w:val="none"/>
        </w:rPr>
        <w:t>（3）索赔事件具有连续影响的，承包人应按合理时间间隔继续递交延续索赔通知，说明连续影响的实际情况和记录，列出累计的追加付款金额和（或）工期延长天数；</w:t>
      </w:r>
    </w:p>
    <w:p w14:paraId="6FC7C10E">
      <w:pPr>
        <w:adjustRightInd w:val="0"/>
        <w:snapToGrid w:val="0"/>
        <w:ind w:firstLine="480" w:firstLineChars="200"/>
        <w:rPr>
          <w:color w:val="auto"/>
          <w:highlight w:val="none"/>
        </w:rPr>
      </w:pPr>
      <w:r>
        <w:rPr>
          <w:rFonts w:hint="eastAsia"/>
          <w:color w:val="auto"/>
          <w:highlight w:val="none"/>
        </w:rPr>
        <w:t>（4）在索赔事件影响结束后的28 天内，承包人应向监理人递交最终索赔通知书，说明最终要求索赔的追加付款金额和延长的工期，并附必要的记录和证明材料。</w:t>
      </w:r>
    </w:p>
    <w:p w14:paraId="44CD3002">
      <w:pPr>
        <w:adjustRightInd w:val="0"/>
        <w:snapToGrid w:val="0"/>
        <w:ind w:firstLine="482" w:firstLineChars="200"/>
        <w:rPr>
          <w:b/>
          <w:color w:val="auto"/>
          <w:highlight w:val="none"/>
        </w:rPr>
      </w:pPr>
      <w:r>
        <w:rPr>
          <w:rFonts w:hint="eastAsia"/>
          <w:b/>
          <w:color w:val="auto"/>
          <w:highlight w:val="none"/>
        </w:rPr>
        <w:t>19.2 承包人索赔处理程序</w:t>
      </w:r>
    </w:p>
    <w:p w14:paraId="6022CACC">
      <w:pPr>
        <w:adjustRightInd w:val="0"/>
        <w:snapToGrid w:val="0"/>
        <w:ind w:firstLine="480" w:firstLineChars="200"/>
        <w:rPr>
          <w:color w:val="auto"/>
          <w:highlight w:val="none"/>
        </w:rPr>
      </w:pPr>
      <w:r>
        <w:rPr>
          <w:rFonts w:hint="eastAsia"/>
          <w:color w:val="auto"/>
          <w:highlight w:val="none"/>
        </w:rPr>
        <w:t>（1）监理人收到承包人提交的索赔通知书后，应及时审查索赔通知书的内容、查验承包人的记录和证明材料，必要时监理人可要求承包人提交全部原始记录副本。</w:t>
      </w:r>
    </w:p>
    <w:p w14:paraId="0F2E59E5">
      <w:pPr>
        <w:adjustRightInd w:val="0"/>
        <w:snapToGrid w:val="0"/>
        <w:ind w:firstLine="480" w:firstLineChars="200"/>
        <w:rPr>
          <w:color w:val="auto"/>
          <w:highlight w:val="none"/>
        </w:rPr>
      </w:pPr>
      <w:r>
        <w:rPr>
          <w:rFonts w:hint="eastAsia"/>
          <w:color w:val="auto"/>
          <w:highlight w:val="none"/>
        </w:rPr>
        <w:t>（2）监理人应审核追加的付款和（或）延长的工期，并在收到上述索赔通知书或有关索赔的进一步证明材料后的28天内，将索赔审核结果提交发包人。发包人应当在收到索赔通知书或有关索赔的进一步证明材料及监理人初审意见后的28天内给予答复，不予答复的，视为认可索赔。</w:t>
      </w:r>
    </w:p>
    <w:p w14:paraId="210D6F82">
      <w:pPr>
        <w:adjustRightInd w:val="0"/>
        <w:snapToGrid w:val="0"/>
        <w:ind w:firstLine="480" w:firstLineChars="200"/>
        <w:rPr>
          <w:color w:val="auto"/>
          <w:highlight w:val="none"/>
        </w:rPr>
      </w:pPr>
      <w:r>
        <w:rPr>
          <w:rFonts w:hint="eastAsia"/>
          <w:color w:val="auto"/>
          <w:highlight w:val="none"/>
        </w:rPr>
        <w:t>（3）承包人接受索赔处理结果的，发包人应在作出索赔处理结果答复后28 天内完成赔付。承包人不接受索赔处理结果的，按第20条的约定执行。</w:t>
      </w:r>
    </w:p>
    <w:p w14:paraId="42CBBF87">
      <w:pPr>
        <w:adjustRightInd w:val="0"/>
        <w:snapToGrid w:val="0"/>
        <w:ind w:firstLine="482" w:firstLineChars="200"/>
        <w:rPr>
          <w:b/>
          <w:color w:val="auto"/>
          <w:highlight w:val="none"/>
        </w:rPr>
      </w:pPr>
      <w:r>
        <w:rPr>
          <w:rFonts w:hint="eastAsia"/>
          <w:b/>
          <w:color w:val="auto"/>
          <w:highlight w:val="none"/>
        </w:rPr>
        <w:t>19.3 承包人提出索赔的期限</w:t>
      </w:r>
    </w:p>
    <w:p w14:paraId="3AEBED25">
      <w:pPr>
        <w:adjustRightInd w:val="0"/>
        <w:snapToGrid w:val="0"/>
        <w:ind w:firstLine="480" w:firstLineChars="200"/>
        <w:rPr>
          <w:color w:val="auto"/>
          <w:highlight w:val="none"/>
        </w:rPr>
      </w:pPr>
      <w:r>
        <w:rPr>
          <w:rFonts w:hint="eastAsia"/>
          <w:color w:val="auto"/>
          <w:highlight w:val="none"/>
        </w:rPr>
        <w:t>承包人接受了发包人审核的工程结算书后，应被认为已无权再提出此前所发生的其它任何索赔。</w:t>
      </w:r>
    </w:p>
    <w:p w14:paraId="67F7AA66">
      <w:pPr>
        <w:adjustRightInd w:val="0"/>
        <w:snapToGrid w:val="0"/>
        <w:ind w:firstLine="482" w:firstLineChars="200"/>
        <w:rPr>
          <w:b/>
          <w:color w:val="auto"/>
          <w:highlight w:val="none"/>
        </w:rPr>
      </w:pPr>
      <w:r>
        <w:rPr>
          <w:rFonts w:hint="eastAsia"/>
          <w:b/>
          <w:color w:val="auto"/>
          <w:highlight w:val="none"/>
        </w:rPr>
        <w:t>19.4 发包人索赔的提出</w:t>
      </w:r>
    </w:p>
    <w:p w14:paraId="51115B6E">
      <w:pPr>
        <w:adjustRightInd w:val="0"/>
        <w:snapToGrid w:val="0"/>
        <w:ind w:firstLine="480" w:firstLineChars="200"/>
        <w:rPr>
          <w:color w:val="auto"/>
          <w:highlight w:val="none"/>
        </w:rPr>
      </w:pPr>
      <w:r>
        <w:rPr>
          <w:rFonts w:hint="eastAsia"/>
          <w:color w:val="auto"/>
          <w:highlight w:val="none"/>
        </w:rPr>
        <w:t>根据合同约定，发包人认为有权得到赔付金额和（或）延长缺陷责任期的，应按以下程序向承包人提出索赔：</w:t>
      </w:r>
    </w:p>
    <w:p w14:paraId="17270356">
      <w:pPr>
        <w:adjustRightInd w:val="0"/>
        <w:snapToGrid w:val="0"/>
        <w:ind w:firstLine="480" w:firstLineChars="200"/>
        <w:rPr>
          <w:color w:val="auto"/>
          <w:highlight w:val="none"/>
        </w:rPr>
      </w:pPr>
      <w:r>
        <w:rPr>
          <w:rFonts w:hint="eastAsia"/>
          <w:color w:val="auto"/>
          <w:highlight w:val="none"/>
        </w:rPr>
        <w:t>（1）发包人应在知道或应当知道索赔事件发生后28天内通过监理人向承包人提出索赔意向通知书，发包人未在前述28天内发出索赔意向通知书的，丧失要求赔付金额和（或）延长缺陷责任期的权利。</w:t>
      </w:r>
    </w:p>
    <w:p w14:paraId="1A4CCEED">
      <w:pPr>
        <w:adjustRightInd w:val="0"/>
        <w:snapToGrid w:val="0"/>
        <w:ind w:firstLine="480" w:firstLineChars="200"/>
        <w:rPr>
          <w:color w:val="auto"/>
          <w:highlight w:val="none"/>
        </w:rPr>
      </w:pPr>
      <w:r>
        <w:rPr>
          <w:rFonts w:hint="eastAsia"/>
          <w:color w:val="auto"/>
          <w:highlight w:val="none"/>
        </w:rPr>
        <w:t>（2）发包人应在发出索赔意向通知书后28天内，通过监理人向承包人正式递交索赔报告。</w:t>
      </w:r>
    </w:p>
    <w:p w14:paraId="7D3A7485">
      <w:pPr>
        <w:adjustRightInd w:val="0"/>
        <w:snapToGrid w:val="0"/>
        <w:ind w:firstLine="482" w:firstLineChars="200"/>
        <w:rPr>
          <w:b/>
          <w:color w:val="auto"/>
          <w:highlight w:val="none"/>
        </w:rPr>
      </w:pPr>
      <w:r>
        <w:rPr>
          <w:rFonts w:hint="eastAsia"/>
          <w:b/>
          <w:color w:val="auto"/>
          <w:highlight w:val="none"/>
        </w:rPr>
        <w:t>19.5 发包人索赔处理程序</w:t>
      </w:r>
    </w:p>
    <w:p w14:paraId="2F1C070A">
      <w:pPr>
        <w:adjustRightInd w:val="0"/>
        <w:snapToGrid w:val="0"/>
        <w:ind w:firstLine="480" w:firstLineChars="200"/>
        <w:rPr>
          <w:color w:val="auto"/>
          <w:highlight w:val="none"/>
        </w:rPr>
      </w:pPr>
      <w:r>
        <w:rPr>
          <w:rFonts w:hint="eastAsia"/>
          <w:color w:val="auto"/>
          <w:highlight w:val="none"/>
        </w:rPr>
        <w:t>（1）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17.3 款的约定相同，要求延长缺陷责任期通知应在缺陷责任期届满前发出。</w:t>
      </w:r>
    </w:p>
    <w:p w14:paraId="418669CC">
      <w:pPr>
        <w:adjustRightInd w:val="0"/>
        <w:snapToGrid w:val="0"/>
        <w:ind w:firstLine="480" w:firstLineChars="200"/>
        <w:rPr>
          <w:color w:val="auto"/>
          <w:highlight w:val="none"/>
        </w:rPr>
      </w:pPr>
      <w:r>
        <w:rPr>
          <w:rFonts w:hint="eastAsia"/>
          <w:color w:val="auto"/>
          <w:highlight w:val="none"/>
        </w:rPr>
        <w:t>（2）承包人应付给发包人的金额可从拟支付给承包人的合同价款中扣除，或由承包人以其他方式支付给发包人。</w:t>
      </w:r>
    </w:p>
    <w:p w14:paraId="65A6BF37">
      <w:pPr>
        <w:keepNext/>
        <w:keepLines/>
        <w:adjustRightInd w:val="0"/>
        <w:snapToGrid w:val="0"/>
        <w:outlineLvl w:val="1"/>
        <w:rPr>
          <w:rFonts w:ascii="Arial"/>
          <w:b/>
          <w:bCs/>
          <w:color w:val="auto"/>
          <w:highlight w:val="none"/>
        </w:rPr>
      </w:pPr>
      <w:bookmarkStart w:id="832" w:name="_Toc81225289"/>
      <w:bookmarkStart w:id="833" w:name="_Toc99782829"/>
      <w:bookmarkStart w:id="834" w:name="_Toc256000157"/>
      <w:bookmarkStart w:id="835" w:name="_Toc117018806"/>
      <w:bookmarkStart w:id="836" w:name="_Toc256000075"/>
      <w:bookmarkStart w:id="837" w:name="_Toc119953742"/>
      <w:bookmarkStart w:id="838" w:name="_Toc31109"/>
      <w:bookmarkStart w:id="839" w:name="_Toc91660621"/>
      <w:r>
        <w:rPr>
          <w:rFonts w:ascii="Arial"/>
          <w:b/>
          <w:bCs/>
          <w:color w:val="auto"/>
          <w:highlight w:val="none"/>
        </w:rPr>
        <w:t xml:space="preserve">20. </w:t>
      </w:r>
      <w:r>
        <w:rPr>
          <w:rFonts w:hint="eastAsia" w:ascii="Arial"/>
          <w:b/>
          <w:bCs/>
          <w:color w:val="auto"/>
          <w:highlight w:val="none"/>
        </w:rPr>
        <w:t>争议解决</w:t>
      </w:r>
      <w:bookmarkEnd w:id="832"/>
      <w:bookmarkEnd w:id="833"/>
      <w:bookmarkEnd w:id="834"/>
      <w:bookmarkEnd w:id="835"/>
      <w:bookmarkEnd w:id="836"/>
      <w:bookmarkEnd w:id="837"/>
      <w:bookmarkEnd w:id="838"/>
      <w:bookmarkEnd w:id="839"/>
    </w:p>
    <w:p w14:paraId="39FF5777">
      <w:pPr>
        <w:adjustRightInd w:val="0"/>
        <w:snapToGrid w:val="0"/>
        <w:ind w:firstLine="482" w:firstLineChars="200"/>
        <w:rPr>
          <w:b/>
          <w:color w:val="auto"/>
          <w:highlight w:val="none"/>
        </w:rPr>
      </w:pPr>
      <w:r>
        <w:rPr>
          <w:rFonts w:hint="eastAsia"/>
          <w:b/>
          <w:color w:val="auto"/>
          <w:highlight w:val="none"/>
        </w:rPr>
        <w:t>20.1 争议的解决方式</w:t>
      </w:r>
    </w:p>
    <w:p w14:paraId="37E15633">
      <w:pPr>
        <w:adjustRightInd w:val="0"/>
        <w:snapToGrid w:val="0"/>
        <w:ind w:firstLine="480" w:firstLineChars="200"/>
        <w:rPr>
          <w:color w:val="auto"/>
          <w:highlight w:val="none"/>
        </w:rPr>
      </w:pPr>
      <w:r>
        <w:rPr>
          <w:rFonts w:hint="eastAsia"/>
          <w:color w:val="auto"/>
          <w:highlight w:val="none"/>
        </w:rPr>
        <w:t>发包人和承包人在履行合同中发生争议的，可以就争议请求中国石化工程建设主管部门进行调解，调解达成协议的，经双方签字并盖章后作为合同补充文件，双方均应遵照执行。合同当事人调解不成的，可在专用合同条款中约定下列一种方式解决：</w:t>
      </w:r>
    </w:p>
    <w:p w14:paraId="39597CAA">
      <w:pPr>
        <w:adjustRightInd w:val="0"/>
        <w:snapToGrid w:val="0"/>
        <w:ind w:firstLine="480" w:firstLineChars="200"/>
        <w:rPr>
          <w:color w:val="auto"/>
          <w:highlight w:val="none"/>
        </w:rPr>
      </w:pPr>
      <w:r>
        <w:rPr>
          <w:rFonts w:hint="eastAsia"/>
          <w:color w:val="auto"/>
          <w:highlight w:val="none"/>
        </w:rPr>
        <w:t>（l）向约定的仲裁委员会申请仲裁；</w:t>
      </w:r>
    </w:p>
    <w:p w14:paraId="0B39DF04">
      <w:pPr>
        <w:adjustRightInd w:val="0"/>
        <w:snapToGrid w:val="0"/>
        <w:ind w:firstLine="480" w:firstLineChars="200"/>
        <w:rPr>
          <w:color w:val="auto"/>
          <w:highlight w:val="none"/>
        </w:rPr>
      </w:pPr>
      <w:r>
        <w:rPr>
          <w:rFonts w:hint="eastAsia"/>
          <w:color w:val="auto"/>
          <w:highlight w:val="none"/>
        </w:rPr>
        <w:t>（2）向有管辖权的人民法院提起诉讼；</w:t>
      </w:r>
    </w:p>
    <w:p w14:paraId="7ADDB755">
      <w:pPr>
        <w:adjustRightInd w:val="0"/>
        <w:snapToGrid w:val="0"/>
        <w:ind w:firstLine="480" w:firstLineChars="200"/>
        <w:rPr>
          <w:color w:val="auto"/>
          <w:highlight w:val="none"/>
        </w:rPr>
      </w:pPr>
      <w:r>
        <w:rPr>
          <w:rFonts w:hint="eastAsia"/>
          <w:color w:val="auto"/>
          <w:highlight w:val="none"/>
        </w:rPr>
        <w:t>（3）其他争议解决方式。</w:t>
      </w:r>
    </w:p>
    <w:p w14:paraId="0F44B7CD">
      <w:pPr>
        <w:adjustRightInd w:val="0"/>
        <w:snapToGrid w:val="0"/>
        <w:ind w:firstLine="482" w:firstLineChars="200"/>
        <w:rPr>
          <w:b/>
          <w:color w:val="auto"/>
          <w:highlight w:val="none"/>
        </w:rPr>
      </w:pPr>
      <w:r>
        <w:rPr>
          <w:rFonts w:hint="eastAsia"/>
          <w:b/>
          <w:color w:val="auto"/>
          <w:highlight w:val="none"/>
        </w:rPr>
        <w:t>20.2 友好协商解决</w:t>
      </w:r>
    </w:p>
    <w:p w14:paraId="59B71FA5">
      <w:pPr>
        <w:adjustRightInd w:val="0"/>
        <w:snapToGrid w:val="0"/>
        <w:ind w:firstLine="480" w:firstLineChars="200"/>
        <w:rPr>
          <w:color w:val="auto"/>
          <w:highlight w:val="none"/>
        </w:rPr>
      </w:pPr>
      <w:r>
        <w:rPr>
          <w:rFonts w:hint="eastAsia"/>
          <w:color w:val="auto"/>
          <w:highlight w:val="none"/>
        </w:rPr>
        <w:t>在调解、提请仲裁或者诉讼前，以及在调解、仲裁或诉讼过程中，发包人和承包人均可共同努力友好协商解决争议。</w:t>
      </w:r>
    </w:p>
    <w:p w14:paraId="2CE5D3CD">
      <w:pPr>
        <w:adjustRightInd w:val="0"/>
        <w:snapToGrid w:val="0"/>
        <w:ind w:firstLine="482" w:firstLineChars="200"/>
        <w:rPr>
          <w:b/>
          <w:color w:val="auto"/>
          <w:highlight w:val="none"/>
        </w:rPr>
      </w:pPr>
      <w:r>
        <w:rPr>
          <w:rFonts w:hint="eastAsia"/>
          <w:b/>
          <w:color w:val="auto"/>
          <w:highlight w:val="none"/>
        </w:rPr>
        <w:t>20.3争议解决条款效力</w:t>
      </w:r>
    </w:p>
    <w:p w14:paraId="2C31469B">
      <w:pPr>
        <w:adjustRightInd w:val="0"/>
        <w:snapToGrid w:val="0"/>
        <w:ind w:firstLine="480" w:firstLineChars="200"/>
        <w:rPr>
          <w:color w:val="auto"/>
          <w:highlight w:val="none"/>
        </w:rPr>
      </w:pPr>
      <w:r>
        <w:rPr>
          <w:rFonts w:hint="eastAsia"/>
          <w:color w:val="auto"/>
          <w:highlight w:val="none"/>
        </w:rPr>
        <w:t>合同有关争议解决的条款独立存在，合同的变更、解除、终止、无效或者被撤销均不影响其效力。</w:t>
      </w:r>
    </w:p>
    <w:p w14:paraId="7B5D38BB">
      <w:pPr>
        <w:overflowPunct w:val="0"/>
        <w:autoSpaceDE w:val="0"/>
        <w:autoSpaceDN w:val="0"/>
        <w:adjustRightInd w:val="0"/>
        <w:snapToGrid w:val="0"/>
        <w:ind w:firstLine="480" w:firstLineChars="200"/>
        <w:rPr>
          <w:color w:val="auto"/>
          <w:highlight w:val="none"/>
        </w:rPr>
        <w:sectPr>
          <w:pgSz w:w="11906" w:h="16838"/>
          <w:pgMar w:top="1440" w:right="1800" w:bottom="1440" w:left="1800" w:header="851" w:footer="992" w:gutter="0"/>
          <w:cols w:space="720" w:num="1"/>
          <w:docGrid w:type="lines" w:linePitch="312" w:charSpace="0"/>
        </w:sectPr>
      </w:pPr>
      <w:r>
        <w:rPr>
          <w:rFonts w:ascii="Calibri" w:hAnsi="Calibri" w:eastAsia="仿宋_GB2312"/>
          <w:color w:val="auto"/>
          <w:highlight w:val="none"/>
        </w:rPr>
        <w:br w:type="page"/>
      </w:r>
    </w:p>
    <w:p w14:paraId="38C876B5">
      <w:pPr>
        <w:keepNext/>
        <w:keepLines/>
        <w:snapToGrid w:val="0"/>
        <w:spacing w:before="340" w:after="360"/>
        <w:jc w:val="center"/>
        <w:outlineLvl w:val="1"/>
        <w:rPr>
          <w:b/>
          <w:bCs/>
          <w:color w:val="auto"/>
          <w:sz w:val="44"/>
          <w:szCs w:val="44"/>
          <w:highlight w:val="none"/>
        </w:rPr>
      </w:pPr>
      <w:bookmarkStart w:id="840" w:name="_Toc256000076"/>
      <w:bookmarkStart w:id="841" w:name="_Toc29935"/>
      <w:bookmarkStart w:id="842" w:name="_Toc119953743"/>
      <w:bookmarkStart w:id="843" w:name="_Toc1111696101"/>
      <w:r>
        <w:rPr>
          <w:rFonts w:hint="eastAsia"/>
          <w:b/>
          <w:bCs/>
          <w:color w:val="auto"/>
          <w:sz w:val="44"/>
          <w:szCs w:val="44"/>
          <w:highlight w:val="none"/>
        </w:rPr>
        <w:t>第三部分</w:t>
      </w:r>
      <w:r>
        <w:rPr>
          <w:b/>
          <w:bCs/>
          <w:color w:val="auto"/>
          <w:sz w:val="44"/>
          <w:szCs w:val="44"/>
          <w:highlight w:val="none"/>
        </w:rPr>
        <w:t xml:space="preserve"> </w:t>
      </w:r>
      <w:r>
        <w:rPr>
          <w:rFonts w:hint="eastAsia"/>
          <w:b/>
          <w:bCs/>
          <w:color w:val="auto"/>
          <w:sz w:val="44"/>
          <w:szCs w:val="44"/>
          <w:highlight w:val="none"/>
        </w:rPr>
        <w:t>专用合同条款</w:t>
      </w:r>
      <w:bookmarkEnd w:id="840"/>
      <w:bookmarkEnd w:id="841"/>
      <w:bookmarkEnd w:id="842"/>
      <w:bookmarkEnd w:id="843"/>
    </w:p>
    <w:p w14:paraId="315CFEAE">
      <w:pPr>
        <w:keepNext/>
        <w:keepLines/>
        <w:adjustRightInd w:val="0"/>
        <w:snapToGrid w:val="0"/>
        <w:outlineLvl w:val="1"/>
        <w:rPr>
          <w:rFonts w:ascii="Arial"/>
          <w:b/>
          <w:bCs/>
          <w:color w:val="auto"/>
          <w:highlight w:val="none"/>
        </w:rPr>
      </w:pPr>
      <w:bookmarkStart w:id="844" w:name="_Toc64904344"/>
      <w:bookmarkStart w:id="845" w:name="_Toc256000077"/>
      <w:bookmarkStart w:id="846" w:name="_Toc256000163"/>
      <w:bookmarkStart w:id="847" w:name="_Toc96873297"/>
      <w:bookmarkStart w:id="848" w:name="_Toc1129006668"/>
      <w:bookmarkStart w:id="849" w:name="_Toc81225291"/>
      <w:bookmarkStart w:id="850" w:name="_Toc117018808"/>
      <w:bookmarkStart w:id="851" w:name="_Toc119953744"/>
      <w:bookmarkStart w:id="852" w:name="_Toc31013"/>
      <w:bookmarkStart w:id="853" w:name="_Toc713291355"/>
      <w:bookmarkStart w:id="854" w:name="_Toc99782831"/>
      <w:bookmarkStart w:id="855" w:name="_Toc91660623"/>
      <w:r>
        <w:rPr>
          <w:rFonts w:ascii="Arial"/>
          <w:b/>
          <w:bCs/>
          <w:color w:val="auto"/>
          <w:highlight w:val="none"/>
        </w:rPr>
        <w:t xml:space="preserve">1. </w:t>
      </w:r>
      <w:r>
        <w:rPr>
          <w:rFonts w:hint="eastAsia" w:ascii="Arial"/>
          <w:b/>
          <w:bCs/>
          <w:color w:val="auto"/>
          <w:highlight w:val="none"/>
        </w:rPr>
        <w:t>一般约定</w:t>
      </w:r>
      <w:bookmarkEnd w:id="844"/>
      <w:bookmarkEnd w:id="845"/>
      <w:bookmarkEnd w:id="846"/>
      <w:bookmarkEnd w:id="847"/>
      <w:bookmarkEnd w:id="848"/>
      <w:bookmarkEnd w:id="849"/>
      <w:bookmarkEnd w:id="850"/>
      <w:bookmarkEnd w:id="851"/>
      <w:bookmarkEnd w:id="852"/>
      <w:bookmarkEnd w:id="853"/>
      <w:bookmarkEnd w:id="854"/>
      <w:bookmarkEnd w:id="855"/>
    </w:p>
    <w:p w14:paraId="400405EE">
      <w:pPr>
        <w:adjustRightInd w:val="0"/>
        <w:snapToGrid w:val="0"/>
        <w:ind w:firstLine="482" w:firstLineChars="200"/>
        <w:rPr>
          <w:b/>
          <w:color w:val="auto"/>
          <w:highlight w:val="none"/>
        </w:rPr>
      </w:pPr>
      <w:r>
        <w:rPr>
          <w:rFonts w:hint="eastAsia"/>
          <w:b/>
          <w:color w:val="auto"/>
          <w:highlight w:val="none"/>
        </w:rPr>
        <w:t>1.1 词语定义与解释</w:t>
      </w:r>
    </w:p>
    <w:p w14:paraId="05382460">
      <w:pPr>
        <w:adjustRightInd w:val="0"/>
        <w:snapToGrid w:val="0"/>
        <w:ind w:firstLine="480" w:firstLineChars="200"/>
        <w:rPr>
          <w:color w:val="auto"/>
          <w:highlight w:val="none"/>
        </w:rPr>
      </w:pPr>
      <w:r>
        <w:rPr>
          <w:rFonts w:hint="eastAsia"/>
          <w:color w:val="auto"/>
          <w:highlight w:val="none"/>
        </w:rPr>
        <w:t>1.1.3 工程和设备</w:t>
      </w:r>
    </w:p>
    <w:p w14:paraId="609374A1">
      <w:pPr>
        <w:adjustRightInd w:val="0"/>
        <w:snapToGrid w:val="0"/>
        <w:ind w:firstLine="480" w:firstLineChars="200"/>
        <w:rPr>
          <w:color w:val="auto"/>
          <w:highlight w:val="none"/>
        </w:rPr>
      </w:pPr>
      <w:r>
        <w:rPr>
          <w:rFonts w:hint="eastAsia"/>
          <w:color w:val="auto"/>
          <w:highlight w:val="none"/>
        </w:rPr>
        <w:t>1.1.3.4 区段工程包括：</w:t>
      </w:r>
      <w:r>
        <w:rPr>
          <w:rFonts w:hint="eastAsia"/>
          <w:color w:val="auto"/>
          <w:highlight w:val="none"/>
          <w:u w:val="single"/>
        </w:rPr>
        <w:t>/</w:t>
      </w:r>
      <w:r>
        <w:rPr>
          <w:rFonts w:hint="eastAsia"/>
          <w:color w:val="auto"/>
          <w:highlight w:val="none"/>
        </w:rPr>
        <w:t>。</w:t>
      </w:r>
    </w:p>
    <w:p w14:paraId="25B50313">
      <w:pPr>
        <w:adjustRightInd w:val="0"/>
        <w:snapToGrid w:val="0"/>
        <w:ind w:firstLine="422" w:firstLineChars="176"/>
        <w:rPr>
          <w:color w:val="auto"/>
          <w:highlight w:val="none"/>
        </w:rPr>
      </w:pPr>
      <w:r>
        <w:rPr>
          <w:rFonts w:hint="eastAsia"/>
          <w:color w:val="auto"/>
          <w:highlight w:val="none"/>
        </w:rPr>
        <w:t>1.1.3.10永久占地包括：</w:t>
      </w:r>
      <w:r>
        <w:rPr>
          <w:rFonts w:hint="eastAsia"/>
          <w:color w:val="auto"/>
          <w:highlight w:val="none"/>
          <w:u w:val="single"/>
        </w:rPr>
        <w:t>项目红线范围内的建设用地，见设计文件</w:t>
      </w:r>
      <w:r>
        <w:rPr>
          <w:rFonts w:hint="eastAsia"/>
          <w:color w:val="auto"/>
          <w:highlight w:val="none"/>
        </w:rPr>
        <w:t>。</w:t>
      </w:r>
    </w:p>
    <w:p w14:paraId="70351157">
      <w:pPr>
        <w:adjustRightInd w:val="0"/>
        <w:snapToGrid w:val="0"/>
        <w:ind w:firstLine="422" w:firstLineChars="176"/>
        <w:rPr>
          <w:color w:val="auto"/>
          <w:highlight w:val="none"/>
        </w:rPr>
      </w:pPr>
      <w:r>
        <w:rPr>
          <w:rFonts w:hint="eastAsia"/>
          <w:color w:val="auto"/>
          <w:highlight w:val="none"/>
        </w:rPr>
        <w:t>1.1.3.11临时占地包括：</w:t>
      </w:r>
      <w:r>
        <w:rPr>
          <w:rFonts w:hint="eastAsia"/>
          <w:color w:val="auto"/>
          <w:highlight w:val="none"/>
          <w:u w:val="single"/>
        </w:rPr>
        <w:t>本项目建设所需的临时用地，包括现场临时设施、施工机械等需要临时占用的场地等</w:t>
      </w:r>
      <w:r>
        <w:rPr>
          <w:rFonts w:hint="eastAsia"/>
          <w:color w:val="auto"/>
          <w:highlight w:val="none"/>
        </w:rPr>
        <w:t>。</w:t>
      </w:r>
    </w:p>
    <w:p w14:paraId="33D9801C">
      <w:pPr>
        <w:adjustRightInd w:val="0"/>
        <w:snapToGrid w:val="0"/>
        <w:ind w:firstLine="422" w:firstLineChars="176"/>
        <w:rPr>
          <w:color w:val="auto"/>
          <w:highlight w:val="none"/>
        </w:rPr>
      </w:pPr>
      <w:r>
        <w:rPr>
          <w:rFonts w:hint="eastAsia"/>
          <w:color w:val="auto"/>
          <w:highlight w:val="none"/>
        </w:rPr>
        <w:t>1.3 法律、标准及规范</w:t>
      </w:r>
    </w:p>
    <w:p w14:paraId="3C5B3F75">
      <w:pPr>
        <w:adjustRightInd w:val="0"/>
        <w:snapToGrid w:val="0"/>
        <w:ind w:firstLine="422" w:firstLineChars="176"/>
        <w:rPr>
          <w:color w:val="auto"/>
          <w:highlight w:val="none"/>
        </w:rPr>
      </w:pPr>
      <w:r>
        <w:rPr>
          <w:rFonts w:hint="eastAsia"/>
          <w:color w:val="auto"/>
          <w:highlight w:val="none"/>
        </w:rPr>
        <w:t>1.3.2 标准及规范</w:t>
      </w:r>
    </w:p>
    <w:p w14:paraId="036F8940">
      <w:pPr>
        <w:adjustRightInd w:val="0"/>
        <w:snapToGrid w:val="0"/>
        <w:ind w:firstLine="422" w:firstLineChars="176"/>
        <w:rPr>
          <w:color w:val="auto"/>
          <w:highlight w:val="none"/>
        </w:rPr>
      </w:pPr>
      <w:r>
        <w:rPr>
          <w:rFonts w:hint="eastAsia"/>
          <w:color w:val="auto"/>
          <w:highlight w:val="none"/>
        </w:rPr>
        <w:t>1.3.2.1适用于工程的特别的标准、规范包括：</w:t>
      </w:r>
      <w:r>
        <w:rPr>
          <w:rFonts w:hint="eastAsia"/>
          <w:color w:val="auto"/>
          <w:highlight w:val="none"/>
          <w:u w:val="single"/>
        </w:rPr>
        <w:t>除本项目设计文件有特殊要求外，执行通用合同条款</w:t>
      </w:r>
      <w:r>
        <w:rPr>
          <w:rFonts w:hint="eastAsia"/>
          <w:color w:val="auto"/>
          <w:highlight w:val="none"/>
        </w:rPr>
        <w:t>。</w:t>
      </w:r>
    </w:p>
    <w:p w14:paraId="337788F1">
      <w:pPr>
        <w:adjustRightInd w:val="0"/>
        <w:snapToGrid w:val="0"/>
        <w:ind w:firstLine="422" w:firstLineChars="176"/>
        <w:rPr>
          <w:color w:val="auto"/>
          <w:highlight w:val="none"/>
        </w:rPr>
      </w:pPr>
      <w:r>
        <w:rPr>
          <w:rFonts w:hint="eastAsia"/>
          <w:color w:val="auto"/>
          <w:highlight w:val="none"/>
        </w:rPr>
        <w:t>1.3.2.2 发包人提供国外标准、规范的名称：</w:t>
      </w:r>
      <w:r>
        <w:rPr>
          <w:rFonts w:hint="eastAsia"/>
          <w:color w:val="auto"/>
          <w:highlight w:val="none"/>
          <w:u w:val="single"/>
        </w:rPr>
        <w:t>见设计文件要求</w:t>
      </w:r>
      <w:r>
        <w:rPr>
          <w:rFonts w:hint="eastAsia"/>
          <w:color w:val="auto"/>
          <w:highlight w:val="none"/>
        </w:rPr>
        <w:t>。</w:t>
      </w:r>
    </w:p>
    <w:p w14:paraId="5A1C833D">
      <w:pPr>
        <w:adjustRightInd w:val="0"/>
        <w:snapToGrid w:val="0"/>
        <w:ind w:firstLine="422" w:firstLineChars="176"/>
        <w:rPr>
          <w:color w:val="auto"/>
          <w:highlight w:val="none"/>
        </w:rPr>
      </w:pPr>
      <w:r>
        <w:rPr>
          <w:rFonts w:hint="eastAsia"/>
          <w:color w:val="auto"/>
          <w:highlight w:val="none"/>
        </w:rPr>
        <w:t>发包人提供国外标准、规范的份数：</w:t>
      </w:r>
      <w:r>
        <w:rPr>
          <w:rFonts w:hint="eastAsia"/>
          <w:color w:val="auto"/>
          <w:highlight w:val="none"/>
          <w:u w:val="single"/>
        </w:rPr>
        <w:t>/</w:t>
      </w:r>
      <w:r>
        <w:rPr>
          <w:rFonts w:hint="eastAsia"/>
          <w:color w:val="auto"/>
          <w:highlight w:val="none"/>
        </w:rPr>
        <w:t>。</w:t>
      </w:r>
    </w:p>
    <w:p w14:paraId="1B6E2907">
      <w:pPr>
        <w:adjustRightInd w:val="0"/>
        <w:snapToGrid w:val="0"/>
        <w:ind w:firstLine="422" w:firstLineChars="176"/>
        <w:rPr>
          <w:color w:val="auto"/>
          <w:highlight w:val="none"/>
        </w:rPr>
      </w:pPr>
      <w:r>
        <w:rPr>
          <w:rFonts w:hint="eastAsia"/>
          <w:color w:val="auto"/>
          <w:highlight w:val="none"/>
        </w:rPr>
        <w:t>发包人提供国外标准、规范的时间：</w:t>
      </w:r>
      <w:r>
        <w:rPr>
          <w:rFonts w:hint="eastAsia"/>
          <w:color w:val="auto"/>
          <w:highlight w:val="none"/>
          <w:u w:val="single"/>
        </w:rPr>
        <w:t>/</w:t>
      </w:r>
      <w:r>
        <w:rPr>
          <w:rFonts w:hint="eastAsia"/>
          <w:color w:val="auto"/>
          <w:highlight w:val="none"/>
        </w:rPr>
        <w:t>。</w:t>
      </w:r>
    </w:p>
    <w:p w14:paraId="24F9F779">
      <w:pPr>
        <w:adjustRightInd w:val="0"/>
        <w:snapToGrid w:val="0"/>
        <w:ind w:firstLine="422" w:firstLineChars="176"/>
        <w:rPr>
          <w:color w:val="auto"/>
          <w:highlight w:val="none"/>
        </w:rPr>
      </w:pPr>
      <w:r>
        <w:rPr>
          <w:rFonts w:hint="eastAsia"/>
          <w:color w:val="auto"/>
          <w:highlight w:val="none"/>
        </w:rPr>
        <w:t>1.3.2.3 发包人对工程技术标准和功能的特殊要求：</w:t>
      </w:r>
      <w:r>
        <w:rPr>
          <w:rFonts w:hint="eastAsia"/>
          <w:color w:val="auto"/>
          <w:highlight w:val="none"/>
          <w:u w:val="single"/>
        </w:rPr>
        <w:t>/</w:t>
      </w:r>
      <w:r>
        <w:rPr>
          <w:rFonts w:hint="eastAsia"/>
          <w:color w:val="auto"/>
          <w:highlight w:val="none"/>
        </w:rPr>
        <w:t>。</w:t>
      </w:r>
    </w:p>
    <w:p w14:paraId="4F9F3B6F">
      <w:pPr>
        <w:adjustRightInd w:val="0"/>
        <w:snapToGrid w:val="0"/>
        <w:ind w:firstLine="424" w:firstLineChars="176"/>
        <w:rPr>
          <w:b/>
          <w:color w:val="auto"/>
          <w:highlight w:val="none"/>
        </w:rPr>
      </w:pPr>
      <w:r>
        <w:rPr>
          <w:rFonts w:hint="eastAsia"/>
          <w:b/>
          <w:color w:val="auto"/>
          <w:highlight w:val="none"/>
        </w:rPr>
        <w:t>1.4 合同文件的优先顺序</w:t>
      </w:r>
    </w:p>
    <w:p w14:paraId="48FE96ED">
      <w:pPr>
        <w:adjustRightInd w:val="0"/>
        <w:snapToGrid w:val="0"/>
        <w:ind w:firstLine="422" w:firstLineChars="176"/>
        <w:rPr>
          <w:color w:val="auto"/>
          <w:highlight w:val="none"/>
        </w:rPr>
      </w:pPr>
      <w:r>
        <w:rPr>
          <w:rFonts w:hint="eastAsia"/>
          <w:color w:val="auto"/>
          <w:highlight w:val="none"/>
        </w:rPr>
        <w:t>合同文件的组成及解释的优先顺序为：</w:t>
      </w:r>
      <w:r>
        <w:rPr>
          <w:rFonts w:hint="eastAsia"/>
          <w:color w:val="auto"/>
          <w:highlight w:val="none"/>
          <w:u w:val="single"/>
        </w:rPr>
        <w:t>执行通用合同条款</w:t>
      </w:r>
      <w:r>
        <w:rPr>
          <w:rFonts w:hint="eastAsia"/>
          <w:color w:val="auto"/>
          <w:highlight w:val="none"/>
        </w:rPr>
        <w:t>。</w:t>
      </w:r>
    </w:p>
    <w:p w14:paraId="768EFFD3">
      <w:pPr>
        <w:adjustRightInd w:val="0"/>
        <w:snapToGrid w:val="0"/>
        <w:ind w:firstLine="424" w:firstLineChars="176"/>
        <w:rPr>
          <w:b/>
          <w:color w:val="auto"/>
          <w:highlight w:val="none"/>
        </w:rPr>
      </w:pPr>
      <w:r>
        <w:rPr>
          <w:rFonts w:hint="eastAsia"/>
          <w:b/>
          <w:color w:val="auto"/>
          <w:highlight w:val="none"/>
        </w:rPr>
        <w:t>1.5 图纸和承包人文件</w:t>
      </w:r>
    </w:p>
    <w:p w14:paraId="68E6BBF9">
      <w:pPr>
        <w:adjustRightInd w:val="0"/>
        <w:snapToGrid w:val="0"/>
        <w:ind w:firstLine="422" w:firstLineChars="176"/>
        <w:rPr>
          <w:color w:val="auto"/>
          <w:highlight w:val="none"/>
        </w:rPr>
      </w:pPr>
      <w:r>
        <w:rPr>
          <w:rFonts w:hint="eastAsia"/>
          <w:color w:val="auto"/>
          <w:highlight w:val="none"/>
        </w:rPr>
        <w:t>1.5.1 图纸的提供和交底</w:t>
      </w:r>
    </w:p>
    <w:p w14:paraId="70213A39">
      <w:pPr>
        <w:adjustRightInd w:val="0"/>
        <w:snapToGrid w:val="0"/>
        <w:ind w:firstLine="422" w:firstLineChars="176"/>
        <w:rPr>
          <w:color w:val="auto"/>
          <w:highlight w:val="none"/>
        </w:rPr>
      </w:pPr>
      <w:r>
        <w:rPr>
          <w:rFonts w:hint="eastAsia"/>
          <w:color w:val="auto"/>
          <w:highlight w:val="none"/>
        </w:rPr>
        <w:t>发包人提供的图纸包括：</w:t>
      </w:r>
      <w:r>
        <w:rPr>
          <w:rFonts w:hint="eastAsia"/>
          <w:color w:val="auto"/>
          <w:highlight w:val="none"/>
          <w:u w:val="single"/>
        </w:rPr>
        <w:t>承包范围内的全部施工图及相关的工作联系单、变更单、通知单、会议纪要等文件</w:t>
      </w:r>
      <w:r>
        <w:rPr>
          <w:rFonts w:hint="eastAsia"/>
          <w:color w:val="auto"/>
          <w:highlight w:val="none"/>
        </w:rPr>
        <w:t>。</w:t>
      </w:r>
    </w:p>
    <w:p w14:paraId="34F378B3">
      <w:pPr>
        <w:adjustRightInd w:val="0"/>
        <w:snapToGrid w:val="0"/>
        <w:ind w:firstLine="422" w:firstLineChars="176"/>
        <w:rPr>
          <w:color w:val="auto"/>
          <w:highlight w:val="none"/>
          <w:u w:val="single"/>
        </w:rPr>
      </w:pPr>
      <w:r>
        <w:rPr>
          <w:rFonts w:hint="eastAsia"/>
          <w:color w:val="auto"/>
          <w:highlight w:val="none"/>
        </w:rPr>
        <w:t>发包人提供图纸的期限：</w:t>
      </w:r>
      <w:r>
        <w:rPr>
          <w:rFonts w:hint="eastAsia"/>
          <w:color w:val="auto"/>
          <w:highlight w:val="none"/>
          <w:u w:val="single"/>
        </w:rPr>
        <w:t>发包人向承包人提供图纸日期在开工前10个工作日内并陆续根据工程的实施进度发放图纸资料，承包人收到施工图纸后，由项目总工或专业技术负责人组织开展各专业施工图核查，并形成施工图核查记录，将发现的问题及时书面报告给发包人。发包人审核施工图核查记录之后组织承包人、监理人和设计人进行图纸会审和设计交底。</w:t>
      </w:r>
    </w:p>
    <w:p w14:paraId="50073DBB">
      <w:pPr>
        <w:adjustRightInd w:val="0"/>
        <w:snapToGrid w:val="0"/>
        <w:ind w:firstLine="422" w:firstLineChars="176"/>
        <w:rPr>
          <w:color w:val="auto"/>
          <w:highlight w:val="none"/>
        </w:rPr>
      </w:pPr>
      <w:r>
        <w:rPr>
          <w:rFonts w:hint="eastAsia"/>
          <w:color w:val="auto"/>
          <w:highlight w:val="none"/>
        </w:rPr>
        <w:t>发包人提供图纸的数量：</w:t>
      </w:r>
      <w:r>
        <w:rPr>
          <w:rFonts w:hint="eastAsia"/>
          <w:color w:val="auto"/>
          <w:highlight w:val="none"/>
          <w:u w:val="single"/>
        </w:rPr>
        <w:t>提供6套（其中2套用于编制竣工资料）</w:t>
      </w:r>
      <w:r>
        <w:rPr>
          <w:rFonts w:hint="eastAsia"/>
          <w:color w:val="auto"/>
          <w:highlight w:val="none"/>
        </w:rPr>
        <w:t>。</w:t>
      </w:r>
    </w:p>
    <w:p w14:paraId="3AEAC34B">
      <w:pPr>
        <w:adjustRightInd w:val="0"/>
        <w:snapToGrid w:val="0"/>
        <w:ind w:firstLine="422" w:firstLineChars="176"/>
        <w:rPr>
          <w:color w:val="auto"/>
          <w:highlight w:val="none"/>
        </w:rPr>
      </w:pPr>
      <w:r>
        <w:rPr>
          <w:rFonts w:hint="eastAsia"/>
          <w:color w:val="auto"/>
          <w:highlight w:val="none"/>
        </w:rPr>
        <w:t>1.5.4 承包人文件</w:t>
      </w:r>
    </w:p>
    <w:p w14:paraId="300688DB">
      <w:pPr>
        <w:adjustRightInd w:val="0"/>
        <w:snapToGrid w:val="0"/>
        <w:ind w:firstLine="422" w:firstLineChars="176"/>
        <w:rPr>
          <w:color w:val="auto"/>
          <w:highlight w:val="none"/>
          <w:u w:val="single"/>
        </w:rPr>
      </w:pPr>
      <w:r>
        <w:rPr>
          <w:rFonts w:hint="eastAsia"/>
          <w:color w:val="auto"/>
          <w:highlight w:val="none"/>
        </w:rPr>
        <w:t>承包人应提供的承包人文件包括：</w:t>
      </w:r>
      <w:r>
        <w:rPr>
          <w:rFonts w:hint="eastAsia"/>
          <w:color w:val="auto"/>
          <w:highlight w:val="none"/>
          <w:u w:val="single"/>
        </w:rPr>
        <w:t xml:space="preserve">施工组织设计，施工技术措施及各项资源需要量的计划等，包括但不限于： </w:t>
      </w:r>
    </w:p>
    <w:p w14:paraId="4C860258">
      <w:pPr>
        <w:adjustRightInd w:val="0"/>
        <w:snapToGrid w:val="0"/>
        <w:ind w:firstLine="422" w:firstLineChars="176"/>
        <w:rPr>
          <w:color w:val="auto"/>
          <w:highlight w:val="none"/>
          <w:u w:val="single"/>
        </w:rPr>
      </w:pPr>
      <w:r>
        <w:rPr>
          <w:rFonts w:hint="eastAsia"/>
          <w:color w:val="auto"/>
          <w:highlight w:val="none"/>
          <w:u w:val="single"/>
        </w:rPr>
        <w:t>（1）进厂及出厂申请、需要时前2天、一式四份；</w:t>
      </w:r>
    </w:p>
    <w:p w14:paraId="4944BB35">
      <w:pPr>
        <w:adjustRightInd w:val="0"/>
        <w:snapToGrid w:val="0"/>
        <w:ind w:firstLine="422" w:firstLineChars="176"/>
        <w:rPr>
          <w:color w:val="auto"/>
          <w:highlight w:val="none"/>
          <w:u w:val="single"/>
        </w:rPr>
      </w:pPr>
      <w:r>
        <w:rPr>
          <w:rFonts w:hint="eastAsia"/>
          <w:color w:val="auto"/>
          <w:highlight w:val="none"/>
          <w:u w:val="single"/>
        </w:rPr>
        <w:t xml:space="preserve">（2）施工用水及用电申请、开工前14天、一式四份； </w:t>
      </w:r>
    </w:p>
    <w:p w14:paraId="5920853C">
      <w:pPr>
        <w:adjustRightInd w:val="0"/>
        <w:snapToGrid w:val="0"/>
        <w:ind w:firstLine="422" w:firstLineChars="176"/>
        <w:rPr>
          <w:color w:val="auto"/>
          <w:highlight w:val="none"/>
          <w:u w:val="single"/>
        </w:rPr>
      </w:pPr>
      <w:r>
        <w:rPr>
          <w:rFonts w:hint="eastAsia"/>
          <w:color w:val="auto"/>
          <w:highlight w:val="none"/>
          <w:u w:val="single"/>
        </w:rPr>
        <w:t xml:space="preserve">（3）设备材料计划、分项工程开工前7天、一式四份； </w:t>
      </w:r>
    </w:p>
    <w:p w14:paraId="22601A29">
      <w:pPr>
        <w:adjustRightInd w:val="0"/>
        <w:snapToGrid w:val="0"/>
        <w:ind w:firstLine="422" w:firstLineChars="176"/>
        <w:rPr>
          <w:color w:val="auto"/>
          <w:highlight w:val="none"/>
          <w:u w:val="single"/>
        </w:rPr>
      </w:pPr>
      <w:r>
        <w:rPr>
          <w:rFonts w:hint="eastAsia"/>
          <w:color w:val="auto"/>
          <w:highlight w:val="none"/>
          <w:u w:val="single"/>
        </w:rPr>
        <w:t xml:space="preserve">（4）合同项目开工申请书、开工前7天、一式四份； </w:t>
      </w:r>
    </w:p>
    <w:p w14:paraId="49451B9E">
      <w:pPr>
        <w:adjustRightInd w:val="0"/>
        <w:snapToGrid w:val="0"/>
        <w:ind w:firstLine="422" w:firstLineChars="176"/>
        <w:rPr>
          <w:color w:val="auto"/>
          <w:highlight w:val="none"/>
          <w:u w:val="single"/>
        </w:rPr>
      </w:pPr>
      <w:r>
        <w:rPr>
          <w:rFonts w:hint="eastAsia"/>
          <w:color w:val="auto"/>
          <w:highlight w:val="none"/>
          <w:u w:val="single"/>
        </w:rPr>
        <w:t xml:space="preserve">（5）分部工程开工申请书、开工前3天、一式四份； </w:t>
      </w:r>
    </w:p>
    <w:p w14:paraId="07F38123">
      <w:pPr>
        <w:adjustRightInd w:val="0"/>
        <w:snapToGrid w:val="0"/>
        <w:ind w:firstLine="422" w:firstLineChars="176"/>
        <w:rPr>
          <w:color w:val="auto"/>
          <w:highlight w:val="none"/>
          <w:u w:val="single"/>
        </w:rPr>
      </w:pPr>
      <w:r>
        <w:rPr>
          <w:rFonts w:hint="eastAsia"/>
          <w:color w:val="auto"/>
          <w:highlight w:val="none"/>
          <w:u w:val="single"/>
        </w:rPr>
        <w:t xml:space="preserve">（6）施工组织设计、开工前7天、一式六份； </w:t>
      </w:r>
    </w:p>
    <w:p w14:paraId="1F0ACC10">
      <w:pPr>
        <w:adjustRightInd w:val="0"/>
        <w:snapToGrid w:val="0"/>
        <w:ind w:firstLine="422" w:firstLineChars="176"/>
        <w:rPr>
          <w:color w:val="auto"/>
          <w:highlight w:val="none"/>
          <w:u w:val="single"/>
        </w:rPr>
      </w:pPr>
      <w:r>
        <w:rPr>
          <w:rFonts w:hint="eastAsia"/>
          <w:color w:val="auto"/>
          <w:highlight w:val="none"/>
          <w:u w:val="single"/>
        </w:rPr>
        <w:t xml:space="preserve">（7）总进度计划、开工前7天、一式四份； </w:t>
      </w:r>
    </w:p>
    <w:p w14:paraId="317AD5E5">
      <w:pPr>
        <w:adjustRightInd w:val="0"/>
        <w:snapToGrid w:val="0"/>
        <w:ind w:firstLine="422" w:firstLineChars="176"/>
        <w:rPr>
          <w:color w:val="auto"/>
          <w:highlight w:val="none"/>
          <w:u w:val="single"/>
        </w:rPr>
      </w:pPr>
      <w:r>
        <w:rPr>
          <w:rFonts w:hint="eastAsia"/>
          <w:color w:val="auto"/>
          <w:highlight w:val="none"/>
          <w:u w:val="single"/>
        </w:rPr>
        <w:t>（8）现场组织机构及主要人员报审表、开工前7天、一式四份；</w:t>
      </w:r>
    </w:p>
    <w:p w14:paraId="6541BD18">
      <w:pPr>
        <w:adjustRightInd w:val="0"/>
        <w:snapToGrid w:val="0"/>
        <w:ind w:firstLine="422" w:firstLineChars="176"/>
        <w:rPr>
          <w:color w:val="auto"/>
          <w:highlight w:val="none"/>
          <w:u w:val="single"/>
        </w:rPr>
      </w:pPr>
      <w:r>
        <w:rPr>
          <w:rFonts w:hint="eastAsia"/>
          <w:color w:val="auto"/>
          <w:highlight w:val="none"/>
          <w:u w:val="single"/>
        </w:rPr>
        <w:t xml:space="preserve">（9）施工技术方案、开工前7天、一式四份； </w:t>
      </w:r>
    </w:p>
    <w:p w14:paraId="104FF908">
      <w:pPr>
        <w:adjustRightInd w:val="0"/>
        <w:snapToGrid w:val="0"/>
        <w:ind w:firstLine="422" w:firstLineChars="176"/>
        <w:rPr>
          <w:color w:val="auto"/>
          <w:highlight w:val="none"/>
          <w:u w:val="single"/>
        </w:rPr>
      </w:pPr>
      <w:r>
        <w:rPr>
          <w:rFonts w:hint="eastAsia"/>
          <w:color w:val="auto"/>
          <w:highlight w:val="none"/>
          <w:u w:val="single"/>
        </w:rPr>
        <w:t xml:space="preserve">（10）施工作业指导书、开工前7天、一式四份； </w:t>
      </w:r>
    </w:p>
    <w:p w14:paraId="3409679E">
      <w:pPr>
        <w:adjustRightInd w:val="0"/>
        <w:snapToGrid w:val="0"/>
        <w:ind w:firstLine="422" w:firstLineChars="176"/>
        <w:rPr>
          <w:color w:val="auto"/>
          <w:highlight w:val="none"/>
          <w:u w:val="single"/>
        </w:rPr>
      </w:pPr>
      <w:r>
        <w:rPr>
          <w:rFonts w:hint="eastAsia"/>
          <w:color w:val="auto"/>
          <w:highlight w:val="none"/>
          <w:u w:val="single"/>
        </w:rPr>
        <w:t xml:space="preserve">（11）施工环保措施报告、项目开工前或单项工程开工前或单位工程开工前7天、一式四份； </w:t>
      </w:r>
    </w:p>
    <w:p w14:paraId="0228992E">
      <w:pPr>
        <w:adjustRightInd w:val="0"/>
        <w:snapToGrid w:val="0"/>
        <w:ind w:firstLine="422" w:firstLineChars="176"/>
        <w:rPr>
          <w:color w:val="auto"/>
          <w:highlight w:val="none"/>
          <w:u w:val="single"/>
        </w:rPr>
      </w:pPr>
      <w:r>
        <w:rPr>
          <w:rFonts w:hint="eastAsia"/>
          <w:color w:val="auto"/>
          <w:highlight w:val="none"/>
          <w:u w:val="single"/>
        </w:rPr>
        <w:t xml:space="preserve">（12）月形象进度计划、每月最后3天内报下月月形象进度计划、一式四份； </w:t>
      </w:r>
    </w:p>
    <w:p w14:paraId="49F70D6A">
      <w:pPr>
        <w:adjustRightInd w:val="0"/>
        <w:snapToGrid w:val="0"/>
        <w:ind w:firstLine="422" w:firstLineChars="176"/>
        <w:rPr>
          <w:color w:val="auto"/>
          <w:highlight w:val="none"/>
          <w:u w:val="single"/>
        </w:rPr>
      </w:pPr>
      <w:r>
        <w:rPr>
          <w:rFonts w:hint="eastAsia"/>
          <w:color w:val="auto"/>
          <w:highlight w:val="none"/>
          <w:u w:val="single"/>
        </w:rPr>
        <w:t xml:space="preserve">（13）作业票证、需要时、一式四份； </w:t>
      </w:r>
    </w:p>
    <w:p w14:paraId="2FE5E6F2">
      <w:pPr>
        <w:adjustRightInd w:val="0"/>
        <w:snapToGrid w:val="0"/>
        <w:ind w:firstLine="422" w:firstLineChars="176"/>
        <w:rPr>
          <w:color w:val="auto"/>
          <w:highlight w:val="none"/>
          <w:u w:val="single"/>
        </w:rPr>
      </w:pPr>
      <w:r>
        <w:rPr>
          <w:rFonts w:hint="eastAsia"/>
          <w:color w:val="auto"/>
          <w:highlight w:val="none"/>
          <w:u w:val="single"/>
        </w:rPr>
        <w:t xml:space="preserve">（14）专项安全施工方案、安全防护措施开工前7天、一式四份； </w:t>
      </w:r>
    </w:p>
    <w:p w14:paraId="4D77390D">
      <w:pPr>
        <w:adjustRightInd w:val="0"/>
        <w:snapToGrid w:val="0"/>
        <w:ind w:firstLine="422" w:firstLineChars="176"/>
        <w:rPr>
          <w:color w:val="auto"/>
          <w:highlight w:val="none"/>
          <w:u w:val="single"/>
        </w:rPr>
      </w:pPr>
      <w:r>
        <w:rPr>
          <w:rFonts w:hint="eastAsia"/>
          <w:color w:val="auto"/>
          <w:highlight w:val="none"/>
          <w:u w:val="single"/>
        </w:rPr>
        <w:t xml:space="preserve">（15）现场试验室或委托试验室证明材料、接到开工令7天内； </w:t>
      </w:r>
    </w:p>
    <w:p w14:paraId="4545169A">
      <w:pPr>
        <w:adjustRightInd w:val="0"/>
        <w:snapToGrid w:val="0"/>
        <w:ind w:firstLine="422" w:firstLineChars="176"/>
        <w:rPr>
          <w:color w:val="auto"/>
          <w:highlight w:val="none"/>
          <w:u w:val="single"/>
        </w:rPr>
      </w:pPr>
      <w:r>
        <w:rPr>
          <w:rFonts w:hint="eastAsia"/>
          <w:color w:val="auto"/>
          <w:highlight w:val="none"/>
          <w:u w:val="single"/>
        </w:rPr>
        <w:t xml:space="preserve">（16）设备材料报验单、按进度 ； </w:t>
      </w:r>
    </w:p>
    <w:p w14:paraId="1ECB528D">
      <w:pPr>
        <w:adjustRightInd w:val="0"/>
        <w:snapToGrid w:val="0"/>
        <w:ind w:firstLine="422" w:firstLineChars="176"/>
        <w:rPr>
          <w:color w:val="auto"/>
          <w:highlight w:val="none"/>
          <w:u w:val="single"/>
        </w:rPr>
      </w:pPr>
      <w:r>
        <w:rPr>
          <w:rFonts w:hint="eastAsia"/>
          <w:color w:val="auto"/>
          <w:highlight w:val="none"/>
          <w:u w:val="single"/>
        </w:rPr>
        <w:t xml:space="preserve">（17）施工仪器报验表、开工前7天； </w:t>
      </w:r>
    </w:p>
    <w:p w14:paraId="6E6B0AC5">
      <w:pPr>
        <w:adjustRightInd w:val="0"/>
        <w:snapToGrid w:val="0"/>
        <w:ind w:firstLine="422" w:firstLineChars="176"/>
        <w:rPr>
          <w:color w:val="auto"/>
          <w:highlight w:val="none"/>
          <w:u w:val="single"/>
        </w:rPr>
      </w:pPr>
      <w:r>
        <w:rPr>
          <w:rFonts w:hint="eastAsia"/>
          <w:color w:val="auto"/>
          <w:highlight w:val="none"/>
          <w:u w:val="single"/>
        </w:rPr>
        <w:t xml:space="preserve">（18）施工放样报验单、分部工程开工前7天、一式四份； </w:t>
      </w:r>
    </w:p>
    <w:p w14:paraId="6896F34E">
      <w:pPr>
        <w:adjustRightInd w:val="0"/>
        <w:snapToGrid w:val="0"/>
        <w:ind w:firstLine="422" w:firstLineChars="176"/>
        <w:rPr>
          <w:color w:val="auto"/>
          <w:highlight w:val="none"/>
          <w:u w:val="single"/>
        </w:rPr>
      </w:pPr>
      <w:r>
        <w:rPr>
          <w:rFonts w:hint="eastAsia"/>
          <w:color w:val="auto"/>
          <w:highlight w:val="none"/>
          <w:u w:val="single"/>
        </w:rPr>
        <w:t xml:space="preserve">（19）施工测量成果报审单、开工前2天、一式四份； </w:t>
      </w:r>
    </w:p>
    <w:p w14:paraId="0AD203F5">
      <w:pPr>
        <w:adjustRightInd w:val="0"/>
        <w:snapToGrid w:val="0"/>
        <w:ind w:firstLine="422" w:firstLineChars="176"/>
        <w:rPr>
          <w:color w:val="auto"/>
          <w:highlight w:val="none"/>
          <w:u w:val="single"/>
        </w:rPr>
      </w:pPr>
      <w:r>
        <w:rPr>
          <w:rFonts w:hint="eastAsia"/>
          <w:color w:val="auto"/>
          <w:highlight w:val="none"/>
          <w:u w:val="single"/>
        </w:rPr>
        <w:t xml:space="preserve">（20）基础联合验收通知单、基础开挖符合设计要求后、一式四份； </w:t>
      </w:r>
    </w:p>
    <w:p w14:paraId="589E63EC">
      <w:pPr>
        <w:adjustRightInd w:val="0"/>
        <w:snapToGrid w:val="0"/>
        <w:ind w:firstLine="422" w:firstLineChars="176"/>
        <w:rPr>
          <w:color w:val="auto"/>
          <w:highlight w:val="none"/>
          <w:u w:val="single"/>
        </w:rPr>
      </w:pPr>
      <w:r>
        <w:rPr>
          <w:rFonts w:hint="eastAsia"/>
          <w:color w:val="auto"/>
          <w:highlight w:val="none"/>
          <w:u w:val="single"/>
        </w:rPr>
        <w:t xml:space="preserve">（21）隐蔽工程检查验收申请单、隐蔽前、一式四份； </w:t>
      </w:r>
    </w:p>
    <w:p w14:paraId="2B3BB591">
      <w:pPr>
        <w:adjustRightInd w:val="0"/>
        <w:snapToGrid w:val="0"/>
        <w:ind w:firstLine="422" w:firstLineChars="176"/>
        <w:rPr>
          <w:color w:val="auto"/>
          <w:highlight w:val="none"/>
          <w:u w:val="single"/>
        </w:rPr>
      </w:pPr>
      <w:r>
        <w:rPr>
          <w:rFonts w:hint="eastAsia"/>
          <w:color w:val="auto"/>
          <w:highlight w:val="none"/>
          <w:u w:val="single"/>
        </w:rPr>
        <w:t xml:space="preserve">（22）工程进度款申请书（并附工程量清单单价及价款计算表）、每月25日提供当月完成工程进度报表、一式四份； </w:t>
      </w:r>
    </w:p>
    <w:p w14:paraId="3A9919FD">
      <w:pPr>
        <w:adjustRightInd w:val="0"/>
        <w:snapToGrid w:val="0"/>
        <w:ind w:firstLine="422" w:firstLineChars="176"/>
        <w:rPr>
          <w:color w:val="auto"/>
          <w:highlight w:val="none"/>
          <w:u w:val="single"/>
        </w:rPr>
      </w:pPr>
      <w:r>
        <w:rPr>
          <w:rFonts w:hint="eastAsia"/>
          <w:color w:val="auto"/>
          <w:highlight w:val="none"/>
          <w:u w:val="single"/>
        </w:rPr>
        <w:t xml:space="preserve">（23）中间或竣工验收、符合验收前7天、份数按发包人相关规定； </w:t>
      </w:r>
    </w:p>
    <w:p w14:paraId="0671FD14">
      <w:pPr>
        <w:adjustRightInd w:val="0"/>
        <w:snapToGrid w:val="0"/>
        <w:ind w:firstLine="422" w:firstLineChars="176"/>
        <w:rPr>
          <w:color w:val="auto"/>
          <w:highlight w:val="none"/>
          <w:u w:val="single"/>
        </w:rPr>
      </w:pPr>
      <w:r>
        <w:rPr>
          <w:rFonts w:hint="eastAsia"/>
          <w:color w:val="auto"/>
          <w:highlight w:val="none"/>
          <w:u w:val="single"/>
        </w:rPr>
        <w:t>（24）交竣工资料、符合验收前7天、份数按发包人相关规定。</w:t>
      </w:r>
    </w:p>
    <w:p w14:paraId="2E805E73">
      <w:pPr>
        <w:adjustRightInd w:val="0"/>
        <w:snapToGrid w:val="0"/>
        <w:ind w:firstLine="422" w:firstLineChars="176"/>
        <w:rPr>
          <w:color w:val="auto"/>
          <w:highlight w:val="none"/>
        </w:rPr>
      </w:pPr>
      <w:r>
        <w:rPr>
          <w:rFonts w:hint="eastAsia"/>
          <w:color w:val="auto"/>
          <w:highlight w:val="none"/>
          <w:u w:val="single"/>
        </w:rPr>
        <w:t>（2</w:t>
      </w:r>
      <w:r>
        <w:rPr>
          <w:color w:val="auto"/>
          <w:highlight w:val="none"/>
          <w:u w:val="single"/>
        </w:rPr>
        <w:t>5</w:t>
      </w:r>
      <w:r>
        <w:rPr>
          <w:rFonts w:hint="eastAsia"/>
          <w:color w:val="auto"/>
          <w:highlight w:val="none"/>
          <w:u w:val="single"/>
        </w:rPr>
        <w:t>）其他文件根据需要及时提供，一式三份</w:t>
      </w:r>
      <w:r>
        <w:rPr>
          <w:rFonts w:hint="eastAsia"/>
          <w:color w:val="auto"/>
          <w:highlight w:val="none"/>
        </w:rPr>
        <w:t>。</w:t>
      </w:r>
    </w:p>
    <w:p w14:paraId="4D3A3920">
      <w:pPr>
        <w:adjustRightInd w:val="0"/>
        <w:snapToGrid w:val="0"/>
        <w:ind w:firstLine="422" w:firstLineChars="176"/>
        <w:rPr>
          <w:color w:val="auto"/>
          <w:highlight w:val="none"/>
          <w:u w:val="single"/>
        </w:rPr>
      </w:pPr>
      <w:r>
        <w:rPr>
          <w:rFonts w:hint="eastAsia"/>
          <w:color w:val="auto"/>
          <w:highlight w:val="none"/>
        </w:rPr>
        <w:t>承包人应提供的承包人文件的数量：</w:t>
      </w:r>
      <w:r>
        <w:rPr>
          <w:rFonts w:hint="eastAsia"/>
          <w:color w:val="auto"/>
          <w:highlight w:val="none"/>
          <w:u w:val="single"/>
        </w:rPr>
        <w:t>详见上述条款。</w:t>
      </w:r>
    </w:p>
    <w:p w14:paraId="483DAA8D">
      <w:pPr>
        <w:adjustRightInd w:val="0"/>
        <w:snapToGrid w:val="0"/>
        <w:ind w:firstLine="422" w:firstLineChars="176"/>
        <w:rPr>
          <w:color w:val="auto"/>
          <w:highlight w:val="none"/>
        </w:rPr>
      </w:pPr>
      <w:r>
        <w:rPr>
          <w:rFonts w:hint="eastAsia"/>
          <w:color w:val="auto"/>
          <w:highlight w:val="none"/>
        </w:rPr>
        <w:t>承包人应提供的承包人文件的形式：</w:t>
      </w:r>
      <w:r>
        <w:rPr>
          <w:rFonts w:hint="eastAsia"/>
          <w:color w:val="auto"/>
          <w:highlight w:val="none"/>
          <w:u w:val="single"/>
        </w:rPr>
        <w:t>书面</w:t>
      </w:r>
      <w:r>
        <w:rPr>
          <w:rFonts w:hint="eastAsia"/>
          <w:color w:val="auto"/>
          <w:highlight w:val="none"/>
        </w:rPr>
        <w:t>。</w:t>
      </w:r>
    </w:p>
    <w:p w14:paraId="1E058E1B">
      <w:pPr>
        <w:adjustRightInd w:val="0"/>
        <w:snapToGrid w:val="0"/>
        <w:ind w:firstLine="422" w:firstLineChars="176"/>
        <w:rPr>
          <w:color w:val="auto"/>
          <w:highlight w:val="none"/>
        </w:rPr>
      </w:pPr>
      <w:r>
        <w:rPr>
          <w:rFonts w:hint="eastAsia"/>
          <w:color w:val="auto"/>
          <w:highlight w:val="none"/>
        </w:rPr>
        <w:t>监理人审查承包人文件的期限：</w:t>
      </w:r>
      <w:r>
        <w:rPr>
          <w:rFonts w:hint="eastAsia"/>
          <w:color w:val="auto"/>
          <w:highlight w:val="none"/>
          <w:u w:val="single"/>
        </w:rPr>
        <w:t>收到承包人提供的文件后3天内</w:t>
      </w:r>
      <w:r>
        <w:rPr>
          <w:rFonts w:hint="eastAsia"/>
          <w:color w:val="auto"/>
          <w:highlight w:val="none"/>
        </w:rPr>
        <w:t>。</w:t>
      </w:r>
    </w:p>
    <w:p w14:paraId="3A048FE9">
      <w:pPr>
        <w:adjustRightInd w:val="0"/>
        <w:snapToGrid w:val="0"/>
        <w:ind w:firstLine="422" w:firstLineChars="176"/>
        <w:rPr>
          <w:color w:val="auto"/>
          <w:highlight w:val="none"/>
        </w:rPr>
      </w:pPr>
      <w:r>
        <w:rPr>
          <w:color w:val="auto"/>
          <w:highlight w:val="none"/>
        </w:rPr>
        <w:t>1.</w:t>
      </w:r>
      <w:r>
        <w:rPr>
          <w:rFonts w:hint="eastAsia"/>
          <w:color w:val="auto"/>
          <w:highlight w:val="none"/>
        </w:rPr>
        <w:t>5</w:t>
      </w:r>
      <w:r>
        <w:rPr>
          <w:color w:val="auto"/>
          <w:highlight w:val="none"/>
        </w:rPr>
        <w:t>.5 图纸和承包人文件的保管</w:t>
      </w:r>
    </w:p>
    <w:p w14:paraId="05F0E9C0">
      <w:pPr>
        <w:adjustRightInd w:val="0"/>
        <w:snapToGrid w:val="0"/>
        <w:ind w:firstLine="422" w:firstLineChars="176"/>
        <w:rPr>
          <w:color w:val="auto"/>
          <w:highlight w:val="none"/>
        </w:rPr>
      </w:pPr>
      <w:r>
        <w:rPr>
          <w:rFonts w:hint="eastAsia"/>
          <w:color w:val="auto"/>
          <w:highlight w:val="none"/>
        </w:rPr>
        <w:t>对</w:t>
      </w:r>
      <w:r>
        <w:rPr>
          <w:color w:val="auto"/>
          <w:highlight w:val="none"/>
        </w:rPr>
        <w:t>承包人在施工现场保存图纸和文件</w:t>
      </w:r>
      <w:r>
        <w:rPr>
          <w:rFonts w:hint="eastAsia"/>
          <w:color w:val="auto"/>
          <w:highlight w:val="none"/>
        </w:rPr>
        <w:t>的要求：</w:t>
      </w:r>
      <w:r>
        <w:rPr>
          <w:rFonts w:hint="eastAsia"/>
          <w:color w:val="auto"/>
          <w:highlight w:val="none"/>
          <w:u w:val="single"/>
        </w:rPr>
        <w:t>承包人应在施工现场另外保存一套完整的图纸和承包人文件（见1.5.4 承包人文件）</w:t>
      </w:r>
      <w:r>
        <w:rPr>
          <w:color w:val="auto"/>
          <w:highlight w:val="none"/>
        </w:rPr>
        <w:t>。</w:t>
      </w:r>
    </w:p>
    <w:p w14:paraId="7AF8479D">
      <w:pPr>
        <w:adjustRightInd w:val="0"/>
        <w:snapToGrid w:val="0"/>
        <w:ind w:firstLine="424" w:firstLineChars="176"/>
        <w:rPr>
          <w:b/>
          <w:color w:val="auto"/>
          <w:highlight w:val="none"/>
        </w:rPr>
      </w:pPr>
      <w:r>
        <w:rPr>
          <w:b/>
          <w:color w:val="auto"/>
          <w:highlight w:val="none"/>
        </w:rPr>
        <w:t>1.</w:t>
      </w:r>
      <w:r>
        <w:rPr>
          <w:rFonts w:hint="eastAsia"/>
          <w:b/>
          <w:color w:val="auto"/>
          <w:highlight w:val="none"/>
        </w:rPr>
        <w:t xml:space="preserve">9 </w:t>
      </w:r>
      <w:r>
        <w:rPr>
          <w:b/>
          <w:color w:val="auto"/>
          <w:highlight w:val="none"/>
        </w:rPr>
        <w:t>交通运输</w:t>
      </w:r>
    </w:p>
    <w:p w14:paraId="25DE6403">
      <w:pPr>
        <w:adjustRightInd w:val="0"/>
        <w:snapToGrid w:val="0"/>
        <w:ind w:firstLine="422" w:firstLineChars="176"/>
        <w:rPr>
          <w:color w:val="auto"/>
          <w:highlight w:val="none"/>
        </w:rPr>
      </w:pPr>
      <w:r>
        <w:rPr>
          <w:color w:val="auto"/>
          <w:highlight w:val="none"/>
        </w:rPr>
        <w:t>1.</w:t>
      </w:r>
      <w:r>
        <w:rPr>
          <w:rFonts w:hint="eastAsia"/>
          <w:color w:val="auto"/>
          <w:highlight w:val="none"/>
        </w:rPr>
        <w:t>9</w:t>
      </w:r>
      <w:r>
        <w:rPr>
          <w:color w:val="auto"/>
          <w:highlight w:val="none"/>
        </w:rPr>
        <w:t>.1</w:t>
      </w:r>
      <w:r>
        <w:rPr>
          <w:rFonts w:hint="eastAsia"/>
          <w:color w:val="auto"/>
          <w:highlight w:val="none"/>
        </w:rPr>
        <w:t xml:space="preserve"> 出入现场的权利</w:t>
      </w:r>
    </w:p>
    <w:p w14:paraId="0848B495">
      <w:pPr>
        <w:adjustRightInd w:val="0"/>
        <w:snapToGrid w:val="0"/>
        <w:ind w:firstLine="422" w:firstLineChars="176"/>
        <w:rPr>
          <w:color w:val="auto"/>
          <w:highlight w:val="none"/>
        </w:rPr>
      </w:pPr>
      <w:r>
        <w:rPr>
          <w:rFonts w:hint="eastAsia"/>
          <w:color w:val="auto"/>
          <w:highlight w:val="none"/>
        </w:rPr>
        <w:t>负责办理</w:t>
      </w:r>
      <w:r>
        <w:rPr>
          <w:color w:val="auto"/>
          <w:highlight w:val="none"/>
        </w:rPr>
        <w:t>出入</w:t>
      </w:r>
      <w:r>
        <w:rPr>
          <w:rFonts w:hint="eastAsia"/>
          <w:color w:val="auto"/>
          <w:highlight w:val="none"/>
        </w:rPr>
        <w:t>施工</w:t>
      </w:r>
      <w:r>
        <w:rPr>
          <w:color w:val="auto"/>
          <w:highlight w:val="none"/>
        </w:rPr>
        <w:t>现场</w:t>
      </w:r>
      <w:r>
        <w:rPr>
          <w:rFonts w:hint="eastAsia"/>
          <w:color w:val="auto"/>
          <w:highlight w:val="none"/>
        </w:rPr>
        <w:t>专用和临时道路通行权，取得为工程建设所需修建道路、桥梁及其他基础设施等场外设施的权利的</w:t>
      </w:r>
      <w:r>
        <w:rPr>
          <w:color w:val="auto"/>
          <w:highlight w:val="none"/>
        </w:rPr>
        <w:t>约定：</w:t>
      </w:r>
      <w:r>
        <w:rPr>
          <w:rFonts w:hint="eastAsia"/>
          <w:color w:val="auto"/>
          <w:highlight w:val="none"/>
          <w:u w:val="single"/>
        </w:rPr>
        <w:t>由承包人按照发包人要求负责取得出入施工现场所需的批准手续和全部权利</w:t>
      </w:r>
      <w:r>
        <w:rPr>
          <w:rFonts w:hint="eastAsia"/>
          <w:color w:val="auto"/>
          <w:highlight w:val="none"/>
        </w:rPr>
        <w:t>。</w:t>
      </w:r>
    </w:p>
    <w:p w14:paraId="282386CA">
      <w:pPr>
        <w:adjustRightInd w:val="0"/>
        <w:snapToGrid w:val="0"/>
        <w:ind w:firstLine="422" w:firstLineChars="176"/>
        <w:rPr>
          <w:color w:val="auto"/>
          <w:highlight w:val="none"/>
        </w:rPr>
      </w:pPr>
      <w:r>
        <w:rPr>
          <w:rFonts w:hint="eastAsia"/>
          <w:color w:val="auto"/>
          <w:highlight w:val="none"/>
        </w:rPr>
        <w:t>办理</w:t>
      </w:r>
      <w:r>
        <w:rPr>
          <w:color w:val="auto"/>
          <w:highlight w:val="none"/>
        </w:rPr>
        <w:t>出入</w:t>
      </w:r>
      <w:r>
        <w:rPr>
          <w:rFonts w:hint="eastAsia"/>
          <w:color w:val="auto"/>
          <w:highlight w:val="none"/>
        </w:rPr>
        <w:t>施工</w:t>
      </w:r>
      <w:r>
        <w:rPr>
          <w:color w:val="auto"/>
          <w:highlight w:val="none"/>
        </w:rPr>
        <w:t>现场</w:t>
      </w:r>
      <w:r>
        <w:rPr>
          <w:rFonts w:hint="eastAsia"/>
          <w:color w:val="auto"/>
          <w:highlight w:val="none"/>
        </w:rPr>
        <w:t>专用和临时道路通行权，取得为工程建设所需修建道路、桥梁及其他基础设施等场外设施权利所需费用的</w:t>
      </w:r>
      <w:r>
        <w:rPr>
          <w:color w:val="auto"/>
          <w:highlight w:val="none"/>
        </w:rPr>
        <w:t>约定：</w:t>
      </w:r>
      <w:r>
        <w:rPr>
          <w:rFonts w:hint="eastAsia"/>
          <w:color w:val="auto"/>
          <w:highlight w:val="none"/>
          <w:u w:val="single"/>
        </w:rPr>
        <w:t>发包人负责</w:t>
      </w:r>
      <w:r>
        <w:rPr>
          <w:rFonts w:hint="eastAsia"/>
          <w:color w:val="auto"/>
          <w:highlight w:val="none"/>
        </w:rPr>
        <w:t>。</w:t>
      </w:r>
    </w:p>
    <w:p w14:paraId="5F1952EB">
      <w:pPr>
        <w:adjustRightInd w:val="0"/>
        <w:snapToGrid w:val="0"/>
        <w:ind w:firstLine="422" w:firstLineChars="176"/>
        <w:rPr>
          <w:color w:val="auto"/>
          <w:highlight w:val="none"/>
        </w:rPr>
      </w:pPr>
      <w:r>
        <w:rPr>
          <w:color w:val="auto"/>
          <w:highlight w:val="none"/>
        </w:rPr>
        <w:t>1.</w:t>
      </w:r>
      <w:r>
        <w:rPr>
          <w:rFonts w:hint="eastAsia"/>
          <w:color w:val="auto"/>
          <w:highlight w:val="none"/>
        </w:rPr>
        <w:t>9</w:t>
      </w:r>
      <w:r>
        <w:rPr>
          <w:color w:val="auto"/>
          <w:highlight w:val="none"/>
        </w:rPr>
        <w:t>.3</w:t>
      </w:r>
      <w:r>
        <w:rPr>
          <w:rFonts w:hint="eastAsia"/>
          <w:color w:val="auto"/>
          <w:highlight w:val="none"/>
        </w:rPr>
        <w:t xml:space="preserve"> </w:t>
      </w:r>
      <w:r>
        <w:rPr>
          <w:color w:val="auto"/>
          <w:highlight w:val="none"/>
        </w:rPr>
        <w:t>场内</w:t>
      </w:r>
      <w:r>
        <w:rPr>
          <w:rFonts w:hint="eastAsia"/>
          <w:color w:val="auto"/>
          <w:highlight w:val="none"/>
        </w:rPr>
        <w:t>交通</w:t>
      </w:r>
    </w:p>
    <w:p w14:paraId="7AFE35C6">
      <w:pPr>
        <w:adjustRightInd w:val="0"/>
        <w:snapToGrid w:val="0"/>
        <w:ind w:firstLine="422" w:firstLineChars="176"/>
        <w:rPr>
          <w:color w:val="auto"/>
          <w:highlight w:val="none"/>
        </w:rPr>
      </w:pPr>
      <w:r>
        <w:rPr>
          <w:rFonts w:hint="eastAsia"/>
          <w:color w:val="auto"/>
          <w:highlight w:val="none"/>
        </w:rPr>
        <w:t>发包人</w:t>
      </w:r>
      <w:r>
        <w:rPr>
          <w:color w:val="auto"/>
          <w:highlight w:val="none"/>
        </w:rPr>
        <w:t>向承包人免费提供满足工程施工需要的场内道路和交通设施</w:t>
      </w:r>
      <w:r>
        <w:rPr>
          <w:rFonts w:hint="eastAsia"/>
          <w:color w:val="auto"/>
          <w:highlight w:val="none"/>
        </w:rPr>
        <w:t>的约定：</w:t>
      </w:r>
      <w:r>
        <w:rPr>
          <w:rFonts w:hint="eastAsia"/>
          <w:color w:val="auto"/>
          <w:highlight w:val="none"/>
          <w:u w:val="single"/>
        </w:rPr>
        <w:t>厂内已建设的道路和交通设施</w:t>
      </w:r>
      <w:r>
        <w:rPr>
          <w:rFonts w:hint="eastAsia"/>
          <w:color w:val="auto"/>
          <w:highlight w:val="none"/>
        </w:rPr>
        <w:t>。</w:t>
      </w:r>
    </w:p>
    <w:p w14:paraId="7C665C2D">
      <w:pPr>
        <w:adjustRightInd w:val="0"/>
        <w:snapToGrid w:val="0"/>
        <w:ind w:firstLine="422" w:firstLineChars="176"/>
        <w:rPr>
          <w:color w:val="auto"/>
          <w:highlight w:val="none"/>
        </w:rPr>
      </w:pPr>
      <w:r>
        <w:rPr>
          <w:rFonts w:hint="eastAsia"/>
          <w:color w:val="auto"/>
          <w:highlight w:val="none"/>
        </w:rPr>
        <w:t>发包人提供的场内公用道路和交通设施的维修、养护和管理的责任和所需费用的约定：</w:t>
      </w:r>
      <w:r>
        <w:rPr>
          <w:rFonts w:hint="eastAsia"/>
          <w:color w:val="auto"/>
          <w:highlight w:val="none"/>
          <w:u w:val="single"/>
        </w:rPr>
        <w:t>承包人负责并承担相应的费用</w:t>
      </w:r>
      <w:r>
        <w:rPr>
          <w:rFonts w:hint="eastAsia"/>
          <w:color w:val="auto"/>
          <w:highlight w:val="none"/>
        </w:rPr>
        <w:t>。</w:t>
      </w:r>
    </w:p>
    <w:p w14:paraId="46ADDFC6">
      <w:pPr>
        <w:adjustRightInd w:val="0"/>
        <w:snapToGrid w:val="0"/>
        <w:ind w:firstLine="480" w:firstLineChars="200"/>
        <w:rPr>
          <w:color w:val="auto"/>
          <w:highlight w:val="none"/>
        </w:rPr>
      </w:pPr>
      <w:r>
        <w:rPr>
          <w:color w:val="auto"/>
          <w:highlight w:val="none"/>
        </w:rPr>
        <w:t>场内</w:t>
      </w:r>
      <w:r>
        <w:rPr>
          <w:rFonts w:hint="eastAsia"/>
          <w:color w:val="auto"/>
          <w:highlight w:val="none"/>
        </w:rPr>
        <w:t>施工所需其他临时</w:t>
      </w:r>
      <w:r>
        <w:rPr>
          <w:color w:val="auto"/>
          <w:highlight w:val="none"/>
        </w:rPr>
        <w:t>道路和交通设施的</w:t>
      </w:r>
      <w:r>
        <w:rPr>
          <w:rFonts w:hint="eastAsia"/>
          <w:color w:val="auto"/>
          <w:highlight w:val="none"/>
        </w:rPr>
        <w:t>修建、维修、养护、管理及费用的</w:t>
      </w:r>
      <w:r>
        <w:rPr>
          <w:color w:val="auto"/>
          <w:highlight w:val="none"/>
        </w:rPr>
        <w:t>约定</w:t>
      </w:r>
      <w:r>
        <w:rPr>
          <w:rFonts w:hint="eastAsia"/>
          <w:color w:val="auto"/>
          <w:highlight w:val="none"/>
        </w:rPr>
        <w:t>:</w:t>
      </w:r>
      <w:r>
        <w:rPr>
          <w:rFonts w:hint="eastAsia"/>
          <w:color w:val="auto"/>
          <w:highlight w:val="none"/>
          <w:u w:val="single"/>
        </w:rPr>
        <w:t>承包人负责并承担相应的费用</w:t>
      </w:r>
      <w:r>
        <w:rPr>
          <w:rFonts w:hint="eastAsia"/>
          <w:color w:val="auto"/>
          <w:highlight w:val="none"/>
        </w:rPr>
        <w:t>。</w:t>
      </w:r>
    </w:p>
    <w:p w14:paraId="276C9B16">
      <w:pPr>
        <w:adjustRightInd w:val="0"/>
        <w:snapToGrid w:val="0"/>
        <w:ind w:firstLine="422" w:firstLineChars="176"/>
        <w:rPr>
          <w:color w:val="auto"/>
          <w:highlight w:val="none"/>
        </w:rPr>
      </w:pPr>
      <w:r>
        <w:rPr>
          <w:color w:val="auto"/>
          <w:highlight w:val="none"/>
        </w:rPr>
        <w:t>场外交通和场内交通的边界</w:t>
      </w:r>
      <w:r>
        <w:rPr>
          <w:rFonts w:hint="eastAsia"/>
          <w:color w:val="auto"/>
          <w:highlight w:val="none"/>
        </w:rPr>
        <w:t>的</w:t>
      </w:r>
      <w:r>
        <w:rPr>
          <w:color w:val="auto"/>
          <w:highlight w:val="none"/>
        </w:rPr>
        <w:t>约定：</w:t>
      </w:r>
      <w:r>
        <w:rPr>
          <w:rFonts w:hint="eastAsia"/>
          <w:color w:val="auto"/>
          <w:highlight w:val="none"/>
          <w:u w:val="single"/>
        </w:rPr>
        <w:t>以本装置红线为界</w:t>
      </w:r>
      <w:r>
        <w:rPr>
          <w:rFonts w:hint="eastAsia"/>
          <w:color w:val="auto"/>
          <w:highlight w:val="none"/>
        </w:rPr>
        <w:t>。</w:t>
      </w:r>
    </w:p>
    <w:p w14:paraId="3A1C37C0">
      <w:pPr>
        <w:adjustRightInd w:val="0"/>
        <w:snapToGrid w:val="0"/>
        <w:ind w:firstLine="422" w:firstLineChars="176"/>
        <w:rPr>
          <w:color w:val="auto"/>
          <w:highlight w:val="none"/>
        </w:rPr>
      </w:pPr>
      <w:r>
        <w:rPr>
          <w:color w:val="auto"/>
          <w:highlight w:val="none"/>
        </w:rPr>
        <w:t>1.</w:t>
      </w:r>
      <w:r>
        <w:rPr>
          <w:rFonts w:hint="eastAsia"/>
          <w:color w:val="auto"/>
          <w:highlight w:val="none"/>
        </w:rPr>
        <w:t>9</w:t>
      </w:r>
      <w:r>
        <w:rPr>
          <w:color w:val="auto"/>
          <w:highlight w:val="none"/>
        </w:rPr>
        <w:t>.4</w:t>
      </w:r>
      <w:r>
        <w:rPr>
          <w:rFonts w:hint="eastAsia"/>
          <w:color w:val="auto"/>
          <w:highlight w:val="none"/>
        </w:rPr>
        <w:t xml:space="preserve"> </w:t>
      </w:r>
      <w:r>
        <w:rPr>
          <w:color w:val="auto"/>
          <w:highlight w:val="none"/>
        </w:rPr>
        <w:t>超大件和超重件的运输</w:t>
      </w:r>
    </w:p>
    <w:p w14:paraId="60E17BE6">
      <w:pPr>
        <w:adjustRightInd w:val="0"/>
        <w:snapToGrid w:val="0"/>
        <w:ind w:firstLine="422" w:firstLineChars="176"/>
        <w:rPr>
          <w:color w:val="auto"/>
          <w:highlight w:val="none"/>
        </w:rPr>
      </w:pPr>
      <w:r>
        <w:rPr>
          <w:color w:val="auto"/>
          <w:highlight w:val="none"/>
        </w:rPr>
        <w:t>运输超大件或超重件所需的道路和桥梁临时加固改造费用和其他有关费用</w:t>
      </w:r>
      <w:r>
        <w:rPr>
          <w:rFonts w:hint="eastAsia"/>
          <w:color w:val="auto"/>
          <w:highlight w:val="none"/>
          <w:u w:val="single"/>
        </w:rPr>
        <w:t xml:space="preserve">       </w:t>
      </w:r>
      <w:r>
        <w:rPr>
          <w:color w:val="auto"/>
          <w:highlight w:val="none"/>
        </w:rPr>
        <w:t>由</w:t>
      </w:r>
      <w:r>
        <w:rPr>
          <w:rFonts w:hint="eastAsia"/>
          <w:color w:val="auto"/>
          <w:highlight w:val="none"/>
          <w:u w:val="single"/>
        </w:rPr>
        <w:t>承包人</w:t>
      </w:r>
      <w:r>
        <w:rPr>
          <w:color w:val="auto"/>
          <w:highlight w:val="none"/>
        </w:rPr>
        <w:t>承担。</w:t>
      </w:r>
    </w:p>
    <w:p w14:paraId="5E19AB5E">
      <w:pPr>
        <w:adjustRightInd w:val="0"/>
        <w:snapToGrid w:val="0"/>
        <w:ind w:firstLine="424" w:firstLineChars="176"/>
        <w:rPr>
          <w:b/>
          <w:color w:val="auto"/>
          <w:highlight w:val="none"/>
        </w:rPr>
      </w:pPr>
      <w:r>
        <w:rPr>
          <w:b/>
          <w:color w:val="auto"/>
          <w:highlight w:val="none"/>
        </w:rPr>
        <w:t>1.1</w:t>
      </w:r>
      <w:r>
        <w:rPr>
          <w:rFonts w:hint="eastAsia"/>
          <w:b/>
          <w:color w:val="auto"/>
          <w:highlight w:val="none"/>
        </w:rPr>
        <w:t xml:space="preserve">0 </w:t>
      </w:r>
      <w:r>
        <w:rPr>
          <w:b/>
          <w:color w:val="auto"/>
          <w:highlight w:val="none"/>
        </w:rPr>
        <w:t xml:space="preserve">知识产权 </w:t>
      </w:r>
    </w:p>
    <w:p w14:paraId="27E4E5B7">
      <w:pPr>
        <w:adjustRightInd w:val="0"/>
        <w:snapToGrid w:val="0"/>
        <w:ind w:firstLine="422" w:firstLineChars="176"/>
        <w:rPr>
          <w:color w:val="auto"/>
          <w:highlight w:val="none"/>
        </w:rPr>
      </w:pPr>
      <w:r>
        <w:rPr>
          <w:color w:val="auto"/>
          <w:highlight w:val="none"/>
        </w:rPr>
        <w:t>1.1</w:t>
      </w:r>
      <w:r>
        <w:rPr>
          <w:rFonts w:hint="eastAsia"/>
          <w:color w:val="auto"/>
          <w:highlight w:val="none"/>
        </w:rPr>
        <w:t>0</w:t>
      </w:r>
      <w:r>
        <w:rPr>
          <w:color w:val="auto"/>
          <w:highlight w:val="none"/>
        </w:rPr>
        <w:t>.1发包人提供给承包人的图纸、发包人为实施工程自行编制或委托编制的技术规范以及反映发包人要求</w:t>
      </w:r>
      <w:r>
        <w:rPr>
          <w:rFonts w:hint="eastAsia"/>
          <w:color w:val="auto"/>
          <w:highlight w:val="none"/>
        </w:rPr>
        <w:t>的</w:t>
      </w:r>
      <w:r>
        <w:rPr>
          <w:color w:val="auto"/>
          <w:highlight w:val="none"/>
        </w:rPr>
        <w:t>或其他类似性质文件的著作权</w:t>
      </w:r>
      <w:r>
        <w:rPr>
          <w:rFonts w:hint="eastAsia"/>
          <w:color w:val="auto"/>
          <w:highlight w:val="none"/>
        </w:rPr>
        <w:t>的</w:t>
      </w:r>
      <w:r>
        <w:rPr>
          <w:color w:val="auto"/>
          <w:highlight w:val="none"/>
        </w:rPr>
        <w:t>归属：</w:t>
      </w:r>
      <w:r>
        <w:rPr>
          <w:rFonts w:hint="eastAsia"/>
          <w:color w:val="auto"/>
          <w:highlight w:val="none"/>
          <w:u w:val="single"/>
        </w:rPr>
        <w:t>归发包人</w:t>
      </w:r>
      <w:r>
        <w:rPr>
          <w:color w:val="auto"/>
          <w:highlight w:val="none"/>
        </w:rPr>
        <w:t>。</w:t>
      </w:r>
    </w:p>
    <w:p w14:paraId="104FFDD1">
      <w:pPr>
        <w:adjustRightInd w:val="0"/>
        <w:snapToGrid w:val="0"/>
        <w:ind w:firstLine="422" w:firstLineChars="176"/>
        <w:rPr>
          <w:color w:val="auto"/>
          <w:highlight w:val="none"/>
        </w:rPr>
      </w:pPr>
      <w:r>
        <w:rPr>
          <w:color w:val="auto"/>
          <w:highlight w:val="none"/>
        </w:rPr>
        <w:t>发包人提供上述文件的使用限制要求：</w:t>
      </w:r>
      <w:r>
        <w:rPr>
          <w:rFonts w:hint="eastAsia"/>
          <w:color w:val="auto"/>
          <w:highlight w:val="none"/>
          <w:u w:val="single"/>
        </w:rPr>
        <w:t>仅适用于本工程</w:t>
      </w:r>
      <w:r>
        <w:rPr>
          <w:color w:val="auto"/>
          <w:highlight w:val="none"/>
        </w:rPr>
        <w:t>。</w:t>
      </w:r>
      <w:r>
        <w:rPr>
          <w:rFonts w:hint="eastAsia"/>
          <w:color w:val="auto"/>
          <w:highlight w:val="none"/>
        </w:rPr>
        <w:t xml:space="preserve"> </w:t>
      </w:r>
    </w:p>
    <w:p w14:paraId="733C6D7B">
      <w:pPr>
        <w:adjustRightInd w:val="0"/>
        <w:snapToGrid w:val="0"/>
        <w:ind w:firstLine="422" w:firstLineChars="176"/>
        <w:rPr>
          <w:color w:val="auto"/>
          <w:highlight w:val="none"/>
        </w:rPr>
      </w:pPr>
      <w:r>
        <w:rPr>
          <w:color w:val="auto"/>
          <w:highlight w:val="none"/>
        </w:rPr>
        <w:t>1.1</w:t>
      </w:r>
      <w:r>
        <w:rPr>
          <w:rFonts w:hint="eastAsia"/>
          <w:color w:val="auto"/>
          <w:highlight w:val="none"/>
        </w:rPr>
        <w:t>0</w:t>
      </w:r>
      <w:r>
        <w:rPr>
          <w:color w:val="auto"/>
          <w:highlight w:val="none"/>
        </w:rPr>
        <w:t>.2 承包人为实施工程所编制文件著作权的归属：</w:t>
      </w:r>
      <w:r>
        <w:rPr>
          <w:rFonts w:hint="eastAsia"/>
          <w:color w:val="auto"/>
          <w:highlight w:val="none"/>
          <w:u w:val="single"/>
        </w:rPr>
        <w:t>除署名权以外归属发包人</w:t>
      </w:r>
      <w:r>
        <w:rPr>
          <w:color w:val="auto"/>
          <w:highlight w:val="none"/>
        </w:rPr>
        <w:t>。</w:t>
      </w:r>
    </w:p>
    <w:p w14:paraId="70794074">
      <w:pPr>
        <w:adjustRightInd w:val="0"/>
        <w:snapToGrid w:val="0"/>
        <w:ind w:firstLine="422" w:firstLineChars="176"/>
        <w:rPr>
          <w:color w:val="auto"/>
          <w:highlight w:val="none"/>
        </w:rPr>
      </w:pPr>
      <w:r>
        <w:rPr>
          <w:color w:val="auto"/>
          <w:highlight w:val="none"/>
        </w:rPr>
        <w:t>承包人提供的上述文件的使用限制要求：</w:t>
      </w:r>
      <w:r>
        <w:rPr>
          <w:rFonts w:hint="eastAsia"/>
          <w:color w:val="auto"/>
          <w:highlight w:val="none"/>
          <w:u w:val="single"/>
        </w:rPr>
        <w:t>仅适用于本工程</w:t>
      </w:r>
      <w:r>
        <w:rPr>
          <w:color w:val="auto"/>
          <w:highlight w:val="none"/>
        </w:rPr>
        <w:t>。</w:t>
      </w:r>
    </w:p>
    <w:p w14:paraId="1ABBB060">
      <w:pPr>
        <w:adjustRightInd w:val="0"/>
        <w:snapToGrid w:val="0"/>
        <w:ind w:firstLine="422" w:firstLineChars="176"/>
        <w:rPr>
          <w:color w:val="auto"/>
          <w:highlight w:val="none"/>
        </w:rPr>
      </w:pPr>
      <w:r>
        <w:rPr>
          <w:color w:val="auto"/>
          <w:highlight w:val="none"/>
        </w:rPr>
        <w:t>1.1</w:t>
      </w:r>
      <w:r>
        <w:rPr>
          <w:rFonts w:hint="eastAsia"/>
          <w:color w:val="auto"/>
          <w:highlight w:val="none"/>
        </w:rPr>
        <w:t>0</w:t>
      </w:r>
      <w:r>
        <w:rPr>
          <w:color w:val="auto"/>
          <w:highlight w:val="none"/>
        </w:rPr>
        <w:t>.4</w:t>
      </w:r>
      <w:r>
        <w:rPr>
          <w:rFonts w:hint="eastAsia"/>
          <w:color w:val="auto"/>
          <w:highlight w:val="none"/>
        </w:rPr>
        <w:t>承包人在施工过程中所采用的专利、专有技术、技术秘密使用费的承担方式：</w:t>
      </w:r>
      <w:r>
        <w:rPr>
          <w:rFonts w:hint="eastAsia"/>
          <w:color w:val="auto"/>
          <w:highlight w:val="none"/>
          <w:u w:val="single"/>
        </w:rPr>
        <w:t>由承包人承担</w:t>
      </w:r>
      <w:r>
        <w:rPr>
          <w:rFonts w:hint="eastAsia"/>
          <w:color w:val="auto"/>
          <w:highlight w:val="none"/>
        </w:rPr>
        <w:t>。</w:t>
      </w:r>
    </w:p>
    <w:p w14:paraId="3443E097">
      <w:pPr>
        <w:keepNext/>
        <w:keepLines/>
        <w:adjustRightInd w:val="0"/>
        <w:snapToGrid w:val="0"/>
        <w:outlineLvl w:val="1"/>
        <w:rPr>
          <w:rFonts w:ascii="Arial"/>
          <w:b/>
          <w:bCs/>
          <w:color w:val="auto"/>
          <w:szCs w:val="32"/>
          <w:highlight w:val="none"/>
        </w:rPr>
      </w:pPr>
      <w:bookmarkStart w:id="856" w:name="_Toc32210"/>
      <w:bookmarkStart w:id="857" w:name="_Toc570579467"/>
      <w:bookmarkStart w:id="858" w:name="_Toc402863553"/>
      <w:bookmarkStart w:id="859" w:name="_Toc32101"/>
      <w:bookmarkStart w:id="860" w:name="_Toc1228146744"/>
      <w:bookmarkStart w:id="861" w:name="_Toc119953745"/>
      <w:bookmarkStart w:id="862" w:name="_Toc256000078"/>
      <w:bookmarkStart w:id="863" w:name="_Toc90117802"/>
      <w:r>
        <w:rPr>
          <w:rFonts w:ascii="Arial"/>
          <w:b/>
          <w:bCs/>
          <w:color w:val="auto"/>
          <w:szCs w:val="32"/>
          <w:highlight w:val="none"/>
        </w:rPr>
        <w:t>2. 发包人</w:t>
      </w:r>
      <w:bookmarkEnd w:id="856"/>
      <w:bookmarkEnd w:id="857"/>
      <w:bookmarkEnd w:id="858"/>
      <w:bookmarkEnd w:id="859"/>
      <w:bookmarkEnd w:id="860"/>
      <w:bookmarkEnd w:id="861"/>
      <w:bookmarkEnd w:id="862"/>
      <w:bookmarkEnd w:id="863"/>
    </w:p>
    <w:p w14:paraId="603CDE1C">
      <w:pPr>
        <w:adjustRightInd w:val="0"/>
        <w:snapToGrid w:val="0"/>
        <w:ind w:firstLine="482" w:firstLineChars="200"/>
        <w:rPr>
          <w:b/>
          <w:color w:val="auto"/>
          <w:highlight w:val="none"/>
        </w:rPr>
      </w:pPr>
      <w:r>
        <w:rPr>
          <w:b/>
          <w:color w:val="auto"/>
          <w:highlight w:val="none"/>
        </w:rPr>
        <w:t>2.2 发包人代表</w:t>
      </w:r>
    </w:p>
    <w:p w14:paraId="0BA6F5E2">
      <w:pPr>
        <w:adjustRightInd w:val="0"/>
        <w:snapToGrid w:val="0"/>
        <w:ind w:firstLine="480" w:firstLineChars="200"/>
        <w:rPr>
          <w:color w:val="auto"/>
          <w:highlight w:val="none"/>
        </w:rPr>
      </w:pPr>
      <w:r>
        <w:rPr>
          <w:color w:val="auto"/>
          <w:highlight w:val="none"/>
        </w:rPr>
        <w:t>发包人代表：</w:t>
      </w:r>
    </w:p>
    <w:p w14:paraId="7E1802E4">
      <w:pPr>
        <w:adjustRightInd w:val="0"/>
        <w:snapToGrid w:val="0"/>
        <w:ind w:firstLine="480" w:firstLineChars="200"/>
        <w:rPr>
          <w:color w:val="auto"/>
          <w:highlight w:val="none"/>
        </w:rPr>
      </w:pPr>
      <w:r>
        <w:rPr>
          <w:color w:val="auto"/>
          <w:highlight w:val="none"/>
        </w:rPr>
        <w:t>姓    名：</w:t>
      </w:r>
      <w:r>
        <w:rPr>
          <w:rFonts w:hint="eastAsia"/>
          <w:color w:val="auto"/>
          <w:highlight w:val="none"/>
          <w:u w:val="single"/>
          <w:lang w:val="en-US" w:eastAsia="zh-CN"/>
        </w:rPr>
        <w:t xml:space="preserve">                </w:t>
      </w:r>
      <w:r>
        <w:rPr>
          <w:color w:val="auto"/>
          <w:highlight w:val="none"/>
        </w:rPr>
        <w:t>；</w:t>
      </w:r>
    </w:p>
    <w:p w14:paraId="4592B8FD">
      <w:pPr>
        <w:adjustRightInd w:val="0"/>
        <w:snapToGrid w:val="0"/>
        <w:ind w:firstLine="480" w:firstLineChars="200"/>
        <w:rPr>
          <w:color w:val="auto"/>
          <w:highlight w:val="none"/>
        </w:rPr>
      </w:pPr>
      <w:r>
        <w:rPr>
          <w:color w:val="auto"/>
          <w:highlight w:val="none"/>
        </w:rPr>
        <w:t>身份证号：</w:t>
      </w:r>
      <w:r>
        <w:rPr>
          <w:color w:val="auto"/>
          <w:highlight w:val="none"/>
          <w:u w:val="single"/>
        </w:rPr>
        <w:t></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w:t>
      </w:r>
      <w:r>
        <w:rPr>
          <w:rFonts w:hint="eastAsia"/>
          <w:color w:val="auto"/>
          <w:highlight w:val="none"/>
          <w:u w:val="single"/>
          <w:lang w:val="en-US" w:eastAsia="zh-CN"/>
        </w:rPr>
        <w:t xml:space="preserve"> </w:t>
      </w:r>
      <w:r>
        <w:rPr>
          <w:color w:val="auto"/>
          <w:highlight w:val="none"/>
          <w:u w:val="single"/>
        </w:rPr>
        <w:t></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w:t>
      </w:r>
    </w:p>
    <w:p w14:paraId="1EDAE63D">
      <w:pPr>
        <w:adjustRightInd w:val="0"/>
        <w:snapToGrid w:val="0"/>
        <w:ind w:firstLine="480" w:firstLineChars="200"/>
        <w:rPr>
          <w:color w:val="auto"/>
          <w:highlight w:val="none"/>
        </w:rPr>
      </w:pPr>
      <w:r>
        <w:rPr>
          <w:color w:val="auto"/>
          <w:highlight w:val="none"/>
        </w:rPr>
        <w:t xml:space="preserve">职    </w:t>
      </w:r>
      <w:r>
        <w:rPr>
          <w:rFonts w:hint="eastAsia"/>
          <w:color w:val="auto"/>
          <w:highlight w:val="none"/>
        </w:rPr>
        <w:t>务</w:t>
      </w:r>
      <w:r>
        <w:rPr>
          <w:color w:val="auto"/>
          <w:highlight w:val="none"/>
        </w:rPr>
        <w:t>：</w:t>
      </w:r>
      <w:r>
        <w:rPr>
          <w:color w:val="auto"/>
          <w:highlight w:val="none"/>
          <w:u w:val="single"/>
        </w:rPr>
        <w:t></w:t>
      </w:r>
      <w:r>
        <w:rPr>
          <w:rFonts w:hint="eastAsia"/>
          <w:color w:val="auto"/>
          <w:highlight w:val="none"/>
          <w:u w:val="single"/>
          <w:lang w:val="en-US" w:eastAsia="zh-CN"/>
        </w:rPr>
        <w:t xml:space="preserve">             </w:t>
      </w:r>
      <w:r>
        <w:rPr>
          <w:color w:val="auto"/>
          <w:highlight w:val="none"/>
          <w:u w:val="single"/>
        </w:rPr>
        <w:t></w:t>
      </w:r>
      <w:r>
        <w:rPr>
          <w:color w:val="auto"/>
          <w:highlight w:val="none"/>
        </w:rPr>
        <w:t>；</w:t>
      </w:r>
    </w:p>
    <w:p w14:paraId="0D462EFD">
      <w:pPr>
        <w:adjustRightInd w:val="0"/>
        <w:snapToGrid w:val="0"/>
        <w:ind w:firstLine="480" w:firstLineChars="200"/>
        <w:rPr>
          <w:color w:val="auto"/>
          <w:highlight w:val="none"/>
        </w:rPr>
      </w:pPr>
      <w:r>
        <w:rPr>
          <w:color w:val="auto"/>
          <w:highlight w:val="none"/>
        </w:rPr>
        <w:t>联系电话：</w:t>
      </w:r>
      <w:r>
        <w:rPr>
          <w:rFonts w:hint="eastAsia"/>
          <w:color w:val="auto"/>
          <w:highlight w:val="none"/>
          <w:u w:val="single"/>
          <w:lang w:val="en-US" w:eastAsia="zh-CN"/>
        </w:rPr>
        <w:t xml:space="preserve">               </w:t>
      </w:r>
      <w:r>
        <w:rPr>
          <w:color w:val="auto"/>
          <w:highlight w:val="none"/>
          <w:u w:val="single"/>
        </w:rPr>
        <w:t></w:t>
      </w:r>
      <w:r>
        <w:rPr>
          <w:color w:val="auto"/>
          <w:highlight w:val="none"/>
        </w:rPr>
        <w:t>；</w:t>
      </w:r>
    </w:p>
    <w:p w14:paraId="378868FA">
      <w:pPr>
        <w:adjustRightInd w:val="0"/>
        <w:snapToGrid w:val="0"/>
        <w:ind w:firstLine="480" w:firstLineChars="200"/>
        <w:rPr>
          <w:color w:val="auto"/>
          <w:highlight w:val="none"/>
        </w:rPr>
      </w:pPr>
      <w:r>
        <w:rPr>
          <w:color w:val="auto"/>
          <w:highlight w:val="none"/>
        </w:rPr>
        <w:t>电子信箱：</w:t>
      </w:r>
      <w:r>
        <w:rPr>
          <w:color w:val="auto"/>
          <w:highlight w:val="none"/>
          <w:u w:val="single"/>
        </w:rPr>
        <w:t></w:t>
      </w:r>
      <w:r>
        <w:rPr>
          <w:rFonts w:hint="eastAsia"/>
          <w:color w:val="auto"/>
          <w:highlight w:val="none"/>
          <w:u w:val="single"/>
        </w:rPr>
        <w:t xml:space="preserve">   </w:t>
      </w:r>
      <w:r>
        <w:rPr>
          <w:rFonts w:hint="eastAsia" w:cs="Times New Roman"/>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color w:val="auto"/>
          <w:highlight w:val="none"/>
        </w:rPr>
        <w:t>；</w:t>
      </w:r>
    </w:p>
    <w:p w14:paraId="06A98953">
      <w:pPr>
        <w:adjustRightInd w:val="0"/>
        <w:snapToGrid w:val="0"/>
        <w:ind w:firstLine="480" w:firstLineChars="200"/>
        <w:rPr>
          <w:color w:val="auto"/>
          <w:highlight w:val="none"/>
        </w:rPr>
      </w:pPr>
      <w:r>
        <w:rPr>
          <w:color w:val="auto"/>
          <w:highlight w:val="none"/>
        </w:rPr>
        <w:t>通信地址：</w:t>
      </w:r>
      <w:r>
        <w:rPr>
          <w:rFonts w:hint="eastAsia"/>
          <w:color w:val="auto"/>
          <w:highlight w:val="none"/>
          <w:u w:val="single"/>
          <w:lang w:val="en-US" w:eastAsia="zh-CN"/>
        </w:rPr>
        <w:t xml:space="preserve">               </w:t>
      </w:r>
      <w:r>
        <w:rPr>
          <w:rFonts w:hint="eastAsia" w:ascii="Times New Roman" w:hAnsi="Times New Roman" w:eastAsia="宋体" w:cs="Times New Roman"/>
          <w:color w:val="auto"/>
          <w:highlight w:val="none"/>
          <w:u w:val="single"/>
          <w:lang w:val="en-US" w:eastAsia="zh-CN"/>
        </w:rPr>
        <w:t xml:space="preserve">  </w:t>
      </w:r>
      <w:r>
        <w:rPr>
          <w:color w:val="auto"/>
          <w:highlight w:val="none"/>
        </w:rPr>
        <w:t>。</w:t>
      </w:r>
    </w:p>
    <w:p w14:paraId="23CC564F">
      <w:pPr>
        <w:adjustRightInd w:val="0"/>
        <w:snapToGrid w:val="0"/>
        <w:ind w:firstLine="480" w:firstLineChars="200"/>
        <w:rPr>
          <w:color w:val="auto"/>
          <w:highlight w:val="none"/>
          <w:u w:val="single"/>
        </w:rPr>
      </w:pPr>
      <w:r>
        <w:rPr>
          <w:color w:val="auto"/>
          <w:highlight w:val="none"/>
        </w:rPr>
        <w:t>发包人对发包人代表的授权范围如下：</w:t>
      </w:r>
      <w:r>
        <w:rPr>
          <w:rFonts w:hint="eastAsia"/>
          <w:color w:val="auto"/>
          <w:highlight w:val="none"/>
          <w:u w:val="single"/>
        </w:rPr>
        <w:t>发包人代表对工程自设计准备至竣工验收，实施全过程、全面管理。其工作是依照法律、法规以及有关标准及规范、本合同和设计文件，进行工程质量、进度、投资的目标控制，安全、合同、信息管理及外部协调，包括:</w:t>
      </w:r>
    </w:p>
    <w:p w14:paraId="3F928D20">
      <w:pPr>
        <w:adjustRightInd w:val="0"/>
        <w:snapToGrid w:val="0"/>
        <w:ind w:firstLine="480" w:firstLineChars="200"/>
        <w:rPr>
          <w:color w:val="auto"/>
          <w:highlight w:val="none"/>
          <w:u w:val="single"/>
        </w:rPr>
      </w:pPr>
      <w:r>
        <w:rPr>
          <w:rFonts w:hint="eastAsia"/>
          <w:color w:val="auto"/>
          <w:highlight w:val="none"/>
        </w:rPr>
        <w:t>（1）</w:t>
      </w:r>
      <w:r>
        <w:rPr>
          <w:rFonts w:hint="eastAsia"/>
          <w:color w:val="auto"/>
          <w:highlight w:val="none"/>
          <w:u w:val="single"/>
        </w:rPr>
        <w:t>督促监理工程师按照监理合同办事；</w:t>
      </w:r>
    </w:p>
    <w:p w14:paraId="2CD6E691">
      <w:pPr>
        <w:adjustRightInd w:val="0"/>
        <w:snapToGrid w:val="0"/>
        <w:ind w:firstLine="480" w:firstLineChars="200"/>
        <w:rPr>
          <w:color w:val="auto"/>
          <w:highlight w:val="none"/>
          <w:u w:val="single"/>
        </w:rPr>
      </w:pPr>
      <w:r>
        <w:rPr>
          <w:rFonts w:hint="eastAsia"/>
          <w:color w:val="auto"/>
          <w:highlight w:val="none"/>
        </w:rPr>
        <w:t>（2）</w:t>
      </w:r>
      <w:r>
        <w:rPr>
          <w:rFonts w:hint="eastAsia"/>
          <w:color w:val="auto"/>
          <w:highlight w:val="none"/>
          <w:u w:val="single"/>
        </w:rPr>
        <w:t>协调各方工作；</w:t>
      </w:r>
    </w:p>
    <w:p w14:paraId="6774E821">
      <w:pPr>
        <w:adjustRightInd w:val="0"/>
        <w:snapToGrid w:val="0"/>
        <w:ind w:firstLine="480" w:firstLineChars="200"/>
        <w:rPr>
          <w:color w:val="auto"/>
          <w:highlight w:val="none"/>
          <w:u w:val="single"/>
        </w:rPr>
      </w:pPr>
      <w:r>
        <w:rPr>
          <w:rFonts w:hint="eastAsia"/>
          <w:color w:val="auto"/>
          <w:highlight w:val="none"/>
        </w:rPr>
        <w:t>（3）</w:t>
      </w:r>
      <w:r>
        <w:rPr>
          <w:rFonts w:hint="eastAsia"/>
          <w:color w:val="auto"/>
          <w:highlight w:val="none"/>
          <w:u w:val="single"/>
        </w:rPr>
        <w:t>工程进度与工程量的确认；</w:t>
      </w:r>
    </w:p>
    <w:p w14:paraId="089FA76B">
      <w:pPr>
        <w:adjustRightInd w:val="0"/>
        <w:snapToGrid w:val="0"/>
        <w:ind w:firstLine="480" w:firstLineChars="200"/>
        <w:rPr>
          <w:color w:val="auto"/>
          <w:highlight w:val="none"/>
          <w:u w:val="single"/>
        </w:rPr>
      </w:pPr>
      <w:r>
        <w:rPr>
          <w:rFonts w:hint="eastAsia"/>
          <w:color w:val="auto"/>
          <w:highlight w:val="none"/>
        </w:rPr>
        <w:t>（</w:t>
      </w:r>
      <w:r>
        <w:rPr>
          <w:color w:val="auto"/>
          <w:highlight w:val="none"/>
        </w:rPr>
        <w:t>4）</w:t>
      </w:r>
      <w:r>
        <w:rPr>
          <w:rFonts w:hint="eastAsia"/>
          <w:color w:val="auto"/>
          <w:highlight w:val="none"/>
          <w:u w:val="single"/>
        </w:rPr>
        <w:t>督促并控制好工程进度、质量、投资；</w:t>
      </w:r>
    </w:p>
    <w:p w14:paraId="1DFBE667">
      <w:pPr>
        <w:adjustRightInd w:val="0"/>
        <w:snapToGrid w:val="0"/>
        <w:ind w:firstLine="480" w:firstLineChars="200"/>
        <w:rPr>
          <w:color w:val="auto"/>
          <w:highlight w:val="none"/>
          <w:u w:val="single"/>
        </w:rPr>
      </w:pPr>
      <w:r>
        <w:rPr>
          <w:rFonts w:hint="eastAsia"/>
          <w:color w:val="auto"/>
          <w:highlight w:val="none"/>
        </w:rPr>
        <w:t>（5）</w:t>
      </w:r>
      <w:r>
        <w:rPr>
          <w:rFonts w:hint="eastAsia"/>
          <w:color w:val="auto"/>
          <w:highlight w:val="none"/>
          <w:u w:val="single"/>
        </w:rPr>
        <w:t>变更的确认；</w:t>
      </w:r>
    </w:p>
    <w:p w14:paraId="10C6E96C">
      <w:pPr>
        <w:adjustRightInd w:val="0"/>
        <w:snapToGrid w:val="0"/>
        <w:ind w:firstLine="480" w:firstLineChars="200"/>
        <w:rPr>
          <w:color w:val="auto"/>
          <w:highlight w:val="none"/>
          <w:u w:val="single"/>
        </w:rPr>
      </w:pPr>
      <w:r>
        <w:rPr>
          <w:rFonts w:hint="eastAsia"/>
          <w:color w:val="auto"/>
          <w:highlight w:val="none"/>
        </w:rPr>
        <w:t>（6</w:t>
      </w:r>
      <w:r>
        <w:rPr>
          <w:color w:val="auto"/>
          <w:highlight w:val="none"/>
        </w:rPr>
        <w:t>）</w:t>
      </w:r>
      <w:r>
        <w:rPr>
          <w:rFonts w:hint="eastAsia"/>
          <w:color w:val="auto"/>
          <w:highlight w:val="none"/>
          <w:u w:val="single"/>
        </w:rPr>
        <w:t>严重质量问题的处理；</w:t>
      </w:r>
    </w:p>
    <w:p w14:paraId="65E419C3">
      <w:pPr>
        <w:adjustRightInd w:val="0"/>
        <w:snapToGrid w:val="0"/>
        <w:ind w:firstLine="480" w:firstLineChars="200"/>
        <w:rPr>
          <w:color w:val="auto"/>
          <w:highlight w:val="none"/>
          <w:u w:val="single"/>
        </w:rPr>
      </w:pPr>
      <w:r>
        <w:rPr>
          <w:rFonts w:hint="eastAsia"/>
          <w:color w:val="auto"/>
          <w:highlight w:val="none"/>
        </w:rPr>
        <w:t>（7）</w:t>
      </w:r>
      <w:r>
        <w:rPr>
          <w:rFonts w:hint="eastAsia"/>
          <w:color w:val="auto"/>
          <w:highlight w:val="none"/>
          <w:u w:val="single"/>
        </w:rPr>
        <w:t>工程工期的顺延；</w:t>
      </w:r>
    </w:p>
    <w:p w14:paraId="59E08B31">
      <w:pPr>
        <w:adjustRightInd w:val="0"/>
        <w:snapToGrid w:val="0"/>
        <w:ind w:firstLine="480" w:firstLineChars="200"/>
        <w:rPr>
          <w:color w:val="auto"/>
          <w:highlight w:val="none"/>
          <w:u w:val="single"/>
        </w:rPr>
      </w:pPr>
      <w:r>
        <w:rPr>
          <w:rFonts w:hint="eastAsia"/>
          <w:color w:val="auto"/>
          <w:highlight w:val="none"/>
        </w:rPr>
        <w:t>（8</w:t>
      </w:r>
      <w:r>
        <w:rPr>
          <w:color w:val="auto"/>
          <w:highlight w:val="none"/>
        </w:rPr>
        <w:t>）</w:t>
      </w:r>
      <w:r>
        <w:rPr>
          <w:rFonts w:hint="eastAsia"/>
          <w:color w:val="auto"/>
          <w:highlight w:val="none"/>
          <w:u w:val="single"/>
        </w:rPr>
        <w:t>工程款的审核；</w:t>
      </w:r>
    </w:p>
    <w:p w14:paraId="14545B14">
      <w:pPr>
        <w:adjustRightInd w:val="0"/>
        <w:snapToGrid w:val="0"/>
        <w:ind w:firstLine="480" w:firstLineChars="200"/>
        <w:rPr>
          <w:color w:val="auto"/>
          <w:highlight w:val="none"/>
          <w:u w:val="single"/>
        </w:rPr>
      </w:pPr>
      <w:r>
        <w:rPr>
          <w:rFonts w:hint="eastAsia"/>
          <w:color w:val="auto"/>
          <w:highlight w:val="none"/>
        </w:rPr>
        <w:t>（9）</w:t>
      </w:r>
      <w:r>
        <w:rPr>
          <w:rFonts w:hint="eastAsia"/>
          <w:color w:val="auto"/>
          <w:highlight w:val="none"/>
          <w:u w:val="single"/>
        </w:rPr>
        <w:t>分包商的审核；</w:t>
      </w:r>
    </w:p>
    <w:p w14:paraId="571BC215">
      <w:pPr>
        <w:adjustRightInd w:val="0"/>
        <w:snapToGrid w:val="0"/>
        <w:ind w:firstLine="480" w:firstLineChars="200"/>
        <w:rPr>
          <w:color w:val="auto"/>
          <w:highlight w:val="none"/>
          <w:u w:val="single"/>
        </w:rPr>
      </w:pPr>
      <w:r>
        <w:rPr>
          <w:rFonts w:hint="eastAsia"/>
          <w:color w:val="auto"/>
          <w:highlight w:val="none"/>
        </w:rPr>
        <w:t>（10）</w:t>
      </w:r>
      <w:r>
        <w:rPr>
          <w:rFonts w:hint="eastAsia"/>
          <w:color w:val="auto"/>
          <w:highlight w:val="none"/>
          <w:u w:val="single"/>
        </w:rPr>
        <w:t>重大工程索赔。</w:t>
      </w:r>
    </w:p>
    <w:p w14:paraId="0D3A2D2D">
      <w:pPr>
        <w:adjustRightInd w:val="0"/>
        <w:snapToGrid w:val="0"/>
        <w:ind w:firstLine="480" w:firstLineChars="200"/>
        <w:rPr>
          <w:color w:val="auto"/>
          <w:highlight w:val="none"/>
          <w:u w:val="single"/>
        </w:rPr>
      </w:pPr>
      <w:r>
        <w:rPr>
          <w:rFonts w:hint="eastAsia"/>
          <w:color w:val="auto"/>
          <w:highlight w:val="none"/>
          <w:u w:val="single"/>
        </w:rPr>
        <w:t>发包人代表可委派有关具体管理人员，行使授权范围内的职权，并可在认为必要时撤回委派。委派和撤回均应提前7天以书面形式通知承包人。委派书和撤回通知作为本协议附件。</w:t>
      </w:r>
    </w:p>
    <w:p w14:paraId="732CC9CA">
      <w:pPr>
        <w:adjustRightInd w:val="0"/>
        <w:snapToGrid w:val="0"/>
        <w:ind w:firstLine="482" w:firstLineChars="200"/>
        <w:rPr>
          <w:b/>
          <w:color w:val="auto"/>
          <w:highlight w:val="none"/>
        </w:rPr>
      </w:pPr>
      <w:r>
        <w:rPr>
          <w:b/>
          <w:color w:val="auto"/>
          <w:highlight w:val="none"/>
        </w:rPr>
        <w:t xml:space="preserve">2.4 施工现场、施工条件和基础资料的提供  </w:t>
      </w:r>
    </w:p>
    <w:p w14:paraId="1094EE1B">
      <w:pPr>
        <w:adjustRightInd w:val="0"/>
        <w:snapToGrid w:val="0"/>
        <w:ind w:firstLine="480" w:firstLineChars="200"/>
        <w:rPr>
          <w:color w:val="auto"/>
          <w:highlight w:val="none"/>
        </w:rPr>
      </w:pPr>
      <w:r>
        <w:rPr>
          <w:color w:val="auto"/>
          <w:highlight w:val="none"/>
        </w:rPr>
        <w:t>2.4.1 提供施工现场</w:t>
      </w:r>
    </w:p>
    <w:p w14:paraId="7A6C438A">
      <w:pPr>
        <w:adjustRightInd w:val="0"/>
        <w:snapToGrid w:val="0"/>
        <w:ind w:firstLine="480" w:firstLineChars="200"/>
        <w:rPr>
          <w:color w:val="auto"/>
          <w:highlight w:val="none"/>
        </w:rPr>
      </w:pPr>
      <w:r>
        <w:rPr>
          <w:color w:val="auto"/>
          <w:highlight w:val="none"/>
        </w:rPr>
        <w:t>发包人移交施工现场的期限要求：</w:t>
      </w:r>
      <w:r>
        <w:rPr>
          <w:rFonts w:hint="eastAsia"/>
          <w:color w:val="auto"/>
          <w:highlight w:val="none"/>
          <w:u w:val="single"/>
        </w:rPr>
        <w:t>项目开工前</w:t>
      </w:r>
      <w:r>
        <w:rPr>
          <w:color w:val="auto"/>
          <w:highlight w:val="none"/>
        </w:rPr>
        <w:t>。</w:t>
      </w:r>
    </w:p>
    <w:p w14:paraId="3C2DA28D">
      <w:pPr>
        <w:adjustRightInd w:val="0"/>
        <w:snapToGrid w:val="0"/>
        <w:ind w:firstLine="480" w:firstLineChars="200"/>
        <w:rPr>
          <w:color w:val="auto"/>
          <w:highlight w:val="none"/>
        </w:rPr>
      </w:pPr>
      <w:r>
        <w:rPr>
          <w:color w:val="auto"/>
          <w:highlight w:val="none"/>
        </w:rPr>
        <w:t>2.4.2 提供施工条件</w:t>
      </w:r>
    </w:p>
    <w:p w14:paraId="63FED258">
      <w:pPr>
        <w:adjustRightInd w:val="0"/>
        <w:snapToGrid w:val="0"/>
        <w:ind w:firstLine="480" w:firstLineChars="200"/>
        <w:rPr>
          <w:color w:val="auto"/>
          <w:highlight w:val="none"/>
          <w:u w:val="single"/>
        </w:rPr>
      </w:pPr>
      <w:r>
        <w:rPr>
          <w:color w:val="auto"/>
          <w:highlight w:val="none"/>
        </w:rPr>
        <w:t>发包人应负责提供施工</w:t>
      </w:r>
      <w:r>
        <w:rPr>
          <w:rFonts w:hint="eastAsia"/>
          <w:color w:val="auto"/>
          <w:highlight w:val="none"/>
        </w:rPr>
        <w:t>所需要的条件，</w:t>
      </w:r>
      <w:r>
        <w:rPr>
          <w:color w:val="auto"/>
          <w:highlight w:val="none"/>
        </w:rPr>
        <w:t>包括：</w:t>
      </w:r>
      <w:r>
        <w:rPr>
          <w:rFonts w:hint="eastAsia"/>
          <w:color w:val="auto"/>
          <w:highlight w:val="none"/>
          <w:u w:val="single"/>
        </w:rPr>
        <w:t xml:space="preserve"> 装置红线外的四通一平</w:t>
      </w:r>
    </w:p>
    <w:p w14:paraId="56E2B4D3">
      <w:pPr>
        <w:adjustRightInd w:val="0"/>
        <w:snapToGrid w:val="0"/>
        <w:ind w:firstLine="480" w:firstLineChars="200"/>
        <w:rPr>
          <w:rStyle w:val="12"/>
          <w:rFonts w:ascii="宋体" w:hAnsi="宋体"/>
          <w:color w:val="auto"/>
          <w:highlight w:val="none"/>
          <w:u w:val="single"/>
        </w:rPr>
      </w:pPr>
      <w:r>
        <w:rPr>
          <w:rStyle w:val="12"/>
          <w:rFonts w:hint="eastAsia" w:ascii="宋体" w:hAnsi="宋体"/>
          <w:color w:val="auto"/>
          <w:highlight w:val="none"/>
          <w:u w:val="single"/>
        </w:rPr>
        <w:t>（1）发包人负责提供电源接点，由本工程承包人接入施工现场，设置分电源箱。从发包人提供的电源至施工用电设备线路的安装由承包人负责实施，安装费、线路、设备购置费及施工过程中发生的所有电费，无论承包人是否在投标报价中单独列支，发包人均认为此项费用包含在投标报价中。合同价已扣除施工用水费用，结算时不再扣除。</w:t>
      </w:r>
    </w:p>
    <w:p w14:paraId="66579A27">
      <w:pPr>
        <w:adjustRightInd w:val="0"/>
        <w:snapToGrid w:val="0"/>
        <w:ind w:firstLine="480" w:firstLineChars="200"/>
        <w:rPr>
          <w:rStyle w:val="12"/>
          <w:rFonts w:ascii="宋体" w:hAnsi="宋体"/>
          <w:color w:val="auto"/>
          <w:highlight w:val="none"/>
          <w:u w:val="single"/>
        </w:rPr>
      </w:pPr>
      <w:r>
        <w:rPr>
          <w:rStyle w:val="12"/>
          <w:rFonts w:hint="eastAsia" w:ascii="宋体" w:hAnsi="宋体"/>
          <w:color w:val="auto"/>
          <w:highlight w:val="none"/>
          <w:u w:val="single"/>
        </w:rPr>
        <w:t>（2）发包人负责提供水源接点，由本工程承包人接入施工现场。从水源至施工各用水点的管路安装、布置由承包人负责实施，其安装费、管材、设备购置费及施工过程中发生的所有水费，无论承包人是否在投标报价中单独列支，发包人均认为此项费用包含在投标报价中。合同价已扣除施工用水费用，结算时不再扣除。</w:t>
      </w:r>
    </w:p>
    <w:p w14:paraId="6FF2E903">
      <w:pPr>
        <w:adjustRightInd w:val="0"/>
        <w:snapToGrid w:val="0"/>
        <w:ind w:firstLine="480" w:firstLineChars="200"/>
        <w:rPr>
          <w:color w:val="auto"/>
          <w:highlight w:val="none"/>
        </w:rPr>
      </w:pPr>
      <w:r>
        <w:rPr>
          <w:rFonts w:hint="eastAsia"/>
          <w:color w:val="auto"/>
          <w:highlight w:val="none"/>
        </w:rPr>
        <w:t>（4）</w:t>
      </w:r>
      <w:r>
        <w:rPr>
          <w:color w:val="auto"/>
          <w:highlight w:val="none"/>
        </w:rPr>
        <w:t>发包人</w:t>
      </w:r>
      <w:r>
        <w:rPr>
          <w:rFonts w:hint="eastAsia"/>
          <w:color w:val="auto"/>
          <w:highlight w:val="none"/>
        </w:rPr>
        <w:t>应</w:t>
      </w:r>
      <w:r>
        <w:rPr>
          <w:color w:val="auto"/>
          <w:highlight w:val="none"/>
        </w:rPr>
        <w:t>提供的其他设施和条件</w:t>
      </w:r>
      <w:r>
        <w:rPr>
          <w:rFonts w:hint="eastAsia"/>
          <w:color w:val="auto"/>
          <w:highlight w:val="none"/>
        </w:rPr>
        <w:t>：</w:t>
      </w:r>
      <w:r>
        <w:rPr>
          <w:color w:val="auto"/>
          <w:highlight w:val="none"/>
          <w:u w:val="single"/>
        </w:rPr>
        <w:t></w:t>
      </w:r>
      <w:r>
        <w:rPr>
          <w:rFonts w:hint="eastAsia"/>
          <w:color w:val="auto"/>
          <w:highlight w:val="none"/>
          <w:u w:val="single"/>
        </w:rPr>
        <w:t xml:space="preserve">/ </w:t>
      </w:r>
      <w:r>
        <w:rPr>
          <w:color w:val="auto"/>
          <w:highlight w:val="none"/>
        </w:rPr>
        <w:t>。</w:t>
      </w:r>
    </w:p>
    <w:p w14:paraId="4886CA0E">
      <w:pPr>
        <w:keepNext/>
        <w:keepLines/>
        <w:adjustRightInd w:val="0"/>
        <w:snapToGrid w:val="0"/>
        <w:outlineLvl w:val="1"/>
        <w:rPr>
          <w:rFonts w:ascii="Arial"/>
          <w:b/>
          <w:bCs/>
          <w:color w:val="auto"/>
          <w:szCs w:val="32"/>
          <w:highlight w:val="none"/>
        </w:rPr>
      </w:pPr>
      <w:bookmarkStart w:id="864" w:name="_Toc90117803"/>
      <w:bookmarkStart w:id="865" w:name="_Toc2113266496"/>
      <w:bookmarkStart w:id="866" w:name="_Toc7628"/>
      <w:bookmarkStart w:id="867" w:name="_Toc256000079"/>
      <w:bookmarkStart w:id="868" w:name="_Toc120"/>
      <w:bookmarkStart w:id="869" w:name="_Toc119953746"/>
      <w:r>
        <w:rPr>
          <w:rFonts w:ascii="Arial"/>
          <w:b/>
          <w:bCs/>
          <w:color w:val="auto"/>
          <w:szCs w:val="32"/>
          <w:highlight w:val="none"/>
        </w:rPr>
        <w:t>3. 承包人</w:t>
      </w:r>
      <w:bookmarkEnd w:id="864"/>
      <w:bookmarkEnd w:id="865"/>
      <w:bookmarkEnd w:id="866"/>
      <w:bookmarkEnd w:id="867"/>
      <w:bookmarkEnd w:id="868"/>
      <w:bookmarkEnd w:id="869"/>
    </w:p>
    <w:p w14:paraId="5F82A621">
      <w:pPr>
        <w:adjustRightInd w:val="0"/>
        <w:snapToGrid w:val="0"/>
        <w:ind w:firstLine="482" w:firstLineChars="200"/>
        <w:rPr>
          <w:b/>
          <w:color w:val="auto"/>
          <w:highlight w:val="none"/>
        </w:rPr>
      </w:pPr>
      <w:r>
        <w:rPr>
          <w:b/>
          <w:color w:val="auto"/>
          <w:highlight w:val="none"/>
        </w:rPr>
        <w:t>3.1 承包人的一般义务</w:t>
      </w:r>
    </w:p>
    <w:p w14:paraId="20D4592C">
      <w:pPr>
        <w:adjustRightInd w:val="0"/>
        <w:snapToGrid w:val="0"/>
        <w:ind w:firstLine="480" w:firstLineChars="200"/>
        <w:rPr>
          <w:color w:val="auto"/>
          <w:highlight w:val="none"/>
        </w:rPr>
      </w:pPr>
      <w:r>
        <w:rPr>
          <w:color w:val="auto"/>
          <w:highlight w:val="none"/>
        </w:rPr>
        <w:t>（9）</w:t>
      </w:r>
      <w:r>
        <w:rPr>
          <w:rFonts w:hint="eastAsia"/>
          <w:color w:val="auto"/>
          <w:highlight w:val="none"/>
        </w:rPr>
        <w:t>承包人提交的中间交接或交工</w:t>
      </w:r>
      <w:r>
        <w:rPr>
          <w:color w:val="auto"/>
          <w:highlight w:val="none"/>
        </w:rPr>
        <w:t>资料的套数：</w:t>
      </w:r>
      <w:r>
        <w:rPr>
          <w:rFonts w:hint="eastAsia"/>
          <w:color w:val="auto"/>
          <w:highlight w:val="none"/>
          <w:u w:val="single"/>
        </w:rPr>
        <w:t>竣工资料三套（要求计算机出图），其中原件二套，电子文件一套（不可删除的光盘）；竣工资料三套</w:t>
      </w:r>
      <w:r>
        <w:rPr>
          <w:color w:val="auto"/>
          <w:highlight w:val="none"/>
        </w:rPr>
        <w:t>。</w:t>
      </w:r>
    </w:p>
    <w:p w14:paraId="666D9BDE">
      <w:pPr>
        <w:adjustRightInd w:val="0"/>
        <w:snapToGrid w:val="0"/>
        <w:ind w:firstLine="480" w:firstLineChars="200"/>
        <w:rPr>
          <w:color w:val="auto"/>
          <w:highlight w:val="none"/>
        </w:rPr>
      </w:pPr>
      <w:r>
        <w:rPr>
          <w:rFonts w:hint="eastAsia"/>
          <w:color w:val="auto"/>
          <w:highlight w:val="none"/>
        </w:rPr>
        <w:t>承包人提交的中间交接或交工</w:t>
      </w:r>
      <w:r>
        <w:rPr>
          <w:color w:val="auto"/>
          <w:highlight w:val="none"/>
        </w:rPr>
        <w:t>资料的内容：</w:t>
      </w:r>
      <w:r>
        <w:rPr>
          <w:rFonts w:hint="eastAsia"/>
          <w:color w:val="auto"/>
          <w:highlight w:val="none"/>
        </w:rPr>
        <w:t>完整准确的竣工资料。具体见《石油化工工程建设交工技术文件规定》、《石油化工建设工程项目竣工验收规定》和《石油化工建设工程项目施工过程技术文件规定》</w:t>
      </w:r>
      <w:r>
        <w:rPr>
          <w:color w:val="auto"/>
          <w:highlight w:val="none"/>
        </w:rPr>
        <w:t>。</w:t>
      </w:r>
    </w:p>
    <w:p w14:paraId="33265F8E">
      <w:pPr>
        <w:adjustRightInd w:val="0"/>
        <w:snapToGrid w:val="0"/>
        <w:ind w:firstLine="480" w:firstLineChars="200"/>
        <w:rPr>
          <w:color w:val="auto"/>
          <w:highlight w:val="none"/>
        </w:rPr>
      </w:pPr>
      <w:r>
        <w:rPr>
          <w:rFonts w:hint="eastAsia"/>
          <w:color w:val="auto"/>
          <w:highlight w:val="none"/>
        </w:rPr>
        <w:t>承包人提交的中间交接或交工</w:t>
      </w:r>
      <w:r>
        <w:rPr>
          <w:color w:val="auto"/>
          <w:highlight w:val="none"/>
        </w:rPr>
        <w:t>资料的时间：</w:t>
      </w:r>
      <w:r>
        <w:rPr>
          <w:rFonts w:hint="eastAsia"/>
          <w:color w:val="auto"/>
          <w:highlight w:val="none"/>
          <w:u w:val="single"/>
        </w:rPr>
        <w:t>交工验收后三个月内</w:t>
      </w:r>
      <w:r>
        <w:rPr>
          <w:color w:val="auto"/>
          <w:highlight w:val="none"/>
        </w:rPr>
        <w:t>。</w:t>
      </w:r>
    </w:p>
    <w:p w14:paraId="3D5451B1">
      <w:pPr>
        <w:adjustRightInd w:val="0"/>
        <w:snapToGrid w:val="0"/>
        <w:ind w:firstLine="480" w:firstLineChars="200"/>
        <w:rPr>
          <w:color w:val="auto"/>
          <w:highlight w:val="none"/>
        </w:rPr>
      </w:pPr>
      <w:r>
        <w:rPr>
          <w:rFonts w:hint="eastAsia"/>
          <w:color w:val="auto"/>
          <w:highlight w:val="none"/>
        </w:rPr>
        <w:t>（11）承包人应履行的其他义务：</w:t>
      </w:r>
    </w:p>
    <w:p w14:paraId="7DFE4203">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1）专职HSE监督管理人员（安全生产管理人员）均应按不少于现场作业人员的2%配置。承包人项目部至少配2名现场专职HSE监督管理人员（安全生产管理人员），并按现场每3个分包商增派不少于1名专职HSE监督管理人员（安全生产管理人员）的比例进行人员配备；临时外聘人员占比例不应大于50%。</w:t>
      </w:r>
    </w:p>
    <w:p w14:paraId="7EC741F4">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承包人应配备专业造价人员，具有造价从业资格证，负责编制施工图预算，计算蓝图工程量，建立项目费用动态信息。</w:t>
      </w:r>
    </w:p>
    <w:p w14:paraId="40537558">
      <w:pPr>
        <w:adjustRightInd w:val="0"/>
        <w:snapToGrid w:val="0"/>
        <w:ind w:firstLine="480" w:firstLineChars="20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承包人须配备专职计划管理工程师，负责计划编制质量及日常计划工作。如计划工程师技能不达标，不能胜任本职工作，发包人有权更换人员。</w:t>
      </w:r>
    </w:p>
    <w:p w14:paraId="444BFC40">
      <w:pPr>
        <w:adjustRightInd w:val="0"/>
        <w:snapToGrid w:val="0"/>
        <w:ind w:firstLine="480" w:firstLineChars="20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承包人的施工员配比必须达到不低于50:1，增强现场协调能力。</w:t>
      </w:r>
    </w:p>
    <w:p w14:paraId="514F34F3">
      <w:pPr>
        <w:adjustRightInd w:val="0"/>
        <w:snapToGrid w:val="0"/>
        <w:ind w:firstLine="480" w:firstLineChars="20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各承包人关键人员不得跨区域任职。</w:t>
      </w:r>
    </w:p>
    <w:p w14:paraId="21BC205D">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2）承包人应认真贯彻ISO9001认证的质量保证体系文件规定，以确保向发包人提供满足合同要求的合格产品。</w:t>
      </w:r>
    </w:p>
    <w:p w14:paraId="102683BE">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3）按ISO9001标准和HSE的要求，对施工现场进行管理。保证施工现场清洁符合工程所在地行政管理部门的相关规定和发包人关于施工现场整洁卫生的规定，包含定期清理现场使用的厕所、垃圾站等设施（或承担清理的费用），若因违反有关规定造成损失和罚款，由承包人承担。</w:t>
      </w:r>
    </w:p>
    <w:p w14:paraId="767A1CC8">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4）承包人在高压线、水上、水下及地下管线、易燃、易爆地段或其他有害环境下施工时，施工前应提出安全保护措施，经监理人审查同意后实施。监理人的同意不能免除承包人应承担的责任。</w:t>
      </w:r>
    </w:p>
    <w:p w14:paraId="2FEA6589">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5）根据工程需要，提供和维修夜间或非夜间施工使用的照明、围栏设施，并负责安全保卫，只允许与工程建设有关人员进入现场，按发包人要求落实打卡要求。有关人员指承包人的雇员、发包人代表、监理人员、和经发包人代表同意的其他人员。如承包人未履行上述义务造成工程、财产和人身伤害，由承包人承担责任及所发生的费用。</w:t>
      </w:r>
    </w:p>
    <w:p w14:paraId="2AE23079">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6）承包人有责任教育工人严格执行操作规程、安全施工、防火防盗。</w:t>
      </w:r>
    </w:p>
    <w:p w14:paraId="35294CCE">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7）承包人在工程实施过程中应遵守政府的各项法令和规章，特别是交通、卫生、防疫、安全、消防、噪音及环境保护等方面的法令和规章，按规定办理有关手续，如须发包人配合的要以书面形式通知发包人。如承包人未按规定执行，由此造成的罚款由承包人承担。</w:t>
      </w:r>
    </w:p>
    <w:p w14:paraId="2FA0B4C0">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 xml:space="preserve">8）承包人在施工时，必须全面协调好与周边环境关系，施工时承包人因自身原因未处理好周边环境关系而导致工程停工，发包人将不承担由此引起的工期延误及其他工程费用损失。 </w:t>
      </w:r>
    </w:p>
    <w:p w14:paraId="67582FA3">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9）承包人应于开工前14天内递交施工用水、用电申请报告，并附主要的用电设备明细表及用电、用水总量。编制施工临时用水用电施工维护方案报发包人审批，待审批通过后负责从发包人提供的临时用水用电接入点至施工现场的施工及维护工作。</w:t>
      </w:r>
    </w:p>
    <w:p w14:paraId="47C46F41">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10）严格按照发包人的有关规定办理设备、材料的出厂手续。</w:t>
      </w:r>
    </w:p>
    <w:p w14:paraId="627BB228">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11）承包人拆除工程应遵守的事项：①拆除区域必须围蔽并设置警戒，在须拆除的物体上作好标记，管线的割除必须标明到具体部位，并经生产单位确认。②拆除施工前需配合生产单位做好标记、吹扫、拆装盲板以及其他安全措施。③在拆除施工过程中，安全员必须旁站监护，安全员须配戴明显标识。④保护性拆除的设备设施要有明确的标识，有可靠的拆除方法手段，移交生产物资须经生产单位确认回执。⑤在拆除区域进行地下工程施工时发现障碍物，承包人接到通知后两天内进场处理，否则发包人有权另安排队伍施工，费用从承包人进度款中扣除，并给予相应考核。</w:t>
      </w:r>
    </w:p>
    <w:p w14:paraId="42324939">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12）负责工程的保护与保修：对施工范围内原有且不具备迁移条件的建筑物、管线、设施，在交付发包人前承包人应负责保护，因承包人保护措施不力造成的成品破坏或损坏，由承包人负责赔偿或无偿修复。若因发包人提前使用造成损坏，修复费用由发包人承担。工程交工验收合格后，在合同约定的保修期内，对属于承包人责任造成的任何缺陷，承包人应无偿修复。</w:t>
      </w:r>
    </w:p>
    <w:p w14:paraId="717D7250">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13）服从发包人代表或总监理工程师对承包人进行的协调。对发包人代表认为不符合标准规范、指令要求等的事件作出合理判断发出的指令，承包人应遵照执行。</w:t>
      </w:r>
    </w:p>
    <w:p w14:paraId="46CCB9D9">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14）不论发包人代表或总监理工程师是否给予了批准或同意，承包人应对合同范围内全部现场作业、所有施工方法以及全部工程的完善性、稳定性和安全性承担责任。</w:t>
      </w:r>
    </w:p>
    <w:p w14:paraId="2565DF44">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15）按发包人规定的格式向发包人代表提交计划和报表，并提供电子版。每月25日向发包人代表提交下月的工程进度计划一式四份；每月30日向发包人代表提交当月已完工程统计报表一式四份和安全情况通报。</w:t>
      </w:r>
    </w:p>
    <w:p w14:paraId="543635C7">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16）施工总承包企业是落实农民工工资（劳务费）专用账户管理制度的责任主体，负责落实分包业务中农民工实名制、工资专用账户管理、支付银行卡等相关政策。</w:t>
      </w:r>
    </w:p>
    <w:p w14:paraId="37FADFDB">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17）承包人未能履行以上权利、义务和工作，造成发包人损失的，承包人赔偿发包人有关损失，发包人保留进一步要求承包人更换、延长缺陷责任期等权利。</w:t>
      </w:r>
    </w:p>
    <w:p w14:paraId="7996C631">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18）承包人应严格按照发包人工程建设项目最新的现场签证管理规定办理签证。提出工程签证事项的申请时，需写明依据、理由、事项内容、工程量及工程费用估价，经监理或外聘项目管理单位、发包人审批后，发包人、监理或外聘项目管理单位等有关单位组织现场确认，承包人根据现场确认情况提交签证申请，每份签证单须附上工程费用估算或预算、影像等资料，按程序报监理、发包人有关单位进行审核。承包人在工程签证事项发生时，需提报签证记录，经过现场确认和审批后，方可做为结算凭证。</w:t>
      </w:r>
    </w:p>
    <w:p w14:paraId="7A3BC14B">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19）承包人应每月整理项目当月完成工程量，编制预算清单，进度款申请以已完成预算清单为审批参考。</w:t>
      </w:r>
    </w:p>
    <w:p w14:paraId="3AA1A3E8">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20）承包人需教育并确保所属人员及分包商人员，未经允许，严禁在茂名石化区域内拍照、摄像，严禁到互联网发布与中国石化和发包人有关的信息。</w:t>
      </w:r>
    </w:p>
    <w:p w14:paraId="6099721E">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21）承包人需按照《关于实施工程建设廉洁控制的通知》（股份工单建综〔2021〕62 号）的要求，成立项目部临时党组织及其纪检工作小组，设立廉洁风险点并明确风险等级、制定重点防控措施，编制“廉洁风险点及重点防控措施表，遵照附件7《廉洁从业责任书》要求，切实做好廉洁风险管控。</w:t>
      </w:r>
    </w:p>
    <w:p w14:paraId="68AC45CB">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22）承包人应避免出现《关于对工程建设质量“低老坏”及本质安全问题从严管理的通知》（股份工单建检〔2021〕304 号）的清单问题，对1年内（自首次出现问题日期开始）出现2次及以上A类问题或3次及以上B类问题的责任单位将给与限制投标处理。</w:t>
      </w:r>
    </w:p>
    <w:p w14:paraId="7D4BB1F0">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23）除天气影响或其他特殊原因外，承包人作业人员原则上每天8:00前开始施工作业，每天作业时间应不低于8小时，严格管理员工劳动纪律，杜绝迟到、早退、窝工、消极怠工等现象，积极采取“包干制”代替“日工资制”等各种措施提升施工工效。发包人不定期抽查，如人员擅自离开导致作业时间不足8小时的，对人员进行扣分考核，因承包人管理不到位导致未达到8小时的按发包人承包人管理规定对承包人进行违约考核。</w:t>
      </w:r>
    </w:p>
    <w:p w14:paraId="6BA77B51">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24）承包人需提供工地视频信号接入发包人公司监控平台。</w:t>
      </w:r>
    </w:p>
    <w:p w14:paraId="2E3BF661">
      <w:pPr>
        <w:adjustRightInd w:val="0"/>
        <w:snapToGrid w:val="0"/>
        <w:ind w:firstLine="480" w:firstLineChars="200"/>
        <w:rPr>
          <w:rFonts w:ascii="宋体" w:hAnsi="宋体"/>
          <w:color w:val="auto"/>
          <w:highlight w:val="none"/>
          <w:u w:val="single"/>
        </w:rPr>
      </w:pPr>
      <w:r>
        <w:rPr>
          <w:rFonts w:hint="eastAsia" w:ascii="宋体" w:hAnsi="宋体"/>
          <w:color w:val="auto"/>
          <w:highlight w:val="none"/>
          <w:u w:val="single"/>
        </w:rPr>
        <w:t>25）承包人须根据施工进度安排足够的施工力量。</w:t>
      </w:r>
    </w:p>
    <w:p w14:paraId="0FB17171">
      <w:pPr>
        <w:ind w:firstLine="480" w:firstLineChars="200"/>
        <w:rPr>
          <w:rFonts w:ascii="宋体" w:hAnsi="宋体" w:cs="宋体"/>
          <w:color w:val="auto"/>
          <w:highlight w:val="none"/>
        </w:rPr>
      </w:pPr>
      <w:r>
        <w:rPr>
          <w:rFonts w:hint="eastAsia" w:ascii="宋体" w:hAnsi="宋体" w:cs="宋体"/>
          <w:color w:val="auto"/>
          <w:highlight w:val="none"/>
          <w:u w:val="single"/>
        </w:rPr>
        <w:t>26）承包人须配备预备</w:t>
      </w:r>
      <w:r>
        <w:rPr>
          <w:rFonts w:ascii="宋体" w:hAnsi="宋体" w:cs="宋体"/>
          <w:color w:val="auto"/>
          <w:highlight w:val="none"/>
          <w:u w:val="single"/>
        </w:rPr>
        <w:t>队伍</w:t>
      </w:r>
      <w:r>
        <w:rPr>
          <w:rFonts w:hint="eastAsia" w:ascii="宋体" w:hAnsi="宋体" w:cs="宋体"/>
          <w:color w:val="auto"/>
          <w:highlight w:val="none"/>
          <w:u w:val="single"/>
        </w:rPr>
        <w:t>，当现有施工</w:t>
      </w:r>
      <w:r>
        <w:rPr>
          <w:rFonts w:ascii="宋体" w:hAnsi="宋体" w:cs="宋体"/>
          <w:color w:val="auto"/>
          <w:highlight w:val="none"/>
          <w:u w:val="single"/>
        </w:rPr>
        <w:t>队伍</w:t>
      </w:r>
      <w:r>
        <w:rPr>
          <w:rFonts w:hint="eastAsia" w:ascii="宋体" w:hAnsi="宋体" w:cs="宋体"/>
          <w:color w:val="auto"/>
          <w:highlight w:val="none"/>
          <w:u w:val="single"/>
        </w:rPr>
        <w:t>无法满足进度、安全或质量要求时，须能立即更换成预备</w:t>
      </w:r>
      <w:r>
        <w:rPr>
          <w:rFonts w:ascii="宋体" w:hAnsi="宋体" w:cs="宋体"/>
          <w:color w:val="auto"/>
          <w:highlight w:val="none"/>
          <w:u w:val="single"/>
        </w:rPr>
        <w:t>队伍</w:t>
      </w:r>
      <w:r>
        <w:rPr>
          <w:rFonts w:hint="eastAsia" w:ascii="宋体" w:hAnsi="宋体" w:cs="宋体"/>
          <w:color w:val="auto"/>
          <w:highlight w:val="none"/>
          <w:u w:val="single"/>
        </w:rPr>
        <w:t>，预备队伍人员10天内到现场施工</w:t>
      </w:r>
      <w:r>
        <w:rPr>
          <w:rFonts w:hint="eastAsia" w:ascii="宋体" w:hAnsi="宋体" w:cs="宋体"/>
          <w:color w:val="auto"/>
          <w:highlight w:val="none"/>
        </w:rPr>
        <w:t>。</w:t>
      </w:r>
    </w:p>
    <w:p w14:paraId="4C052747">
      <w:pPr>
        <w:adjustRightInd w:val="0"/>
        <w:snapToGrid w:val="0"/>
        <w:ind w:firstLine="480"/>
        <w:rPr>
          <w:b/>
          <w:color w:val="auto"/>
          <w:highlight w:val="none"/>
        </w:rPr>
      </w:pPr>
      <w:r>
        <w:rPr>
          <w:b/>
          <w:color w:val="auto"/>
          <w:highlight w:val="none"/>
        </w:rPr>
        <w:t xml:space="preserve">3.4 </w:t>
      </w:r>
      <w:r>
        <w:rPr>
          <w:rFonts w:hint="eastAsia"/>
          <w:b/>
          <w:color w:val="auto"/>
          <w:highlight w:val="none"/>
        </w:rPr>
        <w:t>承包人项目经理及主要管理人员离开现场或擅自更换</w:t>
      </w:r>
    </w:p>
    <w:p w14:paraId="6C4B02F3">
      <w:pPr>
        <w:adjustRightInd w:val="0"/>
        <w:snapToGrid w:val="0"/>
        <w:ind w:firstLine="480" w:firstLineChars="200"/>
        <w:rPr>
          <w:color w:val="auto"/>
          <w:highlight w:val="none"/>
        </w:rPr>
      </w:pPr>
      <w:r>
        <w:rPr>
          <w:rFonts w:hint="eastAsia"/>
          <w:color w:val="auto"/>
          <w:highlight w:val="none"/>
        </w:rPr>
        <w:t>承包人擅自更换项目经理的违约责任：</w:t>
      </w:r>
      <w:r>
        <w:rPr>
          <w:rFonts w:hint="eastAsia"/>
          <w:color w:val="auto"/>
          <w:highlight w:val="none"/>
          <w:u w:val="single"/>
        </w:rPr>
        <w:t>承包人应确保项目经理按其投标文件承诺及时到位，且在工程实施中不得随意更换；如确需更换，须经发包人同意；因承包人原因本合同每更换一人次扣5</w:t>
      </w:r>
      <w:r>
        <w:rPr>
          <w:color w:val="auto"/>
          <w:highlight w:val="none"/>
          <w:u w:val="single"/>
        </w:rPr>
        <w:t>0000元</w:t>
      </w:r>
      <w:r>
        <w:rPr>
          <w:rFonts w:hint="eastAsia"/>
          <w:color w:val="auto"/>
          <w:highlight w:val="none"/>
          <w:u w:val="single"/>
        </w:rPr>
        <w:t>违约金；未经发包人批准随意更换的，发包人有权加倍处罚。因个人突发疾病、伤亡等承包人无法控制的原因引起的人员变更，承包人出具符合要求的证明材料，可免于考核</w:t>
      </w:r>
      <w:r>
        <w:rPr>
          <w:rFonts w:hint="eastAsia"/>
          <w:color w:val="auto"/>
          <w:highlight w:val="none"/>
        </w:rPr>
        <w:t>。</w:t>
      </w:r>
    </w:p>
    <w:p w14:paraId="073BDC0A">
      <w:pPr>
        <w:adjustRightInd w:val="0"/>
        <w:snapToGrid w:val="0"/>
        <w:ind w:firstLine="480" w:firstLineChars="200"/>
        <w:rPr>
          <w:color w:val="auto"/>
          <w:highlight w:val="none"/>
        </w:rPr>
      </w:pPr>
      <w:r>
        <w:rPr>
          <w:rFonts w:hint="eastAsia"/>
          <w:color w:val="auto"/>
          <w:highlight w:val="none"/>
        </w:rPr>
        <w:t>承包人擅自更换其他</w:t>
      </w:r>
      <w:r>
        <w:rPr>
          <w:color w:val="auto"/>
          <w:highlight w:val="none"/>
        </w:rPr>
        <w:t>主要施工管理人员</w:t>
      </w:r>
      <w:r>
        <w:rPr>
          <w:rFonts w:hint="eastAsia"/>
          <w:color w:val="auto"/>
          <w:highlight w:val="none"/>
        </w:rPr>
        <w:t>的违约责任：</w:t>
      </w:r>
      <w:r>
        <w:rPr>
          <w:rFonts w:hint="eastAsia"/>
          <w:color w:val="auto"/>
          <w:highlight w:val="none"/>
          <w:u w:val="single"/>
        </w:rPr>
        <w:t>承包人应确保</w:t>
      </w:r>
      <w:r>
        <w:rPr>
          <w:color w:val="auto"/>
          <w:highlight w:val="none"/>
        </w:rPr>
        <w:t>主要施工管理人员</w:t>
      </w:r>
      <w:r>
        <w:rPr>
          <w:rFonts w:hint="eastAsia"/>
          <w:color w:val="auto"/>
          <w:highlight w:val="none"/>
          <w:u w:val="single"/>
        </w:rPr>
        <w:t>按其投标文件承诺及时到位，且在工程实施中不得随意更换；如确需更换，须经发包人同意；因承包人原因本合同每更换一人次扣30000元违约金；未经发包人批准随意更换的，发包人有权加倍处罚。因</w:t>
      </w:r>
      <w:r>
        <w:rPr>
          <w:rFonts w:hint="eastAsia" w:ascii="Times New Roman" w:hAnsi="Times New Roman" w:eastAsia="宋体" w:cs="Times New Roman"/>
          <w:color w:val="auto"/>
          <w:highlight w:val="none"/>
          <w:u w:val="single"/>
        </w:rPr>
        <w:t>个人突发疾病、伤亡等承包人无法控制的原因引起的人员变更，承包人出具符合要求的证明材料，</w:t>
      </w:r>
      <w:r>
        <w:rPr>
          <w:rFonts w:hint="eastAsia"/>
          <w:color w:val="auto"/>
          <w:highlight w:val="none"/>
          <w:u w:val="single"/>
        </w:rPr>
        <w:t>可免于考核</w:t>
      </w:r>
      <w:r>
        <w:rPr>
          <w:rFonts w:hint="eastAsia"/>
          <w:color w:val="auto"/>
          <w:highlight w:val="none"/>
        </w:rPr>
        <w:t>。</w:t>
      </w:r>
    </w:p>
    <w:p w14:paraId="0B71FD5F">
      <w:pPr>
        <w:pStyle w:val="4"/>
        <w:keepNext w:val="0"/>
        <w:keepLines w:val="0"/>
        <w:pageBreakBefore w:val="0"/>
        <w:widowControl w:val="0"/>
        <w:kinsoku/>
        <w:wordWrap/>
        <w:overflowPunct/>
        <w:topLinePunct w:val="0"/>
        <w:autoSpaceDE/>
        <w:autoSpaceDN/>
        <w:bidi w:val="0"/>
        <w:adjustRightInd/>
        <w:snapToGrid/>
        <w:ind w:left="0" w:leftChars="0" w:firstLine="480"/>
        <w:jc w:val="left"/>
        <w:textAlignment w:val="auto"/>
        <w:rPr>
          <w:color w:val="auto"/>
          <w:kern w:val="2"/>
          <w:sz w:val="24"/>
          <w:highlight w:val="none"/>
          <w:u w:val="single"/>
        </w:rPr>
      </w:pPr>
      <w:r>
        <w:rPr>
          <w:rFonts w:hint="eastAsia"/>
          <w:color w:val="auto"/>
          <w:kern w:val="2"/>
          <w:sz w:val="24"/>
          <w:highlight w:val="none"/>
          <w:u w:val="single"/>
        </w:rPr>
        <w:t>承包商关键人员变更除了按变更扣违约金，当变更率超过50%，追加处以合同额1%的违约金。</w:t>
      </w:r>
    </w:p>
    <w:p w14:paraId="4DECAF28">
      <w:pPr>
        <w:adjustRightInd w:val="0"/>
        <w:snapToGrid w:val="0"/>
        <w:ind w:firstLine="480" w:firstLineChars="200"/>
        <w:rPr>
          <w:color w:val="auto"/>
          <w:highlight w:val="none"/>
        </w:rPr>
      </w:pPr>
      <w:r>
        <w:rPr>
          <w:rFonts w:hint="eastAsia"/>
          <w:color w:val="auto"/>
          <w:highlight w:val="none"/>
        </w:rPr>
        <w:t>承包人项目经理未经监理人、</w:t>
      </w:r>
      <w:r>
        <w:rPr>
          <w:color w:val="auto"/>
          <w:highlight w:val="none"/>
        </w:rPr>
        <w:t>发包人</w:t>
      </w:r>
      <w:r>
        <w:rPr>
          <w:rFonts w:hint="eastAsia"/>
          <w:color w:val="auto"/>
          <w:highlight w:val="none"/>
        </w:rPr>
        <w:t>许可擅自离开施工现场连续超过3天或每月</w:t>
      </w:r>
      <w:r>
        <w:rPr>
          <w:color w:val="auto"/>
          <w:highlight w:val="none"/>
        </w:rPr>
        <w:t>累计超过</w:t>
      </w:r>
      <w:r>
        <w:rPr>
          <w:rFonts w:hint="eastAsia"/>
          <w:color w:val="auto"/>
          <w:highlight w:val="none"/>
        </w:rPr>
        <w:t>7</w:t>
      </w:r>
      <w:r>
        <w:rPr>
          <w:color w:val="auto"/>
          <w:highlight w:val="none"/>
        </w:rPr>
        <w:t>天</w:t>
      </w:r>
      <w:r>
        <w:rPr>
          <w:rFonts w:hint="eastAsia"/>
          <w:color w:val="auto"/>
          <w:highlight w:val="none"/>
        </w:rPr>
        <w:t>的违约责任：</w:t>
      </w:r>
      <w:r>
        <w:rPr>
          <w:rFonts w:hint="eastAsia"/>
          <w:color w:val="auto"/>
          <w:highlight w:val="none"/>
          <w:u w:val="single"/>
        </w:rPr>
        <w:t xml:space="preserve">  超过部分缺勤支付违约金1000元/天；每月出勤率不低于85%，连续缺勤导致每月工作时间少于正常出勤时间85％的，按更换一人次项目经理支付违约金</w:t>
      </w:r>
      <w:r>
        <w:rPr>
          <w:rFonts w:hint="eastAsia"/>
          <w:color w:val="auto"/>
          <w:highlight w:val="none"/>
        </w:rPr>
        <w:t>。</w:t>
      </w:r>
    </w:p>
    <w:p w14:paraId="28E23590">
      <w:pPr>
        <w:adjustRightInd w:val="0"/>
        <w:snapToGrid w:val="0"/>
        <w:ind w:firstLine="480" w:firstLineChars="200"/>
        <w:rPr>
          <w:color w:val="auto"/>
          <w:highlight w:val="none"/>
        </w:rPr>
      </w:pPr>
      <w:r>
        <w:rPr>
          <w:rFonts w:hint="eastAsia"/>
          <w:color w:val="auto"/>
          <w:highlight w:val="none"/>
        </w:rPr>
        <w:t>承包人其他主要施工管理人员未经监理人、</w:t>
      </w:r>
      <w:r>
        <w:rPr>
          <w:color w:val="auto"/>
          <w:highlight w:val="none"/>
        </w:rPr>
        <w:t>发包人</w:t>
      </w:r>
      <w:r>
        <w:rPr>
          <w:rFonts w:hint="eastAsia"/>
          <w:color w:val="auto"/>
          <w:highlight w:val="none"/>
        </w:rPr>
        <w:t>许可擅自离开施工现场连续超过3天或每月</w:t>
      </w:r>
      <w:r>
        <w:rPr>
          <w:color w:val="auto"/>
          <w:highlight w:val="none"/>
        </w:rPr>
        <w:t>累计超过</w:t>
      </w:r>
      <w:r>
        <w:rPr>
          <w:rFonts w:hint="eastAsia"/>
          <w:color w:val="auto"/>
          <w:highlight w:val="none"/>
        </w:rPr>
        <w:t>7</w:t>
      </w:r>
      <w:r>
        <w:rPr>
          <w:color w:val="auto"/>
          <w:highlight w:val="none"/>
        </w:rPr>
        <w:t>天</w:t>
      </w:r>
      <w:r>
        <w:rPr>
          <w:rFonts w:hint="eastAsia"/>
          <w:color w:val="auto"/>
          <w:highlight w:val="none"/>
        </w:rPr>
        <w:t>的，承担的违约责任：</w:t>
      </w:r>
      <w:r>
        <w:rPr>
          <w:rFonts w:hint="eastAsia"/>
          <w:color w:val="auto"/>
          <w:highlight w:val="none"/>
          <w:u w:val="single"/>
        </w:rPr>
        <w:t>超过部分缺勤支付违约金800元/天；每月出勤率不低于85%，连续缺勤导致每月工作时间少于正常出勤时间85％的，按更换一人次其他主要施工管理人员支付违约金</w:t>
      </w:r>
      <w:r>
        <w:rPr>
          <w:rFonts w:hint="eastAsia"/>
          <w:color w:val="auto"/>
          <w:highlight w:val="none"/>
        </w:rPr>
        <w:t>。</w:t>
      </w:r>
    </w:p>
    <w:p w14:paraId="72BF5250">
      <w:pPr>
        <w:pStyle w:val="4"/>
        <w:keepNext w:val="0"/>
        <w:keepLines w:val="0"/>
        <w:pageBreakBefore w:val="0"/>
        <w:widowControl w:val="0"/>
        <w:kinsoku/>
        <w:wordWrap/>
        <w:overflowPunct/>
        <w:topLinePunct w:val="0"/>
        <w:autoSpaceDE/>
        <w:autoSpaceDN/>
        <w:bidi w:val="0"/>
        <w:adjustRightInd/>
        <w:snapToGrid/>
        <w:ind w:left="0" w:leftChars="0" w:firstLine="400"/>
        <w:textAlignment w:val="auto"/>
        <w:rPr>
          <w:rFonts w:hint="eastAsia" w:ascii="Times New Roman" w:hAnsi="Times New Roman" w:eastAsia="宋体" w:cs="Times New Roman"/>
          <w:color w:val="auto"/>
          <w:kern w:val="2"/>
          <w:sz w:val="24"/>
          <w:szCs w:val="24"/>
          <w:highlight w:val="none"/>
          <w:u w:val="single"/>
          <w:lang w:val="en-US" w:eastAsia="zh-CN" w:bidi="ar-SA"/>
        </w:rPr>
      </w:pPr>
      <w:r>
        <w:rPr>
          <w:rFonts w:hint="eastAsia" w:ascii="Times New Roman" w:hAnsi="Times New Roman" w:eastAsia="宋体" w:cs="Times New Roman"/>
          <w:color w:val="auto"/>
          <w:kern w:val="2"/>
          <w:sz w:val="24"/>
          <w:szCs w:val="24"/>
          <w:highlight w:val="none"/>
          <w:lang w:val="en-US" w:eastAsia="zh-CN" w:bidi="ar-SA"/>
        </w:rPr>
        <w:t>因承包商关键人员有必要的会议和事务在厂外处理，故对公司门禁统计的到岗率要求如下：</w:t>
      </w:r>
      <w:r>
        <w:rPr>
          <w:rFonts w:hint="eastAsia" w:ascii="Times New Roman" w:hAnsi="Times New Roman" w:eastAsia="宋体" w:cs="Times New Roman"/>
          <w:color w:val="auto"/>
          <w:kern w:val="2"/>
          <w:sz w:val="24"/>
          <w:szCs w:val="24"/>
          <w:highlight w:val="none"/>
          <w:u w:val="single"/>
          <w:lang w:val="en-US" w:eastAsia="zh-CN" w:bidi="ar-SA"/>
        </w:rPr>
        <w:t>1）项目经理（总监、总代）到岗率要求低于85%的，每降低5%扣1分；高于85%的，每提高5%加1分。2）安全负责人到岗率要求低于85%的，每5%扣1分；高于85%的，每5%加1分。3）施工、质量负责人到岗率要求低于85%的，每5%扣1分；高于85%的，每5%加1分。4）技术负责人到岗率要求低于85%的，每5%扣1分；高于85%的，每5%加1分。加扣分以5分封顶。</w:t>
      </w:r>
    </w:p>
    <w:p w14:paraId="3331457A">
      <w:pPr>
        <w:adjustRightInd w:val="0"/>
        <w:snapToGrid w:val="0"/>
        <w:ind w:firstLine="482" w:firstLineChars="200"/>
        <w:rPr>
          <w:b/>
          <w:color w:val="auto"/>
          <w:highlight w:val="none"/>
        </w:rPr>
      </w:pPr>
      <w:r>
        <w:rPr>
          <w:rFonts w:hint="eastAsia"/>
          <w:b/>
          <w:color w:val="auto"/>
          <w:highlight w:val="none"/>
        </w:rPr>
        <w:t>3.7 工程照管与成品、半成品保护</w:t>
      </w:r>
    </w:p>
    <w:p w14:paraId="5450AFB4">
      <w:pPr>
        <w:adjustRightInd w:val="0"/>
        <w:snapToGrid w:val="0"/>
        <w:ind w:firstLine="480" w:firstLineChars="200"/>
        <w:rPr>
          <w:color w:val="auto"/>
          <w:highlight w:val="none"/>
        </w:rPr>
      </w:pPr>
      <w:r>
        <w:rPr>
          <w:rFonts w:hint="eastAsia"/>
          <w:color w:val="auto"/>
          <w:highlight w:val="none"/>
        </w:rPr>
        <w:t>3.7.1承包人负责照管</w:t>
      </w:r>
      <w:r>
        <w:rPr>
          <w:color w:val="auto"/>
          <w:highlight w:val="none"/>
        </w:rPr>
        <w:t>工程及工程相关的材料、工程设备</w:t>
      </w:r>
      <w:r>
        <w:rPr>
          <w:rFonts w:hint="eastAsia"/>
          <w:color w:val="auto"/>
          <w:highlight w:val="none"/>
        </w:rPr>
        <w:t>的约定：</w:t>
      </w:r>
      <w:r>
        <w:rPr>
          <w:rFonts w:hint="eastAsia"/>
          <w:color w:val="auto"/>
          <w:highlight w:val="none"/>
          <w:u w:val="single"/>
        </w:rPr>
        <w:t>执行通用合同条款</w:t>
      </w:r>
      <w:r>
        <w:rPr>
          <w:rFonts w:hint="eastAsia"/>
          <w:color w:val="auto"/>
          <w:highlight w:val="none"/>
        </w:rPr>
        <w:t>。</w:t>
      </w:r>
    </w:p>
    <w:p w14:paraId="61FD7CD3">
      <w:pPr>
        <w:adjustRightInd w:val="0"/>
        <w:snapToGrid w:val="0"/>
        <w:ind w:firstLine="482" w:firstLineChars="200"/>
        <w:rPr>
          <w:b/>
          <w:color w:val="auto"/>
          <w:highlight w:val="none"/>
        </w:rPr>
      </w:pPr>
      <w:r>
        <w:rPr>
          <w:rFonts w:hint="eastAsia"/>
          <w:b/>
          <w:color w:val="auto"/>
          <w:highlight w:val="none"/>
        </w:rPr>
        <w:t>3.8 履约担保</w:t>
      </w:r>
    </w:p>
    <w:p w14:paraId="7B349232">
      <w:pPr>
        <w:adjustRightInd w:val="0"/>
        <w:snapToGrid w:val="0"/>
        <w:ind w:firstLine="480" w:firstLineChars="200"/>
        <w:rPr>
          <w:color w:val="auto"/>
          <w:highlight w:val="none"/>
        </w:rPr>
      </w:pPr>
      <w:bookmarkStart w:id="870" w:name="_Toc940932517"/>
      <w:bookmarkStart w:id="871" w:name="_Toc6573"/>
      <w:bookmarkStart w:id="872" w:name="_Toc90117804"/>
      <w:r>
        <w:rPr>
          <w:rFonts w:hint="eastAsia"/>
          <w:color w:val="auto"/>
          <w:highlight w:val="none"/>
        </w:rPr>
        <w:t>3.8.1承包人提供履约担保的金额：</w:t>
      </w:r>
      <w:r>
        <w:rPr>
          <w:rFonts w:hint="eastAsia"/>
          <w:color w:val="auto"/>
          <w:highlight w:val="none"/>
          <w:u w:val="single"/>
        </w:rPr>
        <w:t>含税签约合同价款的</w:t>
      </w:r>
      <w:r>
        <w:rPr>
          <w:color w:val="auto"/>
          <w:highlight w:val="none"/>
          <w:u w:val="single"/>
        </w:rPr>
        <w:t>10</w:t>
      </w:r>
      <w:r>
        <w:rPr>
          <w:rFonts w:hint="eastAsia"/>
          <w:color w:val="auto"/>
          <w:highlight w:val="none"/>
          <w:u w:val="single"/>
        </w:rPr>
        <w:t>%。履约保函（保函应为无条件银行保函，格式参考发包人提供的承包人履约银行保函格式），中国石化直属企业执行中国石化相关文件。</w:t>
      </w:r>
    </w:p>
    <w:p w14:paraId="3026F4C1">
      <w:pPr>
        <w:adjustRightInd w:val="0"/>
        <w:snapToGrid w:val="0"/>
        <w:ind w:firstLine="480" w:firstLineChars="200"/>
        <w:rPr>
          <w:color w:val="auto"/>
          <w:highlight w:val="none"/>
        </w:rPr>
      </w:pPr>
      <w:r>
        <w:rPr>
          <w:rFonts w:hint="eastAsia"/>
          <w:color w:val="auto"/>
          <w:highlight w:val="none"/>
        </w:rPr>
        <w:t>承包人提供履约担保的期限：</w:t>
      </w:r>
      <w:r>
        <w:rPr>
          <w:rFonts w:hint="eastAsia"/>
          <w:color w:val="auto"/>
          <w:highlight w:val="none"/>
          <w:u w:val="single"/>
        </w:rPr>
        <w:t>合同签订后45天内（如不按时提交履约保函，影响工程进度款支付及农民工工资发放的责任在承包人），办理完竣工结算、移交固定资产，承包人提交《工程质量保修书》后，发包人在28天内将履约保函退还给承包人。</w:t>
      </w:r>
    </w:p>
    <w:p w14:paraId="6A7B219A">
      <w:pPr>
        <w:keepNext/>
        <w:keepLines/>
        <w:adjustRightInd w:val="0"/>
        <w:snapToGrid w:val="0"/>
        <w:outlineLvl w:val="1"/>
        <w:rPr>
          <w:rFonts w:ascii="Arial"/>
          <w:b/>
          <w:bCs/>
          <w:color w:val="auto"/>
          <w:szCs w:val="32"/>
          <w:highlight w:val="none"/>
        </w:rPr>
      </w:pPr>
      <w:bookmarkStart w:id="873" w:name="_Toc119953747"/>
      <w:bookmarkStart w:id="874" w:name="_Toc19981"/>
      <w:bookmarkStart w:id="875" w:name="_Toc256000080"/>
      <w:r>
        <w:rPr>
          <w:rFonts w:ascii="Arial"/>
          <w:b/>
          <w:bCs/>
          <w:color w:val="auto"/>
          <w:szCs w:val="32"/>
          <w:highlight w:val="none"/>
        </w:rPr>
        <w:t>4. 监理人</w:t>
      </w:r>
      <w:bookmarkEnd w:id="870"/>
      <w:bookmarkEnd w:id="871"/>
      <w:bookmarkEnd w:id="872"/>
      <w:bookmarkEnd w:id="873"/>
      <w:bookmarkEnd w:id="874"/>
      <w:bookmarkEnd w:id="875"/>
    </w:p>
    <w:p w14:paraId="60E185F4">
      <w:pPr>
        <w:adjustRightInd w:val="0"/>
        <w:snapToGrid w:val="0"/>
        <w:ind w:firstLine="482" w:firstLineChars="200"/>
        <w:rPr>
          <w:b/>
          <w:color w:val="auto"/>
          <w:highlight w:val="none"/>
        </w:rPr>
      </w:pPr>
      <w:r>
        <w:rPr>
          <w:rFonts w:hint="eastAsia"/>
          <w:b/>
          <w:color w:val="auto"/>
          <w:highlight w:val="none"/>
        </w:rPr>
        <w:t>4.1 监理人的职责和权力</w:t>
      </w:r>
    </w:p>
    <w:p w14:paraId="67F4E7E8">
      <w:pPr>
        <w:adjustRightInd w:val="0"/>
        <w:snapToGrid w:val="0"/>
        <w:ind w:firstLine="480" w:firstLineChars="200"/>
        <w:rPr>
          <w:color w:val="auto"/>
          <w:highlight w:val="none"/>
        </w:rPr>
      </w:pPr>
      <w:r>
        <w:rPr>
          <w:rFonts w:hint="eastAsia"/>
          <w:color w:val="auto"/>
          <w:highlight w:val="none"/>
        </w:rPr>
        <w:t>4.1.1</w:t>
      </w:r>
      <w:r>
        <w:rPr>
          <w:color w:val="auto"/>
          <w:highlight w:val="none"/>
        </w:rPr>
        <w:t xml:space="preserve"> </w:t>
      </w:r>
      <w:r>
        <w:rPr>
          <w:rFonts w:hint="eastAsia"/>
          <w:color w:val="auto"/>
          <w:highlight w:val="none"/>
        </w:rPr>
        <w:t>监理人须经发包人事先批准才能行使权力，包括：</w:t>
      </w:r>
      <w:r>
        <w:rPr>
          <w:rFonts w:hint="eastAsia"/>
          <w:color w:val="auto"/>
          <w:highlight w:val="none"/>
          <w:u w:val="single"/>
        </w:rPr>
        <w:t>①工程变更；②发布开工令、停工令、复工令；③工程款的审核；④分包商的审核；⑤工程索赔，具体见本工程项目监理合同</w:t>
      </w:r>
      <w:r>
        <w:rPr>
          <w:rFonts w:hint="eastAsia"/>
          <w:color w:val="auto"/>
          <w:highlight w:val="none"/>
        </w:rPr>
        <w:t>。</w:t>
      </w:r>
    </w:p>
    <w:p w14:paraId="4507033C">
      <w:pPr>
        <w:adjustRightInd w:val="0"/>
        <w:snapToGrid w:val="0"/>
        <w:ind w:firstLine="482" w:firstLineChars="200"/>
        <w:rPr>
          <w:b/>
          <w:color w:val="auto"/>
          <w:highlight w:val="none"/>
        </w:rPr>
      </w:pPr>
      <w:r>
        <w:rPr>
          <w:rFonts w:hint="eastAsia"/>
          <w:b/>
          <w:color w:val="auto"/>
          <w:highlight w:val="none"/>
        </w:rPr>
        <w:t>4.4 监理人的指示</w:t>
      </w:r>
    </w:p>
    <w:p w14:paraId="3D7FA24E">
      <w:pPr>
        <w:adjustRightInd w:val="0"/>
        <w:snapToGrid w:val="0"/>
        <w:ind w:firstLine="480" w:firstLineChars="200"/>
        <w:rPr>
          <w:color w:val="auto"/>
          <w:highlight w:val="none"/>
        </w:rPr>
      </w:pPr>
      <w:r>
        <w:rPr>
          <w:rFonts w:hint="eastAsia"/>
          <w:color w:val="auto"/>
          <w:highlight w:val="none"/>
        </w:rPr>
        <w:t>4.4.4 承包人从发包人等处取得指示的约定：</w:t>
      </w:r>
      <w:r>
        <w:rPr>
          <w:rFonts w:hint="eastAsia"/>
          <w:color w:val="auto"/>
          <w:highlight w:val="none"/>
          <w:u w:val="single"/>
        </w:rPr>
        <w:t>按照发包人与监理方签订的合同，依照法律、法规、工程建设有关质量标准及规范、设计文件和本工程施工合同，负责和主持整个项目的监理工作，在合同规定范围内，从项目施工开始至项目完工的全过程监理，即控制本工程的建设投资、建设工期、工程质量和HSE管理；进行工程建设合同管理、信息管理，协助发包人或发包人代表进行工程设计、采购和施工的管理，协调有关单位间的工作关系；向发包人提交完整的监理资料；提供工程保修和交工验收阶段的协助、配合工作，参与工程决算等。具体见本工程项目监理合同。</w:t>
      </w:r>
    </w:p>
    <w:p w14:paraId="385BE3A1">
      <w:pPr>
        <w:keepNext/>
        <w:keepLines/>
        <w:adjustRightInd w:val="0"/>
        <w:snapToGrid w:val="0"/>
        <w:outlineLvl w:val="1"/>
        <w:rPr>
          <w:rFonts w:ascii="Arial"/>
          <w:b/>
          <w:bCs/>
          <w:color w:val="auto"/>
          <w:szCs w:val="32"/>
          <w:highlight w:val="none"/>
        </w:rPr>
      </w:pPr>
      <w:bookmarkStart w:id="876" w:name="_Toc256000081"/>
      <w:bookmarkStart w:id="877" w:name="_Toc90117805"/>
      <w:bookmarkStart w:id="878" w:name="_Toc976287322"/>
      <w:bookmarkStart w:id="879" w:name="_Toc32305"/>
      <w:bookmarkStart w:id="880" w:name="_Toc119953748"/>
      <w:bookmarkStart w:id="881" w:name="_Toc14578"/>
      <w:r>
        <w:rPr>
          <w:rFonts w:ascii="Arial"/>
          <w:b/>
          <w:bCs/>
          <w:color w:val="auto"/>
          <w:szCs w:val="32"/>
          <w:highlight w:val="none"/>
        </w:rPr>
        <w:t>5. 工程质量</w:t>
      </w:r>
      <w:bookmarkEnd w:id="876"/>
      <w:bookmarkEnd w:id="877"/>
      <w:bookmarkEnd w:id="878"/>
      <w:bookmarkEnd w:id="879"/>
      <w:bookmarkEnd w:id="880"/>
      <w:bookmarkEnd w:id="881"/>
    </w:p>
    <w:p w14:paraId="50587EBA">
      <w:pPr>
        <w:adjustRightInd w:val="0"/>
        <w:snapToGrid w:val="0"/>
        <w:ind w:firstLine="482" w:firstLineChars="200"/>
        <w:rPr>
          <w:b/>
          <w:color w:val="auto"/>
          <w:highlight w:val="none"/>
        </w:rPr>
      </w:pPr>
      <w:r>
        <w:rPr>
          <w:rFonts w:hint="eastAsia"/>
          <w:b/>
          <w:color w:val="auto"/>
          <w:highlight w:val="none"/>
        </w:rPr>
        <w:t>5.3</w:t>
      </w:r>
      <w:r>
        <w:rPr>
          <w:b/>
          <w:color w:val="auto"/>
          <w:highlight w:val="none"/>
        </w:rPr>
        <w:t xml:space="preserve"> </w:t>
      </w:r>
      <w:r>
        <w:rPr>
          <w:rFonts w:hint="eastAsia"/>
          <w:b/>
          <w:color w:val="auto"/>
          <w:highlight w:val="none"/>
        </w:rPr>
        <w:t>工程隐蔽部位覆盖前的检查</w:t>
      </w:r>
    </w:p>
    <w:p w14:paraId="3521AC38">
      <w:pPr>
        <w:adjustRightInd w:val="0"/>
        <w:snapToGrid w:val="0"/>
        <w:ind w:firstLine="480" w:firstLineChars="200"/>
        <w:rPr>
          <w:color w:val="auto"/>
          <w:highlight w:val="none"/>
        </w:rPr>
      </w:pPr>
      <w:r>
        <w:rPr>
          <w:rFonts w:hint="eastAsia"/>
          <w:color w:val="auto"/>
          <w:highlight w:val="none"/>
        </w:rPr>
        <w:t>5.3</w:t>
      </w:r>
      <w:r>
        <w:rPr>
          <w:color w:val="auto"/>
          <w:highlight w:val="none"/>
        </w:rPr>
        <w:t xml:space="preserve">.3 </w:t>
      </w:r>
      <w:r>
        <w:rPr>
          <w:rFonts w:hint="eastAsia"/>
          <w:color w:val="auto"/>
          <w:highlight w:val="none"/>
        </w:rPr>
        <w:t>监理人重新检查</w:t>
      </w:r>
    </w:p>
    <w:p w14:paraId="67831662">
      <w:pPr>
        <w:adjustRightInd w:val="0"/>
        <w:snapToGrid w:val="0"/>
        <w:ind w:firstLine="480" w:firstLineChars="200"/>
        <w:rPr>
          <w:color w:val="auto"/>
          <w:highlight w:val="none"/>
        </w:rPr>
      </w:pPr>
      <w:r>
        <w:rPr>
          <w:rFonts w:hint="eastAsia"/>
          <w:color w:val="auto"/>
          <w:highlight w:val="none"/>
        </w:rPr>
        <w:t>承包人覆盖工程隐蔽部位后，监理人对质量有疑问，承包人对已覆盖的部位进行钻孔探测或揭开重新检验，并在检验后重新覆盖恢复原状。经检验证明工程质量符合合同要求的，由此造成的承包人费用增加和（或）工期延误承担的约定：</w:t>
      </w:r>
      <w:r>
        <w:rPr>
          <w:rFonts w:hint="eastAsia"/>
          <w:color w:val="auto"/>
          <w:highlight w:val="none"/>
          <w:u w:val="single"/>
        </w:rPr>
        <w:t>由发包人承担由此增加的费用和（或）工期延误。经检验证明工程质量不符合合同要求的，由此增加的费用和（或）工期延误由承包人承担</w:t>
      </w:r>
      <w:r>
        <w:rPr>
          <w:rFonts w:hint="eastAsia"/>
          <w:color w:val="auto"/>
          <w:highlight w:val="none"/>
        </w:rPr>
        <w:t>。</w:t>
      </w:r>
    </w:p>
    <w:p w14:paraId="459A13B3">
      <w:pPr>
        <w:adjustRightInd w:val="0"/>
        <w:snapToGrid w:val="0"/>
        <w:ind w:firstLine="482" w:firstLineChars="200"/>
        <w:rPr>
          <w:b/>
          <w:color w:val="auto"/>
          <w:highlight w:val="none"/>
        </w:rPr>
      </w:pPr>
      <w:r>
        <w:rPr>
          <w:b/>
          <w:color w:val="auto"/>
          <w:highlight w:val="none"/>
        </w:rPr>
        <w:t>5.</w:t>
      </w:r>
      <w:r>
        <w:rPr>
          <w:rFonts w:hint="eastAsia"/>
          <w:b/>
          <w:color w:val="auto"/>
          <w:highlight w:val="none"/>
        </w:rPr>
        <w:t>5</w:t>
      </w:r>
      <w:r>
        <w:rPr>
          <w:b/>
          <w:color w:val="auto"/>
          <w:highlight w:val="none"/>
        </w:rPr>
        <w:t xml:space="preserve"> 质量争议</w:t>
      </w:r>
    </w:p>
    <w:p w14:paraId="72C71A0B">
      <w:pPr>
        <w:adjustRightInd w:val="0"/>
        <w:snapToGrid w:val="0"/>
        <w:ind w:firstLine="480" w:firstLineChars="200"/>
        <w:rPr>
          <w:color w:val="auto"/>
          <w:highlight w:val="none"/>
        </w:rPr>
      </w:pPr>
      <w:r>
        <w:rPr>
          <w:rFonts w:hint="eastAsia"/>
          <w:color w:val="auto"/>
          <w:highlight w:val="none"/>
        </w:rPr>
        <w:t>合同当事人对工程质量有争议时，双方协商确定的工程质量检测机构：</w:t>
      </w:r>
      <w:r>
        <w:rPr>
          <w:rFonts w:hint="eastAsia"/>
          <w:color w:val="auto"/>
          <w:highlight w:val="none"/>
          <w:u w:val="single"/>
        </w:rPr>
        <w:t>石油化工工程质量监督总站华南监督站</w:t>
      </w:r>
      <w:r>
        <w:rPr>
          <w:rFonts w:hint="eastAsia"/>
          <w:color w:val="auto"/>
          <w:highlight w:val="none"/>
        </w:rPr>
        <w:t>。</w:t>
      </w:r>
    </w:p>
    <w:p w14:paraId="0E331E38">
      <w:pPr>
        <w:keepNext/>
        <w:keepLines/>
        <w:adjustRightInd w:val="0"/>
        <w:snapToGrid w:val="0"/>
        <w:outlineLvl w:val="1"/>
        <w:rPr>
          <w:rFonts w:ascii="Arial"/>
          <w:b/>
          <w:bCs/>
          <w:color w:val="auto"/>
          <w:szCs w:val="32"/>
          <w:highlight w:val="none"/>
        </w:rPr>
      </w:pPr>
      <w:bookmarkStart w:id="882" w:name="_Toc1628368686"/>
      <w:bookmarkStart w:id="883" w:name="_Toc25576"/>
      <w:bookmarkStart w:id="884" w:name="_Toc90117806"/>
      <w:bookmarkStart w:id="885" w:name="_Toc119953749"/>
      <w:bookmarkStart w:id="886" w:name="_Toc256000082"/>
      <w:bookmarkStart w:id="887" w:name="_Toc5822"/>
      <w:r>
        <w:rPr>
          <w:rFonts w:ascii="Arial"/>
          <w:b/>
          <w:bCs/>
          <w:color w:val="auto"/>
          <w:szCs w:val="32"/>
          <w:highlight w:val="none"/>
        </w:rPr>
        <w:t>6. 安全文明施工与环境保护</w:t>
      </w:r>
      <w:bookmarkEnd w:id="882"/>
      <w:bookmarkEnd w:id="883"/>
      <w:bookmarkEnd w:id="884"/>
      <w:bookmarkEnd w:id="885"/>
      <w:bookmarkEnd w:id="886"/>
      <w:bookmarkEnd w:id="887"/>
    </w:p>
    <w:p w14:paraId="1186DFD5">
      <w:pPr>
        <w:adjustRightInd w:val="0"/>
        <w:snapToGrid w:val="0"/>
        <w:ind w:firstLine="482" w:firstLineChars="200"/>
        <w:rPr>
          <w:b/>
          <w:color w:val="auto"/>
          <w:highlight w:val="none"/>
        </w:rPr>
      </w:pPr>
      <w:r>
        <w:rPr>
          <w:b/>
          <w:color w:val="auto"/>
          <w:highlight w:val="none"/>
        </w:rPr>
        <w:t>6.1</w:t>
      </w:r>
      <w:r>
        <w:rPr>
          <w:rFonts w:hint="eastAsia"/>
          <w:b/>
          <w:color w:val="auto"/>
          <w:highlight w:val="none"/>
        </w:rPr>
        <w:t xml:space="preserve"> </w:t>
      </w:r>
      <w:r>
        <w:rPr>
          <w:b/>
          <w:color w:val="auto"/>
          <w:highlight w:val="none"/>
        </w:rPr>
        <w:t>安全文明施工</w:t>
      </w:r>
    </w:p>
    <w:p w14:paraId="23964C5A">
      <w:pPr>
        <w:adjustRightInd w:val="0"/>
        <w:snapToGrid w:val="0"/>
        <w:ind w:firstLine="480" w:firstLineChars="200"/>
        <w:rPr>
          <w:color w:val="auto"/>
          <w:highlight w:val="none"/>
        </w:rPr>
      </w:pPr>
      <w:r>
        <w:rPr>
          <w:color w:val="auto"/>
          <w:highlight w:val="none"/>
        </w:rPr>
        <w:t>6.1.1安全生产要求</w:t>
      </w:r>
    </w:p>
    <w:p w14:paraId="56C6F493">
      <w:pPr>
        <w:adjustRightInd w:val="0"/>
        <w:snapToGrid w:val="0"/>
        <w:ind w:firstLine="480" w:firstLineChars="200"/>
        <w:rPr>
          <w:color w:val="auto"/>
          <w:highlight w:val="none"/>
        </w:rPr>
      </w:pPr>
      <w:r>
        <w:rPr>
          <w:rFonts w:hint="eastAsia"/>
          <w:color w:val="auto"/>
          <w:highlight w:val="none"/>
        </w:rPr>
        <w:t>（1）</w:t>
      </w:r>
      <w:r>
        <w:rPr>
          <w:color w:val="auto"/>
          <w:highlight w:val="none"/>
        </w:rPr>
        <w:t>有特别要求的施工项目安全生产标准化达标目标及相应事项</w:t>
      </w:r>
      <w:r>
        <w:rPr>
          <w:rFonts w:hint="eastAsia"/>
          <w:color w:val="auto"/>
          <w:highlight w:val="none"/>
        </w:rPr>
        <w:t>：</w:t>
      </w:r>
    </w:p>
    <w:p w14:paraId="6465948C">
      <w:pPr>
        <w:snapToGrid w:val="0"/>
        <w:ind w:firstLine="480" w:firstLineChars="200"/>
        <w:jc w:val="left"/>
        <w:rPr>
          <w:color w:val="auto"/>
          <w:highlight w:val="none"/>
          <w:u w:val="single"/>
        </w:rPr>
      </w:pPr>
      <w:r>
        <w:rPr>
          <w:rFonts w:hint="eastAsia"/>
          <w:color w:val="auto"/>
          <w:highlight w:val="none"/>
          <w:u w:val="single"/>
        </w:rPr>
        <w:t>1）按照《关于印发《工程建设项目承包商QHSE体系符合性评审指南（试行）》的通知》附件5 第4.9.1.1 在现场作业区域显著位置设置“七牌一图”、公共标识（包括：危险源告知牌、作业许可证票箱、警戒带、禁止类标志牌、警告类标志牌、指令类标志牌、提示类标志牌、消防类标志牌、道路类标志牌）、个体防护和职业病危害警示标识、告知牌、环境保护图形标志、维权信息告示牌等等。</w:t>
      </w:r>
    </w:p>
    <w:p w14:paraId="4EB1C41A">
      <w:pPr>
        <w:snapToGrid w:val="0"/>
        <w:ind w:firstLine="480" w:firstLineChars="200"/>
        <w:jc w:val="left"/>
        <w:rPr>
          <w:color w:val="auto"/>
          <w:highlight w:val="none"/>
          <w:u w:val="single"/>
        </w:rPr>
      </w:pPr>
      <w:r>
        <w:rPr>
          <w:rFonts w:hint="eastAsia"/>
          <w:color w:val="auto"/>
          <w:highlight w:val="none"/>
          <w:u w:val="single"/>
        </w:rPr>
        <w:t>2）承包人管理人员和施工人员进入厂区施工现场前，必须经过入厂安全教育，并经考核合格办理入厂证后，才能进入厂区施工。承包人必须根据工程特点对施工人员进行有针对性的安全教育。</w:t>
      </w:r>
    </w:p>
    <w:p w14:paraId="703204DC">
      <w:pPr>
        <w:snapToGrid w:val="0"/>
        <w:ind w:firstLine="480" w:firstLineChars="200"/>
        <w:jc w:val="left"/>
        <w:rPr>
          <w:color w:val="auto"/>
          <w:highlight w:val="none"/>
          <w:u w:val="single"/>
        </w:rPr>
      </w:pPr>
      <w:r>
        <w:rPr>
          <w:rFonts w:hint="eastAsia"/>
          <w:color w:val="auto"/>
          <w:highlight w:val="none"/>
          <w:u w:val="single"/>
        </w:rPr>
        <w:t>3）承包人应根据相关制度和规定，对施工人员进行安全、环境与健康（HSE）培训。</w:t>
      </w:r>
    </w:p>
    <w:p w14:paraId="59D4D158">
      <w:pPr>
        <w:snapToGrid w:val="0"/>
        <w:ind w:firstLine="480" w:firstLineChars="200"/>
        <w:jc w:val="left"/>
        <w:rPr>
          <w:color w:val="auto"/>
          <w:highlight w:val="none"/>
          <w:u w:val="single"/>
        </w:rPr>
      </w:pPr>
      <w:r>
        <w:rPr>
          <w:rFonts w:hint="eastAsia"/>
          <w:color w:val="auto"/>
          <w:highlight w:val="none"/>
          <w:u w:val="single"/>
        </w:rPr>
        <w:t>4）承包人应为施工人员提供符合国家标准的机械、设备和工具，并经常开展检查，确保机械、设备和工具的完好。</w:t>
      </w:r>
    </w:p>
    <w:p w14:paraId="1A6D4C39">
      <w:pPr>
        <w:snapToGrid w:val="0"/>
        <w:ind w:firstLine="480" w:firstLineChars="200"/>
        <w:jc w:val="left"/>
        <w:rPr>
          <w:color w:val="auto"/>
          <w:highlight w:val="none"/>
          <w:u w:val="single"/>
        </w:rPr>
      </w:pPr>
      <w:r>
        <w:rPr>
          <w:rFonts w:hint="eastAsia"/>
          <w:color w:val="auto"/>
          <w:highlight w:val="none"/>
          <w:u w:val="single"/>
        </w:rPr>
        <w:t>5）承包人应为施工人员提供符合标准的劳动保护和安全防护用品，并督促正确使用。</w:t>
      </w:r>
      <w:r>
        <w:rPr>
          <w:color w:val="auto"/>
          <w:highlight w:val="none"/>
          <w:u w:val="single"/>
        </w:rPr>
        <w:t>承包人的施工人员必须统一着装，佩戴符合安全要求的劳动防护用品。在交叉施工或与生产有交叉时应设置警戒线，且安全员必须进行旁站监护，安全员须配戴明显标识。</w:t>
      </w:r>
    </w:p>
    <w:p w14:paraId="06D6150F">
      <w:pPr>
        <w:snapToGrid w:val="0"/>
        <w:ind w:firstLine="480" w:firstLineChars="200"/>
        <w:jc w:val="left"/>
        <w:rPr>
          <w:color w:val="auto"/>
          <w:highlight w:val="none"/>
          <w:u w:val="single"/>
        </w:rPr>
      </w:pPr>
      <w:r>
        <w:rPr>
          <w:rFonts w:hint="eastAsia"/>
          <w:color w:val="auto"/>
          <w:highlight w:val="none"/>
          <w:u w:val="single"/>
        </w:rPr>
        <w:t>6）承包人在开工前必须按照有关规定编制施工组织设计和施工方案及专门安全技术措施方案，对施工人员进行安全技术交底，落实施工安全措施，按发包人有关规定办理安全作业许可审批手续方可施工。</w:t>
      </w:r>
    </w:p>
    <w:p w14:paraId="2F06D529">
      <w:pPr>
        <w:snapToGrid w:val="0"/>
        <w:ind w:firstLine="480" w:firstLineChars="200"/>
        <w:jc w:val="left"/>
        <w:rPr>
          <w:color w:val="auto"/>
          <w:highlight w:val="none"/>
          <w:u w:val="single"/>
        </w:rPr>
      </w:pPr>
      <w:r>
        <w:rPr>
          <w:rFonts w:hint="eastAsia"/>
          <w:color w:val="auto"/>
          <w:highlight w:val="none"/>
          <w:u w:val="single"/>
        </w:rPr>
        <w:t>7）在施工过程中，如遇到突发的地质变动、不明液体或气体逸放、不明管道或电缆、未知的地下障碍物等影响施工安全的紧急情况，承包人应紧急停工，及时报告监理人和发包人，发包人应及时组织应急处置并进行调查分析，采取可靠措施处理。</w:t>
      </w:r>
    </w:p>
    <w:p w14:paraId="70BAF129">
      <w:pPr>
        <w:snapToGrid w:val="0"/>
        <w:ind w:firstLine="480" w:firstLineChars="200"/>
        <w:jc w:val="left"/>
        <w:rPr>
          <w:color w:val="auto"/>
          <w:highlight w:val="none"/>
          <w:u w:val="single"/>
        </w:rPr>
      </w:pPr>
      <w:r>
        <w:rPr>
          <w:rFonts w:hint="eastAsia"/>
          <w:color w:val="auto"/>
          <w:highlight w:val="none"/>
          <w:u w:val="single"/>
        </w:rPr>
        <w:t>8）承包人应建立健全执行本合同的HSE管理体系并确保体系正常运行，所有施工作业必须进行危害分析和风险评估，制定相应的风险控制措施和应急预案，并逐项检查落实。及时报告安全生产事故事件及其他重要事项，如实编制工程安全生产的有关周、月报及其他相关记录。</w:t>
      </w:r>
    </w:p>
    <w:p w14:paraId="5574F091">
      <w:pPr>
        <w:snapToGrid w:val="0"/>
        <w:ind w:firstLine="480" w:firstLineChars="200"/>
        <w:jc w:val="left"/>
        <w:rPr>
          <w:color w:val="auto"/>
          <w:highlight w:val="none"/>
          <w:u w:val="single"/>
        </w:rPr>
      </w:pPr>
      <w:r>
        <w:rPr>
          <w:rFonts w:hint="eastAsia"/>
          <w:color w:val="auto"/>
          <w:highlight w:val="none"/>
          <w:u w:val="single"/>
        </w:rPr>
        <w:t>9）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7748DE80">
      <w:pPr>
        <w:snapToGrid w:val="0"/>
        <w:ind w:firstLine="480" w:firstLineChars="200"/>
        <w:jc w:val="left"/>
        <w:rPr>
          <w:color w:val="auto"/>
          <w:highlight w:val="none"/>
          <w:u w:val="single"/>
        </w:rPr>
      </w:pPr>
      <w:r>
        <w:rPr>
          <w:rFonts w:hint="eastAsia"/>
          <w:color w:val="auto"/>
          <w:highlight w:val="none"/>
          <w:u w:val="single"/>
        </w:rPr>
        <w:t>10）承包人需严格执行双方签署的《HSE管理协议》规定，遵守国家和地方有关法律、法规、标准、规范，遵守发包人HSE管理规定，按照《中国石化承包商安全监督管理办法》（中国石化安〔2017〕603号）、《茂名石化承包商管理程序》、《中国石油化工集团有限公司总经理令（第2号）》、《茂名石化安全生产“第1号”工作令》等相关规定执行，服从发包人各级安全管理部门和单位的安全监督管理。服从发包人各级安全管理部门和单位的安全监督管理。将工程项目进行分包的，承包人对分包单位施工安全负总责。</w:t>
      </w:r>
    </w:p>
    <w:p w14:paraId="2B450EDC">
      <w:pPr>
        <w:snapToGrid w:val="0"/>
        <w:ind w:firstLine="480" w:firstLineChars="200"/>
        <w:jc w:val="left"/>
        <w:rPr>
          <w:color w:val="auto"/>
          <w:highlight w:val="none"/>
          <w:u w:val="single"/>
        </w:rPr>
      </w:pPr>
      <w:r>
        <w:rPr>
          <w:rFonts w:hint="eastAsia"/>
          <w:color w:val="auto"/>
          <w:highlight w:val="none"/>
          <w:u w:val="single"/>
        </w:rPr>
        <w:t>11）由于施工人员的违章作业或安全措施不落实或者承包人的施工安全管理不到位所造成的一切事故责任均由承包人负责，对发包人生产设施、设备造成的损坏及其它有关损失由承包人负责赔偿，并追究承包人相关人员的法律责任。非承包人责任造成的事故，由责任方承担责任和有关费用。</w:t>
      </w:r>
    </w:p>
    <w:p w14:paraId="1C533D36">
      <w:pPr>
        <w:snapToGrid w:val="0"/>
        <w:ind w:firstLine="480" w:firstLineChars="200"/>
        <w:jc w:val="left"/>
        <w:rPr>
          <w:color w:val="auto"/>
          <w:highlight w:val="none"/>
          <w:u w:val="single"/>
        </w:rPr>
      </w:pPr>
      <w:r>
        <w:rPr>
          <w:rFonts w:hint="eastAsia"/>
          <w:color w:val="auto"/>
          <w:highlight w:val="none"/>
          <w:u w:val="single"/>
        </w:rPr>
        <w:t>12）本工程在整个施工期间杜绝一切人身伤亡和重大质量安全事故，如发生上述事故，则视为承包人违约。承包人在施工中发生的各种违反HSE管理制度、规定的行为，经发包人安全管理部门查实后，将严格按合同条款和发包人有关管理规定进行处罚并要求承包人赔偿相应损失，并视严重程度给予停止资格复审、终止合同直至清退。</w:t>
      </w:r>
    </w:p>
    <w:p w14:paraId="596EF598">
      <w:pPr>
        <w:adjustRightInd w:val="0"/>
        <w:snapToGrid w:val="0"/>
        <w:ind w:firstLine="480" w:firstLineChars="200"/>
        <w:rPr>
          <w:color w:val="auto"/>
          <w:highlight w:val="none"/>
        </w:rPr>
      </w:pPr>
      <w:r>
        <w:rPr>
          <w:rFonts w:hint="eastAsia"/>
          <w:color w:val="auto"/>
          <w:highlight w:val="none"/>
          <w:u w:val="single"/>
        </w:rPr>
        <w:t>13）发、承包人双方对事故责任有争议时，应按地方政府主管部门的认定处理</w:t>
      </w:r>
      <w:r>
        <w:rPr>
          <w:rFonts w:hint="eastAsia"/>
          <w:color w:val="auto"/>
          <w:highlight w:val="none"/>
        </w:rPr>
        <w:t>。</w:t>
      </w:r>
    </w:p>
    <w:p w14:paraId="18615681">
      <w:pPr>
        <w:adjustRightInd w:val="0"/>
        <w:snapToGrid w:val="0"/>
        <w:ind w:firstLine="480" w:firstLineChars="200"/>
        <w:rPr>
          <w:color w:val="auto"/>
          <w:highlight w:val="none"/>
        </w:rPr>
      </w:pPr>
      <w:r>
        <w:rPr>
          <w:color w:val="auto"/>
          <w:highlight w:val="none"/>
        </w:rPr>
        <w:t>6.1.4 治安保卫</w:t>
      </w:r>
    </w:p>
    <w:p w14:paraId="336DBE21">
      <w:pPr>
        <w:adjustRightInd w:val="0"/>
        <w:snapToGrid w:val="0"/>
        <w:ind w:firstLine="480" w:firstLineChars="200"/>
        <w:rPr>
          <w:color w:val="auto"/>
          <w:highlight w:val="none"/>
        </w:rPr>
      </w:pPr>
      <w:r>
        <w:rPr>
          <w:rFonts w:hint="eastAsia"/>
          <w:color w:val="auto"/>
          <w:highlight w:val="none"/>
        </w:rPr>
        <w:t>（2）治安保卫的约定：</w:t>
      </w:r>
      <w:r>
        <w:rPr>
          <w:rFonts w:hint="eastAsia"/>
          <w:color w:val="auto"/>
          <w:highlight w:val="none"/>
          <w:u w:val="single"/>
        </w:rPr>
        <w:t>施工现场的安全保卫工作（包括此项工作发生的费用）均由承包人承担</w:t>
      </w:r>
      <w:r>
        <w:rPr>
          <w:color w:val="auto"/>
          <w:highlight w:val="none"/>
        </w:rPr>
        <w:t>。</w:t>
      </w:r>
    </w:p>
    <w:p w14:paraId="53FD2C97">
      <w:pPr>
        <w:adjustRightInd w:val="0"/>
        <w:snapToGrid w:val="0"/>
        <w:ind w:firstLine="480" w:firstLineChars="200"/>
        <w:rPr>
          <w:color w:val="auto"/>
          <w:highlight w:val="none"/>
        </w:rPr>
      </w:pPr>
      <w:r>
        <w:rPr>
          <w:rFonts w:hint="eastAsia"/>
          <w:color w:val="auto"/>
          <w:highlight w:val="none"/>
        </w:rPr>
        <w:t>（4）</w:t>
      </w:r>
      <w:r>
        <w:rPr>
          <w:color w:val="auto"/>
          <w:highlight w:val="none"/>
        </w:rPr>
        <w:t>编制施工场地治安管理计划，制定应对突发治安事件的紧急预案</w:t>
      </w:r>
      <w:r>
        <w:rPr>
          <w:rFonts w:hint="eastAsia"/>
          <w:color w:val="auto"/>
          <w:highlight w:val="none"/>
        </w:rPr>
        <w:t>的约定：</w:t>
      </w:r>
      <w:r>
        <w:rPr>
          <w:rFonts w:hint="eastAsia"/>
          <w:color w:val="auto"/>
          <w:highlight w:val="none"/>
          <w:u w:val="single"/>
        </w:rPr>
        <w:t>执行通用合同条款</w:t>
      </w:r>
      <w:r>
        <w:rPr>
          <w:rFonts w:hint="eastAsia"/>
          <w:color w:val="auto"/>
          <w:highlight w:val="none"/>
        </w:rPr>
        <w:t>。</w:t>
      </w:r>
    </w:p>
    <w:p w14:paraId="4B9EDB77">
      <w:pPr>
        <w:adjustRightInd w:val="0"/>
        <w:snapToGrid w:val="0"/>
        <w:ind w:firstLine="480" w:firstLineChars="200"/>
        <w:rPr>
          <w:color w:val="auto"/>
          <w:highlight w:val="none"/>
        </w:rPr>
      </w:pPr>
      <w:r>
        <w:rPr>
          <w:color w:val="auto"/>
          <w:highlight w:val="none"/>
        </w:rPr>
        <w:t>6.1.5 文明施工</w:t>
      </w:r>
    </w:p>
    <w:p w14:paraId="22AEF0AC">
      <w:pPr>
        <w:adjustRightInd w:val="0"/>
        <w:snapToGrid w:val="0"/>
        <w:ind w:firstLine="480" w:firstLineChars="200"/>
        <w:rPr>
          <w:color w:val="auto"/>
          <w:highlight w:val="none"/>
        </w:rPr>
      </w:pPr>
      <w:r>
        <w:rPr>
          <w:rFonts w:hint="eastAsia"/>
          <w:color w:val="auto"/>
          <w:highlight w:val="none"/>
        </w:rPr>
        <w:t>（1）合同当事人对文明施工的其他要求：施</w:t>
      </w:r>
      <w:r>
        <w:rPr>
          <w:rFonts w:hint="eastAsia"/>
          <w:color w:val="auto"/>
          <w:highlight w:val="none"/>
          <w:u w:val="single"/>
        </w:rPr>
        <w:t>工现场管理按中国石化《标准化工地建设指南》及发包人《文明施工TnPM管理方案》执行。承包人应保持现场不堆积因检测造成的废料、污染源和垃圾，保证施工现场和临时堆料场处于干净、整洁、安全状态，工程施工期间做好成品保护</w:t>
      </w:r>
      <w:r>
        <w:rPr>
          <w:color w:val="auto"/>
          <w:highlight w:val="none"/>
          <w:u w:val="single"/>
        </w:rPr>
        <w:t>；否则发包人有权处理，由此引起费用完全由承包人承担</w:t>
      </w:r>
      <w:r>
        <w:rPr>
          <w:rFonts w:hint="eastAsia"/>
          <w:color w:val="auto"/>
          <w:highlight w:val="none"/>
        </w:rPr>
        <w:t>。</w:t>
      </w:r>
    </w:p>
    <w:p w14:paraId="735FA4AF">
      <w:pPr>
        <w:adjustRightInd w:val="0"/>
        <w:snapToGrid w:val="0"/>
        <w:ind w:firstLine="480" w:firstLineChars="200"/>
        <w:rPr>
          <w:color w:val="auto"/>
          <w:highlight w:val="none"/>
        </w:rPr>
      </w:pPr>
      <w:r>
        <w:rPr>
          <w:color w:val="auto"/>
          <w:highlight w:val="none"/>
        </w:rPr>
        <w:t xml:space="preserve">6.1.6 </w:t>
      </w:r>
      <w:r>
        <w:rPr>
          <w:rFonts w:hint="eastAsia"/>
          <w:color w:val="auto"/>
          <w:highlight w:val="none"/>
        </w:rPr>
        <w:t>安全生产、文明施工费</w:t>
      </w:r>
    </w:p>
    <w:p w14:paraId="1FF2CD15">
      <w:pPr>
        <w:adjustRightInd w:val="0"/>
        <w:snapToGrid w:val="0"/>
        <w:ind w:firstLine="480" w:firstLineChars="200"/>
        <w:rPr>
          <w:color w:val="auto"/>
          <w:highlight w:val="none"/>
        </w:rPr>
      </w:pPr>
      <w:r>
        <w:rPr>
          <w:rFonts w:hint="eastAsia"/>
          <w:color w:val="auto"/>
          <w:highlight w:val="none"/>
        </w:rPr>
        <w:t>（3）安全生产、文明施工费支付比例和支付期限的约定：</w:t>
      </w:r>
      <w:r>
        <w:rPr>
          <w:rFonts w:hint="eastAsia"/>
          <w:color w:val="auto"/>
          <w:highlight w:val="none"/>
          <w:u w:val="single"/>
        </w:rPr>
        <w:t>执行通用合同条款</w:t>
      </w:r>
      <w:r>
        <w:rPr>
          <w:rFonts w:hint="eastAsia"/>
          <w:color w:val="auto"/>
          <w:highlight w:val="none"/>
        </w:rPr>
        <w:t>。</w:t>
      </w:r>
    </w:p>
    <w:p w14:paraId="136DC674">
      <w:pPr>
        <w:adjustRightInd w:val="0"/>
        <w:snapToGrid w:val="0"/>
        <w:ind w:firstLine="480" w:firstLineChars="200"/>
        <w:rPr>
          <w:color w:val="auto"/>
          <w:highlight w:val="none"/>
        </w:rPr>
      </w:pPr>
      <w:r>
        <w:rPr>
          <w:color w:val="auto"/>
          <w:highlight w:val="none"/>
        </w:rPr>
        <w:t>6.1.9 安全生产责任</w:t>
      </w:r>
    </w:p>
    <w:p w14:paraId="478F8BE2">
      <w:pPr>
        <w:adjustRightInd w:val="0"/>
        <w:snapToGrid w:val="0"/>
        <w:ind w:firstLine="480" w:firstLineChars="200"/>
        <w:rPr>
          <w:color w:val="auto"/>
          <w:highlight w:val="none"/>
        </w:rPr>
      </w:pPr>
      <w:r>
        <w:rPr>
          <w:color w:val="auto"/>
          <w:highlight w:val="none"/>
        </w:rPr>
        <w:t>6.1.9.1 发包人的安全责任</w:t>
      </w:r>
    </w:p>
    <w:p w14:paraId="309B7EA6">
      <w:pPr>
        <w:adjustRightInd w:val="0"/>
        <w:snapToGrid w:val="0"/>
        <w:ind w:firstLine="480" w:firstLineChars="200"/>
        <w:rPr>
          <w:color w:val="auto"/>
          <w:highlight w:val="none"/>
        </w:rPr>
      </w:pPr>
      <w:r>
        <w:rPr>
          <w:color w:val="auto"/>
          <w:highlight w:val="none"/>
        </w:rPr>
        <w:t>发包人负责赔偿</w:t>
      </w:r>
      <w:r>
        <w:rPr>
          <w:rFonts w:hint="eastAsia"/>
          <w:color w:val="auto"/>
          <w:highlight w:val="none"/>
        </w:rPr>
        <w:t>的约定：</w:t>
      </w:r>
      <w:r>
        <w:rPr>
          <w:rFonts w:hint="eastAsia"/>
          <w:color w:val="auto"/>
          <w:highlight w:val="none"/>
          <w:u w:val="single"/>
        </w:rPr>
        <w:t>执行通用合同条款</w:t>
      </w:r>
      <w:r>
        <w:rPr>
          <w:rFonts w:hint="eastAsia"/>
          <w:color w:val="auto"/>
          <w:highlight w:val="none"/>
        </w:rPr>
        <w:t>。</w:t>
      </w:r>
    </w:p>
    <w:p w14:paraId="18FFDE0A">
      <w:pPr>
        <w:keepNext/>
        <w:keepLines/>
        <w:adjustRightInd w:val="0"/>
        <w:snapToGrid w:val="0"/>
        <w:outlineLvl w:val="1"/>
        <w:rPr>
          <w:rFonts w:ascii="Arial"/>
          <w:b/>
          <w:bCs/>
          <w:color w:val="auto"/>
          <w:szCs w:val="32"/>
          <w:highlight w:val="none"/>
        </w:rPr>
      </w:pPr>
      <w:bookmarkStart w:id="888" w:name="_Toc11367"/>
      <w:bookmarkStart w:id="889" w:name="_Toc119953750"/>
      <w:bookmarkStart w:id="890" w:name="_Toc256000083"/>
      <w:bookmarkStart w:id="891" w:name="_Toc1782731168"/>
      <w:bookmarkStart w:id="892" w:name="_Toc20249"/>
      <w:bookmarkStart w:id="893" w:name="_Toc90117807"/>
      <w:r>
        <w:rPr>
          <w:rFonts w:ascii="Arial"/>
          <w:b/>
          <w:bCs/>
          <w:color w:val="auto"/>
          <w:szCs w:val="32"/>
          <w:highlight w:val="none"/>
        </w:rPr>
        <w:t>7. 工期和进度</w:t>
      </w:r>
      <w:bookmarkEnd w:id="888"/>
      <w:bookmarkEnd w:id="889"/>
      <w:bookmarkEnd w:id="890"/>
      <w:bookmarkEnd w:id="891"/>
      <w:bookmarkEnd w:id="892"/>
      <w:bookmarkEnd w:id="893"/>
    </w:p>
    <w:p w14:paraId="1586D964">
      <w:pPr>
        <w:adjustRightInd w:val="0"/>
        <w:snapToGrid w:val="0"/>
        <w:ind w:firstLine="482" w:firstLineChars="200"/>
        <w:rPr>
          <w:b/>
          <w:color w:val="auto"/>
          <w:highlight w:val="none"/>
        </w:rPr>
      </w:pPr>
      <w:r>
        <w:rPr>
          <w:b/>
          <w:color w:val="auto"/>
          <w:highlight w:val="none"/>
        </w:rPr>
        <w:t>7.1</w:t>
      </w:r>
      <w:r>
        <w:rPr>
          <w:rFonts w:hint="eastAsia"/>
          <w:b/>
          <w:color w:val="auto"/>
          <w:highlight w:val="none"/>
        </w:rPr>
        <w:t xml:space="preserve"> </w:t>
      </w:r>
      <w:r>
        <w:rPr>
          <w:b/>
          <w:color w:val="auto"/>
          <w:highlight w:val="none"/>
        </w:rPr>
        <w:t>施工组织设计</w:t>
      </w:r>
    </w:p>
    <w:p w14:paraId="4332015E">
      <w:pPr>
        <w:adjustRightInd w:val="0"/>
        <w:snapToGrid w:val="0"/>
        <w:ind w:firstLine="480" w:firstLineChars="200"/>
        <w:rPr>
          <w:color w:val="auto"/>
          <w:highlight w:val="none"/>
        </w:rPr>
      </w:pPr>
      <w:r>
        <w:rPr>
          <w:color w:val="auto"/>
          <w:highlight w:val="none"/>
        </w:rPr>
        <w:t>7.1.2 施工组织设计的提交和修改</w:t>
      </w:r>
    </w:p>
    <w:p w14:paraId="646E2C5D">
      <w:pPr>
        <w:adjustRightInd w:val="0"/>
        <w:snapToGrid w:val="0"/>
        <w:ind w:firstLine="480" w:firstLineChars="200"/>
        <w:rPr>
          <w:color w:val="auto"/>
          <w:highlight w:val="none"/>
        </w:rPr>
      </w:pPr>
      <w:r>
        <w:rPr>
          <w:color w:val="auto"/>
          <w:highlight w:val="none"/>
        </w:rPr>
        <w:t>施工组织设计</w:t>
      </w:r>
      <w:r>
        <w:rPr>
          <w:rFonts w:hint="eastAsia"/>
          <w:color w:val="auto"/>
          <w:highlight w:val="none"/>
        </w:rPr>
        <w:t>提交的时间：</w:t>
      </w:r>
      <w:r>
        <w:rPr>
          <w:rFonts w:hint="eastAsia"/>
          <w:color w:val="auto"/>
          <w:highlight w:val="none"/>
          <w:u w:val="single"/>
        </w:rPr>
        <w:t>合同签订后14天内</w:t>
      </w:r>
      <w:r>
        <w:rPr>
          <w:rFonts w:hint="eastAsia"/>
          <w:color w:val="auto"/>
          <w:highlight w:val="none"/>
        </w:rPr>
        <w:t>。</w:t>
      </w:r>
    </w:p>
    <w:p w14:paraId="5736421E">
      <w:pPr>
        <w:adjustRightInd w:val="0"/>
        <w:snapToGrid w:val="0"/>
        <w:ind w:firstLine="480" w:firstLineChars="200"/>
        <w:rPr>
          <w:color w:val="auto"/>
          <w:highlight w:val="none"/>
        </w:rPr>
      </w:pPr>
      <w:r>
        <w:rPr>
          <w:color w:val="auto"/>
          <w:highlight w:val="none"/>
        </w:rPr>
        <w:t>施工组织设计</w:t>
      </w:r>
      <w:r>
        <w:rPr>
          <w:rFonts w:hint="eastAsia"/>
          <w:color w:val="auto"/>
          <w:highlight w:val="none"/>
        </w:rPr>
        <w:t>提交的份数：</w:t>
      </w:r>
      <w:r>
        <w:rPr>
          <w:rFonts w:hint="eastAsia"/>
          <w:color w:val="auto"/>
          <w:highlight w:val="none"/>
          <w:u w:val="single"/>
        </w:rPr>
        <w:t>一式四份。在施工过程中，承包人改变方案，必须征得发包人同意。</w:t>
      </w:r>
    </w:p>
    <w:p w14:paraId="78BFE0A7">
      <w:pPr>
        <w:adjustRightInd w:val="0"/>
        <w:snapToGrid w:val="0"/>
        <w:ind w:firstLine="482" w:firstLineChars="200"/>
        <w:rPr>
          <w:b/>
          <w:color w:val="auto"/>
          <w:highlight w:val="none"/>
        </w:rPr>
      </w:pPr>
      <w:r>
        <w:rPr>
          <w:b/>
          <w:color w:val="auto"/>
          <w:highlight w:val="none"/>
        </w:rPr>
        <w:t>7.2 施工进度计划</w:t>
      </w:r>
    </w:p>
    <w:p w14:paraId="37959CBE">
      <w:pPr>
        <w:adjustRightInd w:val="0"/>
        <w:snapToGrid w:val="0"/>
        <w:ind w:firstLine="480" w:firstLineChars="200"/>
        <w:rPr>
          <w:color w:val="auto"/>
          <w:highlight w:val="none"/>
        </w:rPr>
      </w:pPr>
      <w:r>
        <w:rPr>
          <w:color w:val="auto"/>
          <w:highlight w:val="none"/>
        </w:rPr>
        <w:t>7.2.2 施工进度计划的修订</w:t>
      </w:r>
    </w:p>
    <w:p w14:paraId="455D5319">
      <w:pPr>
        <w:adjustRightInd w:val="0"/>
        <w:snapToGrid w:val="0"/>
        <w:ind w:firstLine="480" w:firstLineChars="200"/>
        <w:rPr>
          <w:color w:val="auto"/>
          <w:highlight w:val="none"/>
          <w:u w:val="single"/>
        </w:rPr>
      </w:pPr>
      <w:r>
        <w:rPr>
          <w:color w:val="auto"/>
          <w:highlight w:val="none"/>
        </w:rPr>
        <w:t>监理人收到修订的施工进度计划完成审核和批准或提出修改意见</w:t>
      </w:r>
      <w:r>
        <w:rPr>
          <w:rFonts w:hint="eastAsia"/>
          <w:color w:val="auto"/>
          <w:highlight w:val="none"/>
        </w:rPr>
        <w:t>的期限：</w:t>
      </w:r>
      <w:r>
        <w:rPr>
          <w:rFonts w:hint="eastAsia"/>
          <w:color w:val="auto"/>
          <w:highlight w:val="none"/>
          <w:u w:val="single"/>
        </w:rPr>
        <w:t>在承包人提供施工进度计划后七天内审定完毕；若发包人对其施工进度计划提出质疑或要求承包人进行修正，承包人在规定期限内应提供修正的施工进度计划，发包人应在七日内对承包人修正的施工进度计划进行最后审定。</w:t>
      </w:r>
    </w:p>
    <w:p w14:paraId="4DE4A8E4">
      <w:pPr>
        <w:adjustRightInd w:val="0"/>
        <w:snapToGrid w:val="0"/>
        <w:ind w:firstLine="480" w:firstLineChars="200"/>
        <w:rPr>
          <w:color w:val="auto"/>
          <w:highlight w:val="none"/>
          <w:u w:val="single"/>
        </w:rPr>
      </w:pPr>
      <w:r>
        <w:rPr>
          <w:rFonts w:hint="eastAsia"/>
          <w:color w:val="auto"/>
          <w:highlight w:val="none"/>
          <w:u w:val="single"/>
        </w:rPr>
        <w:t>①因发包人原因造成停工的，监理工程师应在同承包人商议之后决定交工时间延长的期限；因承包人原因造成停工的，工期不予顺延。</w:t>
      </w:r>
    </w:p>
    <w:p w14:paraId="39BA5705">
      <w:pPr>
        <w:adjustRightInd w:val="0"/>
        <w:snapToGrid w:val="0"/>
        <w:ind w:firstLine="480" w:firstLineChars="200"/>
        <w:rPr>
          <w:color w:val="auto"/>
          <w:highlight w:val="none"/>
          <w:u w:val="single"/>
        </w:rPr>
      </w:pPr>
      <w:r>
        <w:rPr>
          <w:rFonts w:hint="eastAsia"/>
          <w:color w:val="auto"/>
          <w:highlight w:val="none"/>
          <w:u w:val="single"/>
        </w:rPr>
        <w:t>②承包人必须按工期编制出详细的施工进度计划，包括网络计划和关键控制日期表提交监理工程师，监理工程师以此为依据检查承包人的施工进度，如达不到要求，监理工程师将督促承包人采取措施完成进度。</w:t>
      </w:r>
    </w:p>
    <w:p w14:paraId="147BA775">
      <w:pPr>
        <w:adjustRightInd w:val="0"/>
        <w:snapToGrid w:val="0"/>
        <w:ind w:firstLine="480" w:firstLineChars="200"/>
        <w:rPr>
          <w:color w:val="auto"/>
          <w:highlight w:val="none"/>
          <w:u w:val="single"/>
        </w:rPr>
      </w:pPr>
      <w:r>
        <w:rPr>
          <w:rFonts w:hint="eastAsia"/>
          <w:color w:val="auto"/>
          <w:highlight w:val="none"/>
          <w:u w:val="single"/>
        </w:rPr>
        <w:t>③承包人必须按监理工程师确认的进度计划组织施工，接受监理工程师对进度的检查、监督。工程实际进度与经确认的进度计划不符时，承包人应按监理工程师的要求提出改进措施，经监理工程师确认后执行。</w:t>
      </w:r>
    </w:p>
    <w:p w14:paraId="2B935796">
      <w:pPr>
        <w:adjustRightInd w:val="0"/>
        <w:snapToGrid w:val="0"/>
        <w:ind w:firstLine="480" w:firstLineChars="200"/>
        <w:rPr>
          <w:color w:val="auto"/>
          <w:highlight w:val="none"/>
        </w:rPr>
      </w:pPr>
      <w:r>
        <w:rPr>
          <w:rFonts w:hint="eastAsia"/>
          <w:color w:val="auto"/>
          <w:highlight w:val="none"/>
          <w:u w:val="single"/>
        </w:rPr>
        <w:t>④监理工程师认为确有必要暂停施工时，应当以书面形式要求承包人暂停施工，并在提出要求后48小时内提出书面处理意见。承包人应当按监理工程师要求停止施工，并妥善保护已完工程。承包人实施监理工程师作出的处理意见后，可以书面形式提出复工要求，监理工程师应当在48小时内给予答复。监理工程师未能在规定时间内提出处理意见，或收到承包人复工要求后48小时内未予答复，承包人可自行复工。</w:t>
      </w:r>
    </w:p>
    <w:p w14:paraId="12CE6DBB">
      <w:pPr>
        <w:adjustRightInd w:val="0"/>
        <w:snapToGrid w:val="0"/>
        <w:ind w:firstLine="482" w:firstLineChars="200"/>
        <w:rPr>
          <w:b/>
          <w:color w:val="auto"/>
          <w:highlight w:val="none"/>
        </w:rPr>
      </w:pPr>
      <w:r>
        <w:rPr>
          <w:b/>
          <w:color w:val="auto"/>
          <w:highlight w:val="none"/>
        </w:rPr>
        <w:t>7.3 开工</w:t>
      </w:r>
    </w:p>
    <w:p w14:paraId="551979E3">
      <w:pPr>
        <w:adjustRightInd w:val="0"/>
        <w:snapToGrid w:val="0"/>
        <w:ind w:firstLine="480" w:firstLineChars="200"/>
        <w:rPr>
          <w:color w:val="auto"/>
          <w:highlight w:val="none"/>
        </w:rPr>
      </w:pPr>
      <w:r>
        <w:rPr>
          <w:color w:val="auto"/>
          <w:highlight w:val="none"/>
        </w:rPr>
        <w:t>7.3.1 开工准备</w:t>
      </w:r>
    </w:p>
    <w:p w14:paraId="590DA6B8">
      <w:pPr>
        <w:adjustRightInd w:val="0"/>
        <w:snapToGrid w:val="0"/>
        <w:ind w:firstLine="480" w:firstLineChars="200"/>
        <w:rPr>
          <w:color w:val="auto"/>
          <w:highlight w:val="none"/>
        </w:rPr>
      </w:pPr>
      <w:r>
        <w:rPr>
          <w:color w:val="auto"/>
          <w:highlight w:val="none"/>
        </w:rPr>
        <w:t>承包人提交工程开工报审表的期限：</w:t>
      </w:r>
      <w:r>
        <w:rPr>
          <w:rFonts w:hint="eastAsia"/>
          <w:color w:val="auto"/>
          <w:highlight w:val="none"/>
          <w:u w:val="single"/>
        </w:rPr>
        <w:t>执行通用合同条款</w:t>
      </w:r>
      <w:r>
        <w:rPr>
          <w:rFonts w:hint="eastAsia"/>
          <w:color w:val="auto"/>
          <w:highlight w:val="none"/>
        </w:rPr>
        <w:t>。</w:t>
      </w:r>
    </w:p>
    <w:p w14:paraId="418A504E">
      <w:pPr>
        <w:adjustRightInd w:val="0"/>
        <w:snapToGrid w:val="0"/>
        <w:ind w:firstLine="480" w:firstLineChars="200"/>
        <w:rPr>
          <w:color w:val="auto"/>
          <w:highlight w:val="none"/>
        </w:rPr>
      </w:pPr>
      <w:r>
        <w:rPr>
          <w:color w:val="auto"/>
          <w:highlight w:val="none"/>
        </w:rPr>
        <w:t>7.3.2 开工通知</w:t>
      </w:r>
    </w:p>
    <w:p w14:paraId="661D864C">
      <w:pPr>
        <w:adjustRightInd w:val="0"/>
        <w:snapToGrid w:val="0"/>
        <w:ind w:firstLine="480" w:firstLineChars="200"/>
        <w:rPr>
          <w:color w:val="auto"/>
          <w:highlight w:val="none"/>
        </w:rPr>
      </w:pPr>
      <w:r>
        <w:rPr>
          <w:color w:val="auto"/>
          <w:highlight w:val="none"/>
        </w:rPr>
        <w:t>因发包人原因造成监理人未能在计划开工日期之日起</w:t>
      </w:r>
      <w:r>
        <w:rPr>
          <w:rFonts w:hint="eastAsia"/>
          <w:color w:val="auto"/>
          <w:highlight w:val="none"/>
          <w:u w:val="single"/>
        </w:rPr>
        <w:t>180</w:t>
      </w:r>
      <w:r>
        <w:rPr>
          <w:color w:val="auto"/>
          <w:highlight w:val="none"/>
        </w:rPr>
        <w:t>天内发出开工通知的，承包人有权提出价格调整要求，或者解除合同。</w:t>
      </w:r>
    </w:p>
    <w:p w14:paraId="62308482">
      <w:pPr>
        <w:adjustRightInd w:val="0"/>
        <w:snapToGrid w:val="0"/>
        <w:ind w:firstLine="482" w:firstLineChars="200"/>
        <w:rPr>
          <w:b/>
          <w:color w:val="auto"/>
          <w:highlight w:val="none"/>
        </w:rPr>
      </w:pPr>
      <w:r>
        <w:rPr>
          <w:b/>
          <w:color w:val="auto"/>
          <w:highlight w:val="none"/>
        </w:rPr>
        <w:t>7.4</w:t>
      </w:r>
      <w:r>
        <w:rPr>
          <w:rFonts w:hint="eastAsia"/>
          <w:b/>
          <w:color w:val="auto"/>
          <w:highlight w:val="none"/>
        </w:rPr>
        <w:t xml:space="preserve"> </w:t>
      </w:r>
      <w:r>
        <w:rPr>
          <w:b/>
          <w:color w:val="auto"/>
          <w:highlight w:val="none"/>
        </w:rPr>
        <w:t>测量放线</w:t>
      </w:r>
    </w:p>
    <w:p w14:paraId="3712631F">
      <w:pPr>
        <w:adjustRightInd w:val="0"/>
        <w:snapToGrid w:val="0"/>
        <w:ind w:firstLine="480" w:firstLineChars="200"/>
        <w:rPr>
          <w:color w:val="auto"/>
          <w:highlight w:val="none"/>
        </w:rPr>
      </w:pPr>
      <w:r>
        <w:rPr>
          <w:color w:val="auto"/>
          <w:highlight w:val="none"/>
        </w:rPr>
        <w:t>7.4.1发包人通过监理人向承包人提供测量基准点、基准线和水准点及其书面资料的期限：</w:t>
      </w:r>
      <w:r>
        <w:rPr>
          <w:rFonts w:hint="eastAsia"/>
          <w:color w:val="auto"/>
          <w:highlight w:val="none"/>
          <w:u w:val="single"/>
        </w:rPr>
        <w:t>开工前7天。</w:t>
      </w:r>
    </w:p>
    <w:p w14:paraId="3C017CFB">
      <w:pPr>
        <w:adjustRightInd w:val="0"/>
        <w:snapToGrid w:val="0"/>
        <w:ind w:firstLine="482" w:firstLineChars="200"/>
        <w:rPr>
          <w:b/>
          <w:color w:val="auto"/>
          <w:highlight w:val="none"/>
        </w:rPr>
      </w:pPr>
      <w:r>
        <w:rPr>
          <w:b/>
          <w:color w:val="auto"/>
          <w:highlight w:val="none"/>
        </w:rPr>
        <w:t>7.5</w:t>
      </w:r>
      <w:r>
        <w:rPr>
          <w:rFonts w:hint="eastAsia"/>
          <w:b/>
          <w:color w:val="auto"/>
          <w:highlight w:val="none"/>
        </w:rPr>
        <w:t xml:space="preserve"> </w:t>
      </w:r>
      <w:r>
        <w:rPr>
          <w:b/>
          <w:color w:val="auto"/>
          <w:highlight w:val="none"/>
        </w:rPr>
        <w:t>工期延误</w:t>
      </w:r>
    </w:p>
    <w:p w14:paraId="506C3C1E">
      <w:pPr>
        <w:adjustRightInd w:val="0"/>
        <w:snapToGrid w:val="0"/>
        <w:ind w:firstLine="480" w:firstLineChars="200"/>
        <w:rPr>
          <w:color w:val="auto"/>
          <w:highlight w:val="none"/>
        </w:rPr>
      </w:pPr>
      <w:r>
        <w:rPr>
          <w:color w:val="auto"/>
          <w:highlight w:val="none"/>
        </w:rPr>
        <w:t>7.5.1发包人</w:t>
      </w:r>
      <w:r>
        <w:rPr>
          <w:rFonts w:hint="eastAsia"/>
          <w:color w:val="auto"/>
          <w:highlight w:val="none"/>
        </w:rPr>
        <w:t>引起的</w:t>
      </w:r>
      <w:r>
        <w:rPr>
          <w:color w:val="auto"/>
          <w:highlight w:val="none"/>
        </w:rPr>
        <w:t>工期延误</w:t>
      </w:r>
    </w:p>
    <w:p w14:paraId="724363B4">
      <w:pPr>
        <w:adjustRightInd w:val="0"/>
        <w:snapToGrid w:val="0"/>
        <w:ind w:firstLine="480" w:firstLineChars="200"/>
        <w:rPr>
          <w:color w:val="auto"/>
          <w:highlight w:val="none"/>
        </w:rPr>
      </w:pPr>
      <w:r>
        <w:rPr>
          <w:color w:val="auto"/>
          <w:highlight w:val="none"/>
        </w:rPr>
        <w:t>（</w:t>
      </w:r>
      <w:r>
        <w:rPr>
          <w:rFonts w:hint="eastAsia"/>
          <w:color w:val="auto"/>
          <w:highlight w:val="none"/>
        </w:rPr>
        <w:t>10</w:t>
      </w:r>
      <w:r>
        <w:rPr>
          <w:color w:val="auto"/>
          <w:highlight w:val="none"/>
        </w:rPr>
        <w:t>）因发包人原因导致工期延误的其他情形：</w:t>
      </w:r>
      <w:r>
        <w:rPr>
          <w:rFonts w:hint="eastAsia"/>
          <w:color w:val="auto"/>
          <w:highlight w:val="none"/>
          <w:u w:val="single"/>
        </w:rPr>
        <w:t>无</w:t>
      </w:r>
      <w:r>
        <w:rPr>
          <w:color w:val="auto"/>
          <w:highlight w:val="none"/>
        </w:rPr>
        <w:t>。</w:t>
      </w:r>
    </w:p>
    <w:p w14:paraId="7F5BBDC9">
      <w:pPr>
        <w:adjustRightInd w:val="0"/>
        <w:snapToGrid w:val="0"/>
        <w:ind w:firstLine="480" w:firstLineChars="200"/>
        <w:rPr>
          <w:color w:val="auto"/>
          <w:highlight w:val="none"/>
        </w:rPr>
      </w:pPr>
      <w:r>
        <w:rPr>
          <w:color w:val="auto"/>
          <w:highlight w:val="none"/>
        </w:rPr>
        <w:t>7.5.2 承包人</w:t>
      </w:r>
      <w:r>
        <w:rPr>
          <w:rFonts w:hint="eastAsia"/>
          <w:color w:val="auto"/>
          <w:highlight w:val="none"/>
        </w:rPr>
        <w:t>引起的</w:t>
      </w:r>
      <w:r>
        <w:rPr>
          <w:color w:val="auto"/>
          <w:highlight w:val="none"/>
        </w:rPr>
        <w:t>工期延误</w:t>
      </w:r>
    </w:p>
    <w:p w14:paraId="11F6F51C">
      <w:pPr>
        <w:adjustRightInd w:val="0"/>
        <w:snapToGrid w:val="0"/>
        <w:ind w:firstLine="480" w:firstLineChars="200"/>
        <w:rPr>
          <w:color w:val="auto"/>
          <w:highlight w:val="none"/>
        </w:rPr>
      </w:pPr>
      <w:r>
        <w:rPr>
          <w:rFonts w:hint="eastAsia"/>
          <w:color w:val="auto"/>
          <w:highlight w:val="none"/>
        </w:rPr>
        <w:t>因承包人原因造成工期延误，逾期违约金的计算方法为</w:t>
      </w:r>
      <w:r>
        <w:rPr>
          <w:rFonts w:hint="eastAsia"/>
          <w:color w:val="auto"/>
          <w:sz w:val="21"/>
          <w:szCs w:val="22"/>
          <w:highlight w:val="none"/>
        </w:rPr>
        <w:t>：</w:t>
      </w:r>
    </w:p>
    <w:p w14:paraId="56787237">
      <w:pPr>
        <w:numPr>
          <w:ilvl w:val="12"/>
          <w:numId w:val="0"/>
        </w:numPr>
        <w:snapToGrid w:val="0"/>
        <w:ind w:left="0" w:firstLine="480" w:firstLineChars="20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1）月度计划一般控制点,每月对未完成、滞后完成扣5000元/次，延迟10天以上，酌情加扣5000-20000元。月度计划一般控制点按时完成的不奖不扣，每月对提前完成的奖励5000元/次，奖励来源：从项目结余资金列支。</w:t>
      </w:r>
    </w:p>
    <w:p w14:paraId="33C623A7">
      <w:pPr>
        <w:numPr>
          <w:ilvl w:val="12"/>
          <w:numId w:val="0"/>
        </w:numPr>
        <w:snapToGrid w:val="0"/>
        <w:ind w:left="0" w:firstLine="480" w:firstLineChars="20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2）月度计划关键控制点(除机械竣工外),每月对未完成、滞后完成扣20000元/次，延迟10天以上，酌情加扣20000-100000元。月度计划关键控制点按时完成的不奖不扣，每月对提前完成的奖励20000元/次，奖励来源：从项目结余资金列支。</w:t>
      </w:r>
    </w:p>
    <w:p w14:paraId="7A1742A7">
      <w:pPr>
        <w:numPr>
          <w:ilvl w:val="12"/>
          <w:numId w:val="0"/>
        </w:numPr>
        <w:snapToGrid w:val="0"/>
        <w:ind w:left="0" w:firstLine="480" w:firstLineChars="20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3）机械竣工控制点未完成的，之前关键控制点奖励的扣回奖励总额的80%，另外对机械竣工控制点实施加扣。未完成的支付5～8万元违约金，延迟10天(含)以下的支付5～7万元违约金，10天以上支付8万元违约金。如承包人未采取有效措施，导致工期继续延迟，每延迟10天承包人向发包人支付违约金8万元。</w:t>
      </w:r>
    </w:p>
    <w:p w14:paraId="07ABCAB5">
      <w:pPr>
        <w:numPr>
          <w:ilvl w:val="12"/>
          <w:numId w:val="0"/>
        </w:numPr>
        <w:snapToGrid w:val="0"/>
        <w:ind w:left="0" w:firstLine="480" w:firstLineChars="20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4）机械竣工控制点按时完成的，不奖不扣，之前进度所扣的返回80%。机械竣工控制点提前完成的奖励为：提前10天（含）以内的，发包人给予返点1%的奖励（即在中标降点率基础上安装、建筑降点率各减少1个点），提前10天以上，发包人给予返点2%的奖励（即在中标降点率基础上安装、建筑降点率各减少2个点）。奖励从项目结余资金列支，如发生C级及以上安全事故或一般及以上质量事故、承包人原因项目超概，返点奖励取消。</w:t>
      </w:r>
    </w:p>
    <w:p w14:paraId="517C2FBF">
      <w:pPr>
        <w:numPr>
          <w:ilvl w:val="12"/>
          <w:numId w:val="0"/>
        </w:numPr>
        <w:snapToGrid w:val="0"/>
        <w:ind w:left="0" w:firstLine="480" w:firstLineChars="20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5）因承包人原因重新调整统筹控制计划的，关健控制点和机械竣工控制点提前完成的均不奖励，逾期违约金按原考核条例继续执行。非因承包人原因(需发包人确认)重新调整统筹控制计划的，新实施过程的关健控制点和中交控制点的相关奖扣按上述考核条例继续执行。</w:t>
      </w:r>
    </w:p>
    <w:p w14:paraId="5992E6B9">
      <w:pPr>
        <w:adjustRightInd w:val="0"/>
        <w:snapToGrid w:val="0"/>
        <w:ind w:firstLine="480" w:firstLineChars="200"/>
        <w:rPr>
          <w:rFonts w:hint="eastAsia" w:ascii="宋体" w:hAnsi="宋体" w:eastAsia="宋体" w:cs="Times New Roman"/>
          <w:color w:val="auto"/>
          <w:highlight w:val="none"/>
          <w:u w:val="single"/>
        </w:rPr>
      </w:pPr>
      <w:r>
        <w:rPr>
          <w:rFonts w:hint="eastAsia" w:ascii="宋体" w:hAnsi="宋体" w:eastAsia="宋体" w:cs="Times New Roman"/>
          <w:color w:val="auto"/>
          <w:highlight w:val="none"/>
          <w:u w:val="single"/>
        </w:rPr>
        <w:t>6）如参与发包人组织的劳动竞赛，相关考核执行发包人发布的相应劳动竞赛管理规定，原则上不进行重复奖扣。</w:t>
      </w:r>
    </w:p>
    <w:p w14:paraId="4F3DA3A0">
      <w:pPr>
        <w:adjustRightInd w:val="0"/>
        <w:snapToGrid w:val="0"/>
        <w:ind w:firstLine="480" w:firstLineChars="200"/>
        <w:rPr>
          <w:color w:val="auto"/>
          <w:highlight w:val="none"/>
        </w:rPr>
      </w:pPr>
      <w:r>
        <w:rPr>
          <w:color w:val="auto"/>
          <w:highlight w:val="none"/>
        </w:rPr>
        <w:t>因承包人原因造成工期延误，逾期违约金的上限：</w:t>
      </w:r>
      <w:r>
        <w:rPr>
          <w:rFonts w:hint="eastAsia"/>
          <w:color w:val="auto"/>
          <w:highlight w:val="none"/>
          <w:u w:val="single"/>
        </w:rPr>
        <w:t>/</w:t>
      </w:r>
      <w:r>
        <w:rPr>
          <w:color w:val="auto"/>
          <w:highlight w:val="none"/>
        </w:rPr>
        <w:t>。</w:t>
      </w:r>
    </w:p>
    <w:p w14:paraId="617E42D5">
      <w:pPr>
        <w:adjustRightInd w:val="0"/>
        <w:snapToGrid w:val="0"/>
        <w:ind w:firstLine="482" w:firstLineChars="200"/>
        <w:rPr>
          <w:b/>
          <w:color w:val="auto"/>
          <w:highlight w:val="none"/>
        </w:rPr>
      </w:pPr>
      <w:r>
        <w:rPr>
          <w:b/>
          <w:color w:val="auto"/>
          <w:highlight w:val="none"/>
        </w:rPr>
        <w:t>7.6 不利物质条件</w:t>
      </w:r>
    </w:p>
    <w:p w14:paraId="55668CC7">
      <w:pPr>
        <w:adjustRightInd w:val="0"/>
        <w:snapToGrid w:val="0"/>
        <w:ind w:firstLine="480" w:firstLineChars="200"/>
        <w:rPr>
          <w:color w:val="auto"/>
          <w:highlight w:val="none"/>
        </w:rPr>
      </w:pPr>
      <w:r>
        <w:rPr>
          <w:color w:val="auto"/>
          <w:highlight w:val="none"/>
        </w:rPr>
        <w:t>不利物质条件</w:t>
      </w:r>
      <w:r>
        <w:rPr>
          <w:rFonts w:hint="eastAsia"/>
          <w:color w:val="auto"/>
          <w:highlight w:val="none"/>
        </w:rPr>
        <w:t>的</w:t>
      </w:r>
      <w:r>
        <w:rPr>
          <w:color w:val="auto"/>
          <w:highlight w:val="none"/>
        </w:rPr>
        <w:t>约定：</w:t>
      </w:r>
      <w:r>
        <w:rPr>
          <w:color w:val="auto"/>
          <w:highlight w:val="none"/>
          <w:u w:val="single"/>
        </w:rPr>
        <w:t xml:space="preserve">  </w:t>
      </w:r>
      <w:r>
        <w:rPr>
          <w:rFonts w:hint="eastAsia"/>
          <w:color w:val="auto"/>
          <w:highlight w:val="none"/>
          <w:u w:val="single"/>
        </w:rPr>
        <w:t xml:space="preserve">/ </w:t>
      </w:r>
      <w:r>
        <w:rPr>
          <w:color w:val="auto"/>
          <w:highlight w:val="none"/>
        </w:rPr>
        <w:t>。</w:t>
      </w:r>
    </w:p>
    <w:p w14:paraId="10B50307">
      <w:pPr>
        <w:adjustRightInd w:val="0"/>
        <w:snapToGrid w:val="0"/>
        <w:ind w:firstLine="482" w:firstLineChars="200"/>
        <w:rPr>
          <w:b/>
          <w:color w:val="auto"/>
          <w:highlight w:val="none"/>
        </w:rPr>
      </w:pPr>
      <w:bookmarkStart w:id="894" w:name="_Toc179405608"/>
      <w:bookmarkStart w:id="895" w:name="_Toc90117809"/>
      <w:bookmarkStart w:id="896" w:name="_Toc17550"/>
      <w:r>
        <w:rPr>
          <w:b/>
          <w:color w:val="auto"/>
          <w:highlight w:val="none"/>
        </w:rPr>
        <w:t>7.7</w:t>
      </w:r>
      <w:r>
        <w:rPr>
          <w:rFonts w:hint="eastAsia"/>
          <w:b/>
          <w:color w:val="auto"/>
          <w:highlight w:val="none"/>
        </w:rPr>
        <w:t xml:space="preserve"> </w:t>
      </w:r>
      <w:r>
        <w:rPr>
          <w:b/>
          <w:color w:val="auto"/>
          <w:highlight w:val="none"/>
        </w:rPr>
        <w:t>异常恶劣的气候条件</w:t>
      </w:r>
    </w:p>
    <w:p w14:paraId="3BDF9DE4">
      <w:pPr>
        <w:adjustRightInd w:val="0"/>
        <w:snapToGrid w:val="0"/>
        <w:ind w:firstLine="480" w:firstLineChars="200"/>
        <w:rPr>
          <w:color w:val="auto"/>
          <w:highlight w:val="none"/>
        </w:rPr>
      </w:pPr>
      <w:r>
        <w:rPr>
          <w:color w:val="auto"/>
          <w:highlight w:val="none"/>
        </w:rPr>
        <w:t>发包人和承包人同意以下情形视为异常恶劣的气候条件：</w:t>
      </w:r>
      <w:r>
        <w:rPr>
          <w:rFonts w:hint="eastAsia"/>
          <w:color w:val="auto"/>
          <w:highlight w:val="none"/>
          <w:u w:val="single"/>
        </w:rPr>
        <w:t>50年一遇及以上的风、雨、雪、洪且对工程进度造成实质影响，以政府气象部门出具的证明文件为准</w:t>
      </w:r>
      <w:r>
        <w:rPr>
          <w:color w:val="auto"/>
          <w:highlight w:val="none"/>
        </w:rPr>
        <w:t>。</w:t>
      </w:r>
    </w:p>
    <w:p w14:paraId="04E7317C">
      <w:pPr>
        <w:keepNext/>
        <w:keepLines/>
        <w:adjustRightInd w:val="0"/>
        <w:snapToGrid w:val="0"/>
        <w:outlineLvl w:val="1"/>
        <w:rPr>
          <w:rFonts w:ascii="Arial"/>
          <w:b/>
          <w:bCs/>
          <w:color w:val="auto"/>
          <w:szCs w:val="32"/>
          <w:highlight w:val="none"/>
        </w:rPr>
      </w:pPr>
      <w:bookmarkStart w:id="897" w:name="_Toc26934"/>
      <w:bookmarkStart w:id="898" w:name="_Toc2998"/>
      <w:bookmarkStart w:id="899" w:name="_Toc82978600"/>
      <w:bookmarkStart w:id="900" w:name="_Toc119953751"/>
      <w:bookmarkStart w:id="901" w:name="_Toc256000084"/>
      <w:bookmarkStart w:id="902" w:name="_Toc184287213"/>
      <w:bookmarkStart w:id="903" w:name="_Toc90117808"/>
      <w:r>
        <w:rPr>
          <w:rFonts w:ascii="Arial"/>
          <w:b/>
          <w:bCs/>
          <w:color w:val="auto"/>
          <w:szCs w:val="32"/>
          <w:highlight w:val="none"/>
        </w:rPr>
        <w:t>8. 材料与设备</w:t>
      </w:r>
      <w:bookmarkEnd w:id="897"/>
      <w:bookmarkEnd w:id="898"/>
      <w:bookmarkEnd w:id="899"/>
      <w:bookmarkEnd w:id="900"/>
      <w:bookmarkEnd w:id="901"/>
      <w:bookmarkEnd w:id="902"/>
      <w:bookmarkEnd w:id="903"/>
    </w:p>
    <w:p w14:paraId="0F821798">
      <w:pPr>
        <w:adjustRightInd w:val="0"/>
        <w:snapToGrid w:val="0"/>
        <w:ind w:firstLine="482" w:firstLineChars="200"/>
        <w:rPr>
          <w:rFonts w:ascii="宋体" w:hAnsi="宋体"/>
          <w:b/>
          <w:color w:val="auto"/>
          <w:highlight w:val="none"/>
        </w:rPr>
      </w:pPr>
      <w:r>
        <w:rPr>
          <w:rFonts w:hint="eastAsia" w:ascii="宋体" w:hAnsi="宋体"/>
          <w:b/>
          <w:color w:val="auto"/>
          <w:highlight w:val="none"/>
        </w:rPr>
        <w:t>8.1 发包人供应材料与工程设备</w:t>
      </w:r>
    </w:p>
    <w:p w14:paraId="1A330A06">
      <w:pPr>
        <w:snapToGrid w:val="0"/>
        <w:ind w:firstLine="480" w:firstLineChars="200"/>
        <w:jc w:val="left"/>
        <w:rPr>
          <w:rFonts w:ascii="宋体" w:hAnsi="宋体"/>
          <w:color w:val="auto"/>
          <w:highlight w:val="none"/>
        </w:rPr>
      </w:pPr>
      <w:r>
        <w:rPr>
          <w:rFonts w:hint="eastAsia" w:ascii="宋体" w:hAnsi="宋体"/>
          <w:color w:val="auto"/>
          <w:highlight w:val="none"/>
        </w:rPr>
        <w:t>8.1.2 发包人提供的材料和工程设备的卸车、接收、领料、装车、运输、保管的约定：</w:t>
      </w:r>
    </w:p>
    <w:p w14:paraId="5C687E6F">
      <w:pPr>
        <w:snapToGrid w:val="0"/>
        <w:ind w:firstLine="480" w:firstLineChars="200"/>
        <w:jc w:val="left"/>
        <w:rPr>
          <w:rFonts w:ascii="宋体" w:hAnsi="宋体"/>
          <w:color w:val="auto"/>
          <w:highlight w:val="none"/>
        </w:rPr>
      </w:pPr>
      <w:r>
        <w:rPr>
          <w:rFonts w:hint="eastAsia" w:ascii="宋体" w:hAnsi="宋体"/>
          <w:color w:val="auto"/>
          <w:highlight w:val="none"/>
        </w:rPr>
        <w:t>①发包人供应的材料和工程设备，承包人清点后由承包人妥善保管。因承包人原因发生丢失毁损的，由承包人负责赔偿。</w:t>
      </w:r>
    </w:p>
    <w:p w14:paraId="46BF093F">
      <w:pPr>
        <w:snapToGrid w:val="0"/>
        <w:ind w:firstLine="480" w:firstLineChars="200"/>
        <w:jc w:val="left"/>
        <w:rPr>
          <w:rFonts w:ascii="宋体" w:hAnsi="宋体"/>
          <w:color w:val="auto"/>
          <w:highlight w:val="none"/>
        </w:rPr>
      </w:pPr>
      <w:r>
        <w:rPr>
          <w:rFonts w:hint="eastAsia" w:ascii="宋体" w:hAnsi="宋体"/>
          <w:color w:val="auto"/>
          <w:highlight w:val="none"/>
        </w:rPr>
        <w:t>②发包人供应的材料和工程设备使用前，由承包人负责检验，按规范检验检测所需费用由承包人承担，对检验检测不合格的材料和工程设备，应及时通知监理及发包人代表，不得将不合格的材料和工程设备用于工程中。</w:t>
      </w:r>
    </w:p>
    <w:p w14:paraId="47075468">
      <w:pPr>
        <w:snapToGrid w:val="0"/>
        <w:ind w:firstLine="480" w:firstLineChars="200"/>
        <w:jc w:val="left"/>
        <w:rPr>
          <w:rFonts w:ascii="宋体" w:hAnsi="宋体"/>
          <w:color w:val="auto"/>
          <w:highlight w:val="none"/>
        </w:rPr>
      </w:pPr>
      <w:r>
        <w:rPr>
          <w:rFonts w:hint="eastAsia" w:ascii="宋体" w:hAnsi="宋体"/>
          <w:color w:val="auto"/>
          <w:highlight w:val="none"/>
        </w:rPr>
        <w:t>③凭经发包人、监理人审核批准的承包人编制的材料和工程设备预算书领料。</w:t>
      </w:r>
    </w:p>
    <w:p w14:paraId="1F53E167">
      <w:pPr>
        <w:adjustRightInd w:val="0"/>
        <w:snapToGrid w:val="0"/>
        <w:ind w:firstLine="480" w:firstLineChars="200"/>
        <w:rPr>
          <w:rFonts w:ascii="宋体" w:hAnsi="宋体"/>
          <w:color w:val="auto"/>
          <w:highlight w:val="none"/>
        </w:rPr>
      </w:pPr>
      <w:r>
        <w:rPr>
          <w:rFonts w:hint="eastAsia" w:ascii="宋体" w:hAnsi="宋体"/>
          <w:color w:val="auto"/>
          <w:highlight w:val="none"/>
        </w:rPr>
        <w:t>8.1.5 发包人提供的材料和工程设备的规格、数量或质量不符合合同要求，或由于发包人原因发生交货日期延误及交货地点变更等情况，由此造成的承包人费用增加和（或）工期延误承担的约定：</w:t>
      </w:r>
      <w:r>
        <w:rPr>
          <w:rFonts w:hint="eastAsia" w:ascii="宋体" w:hAnsi="宋体"/>
          <w:color w:val="auto"/>
          <w:highlight w:val="none"/>
          <w:u w:val="single"/>
        </w:rPr>
        <w:t>引起关键工序延长，经发包人审批同意可顺延工期，费用不增加</w:t>
      </w:r>
      <w:r>
        <w:rPr>
          <w:rFonts w:hint="eastAsia" w:ascii="宋体" w:hAnsi="宋体"/>
          <w:color w:val="auto"/>
          <w:highlight w:val="none"/>
        </w:rPr>
        <w:t>。</w:t>
      </w:r>
    </w:p>
    <w:p w14:paraId="00E2E49E">
      <w:pPr>
        <w:snapToGrid w:val="0"/>
        <w:ind w:firstLine="480" w:firstLineChars="200"/>
        <w:jc w:val="left"/>
        <w:rPr>
          <w:rFonts w:ascii="Arial" w:hAnsi="Arial" w:cs="Arial"/>
          <w:color w:val="auto"/>
          <w:highlight w:val="none"/>
          <w:u w:val="none"/>
        </w:rPr>
      </w:pPr>
      <w:r>
        <w:rPr>
          <w:rFonts w:ascii="Arial" w:hAnsi="Arial" w:cs="Arial"/>
          <w:color w:val="auto"/>
          <w:highlight w:val="none"/>
          <w:u w:val="none"/>
        </w:rPr>
        <w:t xml:space="preserve">8.1.6 </w:t>
      </w:r>
      <w:r>
        <w:rPr>
          <w:rFonts w:hint="eastAsia" w:ascii="Arial" w:hAnsi="Arial" w:cs="Arial"/>
          <w:color w:val="auto"/>
          <w:highlight w:val="none"/>
          <w:u w:val="none"/>
        </w:rPr>
        <w:t>发包人提供的材料和工程设备：</w:t>
      </w:r>
    </w:p>
    <w:p w14:paraId="535DEF22">
      <w:pPr>
        <w:snapToGrid w:val="0"/>
        <w:ind w:firstLine="480" w:firstLineChars="200"/>
        <w:jc w:val="left"/>
        <w:rPr>
          <w:rFonts w:ascii="Arial" w:hAnsi="Arial" w:cs="Arial"/>
          <w:color w:val="auto"/>
          <w:highlight w:val="none"/>
          <w:u w:val="single"/>
        </w:rPr>
      </w:pPr>
      <w:r>
        <w:rPr>
          <w:rFonts w:hint="eastAsia" w:ascii="Arial" w:hAnsi="Arial" w:cs="Arial"/>
          <w:color w:val="auto"/>
          <w:highlight w:val="none"/>
          <w:u w:val="single"/>
        </w:rPr>
        <w:t>①</w:t>
      </w:r>
      <w:r>
        <w:rPr>
          <w:rFonts w:ascii="Arial" w:hAnsi="Arial" w:cs="Arial"/>
          <w:color w:val="auto"/>
          <w:highlight w:val="none"/>
          <w:u w:val="single"/>
        </w:rPr>
        <w:t xml:space="preserve"> </w:t>
      </w:r>
      <w:r>
        <w:rPr>
          <w:rFonts w:hint="eastAsia" w:ascii="Arial" w:hAnsi="Arial" w:cs="Arial"/>
          <w:color w:val="auto"/>
          <w:highlight w:val="none"/>
          <w:u w:val="single"/>
        </w:rPr>
        <w:t>本工程的所有设备均由发包人采购并不作价调拨。</w:t>
      </w:r>
    </w:p>
    <w:p w14:paraId="182CE477">
      <w:pPr>
        <w:snapToGrid w:val="0"/>
        <w:ind w:firstLine="480" w:firstLineChars="200"/>
        <w:jc w:val="left"/>
        <w:rPr>
          <w:rFonts w:ascii="Arial" w:hAnsi="Arial" w:cs="Arial"/>
          <w:color w:val="auto"/>
          <w:highlight w:val="none"/>
          <w:u w:val="single"/>
        </w:rPr>
      </w:pPr>
      <w:r>
        <w:rPr>
          <w:rFonts w:hint="eastAsia" w:ascii="Arial" w:hAnsi="Arial" w:cs="Arial"/>
          <w:color w:val="auto"/>
          <w:highlight w:val="none"/>
          <w:u w:val="single"/>
        </w:rPr>
        <w:t>②安装工程主材（含安装工程中的油漆及防腐保温材料）由发包人负责采购供应并不作价调拨。</w:t>
      </w:r>
    </w:p>
    <w:p w14:paraId="5BC2F7BB">
      <w:pPr>
        <w:snapToGrid w:val="0"/>
        <w:ind w:firstLine="480" w:firstLineChars="200"/>
        <w:jc w:val="left"/>
        <w:rPr>
          <w:rFonts w:ascii="Arial" w:hAnsi="Arial" w:cs="Arial"/>
          <w:color w:val="auto"/>
          <w:highlight w:val="none"/>
          <w:u w:val="single"/>
        </w:rPr>
      </w:pPr>
      <w:r>
        <w:rPr>
          <w:rFonts w:hint="eastAsia" w:ascii="Arial" w:hAnsi="Arial" w:cs="Arial"/>
          <w:color w:val="auto"/>
          <w:highlight w:val="none"/>
          <w:u w:val="single"/>
        </w:rPr>
        <w:t>③发包人供应的材料，由承包人编制材料预算经发包人审核后，由承包人到发包人物资采购部门办理领用手续，并负责运输、装车、卸车。</w:t>
      </w:r>
    </w:p>
    <w:p w14:paraId="54C8A0F4">
      <w:pPr>
        <w:snapToGrid w:val="0"/>
        <w:ind w:firstLine="480" w:firstLineChars="200"/>
        <w:jc w:val="left"/>
        <w:rPr>
          <w:rFonts w:ascii="Arial" w:hAnsi="Arial" w:cs="Arial"/>
          <w:color w:val="auto"/>
          <w:highlight w:val="none"/>
          <w:u w:val="single"/>
        </w:rPr>
      </w:pPr>
      <w:r>
        <w:rPr>
          <w:rFonts w:hint="eastAsia" w:ascii="Arial" w:hAnsi="Arial" w:cs="Arial"/>
          <w:color w:val="auto"/>
          <w:highlight w:val="none"/>
          <w:u w:val="single"/>
        </w:rPr>
        <w:t>如甲供设备材料转乙供，承包人须按发包人规定办理审批手续。</w:t>
      </w:r>
    </w:p>
    <w:p w14:paraId="60633A2F">
      <w:pPr>
        <w:ind w:firstLine="482" w:firstLineChars="200"/>
        <w:rPr>
          <w:rFonts w:cs="Arial"/>
          <w:b/>
          <w:color w:val="auto"/>
          <w:highlight w:val="none"/>
          <w:u w:val="none"/>
        </w:rPr>
      </w:pPr>
      <w:r>
        <w:rPr>
          <w:rFonts w:cs="Arial"/>
          <w:b/>
          <w:color w:val="auto"/>
          <w:highlight w:val="none"/>
          <w:u w:val="none"/>
        </w:rPr>
        <w:t>8.2 承包人采购材料与工程设备</w:t>
      </w:r>
    </w:p>
    <w:p w14:paraId="5FA18D6B">
      <w:pPr>
        <w:pStyle w:val="4"/>
        <w:ind w:left="0" w:leftChars="0" w:firstLine="480"/>
        <w:rPr>
          <w:color w:val="auto"/>
          <w:highlight w:val="none"/>
        </w:rPr>
      </w:pPr>
      <w:r>
        <w:rPr>
          <w:rFonts w:cs="Arial"/>
          <w:color w:val="auto"/>
          <w:kern w:val="2"/>
          <w:sz w:val="24"/>
          <w:highlight w:val="none"/>
          <w:u w:val="none"/>
        </w:rPr>
        <w:t>8.2.3承包人提供的材料和工程设备：</w:t>
      </w:r>
      <w:r>
        <w:rPr>
          <w:rFonts w:hint="eastAsia" w:cs="Arial"/>
          <w:color w:val="auto"/>
          <w:kern w:val="2"/>
          <w:sz w:val="24"/>
          <w:highlight w:val="none"/>
          <w:u w:val="single"/>
        </w:rPr>
        <w:t>本项目建筑工程所需的全部建筑材料，安装工程的辅材（不含油漆、防腐、保温材料）等均由承包人负责采购，承包人采购的材料自行承担风险。</w:t>
      </w:r>
    </w:p>
    <w:p w14:paraId="233117A2">
      <w:pPr>
        <w:adjustRightInd w:val="0"/>
        <w:snapToGrid w:val="0"/>
        <w:ind w:firstLine="482" w:firstLineChars="200"/>
        <w:rPr>
          <w:rFonts w:ascii="宋体" w:hAnsi="宋体"/>
          <w:b/>
          <w:color w:val="auto"/>
          <w:highlight w:val="none"/>
        </w:rPr>
      </w:pPr>
      <w:r>
        <w:rPr>
          <w:rFonts w:hint="eastAsia" w:ascii="宋体" w:hAnsi="宋体"/>
          <w:b/>
          <w:color w:val="auto"/>
          <w:highlight w:val="none"/>
        </w:rPr>
        <w:t>8.5 禁止使用不合格的材料和工程设备</w:t>
      </w:r>
    </w:p>
    <w:p w14:paraId="67329495">
      <w:pPr>
        <w:adjustRightInd w:val="0"/>
        <w:snapToGrid w:val="0"/>
        <w:ind w:firstLine="480" w:firstLineChars="200"/>
        <w:rPr>
          <w:rFonts w:ascii="宋体" w:hAnsi="宋体"/>
          <w:color w:val="auto"/>
          <w:highlight w:val="none"/>
        </w:rPr>
      </w:pPr>
      <w:r>
        <w:rPr>
          <w:rFonts w:hint="eastAsia" w:ascii="宋体" w:hAnsi="宋体"/>
          <w:color w:val="auto"/>
          <w:highlight w:val="none"/>
        </w:rPr>
        <w:t>8.5.3 发包人提供的材料或工程设备不符合合同要求的，由此造成的承包人费用增加和（或）工期延误承担的约定：</w:t>
      </w:r>
      <w:r>
        <w:rPr>
          <w:rFonts w:hint="eastAsia" w:ascii="宋体" w:hAnsi="宋体"/>
          <w:color w:val="auto"/>
          <w:highlight w:val="none"/>
          <w:u w:val="single"/>
        </w:rPr>
        <w:t>发包人提供的设备材料，承包人应及时按规范检验检测，如检测不合格，发包人承担退库的费用，如影响网络进度中的关键线路，则工期顺延；发包人不承担因此增加的其他费用或利润</w:t>
      </w:r>
      <w:r>
        <w:rPr>
          <w:rFonts w:hint="eastAsia" w:ascii="宋体" w:hAnsi="宋体"/>
          <w:color w:val="auto"/>
          <w:highlight w:val="none"/>
        </w:rPr>
        <w:t>。</w:t>
      </w:r>
    </w:p>
    <w:p w14:paraId="0CC83FC7">
      <w:pPr>
        <w:adjustRightInd w:val="0"/>
        <w:snapToGrid w:val="0"/>
        <w:ind w:firstLine="482" w:firstLineChars="200"/>
        <w:rPr>
          <w:b/>
          <w:color w:val="auto"/>
          <w:highlight w:val="none"/>
        </w:rPr>
      </w:pPr>
      <w:r>
        <w:rPr>
          <w:b/>
          <w:color w:val="auto"/>
          <w:highlight w:val="none"/>
        </w:rPr>
        <w:t>8.6 样品</w:t>
      </w:r>
    </w:p>
    <w:p w14:paraId="5A144F35">
      <w:pPr>
        <w:adjustRightInd w:val="0"/>
        <w:snapToGrid w:val="0"/>
        <w:ind w:firstLine="480" w:firstLineChars="200"/>
        <w:rPr>
          <w:color w:val="auto"/>
          <w:highlight w:val="none"/>
        </w:rPr>
      </w:pPr>
      <w:r>
        <w:rPr>
          <w:color w:val="auto"/>
          <w:highlight w:val="none"/>
        </w:rPr>
        <w:t>8.6.1</w:t>
      </w:r>
      <w:r>
        <w:rPr>
          <w:rFonts w:hint="eastAsia"/>
          <w:color w:val="auto"/>
          <w:highlight w:val="none"/>
        </w:rPr>
        <w:t xml:space="preserve"> </w:t>
      </w:r>
      <w:r>
        <w:rPr>
          <w:color w:val="auto"/>
          <w:highlight w:val="none"/>
        </w:rPr>
        <w:t>样品的报送</w:t>
      </w:r>
      <w:r>
        <w:rPr>
          <w:rFonts w:hint="eastAsia"/>
          <w:color w:val="auto"/>
          <w:highlight w:val="none"/>
        </w:rPr>
        <w:t>与封存</w:t>
      </w:r>
    </w:p>
    <w:p w14:paraId="28EEFAC4">
      <w:pPr>
        <w:adjustRightInd w:val="0"/>
        <w:snapToGrid w:val="0"/>
        <w:ind w:firstLine="480" w:firstLineChars="200"/>
        <w:rPr>
          <w:color w:val="auto"/>
          <w:highlight w:val="none"/>
        </w:rPr>
      </w:pPr>
      <w:r>
        <w:rPr>
          <w:color w:val="auto"/>
          <w:highlight w:val="none"/>
        </w:rPr>
        <w:t>需要承包人报送样品的材料或工程设备，样品的种类、名称、规格、数量</w:t>
      </w:r>
      <w:r>
        <w:rPr>
          <w:rFonts w:hint="eastAsia"/>
          <w:color w:val="auto"/>
          <w:highlight w:val="none"/>
        </w:rPr>
        <w:t>等</w:t>
      </w:r>
      <w:r>
        <w:rPr>
          <w:color w:val="auto"/>
          <w:highlight w:val="none"/>
        </w:rPr>
        <w:t>要求</w:t>
      </w:r>
      <w:r>
        <w:rPr>
          <w:rFonts w:hint="eastAsia"/>
          <w:color w:val="auto"/>
          <w:highlight w:val="none"/>
        </w:rPr>
        <w:t>的约定：</w:t>
      </w:r>
      <w:r>
        <w:rPr>
          <w:rFonts w:hint="eastAsia"/>
          <w:color w:val="auto"/>
          <w:highlight w:val="none"/>
          <w:u w:val="single"/>
        </w:rPr>
        <w:t>/</w:t>
      </w:r>
      <w:r>
        <w:rPr>
          <w:rFonts w:hint="eastAsia"/>
          <w:color w:val="auto"/>
          <w:highlight w:val="none"/>
        </w:rPr>
        <w:t>。</w:t>
      </w:r>
    </w:p>
    <w:p w14:paraId="497EB78D">
      <w:pPr>
        <w:adjustRightInd w:val="0"/>
        <w:snapToGrid w:val="0"/>
        <w:ind w:firstLine="482" w:firstLineChars="200"/>
        <w:rPr>
          <w:b/>
          <w:color w:val="auto"/>
          <w:highlight w:val="none"/>
        </w:rPr>
      </w:pPr>
      <w:r>
        <w:rPr>
          <w:b/>
          <w:color w:val="auto"/>
          <w:highlight w:val="none"/>
        </w:rPr>
        <w:t>8.8</w:t>
      </w:r>
      <w:r>
        <w:rPr>
          <w:rFonts w:hint="eastAsia"/>
          <w:b/>
          <w:color w:val="auto"/>
          <w:highlight w:val="none"/>
        </w:rPr>
        <w:t xml:space="preserve"> </w:t>
      </w:r>
      <w:r>
        <w:rPr>
          <w:b/>
          <w:color w:val="auto"/>
          <w:highlight w:val="none"/>
        </w:rPr>
        <w:t>施工设备和临时设施</w:t>
      </w:r>
    </w:p>
    <w:p w14:paraId="7FB481C9">
      <w:pPr>
        <w:adjustRightInd w:val="0"/>
        <w:snapToGrid w:val="0"/>
        <w:ind w:firstLine="480" w:firstLineChars="200"/>
        <w:rPr>
          <w:color w:val="auto"/>
          <w:highlight w:val="none"/>
        </w:rPr>
      </w:pPr>
      <w:r>
        <w:rPr>
          <w:color w:val="auto"/>
          <w:highlight w:val="none"/>
        </w:rPr>
        <w:t>8.8.1 承包人提供的施工设备和临时设施</w:t>
      </w:r>
    </w:p>
    <w:p w14:paraId="161314ED">
      <w:pPr>
        <w:adjustRightInd w:val="0"/>
        <w:snapToGrid w:val="0"/>
        <w:ind w:firstLine="480" w:firstLineChars="200"/>
        <w:rPr>
          <w:color w:val="auto"/>
          <w:highlight w:val="none"/>
        </w:rPr>
      </w:pPr>
      <w:r>
        <w:rPr>
          <w:rFonts w:hint="eastAsia"/>
          <w:color w:val="auto"/>
          <w:highlight w:val="none"/>
        </w:rPr>
        <w:t>施工现场</w:t>
      </w:r>
      <w:r>
        <w:rPr>
          <w:color w:val="auto"/>
          <w:highlight w:val="none"/>
        </w:rPr>
        <w:t>临时占地</w:t>
      </w:r>
      <w:r>
        <w:rPr>
          <w:rFonts w:hint="eastAsia"/>
          <w:color w:val="auto"/>
          <w:highlight w:val="none"/>
        </w:rPr>
        <w:t>提供的约定：</w:t>
      </w:r>
      <w:r>
        <w:rPr>
          <w:rFonts w:hint="eastAsia"/>
          <w:color w:val="auto"/>
          <w:highlight w:val="none"/>
          <w:u w:val="single"/>
        </w:rPr>
        <w:t>承包人提出申请，发包人根据实际情况及施工需要审核后确定。</w:t>
      </w:r>
    </w:p>
    <w:p w14:paraId="323DFCA2">
      <w:pPr>
        <w:adjustRightInd w:val="0"/>
        <w:snapToGrid w:val="0"/>
        <w:ind w:firstLine="480" w:firstLineChars="200"/>
        <w:rPr>
          <w:color w:val="auto"/>
          <w:highlight w:val="none"/>
        </w:rPr>
      </w:pPr>
      <w:r>
        <w:rPr>
          <w:color w:val="auto"/>
          <w:highlight w:val="none"/>
        </w:rPr>
        <w:t>修建临时设施费用</w:t>
      </w:r>
      <w:r>
        <w:rPr>
          <w:rFonts w:hint="eastAsia"/>
          <w:color w:val="auto"/>
          <w:highlight w:val="none"/>
        </w:rPr>
        <w:t>承担的约定：</w:t>
      </w:r>
      <w:r>
        <w:rPr>
          <w:rFonts w:hint="eastAsia"/>
          <w:color w:val="auto"/>
          <w:highlight w:val="none"/>
          <w:u w:val="single"/>
        </w:rPr>
        <w:t>由承包人承担</w:t>
      </w:r>
      <w:r>
        <w:rPr>
          <w:rFonts w:hint="eastAsia"/>
          <w:color w:val="auto"/>
          <w:highlight w:val="none"/>
        </w:rPr>
        <w:t>。</w:t>
      </w:r>
    </w:p>
    <w:p w14:paraId="50C4D586">
      <w:pPr>
        <w:adjustRightInd w:val="0"/>
        <w:snapToGrid w:val="0"/>
        <w:ind w:firstLine="480" w:firstLineChars="200"/>
        <w:rPr>
          <w:color w:val="auto"/>
          <w:highlight w:val="none"/>
        </w:rPr>
      </w:pPr>
      <w:r>
        <w:rPr>
          <w:color w:val="auto"/>
          <w:highlight w:val="none"/>
        </w:rPr>
        <w:t>8.8.2发包人提供的施工设备和临时设施</w:t>
      </w:r>
    </w:p>
    <w:p w14:paraId="770904E1">
      <w:pPr>
        <w:adjustRightInd w:val="0"/>
        <w:snapToGrid w:val="0"/>
        <w:ind w:firstLine="480" w:firstLineChars="200"/>
        <w:rPr>
          <w:color w:val="auto"/>
          <w:highlight w:val="none"/>
        </w:rPr>
      </w:pPr>
      <w:r>
        <w:rPr>
          <w:color w:val="auto"/>
          <w:highlight w:val="none"/>
        </w:rPr>
        <w:t>发包人提供的施工设备</w:t>
      </w:r>
      <w:r>
        <w:rPr>
          <w:rFonts w:hint="eastAsia"/>
          <w:color w:val="auto"/>
          <w:highlight w:val="none"/>
        </w:rPr>
        <w:t>和</w:t>
      </w:r>
      <w:r>
        <w:rPr>
          <w:color w:val="auto"/>
          <w:highlight w:val="none"/>
        </w:rPr>
        <w:t>临时设施</w:t>
      </w:r>
      <w:r>
        <w:rPr>
          <w:rFonts w:hint="eastAsia"/>
          <w:color w:val="auto"/>
          <w:highlight w:val="none"/>
        </w:rPr>
        <w:t>：</w:t>
      </w:r>
      <w:r>
        <w:rPr>
          <w:rFonts w:hint="eastAsia"/>
          <w:color w:val="auto"/>
          <w:highlight w:val="none"/>
          <w:u w:val="single"/>
        </w:rPr>
        <w:t>承包人提出申请，发包人根据实际情况及施工需要审核后确定</w:t>
      </w:r>
      <w:r>
        <w:rPr>
          <w:rFonts w:hint="eastAsia"/>
          <w:color w:val="auto"/>
          <w:highlight w:val="none"/>
        </w:rPr>
        <w:t>。</w:t>
      </w:r>
    </w:p>
    <w:p w14:paraId="37791596">
      <w:pPr>
        <w:keepNext/>
        <w:keepLines/>
        <w:adjustRightInd w:val="0"/>
        <w:snapToGrid w:val="0"/>
        <w:outlineLvl w:val="1"/>
        <w:rPr>
          <w:rFonts w:ascii="Arial"/>
          <w:b/>
          <w:bCs/>
          <w:color w:val="auto"/>
          <w:szCs w:val="32"/>
          <w:highlight w:val="none"/>
        </w:rPr>
      </w:pPr>
      <w:bookmarkStart w:id="904" w:name="_Toc13762"/>
      <w:bookmarkStart w:id="905" w:name="_Toc256000085"/>
      <w:bookmarkStart w:id="906" w:name="_Toc119953752"/>
      <w:r>
        <w:rPr>
          <w:rFonts w:ascii="Arial"/>
          <w:b/>
          <w:bCs/>
          <w:color w:val="auto"/>
          <w:szCs w:val="32"/>
          <w:highlight w:val="none"/>
        </w:rPr>
        <w:t>9. 试验与检验</w:t>
      </w:r>
      <w:bookmarkEnd w:id="894"/>
      <w:bookmarkEnd w:id="895"/>
      <w:bookmarkEnd w:id="896"/>
      <w:bookmarkEnd w:id="904"/>
      <w:bookmarkEnd w:id="905"/>
      <w:bookmarkEnd w:id="906"/>
    </w:p>
    <w:p w14:paraId="60E0AE87">
      <w:pPr>
        <w:adjustRightInd w:val="0"/>
        <w:snapToGrid w:val="0"/>
        <w:ind w:firstLine="482" w:firstLineChars="200"/>
        <w:rPr>
          <w:b/>
          <w:color w:val="auto"/>
          <w:highlight w:val="none"/>
        </w:rPr>
      </w:pPr>
      <w:bookmarkStart w:id="907" w:name="_Toc384806201"/>
      <w:bookmarkStart w:id="908" w:name="_Toc21033"/>
      <w:bookmarkStart w:id="909" w:name="_Toc90117810"/>
      <w:r>
        <w:rPr>
          <w:b/>
          <w:color w:val="auto"/>
          <w:highlight w:val="none"/>
        </w:rPr>
        <w:t>9.1试验设备与试验人员</w:t>
      </w:r>
    </w:p>
    <w:p w14:paraId="56F63588">
      <w:pPr>
        <w:adjustRightInd w:val="0"/>
        <w:snapToGrid w:val="0"/>
        <w:ind w:firstLine="480" w:firstLineChars="200"/>
        <w:rPr>
          <w:color w:val="auto"/>
          <w:highlight w:val="none"/>
        </w:rPr>
      </w:pPr>
      <w:r>
        <w:rPr>
          <w:color w:val="auto"/>
          <w:highlight w:val="none"/>
        </w:rPr>
        <w:t xml:space="preserve">9.1.2 </w:t>
      </w:r>
      <w:r>
        <w:rPr>
          <w:rFonts w:hint="eastAsia"/>
          <w:color w:val="auto"/>
          <w:highlight w:val="none"/>
        </w:rPr>
        <w:t>施工现场需要配置的试验场所</w:t>
      </w:r>
      <w:r>
        <w:rPr>
          <w:color w:val="auto"/>
          <w:highlight w:val="none"/>
        </w:rPr>
        <w:t>：</w:t>
      </w:r>
      <w:r>
        <w:rPr>
          <w:rFonts w:hint="eastAsia"/>
          <w:color w:val="auto"/>
          <w:highlight w:val="none"/>
          <w:u w:val="single"/>
        </w:rPr>
        <w:t>/</w:t>
      </w:r>
      <w:r>
        <w:rPr>
          <w:color w:val="auto"/>
          <w:highlight w:val="none"/>
        </w:rPr>
        <w:t>。</w:t>
      </w:r>
    </w:p>
    <w:p w14:paraId="6D0B4DDE">
      <w:pPr>
        <w:adjustRightInd w:val="0"/>
        <w:snapToGrid w:val="0"/>
        <w:ind w:firstLine="480" w:firstLineChars="200"/>
        <w:rPr>
          <w:color w:val="auto"/>
          <w:highlight w:val="none"/>
        </w:rPr>
      </w:pPr>
      <w:r>
        <w:rPr>
          <w:rFonts w:hint="eastAsia"/>
          <w:color w:val="auto"/>
          <w:highlight w:val="none"/>
        </w:rPr>
        <w:t>施工现场需要配备的取样装置</w:t>
      </w:r>
      <w:r>
        <w:rPr>
          <w:color w:val="auto"/>
          <w:highlight w:val="none"/>
        </w:rPr>
        <w:t>：</w:t>
      </w:r>
      <w:r>
        <w:rPr>
          <w:rFonts w:hint="eastAsia"/>
          <w:color w:val="auto"/>
          <w:highlight w:val="none"/>
          <w:u w:val="single"/>
        </w:rPr>
        <w:t>/</w:t>
      </w:r>
      <w:r>
        <w:rPr>
          <w:color w:val="auto"/>
          <w:highlight w:val="none"/>
        </w:rPr>
        <w:t>。</w:t>
      </w:r>
    </w:p>
    <w:p w14:paraId="75F926C0">
      <w:pPr>
        <w:adjustRightInd w:val="0"/>
        <w:snapToGrid w:val="0"/>
        <w:ind w:firstLine="480" w:firstLineChars="200"/>
        <w:rPr>
          <w:color w:val="auto"/>
          <w:highlight w:val="none"/>
        </w:rPr>
      </w:pPr>
      <w:r>
        <w:rPr>
          <w:rFonts w:hint="eastAsia"/>
          <w:color w:val="auto"/>
          <w:highlight w:val="none"/>
        </w:rPr>
        <w:t>施工现场需要配备的试验设备</w:t>
      </w:r>
      <w:r>
        <w:rPr>
          <w:color w:val="auto"/>
          <w:highlight w:val="none"/>
        </w:rPr>
        <w:t>：</w:t>
      </w:r>
      <w:r>
        <w:rPr>
          <w:rFonts w:hint="eastAsia"/>
          <w:color w:val="auto"/>
          <w:highlight w:val="none"/>
          <w:u w:val="single"/>
        </w:rPr>
        <w:t>/</w:t>
      </w:r>
      <w:r>
        <w:rPr>
          <w:color w:val="auto"/>
          <w:highlight w:val="none"/>
        </w:rPr>
        <w:t>。</w:t>
      </w:r>
    </w:p>
    <w:p w14:paraId="353BDFFE">
      <w:pPr>
        <w:adjustRightInd w:val="0"/>
        <w:snapToGrid w:val="0"/>
        <w:ind w:firstLine="480" w:firstLineChars="200"/>
        <w:rPr>
          <w:color w:val="auto"/>
          <w:highlight w:val="none"/>
        </w:rPr>
      </w:pPr>
      <w:r>
        <w:rPr>
          <w:rFonts w:hint="eastAsia"/>
          <w:color w:val="auto"/>
          <w:highlight w:val="none"/>
        </w:rPr>
        <w:t>施工现场需要具备的试验条件</w:t>
      </w:r>
      <w:r>
        <w:rPr>
          <w:color w:val="auto"/>
          <w:highlight w:val="none"/>
        </w:rPr>
        <w:t>：</w:t>
      </w:r>
      <w:r>
        <w:rPr>
          <w:rFonts w:hint="eastAsia"/>
          <w:color w:val="auto"/>
          <w:highlight w:val="none"/>
          <w:u w:val="single"/>
        </w:rPr>
        <w:t>/</w:t>
      </w:r>
      <w:r>
        <w:rPr>
          <w:color w:val="auto"/>
          <w:highlight w:val="none"/>
        </w:rPr>
        <w:t>。</w:t>
      </w:r>
    </w:p>
    <w:p w14:paraId="38A5BFEA">
      <w:pPr>
        <w:adjustRightInd w:val="0"/>
        <w:snapToGrid w:val="0"/>
        <w:ind w:firstLine="482" w:firstLineChars="200"/>
        <w:rPr>
          <w:b/>
          <w:color w:val="auto"/>
          <w:highlight w:val="none"/>
        </w:rPr>
      </w:pPr>
      <w:r>
        <w:rPr>
          <w:b/>
          <w:color w:val="auto"/>
          <w:highlight w:val="none"/>
        </w:rPr>
        <w:t>9.</w:t>
      </w:r>
      <w:r>
        <w:rPr>
          <w:rFonts w:hint="eastAsia"/>
          <w:b/>
          <w:color w:val="auto"/>
          <w:highlight w:val="none"/>
        </w:rPr>
        <w:t>4现场工艺</w:t>
      </w:r>
      <w:r>
        <w:rPr>
          <w:b/>
          <w:color w:val="auto"/>
          <w:highlight w:val="none"/>
        </w:rPr>
        <w:t>试验</w:t>
      </w:r>
    </w:p>
    <w:p w14:paraId="6251386D">
      <w:pPr>
        <w:spacing w:line="240" w:lineRule="auto"/>
        <w:ind w:firstLine="480" w:firstLineChars="200"/>
        <w:rPr>
          <w:color w:val="auto"/>
          <w:highlight w:val="none"/>
        </w:rPr>
      </w:pPr>
      <w:r>
        <w:rPr>
          <w:rFonts w:hint="eastAsia"/>
          <w:color w:val="auto"/>
          <w:highlight w:val="none"/>
        </w:rPr>
        <w:t>现场工艺试验的有关规定</w:t>
      </w:r>
      <w:r>
        <w:rPr>
          <w:color w:val="auto"/>
          <w:highlight w:val="none"/>
        </w:rPr>
        <w:t>：</w:t>
      </w:r>
      <w:bookmarkStart w:id="910" w:name="_Toc119953753"/>
      <w:r>
        <w:rPr>
          <w:rFonts w:hint="eastAsia"/>
          <w:color w:val="auto"/>
          <w:highlight w:val="none"/>
          <w:u w:val="single"/>
        </w:rPr>
        <w:t>/</w:t>
      </w:r>
      <w:r>
        <w:rPr>
          <w:color w:val="auto"/>
          <w:highlight w:val="none"/>
        </w:rPr>
        <w:t>。</w:t>
      </w:r>
    </w:p>
    <w:p w14:paraId="1B0D3B33">
      <w:pPr>
        <w:keepNext/>
        <w:keepLines/>
        <w:outlineLvl w:val="1"/>
        <w:rPr>
          <w:rFonts w:ascii="Arial"/>
          <w:color w:val="auto"/>
          <w:szCs w:val="32"/>
          <w:highlight w:val="none"/>
        </w:rPr>
      </w:pPr>
      <w:bookmarkStart w:id="911" w:name="_Toc256000086"/>
      <w:bookmarkStart w:id="912" w:name="_Toc4640"/>
      <w:r>
        <w:rPr>
          <w:rFonts w:ascii="Arial"/>
          <w:color w:val="auto"/>
          <w:szCs w:val="32"/>
          <w:highlight w:val="none"/>
        </w:rPr>
        <w:t>10. 变更</w:t>
      </w:r>
      <w:bookmarkEnd w:id="907"/>
      <w:bookmarkEnd w:id="908"/>
      <w:bookmarkEnd w:id="909"/>
      <w:bookmarkEnd w:id="910"/>
      <w:bookmarkEnd w:id="911"/>
      <w:bookmarkEnd w:id="912"/>
    </w:p>
    <w:p w14:paraId="55E8FF77">
      <w:pPr>
        <w:adjustRightInd w:val="0"/>
        <w:snapToGrid w:val="0"/>
        <w:ind w:firstLine="482" w:firstLineChars="200"/>
        <w:rPr>
          <w:b/>
          <w:color w:val="auto"/>
          <w:highlight w:val="none"/>
        </w:rPr>
      </w:pPr>
      <w:r>
        <w:rPr>
          <w:b/>
          <w:color w:val="auto"/>
          <w:highlight w:val="none"/>
        </w:rPr>
        <w:t>10.1</w:t>
      </w:r>
      <w:r>
        <w:rPr>
          <w:rFonts w:hint="eastAsia"/>
          <w:b/>
          <w:color w:val="auto"/>
          <w:highlight w:val="none"/>
        </w:rPr>
        <w:t xml:space="preserve"> </w:t>
      </w:r>
      <w:r>
        <w:rPr>
          <w:b/>
          <w:color w:val="auto"/>
          <w:highlight w:val="none"/>
        </w:rPr>
        <w:t>变更的范围</w:t>
      </w:r>
    </w:p>
    <w:p w14:paraId="3B790FE7">
      <w:pPr>
        <w:adjustRightInd w:val="0"/>
        <w:snapToGrid w:val="0"/>
        <w:ind w:firstLine="480" w:firstLineChars="200"/>
        <w:rPr>
          <w:color w:val="auto"/>
          <w:highlight w:val="none"/>
        </w:rPr>
      </w:pPr>
      <w:r>
        <w:rPr>
          <w:rFonts w:hint="eastAsia"/>
          <w:color w:val="auto"/>
          <w:highlight w:val="none"/>
        </w:rPr>
        <w:t>变更范围的约定：</w:t>
      </w:r>
      <w:r>
        <w:rPr>
          <w:rFonts w:hint="eastAsia"/>
          <w:color w:val="auto"/>
          <w:highlight w:val="none"/>
          <w:u w:val="single"/>
        </w:rPr>
        <w:t>具体以发包人审批的设计及工程施工变更单为准</w:t>
      </w:r>
      <w:r>
        <w:rPr>
          <w:rFonts w:hint="eastAsia"/>
          <w:color w:val="auto"/>
          <w:highlight w:val="none"/>
        </w:rPr>
        <w:t>。</w:t>
      </w:r>
    </w:p>
    <w:p w14:paraId="7493F001">
      <w:pPr>
        <w:adjustRightInd w:val="0"/>
        <w:snapToGrid w:val="0"/>
        <w:ind w:firstLine="482" w:firstLineChars="200"/>
        <w:rPr>
          <w:b/>
          <w:color w:val="auto"/>
          <w:highlight w:val="none"/>
        </w:rPr>
      </w:pPr>
      <w:r>
        <w:rPr>
          <w:b/>
          <w:color w:val="auto"/>
          <w:highlight w:val="none"/>
        </w:rPr>
        <w:t>10.4</w:t>
      </w:r>
      <w:r>
        <w:rPr>
          <w:rFonts w:hint="eastAsia"/>
          <w:b/>
          <w:color w:val="auto"/>
          <w:highlight w:val="none"/>
        </w:rPr>
        <w:t xml:space="preserve"> </w:t>
      </w:r>
      <w:r>
        <w:rPr>
          <w:b/>
          <w:color w:val="auto"/>
          <w:highlight w:val="none"/>
        </w:rPr>
        <w:t>变更估价</w:t>
      </w:r>
    </w:p>
    <w:p w14:paraId="32A98F8D">
      <w:pPr>
        <w:adjustRightInd w:val="0"/>
        <w:snapToGrid w:val="0"/>
        <w:ind w:firstLine="480" w:firstLineChars="200"/>
        <w:rPr>
          <w:color w:val="auto"/>
          <w:highlight w:val="none"/>
        </w:rPr>
      </w:pPr>
      <w:r>
        <w:rPr>
          <w:rFonts w:hint="eastAsia"/>
          <w:color w:val="auto"/>
          <w:highlight w:val="none"/>
        </w:rPr>
        <w:t>10.4.1 变更的估价原则</w:t>
      </w:r>
    </w:p>
    <w:p w14:paraId="0928E002">
      <w:pPr>
        <w:numPr>
          <w:ilvl w:val="0"/>
          <w:numId w:val="4"/>
        </w:numPr>
        <w:ind w:firstLine="480" w:firstLineChars="200"/>
        <w:rPr>
          <w:color w:val="auto"/>
          <w:highlight w:val="none"/>
          <w:u w:val="single"/>
        </w:rPr>
      </w:pPr>
      <w:r>
        <w:rPr>
          <w:rFonts w:hint="eastAsia"/>
          <w:color w:val="auto"/>
          <w:highlight w:val="none"/>
        </w:rPr>
        <w:t>因</w:t>
      </w:r>
      <w:r>
        <w:rPr>
          <w:color w:val="auto"/>
          <w:highlight w:val="none"/>
        </w:rPr>
        <w:t>变更</w:t>
      </w:r>
      <w:r>
        <w:rPr>
          <w:rFonts w:hint="eastAsia"/>
          <w:color w:val="auto"/>
          <w:highlight w:val="none"/>
        </w:rPr>
        <w:t>引起的价款调整约定：</w:t>
      </w:r>
    </w:p>
    <w:p w14:paraId="24D577C1">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ascii="微软雅黑" w:hAnsi="微软雅黑" w:eastAsia="微软雅黑"/>
          <w:color w:val="auto"/>
          <w:sz w:val="21"/>
          <w:highlight w:val="none"/>
          <w:shd w:val="clear" w:color="auto" w:fill="C9E7FF"/>
        </w:rPr>
      </w:pPr>
      <w:r>
        <w:rPr>
          <w:rFonts w:hint="eastAsia"/>
          <w:color w:val="auto"/>
          <w:highlight w:val="none"/>
          <w:u w:val="single"/>
        </w:rPr>
        <w:t>拆除工程固定总价包括红线范围内的装置及其配套管道、电缆等延伸至红线外设备设施的拆除。此范围外，经发包人批复的重大变更费可作调整，由此引起的工程变更和现场签证在计算新增工程价款时按照以下的规定执行：建、构筑物拆除工程部分执行</w:t>
      </w:r>
      <w:r>
        <w:rPr>
          <w:color w:val="auto"/>
          <w:highlight w:val="none"/>
          <w:u w:val="single"/>
        </w:rPr>
        <w:t>2012《广东省房屋建筑和市政修缮工程综合定额》</w:t>
      </w:r>
      <w:r>
        <w:rPr>
          <w:rFonts w:hint="eastAsia"/>
          <w:color w:val="auto"/>
          <w:highlight w:val="none"/>
          <w:u w:val="single"/>
        </w:rPr>
        <w:t>及其配套取费；</w:t>
      </w:r>
      <w:r>
        <w:rPr>
          <w:rFonts w:hint="eastAsia"/>
          <w:color w:val="auto"/>
          <w:highlight w:val="none"/>
          <w:u w:val="single"/>
        </w:rPr>
        <w:br w:type="textWrapping"/>
      </w:r>
      <w:r>
        <w:rPr>
          <w:rFonts w:hint="eastAsia"/>
          <w:color w:val="auto"/>
          <w:highlight w:val="none"/>
          <w:u w:val="none"/>
          <w:lang w:val="en-US" w:eastAsia="zh-CN"/>
        </w:rPr>
        <w:t xml:space="preserve">    </w:t>
      </w:r>
      <w:r>
        <w:rPr>
          <w:rFonts w:hint="eastAsia"/>
          <w:color w:val="auto"/>
          <w:highlight w:val="none"/>
          <w:u w:val="single"/>
        </w:rPr>
        <w:t>（</w:t>
      </w:r>
      <w:r>
        <w:rPr>
          <w:color w:val="auto"/>
          <w:highlight w:val="none"/>
          <w:u w:val="single"/>
        </w:rPr>
        <w:t>2）安装</w:t>
      </w:r>
      <w:r>
        <w:rPr>
          <w:rFonts w:hint="eastAsia" w:eastAsia="宋体"/>
          <w:color w:val="auto"/>
          <w:highlight w:val="none"/>
          <w:u w:val="single"/>
        </w:rPr>
        <w:t>工程</w:t>
      </w:r>
      <w:r>
        <w:rPr>
          <w:rFonts w:hint="eastAsia" w:eastAsia="宋体"/>
          <w:color w:val="auto"/>
          <w:highlight w:val="none"/>
          <w:u w:val="single"/>
          <w:lang w:val="en-US" w:eastAsia="zh-CN"/>
        </w:rPr>
        <w:t>执行中石化2025年版《石油化工行业安装工程预算定额》及相应取费标准和相应时期的费用调整文件进行计价；缺项部分（拆除）执行《石油化工行业检修工程预算定额》(2021版)及相应时期的费用调整文件进行</w:t>
      </w:r>
      <w:r>
        <w:rPr>
          <w:rFonts w:hint="eastAsia" w:eastAsia="宋体"/>
          <w:color w:val="auto"/>
          <w:highlight w:val="none"/>
          <w:u w:val="single"/>
        </w:rPr>
        <w:t>结算</w:t>
      </w:r>
      <w:r>
        <w:rPr>
          <w:rFonts w:hint="eastAsia"/>
          <w:color w:val="auto"/>
          <w:highlight w:val="none"/>
          <w:u w:val="single"/>
          <w:lang w:eastAsia="zh-CN"/>
        </w:rPr>
        <w:t>；</w:t>
      </w:r>
      <w:r>
        <w:rPr>
          <w:rFonts w:hint="eastAsia"/>
          <w:color w:val="auto"/>
          <w:highlight w:val="none"/>
          <w:u w:val="none"/>
          <w:lang w:val="en-US" w:eastAsia="zh-CN"/>
        </w:rPr>
        <w:t xml:space="preserve">        </w:t>
      </w:r>
      <w:r>
        <w:rPr>
          <w:rFonts w:hint="eastAsia"/>
          <w:color w:val="auto"/>
          <w:highlight w:val="none"/>
          <w:u w:val="none"/>
          <w:lang w:val="en-US" w:eastAsia="zh-CN"/>
        </w:rPr>
        <w:br w:type="textWrapping"/>
      </w:r>
      <w:r>
        <w:rPr>
          <w:rFonts w:hint="eastAsia"/>
          <w:color w:val="auto"/>
          <w:highlight w:val="none"/>
          <w:u w:val="none"/>
          <w:lang w:val="en-US" w:eastAsia="zh-CN"/>
        </w:rPr>
        <w:t xml:space="preserve">    </w:t>
      </w:r>
      <w:r>
        <w:rPr>
          <w:rFonts w:hint="eastAsia"/>
          <w:color w:val="auto"/>
          <w:highlight w:val="none"/>
          <w:u w:val="single"/>
        </w:rPr>
        <w:t>（</w:t>
      </w:r>
      <w:r>
        <w:rPr>
          <w:color w:val="auto"/>
          <w:highlight w:val="none"/>
          <w:u w:val="single"/>
        </w:rPr>
        <w:t>3）除安装及拆除外执行执行《广东省建设工程计价依据（2018）》相应专业定额及其配套取费</w:t>
      </w:r>
      <w:r>
        <w:rPr>
          <w:rFonts w:hint="eastAsia"/>
          <w:color w:val="auto"/>
          <w:highlight w:val="none"/>
          <w:u w:val="single"/>
          <w:lang w:eastAsia="zh-CN"/>
        </w:rPr>
        <w:t>；</w:t>
      </w:r>
      <w:r>
        <w:rPr>
          <w:rFonts w:hint="eastAsia"/>
          <w:color w:val="auto"/>
          <w:highlight w:val="none"/>
          <w:u w:val="single"/>
          <w:lang w:eastAsia="zh-CN"/>
        </w:rPr>
        <w:br w:type="textWrapping"/>
      </w:r>
      <w:r>
        <w:rPr>
          <w:rFonts w:hint="eastAsia"/>
          <w:color w:val="auto"/>
          <w:highlight w:val="none"/>
          <w:u w:val="none"/>
          <w:lang w:val="en-US" w:eastAsia="zh-CN"/>
        </w:rPr>
        <w:t xml:space="preserve">    </w:t>
      </w:r>
      <w:r>
        <w:rPr>
          <w:rFonts w:hint="eastAsia"/>
          <w:color w:val="auto"/>
          <w:highlight w:val="none"/>
          <w:u w:val="single"/>
        </w:rPr>
        <w:t>（</w:t>
      </w:r>
      <w:r>
        <w:rPr>
          <w:color w:val="auto"/>
          <w:highlight w:val="none"/>
          <w:u w:val="single"/>
        </w:rPr>
        <w:t>4）</w:t>
      </w:r>
      <w:r>
        <w:rPr>
          <w:rFonts w:hint="eastAsia"/>
          <w:color w:val="auto"/>
          <w:highlight w:val="none"/>
          <w:u w:val="single"/>
        </w:rPr>
        <w:t>执行以上定额计价的重大变更费用总造价降点8%作结算总价。</w:t>
      </w:r>
    </w:p>
    <w:p w14:paraId="7F76CFAB">
      <w:pPr>
        <w:adjustRightInd w:val="0"/>
        <w:snapToGrid w:val="0"/>
        <w:ind w:firstLine="480" w:firstLineChars="200"/>
        <w:rPr>
          <w:color w:val="auto"/>
          <w:highlight w:val="none"/>
        </w:rPr>
      </w:pPr>
      <w:r>
        <w:rPr>
          <w:rFonts w:hint="eastAsia"/>
          <w:color w:val="auto"/>
          <w:highlight w:val="none"/>
        </w:rPr>
        <w:t>10.4.2 变更估价程序</w:t>
      </w:r>
    </w:p>
    <w:p w14:paraId="3F49F017">
      <w:pPr>
        <w:adjustRightInd w:val="0"/>
        <w:snapToGrid w:val="0"/>
        <w:ind w:firstLine="480" w:firstLineChars="200"/>
        <w:rPr>
          <w:color w:val="auto"/>
          <w:highlight w:val="none"/>
        </w:rPr>
      </w:pPr>
      <w:r>
        <w:rPr>
          <w:rFonts w:hint="eastAsia"/>
          <w:color w:val="auto"/>
          <w:highlight w:val="none"/>
        </w:rPr>
        <w:t>变更估价程序的约定：</w:t>
      </w:r>
      <w:r>
        <w:rPr>
          <w:rFonts w:hint="eastAsia"/>
          <w:color w:val="auto"/>
          <w:highlight w:val="none"/>
          <w:u w:val="single"/>
        </w:rPr>
        <w:t>执行发包人变更审批程序，对于变更及签证事项，承包人要严格遵守《茂名石化设计变更管理细则》《茂名石化投资100 万及以上工程项目施工变更管理细则》《茂名石化工程建设项目现场签证管理细则》《工程变更及签证补充管理规定》等发包人相关管理规定，设计变更及施工变更必须遵循先审批后实施的原则，严禁实施后再补办变更手续，承包人须按变更管理规定提报变更申请给发包人审批，否则不予调整费用</w:t>
      </w:r>
      <w:r>
        <w:rPr>
          <w:rFonts w:hint="eastAsia"/>
          <w:color w:val="auto"/>
          <w:highlight w:val="none"/>
        </w:rPr>
        <w:t>。</w:t>
      </w:r>
    </w:p>
    <w:p w14:paraId="2FD78E9A">
      <w:pPr>
        <w:adjustRightInd w:val="0"/>
        <w:snapToGrid w:val="0"/>
        <w:ind w:firstLine="482" w:firstLineChars="200"/>
        <w:rPr>
          <w:b/>
          <w:color w:val="auto"/>
          <w:highlight w:val="none"/>
        </w:rPr>
      </w:pPr>
      <w:r>
        <w:rPr>
          <w:b/>
          <w:color w:val="auto"/>
          <w:highlight w:val="none"/>
        </w:rPr>
        <w:t>10.5</w:t>
      </w:r>
      <w:r>
        <w:rPr>
          <w:rFonts w:hint="eastAsia"/>
          <w:b/>
          <w:color w:val="auto"/>
          <w:highlight w:val="none"/>
        </w:rPr>
        <w:t xml:space="preserve"> </w:t>
      </w:r>
      <w:r>
        <w:rPr>
          <w:b/>
          <w:color w:val="auto"/>
          <w:highlight w:val="none"/>
        </w:rPr>
        <w:t>承包人的合理化建议</w:t>
      </w:r>
    </w:p>
    <w:p w14:paraId="0A4C7A87">
      <w:pPr>
        <w:adjustRightInd w:val="0"/>
        <w:snapToGrid w:val="0"/>
        <w:ind w:firstLine="480" w:firstLineChars="200"/>
        <w:rPr>
          <w:color w:val="auto"/>
          <w:highlight w:val="none"/>
        </w:rPr>
      </w:pPr>
      <w:r>
        <w:rPr>
          <w:color w:val="auto"/>
          <w:highlight w:val="none"/>
        </w:rPr>
        <w:t>1</w:t>
      </w:r>
      <w:r>
        <w:rPr>
          <w:rFonts w:hint="eastAsia"/>
          <w:color w:val="auto"/>
          <w:highlight w:val="none"/>
        </w:rPr>
        <w:t>0</w:t>
      </w:r>
      <w:r>
        <w:rPr>
          <w:color w:val="auto"/>
          <w:highlight w:val="none"/>
        </w:rPr>
        <w:t>.</w:t>
      </w:r>
      <w:r>
        <w:rPr>
          <w:rFonts w:hint="eastAsia"/>
          <w:color w:val="auto"/>
          <w:highlight w:val="none"/>
        </w:rPr>
        <w:t>5</w:t>
      </w:r>
      <w:r>
        <w:rPr>
          <w:color w:val="auto"/>
          <w:highlight w:val="none"/>
        </w:rPr>
        <w:t xml:space="preserve">.2 </w:t>
      </w:r>
      <w:r>
        <w:rPr>
          <w:rFonts w:hint="eastAsia"/>
          <w:color w:val="auto"/>
          <w:highlight w:val="none"/>
        </w:rPr>
        <w:t>监理人审查承包人合理化的期限：</w:t>
      </w:r>
      <w:r>
        <w:rPr>
          <w:rFonts w:hint="eastAsia"/>
          <w:color w:val="auto"/>
          <w:highlight w:val="none"/>
          <w:u w:val="single"/>
        </w:rPr>
        <w:t>执行通用合同条款</w:t>
      </w:r>
      <w:r>
        <w:rPr>
          <w:rFonts w:hint="eastAsia"/>
          <w:color w:val="auto"/>
          <w:highlight w:val="none"/>
        </w:rPr>
        <w:t>。</w:t>
      </w:r>
    </w:p>
    <w:p w14:paraId="5EEC93BE">
      <w:pPr>
        <w:adjustRightInd w:val="0"/>
        <w:snapToGrid w:val="0"/>
        <w:ind w:firstLine="480" w:firstLineChars="200"/>
        <w:rPr>
          <w:color w:val="auto"/>
          <w:highlight w:val="none"/>
        </w:rPr>
      </w:pPr>
      <w:r>
        <w:rPr>
          <w:rFonts w:hint="eastAsia"/>
          <w:color w:val="auto"/>
          <w:highlight w:val="none"/>
        </w:rPr>
        <w:t>发包人审查承包人合理化的期限：</w:t>
      </w:r>
      <w:r>
        <w:rPr>
          <w:rFonts w:hint="eastAsia"/>
          <w:color w:val="auto"/>
          <w:highlight w:val="none"/>
          <w:u w:val="single"/>
        </w:rPr>
        <w:t>执行通用合同条款</w:t>
      </w:r>
      <w:r>
        <w:rPr>
          <w:rFonts w:hint="eastAsia"/>
          <w:color w:val="auto"/>
          <w:highlight w:val="none"/>
        </w:rPr>
        <w:t>。</w:t>
      </w:r>
    </w:p>
    <w:p w14:paraId="55FC69EA">
      <w:pPr>
        <w:adjustRightInd w:val="0"/>
        <w:snapToGrid w:val="0"/>
        <w:ind w:firstLine="480" w:firstLineChars="200"/>
        <w:rPr>
          <w:color w:val="auto"/>
          <w:highlight w:val="none"/>
        </w:rPr>
      </w:pPr>
      <w:r>
        <w:rPr>
          <w:color w:val="auto"/>
          <w:highlight w:val="none"/>
        </w:rPr>
        <w:t>1</w:t>
      </w:r>
      <w:r>
        <w:rPr>
          <w:rFonts w:hint="eastAsia"/>
          <w:color w:val="auto"/>
          <w:highlight w:val="none"/>
        </w:rPr>
        <w:t>0</w:t>
      </w:r>
      <w:r>
        <w:rPr>
          <w:color w:val="auto"/>
          <w:highlight w:val="none"/>
        </w:rPr>
        <w:t>.</w:t>
      </w:r>
      <w:r>
        <w:rPr>
          <w:rFonts w:hint="eastAsia"/>
          <w:color w:val="auto"/>
          <w:highlight w:val="none"/>
        </w:rPr>
        <w:t>5</w:t>
      </w:r>
      <w:r>
        <w:rPr>
          <w:color w:val="auto"/>
          <w:highlight w:val="none"/>
        </w:rPr>
        <w:t>.</w:t>
      </w:r>
      <w:r>
        <w:rPr>
          <w:rFonts w:hint="eastAsia"/>
          <w:color w:val="auto"/>
          <w:highlight w:val="none"/>
        </w:rPr>
        <w:t>3承包人提出的合理化建议降低合同价款或提高工程经济效益的</w:t>
      </w:r>
      <w:r>
        <w:rPr>
          <w:color w:val="auto"/>
          <w:highlight w:val="none"/>
        </w:rPr>
        <w:t>奖励方法和金额</w:t>
      </w:r>
      <w:r>
        <w:rPr>
          <w:rFonts w:hint="eastAsia"/>
          <w:color w:val="auto"/>
          <w:highlight w:val="none"/>
        </w:rPr>
        <w:t>：</w:t>
      </w:r>
      <w:r>
        <w:rPr>
          <w:rFonts w:hint="eastAsia"/>
          <w:color w:val="auto"/>
          <w:highlight w:val="none"/>
          <w:u w:val="single"/>
        </w:rPr>
        <w:t xml:space="preserve"> 经发包人采纳，给予0.1万-10万奖励</w:t>
      </w:r>
      <w:r>
        <w:rPr>
          <w:rFonts w:hint="eastAsia"/>
          <w:color w:val="auto"/>
          <w:highlight w:val="none"/>
        </w:rPr>
        <w:t>。</w:t>
      </w:r>
    </w:p>
    <w:p w14:paraId="616D8C0A">
      <w:pPr>
        <w:keepNext/>
        <w:keepLines/>
        <w:adjustRightInd w:val="0"/>
        <w:snapToGrid w:val="0"/>
        <w:outlineLvl w:val="1"/>
        <w:rPr>
          <w:rFonts w:ascii="Arial"/>
          <w:b/>
          <w:bCs/>
          <w:color w:val="auto"/>
          <w:szCs w:val="32"/>
          <w:highlight w:val="none"/>
        </w:rPr>
      </w:pPr>
      <w:bookmarkStart w:id="913" w:name="_Toc256000087"/>
      <w:bookmarkStart w:id="914" w:name="_Toc90117811"/>
      <w:bookmarkStart w:id="915" w:name="_Toc119953754"/>
      <w:bookmarkStart w:id="916" w:name="_Toc16114"/>
      <w:bookmarkStart w:id="917" w:name="_Toc2975"/>
      <w:bookmarkStart w:id="918" w:name="_Toc70589649"/>
      <w:r>
        <w:rPr>
          <w:rFonts w:ascii="Arial"/>
          <w:b/>
          <w:bCs/>
          <w:color w:val="auto"/>
          <w:szCs w:val="32"/>
          <w:highlight w:val="none"/>
        </w:rPr>
        <w:t>11. 价</w:t>
      </w:r>
      <w:r>
        <w:rPr>
          <w:rFonts w:hint="eastAsia" w:ascii="Arial"/>
          <w:b/>
          <w:bCs/>
          <w:color w:val="auto"/>
          <w:szCs w:val="32"/>
          <w:highlight w:val="none"/>
        </w:rPr>
        <w:t>款</w:t>
      </w:r>
      <w:r>
        <w:rPr>
          <w:rFonts w:ascii="Arial"/>
          <w:b/>
          <w:bCs/>
          <w:color w:val="auto"/>
          <w:szCs w:val="32"/>
          <w:highlight w:val="none"/>
        </w:rPr>
        <w:t>调整</w:t>
      </w:r>
      <w:bookmarkEnd w:id="913"/>
      <w:bookmarkEnd w:id="914"/>
      <w:bookmarkEnd w:id="915"/>
      <w:bookmarkEnd w:id="916"/>
      <w:bookmarkEnd w:id="917"/>
      <w:bookmarkEnd w:id="918"/>
    </w:p>
    <w:p w14:paraId="45D8C6E3">
      <w:pPr>
        <w:adjustRightInd w:val="0"/>
        <w:snapToGrid w:val="0"/>
        <w:ind w:firstLine="482" w:firstLineChars="200"/>
        <w:rPr>
          <w:b/>
          <w:color w:val="auto"/>
          <w:highlight w:val="none"/>
        </w:rPr>
      </w:pPr>
      <w:r>
        <w:rPr>
          <w:rFonts w:hint="eastAsia"/>
          <w:b/>
          <w:color w:val="auto"/>
          <w:highlight w:val="none"/>
        </w:rPr>
        <w:t>11.1合同价款中包含的风险费用</w:t>
      </w:r>
    </w:p>
    <w:p w14:paraId="09ADEF4F">
      <w:pPr>
        <w:adjustRightInd w:val="0"/>
        <w:snapToGrid w:val="0"/>
        <w:ind w:firstLine="480" w:firstLineChars="200"/>
        <w:rPr>
          <w:color w:val="auto"/>
          <w:sz w:val="21"/>
          <w:szCs w:val="22"/>
          <w:highlight w:val="none"/>
        </w:rPr>
      </w:pPr>
      <w:r>
        <w:rPr>
          <w:rFonts w:hint="eastAsia"/>
          <w:color w:val="auto"/>
          <w:highlight w:val="none"/>
        </w:rPr>
        <w:t>固定单价合同、总价合同包含的风险费用：</w:t>
      </w:r>
      <w:r>
        <w:rPr>
          <w:rFonts w:hint="eastAsia"/>
          <w:color w:val="auto"/>
          <w:highlight w:val="none"/>
          <w:u w:val="single"/>
        </w:rPr>
        <w:t xml:space="preserve"> 执行通用条款第（</w:t>
      </w:r>
      <w:r>
        <w:rPr>
          <w:color w:val="auto"/>
          <w:highlight w:val="none"/>
          <w:u w:val="single"/>
        </w:rPr>
        <w:t>1</w:t>
      </w:r>
      <w:r>
        <w:rPr>
          <w:rFonts w:hint="eastAsia"/>
          <w:color w:val="auto"/>
          <w:highlight w:val="none"/>
          <w:u w:val="single"/>
        </w:rPr>
        <w:t>）；</w:t>
      </w:r>
    </w:p>
    <w:p w14:paraId="7CF150C1">
      <w:pPr>
        <w:adjustRightInd w:val="0"/>
        <w:snapToGrid w:val="0"/>
        <w:ind w:left="0" w:leftChars="0" w:firstLine="480" w:firstLineChars="200"/>
        <w:rPr>
          <w:rFonts w:ascii="宋体" w:hAnsi="宋体"/>
          <w:color w:val="auto"/>
          <w:highlight w:val="none"/>
        </w:rPr>
      </w:pPr>
      <w:r>
        <w:rPr>
          <w:rFonts w:hint="eastAsia" w:ascii="宋体" w:hAnsi="宋体"/>
          <w:color w:val="auto"/>
          <w:highlight w:val="none"/>
        </w:rPr>
        <w:t>（1）</w:t>
      </w:r>
      <w:bookmarkStart w:id="1301" w:name="_GoBack"/>
      <w:r>
        <w:rPr>
          <w:rFonts w:hint="eastAsia"/>
          <w:color w:val="auto"/>
          <w:highlight w:val="none"/>
          <w:u w:val="none"/>
        </w:rPr>
        <w:t>固定总价</w:t>
      </w:r>
      <w:bookmarkEnd w:id="1301"/>
      <w:r>
        <w:rPr>
          <w:rFonts w:hint="eastAsia"/>
          <w:color w:val="auto"/>
          <w:highlight w:val="none"/>
          <w:u w:val="none"/>
        </w:rPr>
        <w:t>合同中的风险费用包含以下内容：</w:t>
      </w:r>
      <w:r>
        <w:rPr>
          <w:rFonts w:hint="eastAsia" w:ascii="宋体" w:hAnsi="宋体"/>
          <w:color w:val="auto"/>
          <w:highlight w:val="none"/>
          <w:u w:val="single"/>
        </w:rPr>
        <w:t xml:space="preserve">   / </w:t>
      </w:r>
      <w:r>
        <w:rPr>
          <w:rFonts w:hint="eastAsia"/>
          <w:color w:val="auto"/>
          <w:sz w:val="21"/>
          <w:szCs w:val="22"/>
          <w:highlight w:val="none"/>
        </w:rPr>
        <w:t>。</w:t>
      </w:r>
    </w:p>
    <w:p w14:paraId="03E1BF74">
      <w:pPr>
        <w:adjustRightInd w:val="0"/>
        <w:snapToGrid w:val="0"/>
        <w:ind w:firstLine="480" w:firstLineChars="200"/>
        <w:rPr>
          <w:rFonts w:ascii="宋体" w:hAnsi="宋体"/>
          <w:color w:val="auto"/>
          <w:highlight w:val="none"/>
        </w:rPr>
      </w:pPr>
      <w:r>
        <w:rPr>
          <w:rFonts w:hint="eastAsia" w:ascii="宋体" w:hAnsi="宋体"/>
          <w:color w:val="auto"/>
          <w:highlight w:val="none"/>
        </w:rPr>
        <w:t>（2）固定总价合同中包含的风险费用：</w:t>
      </w:r>
      <w:r>
        <w:rPr>
          <w:rFonts w:hint="eastAsia" w:ascii="宋体" w:hAnsi="宋体"/>
          <w:color w:val="auto"/>
          <w:highlight w:val="none"/>
          <w:u w:val="single"/>
        </w:rPr>
        <w:t xml:space="preserve">   / </w:t>
      </w:r>
      <w:r>
        <w:rPr>
          <w:rFonts w:hint="eastAsia" w:ascii="宋体" w:hAnsi="宋体"/>
          <w:color w:val="auto"/>
          <w:highlight w:val="none"/>
        </w:rPr>
        <w:t>。</w:t>
      </w:r>
    </w:p>
    <w:p w14:paraId="358F9D45">
      <w:pPr>
        <w:adjustRightInd w:val="0"/>
        <w:snapToGrid w:val="0"/>
        <w:ind w:firstLine="480" w:firstLineChars="200"/>
        <w:rPr>
          <w:rFonts w:ascii="宋体" w:hAnsi="宋体"/>
          <w:color w:val="auto"/>
          <w:highlight w:val="none"/>
        </w:rPr>
      </w:pPr>
      <w:r>
        <w:rPr>
          <w:rFonts w:hint="eastAsia" w:ascii="宋体" w:hAnsi="宋体"/>
          <w:color w:val="auto"/>
          <w:highlight w:val="none"/>
        </w:rPr>
        <w:t>（3）固定总价合同中风险费用的约定：</w:t>
      </w:r>
      <w:r>
        <w:rPr>
          <w:rFonts w:hint="eastAsia"/>
          <w:color w:val="auto"/>
          <w:highlight w:val="none"/>
          <w:u w:val="single"/>
        </w:rPr>
        <w:t>固定总价合同中的风险费用包含以下内容：合同期内市场人工等各种价格波动造成的成本变化，包括市场物价的不稳定因素，各项调价因素，气候等自然条件的不利影响，技术经济条件发生变化（如资源、劳动力、交通条件等），国家宏观经济调控政策</w:t>
      </w:r>
      <w:r>
        <w:rPr>
          <w:color w:val="auto"/>
          <w:highlight w:val="none"/>
          <w:u w:val="single"/>
        </w:rPr>
        <w:t>引起</w:t>
      </w:r>
      <w:r>
        <w:rPr>
          <w:rFonts w:hint="eastAsia"/>
          <w:color w:val="auto"/>
          <w:highlight w:val="none"/>
          <w:u w:val="single"/>
        </w:rPr>
        <w:t>的影响以及其他难以预测的费用，非承包人原因引起工期的延长、停（窝）工或不能连续施工、工作时间的延长及节假日加班、施工进场次数的不确定及工程量变化、运距增加等，固定总价不调整</w:t>
      </w:r>
      <w:r>
        <w:rPr>
          <w:rFonts w:hint="eastAsia" w:ascii="宋体" w:hAnsi="宋体"/>
          <w:color w:val="auto"/>
          <w:highlight w:val="none"/>
          <w:u w:val="single"/>
        </w:rPr>
        <w:t xml:space="preserve">  </w:t>
      </w:r>
      <w:r>
        <w:rPr>
          <w:rFonts w:hint="eastAsia" w:ascii="宋体" w:hAnsi="宋体"/>
          <w:color w:val="auto"/>
          <w:highlight w:val="none"/>
        </w:rPr>
        <w:t>。</w:t>
      </w:r>
    </w:p>
    <w:p w14:paraId="161F2231">
      <w:pPr>
        <w:adjustRightInd w:val="0"/>
        <w:snapToGrid w:val="0"/>
        <w:ind w:firstLine="482" w:firstLineChars="200"/>
        <w:rPr>
          <w:b/>
          <w:color w:val="auto"/>
          <w:highlight w:val="none"/>
        </w:rPr>
      </w:pPr>
      <w:r>
        <w:rPr>
          <w:rFonts w:hint="eastAsia"/>
          <w:b/>
          <w:color w:val="auto"/>
          <w:highlight w:val="none"/>
        </w:rPr>
        <w:t>11.2 合同价款调整</w:t>
      </w:r>
    </w:p>
    <w:p w14:paraId="19F511AB">
      <w:pPr>
        <w:adjustRightInd w:val="0"/>
        <w:snapToGrid w:val="0"/>
        <w:ind w:firstLine="480" w:firstLineChars="200"/>
        <w:rPr>
          <w:color w:val="auto"/>
          <w:highlight w:val="none"/>
        </w:rPr>
      </w:pPr>
      <w:r>
        <w:rPr>
          <w:color w:val="auto"/>
          <w:highlight w:val="none"/>
        </w:rPr>
        <w:t>11.</w:t>
      </w:r>
      <w:r>
        <w:rPr>
          <w:rFonts w:hint="eastAsia"/>
          <w:color w:val="auto"/>
          <w:highlight w:val="none"/>
        </w:rPr>
        <w:t>2.</w:t>
      </w:r>
      <w:r>
        <w:rPr>
          <w:color w:val="auto"/>
          <w:highlight w:val="none"/>
        </w:rPr>
        <w:t>1</w:t>
      </w:r>
      <w:r>
        <w:rPr>
          <w:rFonts w:hint="eastAsia"/>
          <w:color w:val="auto"/>
          <w:highlight w:val="none"/>
        </w:rPr>
        <w:t xml:space="preserve"> </w:t>
      </w:r>
      <w:r>
        <w:rPr>
          <w:color w:val="auto"/>
          <w:highlight w:val="none"/>
        </w:rPr>
        <w:t>市场价格波动引起的调整</w:t>
      </w:r>
    </w:p>
    <w:p w14:paraId="26214F2A">
      <w:pPr>
        <w:adjustRightInd w:val="0"/>
        <w:snapToGrid w:val="0"/>
        <w:ind w:firstLine="480" w:firstLineChars="200"/>
        <w:rPr>
          <w:color w:val="auto"/>
          <w:highlight w:val="none"/>
        </w:rPr>
      </w:pPr>
      <w:r>
        <w:rPr>
          <w:rFonts w:hint="eastAsia"/>
          <w:color w:val="auto"/>
          <w:highlight w:val="none"/>
        </w:rPr>
        <w:t>市场价格</w:t>
      </w:r>
      <w:r>
        <w:rPr>
          <w:color w:val="auto"/>
          <w:highlight w:val="none"/>
        </w:rPr>
        <w:t>波动是否调整合同价款的约定：</w:t>
      </w:r>
      <w:r>
        <w:rPr>
          <w:rFonts w:hint="eastAsia"/>
          <w:color w:val="auto"/>
          <w:highlight w:val="none"/>
          <w:u w:val="single"/>
        </w:rPr>
        <w:t xml:space="preserve">  否  </w:t>
      </w:r>
      <w:r>
        <w:rPr>
          <w:color w:val="auto"/>
          <w:highlight w:val="none"/>
        </w:rPr>
        <w:t>。</w:t>
      </w:r>
    </w:p>
    <w:p w14:paraId="12910A7D">
      <w:pPr>
        <w:adjustRightInd w:val="0"/>
        <w:snapToGrid w:val="0"/>
        <w:ind w:firstLine="480" w:firstLineChars="200"/>
        <w:rPr>
          <w:color w:val="auto"/>
          <w:highlight w:val="none"/>
        </w:rPr>
      </w:pPr>
      <w:r>
        <w:rPr>
          <w:color w:val="auto"/>
          <w:highlight w:val="none"/>
        </w:rPr>
        <w:t>因市场价格波动调整合同价</w:t>
      </w:r>
      <w:r>
        <w:rPr>
          <w:rFonts w:hint="eastAsia"/>
          <w:color w:val="auto"/>
          <w:highlight w:val="none"/>
        </w:rPr>
        <w:t>款</w:t>
      </w:r>
      <w:r>
        <w:rPr>
          <w:color w:val="auto"/>
          <w:highlight w:val="none"/>
        </w:rPr>
        <w:t>，采用以下第</w:t>
      </w:r>
      <w:r>
        <w:rPr>
          <w:rFonts w:hint="eastAsia"/>
          <w:color w:val="auto"/>
          <w:highlight w:val="none"/>
          <w:u w:val="single"/>
        </w:rPr>
        <w:t xml:space="preserve"> / </w:t>
      </w:r>
      <w:r>
        <w:rPr>
          <w:color w:val="auto"/>
          <w:highlight w:val="none"/>
        </w:rPr>
        <w:t>种方式对合同价</w:t>
      </w:r>
      <w:r>
        <w:rPr>
          <w:rFonts w:hint="eastAsia"/>
          <w:color w:val="auto"/>
          <w:highlight w:val="none"/>
        </w:rPr>
        <w:t>款</w:t>
      </w:r>
      <w:r>
        <w:rPr>
          <w:color w:val="auto"/>
          <w:highlight w:val="none"/>
        </w:rPr>
        <w:t>进行调整：</w:t>
      </w:r>
    </w:p>
    <w:p w14:paraId="44EBDFC9">
      <w:pPr>
        <w:adjustRightInd w:val="0"/>
        <w:snapToGrid w:val="0"/>
        <w:ind w:firstLine="480" w:firstLineChars="200"/>
        <w:rPr>
          <w:color w:val="auto"/>
          <w:highlight w:val="none"/>
        </w:rPr>
      </w:pPr>
      <w:r>
        <w:rPr>
          <w:color w:val="auto"/>
          <w:highlight w:val="none"/>
        </w:rPr>
        <w:t>第1种方式：采用价格指数</w:t>
      </w:r>
      <w:r>
        <w:rPr>
          <w:rFonts w:hint="eastAsia"/>
          <w:color w:val="auto"/>
          <w:highlight w:val="none"/>
        </w:rPr>
        <w:t>进行价格</w:t>
      </w:r>
      <w:r>
        <w:rPr>
          <w:color w:val="auto"/>
          <w:highlight w:val="none"/>
        </w:rPr>
        <w:t>调整。</w:t>
      </w:r>
    </w:p>
    <w:p w14:paraId="6873537A">
      <w:pPr>
        <w:adjustRightInd w:val="0"/>
        <w:snapToGrid w:val="0"/>
        <w:ind w:firstLine="480" w:firstLineChars="200"/>
        <w:rPr>
          <w:color w:val="auto"/>
          <w:highlight w:val="none"/>
        </w:rPr>
      </w:pPr>
      <w:r>
        <w:rPr>
          <w:color w:val="auto"/>
          <w:highlight w:val="none"/>
        </w:rPr>
        <w:t>关于各可调因子、定值和变值权重，以及基本价格指数及其来源的约定：</w:t>
      </w:r>
      <w:r>
        <w:rPr>
          <w:rFonts w:hint="eastAsia"/>
          <w:color w:val="auto"/>
          <w:highlight w:val="none"/>
          <w:u w:val="single"/>
        </w:rPr>
        <w:t xml:space="preserve"> / </w:t>
      </w:r>
      <w:r>
        <w:rPr>
          <w:color w:val="auto"/>
          <w:highlight w:val="none"/>
        </w:rPr>
        <w:t>。</w:t>
      </w:r>
    </w:p>
    <w:p w14:paraId="5796B7CF">
      <w:pPr>
        <w:adjustRightInd w:val="0"/>
        <w:snapToGrid w:val="0"/>
        <w:ind w:firstLine="480" w:firstLineChars="200"/>
        <w:rPr>
          <w:color w:val="auto"/>
          <w:highlight w:val="none"/>
        </w:rPr>
      </w:pPr>
      <w:r>
        <w:rPr>
          <w:color w:val="auto"/>
          <w:highlight w:val="none"/>
        </w:rPr>
        <w:t>第2种方式：采用造价信息</w:t>
      </w:r>
      <w:r>
        <w:rPr>
          <w:rFonts w:hint="eastAsia"/>
          <w:color w:val="auto"/>
          <w:highlight w:val="none"/>
        </w:rPr>
        <w:t>进行价格</w:t>
      </w:r>
      <w:r>
        <w:rPr>
          <w:color w:val="auto"/>
          <w:highlight w:val="none"/>
        </w:rPr>
        <w:t>调整。</w:t>
      </w:r>
    </w:p>
    <w:p w14:paraId="2F6B2541">
      <w:pPr>
        <w:adjustRightInd w:val="0"/>
        <w:snapToGrid w:val="0"/>
        <w:ind w:firstLine="480" w:firstLineChars="200"/>
        <w:rPr>
          <w:color w:val="auto"/>
          <w:highlight w:val="none"/>
        </w:rPr>
      </w:pPr>
      <w:r>
        <w:rPr>
          <w:color w:val="auto"/>
          <w:highlight w:val="none"/>
        </w:rPr>
        <w:t>（2）关于基准价格的约定：</w:t>
      </w:r>
      <w:r>
        <w:rPr>
          <w:rFonts w:hint="eastAsia"/>
          <w:color w:val="auto"/>
          <w:highlight w:val="none"/>
          <w:u w:val="single"/>
        </w:rPr>
        <w:t xml:space="preserve"> / </w:t>
      </w:r>
      <w:r>
        <w:rPr>
          <w:color w:val="auto"/>
          <w:highlight w:val="none"/>
        </w:rPr>
        <w:t>。</w:t>
      </w:r>
    </w:p>
    <w:p w14:paraId="2C0031E7">
      <w:pPr>
        <w:adjustRightInd w:val="0"/>
        <w:snapToGrid w:val="0"/>
        <w:ind w:firstLine="480" w:firstLineChars="200"/>
        <w:rPr>
          <w:color w:val="auto"/>
          <w:highlight w:val="none"/>
        </w:rPr>
      </w:pPr>
      <w:r>
        <w:rPr>
          <w:rFonts w:hint="eastAsia"/>
          <w:color w:val="auto"/>
          <w:highlight w:val="none"/>
        </w:rPr>
        <w:t>①</w:t>
      </w:r>
      <w:r>
        <w:rPr>
          <w:color w:val="auto"/>
          <w:highlight w:val="none"/>
        </w:rPr>
        <w:t>承包人在预算书中载明材料单价低于基准价格的</w:t>
      </w:r>
      <w:r>
        <w:rPr>
          <w:rFonts w:hint="eastAsia"/>
          <w:color w:val="auto"/>
          <w:highlight w:val="none"/>
        </w:rPr>
        <w:t>，</w:t>
      </w:r>
      <w:r>
        <w:rPr>
          <w:color w:val="auto"/>
          <w:highlight w:val="none"/>
        </w:rPr>
        <w:t>价款调整</w:t>
      </w:r>
      <w:r>
        <w:rPr>
          <w:rFonts w:hint="eastAsia"/>
          <w:color w:val="auto"/>
          <w:highlight w:val="none"/>
        </w:rPr>
        <w:t>的约定：</w:t>
      </w:r>
      <w:r>
        <w:rPr>
          <w:rFonts w:hint="eastAsia"/>
          <w:color w:val="auto"/>
          <w:highlight w:val="none"/>
          <w:u w:val="single"/>
        </w:rPr>
        <w:t xml:space="preserve"> / </w:t>
      </w:r>
      <w:r>
        <w:rPr>
          <w:color w:val="auto"/>
          <w:highlight w:val="none"/>
        </w:rPr>
        <w:t>。</w:t>
      </w:r>
    </w:p>
    <w:p w14:paraId="64D427CB">
      <w:pPr>
        <w:adjustRightInd w:val="0"/>
        <w:snapToGrid w:val="0"/>
        <w:ind w:firstLine="480" w:firstLineChars="200"/>
        <w:rPr>
          <w:color w:val="auto"/>
          <w:highlight w:val="none"/>
        </w:rPr>
      </w:pPr>
      <w:r>
        <w:rPr>
          <w:rFonts w:hint="eastAsia"/>
          <w:color w:val="auto"/>
          <w:highlight w:val="none"/>
        </w:rPr>
        <w:t>②</w:t>
      </w:r>
      <w:r>
        <w:rPr>
          <w:color w:val="auto"/>
          <w:highlight w:val="none"/>
        </w:rPr>
        <w:t>承包人在预算书中载明的材料单价高于基准价格的</w:t>
      </w:r>
      <w:r>
        <w:rPr>
          <w:rFonts w:hint="eastAsia"/>
          <w:color w:val="auto"/>
          <w:highlight w:val="none"/>
        </w:rPr>
        <w:t>，</w:t>
      </w:r>
      <w:r>
        <w:rPr>
          <w:color w:val="auto"/>
          <w:highlight w:val="none"/>
        </w:rPr>
        <w:t>价款调整</w:t>
      </w:r>
      <w:r>
        <w:rPr>
          <w:rFonts w:hint="eastAsia"/>
          <w:color w:val="auto"/>
          <w:highlight w:val="none"/>
        </w:rPr>
        <w:t>的约定：</w:t>
      </w:r>
      <w:r>
        <w:rPr>
          <w:rFonts w:hint="eastAsia"/>
          <w:color w:val="auto"/>
          <w:highlight w:val="none"/>
          <w:u w:val="single"/>
        </w:rPr>
        <w:t xml:space="preserve">  / </w:t>
      </w:r>
      <w:r>
        <w:rPr>
          <w:color w:val="auto"/>
          <w:highlight w:val="none"/>
        </w:rPr>
        <w:t>。</w:t>
      </w:r>
    </w:p>
    <w:p w14:paraId="47A4A093">
      <w:pPr>
        <w:adjustRightInd w:val="0"/>
        <w:snapToGrid w:val="0"/>
        <w:ind w:firstLine="480" w:firstLineChars="200"/>
        <w:rPr>
          <w:color w:val="auto"/>
          <w:highlight w:val="none"/>
        </w:rPr>
      </w:pPr>
      <w:r>
        <w:rPr>
          <w:rFonts w:hint="eastAsia"/>
          <w:color w:val="auto"/>
          <w:highlight w:val="none"/>
        </w:rPr>
        <w:t>③</w:t>
      </w:r>
      <w:r>
        <w:rPr>
          <w:color w:val="auto"/>
          <w:highlight w:val="none"/>
        </w:rPr>
        <w:t>承包人在预算书中载明的材料单价等于基准单价的</w:t>
      </w:r>
      <w:r>
        <w:rPr>
          <w:rFonts w:hint="eastAsia"/>
          <w:color w:val="auto"/>
          <w:highlight w:val="none"/>
        </w:rPr>
        <w:t>，</w:t>
      </w:r>
      <w:r>
        <w:rPr>
          <w:color w:val="auto"/>
          <w:highlight w:val="none"/>
        </w:rPr>
        <w:t>价款调整</w:t>
      </w:r>
      <w:r>
        <w:rPr>
          <w:rFonts w:hint="eastAsia"/>
          <w:color w:val="auto"/>
          <w:highlight w:val="none"/>
        </w:rPr>
        <w:t>的约定：</w:t>
      </w:r>
      <w:r>
        <w:rPr>
          <w:rFonts w:hint="eastAsia"/>
          <w:color w:val="auto"/>
          <w:highlight w:val="none"/>
          <w:u w:val="single"/>
        </w:rPr>
        <w:t xml:space="preserve">   / </w:t>
      </w:r>
      <w:r>
        <w:rPr>
          <w:color w:val="auto"/>
          <w:highlight w:val="none"/>
        </w:rPr>
        <w:t>。</w:t>
      </w:r>
    </w:p>
    <w:p w14:paraId="183FF0C6">
      <w:pPr>
        <w:adjustRightInd w:val="0"/>
        <w:snapToGrid w:val="0"/>
        <w:ind w:firstLine="480" w:firstLineChars="200"/>
        <w:rPr>
          <w:color w:val="auto"/>
          <w:highlight w:val="none"/>
        </w:rPr>
      </w:pPr>
      <w:r>
        <w:rPr>
          <w:color w:val="auto"/>
          <w:highlight w:val="none"/>
        </w:rPr>
        <w:t>基准价格是指</w:t>
      </w:r>
      <w:r>
        <w:rPr>
          <w:rFonts w:hint="eastAsia"/>
          <w:color w:val="auto"/>
          <w:highlight w:val="none"/>
        </w:rPr>
        <w:t>：</w:t>
      </w:r>
      <w:r>
        <w:rPr>
          <w:rFonts w:hint="eastAsia"/>
          <w:color w:val="auto"/>
          <w:highlight w:val="none"/>
          <w:u w:val="single"/>
        </w:rPr>
        <w:t xml:space="preserve"> / </w:t>
      </w:r>
      <w:r>
        <w:rPr>
          <w:rFonts w:hint="eastAsia"/>
          <w:color w:val="auto"/>
          <w:highlight w:val="none"/>
        </w:rPr>
        <w:t>。</w:t>
      </w:r>
    </w:p>
    <w:p w14:paraId="3F0CD1AD">
      <w:pPr>
        <w:adjustRightInd w:val="0"/>
        <w:snapToGrid w:val="0"/>
        <w:ind w:firstLine="480" w:firstLineChars="200"/>
        <w:rPr>
          <w:rFonts w:hint="eastAsia"/>
          <w:color w:val="auto"/>
          <w:highlight w:val="none"/>
        </w:rPr>
      </w:pPr>
      <w:r>
        <w:rPr>
          <w:color w:val="auto"/>
          <w:highlight w:val="none"/>
        </w:rPr>
        <w:t>第3种方式：其他价格调整方式：</w:t>
      </w:r>
      <w:r>
        <w:rPr>
          <w:rFonts w:hint="eastAsia"/>
          <w:color w:val="auto"/>
          <w:highlight w:val="none"/>
          <w:u w:val="single"/>
        </w:rPr>
        <w:t xml:space="preserve"> / </w:t>
      </w:r>
      <w:r>
        <w:rPr>
          <w:rFonts w:hint="eastAsia"/>
          <w:color w:val="auto"/>
          <w:highlight w:val="none"/>
          <w:u w:val="single"/>
          <w:lang w:eastAsia="zh-CN"/>
        </w:rPr>
        <w:t>。</w:t>
      </w:r>
    </w:p>
    <w:p w14:paraId="7FC07CAB">
      <w:pPr>
        <w:adjustRightInd w:val="0"/>
        <w:snapToGrid w:val="0"/>
        <w:ind w:firstLine="480" w:firstLineChars="200"/>
        <w:rPr>
          <w:color w:val="auto"/>
          <w:highlight w:val="none"/>
        </w:rPr>
      </w:pPr>
      <w:r>
        <w:rPr>
          <w:rFonts w:hint="eastAsia"/>
          <w:color w:val="auto"/>
          <w:highlight w:val="none"/>
        </w:rPr>
        <w:t>11.2.3 工期变化引起</w:t>
      </w:r>
      <w:r>
        <w:rPr>
          <w:color w:val="auto"/>
          <w:highlight w:val="none"/>
        </w:rPr>
        <w:t>的调整</w:t>
      </w:r>
    </w:p>
    <w:p w14:paraId="2C5951DC">
      <w:pPr>
        <w:adjustRightInd w:val="0"/>
        <w:snapToGrid w:val="0"/>
        <w:ind w:firstLine="480" w:firstLineChars="200"/>
        <w:rPr>
          <w:b/>
          <w:color w:val="auto"/>
          <w:highlight w:val="none"/>
          <w:u w:val="single"/>
        </w:rPr>
      </w:pPr>
      <w:r>
        <w:rPr>
          <w:color w:val="auto"/>
          <w:highlight w:val="none"/>
        </w:rPr>
        <w:t>非承包人原因造成</w:t>
      </w:r>
      <w:r>
        <w:rPr>
          <w:rFonts w:hint="eastAsia"/>
          <w:color w:val="auto"/>
          <w:highlight w:val="none"/>
        </w:rPr>
        <w:t>的</w:t>
      </w:r>
      <w:r>
        <w:rPr>
          <w:color w:val="auto"/>
          <w:highlight w:val="none"/>
        </w:rPr>
        <w:t>工程</w:t>
      </w:r>
      <w:r>
        <w:rPr>
          <w:rFonts w:hint="eastAsia"/>
          <w:color w:val="auto"/>
          <w:highlight w:val="none"/>
        </w:rPr>
        <w:t>工期在合同约定工期的</w:t>
      </w:r>
      <w:r>
        <w:rPr>
          <w:color w:val="auto"/>
          <w:highlight w:val="none"/>
        </w:rPr>
        <w:t>20%（</w:t>
      </w:r>
      <w:r>
        <w:rPr>
          <w:rFonts w:hint="eastAsia"/>
          <w:color w:val="auto"/>
          <w:highlight w:val="none"/>
        </w:rPr>
        <w:t>不</w:t>
      </w:r>
      <w:r>
        <w:rPr>
          <w:color w:val="auto"/>
          <w:highlight w:val="none"/>
        </w:rPr>
        <w:t>含20%）</w:t>
      </w:r>
      <w:r>
        <w:rPr>
          <w:rFonts w:hint="eastAsia"/>
          <w:color w:val="auto"/>
          <w:highlight w:val="none"/>
        </w:rPr>
        <w:t>以外</w:t>
      </w:r>
      <w:r>
        <w:rPr>
          <w:color w:val="auto"/>
          <w:highlight w:val="none"/>
        </w:rPr>
        <w:t>时</w:t>
      </w:r>
      <w:r>
        <w:rPr>
          <w:rFonts w:hint="eastAsia"/>
          <w:color w:val="auto"/>
          <w:highlight w:val="none"/>
        </w:rPr>
        <w:t>，合同价款的调整：</w:t>
      </w:r>
      <w:r>
        <w:rPr>
          <w:rFonts w:hint="eastAsia"/>
          <w:color w:val="auto"/>
          <w:highlight w:val="none"/>
          <w:u w:val="single"/>
        </w:rPr>
        <w:t xml:space="preserve"> / </w:t>
      </w:r>
      <w:r>
        <w:rPr>
          <w:rFonts w:hint="eastAsia"/>
          <w:color w:val="auto"/>
          <w:highlight w:val="none"/>
        </w:rPr>
        <w:t>。</w:t>
      </w:r>
    </w:p>
    <w:p w14:paraId="2136072E">
      <w:pPr>
        <w:keepNext/>
        <w:keepLines/>
        <w:adjustRightInd w:val="0"/>
        <w:snapToGrid w:val="0"/>
        <w:outlineLvl w:val="1"/>
        <w:rPr>
          <w:rFonts w:ascii="Arial"/>
          <w:b/>
          <w:bCs/>
          <w:color w:val="auto"/>
          <w:szCs w:val="32"/>
          <w:highlight w:val="none"/>
        </w:rPr>
      </w:pPr>
      <w:bookmarkStart w:id="919" w:name="_Toc90117812"/>
      <w:bookmarkStart w:id="920" w:name="_Toc6887"/>
      <w:bookmarkStart w:id="921" w:name="_Toc256000088"/>
      <w:bookmarkStart w:id="922" w:name="_Toc1805939749"/>
      <w:bookmarkStart w:id="923" w:name="_Toc119953755"/>
      <w:bookmarkStart w:id="924" w:name="_Toc22616"/>
      <w:r>
        <w:rPr>
          <w:rFonts w:ascii="Arial"/>
          <w:b/>
          <w:bCs/>
          <w:color w:val="auto"/>
          <w:szCs w:val="32"/>
          <w:highlight w:val="none"/>
        </w:rPr>
        <w:t>12. 合同</w:t>
      </w:r>
      <w:r>
        <w:rPr>
          <w:rFonts w:hint="eastAsia" w:ascii="Arial"/>
          <w:b/>
          <w:bCs/>
          <w:color w:val="auto"/>
          <w:szCs w:val="32"/>
          <w:highlight w:val="none"/>
        </w:rPr>
        <w:t>价款</w:t>
      </w:r>
      <w:r>
        <w:rPr>
          <w:rFonts w:ascii="Arial"/>
          <w:b/>
          <w:bCs/>
          <w:color w:val="auto"/>
          <w:szCs w:val="32"/>
          <w:highlight w:val="none"/>
        </w:rPr>
        <w:t>、计量与支付</w:t>
      </w:r>
      <w:bookmarkEnd w:id="919"/>
      <w:bookmarkEnd w:id="920"/>
      <w:bookmarkEnd w:id="921"/>
      <w:bookmarkEnd w:id="922"/>
      <w:bookmarkEnd w:id="923"/>
      <w:bookmarkEnd w:id="924"/>
    </w:p>
    <w:p w14:paraId="7831F8EF">
      <w:pPr>
        <w:adjustRightInd w:val="0"/>
        <w:snapToGrid w:val="0"/>
        <w:ind w:firstLine="482" w:firstLineChars="200"/>
        <w:rPr>
          <w:b/>
          <w:color w:val="auto"/>
          <w:highlight w:val="none"/>
        </w:rPr>
      </w:pPr>
      <w:r>
        <w:rPr>
          <w:b/>
          <w:color w:val="auto"/>
          <w:highlight w:val="none"/>
        </w:rPr>
        <w:t>12.1 合同</w:t>
      </w:r>
      <w:r>
        <w:rPr>
          <w:rFonts w:hint="eastAsia"/>
          <w:b/>
          <w:color w:val="auto"/>
          <w:highlight w:val="none"/>
        </w:rPr>
        <w:t>价款</w:t>
      </w:r>
      <w:r>
        <w:rPr>
          <w:b/>
          <w:color w:val="auto"/>
          <w:highlight w:val="none"/>
        </w:rPr>
        <w:t>形式</w:t>
      </w:r>
    </w:p>
    <w:p w14:paraId="0D7CE3F6">
      <w:pPr>
        <w:adjustRightInd w:val="0"/>
        <w:snapToGrid w:val="0"/>
        <w:ind w:firstLine="480" w:firstLineChars="200"/>
        <w:rPr>
          <w:color w:val="auto"/>
          <w:highlight w:val="none"/>
        </w:rPr>
      </w:pPr>
      <w:r>
        <w:rPr>
          <w:rFonts w:hint="eastAsia"/>
          <w:color w:val="auto"/>
          <w:highlight w:val="none"/>
        </w:rPr>
        <w:t>（2）</w:t>
      </w:r>
      <w:r>
        <w:rPr>
          <w:color w:val="auto"/>
          <w:highlight w:val="none"/>
        </w:rPr>
        <w:t>其它</w:t>
      </w:r>
      <w:r>
        <w:rPr>
          <w:rFonts w:hint="eastAsia"/>
          <w:color w:val="auto"/>
          <w:highlight w:val="none"/>
        </w:rPr>
        <w:t>合同</w:t>
      </w:r>
      <w:r>
        <w:rPr>
          <w:color w:val="auto"/>
          <w:highlight w:val="none"/>
        </w:rPr>
        <w:t>价</w:t>
      </w:r>
      <w:r>
        <w:rPr>
          <w:rFonts w:hint="eastAsia"/>
          <w:color w:val="auto"/>
          <w:highlight w:val="none"/>
        </w:rPr>
        <w:t>款</w:t>
      </w:r>
      <w:r>
        <w:rPr>
          <w:color w:val="auto"/>
          <w:highlight w:val="none"/>
        </w:rPr>
        <w:t>形式</w:t>
      </w:r>
      <w:r>
        <w:rPr>
          <w:rFonts w:hint="eastAsia"/>
          <w:color w:val="auto"/>
          <w:highlight w:val="none"/>
        </w:rPr>
        <w:t>：</w:t>
      </w:r>
      <w:r>
        <w:rPr>
          <w:rFonts w:hint="eastAsia"/>
          <w:color w:val="auto"/>
          <w:highlight w:val="none"/>
          <w:u w:val="single"/>
        </w:rPr>
        <w:t xml:space="preserve"> </w:t>
      </w:r>
      <w:r>
        <w:rPr>
          <w:color w:val="auto"/>
          <w:highlight w:val="none"/>
          <w:u w:val="single"/>
        </w:rPr>
        <w:t xml:space="preserve"> / </w:t>
      </w:r>
      <w:r>
        <w:rPr>
          <w:rFonts w:hint="eastAsia"/>
          <w:color w:val="auto"/>
          <w:highlight w:val="none"/>
          <w:u w:val="single"/>
        </w:rPr>
        <w:t xml:space="preserve"> </w:t>
      </w:r>
      <w:r>
        <w:rPr>
          <w:rFonts w:hint="eastAsia"/>
          <w:color w:val="auto"/>
          <w:highlight w:val="none"/>
        </w:rPr>
        <w:t>。</w:t>
      </w:r>
    </w:p>
    <w:p w14:paraId="1C084A3A">
      <w:pPr>
        <w:adjustRightInd w:val="0"/>
        <w:snapToGrid w:val="0"/>
        <w:ind w:firstLine="482" w:firstLineChars="200"/>
        <w:rPr>
          <w:b/>
          <w:color w:val="auto"/>
          <w:highlight w:val="none"/>
        </w:rPr>
      </w:pPr>
      <w:r>
        <w:rPr>
          <w:b/>
          <w:color w:val="auto"/>
          <w:highlight w:val="none"/>
        </w:rPr>
        <w:t>12.2</w:t>
      </w:r>
      <w:r>
        <w:rPr>
          <w:rFonts w:hint="eastAsia"/>
          <w:b/>
          <w:color w:val="auto"/>
          <w:highlight w:val="none"/>
        </w:rPr>
        <w:t xml:space="preserve"> </w:t>
      </w:r>
      <w:r>
        <w:rPr>
          <w:b/>
          <w:color w:val="auto"/>
          <w:highlight w:val="none"/>
        </w:rPr>
        <w:t>预付款</w:t>
      </w:r>
    </w:p>
    <w:p w14:paraId="207F24BE">
      <w:pPr>
        <w:adjustRightInd w:val="0"/>
        <w:snapToGrid w:val="0"/>
        <w:ind w:firstLine="480" w:firstLineChars="200"/>
        <w:rPr>
          <w:color w:val="auto"/>
          <w:highlight w:val="none"/>
        </w:rPr>
      </w:pPr>
      <w:r>
        <w:rPr>
          <w:color w:val="auto"/>
          <w:highlight w:val="none"/>
        </w:rPr>
        <w:t>1</w:t>
      </w:r>
      <w:r>
        <w:rPr>
          <w:rFonts w:hint="eastAsia"/>
          <w:color w:val="auto"/>
          <w:highlight w:val="none"/>
        </w:rPr>
        <w:t>2</w:t>
      </w:r>
      <w:r>
        <w:rPr>
          <w:color w:val="auto"/>
          <w:highlight w:val="none"/>
        </w:rPr>
        <w:t xml:space="preserve">.2.1 </w:t>
      </w:r>
      <w:r>
        <w:rPr>
          <w:rFonts w:hint="eastAsia"/>
          <w:color w:val="auto"/>
          <w:highlight w:val="none"/>
        </w:rPr>
        <w:t>预付款</w:t>
      </w:r>
    </w:p>
    <w:p w14:paraId="4D54D484">
      <w:pPr>
        <w:adjustRightInd w:val="0"/>
        <w:snapToGrid w:val="0"/>
        <w:ind w:firstLine="480" w:firstLineChars="200"/>
        <w:rPr>
          <w:color w:val="auto"/>
          <w:highlight w:val="none"/>
        </w:rPr>
      </w:pPr>
      <w:r>
        <w:rPr>
          <w:color w:val="auto"/>
          <w:highlight w:val="none"/>
        </w:rPr>
        <w:t>预付款</w:t>
      </w:r>
      <w:r>
        <w:rPr>
          <w:rFonts w:hint="eastAsia"/>
          <w:color w:val="auto"/>
          <w:highlight w:val="none"/>
        </w:rPr>
        <w:t>支付的比例或金额</w:t>
      </w:r>
      <w:r>
        <w:rPr>
          <w:color w:val="auto"/>
          <w:highlight w:val="none"/>
        </w:rPr>
        <w:t>：</w:t>
      </w:r>
      <w:r>
        <w:rPr>
          <w:rFonts w:hint="eastAsia"/>
          <w:color w:val="auto"/>
          <w:highlight w:val="none"/>
          <w:u w:val="single"/>
        </w:rPr>
        <w:t xml:space="preserve">建筑安装费的4% </w:t>
      </w:r>
      <w:r>
        <w:rPr>
          <w:color w:val="auto"/>
          <w:highlight w:val="none"/>
        </w:rPr>
        <w:t>。</w:t>
      </w:r>
    </w:p>
    <w:p w14:paraId="3BA7D8D4">
      <w:pPr>
        <w:adjustRightInd w:val="0"/>
        <w:snapToGrid w:val="0"/>
        <w:ind w:firstLine="480" w:firstLineChars="200"/>
        <w:rPr>
          <w:color w:val="auto"/>
          <w:highlight w:val="none"/>
        </w:rPr>
      </w:pPr>
      <w:r>
        <w:rPr>
          <w:color w:val="auto"/>
          <w:highlight w:val="none"/>
        </w:rPr>
        <w:t>预付款支付</w:t>
      </w:r>
      <w:r>
        <w:rPr>
          <w:rFonts w:hint="eastAsia"/>
          <w:color w:val="auto"/>
          <w:highlight w:val="none"/>
        </w:rPr>
        <w:t>的</w:t>
      </w:r>
      <w:r>
        <w:rPr>
          <w:color w:val="auto"/>
          <w:highlight w:val="none"/>
        </w:rPr>
        <w:t>期限：</w:t>
      </w:r>
      <w:r>
        <w:rPr>
          <w:rFonts w:hint="eastAsia" w:ascii="宋体" w:hAnsi="宋体"/>
          <w:i w:val="0"/>
          <w:iCs w:val="0"/>
          <w:strike w:val="0"/>
          <w:dstrike w:val="0"/>
          <w:color w:val="auto"/>
          <w:highlight w:val="none"/>
          <w:u w:val="single"/>
        </w:rPr>
        <w:t>如按规定需开立工人工资支付专用账户的，开立有关专用账户后，项目开工前，承包人凭合同复印件、《茂名石化工程建设项目工人工资支付专户三方监管协议》、人社局开出的《房屋市政工程工人工资支付专户开户凭证》、承包人提供工人工资专项账户复印件（开户证明）、《茂名石化工程项目预付款申请表》等资料向发包人申请预付款，发包人财务部门收到申请资料后30天内按建筑安装</w:t>
      </w:r>
      <w:r>
        <w:rPr>
          <w:rFonts w:hint="eastAsia" w:ascii="宋体" w:hAnsi="宋体"/>
          <w:i w:val="0"/>
          <w:iCs w:val="0"/>
          <w:strike w:val="0"/>
          <w:dstrike w:val="0"/>
          <w:color w:val="auto"/>
          <w:highlight w:val="none"/>
          <w:u w:val="single"/>
          <w:lang w:val="en-US" w:eastAsia="zh-CN"/>
        </w:rPr>
        <w:t>工程</w:t>
      </w:r>
      <w:r>
        <w:rPr>
          <w:rFonts w:hint="eastAsia" w:ascii="宋体" w:hAnsi="宋体"/>
          <w:i w:val="0"/>
          <w:iCs w:val="0"/>
          <w:strike w:val="0"/>
          <w:dstrike w:val="0"/>
          <w:color w:val="auto"/>
          <w:highlight w:val="none"/>
          <w:u w:val="single"/>
        </w:rPr>
        <w:t>费的4%拨付预付款至承包人工人工资支付账户（超过1亿的工程，开工前存入400万元，超出400万元的部分在每次进度款中补充缴存），进度款按建筑安装</w:t>
      </w:r>
      <w:r>
        <w:rPr>
          <w:rFonts w:hint="eastAsia" w:ascii="宋体" w:hAnsi="宋体"/>
          <w:i w:val="0"/>
          <w:iCs w:val="0"/>
          <w:strike w:val="0"/>
          <w:dstrike w:val="0"/>
          <w:color w:val="auto"/>
          <w:highlight w:val="none"/>
          <w:u w:val="single"/>
          <w:lang w:val="en-US" w:eastAsia="zh-CN"/>
        </w:rPr>
        <w:t>工程</w:t>
      </w:r>
      <w:r>
        <w:rPr>
          <w:rFonts w:hint="eastAsia" w:ascii="宋体" w:hAnsi="宋体"/>
          <w:i w:val="0"/>
          <w:iCs w:val="0"/>
          <w:strike w:val="0"/>
          <w:dstrike w:val="0"/>
          <w:color w:val="auto"/>
          <w:highlight w:val="none"/>
          <w:u w:val="single"/>
        </w:rPr>
        <w:t>费20%缴存支付到工资支付账户，合同约定支付比例的最后一笔进度款，除按当期进度款建筑安装</w:t>
      </w:r>
      <w:r>
        <w:rPr>
          <w:rFonts w:hint="eastAsia" w:ascii="宋体" w:hAnsi="宋体"/>
          <w:i w:val="0"/>
          <w:iCs w:val="0"/>
          <w:strike w:val="0"/>
          <w:dstrike w:val="0"/>
          <w:color w:val="auto"/>
          <w:highlight w:val="none"/>
          <w:u w:val="single"/>
          <w:lang w:val="en-US" w:eastAsia="zh-CN"/>
        </w:rPr>
        <w:t>工程</w:t>
      </w:r>
      <w:r>
        <w:rPr>
          <w:rFonts w:hint="eastAsia" w:ascii="宋体" w:hAnsi="宋体"/>
          <w:i w:val="0"/>
          <w:iCs w:val="0"/>
          <w:strike w:val="0"/>
          <w:dstrike w:val="0"/>
          <w:color w:val="auto"/>
          <w:highlight w:val="none"/>
          <w:u w:val="single"/>
        </w:rPr>
        <w:t>费20%存缴外，另加合同尾款中建筑安装</w:t>
      </w:r>
      <w:r>
        <w:rPr>
          <w:rFonts w:hint="eastAsia" w:ascii="宋体" w:hAnsi="宋体"/>
          <w:i w:val="0"/>
          <w:iCs w:val="0"/>
          <w:strike w:val="0"/>
          <w:dstrike w:val="0"/>
          <w:color w:val="auto"/>
          <w:highlight w:val="none"/>
          <w:u w:val="single"/>
          <w:lang w:val="en-US" w:eastAsia="zh-CN"/>
        </w:rPr>
        <w:t>工程费</w:t>
      </w:r>
      <w:r>
        <w:rPr>
          <w:rFonts w:hint="eastAsia" w:ascii="宋体" w:hAnsi="宋体"/>
          <w:i w:val="0"/>
          <w:iCs w:val="0"/>
          <w:strike w:val="0"/>
          <w:dstrike w:val="0"/>
          <w:color w:val="auto"/>
          <w:highlight w:val="none"/>
          <w:u w:val="single"/>
        </w:rPr>
        <w:t>的</w:t>
      </w:r>
      <w:r>
        <w:rPr>
          <w:rFonts w:hint="eastAsia" w:ascii="宋体" w:hAnsi="宋体"/>
          <w:i w:val="0"/>
          <w:iCs w:val="0"/>
          <w:strike w:val="0"/>
          <w:dstrike w:val="0"/>
          <w:color w:val="auto"/>
          <w:highlight w:val="none"/>
          <w:u w:val="single"/>
          <w:lang w:val="en-US" w:eastAsia="zh-CN"/>
        </w:rPr>
        <w:t>20</w:t>
      </w:r>
      <w:r>
        <w:rPr>
          <w:rFonts w:hint="eastAsia" w:ascii="宋体" w:hAnsi="宋体"/>
          <w:i w:val="0"/>
          <w:iCs w:val="0"/>
          <w:strike w:val="0"/>
          <w:dstrike w:val="0"/>
          <w:color w:val="auto"/>
          <w:highlight w:val="none"/>
          <w:u w:val="single"/>
        </w:rPr>
        <w:t>%缴存支付到工资支付账户。工资发放不足部分由承包人另行调剂。如按规定不需要开立工人工资支付专用账户，进度款支付至承包人账户，由承包人落实工人工资支付</w:t>
      </w:r>
      <w:r>
        <w:rPr>
          <w:rFonts w:ascii="宋体" w:hAnsi="宋体"/>
          <w:i w:val="0"/>
          <w:iCs w:val="0"/>
          <w:strike w:val="0"/>
          <w:dstrike w:val="0"/>
          <w:color w:val="auto"/>
          <w:highlight w:val="none"/>
        </w:rPr>
        <w:t>。</w:t>
      </w:r>
    </w:p>
    <w:p w14:paraId="0A81598B">
      <w:pPr>
        <w:adjustRightInd w:val="0"/>
        <w:snapToGrid w:val="0"/>
        <w:ind w:firstLine="480" w:firstLineChars="200"/>
        <w:rPr>
          <w:color w:val="auto"/>
          <w:highlight w:val="none"/>
        </w:rPr>
      </w:pPr>
      <w:r>
        <w:rPr>
          <w:color w:val="auto"/>
          <w:highlight w:val="none"/>
        </w:rPr>
        <w:t>1</w:t>
      </w:r>
      <w:r>
        <w:rPr>
          <w:rFonts w:hint="eastAsia"/>
          <w:color w:val="auto"/>
          <w:highlight w:val="none"/>
        </w:rPr>
        <w:t>2</w:t>
      </w:r>
      <w:r>
        <w:rPr>
          <w:color w:val="auto"/>
          <w:highlight w:val="none"/>
        </w:rPr>
        <w:t xml:space="preserve">.2.2 </w:t>
      </w:r>
      <w:r>
        <w:rPr>
          <w:rFonts w:hint="eastAsia"/>
          <w:color w:val="auto"/>
          <w:highlight w:val="none"/>
        </w:rPr>
        <w:t>预付款保函</w:t>
      </w:r>
    </w:p>
    <w:p w14:paraId="379238D2">
      <w:pPr>
        <w:adjustRightInd w:val="0"/>
        <w:snapToGrid w:val="0"/>
        <w:ind w:firstLine="480" w:firstLineChars="200"/>
        <w:rPr>
          <w:color w:val="auto"/>
          <w:highlight w:val="none"/>
        </w:rPr>
      </w:pPr>
      <w:r>
        <w:rPr>
          <w:rFonts w:hint="eastAsia"/>
          <w:color w:val="auto"/>
          <w:highlight w:val="none"/>
        </w:rPr>
        <w:t>承包人是否提供预付款保函的约定：</w:t>
      </w:r>
      <w:r>
        <w:rPr>
          <w:rFonts w:hint="eastAsia"/>
          <w:color w:val="auto"/>
          <w:highlight w:val="none"/>
          <w:u w:val="single"/>
        </w:rPr>
        <w:t xml:space="preserve"> 不提供</w:t>
      </w:r>
      <w:r>
        <w:rPr>
          <w:color w:val="auto"/>
          <w:highlight w:val="none"/>
        </w:rPr>
        <w:t>。</w:t>
      </w:r>
    </w:p>
    <w:p w14:paraId="4CFFA8E3">
      <w:pPr>
        <w:adjustRightInd w:val="0"/>
        <w:snapToGrid w:val="0"/>
        <w:ind w:firstLine="480" w:firstLineChars="200"/>
        <w:rPr>
          <w:color w:val="auto"/>
          <w:highlight w:val="none"/>
        </w:rPr>
      </w:pPr>
      <w:r>
        <w:rPr>
          <w:color w:val="auto"/>
          <w:highlight w:val="none"/>
        </w:rPr>
        <w:t>承包人提交预付款</w:t>
      </w:r>
      <w:r>
        <w:rPr>
          <w:rFonts w:hint="eastAsia"/>
          <w:color w:val="auto"/>
          <w:highlight w:val="none"/>
        </w:rPr>
        <w:t>保函</w:t>
      </w:r>
      <w:r>
        <w:rPr>
          <w:color w:val="auto"/>
          <w:highlight w:val="none"/>
        </w:rPr>
        <w:t>的</w:t>
      </w:r>
      <w:r>
        <w:rPr>
          <w:rFonts w:hint="eastAsia"/>
          <w:color w:val="auto"/>
          <w:highlight w:val="none"/>
        </w:rPr>
        <w:t>金额</w:t>
      </w:r>
      <w:r>
        <w:rPr>
          <w:color w:val="auto"/>
          <w:highlight w:val="none"/>
        </w:rPr>
        <w:t>：</w:t>
      </w:r>
      <w:r>
        <w:rPr>
          <w:rFonts w:hint="eastAsia"/>
          <w:color w:val="auto"/>
          <w:highlight w:val="none"/>
          <w:u w:val="single"/>
        </w:rPr>
        <w:t xml:space="preserve"> / </w:t>
      </w:r>
      <w:r>
        <w:rPr>
          <w:color w:val="auto"/>
          <w:highlight w:val="none"/>
        </w:rPr>
        <w:t>。</w:t>
      </w:r>
    </w:p>
    <w:p w14:paraId="0E6BB1FE">
      <w:pPr>
        <w:adjustRightInd w:val="0"/>
        <w:snapToGrid w:val="0"/>
        <w:ind w:firstLine="480" w:firstLineChars="200"/>
        <w:rPr>
          <w:color w:val="auto"/>
          <w:highlight w:val="none"/>
        </w:rPr>
      </w:pPr>
      <w:r>
        <w:rPr>
          <w:color w:val="auto"/>
          <w:highlight w:val="none"/>
        </w:rPr>
        <w:t>承包人提交预付款</w:t>
      </w:r>
      <w:r>
        <w:rPr>
          <w:rFonts w:hint="eastAsia"/>
          <w:color w:val="auto"/>
          <w:highlight w:val="none"/>
        </w:rPr>
        <w:t>担保</w:t>
      </w:r>
      <w:r>
        <w:rPr>
          <w:color w:val="auto"/>
          <w:highlight w:val="none"/>
        </w:rPr>
        <w:t>的期限：</w:t>
      </w:r>
      <w:r>
        <w:rPr>
          <w:rFonts w:hint="eastAsia"/>
          <w:color w:val="auto"/>
          <w:highlight w:val="none"/>
          <w:u w:val="single"/>
        </w:rPr>
        <w:t xml:space="preserve">  / </w:t>
      </w:r>
      <w:r>
        <w:rPr>
          <w:color w:val="auto"/>
          <w:highlight w:val="none"/>
        </w:rPr>
        <w:t>。</w:t>
      </w:r>
    </w:p>
    <w:p w14:paraId="3C160CEE">
      <w:pPr>
        <w:adjustRightInd w:val="0"/>
        <w:snapToGrid w:val="0"/>
        <w:ind w:firstLine="480" w:firstLineChars="200"/>
        <w:rPr>
          <w:color w:val="auto"/>
          <w:highlight w:val="none"/>
        </w:rPr>
      </w:pPr>
      <w:r>
        <w:rPr>
          <w:color w:val="auto"/>
          <w:highlight w:val="none"/>
        </w:rPr>
        <w:t>1</w:t>
      </w:r>
      <w:r>
        <w:rPr>
          <w:rFonts w:hint="eastAsia"/>
          <w:color w:val="auto"/>
          <w:highlight w:val="none"/>
        </w:rPr>
        <w:t>2</w:t>
      </w:r>
      <w:r>
        <w:rPr>
          <w:color w:val="auto"/>
          <w:highlight w:val="none"/>
        </w:rPr>
        <w:t xml:space="preserve">.2.3 </w:t>
      </w:r>
      <w:r>
        <w:rPr>
          <w:rFonts w:hint="eastAsia"/>
          <w:color w:val="auto"/>
          <w:highlight w:val="none"/>
        </w:rPr>
        <w:t>预付款的扣回与还清</w:t>
      </w:r>
    </w:p>
    <w:p w14:paraId="0DFCC830">
      <w:pPr>
        <w:adjustRightInd w:val="0"/>
        <w:snapToGrid w:val="0"/>
        <w:ind w:firstLine="480" w:firstLineChars="200"/>
        <w:rPr>
          <w:color w:val="auto"/>
          <w:highlight w:val="none"/>
          <w:u w:val="single"/>
        </w:rPr>
      </w:pPr>
      <w:r>
        <w:rPr>
          <w:color w:val="auto"/>
          <w:highlight w:val="none"/>
        </w:rPr>
        <w:t>预付款</w:t>
      </w:r>
      <w:r>
        <w:rPr>
          <w:rFonts w:hint="eastAsia"/>
          <w:color w:val="auto"/>
          <w:highlight w:val="none"/>
        </w:rPr>
        <w:t>扣回的方式：</w:t>
      </w:r>
      <w:r>
        <w:rPr>
          <w:rFonts w:hint="eastAsia"/>
          <w:color w:val="auto"/>
          <w:highlight w:val="none"/>
          <w:u w:val="single"/>
        </w:rPr>
        <w:t>在支付至进度款的50%前全部扣回。</w:t>
      </w:r>
      <w:r>
        <w:rPr>
          <w:color w:val="auto"/>
          <w:highlight w:val="none"/>
          <w:u w:val="single"/>
        </w:rPr>
        <w:t>项目结算时，工人工资已足额支付后，如工资支付账户有余额，承包人可凭借项目所在地人力资源和社会保障行政部门核实无拖欠工资的证明，及项目分设台账，申请退回账户资金。如项目分设台账不清楚导致无法退回账户资金，乙方将承担全部责任。</w:t>
      </w:r>
    </w:p>
    <w:p w14:paraId="3FC56570">
      <w:pPr>
        <w:adjustRightInd w:val="0"/>
        <w:snapToGrid w:val="0"/>
        <w:ind w:firstLine="480" w:firstLineChars="200"/>
        <w:rPr>
          <w:color w:val="auto"/>
          <w:highlight w:val="none"/>
        </w:rPr>
      </w:pPr>
      <w:r>
        <w:rPr>
          <w:rFonts w:hint="eastAsia"/>
          <w:color w:val="auto"/>
          <w:highlight w:val="none"/>
          <w:u w:val="single"/>
        </w:rPr>
        <w:t>如合同因特殊原因终止，未扣回的预付款由承包人退回发包人账户</w:t>
      </w:r>
      <w:r>
        <w:rPr>
          <w:rFonts w:hint="eastAsia"/>
          <w:color w:val="auto"/>
          <w:highlight w:val="none"/>
        </w:rPr>
        <w:t>。</w:t>
      </w:r>
    </w:p>
    <w:p w14:paraId="5F574FE9">
      <w:pPr>
        <w:adjustRightInd w:val="0"/>
        <w:snapToGrid w:val="0"/>
        <w:ind w:firstLine="482" w:firstLineChars="200"/>
        <w:rPr>
          <w:b/>
          <w:color w:val="auto"/>
          <w:highlight w:val="none"/>
        </w:rPr>
      </w:pPr>
      <w:r>
        <w:rPr>
          <w:b/>
          <w:color w:val="auto"/>
          <w:highlight w:val="none"/>
        </w:rPr>
        <w:t>12.3</w:t>
      </w:r>
      <w:r>
        <w:rPr>
          <w:rFonts w:hint="eastAsia"/>
          <w:b/>
          <w:color w:val="auto"/>
          <w:highlight w:val="none"/>
        </w:rPr>
        <w:t xml:space="preserve"> </w:t>
      </w:r>
      <w:r>
        <w:rPr>
          <w:b/>
          <w:color w:val="auto"/>
          <w:highlight w:val="none"/>
        </w:rPr>
        <w:t>计量</w:t>
      </w:r>
    </w:p>
    <w:p w14:paraId="63BF8690">
      <w:pPr>
        <w:adjustRightInd w:val="0"/>
        <w:snapToGrid w:val="0"/>
        <w:ind w:firstLine="480" w:firstLineChars="200"/>
        <w:rPr>
          <w:color w:val="auto"/>
          <w:highlight w:val="none"/>
        </w:rPr>
      </w:pPr>
      <w:r>
        <w:rPr>
          <w:color w:val="auto"/>
          <w:highlight w:val="none"/>
        </w:rPr>
        <w:t>12.3.1 计量原则</w:t>
      </w:r>
    </w:p>
    <w:p w14:paraId="481227F5">
      <w:pPr>
        <w:adjustRightInd w:val="0"/>
        <w:snapToGrid w:val="0"/>
        <w:ind w:firstLine="480" w:firstLineChars="200"/>
        <w:rPr>
          <w:b/>
          <w:color w:val="auto"/>
          <w:highlight w:val="none"/>
          <w:u w:val="single"/>
        </w:rPr>
      </w:pPr>
      <w:bookmarkStart w:id="925" w:name="_Hlk90108976"/>
      <w:r>
        <w:rPr>
          <w:rFonts w:hint="eastAsia"/>
          <w:color w:val="auto"/>
          <w:highlight w:val="none"/>
        </w:rPr>
        <w:t>工程量计算规则</w:t>
      </w:r>
      <w:bookmarkEnd w:id="925"/>
      <w:r>
        <w:rPr>
          <w:rFonts w:hint="eastAsia"/>
          <w:color w:val="auto"/>
          <w:highlight w:val="none"/>
        </w:rPr>
        <w:t>的约定：</w:t>
      </w:r>
      <w:bookmarkStart w:id="926" w:name="_Hlk90109024"/>
      <w:r>
        <w:rPr>
          <w:rFonts w:hint="eastAsia"/>
          <w:color w:val="auto"/>
          <w:highlight w:val="none"/>
          <w:u w:val="single"/>
        </w:rPr>
        <w:t xml:space="preserve">拆除工程量为发包人提供的红线图内及清单的工程量； </w:t>
      </w:r>
      <w:bookmarkEnd w:id="926"/>
    </w:p>
    <w:p w14:paraId="5A07AC26">
      <w:pPr>
        <w:adjustRightInd w:val="0"/>
        <w:snapToGrid w:val="0"/>
        <w:ind w:firstLine="480" w:firstLineChars="200"/>
        <w:rPr>
          <w:color w:val="auto"/>
          <w:highlight w:val="none"/>
        </w:rPr>
      </w:pPr>
      <w:r>
        <w:rPr>
          <w:color w:val="auto"/>
          <w:highlight w:val="none"/>
        </w:rPr>
        <w:t>12.3.2 计量周期</w:t>
      </w:r>
    </w:p>
    <w:p w14:paraId="390C2ADF">
      <w:pPr>
        <w:adjustRightInd w:val="0"/>
        <w:snapToGrid w:val="0"/>
        <w:ind w:firstLine="480" w:firstLineChars="200"/>
        <w:rPr>
          <w:color w:val="auto"/>
          <w:highlight w:val="none"/>
        </w:rPr>
      </w:pPr>
      <w:r>
        <w:rPr>
          <w:color w:val="auto"/>
          <w:highlight w:val="none"/>
        </w:rPr>
        <w:t>计量周期的约定：</w:t>
      </w:r>
      <w:r>
        <w:rPr>
          <w:rFonts w:hint="eastAsia"/>
          <w:color w:val="auto"/>
          <w:highlight w:val="none"/>
          <w:u w:val="single"/>
        </w:rPr>
        <w:t>按月度计量，每月25日。</w:t>
      </w:r>
    </w:p>
    <w:p w14:paraId="73AF93D9">
      <w:pPr>
        <w:adjustRightInd w:val="0"/>
        <w:snapToGrid w:val="0"/>
        <w:ind w:firstLine="480" w:firstLineChars="200"/>
        <w:rPr>
          <w:color w:val="auto"/>
          <w:highlight w:val="none"/>
        </w:rPr>
      </w:pPr>
      <w:r>
        <w:rPr>
          <w:color w:val="auto"/>
          <w:highlight w:val="none"/>
        </w:rPr>
        <w:t>12.3.</w:t>
      </w:r>
      <w:r>
        <w:rPr>
          <w:rFonts w:hint="eastAsia"/>
          <w:color w:val="auto"/>
          <w:highlight w:val="none"/>
        </w:rPr>
        <w:t>3</w:t>
      </w:r>
      <w:r>
        <w:rPr>
          <w:color w:val="auto"/>
          <w:highlight w:val="none"/>
        </w:rPr>
        <w:t xml:space="preserve"> </w:t>
      </w:r>
      <w:r>
        <w:rPr>
          <w:rFonts w:hint="eastAsia"/>
          <w:color w:val="auto"/>
          <w:highlight w:val="none"/>
        </w:rPr>
        <w:t>固定</w:t>
      </w:r>
      <w:r>
        <w:rPr>
          <w:color w:val="auto"/>
          <w:highlight w:val="none"/>
        </w:rPr>
        <w:t>总价合同的计量</w:t>
      </w:r>
    </w:p>
    <w:p w14:paraId="0BE21331">
      <w:pPr>
        <w:adjustRightInd w:val="0"/>
        <w:snapToGrid w:val="0"/>
        <w:ind w:firstLine="480" w:firstLineChars="200"/>
        <w:rPr>
          <w:color w:val="auto"/>
          <w:highlight w:val="none"/>
        </w:rPr>
      </w:pPr>
      <w:r>
        <w:rPr>
          <w:rFonts w:hint="eastAsia"/>
          <w:color w:val="auto"/>
          <w:highlight w:val="none"/>
        </w:rPr>
        <w:t>固定单价合同、总</w:t>
      </w:r>
      <w:r>
        <w:rPr>
          <w:color w:val="auto"/>
          <w:highlight w:val="none"/>
        </w:rPr>
        <w:t>价合同计量的约定：</w:t>
      </w:r>
      <w:r>
        <w:rPr>
          <w:rFonts w:hint="eastAsia"/>
          <w:color w:val="auto"/>
          <w:highlight w:val="none"/>
          <w:u w:val="single"/>
        </w:rPr>
        <w:t xml:space="preserve"> 执行通用合同条款 </w:t>
      </w:r>
      <w:r>
        <w:rPr>
          <w:color w:val="auto"/>
          <w:highlight w:val="none"/>
        </w:rPr>
        <w:t>。</w:t>
      </w:r>
    </w:p>
    <w:p w14:paraId="260DE79C">
      <w:pPr>
        <w:adjustRightInd w:val="0"/>
        <w:snapToGrid w:val="0"/>
        <w:ind w:firstLine="480" w:firstLineChars="200"/>
        <w:rPr>
          <w:color w:val="auto"/>
          <w:highlight w:val="none"/>
        </w:rPr>
      </w:pPr>
      <w:r>
        <w:rPr>
          <w:color w:val="auto"/>
          <w:highlight w:val="none"/>
        </w:rPr>
        <w:t>其他价</w:t>
      </w:r>
      <w:r>
        <w:rPr>
          <w:rFonts w:hint="eastAsia"/>
          <w:color w:val="auto"/>
          <w:highlight w:val="none"/>
        </w:rPr>
        <w:t>款</w:t>
      </w:r>
      <w:r>
        <w:rPr>
          <w:color w:val="auto"/>
          <w:highlight w:val="none"/>
        </w:rPr>
        <w:t>形式合同的计量方式和程序：</w:t>
      </w:r>
      <w:r>
        <w:rPr>
          <w:rFonts w:hint="eastAsia"/>
          <w:color w:val="auto"/>
          <w:highlight w:val="none"/>
          <w:u w:val="single"/>
        </w:rPr>
        <w:t xml:space="preserve">/ </w:t>
      </w:r>
      <w:r>
        <w:rPr>
          <w:color w:val="auto"/>
          <w:highlight w:val="none"/>
        </w:rPr>
        <w:t>。</w:t>
      </w:r>
    </w:p>
    <w:p w14:paraId="08DE78CA">
      <w:pPr>
        <w:adjustRightInd w:val="0"/>
        <w:snapToGrid w:val="0"/>
        <w:ind w:firstLine="482" w:firstLineChars="200"/>
        <w:rPr>
          <w:b/>
          <w:color w:val="auto"/>
          <w:highlight w:val="none"/>
        </w:rPr>
      </w:pPr>
      <w:r>
        <w:rPr>
          <w:b/>
          <w:color w:val="auto"/>
          <w:highlight w:val="none"/>
        </w:rPr>
        <w:t>12.4</w:t>
      </w:r>
      <w:r>
        <w:rPr>
          <w:rFonts w:hint="eastAsia"/>
          <w:b/>
          <w:color w:val="auto"/>
          <w:highlight w:val="none"/>
        </w:rPr>
        <w:t xml:space="preserve"> </w:t>
      </w:r>
      <w:r>
        <w:rPr>
          <w:b/>
          <w:color w:val="auto"/>
          <w:highlight w:val="none"/>
        </w:rPr>
        <w:t>工程进度款支付</w:t>
      </w:r>
    </w:p>
    <w:p w14:paraId="5C9714E4">
      <w:pPr>
        <w:adjustRightInd w:val="0"/>
        <w:snapToGrid w:val="0"/>
        <w:ind w:firstLine="480" w:firstLineChars="200"/>
        <w:rPr>
          <w:color w:val="auto"/>
          <w:highlight w:val="none"/>
        </w:rPr>
      </w:pPr>
      <w:r>
        <w:rPr>
          <w:color w:val="auto"/>
          <w:highlight w:val="none"/>
        </w:rPr>
        <w:t>12.4.1 付款周期</w:t>
      </w:r>
    </w:p>
    <w:p w14:paraId="00101A08">
      <w:pPr>
        <w:adjustRightInd w:val="0"/>
        <w:snapToGrid w:val="0"/>
        <w:ind w:firstLine="480" w:firstLineChars="200"/>
        <w:rPr>
          <w:color w:val="auto"/>
          <w:highlight w:val="none"/>
        </w:rPr>
      </w:pPr>
      <w:r>
        <w:rPr>
          <w:color w:val="auto"/>
          <w:highlight w:val="none"/>
        </w:rPr>
        <w:t>付款周期的约定：</w:t>
      </w:r>
      <w:r>
        <w:rPr>
          <w:rFonts w:hint="eastAsia"/>
          <w:color w:val="auto"/>
          <w:highlight w:val="none"/>
          <w:u w:val="single"/>
        </w:rPr>
        <w:t>按月付款</w:t>
      </w:r>
      <w:r>
        <w:rPr>
          <w:color w:val="auto"/>
          <w:highlight w:val="none"/>
        </w:rPr>
        <w:t>。</w:t>
      </w:r>
    </w:p>
    <w:p w14:paraId="2F8EF563">
      <w:pPr>
        <w:adjustRightInd w:val="0"/>
        <w:snapToGrid w:val="0"/>
        <w:ind w:firstLine="480" w:firstLineChars="200"/>
        <w:rPr>
          <w:color w:val="auto"/>
          <w:highlight w:val="none"/>
        </w:rPr>
      </w:pPr>
      <w:r>
        <w:rPr>
          <w:rFonts w:hint="eastAsia"/>
          <w:color w:val="auto"/>
          <w:highlight w:val="none"/>
          <w:u w:val="single"/>
        </w:rPr>
        <w:t>工程进度款按承包人当期工程进度月报表中完成的建安工程量，经监理人、发包人确认实物工程量，发包人有关部门审定进度款，并依据建设单位签署的支付凭证办理工程价款，为了确保工程进度，加强对分包商的进度款的管理与监督，如工程有分包，承包人申请当月进度款时，必须附上</w:t>
      </w:r>
      <w:r>
        <w:rPr>
          <w:color w:val="auto"/>
          <w:highlight w:val="none"/>
          <w:u w:val="single"/>
        </w:rPr>
        <w:t>当月完成工程量的预算清单、</w:t>
      </w:r>
      <w:r>
        <w:rPr>
          <w:rFonts w:hint="eastAsia"/>
          <w:color w:val="auto"/>
          <w:highlight w:val="none"/>
          <w:u w:val="single"/>
        </w:rPr>
        <w:t>各分包商上月支付情况表、工资支付</w:t>
      </w:r>
      <w:r>
        <w:rPr>
          <w:color w:val="auto"/>
          <w:highlight w:val="none"/>
          <w:u w:val="single"/>
        </w:rPr>
        <w:t>台账及工人</w:t>
      </w:r>
      <w:r>
        <w:rPr>
          <w:rFonts w:hint="eastAsia"/>
          <w:color w:val="auto"/>
          <w:highlight w:val="none"/>
          <w:u w:val="single"/>
        </w:rPr>
        <w:t>工资表</w:t>
      </w:r>
      <w:r>
        <w:rPr>
          <w:color w:val="auto"/>
          <w:highlight w:val="none"/>
          <w:u w:val="single"/>
        </w:rPr>
        <w:t>等</w:t>
      </w:r>
      <w:r>
        <w:rPr>
          <w:rFonts w:hint="eastAsia"/>
          <w:color w:val="auto"/>
          <w:highlight w:val="none"/>
          <w:u w:val="single"/>
        </w:rPr>
        <w:t>作为本月进度款支付的依据。工程进度款支付到合同总价</w:t>
      </w:r>
      <w:r>
        <w:rPr>
          <w:rFonts w:hint="eastAsia" w:ascii="宋体" w:hAnsi="宋体"/>
          <w:color w:val="auto"/>
          <w:highlight w:val="none"/>
          <w:u w:val="single"/>
        </w:rPr>
        <w:t>（除暂列金额外）</w:t>
      </w:r>
      <w:r>
        <w:rPr>
          <w:rFonts w:hint="eastAsia"/>
          <w:color w:val="auto"/>
          <w:highlight w:val="none"/>
          <w:u w:val="single"/>
        </w:rPr>
        <w:t>的80%时，停止拨付余款，待交工验收合格、交付交工资料、结算审核完（签订补充协议，如有），并办理完付款手续后60天内后支付剩余金额，如果承包人没按合同规定完成承包内容，则在结算时扣除相应费用。经承包人申请并经发包人同意后，双方可签署书面变更协议对进度款支付比例进行调整</w:t>
      </w:r>
      <w:r>
        <w:rPr>
          <w:rFonts w:hint="eastAsia"/>
          <w:color w:val="auto"/>
          <w:highlight w:val="none"/>
        </w:rPr>
        <w:t>。</w:t>
      </w:r>
    </w:p>
    <w:p w14:paraId="47FEC350">
      <w:pPr>
        <w:adjustRightInd w:val="0"/>
        <w:snapToGrid w:val="0"/>
        <w:ind w:firstLine="480" w:firstLineChars="200"/>
        <w:rPr>
          <w:color w:val="auto"/>
          <w:highlight w:val="none"/>
        </w:rPr>
      </w:pPr>
      <w:r>
        <w:rPr>
          <w:color w:val="auto"/>
          <w:highlight w:val="none"/>
        </w:rPr>
        <w:t>12.4.2 进度付款申请单的编制</w:t>
      </w:r>
    </w:p>
    <w:p w14:paraId="02588B56">
      <w:pPr>
        <w:adjustRightInd w:val="0"/>
        <w:snapToGrid w:val="0"/>
        <w:ind w:firstLine="480" w:firstLineChars="200"/>
        <w:rPr>
          <w:color w:val="auto"/>
          <w:highlight w:val="none"/>
        </w:rPr>
      </w:pPr>
      <w:r>
        <w:rPr>
          <w:color w:val="auto"/>
          <w:highlight w:val="none"/>
        </w:rPr>
        <w:t>进度付款申请单编制的约定：</w:t>
      </w:r>
      <w:r>
        <w:rPr>
          <w:rFonts w:hint="eastAsia"/>
          <w:color w:val="auto"/>
          <w:highlight w:val="none"/>
          <w:u w:val="single"/>
        </w:rPr>
        <w:t>以发包人规定的格式进行编制</w:t>
      </w:r>
      <w:r>
        <w:rPr>
          <w:color w:val="auto"/>
          <w:highlight w:val="none"/>
        </w:rPr>
        <w:t>。</w:t>
      </w:r>
    </w:p>
    <w:p w14:paraId="195C2619">
      <w:pPr>
        <w:adjustRightInd w:val="0"/>
        <w:snapToGrid w:val="0"/>
        <w:ind w:firstLine="480" w:firstLineChars="200"/>
        <w:rPr>
          <w:color w:val="auto"/>
          <w:highlight w:val="none"/>
        </w:rPr>
      </w:pPr>
      <w:r>
        <w:rPr>
          <w:color w:val="auto"/>
          <w:highlight w:val="none"/>
        </w:rPr>
        <w:t>12.4.3 进度付款申请单的提交</w:t>
      </w:r>
    </w:p>
    <w:p w14:paraId="77312EEB">
      <w:pPr>
        <w:adjustRightInd w:val="0"/>
        <w:snapToGrid w:val="0"/>
        <w:ind w:firstLine="480" w:firstLineChars="200"/>
        <w:rPr>
          <w:color w:val="auto"/>
          <w:highlight w:val="none"/>
        </w:rPr>
      </w:pPr>
      <w:r>
        <w:rPr>
          <w:color w:val="auto"/>
          <w:highlight w:val="none"/>
        </w:rPr>
        <w:t>（</w:t>
      </w:r>
      <w:r>
        <w:rPr>
          <w:rFonts w:hint="eastAsia"/>
          <w:color w:val="auto"/>
          <w:highlight w:val="none"/>
        </w:rPr>
        <w:t>2</w:t>
      </w:r>
      <w:r>
        <w:rPr>
          <w:color w:val="auto"/>
          <w:highlight w:val="none"/>
        </w:rPr>
        <w:t>）其他价</w:t>
      </w:r>
      <w:r>
        <w:rPr>
          <w:rFonts w:hint="eastAsia"/>
          <w:color w:val="auto"/>
          <w:highlight w:val="none"/>
        </w:rPr>
        <w:t>款</w:t>
      </w:r>
      <w:r>
        <w:rPr>
          <w:color w:val="auto"/>
          <w:highlight w:val="none"/>
        </w:rPr>
        <w:t>形式合同的进度付款申请单的提交</w:t>
      </w:r>
    </w:p>
    <w:p w14:paraId="1AF60C1D">
      <w:pPr>
        <w:adjustRightInd w:val="0"/>
        <w:snapToGrid w:val="0"/>
        <w:ind w:firstLine="480" w:firstLineChars="200"/>
        <w:rPr>
          <w:color w:val="auto"/>
          <w:highlight w:val="none"/>
        </w:rPr>
      </w:pPr>
      <w:r>
        <w:rPr>
          <w:color w:val="auto"/>
          <w:highlight w:val="none"/>
        </w:rPr>
        <w:t>其他价</w:t>
      </w:r>
      <w:r>
        <w:rPr>
          <w:rFonts w:hint="eastAsia"/>
          <w:color w:val="auto"/>
          <w:highlight w:val="none"/>
        </w:rPr>
        <w:t>款</w:t>
      </w:r>
      <w:r>
        <w:rPr>
          <w:color w:val="auto"/>
          <w:highlight w:val="none"/>
        </w:rPr>
        <w:t>形式合同的进度付款申请单的编制和提交程序：</w:t>
      </w:r>
      <w:r>
        <w:rPr>
          <w:rFonts w:hint="eastAsia"/>
          <w:color w:val="auto"/>
          <w:highlight w:val="none"/>
          <w:u w:val="single"/>
        </w:rPr>
        <w:t>以发包人规定的格式进行编制和提交</w:t>
      </w:r>
      <w:r>
        <w:rPr>
          <w:color w:val="auto"/>
          <w:highlight w:val="none"/>
        </w:rPr>
        <w:t>。</w:t>
      </w:r>
    </w:p>
    <w:p w14:paraId="66ED78B3">
      <w:pPr>
        <w:adjustRightInd w:val="0"/>
        <w:snapToGrid w:val="0"/>
        <w:ind w:firstLine="480" w:firstLineChars="200"/>
        <w:rPr>
          <w:color w:val="auto"/>
          <w:highlight w:val="none"/>
        </w:rPr>
      </w:pPr>
      <w:r>
        <w:rPr>
          <w:color w:val="auto"/>
          <w:highlight w:val="none"/>
        </w:rPr>
        <w:t>12.4.4 进度款审核和支付</w:t>
      </w:r>
    </w:p>
    <w:p w14:paraId="5439E60E">
      <w:pPr>
        <w:adjustRightInd w:val="0"/>
        <w:snapToGrid w:val="0"/>
        <w:ind w:firstLine="480" w:firstLineChars="200"/>
        <w:rPr>
          <w:color w:val="auto"/>
          <w:highlight w:val="none"/>
        </w:rPr>
      </w:pPr>
      <w:r>
        <w:rPr>
          <w:color w:val="auto"/>
          <w:highlight w:val="none"/>
        </w:rPr>
        <w:t>（1）监理人进度付款申请单</w:t>
      </w:r>
      <w:r>
        <w:rPr>
          <w:rFonts w:hint="eastAsia"/>
          <w:color w:val="auto"/>
          <w:highlight w:val="none"/>
        </w:rPr>
        <w:t>审查的期限：</w:t>
      </w:r>
      <w:r>
        <w:rPr>
          <w:rFonts w:hint="eastAsia"/>
          <w:color w:val="auto"/>
          <w:highlight w:val="none"/>
          <w:u w:val="single"/>
        </w:rPr>
        <w:t xml:space="preserve"> 7天内 </w:t>
      </w:r>
      <w:r>
        <w:rPr>
          <w:color w:val="auto"/>
          <w:highlight w:val="none"/>
        </w:rPr>
        <w:t>。</w:t>
      </w:r>
    </w:p>
    <w:p w14:paraId="16C3BA39">
      <w:pPr>
        <w:adjustRightInd w:val="0"/>
        <w:snapToGrid w:val="0"/>
        <w:ind w:firstLine="480" w:firstLineChars="200"/>
        <w:rPr>
          <w:color w:val="auto"/>
          <w:highlight w:val="none"/>
        </w:rPr>
      </w:pPr>
      <w:r>
        <w:rPr>
          <w:rFonts w:hint="eastAsia"/>
          <w:color w:val="auto"/>
          <w:highlight w:val="none"/>
        </w:rPr>
        <w:t>发包</w:t>
      </w:r>
      <w:r>
        <w:rPr>
          <w:color w:val="auto"/>
          <w:highlight w:val="none"/>
        </w:rPr>
        <w:t>人进度付款申请单</w:t>
      </w:r>
      <w:r>
        <w:rPr>
          <w:rFonts w:hint="eastAsia"/>
          <w:color w:val="auto"/>
          <w:highlight w:val="none"/>
        </w:rPr>
        <w:t>审批的期限：</w:t>
      </w:r>
      <w:r>
        <w:rPr>
          <w:rFonts w:hint="eastAsia"/>
          <w:color w:val="auto"/>
          <w:highlight w:val="none"/>
          <w:u w:val="single"/>
        </w:rPr>
        <w:t xml:space="preserve">  10天内 </w:t>
      </w:r>
      <w:r>
        <w:rPr>
          <w:color w:val="auto"/>
          <w:highlight w:val="none"/>
        </w:rPr>
        <w:t>。</w:t>
      </w:r>
    </w:p>
    <w:p w14:paraId="2E47E4A0">
      <w:pPr>
        <w:adjustRightInd w:val="0"/>
        <w:snapToGrid w:val="0"/>
        <w:ind w:firstLine="480" w:firstLineChars="200"/>
        <w:rPr>
          <w:color w:val="auto"/>
          <w:highlight w:val="none"/>
        </w:rPr>
      </w:pPr>
      <w:r>
        <w:rPr>
          <w:color w:val="auto"/>
          <w:highlight w:val="none"/>
        </w:rPr>
        <w:t>（2）发包人支付进度款</w:t>
      </w:r>
      <w:r>
        <w:rPr>
          <w:rFonts w:hint="eastAsia"/>
          <w:color w:val="auto"/>
          <w:highlight w:val="none"/>
        </w:rPr>
        <w:t>的期限：</w:t>
      </w:r>
      <w:r>
        <w:rPr>
          <w:rFonts w:hint="eastAsia"/>
          <w:color w:val="auto"/>
          <w:highlight w:val="none"/>
          <w:u w:val="single"/>
        </w:rPr>
        <w:t>承包人开具增值税专用发票并办理付款手续，发包人财务部门收到付款资料后60天内完成，发包人按银行转账加汇票方式或银行转账方式办理款项支付</w:t>
      </w:r>
      <w:r>
        <w:rPr>
          <w:color w:val="auto"/>
          <w:highlight w:val="none"/>
        </w:rPr>
        <w:t>。</w:t>
      </w:r>
    </w:p>
    <w:p w14:paraId="639DB9B7">
      <w:pPr>
        <w:adjustRightInd w:val="0"/>
        <w:snapToGrid w:val="0"/>
        <w:ind w:firstLine="480" w:firstLineChars="200"/>
        <w:rPr>
          <w:color w:val="auto"/>
          <w:highlight w:val="none"/>
        </w:rPr>
      </w:pPr>
      <w:r>
        <w:rPr>
          <w:color w:val="auto"/>
          <w:highlight w:val="none"/>
        </w:rPr>
        <w:t>发包人逾期支付进度款</w:t>
      </w:r>
      <w:r>
        <w:rPr>
          <w:rFonts w:hint="eastAsia"/>
          <w:color w:val="auto"/>
          <w:highlight w:val="none"/>
        </w:rPr>
        <w:t>违约金的约定：</w:t>
      </w:r>
      <w:r>
        <w:rPr>
          <w:rFonts w:hint="eastAsia"/>
          <w:color w:val="auto"/>
          <w:highlight w:val="none"/>
          <w:u w:val="single"/>
        </w:rPr>
        <w:t>发包人未按合同约定支付货款，承包人向发包人提出违约申请，发包人应按日向承包人支付滞纳金，滞纳金按合同订立时1年期贷款市场报价利率计算</w:t>
      </w:r>
      <w:r>
        <w:rPr>
          <w:color w:val="auto"/>
          <w:highlight w:val="none"/>
        </w:rPr>
        <w:t>。</w:t>
      </w:r>
    </w:p>
    <w:p w14:paraId="0391AB30">
      <w:pPr>
        <w:adjustRightInd w:val="0"/>
        <w:snapToGrid w:val="0"/>
        <w:ind w:firstLine="480" w:firstLineChars="200"/>
        <w:rPr>
          <w:color w:val="auto"/>
          <w:highlight w:val="none"/>
        </w:rPr>
      </w:pPr>
      <w:r>
        <w:rPr>
          <w:color w:val="auto"/>
          <w:highlight w:val="none"/>
        </w:rPr>
        <w:t>12.4.6 支付分解表</w:t>
      </w:r>
    </w:p>
    <w:p w14:paraId="232E8E9D">
      <w:pPr>
        <w:adjustRightInd w:val="0"/>
        <w:snapToGrid w:val="0"/>
        <w:ind w:firstLine="480" w:firstLineChars="200"/>
        <w:rPr>
          <w:color w:val="auto"/>
          <w:highlight w:val="none"/>
        </w:rPr>
      </w:pPr>
      <w:r>
        <w:rPr>
          <w:rFonts w:hint="eastAsia"/>
          <w:color w:val="auto"/>
          <w:highlight w:val="none"/>
        </w:rPr>
        <w:t>12.4.6.2固定</w:t>
      </w:r>
      <w:r>
        <w:rPr>
          <w:color w:val="auto"/>
          <w:highlight w:val="none"/>
        </w:rPr>
        <w:t>总价合同支付分解表的编制与审批</w:t>
      </w:r>
    </w:p>
    <w:p w14:paraId="3DC2CAB7">
      <w:pPr>
        <w:adjustRightInd w:val="0"/>
        <w:snapToGrid w:val="0"/>
        <w:ind w:firstLine="480" w:firstLineChars="200"/>
        <w:rPr>
          <w:color w:val="auto"/>
          <w:highlight w:val="none"/>
        </w:rPr>
      </w:pPr>
      <w:r>
        <w:rPr>
          <w:rFonts w:hint="eastAsia"/>
          <w:color w:val="auto"/>
          <w:highlight w:val="none"/>
        </w:rPr>
        <w:t>（1）固定</w:t>
      </w:r>
      <w:r>
        <w:rPr>
          <w:color w:val="auto"/>
          <w:highlight w:val="none"/>
        </w:rPr>
        <w:t>总价合同支付分解表的编制与审批</w:t>
      </w:r>
      <w:r>
        <w:rPr>
          <w:rFonts w:hint="eastAsia"/>
          <w:color w:val="auto"/>
          <w:highlight w:val="none"/>
        </w:rPr>
        <w:t>的约定：</w:t>
      </w:r>
      <w:r>
        <w:rPr>
          <w:rFonts w:hint="eastAsia"/>
          <w:color w:val="auto"/>
          <w:highlight w:val="none"/>
          <w:u w:val="single"/>
        </w:rPr>
        <w:t>/</w:t>
      </w:r>
      <w:r>
        <w:rPr>
          <w:color w:val="auto"/>
          <w:highlight w:val="none"/>
        </w:rPr>
        <w:t>。</w:t>
      </w:r>
    </w:p>
    <w:p w14:paraId="10ADED30">
      <w:pPr>
        <w:keepNext/>
        <w:keepLines/>
        <w:outlineLvl w:val="1"/>
        <w:rPr>
          <w:rFonts w:ascii="Arial" w:hAnsi="Arial"/>
          <w:b/>
          <w:bCs/>
          <w:color w:val="auto"/>
          <w:highlight w:val="none"/>
        </w:rPr>
      </w:pPr>
      <w:bookmarkStart w:id="927" w:name="_Toc10039"/>
      <w:bookmarkStart w:id="928" w:name="_Toc119953756"/>
      <w:bookmarkStart w:id="929" w:name="_Toc256000089"/>
      <w:bookmarkStart w:id="930" w:name="_Toc1085341747"/>
      <w:bookmarkStart w:id="931" w:name="_Toc26384"/>
      <w:bookmarkStart w:id="932" w:name="_Toc90117813"/>
      <w:r>
        <w:rPr>
          <w:rFonts w:hint="eastAsia" w:ascii="Arial" w:hAnsi="Arial"/>
          <w:b/>
          <w:bCs/>
          <w:color w:val="auto"/>
          <w:szCs w:val="32"/>
          <w:highlight w:val="none"/>
        </w:rPr>
        <w:t>13. 工程试车、竣工试验和竣工验收</w:t>
      </w:r>
      <w:bookmarkEnd w:id="927"/>
      <w:bookmarkEnd w:id="928"/>
      <w:bookmarkEnd w:id="929"/>
      <w:bookmarkEnd w:id="930"/>
      <w:bookmarkEnd w:id="931"/>
      <w:bookmarkEnd w:id="932"/>
    </w:p>
    <w:p w14:paraId="1ACAD28A">
      <w:pPr>
        <w:adjustRightInd w:val="0"/>
        <w:snapToGrid w:val="0"/>
        <w:ind w:firstLine="482" w:firstLineChars="200"/>
        <w:rPr>
          <w:b/>
          <w:color w:val="auto"/>
          <w:highlight w:val="none"/>
        </w:rPr>
      </w:pPr>
      <w:r>
        <w:rPr>
          <w:rFonts w:hint="eastAsia"/>
          <w:b/>
          <w:color w:val="auto"/>
          <w:highlight w:val="none"/>
        </w:rPr>
        <w:t>13.3交工验收</w:t>
      </w:r>
    </w:p>
    <w:p w14:paraId="0DD2A928">
      <w:pPr>
        <w:adjustRightInd w:val="0"/>
        <w:snapToGrid w:val="0"/>
        <w:ind w:firstLine="480" w:firstLineChars="200"/>
        <w:rPr>
          <w:color w:val="auto"/>
          <w:highlight w:val="none"/>
        </w:rPr>
      </w:pPr>
      <w:r>
        <w:rPr>
          <w:rFonts w:hint="eastAsia"/>
          <w:color w:val="auto"/>
          <w:highlight w:val="none"/>
        </w:rPr>
        <w:t>13.3.7 交工验收其他规定：</w:t>
      </w:r>
      <w:r>
        <w:rPr>
          <w:rFonts w:hint="eastAsia"/>
          <w:color w:val="auto"/>
          <w:highlight w:val="none"/>
          <w:u w:val="single"/>
        </w:rPr>
        <w:t>执行通用</w:t>
      </w:r>
      <w:r>
        <w:rPr>
          <w:color w:val="auto"/>
          <w:highlight w:val="none"/>
          <w:u w:val="single"/>
        </w:rPr>
        <w:t>合同条款</w:t>
      </w:r>
      <w:r>
        <w:rPr>
          <w:rFonts w:hint="eastAsia"/>
          <w:color w:val="auto"/>
          <w:highlight w:val="none"/>
        </w:rPr>
        <w:t>。</w:t>
      </w:r>
    </w:p>
    <w:p w14:paraId="2AAE86A7">
      <w:pPr>
        <w:adjustRightInd w:val="0"/>
        <w:snapToGrid w:val="0"/>
        <w:ind w:firstLine="482" w:firstLineChars="200"/>
        <w:rPr>
          <w:b/>
          <w:color w:val="auto"/>
          <w:highlight w:val="none"/>
        </w:rPr>
      </w:pPr>
      <w:r>
        <w:rPr>
          <w:rFonts w:hint="eastAsia"/>
          <w:b/>
          <w:color w:val="auto"/>
          <w:highlight w:val="none"/>
        </w:rPr>
        <w:t xml:space="preserve">13.6 施工队伍的撤离   </w:t>
      </w:r>
    </w:p>
    <w:p w14:paraId="671EF4EE">
      <w:pPr>
        <w:adjustRightInd w:val="0"/>
        <w:snapToGrid w:val="0"/>
        <w:ind w:firstLine="480" w:firstLineChars="200"/>
        <w:rPr>
          <w:color w:val="auto"/>
          <w:highlight w:val="none"/>
        </w:rPr>
      </w:pPr>
      <w:r>
        <w:rPr>
          <w:rFonts w:hint="eastAsia"/>
          <w:color w:val="auto"/>
          <w:highlight w:val="none"/>
        </w:rPr>
        <w:t>施工队伍撤离的约定</w:t>
      </w:r>
      <w:r>
        <w:rPr>
          <w:rFonts w:hint="eastAsia"/>
          <w:color w:val="auto"/>
          <w:highlight w:val="none"/>
          <w:u w:val="none"/>
        </w:rPr>
        <w:t>：</w:t>
      </w:r>
      <w:r>
        <w:rPr>
          <w:rFonts w:hint="eastAsia"/>
          <w:color w:val="auto"/>
          <w:highlight w:val="none"/>
          <w:u w:val="single"/>
        </w:rPr>
        <w:t>如在该工程界区内无续建工程，在签署工程交工验收后30日内撤离施工现场，运走承包人的施工设备及施工机具（协助联动试车、试运行和保修人员及所需机具除外）。施工现场清理应达到发包人满意。如承包人违约，发包人有权冻结承包人在施工场地的财产，并由发包人自行处理，所发生的费用由承包人支付。承包人在撤离现场时，须将所损坏或破坏的界区内外场地、道路等恢复原貌，费用自理，否则发包人有权从合同价款中扣除该项费用，委托他人实施。</w:t>
      </w:r>
    </w:p>
    <w:p w14:paraId="701E0781">
      <w:pPr>
        <w:keepNext/>
        <w:keepLines/>
        <w:adjustRightInd w:val="0"/>
        <w:snapToGrid w:val="0"/>
        <w:outlineLvl w:val="1"/>
        <w:rPr>
          <w:rFonts w:ascii="Arial"/>
          <w:b/>
          <w:bCs/>
          <w:color w:val="auto"/>
          <w:szCs w:val="32"/>
          <w:highlight w:val="none"/>
        </w:rPr>
      </w:pPr>
      <w:bookmarkStart w:id="933" w:name="_Toc90117814"/>
      <w:bookmarkStart w:id="934" w:name="_Toc119953757"/>
      <w:bookmarkStart w:id="935" w:name="_Toc2924"/>
      <w:bookmarkStart w:id="936" w:name="_Toc256000090"/>
      <w:bookmarkStart w:id="937" w:name="_Toc2130205972"/>
      <w:bookmarkStart w:id="938" w:name="_Toc31667"/>
      <w:r>
        <w:rPr>
          <w:rFonts w:hint="eastAsia" w:ascii="Arial"/>
          <w:b/>
          <w:bCs/>
          <w:color w:val="auto"/>
          <w:szCs w:val="32"/>
          <w:highlight w:val="none"/>
        </w:rPr>
        <w:t>14. 工程结算</w:t>
      </w:r>
      <w:bookmarkEnd w:id="933"/>
      <w:bookmarkEnd w:id="934"/>
      <w:bookmarkEnd w:id="935"/>
      <w:bookmarkEnd w:id="936"/>
      <w:bookmarkEnd w:id="937"/>
      <w:bookmarkEnd w:id="938"/>
    </w:p>
    <w:p w14:paraId="1372BEB1">
      <w:pPr>
        <w:adjustRightInd w:val="0"/>
        <w:snapToGrid w:val="0"/>
        <w:ind w:firstLine="482" w:firstLineChars="200"/>
        <w:rPr>
          <w:b/>
          <w:color w:val="auto"/>
          <w:highlight w:val="none"/>
        </w:rPr>
      </w:pPr>
      <w:r>
        <w:rPr>
          <w:b/>
          <w:color w:val="auto"/>
          <w:highlight w:val="none"/>
        </w:rPr>
        <w:t xml:space="preserve">14.1 </w:t>
      </w:r>
      <w:r>
        <w:rPr>
          <w:rFonts w:hint="eastAsia"/>
          <w:b/>
          <w:color w:val="auto"/>
          <w:highlight w:val="none"/>
        </w:rPr>
        <w:t>工程</w:t>
      </w:r>
      <w:r>
        <w:rPr>
          <w:b/>
          <w:color w:val="auto"/>
          <w:highlight w:val="none"/>
        </w:rPr>
        <w:t>结算申请</w:t>
      </w:r>
    </w:p>
    <w:p w14:paraId="10F32CCF">
      <w:pPr>
        <w:adjustRightInd w:val="0"/>
        <w:snapToGrid w:val="0"/>
        <w:ind w:firstLine="480" w:firstLineChars="200"/>
        <w:rPr>
          <w:color w:val="auto"/>
          <w:highlight w:val="none"/>
        </w:rPr>
      </w:pPr>
      <w:r>
        <w:rPr>
          <w:rFonts w:hint="eastAsia"/>
          <w:color w:val="auto"/>
          <w:highlight w:val="none"/>
        </w:rPr>
        <w:t>承包人提交工程结算申请单的时间：</w:t>
      </w:r>
      <w:r>
        <w:rPr>
          <w:rFonts w:hint="eastAsia"/>
          <w:color w:val="auto"/>
          <w:highlight w:val="none"/>
          <w:u w:val="single"/>
        </w:rPr>
        <w:t xml:space="preserve"> 执行《茂名石化工程预（结）算管理细则》</w:t>
      </w:r>
      <w:r>
        <w:rPr>
          <w:rFonts w:hint="eastAsia"/>
          <w:color w:val="auto"/>
          <w:highlight w:val="none"/>
        </w:rPr>
        <w:t>。</w:t>
      </w:r>
    </w:p>
    <w:p w14:paraId="22E8D7F3">
      <w:pPr>
        <w:adjustRightInd w:val="0"/>
        <w:snapToGrid w:val="0"/>
        <w:ind w:firstLine="480" w:firstLineChars="200"/>
        <w:rPr>
          <w:color w:val="auto"/>
          <w:highlight w:val="none"/>
        </w:rPr>
      </w:pPr>
      <w:r>
        <w:rPr>
          <w:rFonts w:hint="eastAsia"/>
          <w:color w:val="auto"/>
          <w:highlight w:val="none"/>
        </w:rPr>
        <w:t>工程</w:t>
      </w:r>
      <w:r>
        <w:rPr>
          <w:color w:val="auto"/>
          <w:highlight w:val="none"/>
        </w:rPr>
        <w:t>结算申请单</w:t>
      </w:r>
      <w:r>
        <w:rPr>
          <w:rFonts w:hint="eastAsia"/>
          <w:color w:val="auto"/>
          <w:highlight w:val="none"/>
        </w:rPr>
        <w:t>的资料清单：</w:t>
      </w:r>
      <w:r>
        <w:rPr>
          <w:rFonts w:hint="eastAsia"/>
          <w:color w:val="auto"/>
          <w:highlight w:val="none"/>
          <w:u w:val="single"/>
        </w:rPr>
        <w:t>结算书封面、编制说明、开工报告、工程交工证书、工程造价汇总表、合同、补充协议、工程量计算底稿、经工程建设管理部门审核确定的施工图纸、竣工资料（包括竣工图、图纸会审纪要及工程设计变更单、工程现场签证单、材料代用单等）、经审定的施工组织设计或施工方案、缺项定额补充单位分析表等相关证明材料和工程项目结算送审时间确认表、奖罚证明、材料核销书、ERP转帐证明等</w:t>
      </w:r>
      <w:r>
        <w:rPr>
          <w:rFonts w:hint="eastAsia"/>
          <w:color w:val="auto"/>
          <w:highlight w:val="none"/>
        </w:rPr>
        <w:t>。</w:t>
      </w:r>
    </w:p>
    <w:p w14:paraId="03A7F38C">
      <w:pPr>
        <w:adjustRightInd w:val="0"/>
        <w:snapToGrid w:val="0"/>
        <w:ind w:firstLine="480" w:firstLineChars="200"/>
        <w:rPr>
          <w:color w:val="auto"/>
          <w:highlight w:val="none"/>
        </w:rPr>
      </w:pPr>
      <w:r>
        <w:rPr>
          <w:rFonts w:hint="eastAsia"/>
          <w:color w:val="auto"/>
          <w:highlight w:val="none"/>
        </w:rPr>
        <w:t>工程</w:t>
      </w:r>
      <w:r>
        <w:rPr>
          <w:color w:val="auto"/>
          <w:highlight w:val="none"/>
        </w:rPr>
        <w:t>结算申请单</w:t>
      </w:r>
      <w:r>
        <w:rPr>
          <w:rFonts w:hint="eastAsia"/>
          <w:color w:val="auto"/>
          <w:highlight w:val="none"/>
        </w:rPr>
        <w:t>的</w:t>
      </w:r>
      <w:r>
        <w:rPr>
          <w:color w:val="auto"/>
          <w:highlight w:val="none"/>
        </w:rPr>
        <w:t>份数</w:t>
      </w:r>
      <w:r>
        <w:rPr>
          <w:rFonts w:hint="eastAsia"/>
          <w:color w:val="auto"/>
          <w:highlight w:val="none"/>
        </w:rPr>
        <w:t>：</w:t>
      </w:r>
      <w:r>
        <w:rPr>
          <w:rFonts w:hint="eastAsia"/>
          <w:color w:val="auto"/>
          <w:highlight w:val="none"/>
          <w:u w:val="single"/>
        </w:rPr>
        <w:t>执行《茂名石化工程预（结）算管理细则》的有关规定</w:t>
      </w:r>
      <w:r>
        <w:rPr>
          <w:rFonts w:hint="eastAsia"/>
          <w:color w:val="auto"/>
          <w:highlight w:val="none"/>
        </w:rPr>
        <w:t>。</w:t>
      </w:r>
    </w:p>
    <w:p w14:paraId="27057F8C">
      <w:pPr>
        <w:adjustRightInd w:val="0"/>
        <w:snapToGrid w:val="0"/>
        <w:ind w:firstLine="482" w:firstLineChars="200"/>
        <w:rPr>
          <w:b/>
          <w:color w:val="auto"/>
          <w:highlight w:val="none"/>
        </w:rPr>
      </w:pPr>
      <w:r>
        <w:rPr>
          <w:b/>
          <w:color w:val="auto"/>
          <w:highlight w:val="none"/>
        </w:rPr>
        <w:t xml:space="preserve">14.2 </w:t>
      </w:r>
      <w:r>
        <w:rPr>
          <w:rFonts w:hint="eastAsia"/>
          <w:b/>
          <w:color w:val="auto"/>
          <w:highlight w:val="none"/>
        </w:rPr>
        <w:t>工程</w:t>
      </w:r>
      <w:r>
        <w:rPr>
          <w:b/>
          <w:color w:val="auto"/>
          <w:highlight w:val="none"/>
        </w:rPr>
        <w:t>结算审核</w:t>
      </w:r>
    </w:p>
    <w:p w14:paraId="109E7D42">
      <w:pPr>
        <w:adjustRightInd w:val="0"/>
        <w:snapToGrid w:val="0"/>
        <w:ind w:firstLine="480" w:firstLineChars="200"/>
        <w:rPr>
          <w:color w:val="auto"/>
          <w:highlight w:val="none"/>
        </w:rPr>
      </w:pPr>
      <w:r>
        <w:rPr>
          <w:color w:val="auto"/>
          <w:highlight w:val="none"/>
        </w:rPr>
        <w:t>（1）</w:t>
      </w:r>
      <w:r>
        <w:rPr>
          <w:rFonts w:hint="eastAsia"/>
          <w:color w:val="auto"/>
          <w:highlight w:val="none"/>
        </w:rPr>
        <w:t>关于工程结算审核及其他的约定：</w:t>
      </w:r>
      <w:r>
        <w:rPr>
          <w:rFonts w:hint="eastAsia"/>
          <w:color w:val="auto"/>
          <w:highlight w:val="none"/>
          <w:u w:val="single"/>
        </w:rPr>
        <w:t xml:space="preserve"> 见合同附件1  </w:t>
      </w:r>
      <w:r>
        <w:rPr>
          <w:rFonts w:hint="eastAsia"/>
          <w:color w:val="auto"/>
          <w:highlight w:val="none"/>
        </w:rPr>
        <w:t>。</w:t>
      </w:r>
    </w:p>
    <w:p w14:paraId="40AC035E">
      <w:pPr>
        <w:adjustRightInd w:val="0"/>
        <w:snapToGrid w:val="0"/>
        <w:ind w:firstLine="480" w:firstLineChars="200"/>
        <w:rPr>
          <w:color w:val="auto"/>
          <w:highlight w:val="none"/>
        </w:rPr>
      </w:pPr>
      <w:r>
        <w:rPr>
          <w:rFonts w:hint="eastAsia"/>
          <w:color w:val="auto"/>
          <w:highlight w:val="none"/>
        </w:rPr>
        <w:t>监理人完成核查工程</w:t>
      </w:r>
      <w:r>
        <w:rPr>
          <w:color w:val="auto"/>
          <w:highlight w:val="none"/>
        </w:rPr>
        <w:t>结算申请单</w:t>
      </w:r>
      <w:r>
        <w:rPr>
          <w:rFonts w:hint="eastAsia"/>
          <w:color w:val="auto"/>
          <w:highlight w:val="none"/>
        </w:rPr>
        <w:t>的期限：</w:t>
      </w:r>
      <w:r>
        <w:rPr>
          <w:rFonts w:hint="eastAsia"/>
          <w:color w:val="auto"/>
          <w:highlight w:val="none"/>
          <w:u w:val="single"/>
        </w:rPr>
        <w:t xml:space="preserve">执行《茂名石化工程预（结）算管理细则》 </w:t>
      </w:r>
      <w:r>
        <w:rPr>
          <w:rFonts w:hint="eastAsia"/>
          <w:color w:val="auto"/>
          <w:highlight w:val="none"/>
        </w:rPr>
        <w:t>。</w:t>
      </w:r>
    </w:p>
    <w:p w14:paraId="4967C155">
      <w:pPr>
        <w:adjustRightInd w:val="0"/>
        <w:snapToGrid w:val="0"/>
        <w:ind w:firstLine="480" w:firstLineChars="200"/>
        <w:rPr>
          <w:color w:val="auto"/>
          <w:highlight w:val="none"/>
        </w:rPr>
      </w:pPr>
      <w:r>
        <w:rPr>
          <w:rFonts w:hint="eastAsia"/>
          <w:color w:val="auto"/>
          <w:highlight w:val="none"/>
        </w:rPr>
        <w:t>发包人完成审批工程</w:t>
      </w:r>
      <w:r>
        <w:rPr>
          <w:color w:val="auto"/>
          <w:highlight w:val="none"/>
        </w:rPr>
        <w:t>结算申请单</w:t>
      </w:r>
      <w:r>
        <w:rPr>
          <w:rFonts w:hint="eastAsia"/>
          <w:color w:val="auto"/>
          <w:highlight w:val="none"/>
        </w:rPr>
        <w:t>的期限：</w:t>
      </w:r>
      <w:r>
        <w:rPr>
          <w:rFonts w:hint="eastAsia"/>
          <w:color w:val="auto"/>
          <w:highlight w:val="none"/>
          <w:u w:val="single"/>
        </w:rPr>
        <w:t xml:space="preserve">执行《茂名石化工程预（结）算管理细则》  </w:t>
      </w:r>
      <w:r>
        <w:rPr>
          <w:rFonts w:hint="eastAsia"/>
          <w:color w:val="auto"/>
          <w:highlight w:val="none"/>
        </w:rPr>
        <w:t>。</w:t>
      </w:r>
    </w:p>
    <w:p w14:paraId="7334F9C6">
      <w:pPr>
        <w:adjustRightInd w:val="0"/>
        <w:snapToGrid w:val="0"/>
        <w:ind w:firstLine="480" w:firstLineChars="200"/>
        <w:rPr>
          <w:color w:val="auto"/>
          <w:highlight w:val="none"/>
        </w:rPr>
      </w:pPr>
      <w:r>
        <w:rPr>
          <w:color w:val="auto"/>
          <w:highlight w:val="none"/>
        </w:rPr>
        <w:t>（2）发包人完成</w:t>
      </w:r>
      <w:r>
        <w:rPr>
          <w:rFonts w:hint="eastAsia"/>
          <w:color w:val="auto"/>
          <w:highlight w:val="none"/>
        </w:rPr>
        <w:t>中间交接或交工</w:t>
      </w:r>
      <w:r>
        <w:rPr>
          <w:color w:val="auto"/>
          <w:highlight w:val="none"/>
        </w:rPr>
        <w:t>付款的期限：</w:t>
      </w:r>
      <w:r>
        <w:rPr>
          <w:rFonts w:hint="eastAsia"/>
          <w:color w:val="auto"/>
          <w:highlight w:val="none"/>
          <w:u w:val="single"/>
        </w:rPr>
        <w:t xml:space="preserve"> 发包人财务部门收到付款申请后60天内  </w:t>
      </w:r>
      <w:r>
        <w:rPr>
          <w:rFonts w:hint="eastAsia"/>
          <w:color w:val="auto"/>
          <w:highlight w:val="none"/>
        </w:rPr>
        <w:t>。</w:t>
      </w:r>
    </w:p>
    <w:p w14:paraId="286A00F3">
      <w:pPr>
        <w:adjustRightInd w:val="0"/>
        <w:snapToGrid w:val="0"/>
        <w:ind w:firstLine="480" w:firstLineChars="200"/>
        <w:rPr>
          <w:color w:val="auto"/>
          <w:highlight w:val="none"/>
        </w:rPr>
      </w:pPr>
      <w:r>
        <w:rPr>
          <w:rFonts w:hint="eastAsia"/>
          <w:color w:val="auto"/>
          <w:highlight w:val="none"/>
        </w:rPr>
        <w:t>发包人逾期支付的违约责任：</w:t>
      </w:r>
      <w:r>
        <w:rPr>
          <w:rFonts w:hint="eastAsia"/>
          <w:color w:val="auto"/>
          <w:highlight w:val="none"/>
          <w:u w:val="single"/>
        </w:rPr>
        <w:t xml:space="preserve">  发包人未按合同约定支付价款，承包人向发包人提出违约申请，发包人应按日向承包人支付滞纳金，滞纳金按合同订立时1年期贷款市场报价利率计算  </w:t>
      </w:r>
      <w:r>
        <w:rPr>
          <w:rFonts w:hint="eastAsia"/>
          <w:color w:val="auto"/>
          <w:highlight w:val="none"/>
        </w:rPr>
        <w:t>。</w:t>
      </w:r>
    </w:p>
    <w:p w14:paraId="4444DC2E">
      <w:pPr>
        <w:adjustRightInd w:val="0"/>
        <w:snapToGrid w:val="0"/>
        <w:ind w:firstLine="480" w:firstLineChars="200"/>
        <w:rPr>
          <w:rFonts w:eastAsia="仿宋_GB2312"/>
          <w:color w:val="auto"/>
          <w:sz w:val="30"/>
          <w:szCs w:val="32"/>
          <w:highlight w:val="none"/>
        </w:rPr>
      </w:pPr>
      <w:r>
        <w:rPr>
          <w:color w:val="auto"/>
          <w:highlight w:val="none"/>
        </w:rPr>
        <w:t>（3）</w:t>
      </w:r>
      <w:r>
        <w:rPr>
          <w:rFonts w:hint="eastAsia"/>
          <w:color w:val="auto"/>
          <w:highlight w:val="none"/>
        </w:rPr>
        <w:t>关于中间交接或交工付款证书异议部分复核的方式和程序：</w:t>
      </w:r>
      <w:r>
        <w:rPr>
          <w:rFonts w:hint="eastAsia"/>
          <w:color w:val="auto"/>
          <w:highlight w:val="none"/>
          <w:u w:val="single"/>
        </w:rPr>
        <w:t>报中国石化集团建设工程主管部门进行调解</w:t>
      </w:r>
      <w:r>
        <w:rPr>
          <w:rFonts w:hint="eastAsia"/>
          <w:color w:val="auto"/>
          <w:highlight w:val="none"/>
        </w:rPr>
        <w:t>。</w:t>
      </w:r>
    </w:p>
    <w:p w14:paraId="46FC1926">
      <w:pPr>
        <w:adjustRightInd w:val="0"/>
        <w:snapToGrid w:val="0"/>
        <w:ind w:firstLine="482" w:firstLineChars="200"/>
        <w:rPr>
          <w:b/>
          <w:color w:val="auto"/>
          <w:highlight w:val="none"/>
        </w:rPr>
      </w:pPr>
      <w:r>
        <w:rPr>
          <w:b/>
          <w:color w:val="auto"/>
          <w:highlight w:val="none"/>
        </w:rPr>
        <w:t>14.4 最终结清</w:t>
      </w:r>
    </w:p>
    <w:p w14:paraId="7C9D964C">
      <w:pPr>
        <w:adjustRightInd w:val="0"/>
        <w:snapToGrid w:val="0"/>
        <w:ind w:firstLine="480" w:firstLineChars="200"/>
        <w:rPr>
          <w:color w:val="auto"/>
          <w:highlight w:val="none"/>
        </w:rPr>
      </w:pPr>
      <w:r>
        <w:rPr>
          <w:color w:val="auto"/>
          <w:highlight w:val="none"/>
        </w:rPr>
        <w:t>14.4.1 最终结清申请单</w:t>
      </w:r>
    </w:p>
    <w:p w14:paraId="77D43A60">
      <w:pPr>
        <w:adjustRightInd w:val="0"/>
        <w:snapToGrid w:val="0"/>
        <w:ind w:firstLine="480" w:firstLineChars="200"/>
        <w:rPr>
          <w:color w:val="auto"/>
          <w:highlight w:val="none"/>
        </w:rPr>
      </w:pPr>
      <w:r>
        <w:rPr>
          <w:color w:val="auto"/>
          <w:highlight w:val="none"/>
        </w:rPr>
        <w:t>（1）承包人提交最终结清申请单的份数：</w:t>
      </w:r>
      <w:r>
        <w:rPr>
          <w:rFonts w:hint="eastAsia"/>
          <w:color w:val="auto"/>
          <w:highlight w:val="none"/>
          <w:u w:val="single"/>
        </w:rPr>
        <w:t>一式叁份</w:t>
      </w:r>
      <w:r>
        <w:rPr>
          <w:rFonts w:hint="eastAsia"/>
          <w:color w:val="auto"/>
          <w:highlight w:val="none"/>
        </w:rPr>
        <w:t>。</w:t>
      </w:r>
    </w:p>
    <w:p w14:paraId="74BFABFA">
      <w:pPr>
        <w:adjustRightInd w:val="0"/>
        <w:snapToGrid w:val="0"/>
        <w:ind w:firstLine="480" w:firstLineChars="200"/>
        <w:rPr>
          <w:color w:val="auto"/>
          <w:highlight w:val="none"/>
        </w:rPr>
      </w:pPr>
      <w:r>
        <w:rPr>
          <w:color w:val="auto"/>
          <w:highlight w:val="none"/>
        </w:rPr>
        <w:t>承包人提交最终结算申请单的期限：</w:t>
      </w:r>
      <w:r>
        <w:rPr>
          <w:rFonts w:hint="eastAsia"/>
          <w:color w:val="auto"/>
          <w:highlight w:val="none"/>
          <w:u w:val="single"/>
        </w:rPr>
        <w:t>缺陷责任期终止证书颁发后15天内</w:t>
      </w:r>
      <w:r>
        <w:rPr>
          <w:rFonts w:hint="eastAsia"/>
          <w:color w:val="auto"/>
          <w:highlight w:val="none"/>
        </w:rPr>
        <w:t>。</w:t>
      </w:r>
      <w:r>
        <w:rPr>
          <w:color w:val="auto"/>
          <w:highlight w:val="none"/>
        </w:rPr>
        <w:t xml:space="preserve"> </w:t>
      </w:r>
    </w:p>
    <w:p w14:paraId="4C2DD981">
      <w:pPr>
        <w:adjustRightInd w:val="0"/>
        <w:snapToGrid w:val="0"/>
        <w:ind w:firstLine="480" w:firstLineChars="200"/>
        <w:rPr>
          <w:color w:val="auto"/>
          <w:highlight w:val="none"/>
        </w:rPr>
      </w:pPr>
      <w:r>
        <w:rPr>
          <w:color w:val="auto"/>
          <w:highlight w:val="none"/>
        </w:rPr>
        <w:t>14.4.2 最终结清证书和支付</w:t>
      </w:r>
    </w:p>
    <w:p w14:paraId="76C76ECC">
      <w:pPr>
        <w:adjustRightInd w:val="0"/>
        <w:snapToGrid w:val="0"/>
        <w:ind w:firstLine="480" w:firstLineChars="200"/>
        <w:rPr>
          <w:color w:val="auto"/>
          <w:highlight w:val="none"/>
        </w:rPr>
      </w:pPr>
      <w:r>
        <w:rPr>
          <w:color w:val="auto"/>
          <w:highlight w:val="none"/>
        </w:rPr>
        <w:t>（1）发包人完成最终结清申请单的</w:t>
      </w:r>
      <w:r>
        <w:rPr>
          <w:rFonts w:hint="eastAsia"/>
          <w:color w:val="auto"/>
          <w:highlight w:val="none"/>
        </w:rPr>
        <w:t>审批</w:t>
      </w:r>
      <w:r>
        <w:rPr>
          <w:color w:val="auto"/>
          <w:highlight w:val="none"/>
        </w:rPr>
        <w:t>并颁发最终结清证书的期限：</w:t>
      </w:r>
      <w:r>
        <w:rPr>
          <w:rFonts w:hint="eastAsia"/>
          <w:color w:val="auto"/>
          <w:highlight w:val="none"/>
          <w:u w:val="single"/>
        </w:rPr>
        <w:t>28天</w:t>
      </w:r>
      <w:r>
        <w:rPr>
          <w:rFonts w:hint="eastAsia"/>
          <w:color w:val="auto"/>
          <w:highlight w:val="none"/>
        </w:rPr>
        <w:t>。</w:t>
      </w:r>
    </w:p>
    <w:p w14:paraId="1A96FDDA">
      <w:pPr>
        <w:adjustRightInd w:val="0"/>
        <w:snapToGrid w:val="0"/>
        <w:ind w:firstLine="480" w:firstLineChars="200"/>
        <w:rPr>
          <w:color w:val="auto"/>
          <w:highlight w:val="none"/>
        </w:rPr>
      </w:pPr>
      <w:r>
        <w:rPr>
          <w:color w:val="auto"/>
          <w:highlight w:val="none"/>
        </w:rPr>
        <w:t>（2）发包人完成支付的期限：</w:t>
      </w:r>
      <w:r>
        <w:rPr>
          <w:rFonts w:hint="eastAsia"/>
          <w:color w:val="auto"/>
          <w:highlight w:val="none"/>
        </w:rPr>
        <w:t>收到最终结清申请单付款申请后</w:t>
      </w:r>
      <w:r>
        <w:rPr>
          <w:rFonts w:hint="eastAsia"/>
          <w:color w:val="auto"/>
          <w:highlight w:val="none"/>
          <w:u w:val="single"/>
        </w:rPr>
        <w:t>60天</w:t>
      </w:r>
      <w:r>
        <w:rPr>
          <w:rFonts w:hint="eastAsia"/>
          <w:color w:val="auto"/>
          <w:highlight w:val="none"/>
        </w:rPr>
        <w:t>。</w:t>
      </w:r>
    </w:p>
    <w:p w14:paraId="39CF0802">
      <w:pPr>
        <w:keepNext/>
        <w:keepLines/>
        <w:adjustRightInd w:val="0"/>
        <w:snapToGrid w:val="0"/>
        <w:outlineLvl w:val="1"/>
        <w:rPr>
          <w:rFonts w:ascii="Arial"/>
          <w:b/>
          <w:bCs/>
          <w:color w:val="auto"/>
          <w:szCs w:val="32"/>
          <w:highlight w:val="none"/>
        </w:rPr>
      </w:pPr>
      <w:bookmarkStart w:id="939" w:name="_Toc23828"/>
      <w:bookmarkStart w:id="940" w:name="_Toc18001"/>
      <w:bookmarkStart w:id="941" w:name="_Toc119953758"/>
      <w:bookmarkStart w:id="942" w:name="_Toc256000091"/>
      <w:bookmarkStart w:id="943" w:name="_Toc583887621"/>
      <w:bookmarkStart w:id="944" w:name="_Toc90117815"/>
      <w:r>
        <w:rPr>
          <w:rFonts w:ascii="Arial"/>
          <w:b/>
          <w:bCs/>
          <w:color w:val="auto"/>
          <w:szCs w:val="32"/>
          <w:highlight w:val="none"/>
        </w:rPr>
        <w:t>1</w:t>
      </w:r>
      <w:r>
        <w:rPr>
          <w:rFonts w:hint="eastAsia" w:ascii="Arial"/>
          <w:b/>
          <w:bCs/>
          <w:color w:val="auto"/>
          <w:szCs w:val="32"/>
          <w:highlight w:val="none"/>
        </w:rPr>
        <w:t>5</w:t>
      </w:r>
      <w:r>
        <w:rPr>
          <w:rFonts w:ascii="Arial"/>
          <w:b/>
          <w:bCs/>
          <w:color w:val="auto"/>
          <w:szCs w:val="32"/>
          <w:highlight w:val="none"/>
        </w:rPr>
        <w:t xml:space="preserve">. </w:t>
      </w:r>
      <w:r>
        <w:rPr>
          <w:rFonts w:hint="eastAsia" w:ascii="Arial"/>
          <w:b/>
          <w:bCs/>
          <w:color w:val="auto"/>
          <w:szCs w:val="32"/>
          <w:highlight w:val="none"/>
        </w:rPr>
        <w:t>缺陷责任与保修责任</w:t>
      </w:r>
      <w:bookmarkEnd w:id="939"/>
      <w:bookmarkEnd w:id="940"/>
      <w:bookmarkEnd w:id="941"/>
      <w:bookmarkEnd w:id="942"/>
      <w:bookmarkEnd w:id="943"/>
      <w:bookmarkEnd w:id="944"/>
    </w:p>
    <w:p w14:paraId="6A73AB35">
      <w:pPr>
        <w:adjustRightInd w:val="0"/>
        <w:snapToGrid w:val="0"/>
        <w:ind w:firstLine="482" w:firstLineChars="200"/>
        <w:rPr>
          <w:b/>
          <w:color w:val="auto"/>
          <w:highlight w:val="none"/>
        </w:rPr>
      </w:pPr>
      <w:r>
        <w:rPr>
          <w:b/>
          <w:color w:val="auto"/>
          <w:highlight w:val="none"/>
        </w:rPr>
        <w:t>1</w:t>
      </w:r>
      <w:r>
        <w:rPr>
          <w:rFonts w:hint="eastAsia"/>
          <w:b/>
          <w:color w:val="auto"/>
          <w:highlight w:val="none"/>
        </w:rPr>
        <w:t>5</w:t>
      </w:r>
      <w:r>
        <w:rPr>
          <w:b/>
          <w:color w:val="auto"/>
          <w:highlight w:val="none"/>
        </w:rPr>
        <w:t xml:space="preserve">.1 </w:t>
      </w:r>
      <w:r>
        <w:rPr>
          <w:rFonts w:hint="eastAsia"/>
          <w:b/>
          <w:color w:val="auto"/>
          <w:highlight w:val="none"/>
        </w:rPr>
        <w:t>缺陷责任期</w:t>
      </w:r>
    </w:p>
    <w:p w14:paraId="5790B174">
      <w:pPr>
        <w:adjustRightInd w:val="0"/>
        <w:snapToGrid w:val="0"/>
        <w:ind w:firstLine="480" w:firstLineChars="200"/>
        <w:rPr>
          <w:color w:val="auto"/>
          <w:highlight w:val="none"/>
        </w:rPr>
      </w:pPr>
      <w:r>
        <w:rPr>
          <w:rFonts w:hint="eastAsia"/>
          <w:color w:val="auto"/>
          <w:highlight w:val="none"/>
        </w:rPr>
        <w:t xml:space="preserve"> 缺陷责任期</w:t>
      </w:r>
      <w:r>
        <w:rPr>
          <w:color w:val="auto"/>
          <w:highlight w:val="none"/>
        </w:rPr>
        <w:t>的期限：</w:t>
      </w:r>
      <w:r>
        <w:rPr>
          <w:rFonts w:hint="eastAsia"/>
          <w:color w:val="auto"/>
          <w:highlight w:val="none"/>
          <w:u w:val="single"/>
        </w:rPr>
        <w:t>执行通用合同条款</w:t>
      </w:r>
      <w:r>
        <w:rPr>
          <w:rFonts w:hint="eastAsia"/>
          <w:color w:val="auto"/>
          <w:highlight w:val="none"/>
        </w:rPr>
        <w:t>。</w:t>
      </w:r>
    </w:p>
    <w:p w14:paraId="08211C36">
      <w:pPr>
        <w:adjustRightInd w:val="0"/>
        <w:snapToGrid w:val="0"/>
        <w:ind w:firstLine="482" w:firstLineChars="200"/>
        <w:rPr>
          <w:b/>
          <w:color w:val="auto"/>
          <w:highlight w:val="none"/>
        </w:rPr>
      </w:pPr>
      <w:r>
        <w:rPr>
          <w:rFonts w:hint="eastAsia"/>
          <w:b/>
          <w:color w:val="auto"/>
          <w:highlight w:val="none"/>
        </w:rPr>
        <w:t>15.7 保修责任</w:t>
      </w:r>
    </w:p>
    <w:p w14:paraId="16B2068B">
      <w:pPr>
        <w:adjustRightInd w:val="0"/>
        <w:snapToGrid w:val="0"/>
        <w:ind w:firstLine="480" w:firstLineChars="200"/>
        <w:rPr>
          <w:color w:val="auto"/>
          <w:highlight w:val="none"/>
        </w:rPr>
      </w:pPr>
      <w:bookmarkStart w:id="945" w:name="_Toc90117816"/>
      <w:bookmarkStart w:id="946" w:name="_Toc30211"/>
      <w:bookmarkStart w:id="947" w:name="_Toc2034826594"/>
      <w:r>
        <w:rPr>
          <w:rFonts w:hint="eastAsia"/>
          <w:color w:val="auto"/>
          <w:highlight w:val="none"/>
        </w:rPr>
        <w:t>工程质量保修范围：</w:t>
      </w:r>
      <w:r>
        <w:rPr>
          <w:rFonts w:hint="eastAsia"/>
          <w:color w:val="auto"/>
          <w:highlight w:val="none"/>
          <w:u w:val="single"/>
        </w:rPr>
        <w:t>本合同承包范围，施工单位拒不履行保修义务或者拖延履行保修义务的，发包人有权按相关法律法规及制度规定进行追责及索赔</w:t>
      </w:r>
      <w:r>
        <w:rPr>
          <w:rFonts w:hint="eastAsia"/>
          <w:color w:val="auto"/>
          <w:highlight w:val="none"/>
        </w:rPr>
        <w:t>。</w:t>
      </w:r>
    </w:p>
    <w:p w14:paraId="21EA06AF">
      <w:pPr>
        <w:adjustRightInd w:val="0"/>
        <w:snapToGrid w:val="0"/>
        <w:ind w:firstLine="480" w:firstLineChars="200"/>
        <w:rPr>
          <w:color w:val="auto"/>
          <w:highlight w:val="none"/>
        </w:rPr>
      </w:pPr>
      <w:r>
        <w:rPr>
          <w:rFonts w:hint="eastAsia"/>
          <w:color w:val="auto"/>
          <w:highlight w:val="none"/>
        </w:rPr>
        <w:t>工程质量保修期限：</w:t>
      </w:r>
      <w:r>
        <w:rPr>
          <w:rFonts w:hint="eastAsia"/>
          <w:color w:val="auto"/>
          <w:highlight w:val="none"/>
          <w:u w:val="single"/>
        </w:rPr>
        <w:t>见合同附件</w:t>
      </w:r>
      <w:r>
        <w:rPr>
          <w:color w:val="auto"/>
          <w:highlight w:val="none"/>
          <w:u w:val="single"/>
        </w:rPr>
        <w:t>《工程质量保修书》</w:t>
      </w:r>
      <w:r>
        <w:rPr>
          <w:color w:val="auto"/>
          <w:highlight w:val="none"/>
        </w:rPr>
        <w:t>。</w:t>
      </w:r>
    </w:p>
    <w:p w14:paraId="63B501AE">
      <w:pPr>
        <w:spacing w:line="240" w:lineRule="auto"/>
        <w:rPr>
          <w:color w:val="auto"/>
          <w:highlight w:val="none"/>
          <w:u w:val="single"/>
        </w:rPr>
      </w:pPr>
      <w:r>
        <w:rPr>
          <w:rFonts w:hint="eastAsia"/>
          <w:color w:val="auto"/>
          <w:highlight w:val="none"/>
        </w:rPr>
        <w:t>工程质量保修责任：</w:t>
      </w:r>
      <w:r>
        <w:rPr>
          <w:rFonts w:hint="eastAsia"/>
          <w:color w:val="auto"/>
          <w:highlight w:val="none"/>
          <w:u w:val="single"/>
        </w:rPr>
        <w:t>见合同附件</w:t>
      </w:r>
      <w:r>
        <w:rPr>
          <w:color w:val="auto"/>
          <w:highlight w:val="none"/>
          <w:u w:val="single"/>
        </w:rPr>
        <w:t>《工程质量保修书》</w:t>
      </w:r>
      <w:r>
        <w:rPr>
          <w:rFonts w:hint="eastAsia"/>
          <w:color w:val="auto"/>
          <w:highlight w:val="none"/>
          <w:u w:val="single"/>
        </w:rPr>
        <w:t>。</w:t>
      </w:r>
    </w:p>
    <w:p w14:paraId="660B5D62">
      <w:pPr>
        <w:keepNext/>
        <w:keepLines/>
        <w:adjustRightInd w:val="0"/>
        <w:snapToGrid w:val="0"/>
        <w:outlineLvl w:val="1"/>
        <w:rPr>
          <w:rFonts w:ascii="Arial"/>
          <w:b/>
          <w:bCs/>
          <w:color w:val="auto"/>
          <w:szCs w:val="32"/>
          <w:highlight w:val="none"/>
        </w:rPr>
      </w:pPr>
      <w:bookmarkStart w:id="948" w:name="_Toc5702"/>
      <w:bookmarkStart w:id="949" w:name="_Toc119953759"/>
      <w:bookmarkStart w:id="950" w:name="_Toc256000092"/>
      <w:r>
        <w:rPr>
          <w:rFonts w:ascii="Arial"/>
          <w:b/>
          <w:bCs/>
          <w:color w:val="auto"/>
          <w:szCs w:val="32"/>
          <w:highlight w:val="none"/>
        </w:rPr>
        <w:t>16. 违约</w:t>
      </w:r>
      <w:bookmarkEnd w:id="945"/>
      <w:bookmarkEnd w:id="946"/>
      <w:bookmarkEnd w:id="947"/>
      <w:bookmarkEnd w:id="948"/>
      <w:bookmarkEnd w:id="949"/>
      <w:bookmarkEnd w:id="950"/>
    </w:p>
    <w:p w14:paraId="16A71F51">
      <w:pPr>
        <w:adjustRightInd w:val="0"/>
        <w:snapToGrid w:val="0"/>
        <w:ind w:firstLine="482" w:firstLineChars="200"/>
        <w:rPr>
          <w:b/>
          <w:color w:val="auto"/>
          <w:highlight w:val="none"/>
        </w:rPr>
      </w:pPr>
      <w:r>
        <w:rPr>
          <w:b/>
          <w:color w:val="auto"/>
          <w:highlight w:val="none"/>
        </w:rPr>
        <w:t>16.1 发包人违约</w:t>
      </w:r>
    </w:p>
    <w:p w14:paraId="0ECCA42D">
      <w:pPr>
        <w:adjustRightInd w:val="0"/>
        <w:snapToGrid w:val="0"/>
        <w:ind w:firstLine="480" w:firstLineChars="200"/>
        <w:rPr>
          <w:color w:val="auto"/>
          <w:highlight w:val="none"/>
        </w:rPr>
      </w:pPr>
      <w:r>
        <w:rPr>
          <w:color w:val="auto"/>
          <w:highlight w:val="none"/>
        </w:rPr>
        <w:t>16.1.3 因发包人违约解除合同</w:t>
      </w:r>
    </w:p>
    <w:p w14:paraId="510A09C7">
      <w:pPr>
        <w:adjustRightInd w:val="0"/>
        <w:snapToGrid w:val="0"/>
        <w:ind w:firstLine="480" w:firstLineChars="200"/>
        <w:rPr>
          <w:color w:val="auto"/>
          <w:highlight w:val="none"/>
        </w:rPr>
      </w:pPr>
      <w:r>
        <w:rPr>
          <w:color w:val="auto"/>
          <w:highlight w:val="none"/>
        </w:rPr>
        <w:t>关于</w:t>
      </w:r>
      <w:r>
        <w:rPr>
          <w:rFonts w:hint="eastAsia"/>
          <w:color w:val="auto"/>
          <w:highlight w:val="none"/>
        </w:rPr>
        <w:t>发</w:t>
      </w:r>
      <w:r>
        <w:rPr>
          <w:color w:val="auto"/>
          <w:highlight w:val="none"/>
        </w:rPr>
        <w:t>包人违约解除合同的特别约定</w:t>
      </w:r>
      <w:r>
        <w:rPr>
          <w:rFonts w:hint="eastAsia"/>
          <w:color w:val="auto"/>
          <w:highlight w:val="none"/>
        </w:rPr>
        <w:t>：</w:t>
      </w:r>
      <w:r>
        <w:rPr>
          <w:rFonts w:cs="Calibri"/>
          <w:color w:val="auto"/>
          <w:szCs w:val="20"/>
          <w:highlight w:val="none"/>
          <w:u w:val="single"/>
        </w:rPr>
        <w:t xml:space="preserve">  / </w:t>
      </w:r>
      <w:r>
        <w:rPr>
          <w:rFonts w:hint="eastAsia"/>
          <w:color w:val="auto"/>
          <w:highlight w:val="none"/>
        </w:rPr>
        <w:t>。</w:t>
      </w:r>
    </w:p>
    <w:p w14:paraId="1606991B">
      <w:pPr>
        <w:adjustRightInd w:val="0"/>
        <w:snapToGrid w:val="0"/>
        <w:ind w:firstLine="482" w:firstLineChars="200"/>
        <w:rPr>
          <w:b/>
          <w:color w:val="auto"/>
          <w:highlight w:val="none"/>
        </w:rPr>
      </w:pPr>
      <w:r>
        <w:rPr>
          <w:b/>
          <w:color w:val="auto"/>
          <w:highlight w:val="none"/>
        </w:rPr>
        <w:t>16.2 承包人违约</w:t>
      </w:r>
    </w:p>
    <w:p w14:paraId="1C59CD6B">
      <w:pPr>
        <w:adjustRightInd w:val="0"/>
        <w:snapToGrid w:val="0"/>
        <w:ind w:firstLine="480" w:firstLineChars="200"/>
        <w:rPr>
          <w:color w:val="auto"/>
          <w:highlight w:val="none"/>
        </w:rPr>
      </w:pPr>
      <w:r>
        <w:rPr>
          <w:color w:val="auto"/>
          <w:highlight w:val="none"/>
        </w:rPr>
        <w:t>16.2.2 承包人违约的责任</w:t>
      </w:r>
    </w:p>
    <w:p w14:paraId="2BDE7468">
      <w:pPr>
        <w:adjustRightInd w:val="0"/>
        <w:snapToGrid w:val="0"/>
        <w:ind w:firstLine="480" w:firstLineChars="200"/>
        <w:rPr>
          <w:color w:val="auto"/>
          <w:highlight w:val="none"/>
        </w:rPr>
      </w:pPr>
      <w:r>
        <w:rPr>
          <w:color w:val="auto"/>
          <w:highlight w:val="none"/>
        </w:rPr>
        <w:t>承包人违约责任的承担方式和计算方法</w:t>
      </w:r>
      <w:r>
        <w:rPr>
          <w:rFonts w:hint="eastAsia"/>
          <w:color w:val="auto"/>
          <w:highlight w:val="none"/>
        </w:rPr>
        <w:t>：</w:t>
      </w:r>
      <w:r>
        <w:rPr>
          <w:rFonts w:hint="eastAsia"/>
          <w:color w:val="auto"/>
          <w:highlight w:val="none"/>
          <w:u w:val="single"/>
        </w:rPr>
        <w:t>承包人违反本合同的约定，视情况每次支付1000元至10000元违约金（无指定条款或发包人的管理规定无相应考核条款时），发包人有关管理制度与合同约定的考核条款不一致的，以高者为准。其它违约情形约定：</w:t>
      </w:r>
    </w:p>
    <w:p w14:paraId="65A4CB38">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1）本工程具体分项工程完成时间应服从发包人的总体要求，如果因承包人原因导致实际进度与发包人要求的进度计划不符，承包人无措施或无法按工期完工或质量无法达到合同要求的，发包人有权将部分工程切出另行发包、调整部分内容由另一标段承包人实施、或要求承包人</w:t>
      </w:r>
      <w:r>
        <w:rPr>
          <w:rFonts w:ascii="宋体" w:hAnsi="宋体"/>
          <w:color w:val="auto"/>
          <w:szCs w:val="21"/>
          <w:highlight w:val="none"/>
          <w:u w:val="single"/>
        </w:rPr>
        <w:t>更换分包商或施工队</w:t>
      </w:r>
      <w:r>
        <w:rPr>
          <w:rFonts w:hint="eastAsia" w:ascii="宋体" w:hAnsi="宋体"/>
          <w:color w:val="auto"/>
          <w:szCs w:val="21"/>
          <w:highlight w:val="none"/>
          <w:u w:val="single"/>
        </w:rPr>
        <w:t>，承包人必须无条件服从和配合；此分项工程费用由发包人按实际发生费用从承包人的工程款中扣除，并加收</w:t>
      </w:r>
      <w:r>
        <w:rPr>
          <w:rFonts w:ascii="宋体" w:hAnsi="宋体"/>
          <w:color w:val="auto"/>
          <w:szCs w:val="21"/>
          <w:highlight w:val="none"/>
          <w:u w:val="single"/>
        </w:rPr>
        <w:t>10%的管理费。</w:t>
      </w:r>
    </w:p>
    <w:p w14:paraId="715DB3FA">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（2）承包人未按照程序报验的，每次向发包人支付1000元违约金；工序验收不合格的，每次向发包人支付2000元违约金。</w:t>
      </w:r>
    </w:p>
    <w:p w14:paraId="476EF857">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3）承包人在收到发包人按工程进度拨付的工程款后，应当及时向分包人拨付该分包项目相应的工程款，并按合同约定将安全生产费用支付给分包单位，并落实安全生产费用使用情况。承包人每月10日前把上月分包项目工程款支付情况向发包人项目经理报告，如因承包人自身原因不向分包人拨付分包工程款或少付分包工程款，造成现场停工或其他重大影响，由承包人承担由此造成的发包人全部损失，并对承包人扣除签约合同价款5%以内的违约金。</w:t>
      </w:r>
    </w:p>
    <w:p w14:paraId="5EA7C318">
      <w:pPr>
        <w:snapToGrid w:val="0"/>
        <w:ind w:firstLine="480" w:firstLineChars="200"/>
        <w:rPr>
          <w:rFonts w:ascii="宋体" w:hAnsi="宋体"/>
          <w:color w:val="auto"/>
          <w:szCs w:val="21"/>
          <w:highlight w:val="none"/>
          <w:u w:val="single"/>
        </w:rPr>
      </w:pPr>
      <w:r>
        <w:rPr>
          <w:rFonts w:ascii="宋体" w:hAnsi="宋体"/>
          <w:color w:val="auto"/>
          <w:szCs w:val="21"/>
          <w:highlight w:val="none"/>
          <w:u w:val="single"/>
        </w:rPr>
        <w:t>（</w:t>
      </w:r>
      <w:r>
        <w:rPr>
          <w:rFonts w:hint="eastAsia" w:ascii="宋体" w:hAnsi="宋体"/>
          <w:color w:val="auto"/>
          <w:szCs w:val="21"/>
          <w:highlight w:val="none"/>
          <w:u w:val="single"/>
        </w:rPr>
        <w:t>4</w:t>
      </w:r>
      <w:r>
        <w:rPr>
          <w:rFonts w:ascii="宋体" w:hAnsi="宋体"/>
          <w:color w:val="auto"/>
          <w:szCs w:val="21"/>
          <w:highlight w:val="none"/>
          <w:u w:val="single"/>
        </w:rPr>
        <w:t>）承包人分包行为不符合</w:t>
      </w:r>
      <w:r>
        <w:rPr>
          <w:rFonts w:hint="eastAsia" w:ascii="宋体" w:hAnsi="宋体"/>
          <w:color w:val="auto"/>
          <w:szCs w:val="21"/>
          <w:highlight w:val="none"/>
          <w:u w:val="single"/>
        </w:rPr>
        <w:t>《中国石化建设工程分包管理规定》</w:t>
      </w:r>
      <w:r>
        <w:rPr>
          <w:rFonts w:ascii="宋体" w:hAnsi="宋体"/>
          <w:color w:val="auto"/>
          <w:szCs w:val="21"/>
          <w:highlight w:val="none"/>
          <w:u w:val="single"/>
        </w:rPr>
        <w:t>及发包人管理规定，或对分包商管理不到位的，</w:t>
      </w:r>
      <w:r>
        <w:rPr>
          <w:rFonts w:hint="eastAsia" w:ascii="宋体" w:hAnsi="宋体"/>
          <w:color w:val="auto"/>
          <w:szCs w:val="21"/>
          <w:highlight w:val="none"/>
          <w:u w:val="single"/>
        </w:rPr>
        <w:t>每次支付</w:t>
      </w:r>
      <w:r>
        <w:rPr>
          <w:rFonts w:ascii="宋体" w:hAnsi="宋体"/>
          <w:color w:val="auto"/>
          <w:szCs w:val="21"/>
          <w:highlight w:val="none"/>
          <w:u w:val="single"/>
        </w:rPr>
        <w:t>1000-</w:t>
      </w:r>
      <w:r>
        <w:rPr>
          <w:rFonts w:hint="eastAsia" w:ascii="宋体" w:hAnsi="宋体"/>
          <w:color w:val="auto"/>
          <w:szCs w:val="21"/>
          <w:highlight w:val="none"/>
          <w:u w:val="single"/>
        </w:rPr>
        <w:t>5</w:t>
      </w:r>
      <w:r>
        <w:rPr>
          <w:rFonts w:ascii="宋体" w:hAnsi="宋体"/>
          <w:color w:val="auto"/>
          <w:szCs w:val="21"/>
          <w:highlight w:val="none"/>
          <w:u w:val="single"/>
        </w:rPr>
        <w:t>0000元</w:t>
      </w:r>
      <w:r>
        <w:rPr>
          <w:rFonts w:hint="eastAsia" w:ascii="宋体" w:hAnsi="宋体"/>
          <w:color w:val="auto"/>
          <w:szCs w:val="21"/>
          <w:highlight w:val="none"/>
          <w:u w:val="single"/>
        </w:rPr>
        <w:t>违约金</w:t>
      </w:r>
      <w:r>
        <w:rPr>
          <w:rFonts w:ascii="宋体" w:hAnsi="宋体"/>
          <w:color w:val="auto"/>
          <w:szCs w:val="21"/>
          <w:highlight w:val="none"/>
          <w:u w:val="single"/>
        </w:rPr>
        <w:t>；发生稳定、群体性事件</w:t>
      </w:r>
      <w:r>
        <w:rPr>
          <w:rFonts w:hint="eastAsia" w:ascii="宋体" w:hAnsi="宋体"/>
          <w:color w:val="auto"/>
          <w:szCs w:val="21"/>
          <w:highlight w:val="none"/>
          <w:u w:val="single"/>
        </w:rPr>
        <w:t>、质量安全事故</w:t>
      </w:r>
      <w:r>
        <w:rPr>
          <w:rFonts w:ascii="宋体" w:hAnsi="宋体"/>
          <w:color w:val="auto"/>
          <w:szCs w:val="21"/>
          <w:highlight w:val="none"/>
          <w:u w:val="single"/>
        </w:rPr>
        <w:t>，或违规分包、转包等，视情节严重程度，</w:t>
      </w:r>
      <w:r>
        <w:rPr>
          <w:rFonts w:hint="eastAsia" w:ascii="宋体" w:hAnsi="宋体"/>
          <w:color w:val="auto"/>
          <w:szCs w:val="21"/>
          <w:highlight w:val="none"/>
          <w:u w:val="single"/>
        </w:rPr>
        <w:t>每项支付承包人签约合同价款1%至5%的违约金，</w:t>
      </w:r>
      <w:r>
        <w:rPr>
          <w:rFonts w:ascii="宋体" w:hAnsi="宋体"/>
          <w:color w:val="auto"/>
          <w:szCs w:val="21"/>
          <w:highlight w:val="none"/>
          <w:u w:val="single"/>
        </w:rPr>
        <w:t>并要求更换分包商或施工队，终止分包合同，直至终止主合同，并清退出厂。</w:t>
      </w:r>
    </w:p>
    <w:p w14:paraId="10A93711">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5）承包人需按《茂名石化保障工人工资支付实施方案》及《解决工人欠薪讨薪问题长效机制》等规定解决农民工工资支付问题，按规定开设工人工资保证金及工人工资支付专户，落实工人工资支付规定，如经查实承包人及其分包商拖欠农民工工资的，造成社会影响或影响正常办公、工作、生产等的责任和后果完全由承包人承担，视影响责任和后果对承包人支付5-10万元违约金，必要时发包人对承包人所属农民工直接支付工资，所需款项在合同结算价款中扣除，直至终止合同。</w:t>
      </w:r>
    </w:p>
    <w:p w14:paraId="19FAD90F">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6）承包人未经发包人同意擅自修改或变更设计、施工组织设计、安全技术措施、现有设施保护措施、施工方案，除承包人擅自变更设计发生的费用和由此导致发包人的直接损失由承包人承担外；承包人每次违约须支付5000元违约金；且发包人保留责令承包人改正，追究承包人因变更引起的质量、工期等违约责任的权力；</w:t>
      </w:r>
    </w:p>
    <w:p w14:paraId="43299E16">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（7）施工中忽视安全，经发包人代表提出后又不立即采取有效措施，承包人每次违约须支付500元至1000元违约金。</w:t>
      </w:r>
    </w:p>
    <w:p w14:paraId="47267EDB">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（8）承包人应严格对原材料的管理，认真验证材料的质量证明文件和材质标识，对因标识不清而增加的金属成份分析（PMI）所造成的费用由承包人承担；</w:t>
      </w:r>
    </w:p>
    <w:p w14:paraId="77FEACDF">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（9）项目建成投用后，承包人应在</w:t>
      </w:r>
      <w:r>
        <w:rPr>
          <w:rFonts w:hint="eastAsia" w:ascii="宋体" w:hAnsi="宋体"/>
          <w:color w:val="auto"/>
          <w:szCs w:val="21"/>
          <w:highlight w:val="none"/>
          <w:u w:val="single"/>
          <w:lang w:val="en-US" w:eastAsia="zh-CN"/>
        </w:rPr>
        <w:t>45</w:t>
      </w:r>
      <w:r>
        <w:rPr>
          <w:rFonts w:hint="eastAsia" w:ascii="宋体" w:hAnsi="宋体"/>
          <w:color w:val="auto"/>
          <w:szCs w:val="21"/>
          <w:highlight w:val="none"/>
          <w:u w:val="single"/>
        </w:rPr>
        <w:t>天时间内【工程费结算起点时间为项目建成投用（生产装置产出合格产品的时间），如项目存在尾项工程，需延迟编制及递交结算，承包人应提前报发包人批准】提交完整合格的结算书；如果由于承包人原因不能按期完成结算书编制工作或延误了结算书传递，承包人须支付违约金，视时间长短违约金为：超时15天以内，违约金一类项目为10000元、二类项目为5000元、三类项目为3000元；若超时15天以上，违约金成倍扣除,且每15天考核一次，直至将尾款全部扣完；违约金直接在工程结算金额中扣除。对高质量提前完成结算资料递交，有效提高了结算审核效率的，可给予1000-5000元奖励。</w:t>
      </w:r>
    </w:p>
    <w:p w14:paraId="465A8B21">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10）工程结算时凡造成审减率高属于承包人责任，编制误差率超出允许范围的，扣减金额直接抵减工程结算造价，冲减工程成本。扣减金额计算方法如下：5%＜审减率≤10%的，超出部分的按照5%扣除；10%＜审减率≤20%的，超出部分的按照10%扣除；20%＜审减率≤30%的，超出部分的按照20%扣除；审减率＞30%的，超出部分的按照30%扣除。</w:t>
      </w:r>
    </w:p>
    <w:p w14:paraId="670199C4">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（11）工程交工验收合格后90天内，承包人必须将符合发包人要求的交工资料上报给发包人，否则每延迟一天支付</w:t>
      </w:r>
      <w:r>
        <w:rPr>
          <w:rFonts w:ascii="宋体" w:hAnsi="宋体"/>
          <w:color w:val="auto"/>
          <w:szCs w:val="21"/>
          <w:highlight w:val="none"/>
          <w:u w:val="single"/>
        </w:rPr>
        <w:t>500元违约金</w:t>
      </w:r>
      <w:r>
        <w:rPr>
          <w:rFonts w:hint="eastAsia" w:ascii="宋体" w:hAnsi="宋体"/>
          <w:color w:val="auto"/>
          <w:szCs w:val="21"/>
          <w:highlight w:val="none"/>
          <w:u w:val="single"/>
        </w:rPr>
        <w:t>。</w:t>
      </w:r>
    </w:p>
    <w:p w14:paraId="56E6F460">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12）本合同履行期内，对项目管理团队进行面试审核中，如果项目主要负责人不符合面试审核要求的，要按照要求在约定期限内无条件更换，不按要求更换或更换人员仍然不符合合同要求的，则发包人有权按照拒绝更换人员加倍扣违约金，并有权将协议内未实施全部或部分项目切出另行发包。承包人人员面试合格率达不到80%，每降低1%，考核1分。合格率超过90%，每超过1%，奖励1分（奖扣5分封顶）。</w:t>
      </w:r>
    </w:p>
    <w:p w14:paraId="204E29FE">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如果首次面试人员不是合同约定人员并且未办理变更的，按照擅自更换人员扣违约金。</w:t>
      </w:r>
    </w:p>
    <w:p w14:paraId="3549B6DC">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13）在合同履行期内，发包人按照《中国石化工程建设项目承包商QHSE体系符合性评审指南（试行）》对承包人进行准入、过程审核，评审结果为严重不合格的，或评审结果为不合格后在约定期限内整改不到位复审仍然为不合格的，则发包人有权终止合同，并对承包人进行清退，或对合同内未实施的全部或部分工作切出另行发包。</w:t>
      </w:r>
    </w:p>
    <w:p w14:paraId="47B7DACC">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（14）承包人需严格遵守《茂名石化安全生产“第1号”工作令专项考核办法》，如有违反按考核办法考核。</w:t>
      </w:r>
    </w:p>
    <w:p w14:paraId="6E36C8B2">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15）为了加强对承包人的管理，承包人必须严格执行《茂名石化承包商管理程序》等相关规定。且必须遵守发包人制定的有关管理规定，如承包人不服从发包人及监理工程师的管理，在施工过程中违反合同及发包人制定的有关管理规定的，发包人有权根据合同及相关管理规定对承包人进行考核。</w:t>
      </w:r>
    </w:p>
    <w:p w14:paraId="69A765A8">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（16）承包人应严格遵守质量管理要求，熟知《茂名石化工程建设质量红线清单》，对触碰红线的直接责任人扣12 分，列入黑名单，管理责任人扣6 分，承包人每次支付10000元违约金。其他质量考核条款详见附件12。</w:t>
      </w:r>
    </w:p>
    <w:p w14:paraId="4C862804">
      <w:pPr>
        <w:snapToGrid w:val="0"/>
        <w:ind w:firstLine="480" w:firstLineChars="200"/>
        <w:rPr>
          <w:rFonts w:ascii="宋体" w:hAnsi="宋体"/>
          <w:color w:val="auto"/>
          <w:szCs w:val="21"/>
          <w:highlight w:val="none"/>
          <w:u w:val="single"/>
        </w:rPr>
      </w:pPr>
      <w:r>
        <w:rPr>
          <w:rFonts w:hint="eastAsia" w:ascii="宋体" w:hAnsi="宋体"/>
          <w:color w:val="auto"/>
          <w:szCs w:val="21"/>
          <w:highlight w:val="none"/>
          <w:u w:val="single"/>
        </w:rPr>
        <w:t>（17）承包人需教育施工人员熟知《茂名石化员工救命法则》、《施工作业“零容忍条款”》，违反零容忍条款任何一条都将立即责令停工整顿，对责任者个人一次性计12 分，列入黑名单，对承包人一次性扣12 分，每扣1分支付5000元违约金。安全考核条款详见附件10。</w:t>
      </w:r>
    </w:p>
    <w:p w14:paraId="0DA0A913">
      <w:pPr>
        <w:adjustRightInd w:val="0"/>
        <w:snapToGrid w:val="0"/>
        <w:ind w:firstLine="480" w:firstLineChars="200"/>
        <w:rPr>
          <w:color w:val="auto"/>
          <w:highlight w:val="none"/>
        </w:rPr>
      </w:pPr>
      <w:r>
        <w:rPr>
          <w:color w:val="auto"/>
          <w:highlight w:val="none"/>
        </w:rPr>
        <w:t>16.2.3 因承包人违约解除合同</w:t>
      </w:r>
    </w:p>
    <w:p w14:paraId="6F57C736">
      <w:pPr>
        <w:adjustRightInd w:val="0"/>
        <w:snapToGrid w:val="0"/>
        <w:ind w:firstLine="480" w:firstLineChars="200"/>
        <w:rPr>
          <w:color w:val="auto"/>
          <w:highlight w:val="none"/>
        </w:rPr>
      </w:pPr>
      <w:r>
        <w:rPr>
          <w:color w:val="auto"/>
          <w:highlight w:val="none"/>
        </w:rPr>
        <w:t>关于承包人违约解除合同的特别约定</w:t>
      </w:r>
      <w:r>
        <w:rPr>
          <w:rFonts w:hint="eastAsia"/>
          <w:color w:val="auto"/>
          <w:highlight w:val="none"/>
        </w:rPr>
        <w:t>：</w:t>
      </w:r>
      <w:r>
        <w:rPr>
          <w:rFonts w:hint="eastAsia"/>
          <w:color w:val="auto"/>
          <w:highlight w:val="none"/>
          <w:u w:val="single"/>
        </w:rPr>
        <w:t>执行通用合同条款</w:t>
      </w:r>
      <w:r>
        <w:rPr>
          <w:rFonts w:hint="eastAsia"/>
          <w:color w:val="auto"/>
          <w:highlight w:val="none"/>
        </w:rPr>
        <w:t>。</w:t>
      </w:r>
    </w:p>
    <w:p w14:paraId="7602B768">
      <w:pPr>
        <w:adjustRightInd w:val="0"/>
        <w:snapToGrid w:val="0"/>
        <w:ind w:firstLine="480" w:firstLineChars="200"/>
        <w:rPr>
          <w:color w:val="auto"/>
          <w:highlight w:val="none"/>
        </w:rPr>
      </w:pPr>
      <w:r>
        <w:rPr>
          <w:color w:val="auto"/>
          <w:highlight w:val="none"/>
        </w:rPr>
        <w:t>发包人</w:t>
      </w:r>
      <w:r>
        <w:rPr>
          <w:rFonts w:hint="eastAsia"/>
          <w:color w:val="auto"/>
          <w:highlight w:val="none"/>
        </w:rPr>
        <w:t>继续</w:t>
      </w:r>
      <w:r>
        <w:rPr>
          <w:color w:val="auto"/>
          <w:highlight w:val="none"/>
        </w:rPr>
        <w:t>使用承包人在施工现场的材料、设备、临时工程、承包人文件和由承包人或以其名义编制的其他文件</w:t>
      </w:r>
      <w:r>
        <w:rPr>
          <w:rFonts w:hint="eastAsia"/>
          <w:color w:val="auto"/>
          <w:highlight w:val="none"/>
        </w:rPr>
        <w:t>的费用承担方式</w:t>
      </w:r>
      <w:r>
        <w:rPr>
          <w:color w:val="auto"/>
          <w:highlight w:val="none"/>
        </w:rPr>
        <w:t>：</w:t>
      </w:r>
      <w:r>
        <w:rPr>
          <w:rFonts w:hint="eastAsia"/>
          <w:color w:val="auto"/>
          <w:highlight w:val="none"/>
          <w:u w:val="single"/>
        </w:rPr>
        <w:t>承包人应无条件给与配合，费用另行协商</w:t>
      </w:r>
      <w:r>
        <w:rPr>
          <w:rFonts w:hint="eastAsia"/>
          <w:color w:val="auto"/>
          <w:highlight w:val="none"/>
        </w:rPr>
        <w:t>。</w:t>
      </w:r>
    </w:p>
    <w:p w14:paraId="368B0F0D">
      <w:pPr>
        <w:adjustRightInd w:val="0"/>
        <w:snapToGrid w:val="0"/>
        <w:ind w:firstLine="480" w:firstLineChars="200"/>
        <w:rPr>
          <w:color w:val="auto"/>
          <w:highlight w:val="none"/>
        </w:rPr>
      </w:pPr>
      <w:r>
        <w:rPr>
          <w:color w:val="auto"/>
          <w:highlight w:val="none"/>
        </w:rPr>
        <w:t>16.2.3 因承包人违约解除合同</w:t>
      </w:r>
    </w:p>
    <w:p w14:paraId="5F66D5A4">
      <w:pPr>
        <w:adjustRightInd w:val="0"/>
        <w:snapToGrid w:val="0"/>
        <w:ind w:firstLine="480" w:firstLineChars="200"/>
        <w:rPr>
          <w:color w:val="auto"/>
          <w:highlight w:val="none"/>
        </w:rPr>
      </w:pPr>
      <w:r>
        <w:rPr>
          <w:color w:val="auto"/>
          <w:highlight w:val="none"/>
        </w:rPr>
        <w:t>关于承包人违约解除合同的特别约定</w:t>
      </w:r>
      <w:r>
        <w:rPr>
          <w:rFonts w:hint="eastAsia"/>
          <w:color w:val="auto"/>
          <w:highlight w:val="none"/>
        </w:rPr>
        <w:t>：</w:t>
      </w:r>
      <w:r>
        <w:rPr>
          <w:rFonts w:hint="eastAsia"/>
          <w:color w:val="auto"/>
          <w:highlight w:val="none"/>
          <w:u w:val="single"/>
        </w:rPr>
        <w:t>执行通用合同条款</w:t>
      </w:r>
      <w:r>
        <w:rPr>
          <w:rFonts w:hint="eastAsia"/>
          <w:color w:val="auto"/>
          <w:highlight w:val="none"/>
        </w:rPr>
        <w:t>。</w:t>
      </w:r>
    </w:p>
    <w:p w14:paraId="6FE3E8B4">
      <w:pPr>
        <w:adjustRightInd w:val="0"/>
        <w:snapToGrid w:val="0"/>
        <w:ind w:firstLine="480" w:firstLineChars="200"/>
        <w:rPr>
          <w:color w:val="auto"/>
          <w:highlight w:val="none"/>
        </w:rPr>
      </w:pPr>
      <w:r>
        <w:rPr>
          <w:color w:val="auto"/>
          <w:highlight w:val="none"/>
        </w:rPr>
        <w:t>发包人</w:t>
      </w:r>
      <w:r>
        <w:rPr>
          <w:rFonts w:hint="eastAsia"/>
          <w:color w:val="auto"/>
          <w:highlight w:val="none"/>
        </w:rPr>
        <w:t>继续</w:t>
      </w:r>
      <w:r>
        <w:rPr>
          <w:color w:val="auto"/>
          <w:highlight w:val="none"/>
        </w:rPr>
        <w:t>使用承包人在施工现场的材料、设备、临时工程、承包人文件和由承包人或以其名义编制的其他文件</w:t>
      </w:r>
      <w:r>
        <w:rPr>
          <w:rFonts w:hint="eastAsia"/>
          <w:color w:val="auto"/>
          <w:highlight w:val="none"/>
        </w:rPr>
        <w:t>的费用承担方式</w:t>
      </w:r>
      <w:r>
        <w:rPr>
          <w:color w:val="auto"/>
          <w:highlight w:val="none"/>
        </w:rPr>
        <w:t>：</w:t>
      </w:r>
      <w:r>
        <w:rPr>
          <w:rFonts w:hint="eastAsia"/>
          <w:color w:val="auto"/>
          <w:highlight w:val="none"/>
          <w:u w:val="single"/>
        </w:rPr>
        <w:t>承包人应无条件给与配合，费用另行协商</w:t>
      </w:r>
      <w:r>
        <w:rPr>
          <w:rFonts w:hint="eastAsia"/>
          <w:color w:val="auto"/>
          <w:highlight w:val="none"/>
        </w:rPr>
        <w:t>。</w:t>
      </w:r>
    </w:p>
    <w:p w14:paraId="325B7DF3">
      <w:pPr>
        <w:keepNext/>
        <w:keepLines/>
        <w:adjustRightInd w:val="0"/>
        <w:snapToGrid w:val="0"/>
        <w:outlineLvl w:val="1"/>
        <w:rPr>
          <w:rFonts w:ascii="Arial"/>
          <w:b/>
          <w:bCs/>
          <w:color w:val="auto"/>
          <w:szCs w:val="32"/>
          <w:highlight w:val="none"/>
        </w:rPr>
      </w:pPr>
      <w:bookmarkStart w:id="951" w:name="_Toc90117817"/>
      <w:bookmarkStart w:id="952" w:name="_Toc16106"/>
      <w:bookmarkStart w:id="953" w:name="_Toc25393"/>
      <w:bookmarkStart w:id="954" w:name="_Toc1225913421"/>
      <w:bookmarkStart w:id="955" w:name="_Toc119953760"/>
      <w:bookmarkStart w:id="956" w:name="_Toc256000093"/>
      <w:r>
        <w:rPr>
          <w:rFonts w:hint="eastAsia" w:ascii="Arial"/>
          <w:b/>
          <w:bCs/>
          <w:color w:val="auto"/>
          <w:szCs w:val="32"/>
          <w:highlight w:val="none"/>
        </w:rPr>
        <w:t>17. 不可抗力</w:t>
      </w:r>
      <w:bookmarkEnd w:id="951"/>
      <w:bookmarkEnd w:id="952"/>
      <w:bookmarkEnd w:id="953"/>
      <w:bookmarkEnd w:id="954"/>
      <w:bookmarkEnd w:id="955"/>
      <w:bookmarkEnd w:id="956"/>
    </w:p>
    <w:p w14:paraId="66425E6A">
      <w:pPr>
        <w:adjustRightInd w:val="0"/>
        <w:snapToGrid w:val="0"/>
        <w:ind w:firstLine="482" w:firstLineChars="200"/>
        <w:rPr>
          <w:b/>
          <w:color w:val="auto"/>
          <w:highlight w:val="none"/>
        </w:rPr>
      </w:pPr>
      <w:r>
        <w:rPr>
          <w:rFonts w:hint="eastAsia"/>
          <w:b/>
          <w:color w:val="auto"/>
          <w:highlight w:val="none"/>
        </w:rPr>
        <w:t>17.1 不可抗力的确认</w:t>
      </w:r>
    </w:p>
    <w:p w14:paraId="76E8FABB">
      <w:pPr>
        <w:adjustRightInd w:val="0"/>
        <w:snapToGrid w:val="0"/>
        <w:ind w:firstLine="480" w:firstLineChars="200"/>
        <w:rPr>
          <w:color w:val="auto"/>
          <w:highlight w:val="none"/>
        </w:rPr>
      </w:pPr>
      <w:r>
        <w:rPr>
          <w:rFonts w:hint="eastAsia"/>
          <w:color w:val="auto"/>
          <w:highlight w:val="none"/>
        </w:rPr>
        <w:t>17.1.1除通用合同条款约定的不可抗力事件外，视为不可抗力的其他情形：</w:t>
      </w:r>
      <w:r>
        <w:rPr>
          <w:rFonts w:hint="eastAsia"/>
          <w:color w:val="auto"/>
          <w:highlight w:val="none"/>
          <w:u w:val="single"/>
        </w:rPr>
        <w:t>50年一遇及以上的风、雨、雪、洪水且对工程进度造成实质影响，以政府气象部门出具的证明文件为准。特殊疫情对工程进度造成实质性影响，以政府主管部门出具证明文件为准</w:t>
      </w:r>
      <w:r>
        <w:rPr>
          <w:rFonts w:hint="eastAsia"/>
          <w:color w:val="auto"/>
          <w:highlight w:val="none"/>
        </w:rPr>
        <w:t>。</w:t>
      </w:r>
    </w:p>
    <w:p w14:paraId="53BB3652">
      <w:pPr>
        <w:adjustRightInd w:val="0"/>
        <w:snapToGrid w:val="0"/>
        <w:ind w:firstLine="482" w:firstLineChars="200"/>
        <w:rPr>
          <w:b/>
          <w:color w:val="auto"/>
          <w:highlight w:val="none"/>
        </w:rPr>
      </w:pPr>
      <w:r>
        <w:rPr>
          <w:rFonts w:hint="eastAsia"/>
          <w:b/>
          <w:color w:val="auto"/>
          <w:highlight w:val="none"/>
        </w:rPr>
        <w:t>17.3 不可抗力后果及其处理</w:t>
      </w:r>
    </w:p>
    <w:p w14:paraId="42C0A7E0">
      <w:pPr>
        <w:adjustRightInd w:val="0"/>
        <w:snapToGrid w:val="0"/>
        <w:ind w:firstLine="480" w:firstLineChars="200"/>
        <w:rPr>
          <w:color w:val="auto"/>
          <w:highlight w:val="none"/>
        </w:rPr>
      </w:pPr>
      <w:r>
        <w:rPr>
          <w:rFonts w:hint="eastAsia"/>
          <w:color w:val="auto"/>
          <w:highlight w:val="none"/>
        </w:rPr>
        <w:t>合同当事人承担不可抗力引起的后果及造成的损失的约定：</w:t>
      </w:r>
      <w:r>
        <w:rPr>
          <w:rFonts w:hint="eastAsia"/>
          <w:color w:val="auto"/>
          <w:highlight w:val="none"/>
          <w:u w:val="single"/>
        </w:rPr>
        <w:t xml:space="preserve"> 不可抗力发生后，承包人应迅速采取措施，尽力减少损失, 并在24小时内向发包人驻工地代表通报受害情况，灾害继续发生，承包人应每隔五天向发包人驻工地代表报告一次灾害情况，直到灾害结束。发包人应对灾害的处理提供必要条件。因灾害造成的损失和发生的费用由承发包双方分别承担: 工程本身的损害由发包人承担；人员伤亡由其所在单位负责，并承担相应的费用； 造成承包人设备、机械的损坏及停工、窝工等损失，承包人承担； 灾害过后清理、修复工作的责任及费用承担，由承发包双方另签补充协议约定</w:t>
      </w:r>
      <w:r>
        <w:rPr>
          <w:color w:val="auto"/>
          <w:highlight w:val="none"/>
        </w:rPr>
        <w:t>。</w:t>
      </w:r>
    </w:p>
    <w:p w14:paraId="6E8C7E1F">
      <w:pPr>
        <w:keepNext/>
        <w:keepLines/>
        <w:adjustRightInd w:val="0"/>
        <w:snapToGrid w:val="0"/>
        <w:jc w:val="left"/>
        <w:outlineLvl w:val="1"/>
        <w:rPr>
          <w:rFonts w:ascii="Arial"/>
          <w:b/>
          <w:bCs/>
          <w:color w:val="auto"/>
          <w:szCs w:val="32"/>
          <w:highlight w:val="none"/>
        </w:rPr>
      </w:pPr>
      <w:bookmarkStart w:id="957" w:name="_Toc1756372851"/>
      <w:bookmarkStart w:id="958" w:name="_Toc90117818"/>
      <w:bookmarkStart w:id="959" w:name="_Toc27682"/>
      <w:bookmarkStart w:id="960" w:name="_Toc119953761"/>
      <w:bookmarkStart w:id="961" w:name="_Toc26153"/>
      <w:bookmarkStart w:id="962" w:name="_Toc256000094"/>
      <w:r>
        <w:rPr>
          <w:rFonts w:ascii="Arial"/>
          <w:b/>
          <w:bCs/>
          <w:color w:val="auto"/>
          <w:szCs w:val="32"/>
          <w:highlight w:val="none"/>
        </w:rPr>
        <w:t>18. 保险</w:t>
      </w:r>
      <w:bookmarkEnd w:id="957"/>
      <w:bookmarkEnd w:id="958"/>
      <w:bookmarkEnd w:id="959"/>
      <w:bookmarkEnd w:id="960"/>
      <w:bookmarkEnd w:id="961"/>
      <w:bookmarkEnd w:id="962"/>
    </w:p>
    <w:p w14:paraId="37910C6A">
      <w:pPr>
        <w:adjustRightInd w:val="0"/>
        <w:snapToGrid w:val="0"/>
        <w:ind w:firstLine="482" w:firstLineChars="200"/>
        <w:rPr>
          <w:b/>
          <w:color w:val="auto"/>
          <w:highlight w:val="none"/>
        </w:rPr>
      </w:pPr>
      <w:r>
        <w:rPr>
          <w:b/>
          <w:color w:val="auto"/>
          <w:highlight w:val="none"/>
        </w:rPr>
        <w:t>18.1</w:t>
      </w:r>
      <w:r>
        <w:rPr>
          <w:rFonts w:hint="eastAsia"/>
          <w:b/>
          <w:color w:val="auto"/>
          <w:highlight w:val="none"/>
        </w:rPr>
        <w:t xml:space="preserve"> </w:t>
      </w:r>
      <w:r>
        <w:rPr>
          <w:b/>
          <w:color w:val="auto"/>
          <w:highlight w:val="none"/>
        </w:rPr>
        <w:t>工程保险</w:t>
      </w:r>
    </w:p>
    <w:p w14:paraId="56489E58">
      <w:pPr>
        <w:adjustRightInd w:val="0"/>
        <w:snapToGrid w:val="0"/>
        <w:ind w:firstLine="480" w:firstLineChars="200"/>
        <w:rPr>
          <w:color w:val="auto"/>
          <w:highlight w:val="none"/>
        </w:rPr>
      </w:pPr>
      <w:r>
        <w:rPr>
          <w:color w:val="auto"/>
          <w:highlight w:val="none"/>
        </w:rPr>
        <w:t>关于工程保险的特别约定：</w:t>
      </w:r>
      <w:r>
        <w:rPr>
          <w:rFonts w:hint="eastAsia"/>
          <w:color w:val="auto"/>
          <w:highlight w:val="none"/>
          <w:u w:val="single"/>
        </w:rPr>
        <w:t>执行通用合同条款</w:t>
      </w:r>
      <w:r>
        <w:rPr>
          <w:color w:val="auto"/>
          <w:highlight w:val="none"/>
        </w:rPr>
        <w:t>。</w:t>
      </w:r>
    </w:p>
    <w:p w14:paraId="6A1CF404">
      <w:pPr>
        <w:adjustRightInd w:val="0"/>
        <w:snapToGrid w:val="0"/>
        <w:ind w:firstLine="482" w:firstLineChars="200"/>
        <w:rPr>
          <w:b/>
          <w:color w:val="auto"/>
          <w:highlight w:val="none"/>
        </w:rPr>
      </w:pPr>
      <w:r>
        <w:rPr>
          <w:b/>
          <w:color w:val="auto"/>
          <w:highlight w:val="none"/>
        </w:rPr>
        <w:t>18.3</w:t>
      </w:r>
      <w:r>
        <w:rPr>
          <w:rFonts w:hint="eastAsia"/>
          <w:b/>
          <w:color w:val="auto"/>
          <w:highlight w:val="none"/>
        </w:rPr>
        <w:t xml:space="preserve"> </w:t>
      </w:r>
      <w:r>
        <w:rPr>
          <w:b/>
          <w:color w:val="auto"/>
          <w:highlight w:val="none"/>
        </w:rPr>
        <w:t>其他保险</w:t>
      </w:r>
    </w:p>
    <w:p w14:paraId="52BDA8C4">
      <w:pPr>
        <w:adjustRightInd w:val="0"/>
        <w:snapToGrid w:val="0"/>
        <w:ind w:firstLine="480" w:firstLineChars="200"/>
        <w:rPr>
          <w:color w:val="auto"/>
          <w:highlight w:val="none"/>
        </w:rPr>
      </w:pPr>
      <w:r>
        <w:rPr>
          <w:color w:val="auto"/>
          <w:highlight w:val="none"/>
        </w:rPr>
        <w:t>关于其他保险的约定：</w:t>
      </w:r>
      <w:r>
        <w:rPr>
          <w:rFonts w:hint="eastAsia"/>
          <w:color w:val="auto"/>
          <w:highlight w:val="none"/>
          <w:u w:val="single"/>
        </w:rPr>
        <w:t>按中国石化相关文件执行</w:t>
      </w:r>
      <w:r>
        <w:rPr>
          <w:color w:val="auto"/>
          <w:highlight w:val="none"/>
        </w:rPr>
        <w:t>。</w:t>
      </w:r>
    </w:p>
    <w:p w14:paraId="1581AC74">
      <w:pPr>
        <w:adjustRightInd w:val="0"/>
        <w:snapToGrid w:val="0"/>
        <w:ind w:firstLine="480" w:firstLineChars="200"/>
        <w:rPr>
          <w:color w:val="auto"/>
          <w:highlight w:val="none"/>
        </w:rPr>
      </w:pPr>
      <w:r>
        <w:rPr>
          <w:color w:val="auto"/>
          <w:highlight w:val="none"/>
        </w:rPr>
        <w:t>承包人是否应为其施工设备等办理</w:t>
      </w:r>
      <w:r>
        <w:rPr>
          <w:rFonts w:hint="eastAsia"/>
          <w:color w:val="auto"/>
          <w:highlight w:val="none"/>
        </w:rPr>
        <w:t>财产</w:t>
      </w:r>
      <w:r>
        <w:rPr>
          <w:color w:val="auto"/>
          <w:highlight w:val="none"/>
        </w:rPr>
        <w:t>保险</w:t>
      </w:r>
      <w:r>
        <w:rPr>
          <w:rFonts w:hint="eastAsia"/>
          <w:color w:val="auto"/>
          <w:highlight w:val="none"/>
        </w:rPr>
        <w:t>的约定</w:t>
      </w:r>
      <w:r>
        <w:rPr>
          <w:color w:val="auto"/>
          <w:highlight w:val="none"/>
        </w:rPr>
        <w:t>：</w:t>
      </w:r>
      <w:r>
        <w:rPr>
          <w:rFonts w:hint="eastAsia"/>
          <w:color w:val="auto"/>
          <w:highlight w:val="none"/>
          <w:u w:val="single"/>
        </w:rPr>
        <w:t>执行通用合同条款</w:t>
      </w:r>
      <w:r>
        <w:rPr>
          <w:color w:val="auto"/>
          <w:highlight w:val="none"/>
        </w:rPr>
        <w:t>。</w:t>
      </w:r>
    </w:p>
    <w:p w14:paraId="510AB47F">
      <w:pPr>
        <w:adjustRightInd w:val="0"/>
        <w:snapToGrid w:val="0"/>
        <w:ind w:firstLine="482" w:firstLineChars="200"/>
        <w:rPr>
          <w:b/>
          <w:color w:val="auto"/>
          <w:highlight w:val="none"/>
        </w:rPr>
      </w:pPr>
      <w:r>
        <w:rPr>
          <w:b/>
          <w:color w:val="auto"/>
          <w:highlight w:val="none"/>
        </w:rPr>
        <w:t>18.7</w:t>
      </w:r>
      <w:r>
        <w:rPr>
          <w:rFonts w:hint="eastAsia"/>
          <w:b/>
          <w:color w:val="auto"/>
          <w:highlight w:val="none"/>
        </w:rPr>
        <w:t xml:space="preserve"> </w:t>
      </w:r>
      <w:r>
        <w:rPr>
          <w:b/>
          <w:color w:val="auto"/>
          <w:highlight w:val="none"/>
        </w:rPr>
        <w:t>通知义务</w:t>
      </w:r>
    </w:p>
    <w:p w14:paraId="1AFA87D1">
      <w:pPr>
        <w:adjustRightInd w:val="0"/>
        <w:snapToGrid w:val="0"/>
        <w:ind w:firstLine="480" w:firstLineChars="200"/>
        <w:rPr>
          <w:color w:val="auto"/>
          <w:highlight w:val="none"/>
        </w:rPr>
      </w:pPr>
      <w:r>
        <w:rPr>
          <w:color w:val="auto"/>
          <w:highlight w:val="none"/>
        </w:rPr>
        <w:t>关于变更保险合同时的通知义务的约定：</w:t>
      </w:r>
      <w:r>
        <w:rPr>
          <w:rFonts w:hint="eastAsia"/>
          <w:color w:val="auto"/>
          <w:highlight w:val="none"/>
          <w:u w:val="single"/>
        </w:rPr>
        <w:t>执行通用合同条款</w:t>
      </w:r>
      <w:r>
        <w:rPr>
          <w:color w:val="auto"/>
          <w:highlight w:val="none"/>
        </w:rPr>
        <w:t>。</w:t>
      </w:r>
    </w:p>
    <w:p w14:paraId="60989202">
      <w:pPr>
        <w:keepNext/>
        <w:keepLines/>
        <w:adjustRightInd w:val="0"/>
        <w:snapToGrid w:val="0"/>
        <w:outlineLvl w:val="1"/>
        <w:rPr>
          <w:rFonts w:ascii="Arial"/>
          <w:b/>
          <w:bCs/>
          <w:color w:val="auto"/>
          <w:szCs w:val="32"/>
          <w:highlight w:val="none"/>
        </w:rPr>
      </w:pPr>
      <w:bookmarkStart w:id="963" w:name="_Toc90117819"/>
      <w:bookmarkStart w:id="964" w:name="_Toc119953762"/>
      <w:bookmarkStart w:id="965" w:name="_Toc26217"/>
      <w:bookmarkStart w:id="966" w:name="_Toc23810"/>
      <w:bookmarkStart w:id="967" w:name="_Toc2027252978"/>
      <w:bookmarkStart w:id="968" w:name="_Toc256000095"/>
      <w:r>
        <w:rPr>
          <w:rFonts w:hint="eastAsia" w:ascii="Arial"/>
          <w:b/>
          <w:bCs/>
          <w:color w:val="auto"/>
          <w:szCs w:val="32"/>
          <w:highlight w:val="none"/>
        </w:rPr>
        <w:t>20. 争议解决</w:t>
      </w:r>
      <w:bookmarkEnd w:id="963"/>
      <w:bookmarkEnd w:id="964"/>
      <w:bookmarkEnd w:id="965"/>
      <w:bookmarkEnd w:id="966"/>
      <w:bookmarkEnd w:id="967"/>
      <w:bookmarkEnd w:id="968"/>
    </w:p>
    <w:p w14:paraId="0FD5E7DA">
      <w:pPr>
        <w:adjustRightInd w:val="0"/>
        <w:snapToGrid w:val="0"/>
        <w:ind w:firstLine="482" w:firstLineChars="200"/>
        <w:rPr>
          <w:b/>
          <w:color w:val="auto"/>
          <w:highlight w:val="none"/>
        </w:rPr>
      </w:pPr>
      <w:r>
        <w:rPr>
          <w:rFonts w:hint="eastAsia"/>
          <w:b/>
          <w:color w:val="auto"/>
          <w:highlight w:val="none"/>
        </w:rPr>
        <w:t>20.1 争议的解决方式</w:t>
      </w:r>
    </w:p>
    <w:p w14:paraId="364F877D">
      <w:pPr>
        <w:adjustRightInd w:val="0"/>
        <w:snapToGrid w:val="0"/>
        <w:ind w:firstLine="200"/>
        <w:rPr>
          <w:color w:val="auto"/>
          <w:highlight w:val="none"/>
        </w:rPr>
      </w:pPr>
      <w:r>
        <w:rPr>
          <w:rFonts w:hint="eastAsia"/>
          <w:color w:val="auto"/>
          <w:highlight w:val="none"/>
        </w:rPr>
        <w:t>合同当事人友好协商、调解不成的，按照以下第</w:t>
      </w:r>
      <w:r>
        <w:rPr>
          <w:rFonts w:hint="eastAsia"/>
          <w:color w:val="auto"/>
          <w:highlight w:val="none"/>
          <w:u w:val="single"/>
          <w:lang w:val="en-US" w:eastAsia="zh-CN"/>
        </w:rPr>
        <w:t xml:space="preserve">      </w:t>
      </w:r>
      <w:r>
        <w:rPr>
          <w:rFonts w:hint="eastAsia"/>
          <w:color w:val="auto"/>
          <w:highlight w:val="none"/>
        </w:rPr>
        <w:t>种方式解决争议：</w:t>
      </w:r>
    </w:p>
    <w:p w14:paraId="669CABD7">
      <w:pPr>
        <w:adjustRightInd w:val="0"/>
        <w:snapToGrid w:val="0"/>
        <w:ind w:firstLine="480" w:firstLineChars="200"/>
        <w:rPr>
          <w:color w:val="auto"/>
          <w:highlight w:val="none"/>
        </w:rPr>
      </w:pPr>
      <w:r>
        <w:rPr>
          <w:rFonts w:hint="eastAsia"/>
          <w:color w:val="auto"/>
          <w:highlight w:val="none"/>
        </w:rPr>
        <w:t>（l）向</w:t>
      </w:r>
      <w:r>
        <w:rPr>
          <w:rFonts w:hint="eastAsia"/>
          <w:color w:val="auto"/>
          <w:highlight w:val="none"/>
          <w:u w:val="single"/>
        </w:rPr>
        <w:t xml:space="preserve">   /      </w:t>
      </w:r>
      <w:r>
        <w:rPr>
          <w:rFonts w:hint="eastAsia"/>
          <w:color w:val="auto"/>
          <w:highlight w:val="none"/>
        </w:rPr>
        <w:t>仲裁委员会申请仲裁；</w:t>
      </w:r>
    </w:p>
    <w:p w14:paraId="0E0DD8F7">
      <w:pPr>
        <w:adjustRightInd w:val="0"/>
        <w:snapToGrid w:val="0"/>
        <w:ind w:firstLine="480" w:firstLineChars="200"/>
        <w:rPr>
          <w:color w:val="auto"/>
          <w:highlight w:val="none"/>
        </w:rPr>
      </w:pPr>
      <w:r>
        <w:rPr>
          <w:rFonts w:hint="eastAsia"/>
          <w:color w:val="auto"/>
          <w:highlight w:val="none"/>
        </w:rPr>
        <w:t>（2）向有管辖权的</w:t>
      </w:r>
      <w:r>
        <w:rPr>
          <w:rFonts w:hint="eastAsia"/>
          <w:color w:val="auto"/>
          <w:highlight w:val="none"/>
          <w:u w:val="single"/>
        </w:rPr>
        <w:t>发包人</w:t>
      </w:r>
      <w:r>
        <w:rPr>
          <w:rFonts w:hint="eastAsia"/>
          <w:color w:val="auto"/>
          <w:highlight w:val="none"/>
          <w:u w:val="single"/>
          <w:lang w:val="en-US" w:eastAsia="zh-CN"/>
        </w:rPr>
        <w:t>住所</w:t>
      </w:r>
      <w:r>
        <w:rPr>
          <w:rFonts w:hint="eastAsia"/>
          <w:color w:val="auto"/>
          <w:highlight w:val="none"/>
          <w:u w:val="single"/>
        </w:rPr>
        <w:t>所在地</w:t>
      </w:r>
      <w:r>
        <w:rPr>
          <w:rFonts w:hint="eastAsia"/>
          <w:color w:val="auto"/>
          <w:highlight w:val="none"/>
        </w:rPr>
        <w:t>人民法院提起诉讼；</w:t>
      </w:r>
    </w:p>
    <w:p w14:paraId="2F6506BD">
      <w:pPr>
        <w:adjustRightInd w:val="0"/>
        <w:snapToGrid w:val="0"/>
        <w:ind w:firstLine="480" w:firstLineChars="200"/>
        <w:rPr>
          <w:color w:val="auto"/>
          <w:highlight w:val="none"/>
        </w:rPr>
      </w:pPr>
      <w:r>
        <w:rPr>
          <w:rFonts w:hint="eastAsia"/>
          <w:color w:val="auto"/>
          <w:highlight w:val="none"/>
        </w:rPr>
        <w:t>（3）其他争议解决方式：</w:t>
      </w:r>
      <w:r>
        <w:rPr>
          <w:rFonts w:hint="eastAsia" w:ascii="宋体" w:hAnsi="宋体"/>
          <w:color w:val="auto"/>
          <w:highlight w:val="none"/>
          <w:u w:val="single"/>
          <w:lang w:val="en-US" w:eastAsia="zh-CN"/>
        </w:rPr>
        <w:t xml:space="preserve">           </w:t>
      </w:r>
      <w:r>
        <w:rPr>
          <w:rFonts w:hint="eastAsia"/>
          <w:color w:val="auto"/>
          <w:highlight w:val="none"/>
        </w:rPr>
        <w:t>。</w:t>
      </w:r>
    </w:p>
    <w:p w14:paraId="6C052A85">
      <w:pPr>
        <w:keepNext/>
        <w:keepLines/>
        <w:outlineLvl w:val="1"/>
        <w:rPr>
          <w:rFonts w:ascii="Arial" w:hAnsi="Arial"/>
          <w:b/>
          <w:bCs/>
          <w:color w:val="auto"/>
          <w:szCs w:val="32"/>
          <w:highlight w:val="none"/>
        </w:rPr>
      </w:pPr>
      <w:bookmarkStart w:id="969" w:name="_Toc119953763"/>
      <w:bookmarkStart w:id="970" w:name="_Toc90117820"/>
      <w:bookmarkStart w:id="971" w:name="_Toc256000096"/>
      <w:bookmarkStart w:id="972" w:name="_Toc5883"/>
      <w:bookmarkStart w:id="973" w:name="_Toc20512"/>
      <w:bookmarkStart w:id="974" w:name="_Toc1844277953"/>
      <w:r>
        <w:rPr>
          <w:rFonts w:hint="eastAsia" w:ascii="Arial" w:hAnsi="Arial"/>
          <w:b/>
          <w:bCs/>
          <w:color w:val="auto"/>
          <w:szCs w:val="32"/>
          <w:highlight w:val="none"/>
        </w:rPr>
        <w:t>21. 补充条款</w:t>
      </w:r>
      <w:bookmarkEnd w:id="969"/>
      <w:bookmarkEnd w:id="970"/>
      <w:bookmarkEnd w:id="971"/>
      <w:bookmarkEnd w:id="972"/>
      <w:bookmarkEnd w:id="973"/>
      <w:bookmarkEnd w:id="974"/>
    </w:p>
    <w:p w14:paraId="399ED95D">
      <w:pPr>
        <w:ind w:firstLine="480" w:firstLineChars="200"/>
        <w:rPr>
          <w:rFonts w:hint="eastAsia" w:asciiTheme="minorEastAsia" w:hAnsiTheme="minorEastAsia" w:eastAsiaTheme="minorEastAsia"/>
          <w:i w:val="0"/>
          <w:iCs w:val="0"/>
          <w:strike w:val="0"/>
          <w:dstrike w:val="0"/>
          <w:color w:val="auto"/>
          <w:highlight w:val="none"/>
        </w:rPr>
      </w:pPr>
      <w:bookmarkStart w:id="975" w:name="_Toc397092367"/>
      <w:bookmarkStart w:id="976" w:name="_Toc300835200"/>
      <w:bookmarkStart w:id="977" w:name="_Toc256000097"/>
      <w:bookmarkStart w:id="978" w:name="_Toc119953764"/>
      <w:bookmarkStart w:id="979" w:name="_Toc184635123"/>
      <w:bookmarkStart w:id="980" w:name="_Toc247514198"/>
      <w:bookmarkStart w:id="981" w:name="_Toc489094526"/>
      <w:bookmarkStart w:id="982" w:name="_Toc90117821"/>
      <w:bookmarkStart w:id="983" w:name="_Toc8373"/>
      <w:bookmarkStart w:id="984" w:name="_Toc247527799"/>
      <w:r>
        <w:rPr>
          <w:rFonts w:hint="eastAsia" w:asciiTheme="minorEastAsia" w:hAnsiTheme="minorEastAsia" w:eastAsiaTheme="minorEastAsia"/>
          <w:i w:val="0"/>
          <w:iCs w:val="0"/>
          <w:strike w:val="0"/>
          <w:dstrike w:val="0"/>
          <w:color w:val="auto"/>
          <w:highlight w:val="none"/>
        </w:rPr>
        <w:t>2</w:t>
      </w:r>
      <w:r>
        <w:rPr>
          <w:rFonts w:asciiTheme="minorEastAsia" w:hAnsiTheme="minorEastAsia" w:eastAsiaTheme="minorEastAsia"/>
          <w:i w:val="0"/>
          <w:iCs w:val="0"/>
          <w:strike w:val="0"/>
          <w:dstrike w:val="0"/>
          <w:color w:val="auto"/>
          <w:highlight w:val="none"/>
        </w:rPr>
        <w:t>6.1</w:t>
      </w:r>
      <w:r>
        <w:rPr>
          <w:rFonts w:hint="eastAsia" w:asciiTheme="minorEastAsia" w:hAnsiTheme="minorEastAsia" w:eastAsiaTheme="minorEastAsia"/>
          <w:i w:val="0"/>
          <w:iCs w:val="0"/>
          <w:strike w:val="0"/>
          <w:dstrike w:val="0"/>
          <w:color w:val="auto"/>
          <w:highlight w:val="none"/>
        </w:rPr>
        <w:t>承包人要严格执行中国石化及发包人有关管理制度及文件，发包人相关管理制度及文件由承包人中标后自行联系发包人有关业务部门获取；发包人若有信息化管理要求的，承包人应遵照执行，否则影响合同价款正常支付的后果，由承包人自行承担。</w:t>
      </w:r>
    </w:p>
    <w:p w14:paraId="4EDEAD13">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26.2脚手架要求</w:t>
      </w:r>
    </w:p>
    <w:p w14:paraId="4C3AE9A1">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1）脚手架的搭设、检查、验收严格的按照《建筑施工扣件式钢管脚手架安全技术规范》(JGJ_130-2011)《建筑施工脚手架安全技术统一标准》（GB51210-2016）《石油化工工程钢脚手架搭设安全技术规范》（SH/T3555-2014）及发包人相关规定和要求执行。</w:t>
      </w:r>
    </w:p>
    <w:p w14:paraId="6FFF59C5">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（2）脚手架搭设过程中，承发包双方应严格按照规范进行检查确认及停检点检查，并做好检查过程记录；检查记录作为脚手架验收的重要过程资料备查。</w:t>
      </w:r>
    </w:p>
    <w:p w14:paraId="203854A4">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3）承包人对脚手架费用应专项专用，其费用应单独进行计价且足额计取，承包人应在财务账目中单独列项备查，不得挪作他用，否则发包人有权责令其限期改正。脚手架使用前必须进行安全验收并挂牌标识，未达到验收标准的脚手架责令整改。未挂验收合格牌的脚手架不允许使用，相应脚手架搭设进度款及后续款项不予支付。</w:t>
      </w:r>
    </w:p>
    <w:p w14:paraId="3F1BD628">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（4）脚手架搭设必须采用镀锌钢管及扣件。</w:t>
      </w:r>
    </w:p>
    <w:p w14:paraId="79F8C956">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（5）本项目脚手架由承包人负责本合同承包范围内和第三方检测所需脚手架的搭拆和维护，承包人必须做好脚手架在施工过程中的安全防护措施。</w:t>
      </w:r>
    </w:p>
    <w:p w14:paraId="5676D5A6">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2</w:t>
      </w:r>
      <w:r>
        <w:rPr>
          <w:rFonts w:hint="eastAsia" w:asciiTheme="minorEastAsia" w:hAnsiTheme="minorEastAsia" w:eastAsiaTheme="minorEastAsia"/>
          <w:i w:val="0"/>
          <w:iCs w:val="0"/>
          <w:strike w:val="0"/>
          <w:dstrike w:val="0"/>
          <w:color w:val="auto"/>
          <w:highlight w:val="none"/>
          <w:lang w:val="en-US" w:eastAsia="zh-CN"/>
        </w:rPr>
        <w:t>6</w:t>
      </w:r>
      <w:r>
        <w:rPr>
          <w:rFonts w:hint="eastAsia" w:asciiTheme="minorEastAsia" w:hAnsiTheme="minorEastAsia" w:eastAsiaTheme="minorEastAsia"/>
          <w:i w:val="0"/>
          <w:iCs w:val="0"/>
          <w:strike w:val="0"/>
          <w:dstrike w:val="0"/>
          <w:color w:val="auto"/>
          <w:highlight w:val="none"/>
        </w:rPr>
        <w:t>.3承发包双方应认真履行《中国石化承包商安全监督管理办法》责任、义务，其中：</w:t>
      </w:r>
    </w:p>
    <w:p w14:paraId="292BC580">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（1）项目实施过程中的主要危险源和危害因素：1）主要危险源：深基坑、大型吊装。2）危害因素：高处坠落、起重伤害、机械伤害、桩机倾覆、基坑坍塌、积水淹溺、模板垮塌。</w:t>
      </w:r>
    </w:p>
    <w:p w14:paraId="26948D44">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2）项目施工作业管理及安全管理总体要求：遵守国家相关HSE法律和法规，遵循中国石化集团公司“安全第一，预防为主；全员动手，综合治理”的HSE方针，积极组织开展各项HSE活动，细化及规范各施工阶段安全管理，提高全员安全意识，最大限度地保护环境和员工身体健康，有效控制HSE风险，持续改进HSE总体绩效。</w:t>
      </w:r>
    </w:p>
    <w:p w14:paraId="0273CFF7">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（3）承包</w:t>
      </w:r>
      <w:r>
        <w:rPr>
          <w:rFonts w:hint="eastAsia" w:asciiTheme="minorEastAsia" w:hAnsiTheme="minorEastAsia" w:eastAsiaTheme="minorEastAsia"/>
          <w:i w:val="0"/>
          <w:iCs w:val="0"/>
          <w:strike w:val="0"/>
          <w:dstrike w:val="0"/>
          <w:color w:val="auto"/>
          <w:highlight w:val="none"/>
          <w:lang w:val="en-US" w:eastAsia="zh-CN"/>
        </w:rPr>
        <w:t>人</w:t>
      </w:r>
      <w:r>
        <w:rPr>
          <w:rFonts w:hint="eastAsia" w:asciiTheme="minorEastAsia" w:hAnsiTheme="minorEastAsia" w:eastAsiaTheme="minorEastAsia"/>
          <w:i w:val="0"/>
          <w:iCs w:val="0"/>
          <w:strike w:val="0"/>
          <w:dstrike w:val="0"/>
          <w:color w:val="auto"/>
          <w:highlight w:val="none"/>
        </w:rPr>
        <w:t>项目经理和施工、技术、质量、安全等负责人（以下统称承包商关键管理人员），主要工种的配备和培训教育要求，以及班组建设要求：</w:t>
      </w:r>
    </w:p>
    <w:p w14:paraId="18FEA4C0">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1）关键管理人员配备要求：按招标文件资格要求及人员要求配备；</w:t>
      </w:r>
    </w:p>
    <w:p w14:paraId="42BB46F8">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2）主要工种的配备要求：</w:t>
      </w:r>
    </w:p>
    <w:p w14:paraId="53408D55">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①建筑施工的起重和垂直运输机械的司机、司索工、起重吊装（安装）工、信号指挥工、起重工、电工、焊工、登高架设作业人员等特种作业人员，必须全部持《特种作业操作证》上岗。</w:t>
      </w:r>
    </w:p>
    <w:p w14:paraId="0ACDD561">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②施工作业技术负责人、管理人员必须全部有同类施工作业经验，所有施工人员必须参加技能培训并取得合格成绩。</w:t>
      </w:r>
    </w:p>
    <w:p w14:paraId="57B60CA0">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③特种作业人员和关键工种人员的资格要求：</w:t>
      </w:r>
    </w:p>
    <w:p w14:paraId="7A51720B">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 xml:space="preserve">a.焊接与热切割作业（电焊工）、电工、架子工、起重工、叉车工： </w:t>
      </w:r>
    </w:p>
    <w:p w14:paraId="07DA10E1">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焊工需持有市场监督管理局颁发的《特种设备作业人员证》、应急管理局颁发的《特种作业操作证》操作内容：熔化焊接与热切割作业；</w:t>
      </w:r>
    </w:p>
    <w:p w14:paraId="29267899">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起重工、叉车工需持有市场监督管理局颁发的《特种设备作业人员操作证》；架子工需持有住建部门颁发的《架子工证》或应急管理局发布的《登高架设操作证》；</w:t>
      </w:r>
    </w:p>
    <w:p w14:paraId="66E73BA7">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电工需持有应急管理局颁发的《低压电工特种作业操作证》方可上岗作业。</w:t>
      </w:r>
    </w:p>
    <w:p w14:paraId="240328C8">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具有初中及以上文化程度； 年满18周岁，且不超过国家法定退休年龄，如特殊工种有其他标准，按最严格标准执行； 经具有职业健康资质的医疗机构体检健康合格，并无妨碍从事相应特种作业的器质性心脏病、癫痫病、美尼尔氏症、眩晕症、癔病、震颤麻痹症、精神病、痴呆症以及其他疾病和生理缺陷；</w:t>
      </w:r>
    </w:p>
    <w:p w14:paraId="101221DF">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b.高处作业（登高作业）：</w:t>
      </w:r>
    </w:p>
    <w:p w14:paraId="5D8AB0FB">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需持有应急管理局颁布的《登高作业证》； 年满18周岁，且不超过国家法定退休年龄（专门或长期从事高危高处作业人员男性年龄不超过50岁，女性年龄不超过45岁）；未控制的高血压（收缩压≥140mmHg或舒张压≥90mmHg）、低血压（收缩压≤60 mmHg）、心脏病、贫血病、癫痫病、精神病、四肢骨关节及运动功能障碍以及其他不适宜高处作业的人员，不得从事高处作业。</w:t>
      </w:r>
    </w:p>
    <w:p w14:paraId="2D1CF7D6">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c.根据中国石化集团公司相关管理要求，在中国石化炼化企业从事电缆附件制作（安装）的作业人员需进行资格认证，持有《中国石化电力电缆附件制作（安装）操作证》。</w:t>
      </w:r>
    </w:p>
    <w:p w14:paraId="45D55F76">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lang w:val="en-US" w:eastAsia="zh-CN"/>
        </w:rPr>
        <w:t>d.</w:t>
      </w:r>
      <w:r>
        <w:rPr>
          <w:rFonts w:hint="eastAsia" w:asciiTheme="minorEastAsia" w:hAnsiTheme="minorEastAsia" w:eastAsiaTheme="minorEastAsia"/>
          <w:i w:val="0"/>
          <w:iCs w:val="0"/>
          <w:strike w:val="0"/>
          <w:dstrike w:val="0"/>
          <w:color w:val="auto"/>
          <w:highlight w:val="none"/>
        </w:rPr>
        <w:t>开工前向监理人、工程管理部施工管理室、质量安全室、承包商管理室报审，向质量安全室备案接受抽查。</w:t>
      </w:r>
    </w:p>
    <w:p w14:paraId="55898EED">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 xml:space="preserve">3）培训教育要求： 认真贯彻执行茂名石化《安全教育管理规定》要求，结合项目建设的特点，抓好安全教育培训管理工作。开工前，承包人必须根据工程项目安全施工的需要，对参加项目的所有员工进行安全培训，并将培训和考试记录报送发包人备查。 </w:t>
      </w:r>
    </w:p>
    <w:p w14:paraId="131768A1">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 xml:space="preserve">①入场安全培训、违规再教育培训工作。 </w:t>
      </w:r>
    </w:p>
    <w:p w14:paraId="6B0100C7">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②专项安全培训工作由承包商组织，专项安全培训主要是特殊工种、危险作业、特殊作业、健康急救知识方面的培训。</w:t>
      </w:r>
    </w:p>
    <w:p w14:paraId="3C295C86">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③再教育培训，对施工现场轻微违规的工程管理者和作业人员进行再培训。 ④承包商及其分承包商应按照HSE培训计划，组织做好特种作业人员专项培训，经过考试后方可上岗作业。 ⑤承包商如实做好培训教育记录并存档。</w:t>
      </w:r>
    </w:p>
    <w:p w14:paraId="54B46640">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4）班组建设要求：根据《关于开展工程建设承包商班组长培训考核及持证上岗管理工作的通知》（集团工单建安〔2024〕24号）要求，承包人（或施工承包人）应定期开展班组长培训考核工作，提高班组长的技能技术、安全生产、风险识别等综合素质能力和项目适应性。原则承包人班组配置不超过40人，3年以上的熟练工人占班组总人数的1/3以上，班组长1名，通过袖标、帽贴、马甲等形式，为班组长设置统一、醒目的标识，标明班组和姓名等信息。</w:t>
      </w:r>
    </w:p>
    <w:p w14:paraId="0C2CCF85">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4）项目安全生产费用管理和使用要求，以及费率、支付计划、调整方式等：安全防护专项施工方案经发包人审批后执行，安全防护措施和脚手架计费根据安全防护专项施工方案措施内容计取，在每次进度款支付时列支，并经发包人审批。发包人在承包人或其分包人施工工作开始前支付安全生产费总额的50%，用于施工现场安全措施的落实。特殊情况需申请，以后余款按进度比例支付。</w:t>
      </w:r>
    </w:p>
    <w:p w14:paraId="5AA40811">
      <w:pPr>
        <w:ind w:firstLine="480" w:firstLineChars="200"/>
        <w:rPr>
          <w:rFonts w:hint="eastAsia" w:asciiTheme="minorEastAsia" w:hAnsiTheme="minorEastAsia" w:eastAsiaTheme="minorEastAsia"/>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5）项目实施过程中应执行的安全管理规范、制度以及安全文明施工作业、劳动保护标准：严格执行《茂名石化施工作业安全管理程序》、《茂名石化工程建设施工作业HSE管理细则》，承包商做好项目HSE管控方案、文明施工、标准化工地与绿色工地策划。含施工现场标准化、材料堆场标准化、防腐厂标准化、项目管理现场标准化。</w:t>
      </w:r>
    </w:p>
    <w:p w14:paraId="581A53CE">
      <w:pPr>
        <w:ind w:firstLine="480" w:firstLineChars="200"/>
        <w:rPr>
          <w:i w:val="0"/>
          <w:iCs w:val="0"/>
          <w:strike w:val="0"/>
          <w:dstrike w:val="0"/>
          <w:color w:val="auto"/>
          <w:highlight w:val="none"/>
        </w:rPr>
      </w:pPr>
      <w:r>
        <w:rPr>
          <w:rFonts w:hint="eastAsia" w:asciiTheme="minorEastAsia" w:hAnsiTheme="minorEastAsia" w:eastAsiaTheme="minorEastAsia"/>
          <w:i w:val="0"/>
          <w:iCs w:val="0"/>
          <w:strike w:val="0"/>
          <w:dstrike w:val="0"/>
          <w:color w:val="auto"/>
          <w:highlight w:val="none"/>
        </w:rPr>
        <w:t>（6）承包商安全管理违约赔偿与处罚标准：执行第23.1.1条及附件</w:t>
      </w:r>
      <w:r>
        <w:rPr>
          <w:rFonts w:hint="eastAsia" w:asciiTheme="minorEastAsia" w:hAnsiTheme="minorEastAsia" w:eastAsiaTheme="minorEastAsia"/>
          <w:i w:val="0"/>
          <w:iCs w:val="0"/>
          <w:strike w:val="0"/>
          <w:dstrike w:val="0"/>
          <w:color w:val="auto"/>
          <w:highlight w:val="none"/>
          <w:lang w:val="en-US" w:eastAsia="zh-CN"/>
        </w:rPr>
        <w:t>17</w:t>
      </w:r>
      <w:r>
        <w:rPr>
          <w:rFonts w:hint="eastAsia" w:asciiTheme="minorEastAsia" w:hAnsiTheme="minorEastAsia" w:eastAsiaTheme="minorEastAsia"/>
          <w:i w:val="0"/>
          <w:iCs w:val="0"/>
          <w:strike w:val="0"/>
          <w:dstrike w:val="0"/>
          <w:color w:val="auto"/>
          <w:highlight w:val="none"/>
        </w:rPr>
        <w:t>，以及《茂名石化承包商管理程序》附件</w:t>
      </w:r>
      <w:r>
        <w:rPr>
          <w:rFonts w:hint="eastAsia" w:asciiTheme="minorEastAsia" w:hAnsiTheme="minorEastAsia" w:eastAsiaTheme="minorEastAsia"/>
          <w:i w:val="0"/>
          <w:iCs w:val="0"/>
          <w:strike w:val="0"/>
          <w:dstrike w:val="0"/>
          <w:color w:val="auto"/>
          <w:highlight w:val="none"/>
          <w:lang w:val="en-US" w:eastAsia="zh-CN"/>
        </w:rPr>
        <w:t>4</w:t>
      </w:r>
      <w:r>
        <w:rPr>
          <w:rFonts w:hint="eastAsia" w:asciiTheme="minorEastAsia" w:hAnsiTheme="minorEastAsia" w:eastAsiaTheme="minorEastAsia"/>
          <w:i w:val="0"/>
          <w:iCs w:val="0"/>
          <w:strike w:val="0"/>
          <w:dstrike w:val="0"/>
          <w:color w:val="auto"/>
          <w:highlight w:val="none"/>
        </w:rPr>
        <w:t>及附件</w:t>
      </w:r>
      <w:r>
        <w:rPr>
          <w:rFonts w:hint="eastAsia" w:asciiTheme="minorEastAsia" w:hAnsiTheme="minorEastAsia" w:eastAsiaTheme="minorEastAsia"/>
          <w:i w:val="0"/>
          <w:iCs w:val="0"/>
          <w:strike w:val="0"/>
          <w:dstrike w:val="0"/>
          <w:color w:val="auto"/>
          <w:highlight w:val="none"/>
          <w:lang w:val="en-US" w:eastAsia="zh-CN"/>
        </w:rPr>
        <w:t>6</w:t>
      </w:r>
      <w:r>
        <w:rPr>
          <w:rFonts w:hint="eastAsia" w:asciiTheme="minorEastAsia" w:hAnsiTheme="minorEastAsia" w:eastAsiaTheme="minorEastAsia"/>
          <w:i w:val="0"/>
          <w:iCs w:val="0"/>
          <w:strike w:val="0"/>
          <w:dstrike w:val="0"/>
          <w:color w:val="auto"/>
          <w:highlight w:val="none"/>
        </w:rPr>
        <w:t>。</w:t>
      </w:r>
    </w:p>
    <w:p w14:paraId="69903B37">
      <w:pPr>
        <w:ind w:firstLine="480" w:firstLineChars="200"/>
        <w:rPr>
          <w:rFonts w:hint="eastAsia" w:asciiTheme="minorEastAsia" w:hAnsiTheme="minorEastAsia" w:eastAsiaTheme="minorEastAsia"/>
          <w:i w:val="0"/>
          <w:iCs w:val="0"/>
          <w:strike w:val="0"/>
          <w:dstrike w:val="0"/>
          <w:color w:val="auto"/>
          <w:highlight w:val="none"/>
          <w:lang w:val="en-US" w:eastAsia="zh-CN"/>
        </w:rPr>
      </w:pPr>
      <w:r>
        <w:rPr>
          <w:rFonts w:hint="eastAsia" w:asciiTheme="minorEastAsia" w:hAnsiTheme="minorEastAsia" w:eastAsiaTheme="minorEastAsia"/>
          <w:i w:val="0"/>
          <w:iCs w:val="0"/>
          <w:strike w:val="0"/>
          <w:dstrike w:val="0"/>
          <w:color w:val="auto"/>
          <w:highlight w:val="none"/>
          <w:lang w:val="en-US" w:eastAsia="zh-CN"/>
        </w:rPr>
        <w:t>26.4适用于工程的特别的标准、规范包括：《中华人民共和国建筑法》、《中华人民共和国民法典》、《中华人民共和国安全生产法》,国家、石化行业、广东省、茂名市现行有效的工程建设相关的政策、法律、规范、标准和条例，发包人基础工程设计文件及招标时约定的标准、规范，《石油化工建设工程项目交工技术文件规定》（SH/T 3503）、《茂名石化炼油转型升级及乙烯提质改造项目统一规定》等，若标准不同时，按就高原则执行。工程适用的国内外标准和规范均由承包人自费解决；承包人采用的内部标准，应得到发包人批准，并免费提供2份给发包人。</w:t>
      </w:r>
    </w:p>
    <w:p w14:paraId="1403F565">
      <w:pPr>
        <w:pStyle w:val="6"/>
        <w:ind w:firstLine="480" w:firstLineChars="200"/>
        <w:rPr>
          <w:rFonts w:hint="eastAsia" w:asciiTheme="minorEastAsia" w:hAnsiTheme="minorEastAsia" w:eastAsiaTheme="minorEastAsia"/>
          <w:i w:val="0"/>
          <w:iCs w:val="0"/>
          <w:strike w:val="0"/>
          <w:dstrike w:val="0"/>
          <w:color w:val="auto"/>
          <w:kern w:val="2"/>
          <w:sz w:val="24"/>
          <w:szCs w:val="24"/>
          <w:highlight w:val="none"/>
          <w:lang w:val="en-US" w:eastAsia="zh-CN"/>
        </w:rPr>
      </w:pPr>
      <w:r>
        <w:rPr>
          <w:rFonts w:hint="eastAsia" w:asciiTheme="minorEastAsia" w:hAnsiTheme="minorEastAsia" w:eastAsiaTheme="minorEastAsia"/>
          <w:i w:val="0"/>
          <w:iCs w:val="0"/>
          <w:strike w:val="0"/>
          <w:dstrike w:val="0"/>
          <w:color w:val="auto"/>
          <w:kern w:val="2"/>
          <w:sz w:val="24"/>
          <w:szCs w:val="24"/>
          <w:highlight w:val="none"/>
          <w:lang w:val="en-US" w:eastAsia="zh-CN"/>
        </w:rPr>
        <w:t>26.5承包人对文件及信息的保密要求</w:t>
      </w:r>
    </w:p>
    <w:p w14:paraId="1AC1AA12">
      <w:pPr>
        <w:pStyle w:val="6"/>
        <w:ind w:firstLine="480" w:firstLineChars="200"/>
        <w:rPr>
          <w:rFonts w:hint="eastAsia" w:asciiTheme="minorEastAsia" w:hAnsiTheme="minorEastAsia" w:eastAsiaTheme="minorEastAsia"/>
          <w:i w:val="0"/>
          <w:iCs w:val="0"/>
          <w:strike w:val="0"/>
          <w:dstrike w:val="0"/>
          <w:color w:val="auto"/>
          <w:kern w:val="2"/>
          <w:sz w:val="24"/>
          <w:szCs w:val="24"/>
          <w:highlight w:val="none"/>
        </w:rPr>
      </w:pPr>
      <w:r>
        <w:rPr>
          <w:rFonts w:hint="eastAsia" w:asciiTheme="minorEastAsia" w:hAnsiTheme="minorEastAsia" w:eastAsiaTheme="minorEastAsia"/>
          <w:i w:val="0"/>
          <w:iCs w:val="0"/>
          <w:strike w:val="0"/>
          <w:dstrike w:val="0"/>
          <w:color w:val="auto"/>
          <w:kern w:val="2"/>
          <w:sz w:val="24"/>
          <w:szCs w:val="24"/>
          <w:highlight w:val="none"/>
        </w:rPr>
        <w:t>（1）除法律规定外，承包人及其分包人不得将发包人提供的图纸、技术成果、技术文件、规章制度等泄露给第三方，做好保密图纸和资料的管理，做好分发台账和保管，根据管理类要求交回发包人方处理。双方不得泄露对方声明的保密资料（指通过文字、电子或数字方式或媒介向对方提供的，在提供时标明有“保密”的任何经营或技术信息），亦不得泄露与实施工程有关的第三方所提供的保密资料。保密信息包括但不限于：经营秘密、技术秘密、设计及专有的经营和技术信息；客户或潜在客户的身份及其他相关信息、客户联系方式和客户销售策略等等。</w:t>
      </w:r>
    </w:p>
    <w:p w14:paraId="3F0C5B9A">
      <w:pPr>
        <w:pStyle w:val="6"/>
        <w:ind w:firstLine="480" w:firstLineChars="200"/>
        <w:rPr>
          <w:rFonts w:hint="eastAsia" w:asciiTheme="minorEastAsia" w:hAnsiTheme="minorEastAsia" w:eastAsiaTheme="minorEastAsia"/>
          <w:i w:val="0"/>
          <w:iCs w:val="0"/>
          <w:strike w:val="0"/>
          <w:dstrike w:val="0"/>
          <w:color w:val="auto"/>
          <w:kern w:val="2"/>
          <w:sz w:val="24"/>
          <w:szCs w:val="24"/>
          <w:highlight w:val="none"/>
        </w:rPr>
      </w:pPr>
      <w:r>
        <w:rPr>
          <w:rFonts w:hint="eastAsia" w:asciiTheme="minorEastAsia" w:hAnsiTheme="minorEastAsia" w:eastAsiaTheme="minorEastAsia"/>
          <w:i w:val="0"/>
          <w:iCs w:val="0"/>
          <w:strike w:val="0"/>
          <w:dstrike w:val="0"/>
          <w:color w:val="auto"/>
          <w:kern w:val="2"/>
          <w:sz w:val="24"/>
          <w:szCs w:val="24"/>
          <w:highlight w:val="none"/>
        </w:rPr>
        <w:t>（2）在合同期内及合同终止后；承包人均应采取不低于与保护其自身保密信息所用措施同样严格的措施，并落实到其每一位有可能得到保密信息的人员（含分包人人员）；除为促进项目发展、或本协议允许的用途外，未征得有关方书面同意，不得复制、出版或向第三方披露与本工程、本合同业务有关的任何保密信息；期满后如需对外披露保密信息，事先须经对方同意。</w:t>
      </w:r>
    </w:p>
    <w:p w14:paraId="59CE89D6">
      <w:pPr>
        <w:pStyle w:val="6"/>
        <w:ind w:firstLine="480" w:firstLineChars="200"/>
        <w:rPr>
          <w:rFonts w:hint="eastAsia" w:asciiTheme="minorEastAsia" w:hAnsiTheme="minorEastAsia" w:eastAsiaTheme="minorEastAsia"/>
          <w:i w:val="0"/>
          <w:iCs w:val="0"/>
          <w:strike w:val="0"/>
          <w:dstrike w:val="0"/>
          <w:color w:val="auto"/>
          <w:kern w:val="2"/>
          <w:sz w:val="24"/>
          <w:szCs w:val="24"/>
          <w:highlight w:val="none"/>
          <w:lang w:eastAsia="zh-CN"/>
        </w:rPr>
      </w:pPr>
      <w:r>
        <w:rPr>
          <w:rFonts w:hint="eastAsia" w:asciiTheme="minorEastAsia" w:hAnsiTheme="minorEastAsia" w:eastAsiaTheme="minorEastAsia"/>
          <w:i w:val="0"/>
          <w:iCs w:val="0"/>
          <w:strike w:val="0"/>
          <w:dstrike w:val="0"/>
          <w:color w:val="auto"/>
          <w:kern w:val="2"/>
          <w:sz w:val="24"/>
          <w:szCs w:val="24"/>
          <w:highlight w:val="none"/>
        </w:rPr>
        <w:t>（3）如果一方违约而导致的全部实际损失由违约方赔偿，包括但不限于法律费用</w:t>
      </w:r>
      <w:r>
        <w:rPr>
          <w:rFonts w:hint="eastAsia" w:asciiTheme="minorEastAsia" w:hAnsiTheme="minorEastAsia" w:eastAsiaTheme="minorEastAsia"/>
          <w:i w:val="0"/>
          <w:iCs w:val="0"/>
          <w:strike w:val="0"/>
          <w:dstrike w:val="0"/>
          <w:color w:val="auto"/>
          <w:kern w:val="2"/>
          <w:sz w:val="24"/>
          <w:szCs w:val="24"/>
          <w:highlight w:val="none"/>
          <w:lang w:eastAsia="zh-CN"/>
        </w:rPr>
        <w:t>。</w:t>
      </w:r>
    </w:p>
    <w:p w14:paraId="36139BF6">
      <w:pPr>
        <w:pStyle w:val="6"/>
        <w:ind w:firstLine="482" w:firstLineChars="200"/>
        <w:rPr>
          <w:rFonts w:hint="default" w:eastAsia="宋体" w:asciiTheme="minorEastAsia" w:hAnsiTheme="minorEastAsia"/>
          <w:i w:val="0"/>
          <w:iCs w:val="0"/>
          <w:strike w:val="0"/>
          <w:dstrike w:val="0"/>
          <w:color w:val="auto"/>
          <w:kern w:val="2"/>
          <w:sz w:val="24"/>
          <w:szCs w:val="24"/>
          <w:highlight w:val="none"/>
          <w:lang w:val="en-US" w:eastAsia="zh-CN"/>
        </w:rPr>
      </w:pPr>
      <w:r>
        <w:rPr>
          <w:rFonts w:hint="eastAsia" w:asciiTheme="minorEastAsia" w:hAnsiTheme="minorEastAsia" w:eastAsiaTheme="minorEastAsia"/>
          <w:b/>
          <w:bCs/>
          <w:i w:val="0"/>
          <w:iCs w:val="0"/>
          <w:strike w:val="0"/>
          <w:dstrike w:val="0"/>
          <w:color w:val="auto"/>
          <w:kern w:val="2"/>
          <w:sz w:val="24"/>
          <w:szCs w:val="24"/>
          <w:highlight w:val="none"/>
          <w:lang w:val="en-US" w:eastAsia="zh-CN"/>
        </w:rPr>
        <w:t>26.6</w:t>
      </w:r>
      <w:r>
        <w:rPr>
          <w:rFonts w:ascii="宋体" w:hAnsi="宋体" w:eastAsia="宋体" w:cs="宋体"/>
          <w:b/>
          <w:bCs/>
          <w:color w:val="auto"/>
          <w:sz w:val="24"/>
          <w:szCs w:val="24"/>
          <w:highlight w:val="none"/>
        </w:rPr>
        <w:t>如</w:t>
      </w:r>
      <w:r>
        <w:rPr>
          <w:rFonts w:hint="eastAsia" w:ascii="宋体" w:hAnsi="宋体" w:eastAsia="宋体" w:cs="宋体"/>
          <w:b/>
          <w:bCs/>
          <w:color w:val="auto"/>
          <w:sz w:val="24"/>
          <w:szCs w:val="24"/>
          <w:highlight w:val="none"/>
          <w:lang w:val="en-US" w:eastAsia="zh-CN"/>
        </w:rPr>
        <w:t>甲方要求</w:t>
      </w:r>
      <w:r>
        <w:rPr>
          <w:rFonts w:ascii="宋体" w:hAnsi="宋体" w:eastAsia="宋体" w:cs="宋体"/>
          <w:b/>
          <w:bCs/>
          <w:color w:val="auto"/>
          <w:sz w:val="24"/>
          <w:szCs w:val="24"/>
          <w:highlight w:val="none"/>
        </w:rPr>
        <w:t>涉及地下（±0以下）设施拆除</w:t>
      </w:r>
      <w:r>
        <w:rPr>
          <w:rFonts w:hint="eastAsia" w:ascii="宋体" w:hAnsi="宋体" w:eastAsia="宋体" w:cs="宋体"/>
          <w:b/>
          <w:bCs/>
          <w:color w:val="auto"/>
          <w:sz w:val="24"/>
          <w:szCs w:val="24"/>
          <w:highlight w:val="none"/>
          <w:lang w:val="en-US" w:eastAsia="zh-CN"/>
        </w:rPr>
        <w:t>及土方回填</w:t>
      </w:r>
      <w:r>
        <w:rPr>
          <w:rFonts w:hint="eastAsia" w:ascii="宋体" w:hAnsi="宋体" w:eastAsia="宋体" w:cs="宋体"/>
          <w:b/>
          <w:bCs/>
          <w:color w:val="auto"/>
          <w:sz w:val="24"/>
          <w:szCs w:val="24"/>
          <w:highlight w:val="none"/>
          <w:lang w:eastAsia="zh-CN"/>
        </w:rPr>
        <w:t>，</w:t>
      </w:r>
      <w:r>
        <w:rPr>
          <w:rFonts w:ascii="宋体" w:hAnsi="宋体" w:eastAsia="宋体" w:cs="宋体"/>
          <w:b/>
          <w:bCs/>
          <w:color w:val="auto"/>
          <w:sz w:val="24"/>
          <w:szCs w:val="24"/>
          <w:highlight w:val="none"/>
        </w:rPr>
        <w:t>工作量按实签证，地下钢筋混凝土由拆除单位负责拆分处理，其余有处置价值的废旧物资由发包人供应中心安排对外处置。</w:t>
      </w:r>
    </w:p>
    <w:p w14:paraId="3A67B5B6">
      <w:pPr>
        <w:pStyle w:val="6"/>
        <w:ind w:firstLine="480" w:firstLineChars="200"/>
        <w:rPr>
          <w:rFonts w:hint="eastAsia" w:eastAsia="宋体" w:asciiTheme="minorEastAsia" w:hAnsiTheme="minorEastAsia"/>
          <w:i w:val="0"/>
          <w:iCs w:val="0"/>
          <w:strike w:val="0"/>
          <w:dstrike w:val="0"/>
          <w:color w:val="auto"/>
          <w:kern w:val="2"/>
          <w:sz w:val="24"/>
          <w:szCs w:val="24"/>
          <w:highlight w:val="none"/>
          <w:lang w:val="en-US" w:eastAsia="zh-CN"/>
        </w:rPr>
      </w:pPr>
      <w:r>
        <w:rPr>
          <w:rFonts w:hint="eastAsia" w:asciiTheme="minorEastAsia" w:hAnsiTheme="minorEastAsia" w:eastAsiaTheme="minorEastAsia"/>
          <w:i w:val="0"/>
          <w:iCs w:val="0"/>
          <w:strike w:val="0"/>
          <w:dstrike w:val="0"/>
          <w:color w:val="auto"/>
          <w:kern w:val="2"/>
          <w:sz w:val="24"/>
          <w:szCs w:val="24"/>
          <w:highlight w:val="none"/>
          <w:lang w:val="en-US" w:eastAsia="zh-CN"/>
        </w:rPr>
        <w:t>26.7发包人需</w:t>
      </w:r>
      <w:r>
        <w:rPr>
          <w:rFonts w:ascii="宋体" w:hAnsi="宋体" w:eastAsia="宋体" w:cs="宋体"/>
          <w:color w:val="auto"/>
          <w:sz w:val="24"/>
          <w:szCs w:val="24"/>
          <w:highlight w:val="none"/>
        </w:rPr>
        <w:t>配合</w:t>
      </w:r>
      <w:r>
        <w:rPr>
          <w:rFonts w:hint="eastAsia" w:ascii="宋体" w:hAnsi="宋体" w:eastAsia="宋体" w:cs="宋体"/>
          <w:color w:val="auto"/>
          <w:sz w:val="24"/>
          <w:szCs w:val="24"/>
          <w:highlight w:val="none"/>
          <w:lang w:val="en-US" w:eastAsia="zh-CN"/>
        </w:rPr>
        <w:t>承包人</w:t>
      </w:r>
      <w:r>
        <w:rPr>
          <w:rFonts w:ascii="宋体" w:hAnsi="宋体" w:eastAsia="宋体" w:cs="宋体"/>
          <w:color w:val="auto"/>
          <w:sz w:val="24"/>
          <w:szCs w:val="24"/>
          <w:highlight w:val="none"/>
        </w:rPr>
        <w:t>办理废旧物资出厂手续</w:t>
      </w:r>
      <w:r>
        <w:rPr>
          <w:rFonts w:hint="eastAsia" w:ascii="宋体" w:hAnsi="宋体" w:eastAsia="宋体" w:cs="宋体"/>
          <w:color w:val="auto"/>
          <w:sz w:val="24"/>
          <w:szCs w:val="24"/>
          <w:highlight w:val="none"/>
          <w:lang w:eastAsia="zh-CN"/>
        </w:rPr>
        <w:t>。</w:t>
      </w:r>
    </w:p>
    <w:p w14:paraId="0C0DB85E">
      <w:pPr>
        <w:pStyle w:val="6"/>
        <w:ind w:firstLine="480" w:firstLineChars="200"/>
        <w:rPr>
          <w:rFonts w:hint="eastAsia" w:asciiTheme="minorEastAsia" w:hAnsiTheme="minorEastAsia" w:eastAsiaTheme="minorEastAsia"/>
          <w:i w:val="0"/>
          <w:iCs w:val="0"/>
          <w:strike w:val="0"/>
          <w:dstrike w:val="0"/>
          <w:color w:val="auto"/>
          <w:kern w:val="2"/>
          <w:sz w:val="24"/>
          <w:szCs w:val="24"/>
          <w:highlight w:val="none"/>
          <w:lang w:val="en-US" w:eastAsia="zh-CN"/>
        </w:rPr>
      </w:pPr>
    </w:p>
    <w:p w14:paraId="2A2B6817">
      <w:pPr>
        <w:keepNext/>
        <w:keepLines/>
        <w:spacing w:before="340" w:after="360" w:line="576" w:lineRule="auto"/>
        <w:jc w:val="center"/>
        <w:outlineLvl w:val="1"/>
        <w:rPr>
          <w:rFonts w:hint="eastAsia" w:ascii="宋体" w:hAnsi="宋体"/>
          <w:color w:val="auto"/>
          <w:kern w:val="2"/>
          <w:sz w:val="24"/>
          <w:highlight w:val="none"/>
          <w:u w:val="none"/>
        </w:rPr>
      </w:pPr>
    </w:p>
    <w:p w14:paraId="48D9AE55">
      <w:pPr>
        <w:keepNext/>
        <w:keepLines/>
        <w:spacing w:before="340" w:after="360" w:line="576" w:lineRule="auto"/>
        <w:jc w:val="center"/>
        <w:outlineLvl w:val="1"/>
        <w:rPr>
          <w:rFonts w:hint="eastAsia" w:ascii="宋体" w:hAnsi="宋体"/>
          <w:color w:val="auto"/>
          <w:kern w:val="2"/>
          <w:sz w:val="24"/>
          <w:highlight w:val="none"/>
          <w:u w:val="none"/>
        </w:rPr>
      </w:pPr>
    </w:p>
    <w:p w14:paraId="2571B169">
      <w:pPr>
        <w:pStyle w:val="6"/>
        <w:rPr>
          <w:rFonts w:hint="eastAsia" w:ascii="宋体" w:hAnsi="宋体"/>
          <w:color w:val="auto"/>
          <w:kern w:val="2"/>
          <w:sz w:val="24"/>
          <w:highlight w:val="none"/>
          <w:u w:val="none"/>
        </w:rPr>
      </w:pPr>
    </w:p>
    <w:p w14:paraId="322B499D">
      <w:pPr>
        <w:pStyle w:val="6"/>
        <w:rPr>
          <w:rFonts w:hint="eastAsia" w:ascii="宋体" w:hAnsi="宋体"/>
          <w:color w:val="auto"/>
          <w:kern w:val="2"/>
          <w:sz w:val="24"/>
          <w:highlight w:val="none"/>
          <w:u w:val="none"/>
        </w:rPr>
      </w:pPr>
    </w:p>
    <w:p w14:paraId="49A8857F">
      <w:pPr>
        <w:pStyle w:val="6"/>
        <w:rPr>
          <w:rFonts w:hint="eastAsia" w:ascii="宋体" w:hAnsi="宋体"/>
          <w:color w:val="auto"/>
          <w:kern w:val="2"/>
          <w:sz w:val="24"/>
          <w:highlight w:val="none"/>
          <w:u w:val="none"/>
        </w:rPr>
      </w:pPr>
    </w:p>
    <w:p w14:paraId="5231E9D8">
      <w:pPr>
        <w:pStyle w:val="6"/>
        <w:rPr>
          <w:rFonts w:hint="eastAsia" w:ascii="宋体" w:hAnsi="宋体"/>
          <w:color w:val="auto"/>
          <w:kern w:val="2"/>
          <w:sz w:val="24"/>
          <w:highlight w:val="none"/>
          <w:u w:val="none"/>
        </w:rPr>
      </w:pPr>
    </w:p>
    <w:p w14:paraId="59A16F60">
      <w:pPr>
        <w:keepNext/>
        <w:keepLines/>
        <w:spacing w:before="340" w:after="360" w:line="576" w:lineRule="auto"/>
        <w:jc w:val="center"/>
        <w:outlineLvl w:val="1"/>
        <w:rPr>
          <w:rFonts w:hint="eastAsia" w:ascii="宋体" w:hAnsi="宋体"/>
          <w:color w:val="auto"/>
          <w:kern w:val="2"/>
          <w:sz w:val="24"/>
          <w:highlight w:val="none"/>
          <w:u w:val="none"/>
        </w:rPr>
      </w:pPr>
    </w:p>
    <w:p w14:paraId="4D329285">
      <w:pPr>
        <w:pStyle w:val="6"/>
        <w:rPr>
          <w:rFonts w:hint="eastAsia" w:ascii="宋体" w:hAnsi="宋体"/>
          <w:color w:val="auto"/>
          <w:kern w:val="2"/>
          <w:sz w:val="24"/>
          <w:highlight w:val="none"/>
          <w:u w:val="none"/>
        </w:rPr>
      </w:pPr>
    </w:p>
    <w:p w14:paraId="3467EE53">
      <w:pPr>
        <w:keepNext/>
        <w:keepLines/>
        <w:spacing w:before="340" w:after="360" w:line="576" w:lineRule="auto"/>
        <w:jc w:val="center"/>
        <w:outlineLvl w:val="1"/>
        <w:rPr>
          <w:rFonts w:ascii="Calibri" w:hAnsi="Calibri"/>
          <w:b/>
          <w:bCs/>
          <w:color w:val="auto"/>
          <w:sz w:val="44"/>
          <w:szCs w:val="44"/>
          <w:highlight w:val="none"/>
        </w:rPr>
      </w:pPr>
      <w:r>
        <w:rPr>
          <w:rFonts w:hint="eastAsia" w:ascii="Calibri" w:hAnsi="Calibri"/>
          <w:b/>
          <w:bCs/>
          <w:color w:val="auto"/>
          <w:sz w:val="44"/>
          <w:szCs w:val="44"/>
          <w:highlight w:val="none"/>
        </w:rPr>
        <w:t>第四部分</w:t>
      </w:r>
      <w:r>
        <w:rPr>
          <w:rFonts w:ascii="Calibri" w:hAnsi="Calibri"/>
          <w:b/>
          <w:bCs/>
          <w:color w:val="auto"/>
          <w:sz w:val="44"/>
          <w:szCs w:val="44"/>
          <w:highlight w:val="none"/>
        </w:rPr>
        <w:t xml:space="preserve"> </w:t>
      </w:r>
      <w:r>
        <w:rPr>
          <w:rFonts w:hint="eastAsia" w:ascii="Calibri" w:hAnsi="Calibri"/>
          <w:b/>
          <w:bCs/>
          <w:color w:val="auto"/>
          <w:sz w:val="44"/>
          <w:szCs w:val="44"/>
          <w:highlight w:val="none"/>
        </w:rPr>
        <w:t>合同附件</w:t>
      </w:r>
      <w:bookmarkEnd w:id="975"/>
      <w:bookmarkEnd w:id="976"/>
      <w:bookmarkEnd w:id="977"/>
      <w:bookmarkEnd w:id="978"/>
      <w:bookmarkEnd w:id="979"/>
      <w:bookmarkEnd w:id="980"/>
      <w:bookmarkEnd w:id="981"/>
      <w:bookmarkEnd w:id="982"/>
      <w:bookmarkEnd w:id="983"/>
      <w:bookmarkEnd w:id="984"/>
    </w:p>
    <w:p w14:paraId="04258293">
      <w:pPr>
        <w:adjustRightInd w:val="0"/>
        <w:snapToGrid w:val="0"/>
        <w:ind w:left="420"/>
        <w:rPr>
          <w:color w:val="auto"/>
          <w:highlight w:val="none"/>
        </w:rPr>
      </w:pPr>
    </w:p>
    <w:p w14:paraId="1572E3E3">
      <w:pPr>
        <w:adjustRightInd w:val="0"/>
        <w:snapToGrid w:val="0"/>
        <w:ind w:firstLine="480" w:firstLineChars="200"/>
        <w:rPr>
          <w:rFonts w:cs="Arial"/>
          <w:color w:val="auto"/>
          <w:highlight w:val="none"/>
        </w:rPr>
      </w:pPr>
      <w:r>
        <w:rPr>
          <w:rFonts w:hint="eastAsia" w:cs="Arial"/>
          <w:color w:val="auto"/>
          <w:highlight w:val="none"/>
        </w:rPr>
        <w:t>以下合同附件是本合同的组成部分：</w:t>
      </w:r>
    </w:p>
    <w:p w14:paraId="11D27587">
      <w:pPr>
        <w:adjustRightInd w:val="0"/>
        <w:snapToGrid w:val="0"/>
        <w:ind w:firstLine="480" w:firstLineChars="200"/>
        <w:rPr>
          <w:rFonts w:cs="Arial"/>
          <w:color w:val="auto"/>
          <w:highlight w:val="none"/>
        </w:rPr>
      </w:pPr>
      <w:bookmarkStart w:id="985" w:name="_Hlk90114180"/>
      <w:r>
        <w:rPr>
          <w:rFonts w:hint="eastAsia" w:cs="Arial"/>
          <w:color w:val="auto"/>
          <w:highlight w:val="none"/>
        </w:rPr>
        <w:t>附件1：投标报价说明及报价明细</w:t>
      </w:r>
    </w:p>
    <w:p w14:paraId="49885190">
      <w:pPr>
        <w:adjustRightInd w:val="0"/>
        <w:snapToGrid w:val="0"/>
        <w:ind w:firstLine="480" w:firstLineChars="200"/>
        <w:rPr>
          <w:rFonts w:cs="Arial"/>
          <w:color w:val="auto"/>
          <w:highlight w:val="none"/>
        </w:rPr>
      </w:pPr>
      <w:r>
        <w:rPr>
          <w:rFonts w:hint="eastAsia" w:cs="Arial"/>
          <w:color w:val="auto"/>
          <w:highlight w:val="none"/>
        </w:rPr>
        <w:t>附件2：项目经理部人员配置表</w:t>
      </w:r>
    </w:p>
    <w:p w14:paraId="73DF9DFB">
      <w:pPr>
        <w:adjustRightInd w:val="0"/>
        <w:snapToGrid w:val="0"/>
        <w:ind w:firstLine="480" w:firstLineChars="200"/>
        <w:rPr>
          <w:rFonts w:cs="Arial"/>
          <w:color w:val="auto"/>
          <w:highlight w:val="none"/>
        </w:rPr>
      </w:pPr>
      <w:r>
        <w:rPr>
          <w:rFonts w:hint="eastAsia" w:cs="Arial"/>
          <w:color w:val="auto"/>
          <w:highlight w:val="none"/>
        </w:rPr>
        <w:t>附件3：监理工作内容</w:t>
      </w:r>
    </w:p>
    <w:p w14:paraId="44D020E7">
      <w:pPr>
        <w:adjustRightInd w:val="0"/>
        <w:snapToGrid w:val="0"/>
        <w:ind w:firstLine="480" w:firstLineChars="200"/>
        <w:rPr>
          <w:rFonts w:cs="Arial"/>
          <w:color w:val="auto"/>
          <w:highlight w:val="none"/>
        </w:rPr>
      </w:pPr>
      <w:r>
        <w:rPr>
          <w:rFonts w:hint="eastAsia" w:cs="Arial"/>
          <w:color w:val="auto"/>
          <w:highlight w:val="none"/>
        </w:rPr>
        <w:t>附件4：发包人提供的材料和设备一览表</w:t>
      </w:r>
    </w:p>
    <w:p w14:paraId="787808F8">
      <w:pPr>
        <w:adjustRightInd w:val="0"/>
        <w:snapToGrid w:val="0"/>
        <w:ind w:firstLine="480" w:firstLineChars="200"/>
        <w:rPr>
          <w:rFonts w:cs="Arial"/>
          <w:color w:val="auto"/>
          <w:highlight w:val="none"/>
        </w:rPr>
      </w:pPr>
      <w:r>
        <w:rPr>
          <w:rFonts w:hint="eastAsia" w:cs="Arial"/>
          <w:color w:val="auto"/>
          <w:highlight w:val="none"/>
        </w:rPr>
        <w:t>附件5：承包人提供的材料和设备一览表</w:t>
      </w:r>
    </w:p>
    <w:p w14:paraId="227A535E">
      <w:pPr>
        <w:adjustRightInd w:val="0"/>
        <w:snapToGrid w:val="0"/>
        <w:ind w:firstLine="480" w:firstLineChars="200"/>
        <w:rPr>
          <w:rFonts w:cs="Arial"/>
          <w:color w:val="auto"/>
          <w:highlight w:val="none"/>
        </w:rPr>
      </w:pPr>
      <w:r>
        <w:rPr>
          <w:rFonts w:hint="eastAsia" w:cs="Arial"/>
          <w:color w:val="auto"/>
          <w:highlight w:val="none"/>
        </w:rPr>
        <w:t>附件</w:t>
      </w:r>
      <w:r>
        <w:rPr>
          <w:rFonts w:hint="eastAsia" w:cs="Arial"/>
          <w:color w:val="auto"/>
          <w:highlight w:val="none"/>
          <w:lang w:val="en-US" w:eastAsia="zh-CN"/>
        </w:rPr>
        <w:t>6</w:t>
      </w:r>
      <w:r>
        <w:rPr>
          <w:rFonts w:hint="eastAsia" w:cs="Arial"/>
          <w:color w:val="auto"/>
          <w:highlight w:val="none"/>
        </w:rPr>
        <w:t>：工程质量保修书</w:t>
      </w:r>
    </w:p>
    <w:p w14:paraId="6B094A93">
      <w:pPr>
        <w:adjustRightInd w:val="0"/>
        <w:snapToGrid w:val="0"/>
        <w:ind w:firstLine="480" w:firstLineChars="200"/>
        <w:rPr>
          <w:rFonts w:cs="Arial"/>
          <w:color w:val="auto"/>
          <w:highlight w:val="none"/>
        </w:rPr>
      </w:pPr>
      <w:r>
        <w:rPr>
          <w:rFonts w:hint="eastAsia" w:cs="Arial"/>
          <w:color w:val="auto"/>
          <w:highlight w:val="none"/>
        </w:rPr>
        <w:t>附件</w:t>
      </w:r>
      <w:r>
        <w:rPr>
          <w:rFonts w:hint="eastAsia" w:cs="Arial"/>
          <w:color w:val="auto"/>
          <w:highlight w:val="none"/>
          <w:lang w:val="en-US" w:eastAsia="zh-CN"/>
        </w:rPr>
        <w:t>7</w:t>
      </w:r>
      <w:r>
        <w:rPr>
          <w:rFonts w:hint="eastAsia" w:cs="Arial"/>
          <w:color w:val="auto"/>
          <w:highlight w:val="none"/>
        </w:rPr>
        <w:t>：廉洁从业责任书</w:t>
      </w:r>
    </w:p>
    <w:p w14:paraId="0701F0B4">
      <w:pPr>
        <w:adjustRightInd w:val="0"/>
        <w:snapToGrid w:val="0"/>
        <w:ind w:firstLine="480" w:firstLineChars="200"/>
        <w:rPr>
          <w:rFonts w:cs="Arial"/>
          <w:color w:val="auto"/>
          <w:highlight w:val="none"/>
        </w:rPr>
      </w:pPr>
      <w:r>
        <w:rPr>
          <w:rFonts w:hint="eastAsia" w:cs="Arial"/>
          <w:color w:val="auto"/>
          <w:highlight w:val="none"/>
        </w:rPr>
        <w:t>附件</w:t>
      </w:r>
      <w:r>
        <w:rPr>
          <w:rFonts w:hint="eastAsia" w:cs="Arial"/>
          <w:color w:val="auto"/>
          <w:highlight w:val="none"/>
          <w:lang w:val="en-US" w:eastAsia="zh-CN"/>
        </w:rPr>
        <w:t>8</w:t>
      </w:r>
      <w:r>
        <w:rPr>
          <w:rFonts w:hint="eastAsia" w:cs="Arial"/>
          <w:color w:val="auto"/>
          <w:highlight w:val="none"/>
        </w:rPr>
        <w:t>：保密协议</w:t>
      </w:r>
    </w:p>
    <w:p w14:paraId="4712C26D">
      <w:pPr>
        <w:adjustRightInd w:val="0"/>
        <w:snapToGrid w:val="0"/>
        <w:ind w:firstLine="480" w:firstLineChars="200"/>
        <w:rPr>
          <w:rFonts w:cs="Arial"/>
          <w:color w:val="auto"/>
          <w:highlight w:val="none"/>
        </w:rPr>
      </w:pPr>
      <w:r>
        <w:rPr>
          <w:rFonts w:hint="eastAsia" w:cs="Arial"/>
          <w:color w:val="auto"/>
          <w:highlight w:val="none"/>
        </w:rPr>
        <w:t>附件</w:t>
      </w:r>
      <w:r>
        <w:rPr>
          <w:rFonts w:hint="eastAsia" w:cs="Arial"/>
          <w:color w:val="auto"/>
          <w:highlight w:val="none"/>
          <w:lang w:val="en-US" w:eastAsia="zh-CN"/>
        </w:rPr>
        <w:t>9</w:t>
      </w:r>
      <w:r>
        <w:rPr>
          <w:rFonts w:hint="eastAsia" w:cs="Arial"/>
          <w:color w:val="auto"/>
          <w:highlight w:val="none"/>
        </w:rPr>
        <w:t>：承包范围及要求</w:t>
      </w:r>
    </w:p>
    <w:p w14:paraId="265C5CC4">
      <w:pPr>
        <w:adjustRightInd w:val="0"/>
        <w:snapToGrid w:val="0"/>
        <w:ind w:firstLine="480" w:firstLineChars="200"/>
        <w:rPr>
          <w:rFonts w:cs="Arial"/>
          <w:color w:val="auto"/>
          <w:highlight w:val="none"/>
        </w:rPr>
      </w:pPr>
      <w:r>
        <w:rPr>
          <w:rFonts w:hint="eastAsia" w:cs="Arial"/>
          <w:color w:val="auto"/>
          <w:highlight w:val="none"/>
        </w:rPr>
        <w:t>附件1</w:t>
      </w:r>
      <w:r>
        <w:rPr>
          <w:rFonts w:hint="eastAsia" w:cs="Arial"/>
          <w:color w:val="auto"/>
          <w:highlight w:val="none"/>
          <w:lang w:val="en-US" w:eastAsia="zh-CN"/>
        </w:rPr>
        <w:t>0</w:t>
      </w:r>
      <w:r>
        <w:rPr>
          <w:rFonts w:hint="eastAsia" w:cs="Arial"/>
          <w:color w:val="auto"/>
          <w:highlight w:val="none"/>
        </w:rPr>
        <w:t>： HSE管理协议</w:t>
      </w:r>
    </w:p>
    <w:p w14:paraId="2CD8B9E5">
      <w:pPr>
        <w:adjustRightInd w:val="0"/>
        <w:snapToGrid w:val="0"/>
        <w:ind w:firstLine="480" w:firstLineChars="200"/>
        <w:rPr>
          <w:rFonts w:cs="Arial"/>
          <w:color w:val="auto"/>
          <w:highlight w:val="none"/>
        </w:rPr>
      </w:pPr>
      <w:r>
        <w:rPr>
          <w:rFonts w:hint="eastAsia" w:cs="Arial"/>
          <w:color w:val="auto"/>
          <w:highlight w:val="none"/>
        </w:rPr>
        <w:t>附件1</w:t>
      </w:r>
      <w:r>
        <w:rPr>
          <w:rFonts w:hint="eastAsia" w:cs="Arial"/>
          <w:color w:val="auto"/>
          <w:highlight w:val="none"/>
          <w:lang w:val="en-US" w:eastAsia="zh-CN"/>
        </w:rPr>
        <w:t>1</w:t>
      </w:r>
      <w:r>
        <w:rPr>
          <w:rFonts w:hint="eastAsia" w:cs="Arial"/>
          <w:color w:val="auto"/>
          <w:highlight w:val="none"/>
        </w:rPr>
        <w:t>：现场施工文明管理规定</w:t>
      </w:r>
    </w:p>
    <w:p w14:paraId="520DBD7F">
      <w:pPr>
        <w:adjustRightInd w:val="0"/>
        <w:snapToGrid w:val="0"/>
        <w:ind w:firstLine="480" w:firstLineChars="200"/>
        <w:rPr>
          <w:rFonts w:cs="Arial"/>
          <w:color w:val="auto"/>
          <w:highlight w:val="none"/>
        </w:rPr>
      </w:pPr>
      <w:r>
        <w:rPr>
          <w:rFonts w:hint="eastAsia" w:cs="Arial"/>
          <w:color w:val="auto"/>
          <w:highlight w:val="none"/>
        </w:rPr>
        <w:t>附件1</w:t>
      </w:r>
      <w:r>
        <w:rPr>
          <w:rFonts w:hint="eastAsia" w:cs="Arial"/>
          <w:color w:val="auto"/>
          <w:highlight w:val="none"/>
          <w:lang w:val="en-US" w:eastAsia="zh-CN"/>
        </w:rPr>
        <w:t>2</w:t>
      </w:r>
      <w:r>
        <w:rPr>
          <w:rFonts w:hint="eastAsia" w:cs="Arial"/>
          <w:color w:val="auto"/>
          <w:highlight w:val="none"/>
        </w:rPr>
        <w:t>：质量管理规定</w:t>
      </w:r>
    </w:p>
    <w:p w14:paraId="6F3A7E98">
      <w:pPr>
        <w:adjustRightInd w:val="0"/>
        <w:snapToGrid w:val="0"/>
        <w:ind w:firstLine="480" w:firstLineChars="200"/>
        <w:rPr>
          <w:rFonts w:cs="Arial"/>
          <w:color w:val="auto"/>
          <w:highlight w:val="none"/>
        </w:rPr>
      </w:pPr>
      <w:r>
        <w:rPr>
          <w:rFonts w:hint="eastAsia" w:cs="Arial"/>
          <w:color w:val="auto"/>
          <w:highlight w:val="none"/>
        </w:rPr>
        <w:t>附件1</w:t>
      </w:r>
      <w:r>
        <w:rPr>
          <w:rFonts w:hint="eastAsia" w:cs="Arial"/>
          <w:color w:val="auto"/>
          <w:highlight w:val="none"/>
          <w:lang w:val="en-US" w:eastAsia="zh-CN"/>
        </w:rPr>
        <w:t>3</w:t>
      </w:r>
      <w:r>
        <w:rPr>
          <w:rFonts w:hint="eastAsia" w:cs="Arial"/>
          <w:color w:val="auto"/>
          <w:highlight w:val="none"/>
        </w:rPr>
        <w:t>：信息及文档管理规定</w:t>
      </w:r>
    </w:p>
    <w:p w14:paraId="7742D82A">
      <w:pPr>
        <w:adjustRightInd w:val="0"/>
        <w:snapToGrid w:val="0"/>
        <w:ind w:firstLine="480" w:firstLineChars="200"/>
        <w:rPr>
          <w:rFonts w:cs="Arial"/>
          <w:color w:val="auto"/>
          <w:highlight w:val="none"/>
        </w:rPr>
      </w:pPr>
      <w:r>
        <w:rPr>
          <w:rFonts w:hint="eastAsia" w:cs="Arial"/>
          <w:color w:val="auto"/>
          <w:highlight w:val="none"/>
        </w:rPr>
        <w:t>附件1</w:t>
      </w:r>
      <w:r>
        <w:rPr>
          <w:rFonts w:hint="eastAsia" w:cs="Arial"/>
          <w:color w:val="auto"/>
          <w:highlight w:val="none"/>
          <w:lang w:val="en-US" w:eastAsia="zh-CN"/>
        </w:rPr>
        <w:t>4</w:t>
      </w:r>
      <w:r>
        <w:rPr>
          <w:rFonts w:hint="eastAsia" w:cs="Arial"/>
          <w:color w:val="auto"/>
          <w:highlight w:val="none"/>
        </w:rPr>
        <w:t>：规范农民工工资支付管理</w:t>
      </w:r>
    </w:p>
    <w:p w14:paraId="2DED1A23">
      <w:pPr>
        <w:adjustRightInd w:val="0"/>
        <w:snapToGrid w:val="0"/>
        <w:ind w:firstLine="480" w:firstLineChars="200"/>
        <w:rPr>
          <w:rFonts w:cs="Arial"/>
          <w:color w:val="auto"/>
          <w:highlight w:val="none"/>
        </w:rPr>
      </w:pPr>
      <w:r>
        <w:rPr>
          <w:rFonts w:hint="eastAsia" w:cs="Arial"/>
          <w:color w:val="auto"/>
          <w:highlight w:val="none"/>
        </w:rPr>
        <w:t>附件1</w:t>
      </w:r>
      <w:r>
        <w:rPr>
          <w:rFonts w:hint="eastAsia" w:cs="Arial"/>
          <w:color w:val="auto"/>
          <w:highlight w:val="none"/>
          <w:lang w:val="en-US" w:eastAsia="zh-CN"/>
        </w:rPr>
        <w:t>5</w:t>
      </w:r>
      <w:r>
        <w:rPr>
          <w:rFonts w:hint="eastAsia" w:cs="Arial"/>
          <w:color w:val="auto"/>
          <w:highlight w:val="none"/>
        </w:rPr>
        <w:t>：关于集团外承包人的物资采购要求</w:t>
      </w:r>
    </w:p>
    <w:p w14:paraId="6BA752A7">
      <w:pPr>
        <w:adjustRightInd w:val="0"/>
        <w:snapToGrid w:val="0"/>
        <w:ind w:firstLine="480" w:firstLineChars="200"/>
        <w:rPr>
          <w:rFonts w:cs="Arial"/>
          <w:color w:val="auto"/>
          <w:highlight w:val="none"/>
        </w:rPr>
      </w:pPr>
      <w:r>
        <w:rPr>
          <w:rFonts w:hint="eastAsia" w:cs="Arial"/>
          <w:color w:val="auto"/>
          <w:highlight w:val="none"/>
        </w:rPr>
        <w:t>附件1</w:t>
      </w:r>
      <w:r>
        <w:rPr>
          <w:rFonts w:hint="eastAsia" w:cs="Arial"/>
          <w:color w:val="auto"/>
          <w:highlight w:val="none"/>
          <w:lang w:val="en-US" w:eastAsia="zh-CN"/>
        </w:rPr>
        <w:t>6</w:t>
      </w:r>
      <w:r>
        <w:rPr>
          <w:rFonts w:hint="eastAsia" w:cs="Arial"/>
          <w:color w:val="auto"/>
          <w:highlight w:val="none"/>
        </w:rPr>
        <w:t>：中国石化建设项目承包商记分量化考核办法(试行)</w:t>
      </w:r>
    </w:p>
    <w:p w14:paraId="2A34C7ED">
      <w:pPr>
        <w:adjustRightInd w:val="0"/>
        <w:snapToGrid w:val="0"/>
        <w:ind w:firstLine="480" w:firstLineChars="200"/>
        <w:rPr>
          <w:rFonts w:cs="Arial"/>
          <w:color w:val="auto"/>
          <w:highlight w:val="none"/>
        </w:rPr>
      </w:pPr>
      <w:r>
        <w:rPr>
          <w:rFonts w:hint="eastAsia" w:cs="Arial"/>
          <w:color w:val="auto"/>
          <w:highlight w:val="none"/>
        </w:rPr>
        <w:t>附件1</w:t>
      </w:r>
      <w:r>
        <w:rPr>
          <w:rFonts w:hint="eastAsia" w:cs="Arial"/>
          <w:color w:val="auto"/>
          <w:highlight w:val="none"/>
          <w:lang w:val="en-US" w:eastAsia="zh-CN"/>
        </w:rPr>
        <w:t>7</w:t>
      </w:r>
      <w:r>
        <w:rPr>
          <w:rFonts w:hint="eastAsia" w:cs="Arial"/>
          <w:color w:val="auto"/>
          <w:highlight w:val="none"/>
        </w:rPr>
        <w:t>：中国石化建设项目环境保护管理办法</w:t>
      </w:r>
    </w:p>
    <w:p w14:paraId="45BF25C5">
      <w:pPr>
        <w:adjustRightInd w:val="0"/>
        <w:snapToGrid w:val="0"/>
        <w:ind w:firstLine="480" w:firstLineChars="200"/>
        <w:rPr>
          <w:rFonts w:cs="Arial"/>
          <w:color w:val="auto"/>
          <w:highlight w:val="none"/>
        </w:rPr>
      </w:pPr>
      <w:r>
        <w:rPr>
          <w:rFonts w:hint="eastAsia" w:cs="Arial"/>
          <w:color w:val="auto"/>
          <w:highlight w:val="none"/>
        </w:rPr>
        <w:t>附件1</w:t>
      </w:r>
      <w:r>
        <w:rPr>
          <w:rFonts w:hint="eastAsia" w:cs="Arial"/>
          <w:color w:val="auto"/>
          <w:highlight w:val="none"/>
          <w:lang w:val="en-US" w:eastAsia="zh-CN"/>
        </w:rPr>
        <w:t>8</w:t>
      </w:r>
      <w:r>
        <w:rPr>
          <w:rFonts w:hint="eastAsia" w:cs="Arial"/>
          <w:color w:val="auto"/>
          <w:highlight w:val="none"/>
        </w:rPr>
        <w:t>：承包人环境保护管理职责及措施</w:t>
      </w:r>
    </w:p>
    <w:p w14:paraId="3D9B58EE">
      <w:pPr>
        <w:adjustRightInd w:val="0"/>
        <w:snapToGrid w:val="0"/>
        <w:ind w:firstLine="480" w:firstLineChars="200"/>
        <w:rPr>
          <w:rFonts w:cs="Arial"/>
          <w:color w:val="auto"/>
          <w:highlight w:val="none"/>
        </w:rPr>
      </w:pPr>
      <w:r>
        <w:rPr>
          <w:rFonts w:hint="eastAsia" w:cs="Arial"/>
          <w:color w:val="auto"/>
          <w:highlight w:val="none"/>
        </w:rPr>
        <w:t>附件</w:t>
      </w:r>
      <w:r>
        <w:rPr>
          <w:rFonts w:hint="eastAsia" w:cs="Arial"/>
          <w:color w:val="auto"/>
          <w:highlight w:val="none"/>
          <w:lang w:val="en-US" w:eastAsia="zh-CN"/>
        </w:rPr>
        <w:t>19</w:t>
      </w:r>
      <w:r>
        <w:rPr>
          <w:rFonts w:hint="eastAsia" w:cs="Arial"/>
          <w:color w:val="auto"/>
          <w:highlight w:val="none"/>
        </w:rPr>
        <w:t>：承发包双方安全管理职责</w:t>
      </w:r>
    </w:p>
    <w:p w14:paraId="28023B4E">
      <w:pPr>
        <w:adjustRightInd w:val="0"/>
        <w:snapToGrid w:val="0"/>
        <w:ind w:firstLine="480" w:firstLineChars="200"/>
        <w:rPr>
          <w:rFonts w:cs="Arial"/>
          <w:color w:val="auto"/>
          <w:highlight w:val="none"/>
        </w:rPr>
      </w:pPr>
      <w:r>
        <w:rPr>
          <w:rFonts w:hint="eastAsia" w:cs="Arial"/>
          <w:color w:val="auto"/>
          <w:highlight w:val="none"/>
        </w:rPr>
        <w:t>附件2</w:t>
      </w:r>
      <w:r>
        <w:rPr>
          <w:rFonts w:hint="eastAsia" w:cs="Arial"/>
          <w:color w:val="auto"/>
          <w:highlight w:val="none"/>
          <w:lang w:val="en-US" w:eastAsia="zh-CN"/>
        </w:rPr>
        <w:t>0</w:t>
      </w:r>
      <w:r>
        <w:rPr>
          <w:rFonts w:hint="eastAsia" w:cs="Arial"/>
          <w:color w:val="auto"/>
          <w:highlight w:val="none"/>
        </w:rPr>
        <w:t>：《中国石化建设工程分包管理办法》(中国石化制〔2020〕285号)</w:t>
      </w:r>
    </w:p>
    <w:p w14:paraId="3ABD7146">
      <w:pPr>
        <w:snapToGrid w:val="0"/>
        <w:ind w:firstLine="480" w:firstLineChars="200"/>
        <w:rPr>
          <w:rFonts w:cs="Arial"/>
          <w:color w:val="auto"/>
          <w:highlight w:val="none"/>
        </w:rPr>
      </w:pPr>
      <w:r>
        <w:rPr>
          <w:rFonts w:hint="eastAsia" w:cs="Arial"/>
          <w:color w:val="auto"/>
          <w:highlight w:val="none"/>
        </w:rPr>
        <w:t>附件2</w:t>
      </w:r>
      <w:r>
        <w:rPr>
          <w:rFonts w:hint="eastAsia" w:cs="Arial"/>
          <w:color w:val="auto"/>
          <w:highlight w:val="none"/>
          <w:lang w:val="en-US" w:eastAsia="zh-CN"/>
        </w:rPr>
        <w:t>1</w:t>
      </w:r>
      <w:r>
        <w:rPr>
          <w:rFonts w:hint="eastAsia" w:cs="Arial"/>
          <w:color w:val="auto"/>
          <w:highlight w:val="none"/>
        </w:rPr>
        <w:t>：</w:t>
      </w:r>
      <w:r>
        <w:rPr>
          <w:rFonts w:hint="eastAsia" w:ascii="宋体" w:hAnsi="宋体" w:cs="Arial"/>
          <w:color w:val="auto"/>
          <w:highlight w:val="none"/>
          <w:lang w:bidi="ar"/>
        </w:rPr>
        <w:t>《中国石化承包商安全监督管理办法》</w:t>
      </w:r>
    </w:p>
    <w:p w14:paraId="3508CF36">
      <w:pPr>
        <w:adjustRightInd w:val="0"/>
        <w:snapToGrid w:val="0"/>
        <w:ind w:firstLine="480" w:firstLineChars="200"/>
        <w:rPr>
          <w:rFonts w:cs="Arial"/>
          <w:color w:val="auto"/>
          <w:highlight w:val="none"/>
        </w:rPr>
      </w:pPr>
      <w:r>
        <w:rPr>
          <w:rFonts w:hint="eastAsia" w:cs="Arial"/>
          <w:color w:val="auto"/>
          <w:highlight w:val="none"/>
        </w:rPr>
        <w:t>附件2</w:t>
      </w:r>
      <w:r>
        <w:rPr>
          <w:rFonts w:hint="eastAsia" w:cs="Arial"/>
          <w:color w:val="auto"/>
          <w:highlight w:val="none"/>
          <w:lang w:val="en-US" w:eastAsia="zh-CN"/>
        </w:rPr>
        <w:t>2</w:t>
      </w:r>
      <w:r>
        <w:rPr>
          <w:rFonts w:hint="eastAsia" w:cs="Arial"/>
          <w:color w:val="auto"/>
          <w:highlight w:val="none"/>
        </w:rPr>
        <w:t>：茂名石化安全生产"第1号”工作令</w:t>
      </w:r>
      <w:bookmarkEnd w:id="985"/>
    </w:p>
    <w:p w14:paraId="20CD4AA8">
      <w:pPr>
        <w:adjustRightInd w:val="0"/>
        <w:snapToGrid w:val="0"/>
        <w:ind w:firstLine="480" w:firstLineChars="200"/>
        <w:rPr>
          <w:rFonts w:hint="eastAsia" w:ascii="宋体" w:hAnsi="宋体" w:cs="Arial"/>
          <w:color w:val="auto"/>
          <w:highlight w:val="none"/>
          <w:lang w:bidi="ar"/>
        </w:rPr>
      </w:pPr>
      <w:r>
        <w:rPr>
          <w:rFonts w:hint="eastAsia" w:cs="Arial"/>
          <w:color w:val="auto"/>
          <w:highlight w:val="none"/>
        </w:rPr>
        <w:t>附件2</w:t>
      </w:r>
      <w:r>
        <w:rPr>
          <w:rFonts w:hint="eastAsia" w:cs="Arial"/>
          <w:color w:val="auto"/>
          <w:highlight w:val="none"/>
          <w:lang w:val="en-US" w:eastAsia="zh-CN"/>
        </w:rPr>
        <w:t>3</w:t>
      </w:r>
      <w:r>
        <w:rPr>
          <w:rFonts w:hint="eastAsia" w:cs="Arial"/>
          <w:color w:val="auto"/>
          <w:highlight w:val="none"/>
        </w:rPr>
        <w:t>：</w:t>
      </w:r>
      <w:r>
        <w:rPr>
          <w:rFonts w:hint="eastAsia" w:ascii="宋体" w:hAnsi="宋体" w:cs="Arial"/>
          <w:color w:val="auto"/>
          <w:highlight w:val="none"/>
          <w:lang w:bidi="ar"/>
        </w:rPr>
        <w:t>茂名石化相关管理规定</w:t>
      </w:r>
    </w:p>
    <w:p w14:paraId="30170399">
      <w:pPr>
        <w:adjustRightInd w:val="0"/>
        <w:snapToGrid w:val="0"/>
        <w:ind w:firstLine="480" w:firstLineChars="200"/>
        <w:rPr>
          <w:rFonts w:hint="eastAsia" w:ascii="宋体" w:hAnsi="宋体" w:cs="Arial"/>
          <w:color w:val="auto"/>
          <w:highlight w:val="none"/>
          <w:lang w:bidi="ar"/>
        </w:rPr>
      </w:pPr>
      <w:r>
        <w:rPr>
          <w:rFonts w:hint="eastAsia" w:cs="Arial"/>
          <w:color w:val="auto"/>
          <w:highlight w:val="none"/>
        </w:rPr>
        <w:t>附件2</w:t>
      </w:r>
      <w:r>
        <w:rPr>
          <w:rFonts w:hint="eastAsia" w:cs="Arial"/>
          <w:color w:val="auto"/>
          <w:highlight w:val="none"/>
          <w:lang w:val="en-US" w:eastAsia="zh-CN"/>
        </w:rPr>
        <w:t>4</w:t>
      </w:r>
      <w:r>
        <w:rPr>
          <w:rFonts w:hint="eastAsia" w:cs="Arial"/>
          <w:color w:val="auto"/>
          <w:highlight w:val="none"/>
        </w:rPr>
        <w:t>：</w:t>
      </w:r>
      <w:r>
        <w:rPr>
          <w:rFonts w:hint="eastAsia" w:ascii="宋体" w:hAnsi="宋体" w:cs="Arial"/>
          <w:b w:val="0"/>
          <w:bCs w:val="0"/>
          <w:i w:val="0"/>
          <w:iCs w:val="0"/>
          <w:strike w:val="0"/>
          <w:dstrike w:val="0"/>
          <w:color w:val="auto"/>
          <w:kern w:val="2"/>
          <w:sz w:val="24"/>
          <w:szCs w:val="24"/>
          <w:highlight w:val="none"/>
          <w:lang w:val="en-US" w:eastAsia="zh-CN"/>
        </w:rPr>
        <w:t>签证及结算管理要求</w:t>
      </w:r>
    </w:p>
    <w:p w14:paraId="7C2ABE55">
      <w:pPr>
        <w:widowControl/>
        <w:spacing w:line="240" w:lineRule="auto"/>
        <w:jc w:val="left"/>
        <w:rPr>
          <w:rFonts w:cs="Arial"/>
          <w:color w:val="auto"/>
          <w:highlight w:val="none"/>
        </w:rPr>
      </w:pPr>
    </w:p>
    <w:p w14:paraId="7A1155B1">
      <w:pPr>
        <w:rPr>
          <w:rFonts w:hint="eastAsia" w:ascii="Times New Roman" w:cs="Arial"/>
          <w:bCs w:val="0"/>
          <w:color w:val="auto"/>
          <w:highlight w:val="none"/>
        </w:rPr>
      </w:pPr>
      <w:bookmarkStart w:id="986" w:name="_Toc256000098"/>
      <w:bookmarkStart w:id="987" w:name="_Toc1093"/>
      <w:r>
        <w:rPr>
          <w:rFonts w:hint="eastAsia" w:ascii="Times New Roman" w:cs="Arial"/>
          <w:bCs w:val="0"/>
          <w:color w:val="auto"/>
          <w:highlight w:val="none"/>
        </w:rPr>
        <w:br w:type="page"/>
      </w:r>
    </w:p>
    <w:p w14:paraId="3C06BFD9">
      <w:pPr>
        <w:keepNext/>
        <w:keepLines/>
        <w:widowControl/>
        <w:adjustRightInd w:val="0"/>
        <w:snapToGrid w:val="0"/>
        <w:spacing w:line="240" w:lineRule="auto"/>
        <w:jc w:val="left"/>
        <w:outlineLvl w:val="1"/>
        <w:rPr>
          <w:rFonts w:ascii="Times New Roman" w:cs="Arial"/>
          <w:bCs w:val="0"/>
          <w:color w:val="auto"/>
          <w:highlight w:val="none"/>
        </w:rPr>
      </w:pPr>
      <w:r>
        <w:rPr>
          <w:rFonts w:hint="eastAsia" w:ascii="Times New Roman" w:cs="Arial"/>
          <w:bCs w:val="0"/>
          <w:color w:val="auto"/>
          <w:highlight w:val="none"/>
        </w:rPr>
        <w:t>附件</w:t>
      </w:r>
      <w:r>
        <w:rPr>
          <w:rFonts w:ascii="Times New Roman" w:cs="Arial"/>
          <w:bCs w:val="0"/>
          <w:color w:val="auto"/>
          <w:highlight w:val="none"/>
        </w:rPr>
        <w:t>1</w:t>
      </w:r>
      <w:r>
        <w:rPr>
          <w:rFonts w:hint="eastAsia" w:ascii="Times New Roman" w:cs="Arial"/>
          <w:bCs w:val="0"/>
          <w:color w:val="auto"/>
          <w:highlight w:val="none"/>
        </w:rPr>
        <w:t>：投标报价说明及合同结算价款说明</w:t>
      </w:r>
      <w:bookmarkEnd w:id="986"/>
      <w:bookmarkEnd w:id="987"/>
    </w:p>
    <w:p w14:paraId="01593138">
      <w:pPr>
        <w:snapToGrid w:val="0"/>
        <w:rPr>
          <w:b/>
          <w:bCs/>
          <w:color w:val="auto"/>
          <w:highlight w:val="none"/>
        </w:rPr>
      </w:pPr>
      <w:bookmarkStart w:id="988" w:name="_Toc11752"/>
      <w:bookmarkStart w:id="989" w:name="_Toc115168276"/>
      <w:bookmarkStart w:id="990" w:name="_Toc118283525"/>
      <w:r>
        <w:rPr>
          <w:rFonts w:hint="eastAsia"/>
          <w:b/>
          <w:bCs/>
          <w:color w:val="auto"/>
          <w:highlight w:val="none"/>
        </w:rPr>
        <w:t>1．报价依据</w:t>
      </w:r>
      <w:bookmarkEnd w:id="988"/>
      <w:bookmarkEnd w:id="989"/>
      <w:bookmarkEnd w:id="990"/>
    </w:p>
    <w:p w14:paraId="27094265">
      <w:pPr>
        <w:adjustRightInd w:val="0"/>
        <w:snapToGrid w:val="0"/>
        <w:ind w:firstLine="480" w:firstLineChars="200"/>
        <w:rPr>
          <w:color w:val="auto"/>
          <w:highlight w:val="none"/>
        </w:rPr>
      </w:pPr>
      <w:r>
        <w:rPr>
          <w:rFonts w:hint="eastAsia"/>
          <w:color w:val="auto"/>
          <w:highlight w:val="none"/>
        </w:rPr>
        <w:t>1.1承包商依照以下内容进行报价：</w:t>
      </w:r>
    </w:p>
    <w:p w14:paraId="0B152BC9">
      <w:pPr>
        <w:adjustRightInd w:val="0"/>
        <w:snapToGrid w:val="0"/>
        <w:ind w:firstLine="480" w:firstLineChars="200"/>
        <w:rPr>
          <w:color w:val="auto"/>
          <w:highlight w:val="none"/>
        </w:rPr>
      </w:pPr>
      <w:r>
        <w:rPr>
          <w:rFonts w:hint="eastAsia"/>
          <w:color w:val="auto"/>
          <w:highlight w:val="none"/>
        </w:rPr>
        <w:t>（1）采购文件及其补充修改及澄清文件；</w:t>
      </w:r>
    </w:p>
    <w:p w14:paraId="3DFA38C9">
      <w:pPr>
        <w:adjustRightInd w:val="0"/>
        <w:snapToGrid w:val="0"/>
        <w:ind w:firstLine="480" w:firstLineChars="200"/>
        <w:rPr>
          <w:color w:val="auto"/>
          <w:highlight w:val="none"/>
        </w:rPr>
      </w:pPr>
      <w:r>
        <w:rPr>
          <w:rFonts w:hint="eastAsia"/>
          <w:color w:val="auto"/>
          <w:highlight w:val="none"/>
        </w:rPr>
        <w:t>（2）</w:t>
      </w:r>
      <w:r>
        <w:rPr>
          <w:rFonts w:hint="eastAsia"/>
          <w:color w:val="auto"/>
          <w:szCs w:val="32"/>
          <w:highlight w:val="none"/>
          <w:lang w:val="zh-CN"/>
        </w:rPr>
        <w:t>茂名石化炼油区域装置（1号石蜡成型、4号石蜡成型【含仓库】、蜡白土及储罐</w:t>
      </w:r>
      <w:r>
        <w:rPr>
          <w:rFonts w:hint="eastAsia" w:ascii="宋体" w:hAnsi="宋体"/>
          <w:color w:val="auto"/>
          <w:highlight w:val="none"/>
          <w:lang w:eastAsia="zh-CN"/>
        </w:rPr>
        <w:t>、</w:t>
      </w:r>
      <w:r>
        <w:rPr>
          <w:rFonts w:hint="eastAsia" w:ascii="宋体" w:hAnsi="宋体"/>
          <w:color w:val="auto"/>
          <w:highlight w:val="none"/>
          <w:lang w:val="en-US" w:eastAsia="zh-CN"/>
        </w:rPr>
        <w:t>轻白土【部分】</w:t>
      </w:r>
      <w:r>
        <w:rPr>
          <w:rFonts w:hint="eastAsia"/>
          <w:color w:val="auto"/>
          <w:szCs w:val="32"/>
          <w:highlight w:val="none"/>
          <w:lang w:val="zh-CN"/>
        </w:rPr>
        <w:t>）</w:t>
      </w:r>
      <w:r>
        <w:rPr>
          <w:rFonts w:hint="eastAsia"/>
          <w:color w:val="auto"/>
          <w:highlight w:val="none"/>
        </w:rPr>
        <w:t xml:space="preserve">拆除范围、拆除物资清单等； </w:t>
      </w:r>
    </w:p>
    <w:p w14:paraId="7E2C2136">
      <w:pPr>
        <w:adjustRightInd w:val="0"/>
        <w:snapToGrid w:val="0"/>
        <w:ind w:firstLine="480" w:firstLineChars="200"/>
        <w:rPr>
          <w:color w:val="auto"/>
          <w:highlight w:val="none"/>
        </w:rPr>
      </w:pPr>
      <w:r>
        <w:rPr>
          <w:rFonts w:hint="eastAsia"/>
          <w:color w:val="auto"/>
          <w:highlight w:val="none"/>
        </w:rPr>
        <w:t>（3）工程现场情况、工程特点及响应时拟定的施工组织</w:t>
      </w:r>
      <w:r>
        <w:rPr>
          <w:color w:val="auto"/>
          <w:highlight w:val="none"/>
        </w:rPr>
        <w:t>设计</w:t>
      </w:r>
      <w:r>
        <w:rPr>
          <w:rFonts w:hint="eastAsia"/>
          <w:color w:val="auto"/>
          <w:highlight w:val="none"/>
        </w:rPr>
        <w:t>；</w:t>
      </w:r>
    </w:p>
    <w:p w14:paraId="6B8D6FCF">
      <w:pPr>
        <w:adjustRightInd w:val="0"/>
        <w:snapToGrid w:val="0"/>
        <w:ind w:firstLine="480" w:firstLineChars="200"/>
        <w:rPr>
          <w:color w:val="auto"/>
          <w:highlight w:val="none"/>
        </w:rPr>
      </w:pPr>
      <w:r>
        <w:rPr>
          <w:rFonts w:hint="eastAsia"/>
          <w:color w:val="auto"/>
          <w:highlight w:val="none"/>
        </w:rPr>
        <w:t>（4）相关的标准、规范等技术资料；</w:t>
      </w:r>
    </w:p>
    <w:p w14:paraId="61B5BCEB">
      <w:pPr>
        <w:snapToGrid w:val="0"/>
        <w:ind w:firstLine="480"/>
        <w:rPr>
          <w:color w:val="auto"/>
          <w:highlight w:val="none"/>
        </w:rPr>
      </w:pPr>
      <w:r>
        <w:rPr>
          <w:rFonts w:hint="eastAsia"/>
          <w:color w:val="auto"/>
          <w:highlight w:val="none"/>
        </w:rPr>
        <w:t>（</w:t>
      </w:r>
      <w:r>
        <w:rPr>
          <w:color w:val="auto"/>
          <w:highlight w:val="none"/>
        </w:rPr>
        <w:t>5）</w:t>
      </w:r>
      <w:r>
        <w:rPr>
          <w:rFonts w:hint="eastAsia"/>
          <w:color w:val="auto"/>
          <w:highlight w:val="none"/>
        </w:rPr>
        <w:t>国家、中国石化、相关行业、工程所在地计价管理办法、相关计价文件；</w:t>
      </w:r>
    </w:p>
    <w:p w14:paraId="63BFED66">
      <w:pPr>
        <w:snapToGrid w:val="0"/>
        <w:ind w:firstLine="480"/>
        <w:rPr>
          <w:color w:val="auto"/>
          <w:highlight w:val="none"/>
        </w:rPr>
      </w:pPr>
      <w:r>
        <w:rPr>
          <w:rFonts w:hint="eastAsia"/>
          <w:color w:val="auto"/>
          <w:highlight w:val="none"/>
        </w:rPr>
        <w:t>（</w:t>
      </w:r>
      <w:r>
        <w:rPr>
          <w:color w:val="auto"/>
          <w:highlight w:val="none"/>
        </w:rPr>
        <w:t>6）市场价格信息、工程造价管理机构发布的工程造价信息；</w:t>
      </w:r>
    </w:p>
    <w:p w14:paraId="2A0E2984">
      <w:pPr>
        <w:adjustRightInd w:val="0"/>
        <w:snapToGrid w:val="0"/>
        <w:ind w:left="720" w:leftChars="200" w:hanging="240" w:hangingChars="100"/>
        <w:rPr>
          <w:color w:val="auto"/>
          <w:highlight w:val="none"/>
        </w:rPr>
      </w:pPr>
      <w:r>
        <w:rPr>
          <w:rFonts w:hint="eastAsia"/>
          <w:color w:val="auto"/>
          <w:highlight w:val="none"/>
        </w:rPr>
        <w:t>（7）其他的相关资料；</w:t>
      </w:r>
    </w:p>
    <w:p w14:paraId="76EFFB67">
      <w:pPr>
        <w:snapToGrid w:val="0"/>
        <w:rPr>
          <w:b/>
          <w:bCs/>
          <w:color w:val="auto"/>
          <w:highlight w:val="none"/>
        </w:rPr>
      </w:pPr>
      <w:bookmarkStart w:id="991" w:name="_Toc115168277"/>
      <w:bookmarkStart w:id="992" w:name="_Toc118283526"/>
      <w:bookmarkStart w:id="993" w:name="_Toc15729"/>
      <w:r>
        <w:rPr>
          <w:rFonts w:hint="eastAsia"/>
          <w:b/>
          <w:bCs/>
          <w:color w:val="auto"/>
          <w:highlight w:val="none"/>
        </w:rPr>
        <w:t>2．报价内容及相关说明</w:t>
      </w:r>
      <w:bookmarkEnd w:id="991"/>
      <w:bookmarkEnd w:id="992"/>
      <w:bookmarkEnd w:id="993"/>
    </w:p>
    <w:p w14:paraId="2F039395">
      <w:pPr>
        <w:adjustRightInd w:val="0"/>
        <w:snapToGrid w:val="0"/>
        <w:ind w:firstLine="482" w:firstLineChars="200"/>
        <w:rPr>
          <w:b/>
          <w:color w:val="auto"/>
          <w:highlight w:val="none"/>
        </w:rPr>
      </w:pPr>
      <w:r>
        <w:rPr>
          <w:rFonts w:hint="eastAsia"/>
          <w:b/>
          <w:color w:val="auto"/>
          <w:highlight w:val="none"/>
        </w:rPr>
        <w:t>2.</w:t>
      </w:r>
      <w:r>
        <w:rPr>
          <w:b/>
          <w:color w:val="auto"/>
          <w:highlight w:val="none"/>
        </w:rPr>
        <w:t>1</w:t>
      </w:r>
      <w:r>
        <w:rPr>
          <w:rFonts w:hint="eastAsia"/>
          <w:b/>
          <w:color w:val="auto"/>
          <w:highlight w:val="none"/>
        </w:rPr>
        <w:t>拆除</w:t>
      </w:r>
      <w:r>
        <w:rPr>
          <w:b/>
          <w:color w:val="auto"/>
          <w:highlight w:val="none"/>
        </w:rPr>
        <w:t>施工费用</w:t>
      </w:r>
    </w:p>
    <w:p w14:paraId="5BA3511D">
      <w:pPr>
        <w:adjustRightInd w:val="0"/>
        <w:snapToGrid w:val="0"/>
        <w:ind w:firstLine="480" w:firstLineChars="200"/>
        <w:rPr>
          <w:b/>
          <w:color w:val="auto"/>
          <w:highlight w:val="none"/>
        </w:rPr>
      </w:pPr>
      <w:r>
        <w:rPr>
          <w:rFonts w:hint="eastAsia"/>
          <w:bCs/>
          <w:color w:val="auto"/>
          <w:highlight w:val="none"/>
        </w:rPr>
        <w:t>2.1.1包含但不限于以下内容：</w:t>
      </w:r>
    </w:p>
    <w:p w14:paraId="4871FF7C">
      <w:pPr>
        <w:numPr>
          <w:ilvl w:val="0"/>
          <w:numId w:val="5"/>
        </w:numPr>
        <w:snapToGrid w:val="0"/>
        <w:ind w:firstLine="480"/>
        <w:rPr>
          <w:color w:val="auto"/>
          <w:highlight w:val="none"/>
        </w:rPr>
      </w:pPr>
      <w:r>
        <w:rPr>
          <w:rFonts w:hint="eastAsia"/>
          <w:color w:val="auto"/>
          <w:highlight w:val="none"/>
        </w:rPr>
        <w:t>红线范围内的</w:t>
      </w:r>
      <w:r>
        <w:rPr>
          <w:color w:val="auto"/>
          <w:highlight w:val="none"/>
        </w:rPr>
        <w:t>装置</w:t>
      </w:r>
      <w:r>
        <w:rPr>
          <w:rFonts w:hint="eastAsia"/>
          <w:color w:val="auto"/>
          <w:highlight w:val="none"/>
          <w:lang w:eastAsia="zh-CN"/>
        </w:rPr>
        <w:t>、</w:t>
      </w:r>
      <w:r>
        <w:rPr>
          <w:rFonts w:hint="eastAsia"/>
          <w:color w:val="auto"/>
          <w:highlight w:val="none"/>
        </w:rPr>
        <w:t>建构筑物（含地上及地下障碍物）</w:t>
      </w:r>
      <w:r>
        <w:rPr>
          <w:rFonts w:hint="eastAsia"/>
          <w:color w:val="auto"/>
          <w:highlight w:val="none"/>
          <w:lang w:eastAsia="zh-CN"/>
        </w:rPr>
        <w:t>、</w:t>
      </w:r>
      <w:r>
        <w:rPr>
          <w:rFonts w:hint="eastAsia"/>
          <w:color w:val="auto"/>
          <w:highlight w:val="none"/>
          <w:lang w:val="en-US" w:eastAsia="zh-CN"/>
        </w:rPr>
        <w:t>绿化植物及部分红线范围外但在拆除清单中的设备设施</w:t>
      </w:r>
      <w:r>
        <w:rPr>
          <w:rFonts w:hint="eastAsia"/>
          <w:color w:val="auto"/>
          <w:highlight w:val="none"/>
        </w:rPr>
        <w:t>等按照采购人要求拆除（包括保护性拆除）的施工费用：包括但不限于拆除、切割、分类堆放、保护等费用；</w:t>
      </w:r>
    </w:p>
    <w:p w14:paraId="0A1D1614">
      <w:pPr>
        <w:snapToGrid w:val="0"/>
        <w:ind w:firstLine="480"/>
        <w:rPr>
          <w:color w:val="auto"/>
          <w:highlight w:val="none"/>
        </w:rPr>
      </w:pPr>
      <w:r>
        <w:rPr>
          <w:rFonts w:hint="eastAsia"/>
          <w:color w:val="auto"/>
          <w:highlight w:val="none"/>
        </w:rPr>
        <w:t>（</w:t>
      </w:r>
      <w:r>
        <w:rPr>
          <w:color w:val="auto"/>
          <w:highlight w:val="none"/>
        </w:rPr>
        <w:t>2</w:t>
      </w:r>
      <w:r>
        <w:rPr>
          <w:rFonts w:hint="eastAsia"/>
          <w:color w:val="auto"/>
          <w:highlight w:val="none"/>
        </w:rPr>
        <w:t>）拆除涉及</w:t>
      </w:r>
      <w:r>
        <w:rPr>
          <w:color w:val="auto"/>
          <w:highlight w:val="none"/>
        </w:rPr>
        <w:t>的</w:t>
      </w:r>
      <w:r>
        <w:rPr>
          <w:rFonts w:hint="eastAsia"/>
          <w:color w:val="auto"/>
          <w:highlight w:val="none"/>
        </w:rPr>
        <w:t>围蔽、硬隔离等必须要投入的安全措施</w:t>
      </w:r>
      <w:r>
        <w:rPr>
          <w:color w:val="auto"/>
          <w:highlight w:val="none"/>
        </w:rPr>
        <w:t>费用</w:t>
      </w:r>
      <w:r>
        <w:rPr>
          <w:rFonts w:hint="eastAsia"/>
          <w:color w:val="auto"/>
          <w:highlight w:val="none"/>
        </w:rPr>
        <w:t>，特定条件下费用（150吨以上大吊）；</w:t>
      </w:r>
      <w:r>
        <w:rPr>
          <w:color w:val="auto"/>
          <w:highlight w:val="none"/>
        </w:rPr>
        <w:t xml:space="preserve"> </w:t>
      </w:r>
    </w:p>
    <w:p w14:paraId="78CE7721">
      <w:pPr>
        <w:snapToGrid w:val="0"/>
        <w:ind w:firstLine="480"/>
        <w:rPr>
          <w:rFonts w:hint="eastAsia"/>
          <w:color w:val="auto"/>
          <w:highlight w:val="none"/>
        </w:rPr>
      </w:pPr>
      <w:r>
        <w:rPr>
          <w:rFonts w:hint="eastAsia"/>
          <w:color w:val="auto"/>
          <w:highlight w:val="none"/>
        </w:rPr>
        <w:t>（3）采购人回收物资（保护性拆除物资）运至采购人指定地点（运距约</w:t>
      </w:r>
      <w:r>
        <w:rPr>
          <w:rFonts w:hint="eastAsia"/>
          <w:color w:val="auto"/>
          <w:highlight w:val="none"/>
          <w:lang w:eastAsia="zh-CN"/>
        </w:rPr>
        <w:t>2-19</w:t>
      </w:r>
      <w:r>
        <w:rPr>
          <w:color w:val="auto"/>
          <w:highlight w:val="none"/>
        </w:rPr>
        <w:t>km）</w:t>
      </w:r>
      <w:r>
        <w:rPr>
          <w:rFonts w:hint="eastAsia"/>
          <w:color w:val="auto"/>
          <w:highlight w:val="none"/>
        </w:rPr>
        <w:t>摆放，拍卖处置物资保管、装车等，其余废弃物完工清理处置、危废（含油泥等污染物）合规弃置、建筑垃圾清理运输等涉及的相关费用；</w:t>
      </w:r>
    </w:p>
    <w:p w14:paraId="375B7551">
      <w:pPr>
        <w:snapToGrid w:val="0"/>
        <w:ind w:firstLine="480"/>
        <w:rPr>
          <w:rFonts w:hint="eastAsia"/>
          <w:color w:val="auto"/>
          <w:highlight w:val="none"/>
        </w:rPr>
      </w:pPr>
      <w:r>
        <w:rPr>
          <w:rFonts w:hint="eastAsia"/>
          <w:color w:val="auto"/>
          <w:highlight w:val="none"/>
        </w:rPr>
        <w:t>（4）对吹扫、清洗不彻底（不包含可燃物料）的压力容器、换热器、管道等设备设施进行清理、吹扫的相关费用；</w:t>
      </w:r>
    </w:p>
    <w:p w14:paraId="5F0F8839">
      <w:pPr>
        <w:snapToGrid w:val="0"/>
        <w:ind w:firstLine="480"/>
        <w:rPr>
          <w:rFonts w:ascii="宋体" w:hAnsi="宋体" w:eastAsia="宋体"/>
          <w:color w:val="auto"/>
          <w:highlight w:val="none"/>
        </w:rPr>
      </w:pPr>
      <w:r>
        <w:rPr>
          <w:rFonts w:hint="eastAsia"/>
          <w:color w:val="auto"/>
          <w:highlight w:val="none"/>
        </w:rPr>
        <w:t>（5）地下管线（设施）隔离、封</w:t>
      </w:r>
      <w:r>
        <w:rPr>
          <w:rFonts w:hint="eastAsia"/>
          <w:bCs/>
          <w:color w:val="auto"/>
          <w:highlight w:val="none"/>
        </w:rPr>
        <w:t>堵涉及</w:t>
      </w:r>
      <w:r>
        <w:rPr>
          <w:bCs/>
          <w:color w:val="auto"/>
          <w:highlight w:val="none"/>
        </w:rPr>
        <w:t>的费用；</w:t>
      </w:r>
    </w:p>
    <w:p w14:paraId="69BE37D0">
      <w:pPr>
        <w:snapToGrid w:val="0"/>
        <w:ind w:firstLine="480"/>
        <w:rPr>
          <w:color w:val="auto"/>
          <w:highlight w:val="none"/>
        </w:rPr>
      </w:pPr>
      <w:r>
        <w:rPr>
          <w:rFonts w:hint="eastAsia"/>
          <w:color w:val="auto"/>
          <w:highlight w:val="none"/>
        </w:rPr>
        <w:t>（</w:t>
      </w:r>
      <w:r>
        <w:rPr>
          <w:color w:val="auto"/>
          <w:highlight w:val="none"/>
        </w:rPr>
        <w:t>6）场地平整</w:t>
      </w:r>
      <w:r>
        <w:rPr>
          <w:rFonts w:hint="eastAsia"/>
          <w:color w:val="auto"/>
          <w:highlight w:val="none"/>
        </w:rPr>
        <w:t>涉及</w:t>
      </w:r>
      <w:r>
        <w:rPr>
          <w:color w:val="auto"/>
          <w:highlight w:val="none"/>
        </w:rPr>
        <w:t>的</w:t>
      </w:r>
      <w:r>
        <w:rPr>
          <w:rFonts w:hint="eastAsia"/>
          <w:color w:val="auto"/>
          <w:highlight w:val="none"/>
        </w:rPr>
        <w:t>施工</w:t>
      </w:r>
      <w:r>
        <w:rPr>
          <w:color w:val="auto"/>
          <w:highlight w:val="none"/>
        </w:rPr>
        <w:t>费用</w:t>
      </w:r>
      <w:r>
        <w:rPr>
          <w:rFonts w:hint="eastAsia"/>
          <w:color w:val="auto"/>
          <w:highlight w:val="none"/>
        </w:rPr>
        <w:t>（包括机械填土碾压、倒运等）；</w:t>
      </w:r>
    </w:p>
    <w:p w14:paraId="1FB08266">
      <w:pPr>
        <w:snapToGrid w:val="0"/>
        <w:ind w:firstLine="480"/>
        <w:rPr>
          <w:color w:val="auto"/>
          <w:highlight w:val="none"/>
        </w:rPr>
      </w:pPr>
      <w:r>
        <w:rPr>
          <w:rFonts w:hint="eastAsia"/>
          <w:color w:val="auto"/>
          <w:highlight w:val="none"/>
        </w:rPr>
        <w:t>（7）施工机械使用费包含大型机械（含碾压机械）进出场和配套机具使用费等；</w:t>
      </w:r>
    </w:p>
    <w:p w14:paraId="59681EBF">
      <w:pPr>
        <w:snapToGrid w:val="0"/>
        <w:ind w:firstLine="480"/>
        <w:rPr>
          <w:color w:val="auto"/>
          <w:highlight w:val="none"/>
        </w:rPr>
      </w:pPr>
      <w:r>
        <w:rPr>
          <w:rFonts w:hint="eastAsia"/>
          <w:color w:val="auto"/>
          <w:highlight w:val="none"/>
        </w:rPr>
        <w:t>（8）本工程的地下设施探测、工程测量及拆除区域周边探挖、安全评估等涉及的费用，相关费用在拆除施工费用报价时综合考虑，成交后不再另行计取</w:t>
      </w:r>
      <w:r>
        <w:rPr>
          <w:color w:val="auto"/>
          <w:highlight w:val="none"/>
        </w:rPr>
        <w:t>。</w:t>
      </w:r>
    </w:p>
    <w:p w14:paraId="3BF17229">
      <w:pPr>
        <w:snapToGrid w:val="0"/>
        <w:ind w:firstLine="480"/>
        <w:rPr>
          <w:bCs/>
          <w:color w:val="auto"/>
          <w:highlight w:val="none"/>
        </w:rPr>
      </w:pPr>
      <w:r>
        <w:rPr>
          <w:rFonts w:hint="eastAsia"/>
          <w:color w:val="auto"/>
          <w:highlight w:val="none"/>
        </w:rPr>
        <w:t>（</w:t>
      </w:r>
      <w:r>
        <w:rPr>
          <w:rFonts w:hint="eastAsia"/>
          <w:color w:val="auto"/>
          <w:highlight w:val="none"/>
          <w:lang w:eastAsia="zh-CN"/>
        </w:rPr>
        <w:t>9</w:t>
      </w:r>
      <w:r>
        <w:rPr>
          <w:rFonts w:hint="eastAsia"/>
          <w:color w:val="auto"/>
          <w:highlight w:val="none"/>
        </w:rPr>
        <w:t>）</w:t>
      </w:r>
      <w:r>
        <w:rPr>
          <w:rFonts w:hint="eastAsia"/>
          <w:bCs/>
          <w:color w:val="auto"/>
          <w:highlight w:val="none"/>
        </w:rPr>
        <w:t>安全文明施工费：应严格执行国家、中国石化、相关行业的相关规定，并不得作为竞争性费用，且专款专用。其中：</w:t>
      </w:r>
    </w:p>
    <w:p w14:paraId="5179CDA7">
      <w:pPr>
        <w:snapToGrid w:val="0"/>
        <w:ind w:firstLine="480"/>
        <w:rPr>
          <w:bCs/>
          <w:color w:val="auto"/>
          <w:highlight w:val="none"/>
        </w:rPr>
      </w:pPr>
      <w:r>
        <w:rPr>
          <w:rFonts w:hint="eastAsia"/>
          <w:bCs/>
          <w:color w:val="auto"/>
          <w:highlight w:val="none"/>
        </w:rPr>
        <w:t>能源化工新建、改扩建安装工程（包括炼油、石油化工、煤化工、天然气化工等）：</w:t>
      </w:r>
      <w:r>
        <w:rPr>
          <w:rFonts w:hint="eastAsia" w:ascii="宋体" w:hAnsi="宋体"/>
          <w:color w:val="auto"/>
          <w:highlight w:val="none"/>
        </w:rPr>
        <w:t>关于调整工程建设安全生产费计算方法和费率的通知”（集团工单建设〔</w:t>
      </w:r>
      <w:r>
        <w:rPr>
          <w:rFonts w:ascii="宋体" w:hAnsi="宋体"/>
          <w:color w:val="auto"/>
          <w:highlight w:val="none"/>
        </w:rPr>
        <w:t>2023〕12号）</w:t>
      </w:r>
      <w:r>
        <w:rPr>
          <w:rFonts w:hint="eastAsia"/>
          <w:bCs/>
          <w:color w:val="auto"/>
          <w:highlight w:val="none"/>
        </w:rPr>
        <w:t>”“关于安全生产费、文明施工费、特定条件下费用的有关说明（集团工单建设〔2021〕81号）”等；</w:t>
      </w:r>
    </w:p>
    <w:p w14:paraId="3731D3BD">
      <w:pPr>
        <w:snapToGrid w:val="0"/>
        <w:ind w:firstLine="480"/>
        <w:rPr>
          <w:bCs/>
          <w:color w:val="auto"/>
          <w:highlight w:val="none"/>
        </w:rPr>
      </w:pPr>
      <w:r>
        <w:rPr>
          <w:rFonts w:hint="eastAsia"/>
          <w:bCs/>
          <w:color w:val="auto"/>
          <w:highlight w:val="none"/>
        </w:rPr>
        <w:t>对于特殊作业及危险性较大的施工现场，还应增列作业区域安全视频监控设施费用、安全防护措施费用。</w:t>
      </w:r>
    </w:p>
    <w:p w14:paraId="400CF754">
      <w:pPr>
        <w:snapToGrid w:val="0"/>
        <w:ind w:firstLine="480"/>
        <w:rPr>
          <w:bCs/>
          <w:color w:val="auto"/>
          <w:highlight w:val="none"/>
        </w:rPr>
      </w:pPr>
      <w:r>
        <w:rPr>
          <w:rFonts w:hint="eastAsia"/>
          <w:bCs/>
          <w:color w:val="auto"/>
          <w:highlight w:val="none"/>
        </w:rPr>
        <w:t>（1</w:t>
      </w:r>
      <w:r>
        <w:rPr>
          <w:rFonts w:hint="eastAsia"/>
          <w:bCs/>
          <w:color w:val="auto"/>
          <w:highlight w:val="none"/>
          <w:lang w:val="en-US" w:eastAsia="zh-CN"/>
        </w:rPr>
        <w:t>0</w:t>
      </w:r>
      <w:r>
        <w:rPr>
          <w:rFonts w:hint="eastAsia"/>
          <w:bCs/>
          <w:color w:val="auto"/>
          <w:highlight w:val="none"/>
        </w:rPr>
        <w:t>）安全文明环保运输措施费；</w:t>
      </w:r>
    </w:p>
    <w:p w14:paraId="3A18CA19">
      <w:pPr>
        <w:adjustRightInd w:val="0"/>
        <w:snapToGrid w:val="0"/>
        <w:ind w:firstLine="480" w:firstLineChars="200"/>
        <w:jc w:val="left"/>
        <w:rPr>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w:t>
      </w:r>
      <w:r>
        <w:rPr>
          <w:rFonts w:hint="eastAsia"/>
          <w:bCs/>
          <w:color w:val="auto"/>
          <w:highlight w:val="none"/>
        </w:rPr>
        <w:t>临时</w:t>
      </w:r>
      <w:r>
        <w:rPr>
          <w:bCs/>
          <w:color w:val="auto"/>
          <w:highlight w:val="none"/>
        </w:rPr>
        <w:t>水电等临时设施费用</w:t>
      </w:r>
      <w:r>
        <w:rPr>
          <w:rFonts w:hint="eastAsia"/>
          <w:bCs/>
          <w:color w:val="auto"/>
          <w:highlight w:val="none"/>
        </w:rPr>
        <w:t>及施工用水用电费用</w:t>
      </w:r>
      <w:r>
        <w:rPr>
          <w:rFonts w:hint="eastAsia"/>
          <w:color w:val="auto"/>
          <w:highlight w:val="none"/>
        </w:rPr>
        <w:t>；</w:t>
      </w:r>
    </w:p>
    <w:p w14:paraId="3CD1B422">
      <w:pPr>
        <w:adjustRightInd w:val="0"/>
        <w:snapToGrid w:val="0"/>
        <w:ind w:firstLine="480" w:firstLineChars="200"/>
        <w:jc w:val="left"/>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）脚手架费用：按照国家或省级建设主管部门、中国石化规定及采购人相关规定单独计价，并专款专用；</w:t>
      </w:r>
    </w:p>
    <w:p w14:paraId="4DFE5F39">
      <w:pPr>
        <w:adjustRightInd w:val="0"/>
        <w:snapToGrid w:val="0"/>
        <w:ind w:firstLine="480" w:firstLineChars="200"/>
        <w:jc w:val="left"/>
        <w:rPr>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）各项施工技术</w:t>
      </w:r>
      <w:r>
        <w:rPr>
          <w:color w:val="auto"/>
          <w:highlight w:val="none"/>
        </w:rPr>
        <w:t>措施项目费用</w:t>
      </w:r>
      <w:r>
        <w:rPr>
          <w:rFonts w:hint="eastAsia"/>
          <w:color w:val="auto"/>
          <w:highlight w:val="none"/>
        </w:rPr>
        <w:t>；</w:t>
      </w:r>
    </w:p>
    <w:p w14:paraId="7B597785">
      <w:pPr>
        <w:adjustRightInd w:val="0"/>
        <w:snapToGrid w:val="0"/>
        <w:ind w:firstLine="480" w:firstLineChars="200"/>
        <w:jc w:val="left"/>
        <w:rPr>
          <w:color w:val="auto"/>
          <w:highlight w:val="none"/>
        </w:rPr>
      </w:pPr>
      <w:r>
        <w:rPr>
          <w:rFonts w:hint="eastAsia"/>
          <w:color w:val="auto"/>
          <w:highlight w:val="none"/>
        </w:rPr>
        <w:t>（1</w:t>
      </w:r>
      <w:r>
        <w:rPr>
          <w:rFonts w:hint="eastAsia"/>
          <w:color w:val="auto"/>
          <w:highlight w:val="none"/>
          <w:lang w:eastAsia="zh-CN"/>
        </w:rPr>
        <w:t>4</w:t>
      </w:r>
      <w:r>
        <w:rPr>
          <w:rFonts w:hint="eastAsia"/>
          <w:color w:val="auto"/>
          <w:highlight w:val="none"/>
        </w:rPr>
        <w:t>）各项检测、试验、测试及验收、取证等费用；</w:t>
      </w:r>
    </w:p>
    <w:p w14:paraId="797BA7C6">
      <w:pPr>
        <w:snapToGrid w:val="0"/>
        <w:ind w:firstLine="480"/>
        <w:rPr>
          <w:color w:val="auto"/>
          <w:highlight w:val="none"/>
        </w:rPr>
      </w:pPr>
      <w:r>
        <w:rPr>
          <w:rFonts w:hint="eastAsia"/>
          <w:color w:val="auto"/>
          <w:highlight w:val="none"/>
        </w:rPr>
        <w:t>（1</w:t>
      </w:r>
      <w:r>
        <w:rPr>
          <w:rFonts w:hint="eastAsia"/>
          <w:color w:val="auto"/>
          <w:highlight w:val="none"/>
          <w:lang w:val="en-US" w:eastAsia="zh-CN"/>
        </w:rPr>
        <w:t>5</w:t>
      </w:r>
      <w:r>
        <w:rPr>
          <w:rFonts w:hint="eastAsia"/>
          <w:color w:val="auto"/>
          <w:highlight w:val="none"/>
        </w:rPr>
        <w:t>）施工过程中垃圾清洁、废弃物完工清理及危废（含油泥等污染物）合规处置、建筑垃圾</w:t>
      </w:r>
      <w:r>
        <w:rPr>
          <w:rFonts w:hint="eastAsia"/>
          <w:color w:val="auto"/>
          <w:szCs w:val="22"/>
          <w:highlight w:val="none"/>
        </w:rPr>
        <w:t>清理运输及</w:t>
      </w:r>
      <w:r>
        <w:rPr>
          <w:rFonts w:hint="eastAsia"/>
          <w:color w:val="auto"/>
          <w:highlight w:val="none"/>
        </w:rPr>
        <w:t>合规处置等涉及的相关费用；</w:t>
      </w:r>
    </w:p>
    <w:p w14:paraId="04B16C43">
      <w:pPr>
        <w:snapToGrid w:val="0"/>
        <w:ind w:firstLine="480"/>
        <w:rPr>
          <w:color w:val="auto"/>
          <w:highlight w:val="none"/>
        </w:rPr>
      </w:pPr>
      <w:r>
        <w:rPr>
          <w:rFonts w:hint="eastAsia"/>
          <w:color w:val="auto"/>
          <w:highlight w:val="none"/>
        </w:rPr>
        <w:t>（1</w:t>
      </w:r>
      <w:r>
        <w:rPr>
          <w:rFonts w:hint="eastAsia"/>
          <w:color w:val="auto"/>
          <w:highlight w:val="none"/>
          <w:lang w:eastAsia="zh-CN"/>
        </w:rPr>
        <w:t>6</w:t>
      </w:r>
      <w:r>
        <w:rPr>
          <w:rFonts w:hint="eastAsia"/>
          <w:color w:val="auto"/>
          <w:highlight w:val="none"/>
        </w:rPr>
        <w:t>）承包商项目部临建、临时堆场、临时道路等修建、拆除涉及的费用；</w:t>
      </w:r>
    </w:p>
    <w:p w14:paraId="1D89E90A">
      <w:pPr>
        <w:snapToGrid w:val="0"/>
        <w:ind w:firstLine="480"/>
        <w:rPr>
          <w:color w:val="auto"/>
          <w:highlight w:val="none"/>
        </w:rPr>
      </w:pPr>
      <w:r>
        <w:rPr>
          <w:rFonts w:hint="eastAsia"/>
          <w:color w:val="auto"/>
          <w:highlight w:val="none"/>
        </w:rPr>
        <w:t>（1</w:t>
      </w:r>
      <w:r>
        <w:rPr>
          <w:rFonts w:hint="eastAsia"/>
          <w:color w:val="auto"/>
          <w:highlight w:val="none"/>
          <w:lang w:val="en-US" w:eastAsia="zh-CN"/>
        </w:rPr>
        <w:t>7</w:t>
      </w:r>
      <w:r>
        <w:rPr>
          <w:rFonts w:hint="eastAsia"/>
          <w:color w:val="auto"/>
          <w:highlight w:val="none"/>
        </w:rPr>
        <w:t>）施工</w:t>
      </w:r>
      <w:r>
        <w:rPr>
          <w:color w:val="auto"/>
          <w:highlight w:val="none"/>
        </w:rPr>
        <w:t>围挡封闭费用</w:t>
      </w:r>
      <w:r>
        <w:rPr>
          <w:rFonts w:hint="eastAsia"/>
          <w:color w:val="auto"/>
          <w:highlight w:val="none"/>
        </w:rPr>
        <w:t>；</w:t>
      </w:r>
    </w:p>
    <w:p w14:paraId="284E339E">
      <w:pPr>
        <w:snapToGrid w:val="0"/>
        <w:ind w:firstLine="480"/>
        <w:rPr>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）施工</w:t>
      </w:r>
      <w:r>
        <w:rPr>
          <w:color w:val="auto"/>
          <w:highlight w:val="none"/>
        </w:rPr>
        <w:t>区域降尘费用；</w:t>
      </w:r>
    </w:p>
    <w:p w14:paraId="1CA6AA26">
      <w:pPr>
        <w:snapToGrid w:val="0"/>
        <w:ind w:firstLine="480" w:firstLineChars="200"/>
        <w:rPr>
          <w:color w:val="auto"/>
          <w:highlight w:val="none"/>
        </w:rPr>
      </w:pPr>
      <w:r>
        <w:rPr>
          <w:rFonts w:hint="eastAsia"/>
          <w:color w:val="auto"/>
          <w:highlight w:val="none"/>
        </w:rPr>
        <w:t>（</w:t>
      </w:r>
      <w:r>
        <w:rPr>
          <w:rFonts w:hint="eastAsia"/>
          <w:color w:val="auto"/>
          <w:highlight w:val="none"/>
          <w:lang w:val="en-US" w:eastAsia="zh-CN"/>
        </w:rPr>
        <w:t>19</w:t>
      </w:r>
      <w:r>
        <w:rPr>
          <w:rFonts w:hint="eastAsia"/>
          <w:color w:val="auto"/>
          <w:highlight w:val="none"/>
        </w:rPr>
        <w:t>）交工资料收集、整理并符合归档规定的费用。</w:t>
      </w:r>
    </w:p>
    <w:p w14:paraId="438EA63A">
      <w:pPr>
        <w:snapToGrid w:val="0"/>
        <w:ind w:firstLine="480" w:firstLineChars="200"/>
        <w:rPr>
          <w:color w:val="auto"/>
          <w:highlight w:val="none"/>
        </w:rPr>
      </w:pPr>
      <w:r>
        <w:rPr>
          <w:rFonts w:hint="eastAsia"/>
          <w:color w:val="auto"/>
          <w:highlight w:val="none"/>
        </w:rPr>
        <w:t>（2</w:t>
      </w:r>
      <w:r>
        <w:rPr>
          <w:rFonts w:hint="eastAsia"/>
          <w:color w:val="auto"/>
          <w:highlight w:val="none"/>
          <w:lang w:val="en-US" w:eastAsia="zh-CN"/>
        </w:rPr>
        <w:t>0</w:t>
      </w:r>
      <w:r>
        <w:rPr>
          <w:rFonts w:hint="eastAsia"/>
          <w:color w:val="auto"/>
          <w:highlight w:val="none"/>
        </w:rPr>
        <w:t>）缺陷修复和保修费用。</w:t>
      </w:r>
    </w:p>
    <w:p w14:paraId="5DA62477">
      <w:pPr>
        <w:adjustRightInd w:val="0"/>
        <w:snapToGrid w:val="0"/>
        <w:ind w:firstLine="480" w:firstLineChars="200"/>
        <w:rPr>
          <w:color w:val="auto"/>
          <w:highlight w:val="none"/>
        </w:rPr>
      </w:pPr>
      <w:r>
        <w:rPr>
          <w:rFonts w:hint="eastAsia"/>
          <w:color w:val="auto"/>
          <w:highlight w:val="none"/>
        </w:rPr>
        <w:t>（2</w:t>
      </w:r>
      <w:r>
        <w:rPr>
          <w:rFonts w:hint="eastAsia"/>
          <w:color w:val="auto"/>
          <w:highlight w:val="none"/>
          <w:lang w:val="en-US" w:eastAsia="zh-CN"/>
        </w:rPr>
        <w:t>1</w:t>
      </w:r>
      <w:r>
        <w:rPr>
          <w:rFonts w:hint="eastAsia"/>
          <w:color w:val="auto"/>
          <w:highlight w:val="none"/>
        </w:rPr>
        <w:t>）施工作业人员、现场管理及服务人员的人身意外伤害险投保费用，及农民工工伤保险费用。</w:t>
      </w:r>
    </w:p>
    <w:p w14:paraId="40625015">
      <w:pPr>
        <w:adjustRightInd w:val="0"/>
        <w:snapToGrid w:val="0"/>
        <w:ind w:firstLine="480" w:firstLineChars="200"/>
        <w:jc w:val="left"/>
        <w:rPr>
          <w:color w:val="auto"/>
          <w:highlight w:val="none"/>
        </w:rPr>
      </w:pPr>
      <w:r>
        <w:rPr>
          <w:rFonts w:hint="eastAsia"/>
          <w:color w:val="auto"/>
          <w:highlight w:val="none"/>
        </w:rPr>
        <w:t>（2</w:t>
      </w:r>
      <w:r>
        <w:rPr>
          <w:rFonts w:hint="eastAsia"/>
          <w:color w:val="auto"/>
          <w:highlight w:val="none"/>
          <w:lang w:val="en-US" w:eastAsia="zh-CN"/>
        </w:rPr>
        <w:t>2</w:t>
      </w:r>
      <w:r>
        <w:rPr>
          <w:rFonts w:hint="eastAsia"/>
          <w:color w:val="auto"/>
          <w:highlight w:val="none"/>
        </w:rPr>
        <w:t>）施工总承包管理费用。</w:t>
      </w:r>
    </w:p>
    <w:p w14:paraId="062DE0D7">
      <w:pPr>
        <w:snapToGrid w:val="0"/>
        <w:ind w:firstLine="480"/>
        <w:rPr>
          <w:color w:val="auto"/>
          <w:highlight w:val="none"/>
        </w:rPr>
      </w:pPr>
      <w:r>
        <w:rPr>
          <w:rFonts w:hint="eastAsia"/>
          <w:color w:val="auto"/>
          <w:highlight w:val="none"/>
        </w:rPr>
        <w:t>（2</w:t>
      </w:r>
      <w:r>
        <w:rPr>
          <w:rFonts w:hint="eastAsia"/>
          <w:color w:val="auto"/>
          <w:highlight w:val="none"/>
          <w:lang w:val="en-US" w:eastAsia="zh-CN"/>
        </w:rPr>
        <w:t>3</w:t>
      </w:r>
      <w:r>
        <w:rPr>
          <w:rFonts w:hint="eastAsia"/>
          <w:color w:val="auto"/>
          <w:highlight w:val="none"/>
        </w:rPr>
        <w:t>）</w:t>
      </w:r>
      <w:r>
        <w:rPr>
          <w:color w:val="auto"/>
          <w:highlight w:val="none"/>
        </w:rPr>
        <w:t>疫情防控涉及的相关费用</w:t>
      </w:r>
      <w:r>
        <w:rPr>
          <w:rFonts w:hint="eastAsia"/>
          <w:color w:val="auto"/>
          <w:highlight w:val="none"/>
        </w:rPr>
        <w:t>。</w:t>
      </w:r>
    </w:p>
    <w:p w14:paraId="458E0FBC">
      <w:pPr>
        <w:snapToGrid w:val="0"/>
        <w:ind w:firstLine="480" w:firstLineChars="200"/>
        <w:rPr>
          <w:color w:val="auto"/>
          <w:highlight w:val="none"/>
        </w:rPr>
      </w:pPr>
      <w:r>
        <w:rPr>
          <w:rFonts w:hint="eastAsia"/>
          <w:color w:val="auto"/>
          <w:highlight w:val="none"/>
        </w:rPr>
        <w:t>（2</w:t>
      </w:r>
      <w:r>
        <w:rPr>
          <w:rFonts w:hint="eastAsia"/>
          <w:color w:val="auto"/>
          <w:highlight w:val="none"/>
          <w:lang w:val="en-US" w:eastAsia="zh-CN"/>
        </w:rPr>
        <w:t>4</w:t>
      </w:r>
      <w:r>
        <w:rPr>
          <w:rFonts w:hint="eastAsia"/>
          <w:color w:val="auto"/>
          <w:highlight w:val="none"/>
        </w:rPr>
        <w:t>）采购文件规定的风险费用。</w:t>
      </w:r>
    </w:p>
    <w:p w14:paraId="45C38F33">
      <w:pPr>
        <w:snapToGrid w:val="0"/>
        <w:ind w:firstLine="480"/>
        <w:rPr>
          <w:color w:val="auto"/>
          <w:highlight w:val="none"/>
        </w:rPr>
      </w:pPr>
      <w:r>
        <w:rPr>
          <w:rFonts w:hint="eastAsia"/>
          <w:color w:val="auto"/>
          <w:highlight w:val="none"/>
        </w:rPr>
        <w:t>（2</w:t>
      </w:r>
      <w:r>
        <w:rPr>
          <w:rFonts w:hint="eastAsia"/>
          <w:color w:val="auto"/>
          <w:highlight w:val="none"/>
          <w:lang w:val="en-US" w:eastAsia="zh-CN"/>
        </w:rPr>
        <w:t>5</w:t>
      </w:r>
      <w:r>
        <w:rPr>
          <w:rFonts w:hint="eastAsia"/>
          <w:color w:val="auto"/>
          <w:highlight w:val="none"/>
        </w:rPr>
        <w:t>）第四章“合同条款”中明确</w:t>
      </w:r>
      <w:r>
        <w:rPr>
          <w:color w:val="auto"/>
          <w:highlight w:val="none"/>
        </w:rPr>
        <w:t>的</w:t>
      </w:r>
      <w:r>
        <w:rPr>
          <w:rFonts w:hint="eastAsia"/>
          <w:color w:val="auto"/>
          <w:highlight w:val="none"/>
        </w:rPr>
        <w:t>承包商</w:t>
      </w:r>
      <w:r>
        <w:rPr>
          <w:color w:val="auto"/>
          <w:highlight w:val="none"/>
        </w:rPr>
        <w:t>相关责任、</w:t>
      </w:r>
      <w:r>
        <w:rPr>
          <w:rFonts w:hint="eastAsia"/>
          <w:color w:val="auto"/>
          <w:highlight w:val="none"/>
        </w:rPr>
        <w:t>义务、</w:t>
      </w:r>
      <w:r>
        <w:rPr>
          <w:color w:val="auto"/>
          <w:highlight w:val="none"/>
        </w:rPr>
        <w:t>工作</w:t>
      </w:r>
      <w:r>
        <w:rPr>
          <w:rFonts w:hint="eastAsia"/>
          <w:color w:val="auto"/>
          <w:highlight w:val="none"/>
        </w:rPr>
        <w:t>等</w:t>
      </w:r>
      <w:r>
        <w:rPr>
          <w:color w:val="auto"/>
          <w:highlight w:val="none"/>
        </w:rPr>
        <w:t>所涉及的费用</w:t>
      </w:r>
      <w:r>
        <w:rPr>
          <w:rFonts w:hint="eastAsia"/>
          <w:color w:val="auto"/>
          <w:highlight w:val="none"/>
        </w:rPr>
        <w:t>；</w:t>
      </w:r>
    </w:p>
    <w:p w14:paraId="0D523ADD">
      <w:pPr>
        <w:snapToGrid w:val="0"/>
        <w:ind w:firstLine="480" w:firstLineChars="200"/>
        <w:rPr>
          <w:color w:val="auto"/>
          <w:highlight w:val="none"/>
        </w:rPr>
      </w:pPr>
      <w:r>
        <w:rPr>
          <w:rFonts w:hint="eastAsia"/>
          <w:color w:val="auto"/>
          <w:highlight w:val="none"/>
        </w:rPr>
        <w:t>（2</w:t>
      </w:r>
      <w:r>
        <w:rPr>
          <w:rFonts w:hint="eastAsia"/>
          <w:color w:val="auto"/>
          <w:highlight w:val="none"/>
          <w:lang w:val="en-US" w:eastAsia="zh-CN"/>
        </w:rPr>
        <w:t>6</w:t>
      </w:r>
      <w:r>
        <w:rPr>
          <w:rFonts w:hint="eastAsia"/>
          <w:color w:val="auto"/>
          <w:highlight w:val="none"/>
        </w:rPr>
        <w:t>）企业管理费、利润及按照国家规定计取的规费、</w:t>
      </w:r>
      <w:r>
        <w:rPr>
          <w:color w:val="auto"/>
          <w:highlight w:val="none"/>
        </w:rPr>
        <w:t>税金</w:t>
      </w:r>
      <w:r>
        <w:rPr>
          <w:rFonts w:hint="eastAsia"/>
          <w:color w:val="auto"/>
          <w:highlight w:val="none"/>
        </w:rPr>
        <w:t>（增值税按照一般计税方式计算，增值税税率9%</w:t>
      </w:r>
      <w:r>
        <w:rPr>
          <w:color w:val="auto"/>
          <w:highlight w:val="none"/>
        </w:rPr>
        <w:t>）。</w:t>
      </w:r>
    </w:p>
    <w:p w14:paraId="360BA3CE">
      <w:pPr>
        <w:snapToGrid w:val="0"/>
        <w:ind w:firstLine="480"/>
        <w:rPr>
          <w:rFonts w:ascii="宋体" w:hAnsi="宋体" w:eastAsia="宋体"/>
          <w:color w:val="auto"/>
          <w:highlight w:val="none"/>
        </w:rPr>
      </w:pPr>
      <w:r>
        <w:rPr>
          <w:rFonts w:hint="eastAsia"/>
          <w:color w:val="auto"/>
          <w:highlight w:val="none"/>
        </w:rPr>
        <w:t>（2</w:t>
      </w:r>
      <w:r>
        <w:rPr>
          <w:rFonts w:hint="eastAsia"/>
          <w:color w:val="auto"/>
          <w:highlight w:val="none"/>
          <w:lang w:val="en-US" w:eastAsia="zh-CN"/>
        </w:rPr>
        <w:t>7</w:t>
      </w:r>
      <w:r>
        <w:rPr>
          <w:rFonts w:hint="eastAsia"/>
          <w:color w:val="auto"/>
          <w:highlight w:val="none"/>
        </w:rPr>
        <w:t>）其他需发生的费用。</w:t>
      </w:r>
    </w:p>
    <w:p w14:paraId="38310168">
      <w:pPr>
        <w:autoSpaceDE w:val="0"/>
        <w:adjustRightInd w:val="0"/>
        <w:snapToGrid w:val="0"/>
        <w:ind w:firstLine="480"/>
        <w:rPr>
          <w:bCs/>
          <w:color w:val="auto"/>
          <w:highlight w:val="none"/>
        </w:rPr>
      </w:pPr>
      <w:r>
        <w:rPr>
          <w:rFonts w:hint="eastAsia"/>
          <w:bCs/>
          <w:color w:val="auto"/>
          <w:highlight w:val="none"/>
        </w:rPr>
        <w:t>2.1.2相关</w:t>
      </w:r>
      <w:r>
        <w:rPr>
          <w:bCs/>
          <w:color w:val="auto"/>
          <w:highlight w:val="none"/>
        </w:rPr>
        <w:t>说明</w:t>
      </w:r>
    </w:p>
    <w:p w14:paraId="40AE6724">
      <w:pPr>
        <w:adjustRightInd w:val="0"/>
        <w:snapToGrid w:val="0"/>
        <w:ind w:firstLine="480" w:firstLineChars="200"/>
        <w:rPr>
          <w:rFonts w:cs="Calibri"/>
          <w:color w:val="auto"/>
          <w:highlight w:val="none"/>
        </w:rPr>
      </w:pPr>
      <w:r>
        <w:rPr>
          <w:rFonts w:hint="eastAsia" w:cs="Calibri"/>
          <w:color w:val="auto"/>
          <w:highlight w:val="none"/>
        </w:rPr>
        <w:t>（</w:t>
      </w:r>
      <w:r>
        <w:rPr>
          <w:rFonts w:cs="Calibri"/>
          <w:color w:val="auto"/>
          <w:highlight w:val="none"/>
        </w:rPr>
        <w:t>1</w:t>
      </w:r>
      <w:r>
        <w:rPr>
          <w:rFonts w:hint="eastAsia" w:cs="Calibri"/>
          <w:color w:val="auto"/>
          <w:highlight w:val="none"/>
        </w:rPr>
        <w:t>）本工程拆除过程中，承包商应按采购人要求做好围护、隔离、警示及对拆除红线周边邻近设施（设备、管道、建筑物、道路、绿化等）的保护，相关费用（含装置周边区域探挖费用）应在报价中综合考虑。因措施不力造成的设施损坏或人员伤害，由承包商承担相应责任及相关费用。</w:t>
      </w:r>
    </w:p>
    <w:p w14:paraId="2B8B151A">
      <w:pPr>
        <w:adjustRightInd w:val="0"/>
        <w:snapToGrid w:val="0"/>
        <w:ind w:firstLine="480" w:firstLineChars="200"/>
        <w:rPr>
          <w:rFonts w:cs="Calibri"/>
          <w:color w:val="auto"/>
          <w:highlight w:val="none"/>
        </w:rPr>
      </w:pPr>
      <w:r>
        <w:rPr>
          <w:rFonts w:hint="eastAsia" w:cs="Calibri"/>
          <w:color w:val="auto"/>
          <w:highlight w:val="none"/>
        </w:rPr>
        <w:t>（</w:t>
      </w:r>
      <w:r>
        <w:rPr>
          <w:rFonts w:cs="Calibri"/>
          <w:color w:val="auto"/>
          <w:highlight w:val="none"/>
        </w:rPr>
        <w:t>2</w:t>
      </w:r>
      <w:r>
        <w:rPr>
          <w:rFonts w:hint="eastAsia" w:cs="Calibri"/>
          <w:color w:val="auto"/>
          <w:highlight w:val="none"/>
        </w:rPr>
        <w:t>）本工程搭设脚手架，搭设材料采用镀锌材料、金属脚手板，禁止使用竹制脚手板，并按采购人管理要求搭设，相关费用应在报价中综合考虑并单列。</w:t>
      </w:r>
    </w:p>
    <w:p w14:paraId="49F157EA">
      <w:pPr>
        <w:adjustRightInd w:val="0"/>
        <w:snapToGrid w:val="0"/>
        <w:ind w:firstLine="480" w:firstLineChars="200"/>
        <w:rPr>
          <w:rFonts w:cs="Calibri"/>
          <w:color w:val="auto"/>
          <w:highlight w:val="none"/>
        </w:rPr>
      </w:pPr>
      <w:r>
        <w:rPr>
          <w:rFonts w:hint="eastAsia" w:cs="Calibri"/>
          <w:color w:val="auto"/>
          <w:highlight w:val="none"/>
        </w:rPr>
        <w:t>（</w:t>
      </w:r>
      <w:r>
        <w:rPr>
          <w:rFonts w:cs="Calibri"/>
          <w:color w:val="auto"/>
          <w:highlight w:val="none"/>
        </w:rPr>
        <w:t>3</w:t>
      </w:r>
      <w:r>
        <w:rPr>
          <w:rFonts w:hint="eastAsia" w:cs="Calibri"/>
          <w:color w:val="auto"/>
          <w:highlight w:val="none"/>
        </w:rPr>
        <w:t>）涉及不拆除或暂不拆除的内容，承包商应采取有效措施进行防护隔离保护，相关费用应在报价时综合考虑。</w:t>
      </w:r>
    </w:p>
    <w:p w14:paraId="4854E50B">
      <w:pPr>
        <w:adjustRightInd w:val="0"/>
        <w:snapToGrid w:val="0"/>
        <w:ind w:firstLine="480" w:firstLineChars="200"/>
        <w:rPr>
          <w:rFonts w:cs="Calibri"/>
          <w:color w:val="auto"/>
          <w:highlight w:val="none"/>
        </w:rPr>
      </w:pPr>
      <w:r>
        <w:rPr>
          <w:rFonts w:hint="eastAsia" w:cs="Calibri"/>
          <w:color w:val="auto"/>
          <w:highlight w:val="none"/>
        </w:rPr>
        <w:t>（</w:t>
      </w:r>
      <w:r>
        <w:rPr>
          <w:rFonts w:cs="Calibri"/>
          <w:color w:val="auto"/>
          <w:highlight w:val="none"/>
        </w:rPr>
        <w:t>4</w:t>
      </w:r>
      <w:r>
        <w:rPr>
          <w:rFonts w:hint="eastAsia" w:cs="Calibri"/>
          <w:color w:val="auto"/>
          <w:highlight w:val="none"/>
        </w:rPr>
        <w:t>）</w:t>
      </w:r>
      <w:r>
        <w:rPr>
          <w:rFonts w:cs="Calibri"/>
          <w:color w:val="auto"/>
          <w:highlight w:val="none"/>
        </w:rPr>
        <w:t>除了</w:t>
      </w:r>
      <w:r>
        <w:rPr>
          <w:rFonts w:hint="eastAsia" w:cs="Calibri"/>
          <w:color w:val="auto"/>
          <w:highlight w:val="none"/>
        </w:rPr>
        <w:t>采购人</w:t>
      </w:r>
      <w:r>
        <w:rPr>
          <w:rFonts w:cs="Calibri"/>
          <w:color w:val="auto"/>
          <w:highlight w:val="none"/>
        </w:rPr>
        <w:t>明确留用（复用</w:t>
      </w:r>
      <w:r>
        <w:rPr>
          <w:rFonts w:hint="eastAsia" w:cs="Calibri"/>
          <w:color w:val="auto"/>
          <w:highlight w:val="none"/>
        </w:rPr>
        <w:t>、保护性拆除</w:t>
      </w:r>
      <w:r>
        <w:rPr>
          <w:rFonts w:cs="Calibri"/>
          <w:color w:val="auto"/>
          <w:highlight w:val="none"/>
        </w:rPr>
        <w:t>）的设施外，原则上</w:t>
      </w:r>
      <w:r>
        <w:rPr>
          <w:rFonts w:hint="eastAsia" w:cs="Calibri"/>
          <w:color w:val="auto"/>
          <w:highlight w:val="none"/>
        </w:rPr>
        <w:t>现场所有拆除物均由承包商回收</w:t>
      </w:r>
      <w:r>
        <w:rPr>
          <w:rFonts w:cs="Calibri"/>
          <w:color w:val="auto"/>
          <w:highlight w:val="none"/>
        </w:rPr>
        <w:t>或</w:t>
      </w:r>
      <w:r>
        <w:rPr>
          <w:rFonts w:hint="eastAsia" w:cs="Calibri"/>
          <w:color w:val="auto"/>
          <w:highlight w:val="none"/>
        </w:rPr>
        <w:t>处置。拆除过程中，保温材料、浇注料、油泥、污水废水等排水处置应符合采购人管理要求，相关费用应在报价时综合考虑。</w:t>
      </w:r>
    </w:p>
    <w:p w14:paraId="39509E78">
      <w:pPr>
        <w:adjustRightInd w:val="0"/>
        <w:snapToGrid w:val="0"/>
        <w:ind w:firstLine="480" w:firstLineChars="200"/>
        <w:rPr>
          <w:rFonts w:cs="Calibri"/>
          <w:color w:val="auto"/>
          <w:highlight w:val="none"/>
        </w:rPr>
      </w:pPr>
      <w:r>
        <w:rPr>
          <w:rFonts w:hint="eastAsia" w:cs="Calibri"/>
          <w:color w:val="auto"/>
          <w:highlight w:val="none"/>
        </w:rPr>
        <w:t>（</w:t>
      </w:r>
      <w:r>
        <w:rPr>
          <w:rFonts w:cs="Calibri"/>
          <w:color w:val="auto"/>
          <w:highlight w:val="none"/>
        </w:rPr>
        <w:t>5</w:t>
      </w:r>
      <w:r>
        <w:rPr>
          <w:rFonts w:hint="eastAsia" w:cs="Calibri"/>
          <w:color w:val="auto"/>
          <w:highlight w:val="none"/>
        </w:rPr>
        <w:t>）现有部分主要道路经采购人确认后可留用，作为进出场临时道路，其余总图道路、地坪等要求拆除。</w:t>
      </w:r>
    </w:p>
    <w:p w14:paraId="215DC1B6">
      <w:pPr>
        <w:adjustRightInd w:val="0"/>
        <w:snapToGrid w:val="0"/>
        <w:ind w:firstLine="482" w:firstLineChars="200"/>
        <w:rPr>
          <w:rFonts w:hint="eastAsia" w:cs="Calibri"/>
          <w:b/>
          <w:bCs/>
          <w:color w:val="auto"/>
          <w:highlight w:val="none"/>
        </w:rPr>
      </w:pPr>
      <w:r>
        <w:rPr>
          <w:rFonts w:hint="eastAsia" w:cs="Calibri"/>
          <w:b/>
          <w:bCs/>
          <w:color w:val="auto"/>
          <w:highlight w:val="none"/>
        </w:rPr>
        <w:t>（</w:t>
      </w:r>
      <w:r>
        <w:rPr>
          <w:rFonts w:cs="Calibri"/>
          <w:b/>
          <w:bCs/>
          <w:color w:val="auto"/>
          <w:highlight w:val="none"/>
        </w:rPr>
        <w:t>6）</w:t>
      </w:r>
      <w:r>
        <w:rPr>
          <w:rFonts w:hint="eastAsia" w:cs="Calibri"/>
          <w:b/>
          <w:bCs/>
          <w:color w:val="auto"/>
          <w:highlight w:val="none"/>
        </w:rPr>
        <w:t>固定总价包含：装置全部设施拆除（包括地上的静设备、动设备、工艺管道、电气设备、自动化控制与仪表设备、绿化植物、装置至红线外变电所电缆、建（构）筑物等），含部分可调剂设备保护性拆除。所有拆除物切割、去保温保冷衬里及非金属物资、分类堆放，达到废旧物资回收条件且去功能化。危废统一堆放，由发包人处理；固废处理，保温保冷衬里等固废由承包商拉至发包人指定地点，混凝土及其它建筑垃圾的合法处置。</w:t>
      </w:r>
    </w:p>
    <w:p w14:paraId="24D95F41">
      <w:pPr>
        <w:adjustRightInd w:val="0"/>
        <w:snapToGrid w:val="0"/>
        <w:ind w:firstLine="482" w:firstLineChars="200"/>
        <w:rPr>
          <w:rFonts w:cs="Calibri"/>
          <w:color w:val="auto"/>
          <w:highlight w:val="none"/>
        </w:rPr>
      </w:pPr>
      <w:r>
        <w:rPr>
          <w:rFonts w:hint="eastAsia" w:cs="Calibri"/>
          <w:b/>
          <w:bCs/>
          <w:color w:val="auto"/>
          <w:highlight w:val="none"/>
        </w:rPr>
        <w:t>据实签证</w:t>
      </w:r>
      <w:r>
        <w:rPr>
          <w:rFonts w:hint="eastAsia" w:cs="Calibri"/>
          <w:b/>
          <w:bCs/>
          <w:color w:val="auto"/>
          <w:highlight w:val="none"/>
          <w:lang w:val="en-US" w:eastAsia="zh-CN"/>
        </w:rPr>
        <w:t>计价</w:t>
      </w:r>
      <w:r>
        <w:rPr>
          <w:rFonts w:hint="eastAsia" w:cs="Calibri"/>
          <w:b/>
          <w:bCs/>
          <w:color w:val="auto"/>
          <w:highlight w:val="none"/>
        </w:rPr>
        <w:t>包含：拆除地下的静设备、动设备、工艺管道、电气设备、自动化控制与仪表设备、装置至红线外变电所电缆、建（构）筑物等）；地下设施拆除后并进行土方回填，回填（回填密实度达到90％以上）至原地坪标高，达到设置独立施工区域。</w:t>
      </w:r>
    </w:p>
    <w:p w14:paraId="5D15A538">
      <w:pPr>
        <w:adjustRightInd w:val="0"/>
        <w:snapToGrid w:val="0"/>
        <w:ind w:firstLine="480" w:firstLineChars="200"/>
        <w:rPr>
          <w:rFonts w:cs="Calibri"/>
          <w:color w:val="auto"/>
          <w:highlight w:val="none"/>
        </w:rPr>
      </w:pPr>
      <w:r>
        <w:rPr>
          <w:rFonts w:hint="eastAsia" w:cs="Calibri"/>
          <w:color w:val="auto"/>
          <w:highlight w:val="none"/>
        </w:rPr>
        <w:t>（7）本工程压力容器、特种设备需破坏性拆除，去功能化后经发包人确认并拍照留存后，方可对外处置，防止被二次使用。</w:t>
      </w:r>
    </w:p>
    <w:p w14:paraId="28ADD7C7">
      <w:pPr>
        <w:adjustRightInd w:val="0"/>
        <w:snapToGrid w:val="0"/>
        <w:ind w:firstLine="480" w:firstLineChars="200"/>
        <w:rPr>
          <w:rFonts w:cs="Calibri"/>
          <w:color w:val="auto"/>
          <w:highlight w:val="none"/>
        </w:rPr>
      </w:pPr>
      <w:r>
        <w:rPr>
          <w:rFonts w:hint="eastAsia" w:cs="Calibri"/>
          <w:color w:val="auto"/>
          <w:highlight w:val="none"/>
        </w:rPr>
        <w:t>（8）如采用联合体投标，则拆除物资的切割及现场装车工作由拆除施工承包人负责，联合体双方可约定具体切割要求，但需符合《茂名石化交通安全管理细则》的运输要求。如双方未进行约定，应符合切割要求。</w:t>
      </w:r>
    </w:p>
    <w:p w14:paraId="7C4F613C">
      <w:pPr>
        <w:adjustRightInd w:val="0"/>
        <w:snapToGrid w:val="0"/>
        <w:ind w:left="480" w:leftChars="200"/>
        <w:rPr>
          <w:rFonts w:hint="default"/>
        </w:rPr>
      </w:pPr>
      <w:r>
        <w:rPr>
          <w:rFonts w:hint="eastAsia" w:cs="Calibri"/>
          <w:color w:val="auto"/>
          <w:highlight w:val="none"/>
        </w:rPr>
        <w:t>（9）拆除可调剂设备需遵循采购人《设备保护性拆除须知》等相关要求</w:t>
      </w:r>
      <w:r>
        <w:rPr>
          <w:rFonts w:hint="eastAsia" w:cs="Calibri"/>
          <w:color w:val="auto"/>
          <w:highlight w:val="none"/>
          <w:lang w:eastAsia="zh-CN"/>
        </w:rPr>
        <w:t>。</w:t>
      </w:r>
    </w:p>
    <w:p w14:paraId="69CF6B68">
      <w:pPr>
        <w:adjustRightInd w:val="0"/>
        <w:snapToGrid w:val="0"/>
        <w:ind w:firstLine="480" w:firstLineChars="200"/>
        <w:rPr>
          <w:bCs/>
          <w:color w:val="auto"/>
          <w:highlight w:val="none"/>
        </w:rPr>
      </w:pPr>
      <w:r>
        <w:rPr>
          <w:rFonts w:hint="eastAsia"/>
          <w:bCs/>
          <w:color w:val="auto"/>
          <w:highlight w:val="none"/>
        </w:rPr>
        <w:t>2.1.3以上</w:t>
      </w:r>
      <w:r>
        <w:rPr>
          <w:bCs/>
          <w:color w:val="auto"/>
          <w:highlight w:val="none"/>
        </w:rPr>
        <w:t>在</w:t>
      </w:r>
      <w:r>
        <w:rPr>
          <w:rFonts w:hint="eastAsia"/>
          <w:bCs/>
          <w:color w:val="auto"/>
          <w:highlight w:val="none"/>
        </w:rPr>
        <w:t>图纸</w:t>
      </w:r>
      <w:r>
        <w:rPr>
          <w:bCs/>
          <w:color w:val="auto"/>
          <w:highlight w:val="none"/>
        </w:rPr>
        <w:t>或定额中不体现的</w:t>
      </w:r>
      <w:r>
        <w:rPr>
          <w:rFonts w:hint="eastAsia"/>
          <w:bCs/>
          <w:color w:val="auto"/>
          <w:highlight w:val="none"/>
        </w:rPr>
        <w:t>报价</w:t>
      </w:r>
      <w:r>
        <w:rPr>
          <w:bCs/>
          <w:color w:val="auto"/>
          <w:highlight w:val="none"/>
        </w:rPr>
        <w:t>内容，报价时综合考虑，</w:t>
      </w:r>
      <w:r>
        <w:rPr>
          <w:rFonts w:hint="eastAsia"/>
          <w:bCs/>
          <w:color w:val="auto"/>
          <w:highlight w:val="none"/>
        </w:rPr>
        <w:t>成交</w:t>
      </w:r>
      <w:r>
        <w:rPr>
          <w:bCs/>
          <w:color w:val="auto"/>
          <w:highlight w:val="none"/>
        </w:rPr>
        <w:t>后不再另行计取。</w:t>
      </w:r>
    </w:p>
    <w:p w14:paraId="10D3AA5D">
      <w:pPr>
        <w:adjustRightInd w:val="0"/>
        <w:snapToGrid w:val="0"/>
        <w:ind w:firstLine="482" w:firstLineChars="200"/>
        <w:rPr>
          <w:b/>
          <w:bCs/>
          <w:color w:val="auto"/>
          <w:highlight w:val="none"/>
        </w:rPr>
      </w:pPr>
      <w:r>
        <w:rPr>
          <w:rFonts w:hint="eastAsia"/>
          <w:b/>
          <w:bCs/>
          <w:color w:val="auto"/>
          <w:highlight w:val="none"/>
        </w:rPr>
        <w:t>2.</w:t>
      </w:r>
      <w:r>
        <w:rPr>
          <w:rFonts w:hint="eastAsia"/>
          <w:b/>
          <w:bCs/>
          <w:color w:val="auto"/>
          <w:highlight w:val="none"/>
          <w:lang w:val="en-US" w:eastAsia="zh-CN"/>
        </w:rPr>
        <w:t>2</w:t>
      </w:r>
      <w:r>
        <w:rPr>
          <w:rFonts w:hint="eastAsia"/>
          <w:b/>
          <w:bCs/>
          <w:color w:val="auto"/>
          <w:highlight w:val="none"/>
        </w:rPr>
        <w:t>合同</w:t>
      </w:r>
      <w:r>
        <w:rPr>
          <w:b/>
          <w:bCs/>
          <w:color w:val="auto"/>
          <w:highlight w:val="none"/>
        </w:rPr>
        <w:t>价款形式</w:t>
      </w:r>
    </w:p>
    <w:p w14:paraId="689AF6A8">
      <w:pPr>
        <w:adjustRightInd w:val="0"/>
        <w:snapToGrid w:val="0"/>
        <w:ind w:firstLine="480" w:firstLineChars="200"/>
        <w:rPr>
          <w:rFonts w:hint="eastAsia" w:cs="Calibri"/>
          <w:color w:val="auto"/>
          <w:highlight w:val="none"/>
        </w:rPr>
      </w:pPr>
      <w:r>
        <w:rPr>
          <w:rFonts w:hint="eastAsia" w:cs="Calibri"/>
          <w:color w:val="auto"/>
          <w:highlight w:val="none"/>
        </w:rPr>
        <w:t>拆除工程合同</w:t>
      </w:r>
      <w:r>
        <w:rPr>
          <w:rFonts w:cs="Calibri"/>
          <w:color w:val="auto"/>
          <w:highlight w:val="none"/>
        </w:rPr>
        <w:t>价款形式</w:t>
      </w:r>
      <w:r>
        <w:rPr>
          <w:rFonts w:hint="eastAsia" w:cs="Calibri"/>
          <w:color w:val="auto"/>
          <w:highlight w:val="none"/>
        </w:rPr>
        <w:t>为</w:t>
      </w:r>
      <w:r>
        <w:rPr>
          <w:rFonts w:cs="Calibri"/>
          <w:color w:val="auto"/>
          <w:highlight w:val="none"/>
        </w:rPr>
        <w:t>固定总价合同，</w:t>
      </w:r>
      <w:r>
        <w:rPr>
          <w:rFonts w:hint="eastAsia" w:cs="Calibri"/>
          <w:color w:val="auto"/>
          <w:highlight w:val="none"/>
        </w:rPr>
        <w:t>成交价款在采购文件</w:t>
      </w:r>
      <w:r>
        <w:rPr>
          <w:rFonts w:cs="Calibri"/>
          <w:color w:val="auto"/>
          <w:highlight w:val="none"/>
        </w:rPr>
        <w:t>约定的承包范围</w:t>
      </w:r>
      <w:r>
        <w:rPr>
          <w:rFonts w:hint="eastAsia" w:cs="Calibri"/>
          <w:color w:val="auto"/>
          <w:highlight w:val="none"/>
        </w:rPr>
        <w:t>、</w:t>
      </w:r>
      <w:r>
        <w:rPr>
          <w:rFonts w:cs="Calibri"/>
          <w:color w:val="auto"/>
          <w:highlight w:val="none"/>
        </w:rPr>
        <w:t>风险范围</w:t>
      </w:r>
      <w:r>
        <w:rPr>
          <w:rFonts w:hint="eastAsia" w:cs="Calibri"/>
          <w:color w:val="auto"/>
          <w:highlight w:val="none"/>
        </w:rPr>
        <w:t>内</w:t>
      </w:r>
      <w:r>
        <w:rPr>
          <w:rFonts w:cs="Calibri"/>
          <w:color w:val="auto"/>
          <w:highlight w:val="none"/>
        </w:rPr>
        <w:t>不</w:t>
      </w:r>
      <w:r>
        <w:rPr>
          <w:rFonts w:hint="eastAsia" w:cs="Calibri"/>
          <w:color w:val="auto"/>
          <w:highlight w:val="none"/>
        </w:rPr>
        <w:t>作</w:t>
      </w:r>
      <w:r>
        <w:rPr>
          <w:rFonts w:cs="Calibri"/>
          <w:color w:val="auto"/>
          <w:highlight w:val="none"/>
        </w:rPr>
        <w:t>调整</w:t>
      </w:r>
      <w:r>
        <w:rPr>
          <w:rFonts w:hint="eastAsia" w:cs="Calibri"/>
          <w:color w:val="auto"/>
          <w:highlight w:val="none"/>
        </w:rPr>
        <w:t>。</w:t>
      </w:r>
    </w:p>
    <w:p w14:paraId="124D4CB5">
      <w:pPr>
        <w:pStyle w:val="4"/>
        <w:keepNext w:val="0"/>
        <w:keepLines w:val="0"/>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Calibri"/>
          <w:color w:val="auto"/>
          <w:kern w:val="2"/>
          <w:sz w:val="24"/>
          <w:szCs w:val="24"/>
          <w:highlight w:val="none"/>
          <w:lang w:val="en-US" w:eastAsia="zh-CN" w:bidi="ar-SA"/>
        </w:rPr>
      </w:pPr>
      <w:r>
        <w:rPr>
          <w:rFonts w:hint="eastAsia" w:ascii="Times New Roman" w:hAnsi="Times New Roman" w:eastAsia="宋体" w:cs="Calibri"/>
          <w:color w:val="auto"/>
          <w:kern w:val="2"/>
          <w:sz w:val="24"/>
          <w:szCs w:val="24"/>
          <w:highlight w:val="none"/>
          <w:lang w:val="en-US" w:eastAsia="zh-CN" w:bidi="ar-SA"/>
        </w:rPr>
        <w:t>本合同为拆除工程合同，废旧物资处置合同由发包人供应部门与承包人联合体单位另行签订。</w:t>
      </w:r>
    </w:p>
    <w:p w14:paraId="100F982E">
      <w:pPr>
        <w:snapToGrid w:val="0"/>
        <w:rPr>
          <w:b/>
          <w:bCs/>
          <w:color w:val="auto"/>
          <w:highlight w:val="none"/>
        </w:rPr>
      </w:pPr>
      <w:bookmarkStart w:id="994" w:name="_Toc118283527"/>
      <w:bookmarkStart w:id="995" w:name="_Toc7191"/>
      <w:r>
        <w:rPr>
          <w:rFonts w:hint="eastAsia"/>
          <w:b/>
          <w:bCs/>
          <w:color w:val="auto"/>
          <w:highlight w:val="none"/>
        </w:rPr>
        <w:t>3．报价中不包含的费用</w:t>
      </w:r>
      <w:bookmarkEnd w:id="994"/>
      <w:bookmarkEnd w:id="995"/>
    </w:p>
    <w:p w14:paraId="3B3F25DF">
      <w:pPr>
        <w:adjustRightInd w:val="0"/>
        <w:snapToGrid w:val="0"/>
        <w:ind w:firstLine="480" w:firstLineChars="200"/>
        <w:rPr>
          <w:rFonts w:cs="Calibri"/>
          <w:color w:val="auto"/>
          <w:highlight w:val="none"/>
        </w:rPr>
      </w:pPr>
      <w:r>
        <w:rPr>
          <w:rFonts w:hint="eastAsia" w:cs="Calibri"/>
          <w:color w:val="auto"/>
          <w:highlight w:val="none"/>
        </w:rPr>
        <w:t>（1）</w:t>
      </w:r>
      <w:r>
        <w:rPr>
          <w:rFonts w:hint="eastAsia"/>
          <w:color w:val="auto"/>
          <w:highlight w:val="none"/>
        </w:rPr>
        <w:t>原工艺装置、管道等残存物料倒空、吹扫、清洗等确保拆除装置安全交出涉及的相关费用</w:t>
      </w:r>
      <w:r>
        <w:rPr>
          <w:rFonts w:cs="Calibri"/>
          <w:color w:val="auto"/>
          <w:highlight w:val="none"/>
        </w:rPr>
        <w:t>；</w:t>
      </w:r>
    </w:p>
    <w:p w14:paraId="10FD98E0">
      <w:pPr>
        <w:adjustRightInd w:val="0"/>
        <w:snapToGrid w:val="0"/>
        <w:ind w:firstLine="480" w:firstLineChars="200"/>
        <w:rPr>
          <w:rFonts w:cs="Calibri"/>
          <w:color w:val="auto"/>
          <w:highlight w:val="none"/>
        </w:rPr>
      </w:pPr>
      <w:r>
        <w:rPr>
          <w:rFonts w:hint="eastAsia" w:cs="Calibri"/>
          <w:color w:val="auto"/>
          <w:highlight w:val="none"/>
        </w:rPr>
        <w:t>（2）拆除过程中若发现工业废液，应及时通知采购人负责处置，采购人处置产生</w:t>
      </w:r>
      <w:r>
        <w:rPr>
          <w:rFonts w:cs="Calibri"/>
          <w:color w:val="auto"/>
          <w:highlight w:val="none"/>
        </w:rPr>
        <w:t>的费用；</w:t>
      </w:r>
    </w:p>
    <w:p w14:paraId="0B7C255D">
      <w:pPr>
        <w:adjustRightInd w:val="0"/>
        <w:snapToGrid w:val="0"/>
        <w:ind w:firstLine="480" w:firstLineChars="200"/>
        <w:rPr>
          <w:rFonts w:hint="eastAsia" w:eastAsia="宋体"/>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3</w:t>
      </w:r>
      <w:r>
        <w:rPr>
          <w:rFonts w:hint="eastAsia" w:ascii="宋体" w:hAnsi="宋体"/>
          <w:color w:val="auto"/>
          <w:highlight w:val="none"/>
          <w:lang w:eastAsia="zh-CN"/>
        </w:rPr>
        <w:t>）</w:t>
      </w:r>
      <w:r>
        <w:rPr>
          <w:rFonts w:hint="eastAsia" w:ascii="宋体" w:hAnsi="宋体"/>
          <w:color w:val="auto"/>
          <w:highlight w:val="none"/>
        </w:rPr>
        <w:t>地面以下的</w:t>
      </w:r>
      <w:r>
        <w:rPr>
          <w:rFonts w:hint="eastAsia" w:ascii="宋体" w:hAnsi="宋体"/>
          <w:color w:val="auto"/>
          <w:highlight w:val="none"/>
          <w:lang w:val="en-US" w:eastAsia="zh-CN"/>
        </w:rPr>
        <w:t>设备设施及建构筑物拆除后</w:t>
      </w:r>
      <w:r>
        <w:rPr>
          <w:rFonts w:hint="eastAsia" w:ascii="宋体" w:hAnsi="宋体"/>
          <w:color w:val="auto"/>
          <w:highlight w:val="none"/>
        </w:rPr>
        <w:t>进行土方回填至基础正负零，回填（回填密实度达到90％以上）至原地坪标高，达到设置独立施工区域</w:t>
      </w:r>
      <w:r>
        <w:rPr>
          <w:rFonts w:hint="eastAsia" w:ascii="宋体" w:hAnsi="宋体"/>
          <w:color w:val="auto"/>
          <w:highlight w:val="none"/>
          <w:lang w:eastAsia="zh-CN"/>
        </w:rPr>
        <w:t>；</w:t>
      </w:r>
    </w:p>
    <w:p w14:paraId="726CC5C9">
      <w:pPr>
        <w:adjustRightInd w:val="0"/>
        <w:snapToGrid w:val="0"/>
        <w:ind w:firstLine="480" w:firstLineChars="200"/>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ascii="宋体" w:hAnsi="宋体"/>
          <w:color w:val="auto"/>
          <w:highlight w:val="none"/>
        </w:rPr>
        <w:t>）</w:t>
      </w:r>
      <w:r>
        <w:rPr>
          <w:rFonts w:hint="eastAsia" w:ascii="宋体" w:hAnsi="宋体"/>
          <w:color w:val="auto"/>
          <w:highlight w:val="none"/>
        </w:rPr>
        <w:t>建筑安装工程一切险投保费用。</w:t>
      </w:r>
    </w:p>
    <w:p w14:paraId="624B3CFD">
      <w:pPr>
        <w:adjustRightInd w:val="0"/>
        <w:snapToGrid w:val="0"/>
        <w:ind w:firstLine="480" w:firstLineChars="0"/>
        <w:rPr>
          <w:b/>
          <w:bCs/>
          <w:color w:val="auto"/>
          <w:highlight w:val="none"/>
        </w:rPr>
      </w:pPr>
      <w:bookmarkStart w:id="996" w:name="_Toc115168279"/>
      <w:bookmarkStart w:id="997" w:name="_Toc118283528"/>
      <w:bookmarkStart w:id="998" w:name="_Toc5909"/>
      <w:r>
        <w:rPr>
          <w:rFonts w:hint="eastAsia"/>
          <w:b/>
          <w:bCs/>
          <w:color w:val="auto"/>
          <w:highlight w:val="none"/>
        </w:rPr>
        <w:t>4．报价中包含的风险因素及风险费用</w:t>
      </w:r>
      <w:bookmarkEnd w:id="996"/>
      <w:bookmarkEnd w:id="997"/>
      <w:bookmarkEnd w:id="998"/>
    </w:p>
    <w:p w14:paraId="2436A97C">
      <w:pPr>
        <w:adjustRightInd w:val="0"/>
        <w:snapToGrid w:val="0"/>
        <w:ind w:firstLine="480" w:firstLineChars="200"/>
        <w:rPr>
          <w:color w:val="auto"/>
          <w:highlight w:val="none"/>
        </w:rPr>
      </w:pPr>
      <w:r>
        <w:rPr>
          <w:rFonts w:hint="eastAsia"/>
          <w:color w:val="auto"/>
          <w:highlight w:val="none"/>
        </w:rPr>
        <w:t>报价中包含的风险因素及风险费用：</w:t>
      </w:r>
    </w:p>
    <w:p w14:paraId="2A0AF93B">
      <w:pPr>
        <w:adjustRightInd w:val="0"/>
        <w:snapToGrid w:val="0"/>
        <w:ind w:firstLine="480" w:firstLineChars="200"/>
        <w:rPr>
          <w:bCs/>
          <w:color w:val="auto"/>
          <w:highlight w:val="none"/>
        </w:rPr>
      </w:pPr>
      <w:r>
        <w:rPr>
          <w:rFonts w:hint="eastAsia"/>
          <w:color w:val="auto"/>
          <w:highlight w:val="none"/>
        </w:rPr>
        <w:t>（1）</w:t>
      </w:r>
      <w:r>
        <w:rPr>
          <w:rFonts w:hint="eastAsia"/>
          <w:bCs/>
          <w:color w:val="auto"/>
          <w:highlight w:val="none"/>
        </w:rPr>
        <w:t>合同期内市场人工等各种价格波动造成的成本变化，包括市场物价的不稳定因素，各项调价因素，气候等自然条件的不利影响，技术经济条件发生变化（如资源、劳动力、交通条件等），国家宏观经济调控政策引起的影响以及其他难以预测的费用，承包范围内工程量和报价出现的漏算或少算、非承包人原因引起工期的延长、停（窝）工或不能连续施工、工作时间的延长及节假日加班、脚手架搭拆及进出场次数的不确定等有可能产生的费用。</w:t>
      </w:r>
    </w:p>
    <w:p w14:paraId="693EDD70">
      <w:pPr>
        <w:adjustRightInd w:val="0"/>
        <w:snapToGrid w:val="0"/>
        <w:ind w:firstLine="480" w:firstLineChars="200"/>
        <w:rPr>
          <w:rFonts w:hint="eastAsia"/>
          <w:color w:val="auto"/>
          <w:highlight w:val="none"/>
        </w:rPr>
      </w:pPr>
      <w:r>
        <w:rPr>
          <w:rFonts w:hint="eastAsia"/>
          <w:bCs/>
          <w:color w:val="auto"/>
          <w:highlight w:val="none"/>
        </w:rPr>
        <w:t>（</w:t>
      </w:r>
      <w:r>
        <w:rPr>
          <w:bCs/>
          <w:color w:val="auto"/>
          <w:highlight w:val="none"/>
        </w:rPr>
        <w:t>2）</w:t>
      </w:r>
      <w:r>
        <w:rPr>
          <w:rFonts w:hint="eastAsia" w:ascii="宋体" w:hAnsi="宋体" w:eastAsia="宋体" w:cs="宋体"/>
          <w:bCs/>
          <w:color w:val="auto"/>
          <w:sz w:val="24"/>
          <w:szCs w:val="24"/>
          <w:highlight w:val="none"/>
          <w:lang w:val="en-US" w:eastAsia="zh-CN" w:bidi="ar"/>
        </w:rPr>
        <w:t>工程测量、地下设施探测、探挖后部分工程量与竣工图纸不一致涉及的拆除施工费用</w:t>
      </w:r>
      <w:r>
        <w:rPr>
          <w:bCs/>
          <w:color w:val="auto"/>
          <w:highlight w:val="none"/>
        </w:rPr>
        <w:t>。</w:t>
      </w:r>
    </w:p>
    <w:p w14:paraId="3A88F6E1">
      <w:pPr>
        <w:widowControl/>
        <w:jc w:val="left"/>
        <w:rPr>
          <w:rFonts w:hint="eastAsia" w:ascii="宋体" w:hAnsi="宋体"/>
          <w:color w:val="auto"/>
          <w:highlight w:val="none"/>
        </w:rPr>
      </w:pPr>
      <w:r>
        <w:rPr>
          <w:rFonts w:hint="eastAsia" w:ascii="宋体" w:hAnsi="宋体"/>
          <w:color w:val="auto"/>
          <w:highlight w:val="none"/>
        </w:rPr>
        <w:t>二、合同结算价款说明</w:t>
      </w:r>
    </w:p>
    <w:p w14:paraId="3A88F6E1">
      <w:pPr>
        <w:keepNext w:val="0"/>
        <w:keepLines w:val="0"/>
        <w:widowControl/>
        <w:suppressLineNumbers w:val="0"/>
        <w:spacing w:before="0" w:beforeAutospacing="0" w:after="0" w:afterAutospacing="0" w:line="240" w:lineRule="auto"/>
        <w:ind w:left="0" w:right="0" w:firstLine="480" w:firstLineChars="200"/>
        <w:jc w:val="left"/>
        <w:rPr>
          <w:rFonts w:hint="eastAsia" w:ascii="宋体" w:hAnsi="宋体" w:eastAsia="宋体" w:cs="Times New Roman"/>
          <w:b/>
          <w:bCs w:val="0"/>
          <w:color w:val="auto"/>
          <w:kern w:val="0"/>
          <w:sz w:val="21"/>
          <w:szCs w:val="21"/>
          <w:highlight w:val="none"/>
          <w:lang w:val="en-US" w:eastAsia="zh-CN" w:bidi="ar"/>
        </w:rPr>
      </w:pPr>
      <w:r>
        <w:rPr>
          <w:rFonts w:hint="eastAsia" w:ascii="宋体" w:hAnsi="宋体"/>
          <w:color w:val="auto"/>
          <w:highlight w:val="none"/>
        </w:rPr>
        <w:t>本合同结算价=中标价</w:t>
      </w:r>
      <w:r>
        <w:rPr>
          <w:rFonts w:hint="eastAsia" w:ascii="宋体" w:hAnsi="宋体"/>
          <w:color w:val="auto"/>
          <w:highlight w:val="none"/>
          <w:lang w:val="en-US" w:eastAsia="zh-CN"/>
        </w:rPr>
        <w:t>+签证</w:t>
      </w:r>
      <w:r>
        <w:rPr>
          <w:rFonts w:hint="eastAsia" w:ascii="宋体" w:hAnsi="宋体"/>
          <w:color w:val="auto"/>
          <w:highlight w:val="none"/>
        </w:rPr>
        <w:t>±调整±奖罚。</w:t>
      </w:r>
    </w:p>
    <w:p w14:paraId="3A3D3878">
      <w:pPr>
        <w:keepNext w:val="0"/>
        <w:keepLines w:val="0"/>
        <w:widowControl/>
        <w:suppressLineNumbers w:val="0"/>
        <w:spacing w:before="0" w:beforeAutospacing="0" w:after="0" w:afterAutospacing="0" w:line="240" w:lineRule="auto"/>
        <w:ind w:left="0" w:right="0"/>
        <w:jc w:val="left"/>
        <w:rPr>
          <w:rFonts w:hint="eastAsia" w:ascii="宋体" w:hAnsi="宋体" w:eastAsia="宋体" w:cs="Times New Roman"/>
          <w:b/>
          <w:bCs w:val="0"/>
          <w:color w:val="auto"/>
          <w:kern w:val="0"/>
          <w:sz w:val="28"/>
          <w:szCs w:val="28"/>
          <w:highlight w:val="none"/>
          <w:lang w:val="en-US" w:eastAsia="zh-CN" w:bidi="ar"/>
        </w:rPr>
      </w:pPr>
      <w:r>
        <w:rPr>
          <w:rFonts w:hint="eastAsia" w:ascii="宋体" w:hAnsi="宋体" w:eastAsia="宋体" w:cs="Times New Roman"/>
          <w:b/>
          <w:bCs w:val="0"/>
          <w:color w:val="auto"/>
          <w:kern w:val="0"/>
          <w:sz w:val="28"/>
          <w:szCs w:val="28"/>
          <w:highlight w:val="none"/>
          <w:lang w:val="en-US" w:eastAsia="zh-CN" w:bidi="ar"/>
        </w:rPr>
        <w:br w:type="page"/>
      </w:r>
    </w:p>
    <w:p w14:paraId="0F24A1E5">
      <w:pPr>
        <w:keepNext w:val="0"/>
        <w:keepLines w:val="0"/>
        <w:widowControl w:val="0"/>
        <w:suppressLineNumbers w:val="0"/>
        <w:spacing w:before="0" w:beforeAutospacing="0" w:after="0" w:afterAutospacing="0" w:line="360" w:lineRule="auto"/>
        <w:ind w:left="0" w:right="0"/>
        <w:jc w:val="center"/>
        <w:rPr>
          <w:rFonts w:cs="Times New Roman"/>
          <w:b/>
          <w:bCs w:val="0"/>
          <w:color w:val="auto"/>
          <w:sz w:val="28"/>
          <w:szCs w:val="28"/>
          <w:highlight w:val="none"/>
          <w:lang w:val="en-US"/>
        </w:rPr>
      </w:pPr>
      <w:r>
        <w:rPr>
          <w:rFonts w:hint="eastAsia" w:ascii="宋体" w:hAnsi="宋体" w:eastAsia="宋体" w:cs="Times New Roman"/>
          <w:b/>
          <w:bCs w:val="0"/>
          <w:color w:val="auto"/>
          <w:kern w:val="0"/>
          <w:sz w:val="28"/>
          <w:szCs w:val="28"/>
          <w:highlight w:val="none"/>
          <w:lang w:val="en-US" w:eastAsia="zh-CN" w:bidi="ar"/>
        </w:rPr>
        <w:t>投标报价表</w:t>
      </w:r>
    </w:p>
    <w:p w14:paraId="1D712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cs="Times New Roman"/>
          <w:b/>
          <w:bCs w:val="0"/>
          <w:color w:val="auto"/>
          <w:sz w:val="28"/>
          <w:szCs w:val="28"/>
          <w:highlight w:val="none"/>
          <w:lang w:val="en-US"/>
        </w:rPr>
      </w:pPr>
      <w:r>
        <w:rPr>
          <w:rFonts w:hint="eastAsia" w:eastAsia="宋体" w:cs="Arial"/>
          <w:color w:val="auto"/>
          <w:highlight w:val="none"/>
          <w:lang w:val="en-US" w:eastAsia="zh-CN"/>
        </w:rPr>
        <w:t>一、拆除工程费投标报价</w:t>
      </w:r>
      <w:r>
        <w:rPr>
          <w:rFonts w:hint="eastAsia" w:eastAsia="宋体" w:cs="Arial"/>
          <w:color w:val="auto"/>
          <w:highlight w:val="none"/>
        </w:rPr>
        <w:t>（</w:t>
      </w:r>
      <w:r>
        <w:rPr>
          <w:rFonts w:hint="eastAsia" w:cs="Arial"/>
          <w:color w:val="auto"/>
          <w:highlight w:val="none"/>
        </w:rPr>
        <w:t>签订合同时附中标结果）</w:t>
      </w:r>
    </w:p>
    <w:p w14:paraId="477FFA84">
      <w:pPr>
        <w:pStyle w:val="4"/>
        <w:rPr>
          <w:color w:val="auto"/>
          <w:highlight w:val="none"/>
        </w:rPr>
      </w:pPr>
    </w:p>
    <w:p w14:paraId="691438BE">
      <w:pPr>
        <w:widowControl/>
        <w:spacing w:line="240" w:lineRule="auto"/>
        <w:jc w:val="left"/>
        <w:rPr>
          <w:rFonts w:ascii="Arial" w:cs="Arial"/>
          <w:color w:val="auto"/>
          <w:sz w:val="21"/>
          <w:highlight w:val="none"/>
        </w:rPr>
      </w:pPr>
    </w:p>
    <w:p w14:paraId="69B0B936">
      <w:pPr>
        <w:widowControl/>
        <w:spacing w:line="240" w:lineRule="auto"/>
        <w:jc w:val="left"/>
        <w:rPr>
          <w:rFonts w:ascii="Arial" w:cs="Arial"/>
          <w:color w:val="auto"/>
          <w:sz w:val="21"/>
          <w:highlight w:val="none"/>
        </w:rPr>
      </w:pPr>
    </w:p>
    <w:p w14:paraId="3A736511">
      <w:pPr>
        <w:widowControl/>
        <w:spacing w:line="240" w:lineRule="auto"/>
        <w:jc w:val="left"/>
        <w:rPr>
          <w:rFonts w:ascii="Arial" w:cs="Arial"/>
          <w:color w:val="auto"/>
          <w:sz w:val="21"/>
          <w:highlight w:val="none"/>
        </w:rPr>
      </w:pPr>
    </w:p>
    <w:p w14:paraId="606D8B4E">
      <w:pPr>
        <w:widowControl/>
        <w:spacing w:line="240" w:lineRule="auto"/>
        <w:jc w:val="left"/>
        <w:rPr>
          <w:rFonts w:ascii="Arial" w:cs="Arial"/>
          <w:color w:val="auto"/>
          <w:sz w:val="21"/>
          <w:highlight w:val="none"/>
        </w:rPr>
      </w:pPr>
    </w:p>
    <w:p w14:paraId="0A151BB6">
      <w:pPr>
        <w:widowControl/>
        <w:spacing w:line="240" w:lineRule="auto"/>
        <w:jc w:val="left"/>
        <w:rPr>
          <w:rFonts w:ascii="Arial" w:cs="Arial"/>
          <w:color w:val="auto"/>
          <w:sz w:val="21"/>
          <w:highlight w:val="none"/>
        </w:rPr>
      </w:pPr>
    </w:p>
    <w:p w14:paraId="7647CC56">
      <w:pPr>
        <w:widowControl/>
        <w:spacing w:line="240" w:lineRule="auto"/>
        <w:jc w:val="left"/>
        <w:rPr>
          <w:rFonts w:ascii="Arial" w:cs="Arial"/>
          <w:color w:val="auto"/>
          <w:sz w:val="21"/>
          <w:highlight w:val="none"/>
        </w:rPr>
      </w:pPr>
    </w:p>
    <w:p w14:paraId="4FBE233F">
      <w:pPr>
        <w:widowControl/>
        <w:spacing w:line="240" w:lineRule="auto"/>
        <w:jc w:val="left"/>
        <w:rPr>
          <w:rFonts w:ascii="Arial" w:cs="Arial"/>
          <w:color w:val="auto"/>
          <w:sz w:val="21"/>
          <w:highlight w:val="none"/>
        </w:rPr>
      </w:pPr>
    </w:p>
    <w:p w14:paraId="5D8B9F06">
      <w:pPr>
        <w:widowControl/>
        <w:spacing w:line="240" w:lineRule="auto"/>
        <w:jc w:val="left"/>
        <w:rPr>
          <w:rFonts w:ascii="Arial" w:cs="Arial"/>
          <w:color w:val="auto"/>
          <w:sz w:val="21"/>
          <w:highlight w:val="none"/>
        </w:rPr>
      </w:pPr>
    </w:p>
    <w:p w14:paraId="3B6AC1E8">
      <w:pPr>
        <w:widowControl/>
        <w:spacing w:line="240" w:lineRule="auto"/>
        <w:jc w:val="left"/>
        <w:rPr>
          <w:rFonts w:ascii="Arial" w:cs="Arial"/>
          <w:color w:val="auto"/>
          <w:sz w:val="21"/>
          <w:highlight w:val="none"/>
        </w:rPr>
      </w:pPr>
    </w:p>
    <w:p w14:paraId="161DFCCF">
      <w:pPr>
        <w:widowControl/>
        <w:spacing w:line="240" w:lineRule="auto"/>
        <w:jc w:val="left"/>
        <w:rPr>
          <w:rFonts w:ascii="Arial" w:cs="Arial"/>
          <w:color w:val="auto"/>
          <w:sz w:val="21"/>
          <w:highlight w:val="none"/>
        </w:rPr>
      </w:pPr>
    </w:p>
    <w:p w14:paraId="6B4CA4B6">
      <w:pPr>
        <w:widowControl/>
        <w:spacing w:line="240" w:lineRule="auto"/>
        <w:jc w:val="left"/>
        <w:rPr>
          <w:rFonts w:ascii="Arial" w:cs="Arial"/>
          <w:color w:val="auto"/>
          <w:sz w:val="21"/>
          <w:highlight w:val="none"/>
        </w:rPr>
      </w:pPr>
    </w:p>
    <w:p w14:paraId="6CD139D0">
      <w:pPr>
        <w:widowControl/>
        <w:spacing w:line="240" w:lineRule="auto"/>
        <w:jc w:val="left"/>
        <w:rPr>
          <w:rFonts w:ascii="Arial" w:cs="Arial"/>
          <w:color w:val="auto"/>
          <w:sz w:val="21"/>
          <w:highlight w:val="none"/>
        </w:rPr>
      </w:pPr>
    </w:p>
    <w:p w14:paraId="2F7E1F95">
      <w:pPr>
        <w:widowControl/>
        <w:spacing w:line="240" w:lineRule="auto"/>
        <w:jc w:val="left"/>
        <w:rPr>
          <w:rFonts w:ascii="Arial" w:cs="Arial"/>
          <w:color w:val="auto"/>
          <w:sz w:val="21"/>
          <w:highlight w:val="none"/>
        </w:rPr>
      </w:pPr>
    </w:p>
    <w:p w14:paraId="7F1B2AC7">
      <w:pPr>
        <w:widowControl/>
        <w:spacing w:line="240" w:lineRule="auto"/>
        <w:jc w:val="left"/>
        <w:rPr>
          <w:rFonts w:ascii="Arial" w:cs="Arial"/>
          <w:color w:val="auto"/>
          <w:sz w:val="21"/>
          <w:highlight w:val="none"/>
        </w:rPr>
      </w:pPr>
    </w:p>
    <w:p w14:paraId="54D89761">
      <w:pPr>
        <w:widowControl/>
        <w:spacing w:line="240" w:lineRule="auto"/>
        <w:jc w:val="left"/>
        <w:rPr>
          <w:rFonts w:ascii="Arial" w:cs="Arial"/>
          <w:color w:val="auto"/>
          <w:sz w:val="21"/>
          <w:highlight w:val="none"/>
        </w:rPr>
      </w:pPr>
    </w:p>
    <w:p w14:paraId="7B981F3D">
      <w:pPr>
        <w:widowControl/>
        <w:spacing w:line="240" w:lineRule="auto"/>
        <w:jc w:val="left"/>
        <w:rPr>
          <w:rFonts w:ascii="Arial" w:cs="Arial"/>
          <w:color w:val="auto"/>
          <w:sz w:val="21"/>
          <w:highlight w:val="none"/>
        </w:rPr>
      </w:pPr>
    </w:p>
    <w:p w14:paraId="7F511CBA">
      <w:pPr>
        <w:widowControl/>
        <w:spacing w:line="240" w:lineRule="auto"/>
        <w:jc w:val="left"/>
        <w:rPr>
          <w:rFonts w:ascii="Arial" w:cs="Arial"/>
          <w:color w:val="auto"/>
          <w:sz w:val="21"/>
          <w:highlight w:val="none"/>
        </w:rPr>
      </w:pPr>
    </w:p>
    <w:p w14:paraId="066EB980">
      <w:pPr>
        <w:widowControl/>
        <w:spacing w:line="240" w:lineRule="auto"/>
        <w:jc w:val="left"/>
        <w:rPr>
          <w:rFonts w:ascii="Arial" w:cs="Arial"/>
          <w:color w:val="auto"/>
          <w:sz w:val="21"/>
          <w:highlight w:val="none"/>
        </w:rPr>
      </w:pPr>
    </w:p>
    <w:p w14:paraId="0592E1E2">
      <w:pPr>
        <w:widowControl/>
        <w:spacing w:line="240" w:lineRule="auto"/>
        <w:jc w:val="left"/>
        <w:rPr>
          <w:rFonts w:ascii="Arial" w:cs="Arial"/>
          <w:color w:val="auto"/>
          <w:sz w:val="21"/>
          <w:highlight w:val="none"/>
        </w:rPr>
      </w:pPr>
    </w:p>
    <w:p w14:paraId="74A8BE71">
      <w:pPr>
        <w:widowControl/>
        <w:spacing w:line="240" w:lineRule="auto"/>
        <w:jc w:val="left"/>
        <w:rPr>
          <w:rFonts w:ascii="Arial" w:cs="Arial"/>
          <w:color w:val="auto"/>
          <w:sz w:val="21"/>
          <w:highlight w:val="none"/>
        </w:rPr>
      </w:pPr>
    </w:p>
    <w:p w14:paraId="10B0E4FA">
      <w:pPr>
        <w:widowControl/>
        <w:spacing w:line="240" w:lineRule="auto"/>
        <w:jc w:val="left"/>
        <w:rPr>
          <w:rFonts w:ascii="Arial" w:cs="Arial"/>
          <w:color w:val="auto"/>
          <w:sz w:val="21"/>
          <w:highlight w:val="none"/>
        </w:rPr>
      </w:pPr>
    </w:p>
    <w:p w14:paraId="2ED4595D">
      <w:pPr>
        <w:pStyle w:val="4"/>
        <w:rPr>
          <w:rFonts w:ascii="Arial" w:cs="Arial"/>
          <w:color w:val="auto"/>
          <w:sz w:val="21"/>
          <w:highlight w:val="none"/>
        </w:rPr>
      </w:pPr>
    </w:p>
    <w:p w14:paraId="7C52D3DA">
      <w:pPr>
        <w:rPr>
          <w:rFonts w:ascii="Arial" w:cs="Arial"/>
          <w:color w:val="auto"/>
          <w:sz w:val="21"/>
          <w:highlight w:val="none"/>
        </w:rPr>
      </w:pPr>
    </w:p>
    <w:p w14:paraId="0C4CF2CA">
      <w:pPr>
        <w:pStyle w:val="4"/>
        <w:rPr>
          <w:rFonts w:ascii="Arial" w:cs="Arial"/>
          <w:color w:val="auto"/>
          <w:sz w:val="21"/>
          <w:highlight w:val="none"/>
        </w:rPr>
      </w:pPr>
    </w:p>
    <w:p w14:paraId="3198B5C5">
      <w:pPr>
        <w:rPr>
          <w:color w:val="auto"/>
          <w:highlight w:val="none"/>
        </w:rPr>
      </w:pPr>
    </w:p>
    <w:p w14:paraId="3BAE0D6B">
      <w:pPr>
        <w:widowControl/>
        <w:spacing w:line="240" w:lineRule="auto"/>
        <w:jc w:val="left"/>
        <w:rPr>
          <w:rFonts w:ascii="Arial" w:cs="Arial"/>
          <w:color w:val="auto"/>
          <w:sz w:val="21"/>
          <w:highlight w:val="none"/>
        </w:rPr>
      </w:pPr>
    </w:p>
    <w:p w14:paraId="0B92C536">
      <w:pPr>
        <w:widowControl/>
        <w:spacing w:line="240" w:lineRule="auto"/>
        <w:jc w:val="left"/>
        <w:rPr>
          <w:rFonts w:ascii="Arial" w:cs="Arial"/>
          <w:color w:val="auto"/>
          <w:sz w:val="21"/>
          <w:highlight w:val="none"/>
        </w:rPr>
      </w:pPr>
    </w:p>
    <w:p w14:paraId="4076077B">
      <w:pPr>
        <w:pStyle w:val="6"/>
        <w:rPr>
          <w:rFonts w:ascii="Arial" w:cs="Arial"/>
          <w:color w:val="auto"/>
          <w:sz w:val="21"/>
          <w:highlight w:val="none"/>
        </w:rPr>
      </w:pPr>
    </w:p>
    <w:p w14:paraId="4EB26340">
      <w:pPr>
        <w:pStyle w:val="6"/>
        <w:rPr>
          <w:rFonts w:ascii="Arial" w:cs="Arial"/>
          <w:color w:val="auto"/>
          <w:sz w:val="21"/>
          <w:highlight w:val="none"/>
        </w:rPr>
      </w:pPr>
    </w:p>
    <w:p w14:paraId="2E13F36E">
      <w:pPr>
        <w:pStyle w:val="6"/>
        <w:rPr>
          <w:rFonts w:ascii="Arial" w:cs="Arial"/>
          <w:color w:val="auto"/>
          <w:sz w:val="21"/>
          <w:highlight w:val="none"/>
        </w:rPr>
      </w:pPr>
    </w:p>
    <w:p w14:paraId="00B4B6D8">
      <w:pPr>
        <w:pStyle w:val="6"/>
        <w:rPr>
          <w:rFonts w:ascii="Arial" w:cs="Arial"/>
          <w:color w:val="auto"/>
          <w:sz w:val="21"/>
          <w:highlight w:val="none"/>
        </w:rPr>
      </w:pPr>
    </w:p>
    <w:p w14:paraId="3F19B412">
      <w:pPr>
        <w:pStyle w:val="6"/>
        <w:rPr>
          <w:rFonts w:ascii="Arial" w:cs="Arial"/>
          <w:color w:val="auto"/>
          <w:sz w:val="21"/>
          <w:highlight w:val="none"/>
        </w:rPr>
      </w:pPr>
    </w:p>
    <w:p w14:paraId="174254C9">
      <w:pPr>
        <w:pStyle w:val="6"/>
        <w:rPr>
          <w:rFonts w:ascii="Arial" w:cs="Arial"/>
          <w:color w:val="auto"/>
          <w:sz w:val="21"/>
          <w:highlight w:val="none"/>
        </w:rPr>
      </w:pPr>
    </w:p>
    <w:p w14:paraId="5C294285">
      <w:pPr>
        <w:pStyle w:val="6"/>
        <w:rPr>
          <w:rFonts w:ascii="Arial" w:cs="Arial"/>
          <w:color w:val="auto"/>
          <w:sz w:val="21"/>
          <w:highlight w:val="none"/>
        </w:rPr>
      </w:pPr>
    </w:p>
    <w:p w14:paraId="04754649">
      <w:pPr>
        <w:pStyle w:val="6"/>
        <w:rPr>
          <w:rFonts w:ascii="Arial" w:cs="Arial"/>
          <w:color w:val="auto"/>
          <w:sz w:val="21"/>
          <w:highlight w:val="none"/>
        </w:rPr>
      </w:pPr>
    </w:p>
    <w:p w14:paraId="265B8F2D">
      <w:pPr>
        <w:pStyle w:val="6"/>
        <w:rPr>
          <w:rFonts w:ascii="Arial" w:cs="Arial"/>
          <w:color w:val="auto"/>
          <w:sz w:val="21"/>
          <w:highlight w:val="none"/>
        </w:rPr>
      </w:pPr>
    </w:p>
    <w:p w14:paraId="6579ABE9">
      <w:pPr>
        <w:pStyle w:val="6"/>
        <w:rPr>
          <w:rFonts w:ascii="Arial" w:cs="Arial"/>
          <w:color w:val="auto"/>
          <w:sz w:val="21"/>
          <w:highlight w:val="none"/>
        </w:rPr>
      </w:pPr>
    </w:p>
    <w:p w14:paraId="7A372BA9">
      <w:pPr>
        <w:pStyle w:val="6"/>
        <w:rPr>
          <w:rFonts w:ascii="Arial" w:cs="Arial"/>
          <w:color w:val="auto"/>
          <w:sz w:val="21"/>
          <w:highlight w:val="none"/>
        </w:rPr>
      </w:pPr>
    </w:p>
    <w:p w14:paraId="3A6256A0">
      <w:pPr>
        <w:widowControl/>
        <w:spacing w:line="240" w:lineRule="auto"/>
        <w:jc w:val="left"/>
        <w:rPr>
          <w:rFonts w:ascii="Arial" w:cs="Arial"/>
          <w:color w:val="auto"/>
          <w:sz w:val="21"/>
          <w:highlight w:val="none"/>
        </w:rPr>
      </w:pPr>
    </w:p>
    <w:p w14:paraId="39588C64">
      <w:pPr>
        <w:keepNext w:val="0"/>
        <w:keepLines w:val="0"/>
        <w:adjustRightInd/>
        <w:snapToGrid/>
        <w:jc w:val="left"/>
        <w:outlineLvl w:val="9"/>
        <w:rPr>
          <w:rFonts w:hint="eastAsia" w:ascii="Arial" w:cs="Arial"/>
          <w:bCs/>
          <w:color w:val="auto"/>
          <w:highlight w:val="none"/>
        </w:rPr>
      </w:pPr>
      <w:bookmarkStart w:id="999" w:name="_Toc761784958"/>
      <w:bookmarkStart w:id="1000" w:name="_Toc848046181"/>
      <w:bookmarkStart w:id="1001" w:name="_Toc256000099"/>
      <w:bookmarkStart w:id="1002" w:name="_Toc8268"/>
      <w:bookmarkStart w:id="1003" w:name="_Toc119953766"/>
      <w:r>
        <w:rPr>
          <w:rFonts w:hint="eastAsia" w:ascii="Arial" w:cs="Arial"/>
          <w:bCs/>
          <w:color w:val="auto"/>
          <w:highlight w:val="none"/>
        </w:rPr>
        <w:br w:type="page"/>
      </w:r>
    </w:p>
    <w:p w14:paraId="6E50F1E5">
      <w:pPr>
        <w:keepNext/>
        <w:keepLines/>
        <w:adjustRightInd w:val="0"/>
        <w:snapToGrid w:val="0"/>
        <w:jc w:val="left"/>
        <w:outlineLvl w:val="1"/>
        <w:rPr>
          <w:rFonts w:cs="Arial"/>
          <w:color w:val="auto"/>
          <w:highlight w:val="none"/>
        </w:rPr>
      </w:pPr>
      <w:r>
        <w:rPr>
          <w:rFonts w:hint="eastAsia" w:ascii="Arial" w:cs="Arial"/>
          <w:bCs/>
          <w:color w:val="auto"/>
          <w:highlight w:val="none"/>
        </w:rPr>
        <w:t>附件2：</w:t>
      </w:r>
      <w:bookmarkEnd w:id="999"/>
      <w:bookmarkEnd w:id="1000"/>
      <w:r>
        <w:rPr>
          <w:rFonts w:hint="eastAsia" w:cs="Arial"/>
          <w:color w:val="auto"/>
          <w:highlight w:val="none"/>
        </w:rPr>
        <w:t>项目经理部人员配置表（签订合同时附中标结果）</w:t>
      </w:r>
      <w:bookmarkEnd w:id="1001"/>
      <w:bookmarkEnd w:id="1002"/>
      <w:bookmarkEnd w:id="1003"/>
    </w:p>
    <w:p w14:paraId="62617815">
      <w:pPr>
        <w:adjustRightInd w:val="0"/>
        <w:snapToGrid w:val="0"/>
        <w:rPr>
          <w:color w:val="auto"/>
          <w:highlight w:val="none"/>
        </w:rPr>
      </w:pPr>
    </w:p>
    <w:p w14:paraId="1AFEDA64">
      <w:pPr>
        <w:adjustRightInd w:val="0"/>
        <w:snapToGrid w:val="0"/>
        <w:rPr>
          <w:color w:val="auto"/>
          <w:highlight w:val="none"/>
        </w:rPr>
      </w:pPr>
    </w:p>
    <w:p w14:paraId="0A27E716">
      <w:pPr>
        <w:widowControl/>
        <w:spacing w:line="240" w:lineRule="auto"/>
        <w:jc w:val="left"/>
        <w:rPr>
          <w:rFonts w:ascii="Arial" w:cs="Arial"/>
          <w:bCs/>
          <w:color w:val="auto"/>
          <w:szCs w:val="32"/>
          <w:highlight w:val="none"/>
        </w:rPr>
      </w:pPr>
      <w:bookmarkStart w:id="1004" w:name="_Toc489094529"/>
      <w:r>
        <w:rPr>
          <w:rFonts w:ascii="Arial" w:cs="Arial"/>
          <w:bCs/>
          <w:color w:val="auto"/>
          <w:szCs w:val="32"/>
          <w:highlight w:val="none"/>
        </w:rPr>
        <w:br w:type="page"/>
      </w:r>
      <w:bookmarkStart w:id="1005" w:name="_Toc23873"/>
      <w:bookmarkStart w:id="1006" w:name="_Toc256000100"/>
      <w:bookmarkStart w:id="1007" w:name="_Toc561172606"/>
      <w:bookmarkStart w:id="1008" w:name="_Toc90117824"/>
      <w:bookmarkStart w:id="1009" w:name="_Toc119953767"/>
      <w:bookmarkStart w:id="1010" w:name="_Toc51511447"/>
      <w:r>
        <w:rPr>
          <w:rFonts w:ascii="Arial" w:cs="Arial"/>
          <w:bCs/>
          <w:color w:val="auto"/>
          <w:szCs w:val="32"/>
          <w:highlight w:val="none"/>
        </w:rPr>
        <w:br w:type="page"/>
      </w:r>
    </w:p>
    <w:p w14:paraId="0DFBE215">
      <w:pPr>
        <w:widowControl/>
        <w:spacing w:line="240" w:lineRule="auto"/>
        <w:jc w:val="left"/>
        <w:rPr>
          <w:rFonts w:ascii="Arial" w:cs="Arial"/>
          <w:bCs/>
          <w:color w:val="auto"/>
          <w:szCs w:val="32"/>
          <w:highlight w:val="none"/>
        </w:rPr>
      </w:pPr>
      <w:r>
        <w:rPr>
          <w:rFonts w:hint="eastAsia" w:ascii="Arial" w:cs="Arial"/>
          <w:bCs/>
          <w:color w:val="auto"/>
          <w:szCs w:val="32"/>
          <w:highlight w:val="none"/>
        </w:rPr>
        <w:t>附件3：监理工作内容</w:t>
      </w:r>
      <w:bookmarkEnd w:id="1004"/>
      <w:bookmarkEnd w:id="1005"/>
      <w:bookmarkEnd w:id="1006"/>
      <w:bookmarkEnd w:id="1007"/>
      <w:bookmarkEnd w:id="1008"/>
      <w:bookmarkEnd w:id="1009"/>
      <w:bookmarkEnd w:id="1010"/>
    </w:p>
    <w:p w14:paraId="70709DF7">
      <w:pPr>
        <w:snapToGrid w:val="0"/>
        <w:jc w:val="center"/>
        <w:rPr>
          <w:color w:val="auto"/>
          <w:sz w:val="30"/>
          <w:szCs w:val="30"/>
          <w:highlight w:val="none"/>
        </w:rPr>
      </w:pPr>
      <w:r>
        <w:rPr>
          <w:rFonts w:hint="eastAsia"/>
          <w:color w:val="auto"/>
          <w:sz w:val="30"/>
          <w:szCs w:val="30"/>
          <w:highlight w:val="none"/>
        </w:rPr>
        <w:t>监理工作内容</w:t>
      </w:r>
    </w:p>
    <w:p w14:paraId="1834BB71">
      <w:pPr>
        <w:snapToGrid w:val="0"/>
        <w:spacing w:after="120" w:afterLines="50"/>
        <w:jc w:val="center"/>
        <w:rPr>
          <w:color w:val="auto"/>
          <w:highlight w:val="none"/>
        </w:rPr>
      </w:pPr>
      <w:r>
        <w:rPr>
          <w:rFonts w:hint="eastAsia"/>
          <w:color w:val="auto"/>
          <w:highlight w:val="none"/>
        </w:rPr>
        <w:t>（供参考，以工程监理合同约定的监理工作内容为准）</w:t>
      </w:r>
    </w:p>
    <w:p w14:paraId="112C853B">
      <w:pPr>
        <w:adjustRightInd w:val="0"/>
        <w:snapToGrid w:val="0"/>
        <w:ind w:firstLine="424" w:firstLineChars="177"/>
        <w:rPr>
          <w:color w:val="auto"/>
          <w:highlight w:val="none"/>
        </w:rPr>
      </w:pPr>
      <w:r>
        <w:rPr>
          <w:rFonts w:hint="eastAsia"/>
          <w:color w:val="auto"/>
          <w:highlight w:val="none"/>
        </w:rPr>
        <w:t>一、收到工程设计文件后编制监理规划，并在第一次工地会议7天前报委托人。根据有关规定和监理工作需要，编制监理实施细则；</w:t>
      </w:r>
    </w:p>
    <w:p w14:paraId="6EC27BA0">
      <w:pPr>
        <w:adjustRightInd w:val="0"/>
        <w:snapToGrid w:val="0"/>
        <w:ind w:firstLine="424" w:firstLineChars="177"/>
        <w:rPr>
          <w:color w:val="auto"/>
          <w:highlight w:val="none"/>
        </w:rPr>
      </w:pPr>
      <w:r>
        <w:rPr>
          <w:rFonts w:hint="eastAsia"/>
          <w:color w:val="auto"/>
          <w:highlight w:val="none"/>
        </w:rPr>
        <w:t>二、熟悉工程设计文件，并参加由委托人主持的图纸会审和设计交底会议；</w:t>
      </w:r>
    </w:p>
    <w:p w14:paraId="743847FF">
      <w:pPr>
        <w:adjustRightInd w:val="0"/>
        <w:snapToGrid w:val="0"/>
        <w:ind w:firstLine="424" w:firstLineChars="177"/>
        <w:rPr>
          <w:color w:val="auto"/>
          <w:highlight w:val="none"/>
        </w:rPr>
      </w:pPr>
      <w:r>
        <w:rPr>
          <w:rFonts w:hint="eastAsia"/>
          <w:color w:val="auto"/>
          <w:highlight w:val="none"/>
        </w:rPr>
        <w:t>三、参加由委托人主持的第一次工地会议；主持监理例会并根据工程需要主持或参加专题会议；</w:t>
      </w:r>
    </w:p>
    <w:p w14:paraId="14E7C7CC">
      <w:pPr>
        <w:adjustRightInd w:val="0"/>
        <w:snapToGrid w:val="0"/>
        <w:ind w:firstLine="424" w:firstLineChars="177"/>
        <w:rPr>
          <w:color w:val="auto"/>
          <w:highlight w:val="none"/>
        </w:rPr>
      </w:pPr>
      <w:r>
        <w:rPr>
          <w:rFonts w:hint="eastAsia"/>
          <w:color w:val="auto"/>
          <w:highlight w:val="none"/>
        </w:rPr>
        <w:t>四、审查施工承包人提交的施工组织设计，重点审查其中的质量安全技术措施、专项施工方案与工程建设强制性标准的符合性；</w:t>
      </w:r>
    </w:p>
    <w:p w14:paraId="66DC4A76">
      <w:pPr>
        <w:adjustRightInd w:val="0"/>
        <w:snapToGrid w:val="0"/>
        <w:ind w:firstLine="424" w:firstLineChars="177"/>
        <w:rPr>
          <w:color w:val="auto"/>
          <w:highlight w:val="none"/>
        </w:rPr>
      </w:pPr>
      <w:r>
        <w:rPr>
          <w:rFonts w:hint="eastAsia"/>
          <w:color w:val="auto"/>
          <w:highlight w:val="none"/>
        </w:rPr>
        <w:t xml:space="preserve">五、检查施工承包人工程质量、安全生产管理制度及组织机构和人员资格； </w:t>
      </w:r>
    </w:p>
    <w:p w14:paraId="7CF203D9">
      <w:pPr>
        <w:adjustRightInd w:val="0"/>
        <w:snapToGrid w:val="0"/>
        <w:ind w:firstLine="424" w:firstLineChars="177"/>
        <w:rPr>
          <w:color w:val="auto"/>
          <w:highlight w:val="none"/>
        </w:rPr>
      </w:pPr>
      <w:r>
        <w:rPr>
          <w:rFonts w:hint="eastAsia"/>
          <w:color w:val="auto"/>
          <w:highlight w:val="none"/>
        </w:rPr>
        <w:t>六、检查施工承包人专职安全生产管理人员的配备情况；</w:t>
      </w:r>
    </w:p>
    <w:p w14:paraId="25EA8B36">
      <w:pPr>
        <w:adjustRightInd w:val="0"/>
        <w:snapToGrid w:val="0"/>
        <w:ind w:firstLine="424" w:firstLineChars="177"/>
        <w:rPr>
          <w:color w:val="auto"/>
          <w:highlight w:val="none"/>
        </w:rPr>
      </w:pPr>
      <w:r>
        <w:rPr>
          <w:rFonts w:hint="eastAsia"/>
          <w:color w:val="auto"/>
          <w:highlight w:val="none"/>
        </w:rPr>
        <w:t>七、审查施工承包人提交的施工进度计划，核查承包人对施工进度计划的调整；</w:t>
      </w:r>
    </w:p>
    <w:p w14:paraId="39FA4EF4">
      <w:pPr>
        <w:adjustRightInd w:val="0"/>
        <w:snapToGrid w:val="0"/>
        <w:ind w:firstLine="424" w:firstLineChars="177"/>
        <w:rPr>
          <w:color w:val="auto"/>
          <w:highlight w:val="none"/>
        </w:rPr>
      </w:pPr>
      <w:r>
        <w:rPr>
          <w:rFonts w:hint="eastAsia"/>
          <w:color w:val="auto"/>
          <w:highlight w:val="none"/>
        </w:rPr>
        <w:t>八、检查施工承包人的试验室；</w:t>
      </w:r>
    </w:p>
    <w:p w14:paraId="7088F6F8">
      <w:pPr>
        <w:adjustRightInd w:val="0"/>
        <w:snapToGrid w:val="0"/>
        <w:ind w:firstLine="424" w:firstLineChars="177"/>
        <w:rPr>
          <w:color w:val="auto"/>
          <w:highlight w:val="none"/>
        </w:rPr>
      </w:pPr>
      <w:r>
        <w:rPr>
          <w:rFonts w:hint="eastAsia"/>
          <w:color w:val="auto"/>
          <w:highlight w:val="none"/>
        </w:rPr>
        <w:t>九、审核施工分包人资质条件；</w:t>
      </w:r>
    </w:p>
    <w:p w14:paraId="112AFAB3">
      <w:pPr>
        <w:adjustRightInd w:val="0"/>
        <w:snapToGrid w:val="0"/>
        <w:ind w:firstLine="424" w:firstLineChars="177"/>
        <w:rPr>
          <w:color w:val="auto"/>
          <w:highlight w:val="none"/>
        </w:rPr>
      </w:pPr>
      <w:r>
        <w:rPr>
          <w:rFonts w:hint="eastAsia"/>
          <w:color w:val="auto"/>
          <w:highlight w:val="none"/>
        </w:rPr>
        <w:t>十、查验施工承包人的施工测量放线成果；</w:t>
      </w:r>
    </w:p>
    <w:p w14:paraId="20108FB4">
      <w:pPr>
        <w:adjustRightInd w:val="0"/>
        <w:snapToGrid w:val="0"/>
        <w:ind w:firstLine="424" w:firstLineChars="177"/>
        <w:rPr>
          <w:color w:val="auto"/>
          <w:highlight w:val="none"/>
        </w:rPr>
      </w:pPr>
      <w:r>
        <w:rPr>
          <w:rFonts w:hint="eastAsia"/>
          <w:color w:val="auto"/>
          <w:highlight w:val="none"/>
        </w:rPr>
        <w:t>十一、审查工程开工条件，对条件具备的签发开工令；</w:t>
      </w:r>
    </w:p>
    <w:p w14:paraId="4AC6BB90">
      <w:pPr>
        <w:adjustRightInd w:val="0"/>
        <w:snapToGrid w:val="0"/>
        <w:ind w:firstLine="424" w:firstLineChars="177"/>
        <w:rPr>
          <w:color w:val="auto"/>
          <w:highlight w:val="none"/>
        </w:rPr>
      </w:pPr>
      <w:r>
        <w:rPr>
          <w:rFonts w:hint="eastAsia"/>
          <w:color w:val="auto"/>
          <w:highlight w:val="none"/>
        </w:rPr>
        <w:t>十二、审查施工承包人报送的工程材料、构配件、设备质量证明文件的有效性和符合性，并按规定对用于工程的材料采取平行检验或见证取样方式进行抽检；</w:t>
      </w:r>
    </w:p>
    <w:p w14:paraId="5269EC7C">
      <w:pPr>
        <w:adjustRightInd w:val="0"/>
        <w:snapToGrid w:val="0"/>
        <w:ind w:firstLine="424" w:firstLineChars="177"/>
        <w:rPr>
          <w:color w:val="auto"/>
          <w:highlight w:val="none"/>
        </w:rPr>
      </w:pPr>
      <w:r>
        <w:rPr>
          <w:rFonts w:hint="eastAsia"/>
          <w:color w:val="auto"/>
          <w:highlight w:val="none"/>
        </w:rPr>
        <w:t>十三、审核施工承包人提交的工程款支付申请，签发或出具工程款支付证书，并报委托人审核、批准；</w:t>
      </w:r>
    </w:p>
    <w:p w14:paraId="59A6FFD6">
      <w:pPr>
        <w:adjustRightInd w:val="0"/>
        <w:snapToGrid w:val="0"/>
        <w:ind w:firstLine="424" w:firstLineChars="177"/>
        <w:rPr>
          <w:color w:val="auto"/>
          <w:highlight w:val="none"/>
        </w:rPr>
      </w:pPr>
      <w:r>
        <w:rPr>
          <w:rFonts w:hint="eastAsia"/>
          <w:color w:val="auto"/>
          <w:highlight w:val="none"/>
        </w:rPr>
        <w:t>十四、在巡视、旁站和检验过程中，发现工程质量、施工安全存在事故隐患的，要求施工承包人整改并报委托人；</w:t>
      </w:r>
    </w:p>
    <w:p w14:paraId="2B249488">
      <w:pPr>
        <w:adjustRightInd w:val="0"/>
        <w:snapToGrid w:val="0"/>
        <w:ind w:firstLine="424" w:firstLineChars="177"/>
        <w:rPr>
          <w:color w:val="auto"/>
          <w:highlight w:val="none"/>
        </w:rPr>
      </w:pPr>
      <w:r>
        <w:rPr>
          <w:rFonts w:hint="eastAsia"/>
          <w:color w:val="auto"/>
          <w:highlight w:val="none"/>
        </w:rPr>
        <w:t>十五、经委托人同意，签发工程暂停令和复工令；</w:t>
      </w:r>
    </w:p>
    <w:p w14:paraId="0FE27DB6">
      <w:pPr>
        <w:adjustRightInd w:val="0"/>
        <w:snapToGrid w:val="0"/>
        <w:ind w:firstLine="424" w:firstLineChars="177"/>
        <w:rPr>
          <w:color w:val="auto"/>
          <w:highlight w:val="none"/>
        </w:rPr>
      </w:pPr>
      <w:r>
        <w:rPr>
          <w:rFonts w:hint="eastAsia"/>
          <w:color w:val="auto"/>
          <w:highlight w:val="none"/>
        </w:rPr>
        <w:t>十六、审查施工承包人提交的采用新材料、新工艺、新技术、新设备的论证材料及相关验收标准；</w:t>
      </w:r>
    </w:p>
    <w:p w14:paraId="7C47B290">
      <w:pPr>
        <w:adjustRightInd w:val="0"/>
        <w:snapToGrid w:val="0"/>
        <w:ind w:firstLine="424" w:firstLineChars="177"/>
        <w:rPr>
          <w:color w:val="auto"/>
          <w:highlight w:val="none"/>
        </w:rPr>
      </w:pPr>
      <w:r>
        <w:rPr>
          <w:rFonts w:hint="eastAsia"/>
          <w:color w:val="auto"/>
          <w:highlight w:val="none"/>
        </w:rPr>
        <w:t>十七、验收隐蔽工程、分部分项工程；</w:t>
      </w:r>
    </w:p>
    <w:p w14:paraId="6DBE422B">
      <w:pPr>
        <w:adjustRightInd w:val="0"/>
        <w:snapToGrid w:val="0"/>
        <w:ind w:firstLine="424" w:firstLineChars="177"/>
        <w:rPr>
          <w:color w:val="auto"/>
          <w:highlight w:val="none"/>
        </w:rPr>
      </w:pPr>
      <w:r>
        <w:rPr>
          <w:rFonts w:hint="eastAsia"/>
          <w:color w:val="auto"/>
          <w:highlight w:val="none"/>
        </w:rPr>
        <w:t>十八、审查施工承包人提交的工程变更申请，协调处理施工进度调整、费用索赔、合同争议等事项；</w:t>
      </w:r>
    </w:p>
    <w:p w14:paraId="612528FA">
      <w:pPr>
        <w:adjustRightInd w:val="0"/>
        <w:snapToGrid w:val="0"/>
        <w:ind w:firstLine="424" w:firstLineChars="177"/>
        <w:rPr>
          <w:color w:val="auto"/>
          <w:highlight w:val="none"/>
        </w:rPr>
      </w:pPr>
      <w:r>
        <w:rPr>
          <w:rFonts w:hint="eastAsia"/>
          <w:color w:val="auto"/>
          <w:highlight w:val="none"/>
        </w:rPr>
        <w:t>十九、审查施工承包人提交的竣工验收申请，编写工程质量评估报告；</w:t>
      </w:r>
    </w:p>
    <w:p w14:paraId="1DEED8C6">
      <w:pPr>
        <w:adjustRightInd w:val="0"/>
        <w:snapToGrid w:val="0"/>
        <w:ind w:firstLine="424" w:firstLineChars="177"/>
        <w:rPr>
          <w:color w:val="auto"/>
          <w:highlight w:val="none"/>
        </w:rPr>
      </w:pPr>
      <w:r>
        <w:rPr>
          <w:rFonts w:hint="eastAsia"/>
          <w:color w:val="auto"/>
          <w:highlight w:val="none"/>
        </w:rPr>
        <w:t>二十、参加工程中间交接、交工、竣工验收，签署中间交接、交工、竣工验收意见；</w:t>
      </w:r>
    </w:p>
    <w:p w14:paraId="37F12E3C">
      <w:pPr>
        <w:adjustRightInd w:val="0"/>
        <w:snapToGrid w:val="0"/>
        <w:ind w:firstLine="424" w:firstLineChars="177"/>
        <w:rPr>
          <w:color w:val="auto"/>
          <w:highlight w:val="none"/>
        </w:rPr>
      </w:pPr>
      <w:r>
        <w:rPr>
          <w:rFonts w:hint="eastAsia"/>
          <w:color w:val="auto"/>
          <w:highlight w:val="none"/>
        </w:rPr>
        <w:t>二十一、检查、监督施工承包人及时、准确、完整地收集和整理工程资料；</w:t>
      </w:r>
    </w:p>
    <w:p w14:paraId="4E157F17">
      <w:pPr>
        <w:adjustRightInd w:val="0"/>
        <w:snapToGrid w:val="0"/>
        <w:ind w:firstLine="424" w:firstLineChars="177"/>
        <w:rPr>
          <w:color w:val="auto"/>
          <w:highlight w:val="none"/>
        </w:rPr>
      </w:pPr>
      <w:r>
        <w:rPr>
          <w:rFonts w:hint="eastAsia"/>
          <w:color w:val="auto"/>
          <w:highlight w:val="none"/>
        </w:rPr>
        <w:t>二十二、审查施工承包人提交的工程结算申请并报委托人；</w:t>
      </w:r>
    </w:p>
    <w:p w14:paraId="34E0C38F">
      <w:pPr>
        <w:adjustRightInd w:val="0"/>
        <w:snapToGrid w:val="0"/>
        <w:ind w:firstLine="424" w:firstLineChars="177"/>
        <w:rPr>
          <w:color w:val="auto"/>
          <w:highlight w:val="none"/>
        </w:rPr>
      </w:pPr>
      <w:r>
        <w:rPr>
          <w:rFonts w:hint="eastAsia"/>
          <w:color w:val="auto"/>
          <w:highlight w:val="none"/>
        </w:rPr>
        <w:t>二十三、编制、整理工程监理归档文件并报委托人；</w:t>
      </w:r>
    </w:p>
    <w:p w14:paraId="3624CB96">
      <w:pPr>
        <w:adjustRightInd w:val="0"/>
        <w:snapToGrid w:val="0"/>
        <w:ind w:firstLine="424" w:firstLineChars="177"/>
        <w:rPr>
          <w:color w:val="auto"/>
          <w:highlight w:val="none"/>
        </w:rPr>
      </w:pPr>
      <w:r>
        <w:rPr>
          <w:rFonts w:hint="eastAsia"/>
          <w:color w:val="auto"/>
          <w:highlight w:val="none"/>
        </w:rPr>
        <w:t>二十四、其他工作内容</w:t>
      </w:r>
    </w:p>
    <w:p w14:paraId="5D1B6AA7">
      <w:pPr>
        <w:adjustRightInd w:val="0"/>
        <w:snapToGrid w:val="0"/>
        <w:ind w:firstLine="424" w:firstLineChars="177"/>
        <w:rPr>
          <w:color w:val="auto"/>
          <w:highlight w:val="none"/>
        </w:rPr>
      </w:pPr>
      <w:r>
        <w:rPr>
          <w:rFonts w:hint="eastAsia"/>
          <w:color w:val="auto"/>
          <w:highlight w:val="none"/>
        </w:rPr>
        <w:t>1.负责对所承担工程监理工作进行全过程的安全监督，履行监理职责。</w:t>
      </w:r>
    </w:p>
    <w:p w14:paraId="705F6DA5">
      <w:pPr>
        <w:adjustRightInd w:val="0"/>
        <w:snapToGrid w:val="0"/>
        <w:ind w:firstLine="424" w:firstLineChars="177"/>
        <w:rPr>
          <w:color w:val="auto"/>
          <w:highlight w:val="none"/>
        </w:rPr>
      </w:pPr>
      <w:r>
        <w:rPr>
          <w:rFonts w:hint="eastAsia"/>
          <w:color w:val="auto"/>
          <w:highlight w:val="none"/>
        </w:rPr>
        <w:t>2.根据建设项目规模、施工阶段及安全管理风险度,配备总监理工程师、总监理工程师安全代表，按比例配足资质、专业背景、管理经验符合要求的专业监理工程师，将安全管理责任落实到人。</w:t>
      </w:r>
    </w:p>
    <w:p w14:paraId="0679AC81">
      <w:pPr>
        <w:adjustRightInd w:val="0"/>
        <w:snapToGrid w:val="0"/>
        <w:ind w:firstLine="424" w:firstLineChars="177"/>
        <w:rPr>
          <w:color w:val="auto"/>
          <w:highlight w:val="none"/>
        </w:rPr>
      </w:pPr>
      <w:r>
        <w:rPr>
          <w:rFonts w:hint="eastAsia"/>
          <w:color w:val="auto"/>
          <w:highlight w:val="none"/>
        </w:rPr>
        <w:t>3负责编制安全监理计划，明确安全监理的范围、内容、方法和措施等内容，并报委托人批准。</w:t>
      </w:r>
    </w:p>
    <w:p w14:paraId="0FB6358B">
      <w:pPr>
        <w:adjustRightInd w:val="0"/>
        <w:snapToGrid w:val="0"/>
        <w:ind w:firstLine="424" w:firstLineChars="177"/>
        <w:rPr>
          <w:color w:val="auto"/>
          <w:highlight w:val="none"/>
        </w:rPr>
      </w:pPr>
      <w:r>
        <w:rPr>
          <w:rFonts w:hint="eastAsia"/>
          <w:color w:val="auto"/>
          <w:highlight w:val="none"/>
        </w:rPr>
        <w:t>4.组织安全技术措施、专项施工方案的审查，进行重大危险源和环境因素分析，编制项目安全旁站计划并实施。</w:t>
      </w:r>
    </w:p>
    <w:p w14:paraId="1FB34624">
      <w:pPr>
        <w:adjustRightInd w:val="0"/>
        <w:snapToGrid w:val="0"/>
        <w:ind w:firstLine="424" w:firstLineChars="177"/>
        <w:rPr>
          <w:color w:val="auto"/>
          <w:highlight w:val="none"/>
        </w:rPr>
      </w:pPr>
      <w:r>
        <w:rPr>
          <w:rFonts w:hint="eastAsia"/>
          <w:color w:val="auto"/>
          <w:highlight w:val="none"/>
        </w:rPr>
        <w:t>5.负责对承包人进场机具设备进行检查、验收。</w:t>
      </w:r>
    </w:p>
    <w:p w14:paraId="19EA84E3">
      <w:pPr>
        <w:adjustRightInd w:val="0"/>
        <w:snapToGrid w:val="0"/>
        <w:ind w:firstLine="424" w:firstLineChars="177"/>
        <w:rPr>
          <w:color w:val="auto"/>
          <w:highlight w:val="none"/>
        </w:rPr>
      </w:pPr>
      <w:r>
        <w:rPr>
          <w:rFonts w:hint="eastAsia"/>
          <w:color w:val="auto"/>
          <w:highlight w:val="none"/>
        </w:rPr>
        <w:t>6.监督检查施工过程中各项安全技术措施、安全管理措施的落实。未实施工程监理的项目，其职责由委托人履行。</w:t>
      </w:r>
    </w:p>
    <w:p w14:paraId="5FA7ED5E">
      <w:pPr>
        <w:adjustRightInd w:val="0"/>
        <w:snapToGrid w:val="0"/>
        <w:ind w:firstLine="424" w:firstLineChars="177"/>
        <w:rPr>
          <w:color w:val="auto"/>
          <w:highlight w:val="none"/>
        </w:rPr>
      </w:pPr>
      <w:r>
        <w:rPr>
          <w:rFonts w:hint="eastAsia"/>
          <w:color w:val="auto"/>
          <w:highlight w:val="none"/>
        </w:rPr>
        <w:t>7.负责对参加工程项目的所有承包人人员，在当地公安系统进行身份信息采集、比对，防止非法人员进入现场。</w:t>
      </w:r>
    </w:p>
    <w:p w14:paraId="58C3C397">
      <w:pPr>
        <w:adjustRightInd w:val="0"/>
        <w:snapToGrid w:val="0"/>
        <w:ind w:firstLine="424" w:firstLineChars="177"/>
        <w:rPr>
          <w:color w:val="auto"/>
          <w:highlight w:val="none"/>
        </w:rPr>
      </w:pPr>
      <w:r>
        <w:rPr>
          <w:rFonts w:hint="eastAsia"/>
          <w:color w:val="auto"/>
          <w:highlight w:val="none"/>
        </w:rPr>
        <w:t>8.负责对参加工程项目需进入现场的承包人所有人员进行（职业）健康体检合格证明，无从事作业所涉及的工作禁忌症，现场施工人员的年龄不应超过法定退休年龄，从事高空作业及特种作业的人员年龄不宜超过50周岁，女性不宜超过45周岁等方面的审查。</w:t>
      </w:r>
    </w:p>
    <w:p w14:paraId="377DD81B">
      <w:pPr>
        <w:adjustRightInd w:val="0"/>
        <w:snapToGrid w:val="0"/>
        <w:ind w:firstLine="424" w:firstLineChars="177"/>
        <w:rPr>
          <w:color w:val="auto"/>
          <w:highlight w:val="none"/>
        </w:rPr>
      </w:pPr>
      <w:r>
        <w:rPr>
          <w:rFonts w:hint="eastAsia"/>
          <w:color w:val="auto"/>
          <w:highlight w:val="none"/>
        </w:rPr>
        <w:t>9.建立安全检查制度，定期或不定期地对施工现场开展安全检查。</w:t>
      </w:r>
    </w:p>
    <w:p w14:paraId="7C2BEECD">
      <w:pPr>
        <w:adjustRightInd w:val="0"/>
        <w:snapToGrid w:val="0"/>
        <w:ind w:firstLine="424" w:firstLineChars="177"/>
        <w:rPr>
          <w:color w:val="auto"/>
          <w:highlight w:val="none"/>
        </w:rPr>
      </w:pPr>
      <w:r>
        <w:rPr>
          <w:rFonts w:hint="eastAsia"/>
          <w:color w:val="auto"/>
          <w:highlight w:val="none"/>
        </w:rPr>
        <w:t>10.参与委托人组织的相关工作：</w:t>
      </w:r>
    </w:p>
    <w:p w14:paraId="7F0769D4">
      <w:pPr>
        <w:adjustRightInd w:val="0"/>
        <w:snapToGrid w:val="0"/>
        <w:ind w:firstLine="424" w:firstLineChars="177"/>
        <w:rPr>
          <w:color w:val="auto"/>
          <w:highlight w:val="none"/>
        </w:rPr>
      </w:pPr>
      <w:r>
        <w:rPr>
          <w:rFonts w:hint="eastAsia"/>
          <w:color w:val="auto"/>
          <w:highlight w:val="none"/>
        </w:rPr>
        <w:t>（1）对作业现场共同进行检查，对安全作业条件已经确认的，办理开工手续。</w:t>
      </w:r>
    </w:p>
    <w:p w14:paraId="58CCBF27">
      <w:pPr>
        <w:adjustRightInd w:val="0"/>
        <w:snapToGrid w:val="0"/>
        <w:ind w:firstLine="424" w:firstLineChars="177"/>
        <w:rPr>
          <w:color w:val="auto"/>
          <w:highlight w:val="none"/>
        </w:rPr>
      </w:pPr>
      <w:r>
        <w:rPr>
          <w:rFonts w:hint="eastAsia"/>
          <w:color w:val="auto"/>
          <w:highlight w:val="none"/>
        </w:rPr>
        <w:t>（2）审查承包人施工组织设计中的安全技术措施、危险性较大的分部分项工程中的专项施工方案（包括安装、拆卸施工起重机械及脚手架等设施）。</w:t>
      </w:r>
    </w:p>
    <w:p w14:paraId="472B8A7E">
      <w:pPr>
        <w:adjustRightInd w:val="0"/>
        <w:snapToGrid w:val="0"/>
        <w:ind w:firstLine="424" w:firstLineChars="177"/>
        <w:rPr>
          <w:color w:val="auto"/>
          <w:highlight w:val="none"/>
        </w:rPr>
      </w:pPr>
      <w:r>
        <w:rPr>
          <w:rFonts w:hint="eastAsia"/>
          <w:color w:val="auto"/>
          <w:highlight w:val="none"/>
        </w:rPr>
        <w:t>（3）对重大设计变更、工期调整等重要影响因素进行论证和评估。</w:t>
      </w:r>
    </w:p>
    <w:p w14:paraId="20709FE4">
      <w:pPr>
        <w:adjustRightInd w:val="0"/>
        <w:snapToGrid w:val="0"/>
        <w:ind w:firstLine="424" w:firstLineChars="177"/>
        <w:rPr>
          <w:color w:val="auto"/>
          <w:highlight w:val="none"/>
        </w:rPr>
      </w:pPr>
      <w:r>
        <w:rPr>
          <w:rFonts w:hint="eastAsia"/>
          <w:color w:val="auto"/>
          <w:highlight w:val="none"/>
        </w:rPr>
        <w:t>（4）对承包人特种作业人员和特种设备作业人员、工程需要的其他人员的业务技能进行现场考评。</w:t>
      </w:r>
    </w:p>
    <w:p w14:paraId="471970A8">
      <w:pPr>
        <w:adjustRightInd w:val="0"/>
        <w:snapToGrid w:val="0"/>
        <w:ind w:firstLine="424" w:firstLineChars="177"/>
        <w:rPr>
          <w:color w:val="auto"/>
          <w:highlight w:val="none"/>
        </w:rPr>
      </w:pPr>
      <w:r>
        <w:rPr>
          <w:rFonts w:hint="eastAsia"/>
          <w:color w:val="auto"/>
          <w:highlight w:val="none"/>
        </w:rPr>
        <w:t>（5）参加联合安全检查。</w:t>
      </w:r>
    </w:p>
    <w:p w14:paraId="6D46E0EB">
      <w:pPr>
        <w:adjustRightInd w:val="0"/>
        <w:snapToGrid w:val="0"/>
        <w:ind w:firstLine="480" w:firstLineChars="200"/>
        <w:rPr>
          <w:rFonts w:cs="Arial"/>
          <w:color w:val="auto"/>
          <w:highlight w:val="none"/>
        </w:rPr>
      </w:pPr>
    </w:p>
    <w:p w14:paraId="0E426E7F">
      <w:pPr>
        <w:adjustRightInd w:val="0"/>
        <w:snapToGrid w:val="0"/>
        <w:rPr>
          <w:rFonts w:cs="Arial"/>
          <w:color w:val="auto"/>
          <w:highlight w:val="none"/>
        </w:rPr>
      </w:pPr>
    </w:p>
    <w:p w14:paraId="58504D72">
      <w:pPr>
        <w:adjustRightInd w:val="0"/>
        <w:snapToGrid w:val="0"/>
        <w:rPr>
          <w:rFonts w:cs="Arial"/>
          <w:color w:val="auto"/>
          <w:highlight w:val="none"/>
        </w:rPr>
      </w:pPr>
    </w:p>
    <w:p w14:paraId="0C983857">
      <w:pPr>
        <w:adjustRightInd w:val="0"/>
        <w:snapToGrid w:val="0"/>
        <w:rPr>
          <w:rFonts w:cs="Arial"/>
          <w:color w:val="auto"/>
          <w:highlight w:val="none"/>
        </w:rPr>
      </w:pPr>
    </w:p>
    <w:p w14:paraId="6D8623C3">
      <w:pPr>
        <w:adjustRightInd w:val="0"/>
        <w:snapToGrid w:val="0"/>
        <w:rPr>
          <w:rFonts w:cs="Arial"/>
          <w:color w:val="auto"/>
          <w:highlight w:val="none"/>
        </w:rPr>
      </w:pPr>
    </w:p>
    <w:p w14:paraId="74E8C075">
      <w:pPr>
        <w:adjustRightInd w:val="0"/>
        <w:snapToGrid w:val="0"/>
        <w:rPr>
          <w:rFonts w:cs="Arial"/>
          <w:color w:val="auto"/>
          <w:highlight w:val="none"/>
        </w:rPr>
      </w:pPr>
    </w:p>
    <w:p w14:paraId="6B7D05F9">
      <w:pPr>
        <w:keepNext/>
        <w:keepLines/>
        <w:adjustRightInd w:val="0"/>
        <w:snapToGrid w:val="0"/>
        <w:spacing w:after="240" w:afterLines="100"/>
        <w:outlineLvl w:val="1"/>
        <w:rPr>
          <w:rFonts w:ascii="Arial" w:cs="Arial"/>
          <w:bCs/>
          <w:color w:val="auto"/>
          <w:szCs w:val="32"/>
          <w:highlight w:val="none"/>
        </w:rPr>
      </w:pPr>
      <w:r>
        <w:rPr>
          <w:rFonts w:ascii="Arial" w:cs="Arial"/>
          <w:b/>
          <w:bCs/>
          <w:color w:val="auto"/>
          <w:szCs w:val="32"/>
          <w:highlight w:val="none"/>
        </w:rPr>
        <w:br w:type="page"/>
      </w:r>
      <w:bookmarkStart w:id="1011" w:name="_Toc304854748"/>
      <w:bookmarkStart w:id="1012" w:name="_Toc489094530"/>
      <w:bookmarkStart w:id="1013" w:name="_Toc934980646"/>
      <w:bookmarkStart w:id="1014" w:name="_Toc90117825"/>
      <w:bookmarkStart w:id="1015" w:name="_Toc119953768"/>
      <w:bookmarkStart w:id="1016" w:name="_Toc949"/>
      <w:bookmarkStart w:id="1017" w:name="_Toc439161021"/>
      <w:bookmarkStart w:id="1018" w:name="_Toc256000101"/>
      <w:r>
        <w:rPr>
          <w:rFonts w:hint="eastAsia" w:ascii="Arial" w:cs="Arial"/>
          <w:bCs/>
          <w:color w:val="auto"/>
          <w:szCs w:val="32"/>
          <w:highlight w:val="none"/>
        </w:rPr>
        <w:t>附件4：发包人提供的材料和设备一览表</w:t>
      </w:r>
      <w:bookmarkEnd w:id="1011"/>
      <w:bookmarkEnd w:id="1012"/>
      <w:bookmarkEnd w:id="1013"/>
      <w:bookmarkEnd w:id="1014"/>
      <w:bookmarkEnd w:id="1015"/>
      <w:bookmarkEnd w:id="1016"/>
      <w:bookmarkEnd w:id="1017"/>
      <w:bookmarkEnd w:id="1018"/>
    </w:p>
    <w:p w14:paraId="776B2475">
      <w:pPr>
        <w:spacing w:line="240" w:lineRule="auto"/>
        <w:rPr>
          <w:rFonts w:ascii="Arial" w:cs="Arial"/>
          <w:bCs/>
          <w:color w:val="auto"/>
          <w:szCs w:val="32"/>
          <w:highlight w:val="none"/>
        </w:rPr>
      </w:pPr>
      <w:r>
        <w:rPr>
          <w:rFonts w:hint="eastAsia" w:ascii="Arial" w:cs="Arial"/>
          <w:bCs/>
          <w:color w:val="auto"/>
          <w:szCs w:val="32"/>
          <w:highlight w:val="none"/>
        </w:rPr>
        <w:t>本项目发包人不提供材料和设备</w:t>
      </w:r>
    </w:p>
    <w:p w14:paraId="05DF9412">
      <w:pPr>
        <w:widowControl/>
        <w:spacing w:line="240" w:lineRule="auto"/>
        <w:jc w:val="left"/>
        <w:rPr>
          <w:rFonts w:ascii="Arial" w:cs="Arial"/>
          <w:bCs/>
          <w:color w:val="auto"/>
          <w:szCs w:val="32"/>
          <w:highlight w:val="none"/>
        </w:rPr>
      </w:pPr>
      <w:bookmarkStart w:id="1019" w:name="_Toc407238516"/>
      <w:bookmarkStart w:id="1020" w:name="_Toc90117826"/>
      <w:bookmarkStart w:id="1021" w:name="_Toc511878110"/>
      <w:bookmarkStart w:id="1022" w:name="_Toc489094531"/>
      <w:r>
        <w:rPr>
          <w:rFonts w:ascii="Arial" w:cs="Arial"/>
          <w:bCs/>
          <w:color w:val="auto"/>
          <w:szCs w:val="32"/>
          <w:highlight w:val="none"/>
        </w:rPr>
        <w:br w:type="page"/>
      </w:r>
      <w:bookmarkStart w:id="1023" w:name="_Toc256000102"/>
      <w:bookmarkStart w:id="1024" w:name="_Toc119953769"/>
      <w:bookmarkStart w:id="1025" w:name="_Toc1807"/>
      <w:r>
        <w:rPr>
          <w:rFonts w:hint="eastAsia" w:ascii="Arial" w:cs="Arial"/>
          <w:bCs/>
          <w:color w:val="auto"/>
          <w:szCs w:val="32"/>
          <w:highlight w:val="none"/>
        </w:rPr>
        <w:t>附件5：承包人提供的材料和设备一览表</w:t>
      </w:r>
      <w:bookmarkEnd w:id="1019"/>
      <w:bookmarkEnd w:id="1020"/>
      <w:bookmarkEnd w:id="1021"/>
      <w:bookmarkEnd w:id="1022"/>
      <w:bookmarkEnd w:id="1023"/>
      <w:bookmarkEnd w:id="1024"/>
      <w:bookmarkEnd w:id="1025"/>
    </w:p>
    <w:p w14:paraId="7EB53AA7">
      <w:pPr>
        <w:adjustRightInd w:val="0"/>
        <w:snapToGrid w:val="0"/>
        <w:spacing w:after="120" w:afterLines="50"/>
        <w:jc w:val="center"/>
        <w:rPr>
          <w:rFonts w:cs="Arial"/>
          <w:b/>
          <w:color w:val="auto"/>
          <w:sz w:val="30"/>
          <w:szCs w:val="30"/>
          <w:highlight w:val="none"/>
        </w:rPr>
      </w:pPr>
      <w:r>
        <w:rPr>
          <w:rFonts w:hint="eastAsia" w:cs="Arial"/>
          <w:b/>
          <w:color w:val="auto"/>
          <w:sz w:val="30"/>
          <w:szCs w:val="30"/>
          <w:highlight w:val="none"/>
        </w:rPr>
        <w:t>承包人提供的材料和设备一览表</w:t>
      </w:r>
    </w:p>
    <w:tbl>
      <w:tblPr>
        <w:tblStyle w:val="8"/>
        <w:tblW w:w="94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594"/>
        <w:gridCol w:w="1704"/>
        <w:gridCol w:w="566"/>
        <w:gridCol w:w="566"/>
        <w:gridCol w:w="426"/>
        <w:gridCol w:w="944"/>
        <w:gridCol w:w="1182"/>
        <w:gridCol w:w="927"/>
        <w:gridCol w:w="1052"/>
      </w:tblGrid>
      <w:tr w14:paraId="109E8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496" w:type="dxa"/>
            <w:noWrap w:val="0"/>
            <w:vAlign w:val="center"/>
          </w:tcPr>
          <w:p w14:paraId="0E9DD6D2">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序号</w:t>
            </w:r>
          </w:p>
        </w:tc>
        <w:tc>
          <w:tcPr>
            <w:tcW w:w="1594" w:type="dxa"/>
            <w:noWrap w:val="0"/>
            <w:vAlign w:val="center"/>
          </w:tcPr>
          <w:p w14:paraId="2964A0CE">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材料设备</w:t>
            </w:r>
          </w:p>
          <w:p w14:paraId="7632A345">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名   称</w:t>
            </w:r>
          </w:p>
        </w:tc>
        <w:tc>
          <w:tcPr>
            <w:tcW w:w="1704" w:type="dxa"/>
            <w:noWrap w:val="0"/>
            <w:vAlign w:val="center"/>
          </w:tcPr>
          <w:p w14:paraId="4D21C8F9">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规格</w:t>
            </w:r>
          </w:p>
          <w:p w14:paraId="66EB5262">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型号</w:t>
            </w:r>
          </w:p>
        </w:tc>
        <w:tc>
          <w:tcPr>
            <w:tcW w:w="566" w:type="dxa"/>
            <w:noWrap w:val="0"/>
            <w:vAlign w:val="center"/>
          </w:tcPr>
          <w:p w14:paraId="0CC7932E">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单</w:t>
            </w:r>
          </w:p>
          <w:p w14:paraId="46CB0B6D">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位</w:t>
            </w:r>
          </w:p>
        </w:tc>
        <w:tc>
          <w:tcPr>
            <w:tcW w:w="566" w:type="dxa"/>
            <w:noWrap w:val="0"/>
            <w:vAlign w:val="center"/>
          </w:tcPr>
          <w:p w14:paraId="70D0BE4B">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数</w:t>
            </w:r>
          </w:p>
          <w:p w14:paraId="1E3317DC">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量</w:t>
            </w:r>
          </w:p>
        </w:tc>
        <w:tc>
          <w:tcPr>
            <w:tcW w:w="426" w:type="dxa"/>
            <w:noWrap w:val="0"/>
            <w:vAlign w:val="center"/>
          </w:tcPr>
          <w:p w14:paraId="6B2319E8">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单</w:t>
            </w:r>
          </w:p>
          <w:p w14:paraId="15F3ED0E">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价</w:t>
            </w:r>
          </w:p>
        </w:tc>
        <w:tc>
          <w:tcPr>
            <w:tcW w:w="944" w:type="dxa"/>
            <w:noWrap w:val="0"/>
            <w:vAlign w:val="center"/>
          </w:tcPr>
          <w:p w14:paraId="7BE3EC6C">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品牌</w:t>
            </w:r>
          </w:p>
        </w:tc>
        <w:tc>
          <w:tcPr>
            <w:tcW w:w="1182" w:type="dxa"/>
            <w:noWrap w:val="0"/>
            <w:vAlign w:val="center"/>
          </w:tcPr>
          <w:p w14:paraId="4CA27B73">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生产厂家</w:t>
            </w:r>
          </w:p>
        </w:tc>
        <w:tc>
          <w:tcPr>
            <w:tcW w:w="927" w:type="dxa"/>
            <w:noWrap w:val="0"/>
            <w:vAlign w:val="center"/>
          </w:tcPr>
          <w:p w14:paraId="77912481">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供货</w:t>
            </w:r>
          </w:p>
          <w:p w14:paraId="430F2742">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交货</w:t>
            </w:r>
          </w:p>
          <w:p w14:paraId="1F6C398E">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时间</w:t>
            </w:r>
          </w:p>
        </w:tc>
        <w:tc>
          <w:tcPr>
            <w:tcW w:w="1052" w:type="dxa"/>
            <w:noWrap w:val="0"/>
            <w:vAlign w:val="center"/>
          </w:tcPr>
          <w:p w14:paraId="6BEF677F">
            <w:pPr>
              <w:keepNext w:val="0"/>
              <w:keepLines w:val="0"/>
              <w:suppressLineNumbers w:val="0"/>
              <w:adjustRightInd w:val="0"/>
              <w:snapToGrid w:val="0"/>
              <w:spacing w:before="0" w:beforeAutospacing="0" w:after="0" w:afterAutospacing="0" w:line="300" w:lineRule="exact"/>
              <w:ind w:left="0" w:right="0"/>
              <w:jc w:val="center"/>
              <w:rPr>
                <w:rFonts w:hint="default"/>
                <w:color w:val="auto"/>
                <w:highlight w:val="none"/>
              </w:rPr>
            </w:pPr>
            <w:r>
              <w:rPr>
                <w:rFonts w:hint="eastAsia"/>
                <w:color w:val="auto"/>
                <w:highlight w:val="none"/>
              </w:rPr>
              <w:t>备注</w:t>
            </w:r>
          </w:p>
        </w:tc>
      </w:tr>
      <w:tr w14:paraId="04F88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2E79E19D">
            <w:pPr>
              <w:keepNext w:val="0"/>
              <w:keepLines w:val="0"/>
              <w:suppressLineNumbers w:val="0"/>
              <w:adjustRightInd w:val="0"/>
              <w:snapToGrid w:val="0"/>
              <w:spacing w:before="0" w:beforeAutospacing="0" w:after="0" w:afterAutospacing="0" w:line="400" w:lineRule="exact"/>
              <w:ind w:left="0" w:right="0"/>
              <w:jc w:val="center"/>
              <w:rPr>
                <w:rFonts w:hint="eastAsia" w:eastAsia="宋体"/>
                <w:color w:val="auto"/>
                <w:highlight w:val="none"/>
                <w:lang w:val="en-US" w:eastAsia="zh-CN"/>
              </w:rPr>
            </w:pPr>
            <w:r>
              <w:rPr>
                <w:rFonts w:hint="eastAsia"/>
                <w:color w:val="auto"/>
                <w:highlight w:val="none"/>
                <w:lang w:val="en-US" w:eastAsia="zh-CN"/>
              </w:rPr>
              <w:t>/</w:t>
            </w:r>
          </w:p>
        </w:tc>
        <w:tc>
          <w:tcPr>
            <w:tcW w:w="1594" w:type="dxa"/>
            <w:noWrap w:val="0"/>
            <w:vAlign w:val="top"/>
          </w:tcPr>
          <w:p w14:paraId="79973216">
            <w:pPr>
              <w:keepNext w:val="0"/>
              <w:keepLines w:val="0"/>
              <w:suppressLineNumbers w:val="0"/>
              <w:adjustRightInd w:val="0"/>
              <w:snapToGrid w:val="0"/>
              <w:spacing w:before="0" w:beforeAutospacing="0" w:after="0" w:afterAutospacing="0" w:line="400" w:lineRule="exact"/>
              <w:ind w:left="0" w:right="0"/>
              <w:jc w:val="center"/>
              <w:rPr>
                <w:rFonts w:hint="default" w:eastAsia="宋体"/>
                <w:color w:val="auto"/>
                <w:highlight w:val="none"/>
                <w:lang w:val="en-US" w:eastAsia="zh-CN"/>
              </w:rPr>
            </w:pPr>
            <w:r>
              <w:rPr>
                <w:rFonts w:hint="eastAsia"/>
                <w:color w:val="auto"/>
                <w:highlight w:val="none"/>
                <w:lang w:val="en-US" w:eastAsia="zh-CN"/>
              </w:rPr>
              <w:t>/</w:t>
            </w:r>
          </w:p>
        </w:tc>
        <w:tc>
          <w:tcPr>
            <w:tcW w:w="1704" w:type="dxa"/>
            <w:noWrap w:val="0"/>
            <w:vAlign w:val="top"/>
          </w:tcPr>
          <w:p w14:paraId="215041B7">
            <w:pPr>
              <w:keepNext w:val="0"/>
              <w:keepLines w:val="0"/>
              <w:suppressLineNumbers w:val="0"/>
              <w:adjustRightInd w:val="0"/>
              <w:snapToGrid w:val="0"/>
              <w:spacing w:before="0" w:beforeAutospacing="0" w:after="0" w:afterAutospacing="0" w:line="400" w:lineRule="exact"/>
              <w:ind w:left="0" w:right="0"/>
              <w:jc w:val="center"/>
              <w:rPr>
                <w:rFonts w:hint="default"/>
                <w:color w:val="auto"/>
                <w:highlight w:val="none"/>
              </w:rPr>
            </w:pPr>
          </w:p>
        </w:tc>
        <w:tc>
          <w:tcPr>
            <w:tcW w:w="566" w:type="dxa"/>
            <w:noWrap w:val="0"/>
            <w:vAlign w:val="top"/>
          </w:tcPr>
          <w:p w14:paraId="5B86CC4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3DD51F8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4C7A7B9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710F4F3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450AC3D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3965CB4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59EE8B9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3301E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2285F82D">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53580DA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1ADA8AD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5375A2D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12693ED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2B0ED20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38FFFFD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2F98487B">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4257BDF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4E1817F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476D7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64F8227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271500D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44AAD9A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15C41A8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53AE746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2FFB4F1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1304617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72F846C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62201C1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6E750CC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7664B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4171949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241F1D0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785A67A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7C2C59A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68B3AE3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429AF25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572CEA2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5E4899C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2A6A324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66DB87F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5AC9F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46BCC02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3669C89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1A817F4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6219504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736839B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61B2146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76716EF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65CC55E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0A01F83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12B61DD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4C525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3E1BAC3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2117819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0EA1063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736272FD">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7C6A6D3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6074D28B">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35C57D7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5AF2617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6F6F71E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4054F2E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19A26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665B3C5B">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112252B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6450778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0F675C6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536E6CCB">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1B72A53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0A649A6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3083D60B">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311851D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0D49D0B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1B600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445788C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6E1992F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0539174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6199AC8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5A29861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2DCF625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72AE475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1424085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5BE0499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7F8D9E0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13407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39BDF68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07FB4DB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59B1E42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5383E29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2A5CECEB">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1E2B2CE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4546B4BD">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310C9D5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0BC6F66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1CC43F6B">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3161B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6723970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1567412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0DACFD4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382B136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5CDBE2E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1C81D80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339F04B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1B47F43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12F125A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54AD6A6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385841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045E7B8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42D1C44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2E493F4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7882553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0B86BC3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74BBF95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351F2DB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6B6FC95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719030C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7EC7407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42389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145DA5E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749C241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376F3C9D">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2B6A8D7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178A0B6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419F4EDD">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6011F64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012E4C6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3FC228E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6B0D05E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21A2F0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4C4E3D1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26059F4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294E0F8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18911CB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47099C1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756DF91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757FB40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11F4E6B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40CE50E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386DF02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1369A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558F95F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203F020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673371F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1B5699A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6BEB92E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17074D6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5ABA011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0B2CD7F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14777C2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412F4C9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7C62E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7367EBA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49E31EA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4E10DED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3B7B963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5A44DF8B">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4E1487F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7176849D">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205CB17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5F5543A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27150B0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7E5AD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693AFC3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6E79960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5F101EE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01FBFDF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384FDBD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5990EA3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411D7E2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733A80D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3E68FED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05FCE9B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2FA5A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1F051DCD">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790D2DC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3084BB8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62DB2D6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2BBF114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53E25E2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3C02CDE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5CA5A41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685D567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252A0DF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6FBA1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24CAB65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5AD87FB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68A516A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759D2D0D">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7FF4D55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292E1AF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43262D7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0F95FBB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04144C6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3F20753D">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2A614D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5855516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502DB35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464F25B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75E2623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167E8EE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5ACF853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2C6D7A6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2AD1723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2E18720B">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1C5E41E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788AD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39B5BDC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5885F57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0311A4D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31BC0D5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38A9383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3F1CB1E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75FC6EC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63FEBF1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36D880C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072BA90B">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4F072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4217B05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7C4E8A9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7847D7B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5189CEB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112097B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33230DB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71540DD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680C96B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36F1A30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33107D7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6F55A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4AD6DBD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2A3E1B6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5C242EA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7C26411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22E9D36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69284C8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267F3D1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70E7528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44EAA66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1397AA2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28FD5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4F377A4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42F267A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391F752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3DDF914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7CB1F5A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759843B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77AACC7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4A7CB6F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5AF543F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059353F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795740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6CE98A2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0641016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4893854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3A528CA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6AE9548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0D8EF43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1E01F62C">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7E1A725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68D5517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6E6E69A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21B69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0FC184D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4ED9B723">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38BDD497">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6DF3A01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4A5629E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78CA4EC6">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2F3A40AE">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4D94A5E1">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485BCAD0">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6F5162F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r w14:paraId="55000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96" w:type="dxa"/>
            <w:noWrap w:val="0"/>
            <w:vAlign w:val="top"/>
          </w:tcPr>
          <w:p w14:paraId="52105B55">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594" w:type="dxa"/>
            <w:noWrap w:val="0"/>
            <w:vAlign w:val="top"/>
          </w:tcPr>
          <w:p w14:paraId="3388167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704" w:type="dxa"/>
            <w:noWrap w:val="0"/>
            <w:vAlign w:val="top"/>
          </w:tcPr>
          <w:p w14:paraId="2999F1DD">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07F3D56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566" w:type="dxa"/>
            <w:noWrap w:val="0"/>
            <w:vAlign w:val="top"/>
          </w:tcPr>
          <w:p w14:paraId="6E31F23F">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426" w:type="dxa"/>
            <w:noWrap w:val="0"/>
            <w:vAlign w:val="top"/>
          </w:tcPr>
          <w:p w14:paraId="18B1E072">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44" w:type="dxa"/>
            <w:noWrap w:val="0"/>
            <w:vAlign w:val="top"/>
          </w:tcPr>
          <w:p w14:paraId="63A86D88">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182" w:type="dxa"/>
            <w:noWrap w:val="0"/>
            <w:vAlign w:val="top"/>
          </w:tcPr>
          <w:p w14:paraId="74F0CE04">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927" w:type="dxa"/>
            <w:noWrap w:val="0"/>
            <w:vAlign w:val="top"/>
          </w:tcPr>
          <w:p w14:paraId="76A3AAB9">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c>
          <w:tcPr>
            <w:tcW w:w="1052" w:type="dxa"/>
            <w:noWrap w:val="0"/>
            <w:vAlign w:val="top"/>
          </w:tcPr>
          <w:p w14:paraId="6C0BD56A">
            <w:pPr>
              <w:keepNext w:val="0"/>
              <w:keepLines w:val="0"/>
              <w:suppressLineNumbers w:val="0"/>
              <w:adjustRightInd w:val="0"/>
              <w:snapToGrid w:val="0"/>
              <w:spacing w:before="0" w:beforeAutospacing="0" w:after="0" w:afterAutospacing="0" w:line="400" w:lineRule="exact"/>
              <w:ind w:left="0" w:right="0"/>
              <w:rPr>
                <w:rFonts w:hint="default"/>
                <w:color w:val="auto"/>
                <w:highlight w:val="none"/>
              </w:rPr>
            </w:pPr>
          </w:p>
        </w:tc>
      </w:tr>
    </w:tbl>
    <w:p w14:paraId="7A19B4E8">
      <w:pPr>
        <w:adjustRightInd w:val="0"/>
        <w:snapToGrid w:val="0"/>
        <w:rPr>
          <w:rFonts w:cs="Arial"/>
          <w:color w:val="auto"/>
          <w:highlight w:val="none"/>
        </w:rPr>
      </w:pPr>
    </w:p>
    <w:p w14:paraId="5DD39856">
      <w:pPr>
        <w:adjustRightInd w:val="0"/>
        <w:snapToGrid w:val="0"/>
        <w:spacing w:before="120" w:beforeLines="50"/>
        <w:rPr>
          <w:b/>
          <w:color w:val="auto"/>
          <w:highlight w:val="none"/>
        </w:rPr>
      </w:pPr>
    </w:p>
    <w:p w14:paraId="250F71E4">
      <w:pPr>
        <w:widowControl/>
        <w:spacing w:line="240" w:lineRule="auto"/>
        <w:jc w:val="left"/>
        <w:rPr>
          <w:rFonts w:cs="Arial"/>
          <w:color w:val="auto"/>
          <w:highlight w:val="none"/>
        </w:rPr>
      </w:pPr>
      <w:bookmarkStart w:id="1026" w:name="_Toc489094532"/>
      <w:bookmarkStart w:id="1027" w:name="_Toc427136856"/>
      <w:bookmarkStart w:id="1028" w:name="_Toc21308182"/>
      <w:bookmarkStart w:id="1029" w:name="_Toc90117827"/>
      <w:r>
        <w:rPr>
          <w:rFonts w:cs="Arial"/>
          <w:color w:val="auto"/>
          <w:highlight w:val="none"/>
        </w:rPr>
        <w:br w:type="page"/>
      </w:r>
      <w:bookmarkStart w:id="1030" w:name="_Toc119953771"/>
      <w:bookmarkStart w:id="1031" w:name="_Toc12349"/>
      <w:bookmarkStart w:id="1032" w:name="_Toc256000104"/>
      <w:r>
        <w:rPr>
          <w:rFonts w:hint="eastAsia" w:cs="Arial"/>
          <w:color w:val="auto"/>
          <w:highlight w:val="none"/>
        </w:rPr>
        <w:t>附件</w:t>
      </w:r>
      <w:r>
        <w:rPr>
          <w:rFonts w:hint="eastAsia" w:cs="Arial"/>
          <w:color w:val="auto"/>
          <w:highlight w:val="none"/>
          <w:lang w:val="en-US" w:eastAsia="zh-CN"/>
        </w:rPr>
        <w:t>6</w:t>
      </w:r>
      <w:r>
        <w:rPr>
          <w:rFonts w:hint="eastAsia" w:cs="Arial"/>
          <w:color w:val="auto"/>
          <w:highlight w:val="none"/>
        </w:rPr>
        <w:t>：</w:t>
      </w:r>
      <w:r>
        <w:rPr>
          <w:rFonts w:hint="eastAsia"/>
          <w:color w:val="auto"/>
          <w:highlight w:val="none"/>
        </w:rPr>
        <w:t>工程质量保修书</w:t>
      </w:r>
      <w:bookmarkEnd w:id="1026"/>
      <w:bookmarkEnd w:id="1027"/>
      <w:bookmarkEnd w:id="1028"/>
      <w:bookmarkEnd w:id="1029"/>
      <w:bookmarkEnd w:id="1030"/>
      <w:bookmarkEnd w:id="1031"/>
      <w:bookmarkEnd w:id="1032"/>
    </w:p>
    <w:p w14:paraId="210A34DA">
      <w:pPr>
        <w:tabs>
          <w:tab w:val="left" w:pos="4860"/>
          <w:tab w:val="left" w:pos="5580"/>
        </w:tabs>
        <w:snapToGrid w:val="0"/>
        <w:spacing w:after="360" w:afterLines="150" w:line="240" w:lineRule="auto"/>
        <w:jc w:val="center"/>
        <w:rPr>
          <w:rFonts w:cs="Arial"/>
          <w:b/>
          <w:color w:val="auto"/>
          <w:sz w:val="30"/>
          <w:szCs w:val="30"/>
          <w:highlight w:val="none"/>
        </w:rPr>
      </w:pPr>
      <w:bookmarkStart w:id="1033" w:name="_Toc489094533"/>
      <w:r>
        <w:rPr>
          <w:rFonts w:hint="eastAsia" w:cs="Arial"/>
          <w:b/>
          <w:color w:val="auto"/>
          <w:sz w:val="30"/>
          <w:szCs w:val="30"/>
          <w:highlight w:val="none"/>
        </w:rPr>
        <w:t>工程质量保修书</w:t>
      </w:r>
    </w:p>
    <w:p w14:paraId="7CB04217">
      <w:pPr>
        <w:tabs>
          <w:tab w:val="left" w:pos="4860"/>
          <w:tab w:val="left" w:pos="5580"/>
        </w:tabs>
        <w:snapToGrid w:val="0"/>
        <w:ind w:right="36" w:rightChars="15" w:firstLine="480" w:firstLineChars="200"/>
        <w:rPr>
          <w:rFonts w:cs="Arial"/>
          <w:color w:val="auto"/>
          <w:highlight w:val="none"/>
        </w:rPr>
      </w:pPr>
      <w:r>
        <w:rPr>
          <w:rFonts w:hint="eastAsia" w:cs="Arial"/>
          <w:color w:val="auto"/>
          <w:highlight w:val="none"/>
        </w:rPr>
        <w:t>发包人、承包人根据《中华人民共和国建筑法》、《建设工程质量管理条例》和《房屋建筑工程质量保修办法》，经协商一致，对本工程签订工程质量保修书。</w:t>
      </w:r>
    </w:p>
    <w:p w14:paraId="35D071E1">
      <w:pPr>
        <w:snapToGrid w:val="0"/>
        <w:rPr>
          <w:rFonts w:cs="Arial"/>
          <w:color w:val="auto"/>
          <w:highlight w:val="none"/>
        </w:rPr>
      </w:pPr>
      <w:r>
        <w:rPr>
          <w:rFonts w:hint="eastAsia" w:cs="Arial"/>
          <w:color w:val="auto"/>
          <w:highlight w:val="none"/>
        </w:rPr>
        <w:t>一、工程质量保修范围和内容</w:t>
      </w:r>
      <w:r>
        <w:rPr>
          <w:rFonts w:cs="Arial"/>
          <w:color w:val="auto"/>
          <w:highlight w:val="none"/>
        </w:rPr>
        <w:t xml:space="preserve"> </w:t>
      </w:r>
    </w:p>
    <w:p w14:paraId="4C27511A">
      <w:pPr>
        <w:tabs>
          <w:tab w:val="left" w:pos="4860"/>
          <w:tab w:val="left" w:pos="5580"/>
        </w:tabs>
        <w:snapToGrid w:val="0"/>
        <w:ind w:right="36" w:rightChars="15" w:firstLine="482"/>
        <w:rPr>
          <w:rFonts w:cs="Arial"/>
          <w:color w:val="auto"/>
          <w:highlight w:val="none"/>
        </w:rPr>
      </w:pPr>
      <w:r>
        <w:rPr>
          <w:rFonts w:hint="eastAsia" w:cs="Arial"/>
          <w:color w:val="auto"/>
          <w:highlight w:val="none"/>
        </w:rPr>
        <w:t>承包人和质量保修期内，按照有关法律、法规、规章规定和双方约定，承担工程质量保修责任。</w:t>
      </w:r>
    </w:p>
    <w:p w14:paraId="61B42E72">
      <w:pPr>
        <w:tabs>
          <w:tab w:val="left" w:pos="4860"/>
          <w:tab w:val="left" w:pos="5580"/>
        </w:tabs>
        <w:snapToGrid w:val="0"/>
        <w:ind w:right="36" w:rightChars="15" w:firstLine="480" w:firstLineChars="200"/>
        <w:rPr>
          <w:rFonts w:cs="Arial"/>
          <w:color w:val="auto"/>
          <w:highlight w:val="none"/>
        </w:rPr>
      </w:pPr>
      <w:r>
        <w:rPr>
          <w:rFonts w:hint="eastAsia" w:cs="Arial"/>
          <w:color w:val="auto"/>
          <w:highlight w:val="none"/>
        </w:rPr>
        <w:t>质量保修范围为承包人按照本合同约定的全部工作内容。</w:t>
      </w:r>
    </w:p>
    <w:p w14:paraId="2D782F02">
      <w:pPr>
        <w:snapToGrid w:val="0"/>
        <w:rPr>
          <w:rFonts w:cs="Arial"/>
          <w:color w:val="auto"/>
          <w:highlight w:val="none"/>
        </w:rPr>
      </w:pPr>
      <w:r>
        <w:rPr>
          <w:rFonts w:hint="eastAsia" w:cs="Arial"/>
          <w:color w:val="auto"/>
          <w:highlight w:val="none"/>
        </w:rPr>
        <w:t>二、质量保修期</w:t>
      </w:r>
    </w:p>
    <w:p w14:paraId="550CF55C">
      <w:pPr>
        <w:tabs>
          <w:tab w:val="left" w:pos="4860"/>
          <w:tab w:val="left" w:pos="5580"/>
        </w:tabs>
        <w:snapToGrid w:val="0"/>
        <w:ind w:right="36" w:rightChars="15" w:firstLine="480" w:firstLineChars="200"/>
        <w:rPr>
          <w:rFonts w:cs="Arial"/>
          <w:color w:val="auto"/>
          <w:highlight w:val="none"/>
        </w:rPr>
      </w:pPr>
      <w:r>
        <w:rPr>
          <w:rFonts w:hint="eastAsia" w:cs="Arial"/>
          <w:color w:val="auto"/>
          <w:highlight w:val="none"/>
        </w:rPr>
        <w:t>双方根据《建设工程质量管理条例》及有关规定，约定本工程的质量保修期如下：</w:t>
      </w:r>
      <w:r>
        <w:rPr>
          <w:rFonts w:cs="Arial"/>
          <w:color w:val="auto"/>
          <w:highlight w:val="none"/>
        </w:rPr>
        <w:t xml:space="preserve"> </w:t>
      </w:r>
    </w:p>
    <w:p w14:paraId="7920929C">
      <w:pPr>
        <w:ind w:firstLine="480" w:firstLineChars="200"/>
        <w:rPr>
          <w:rFonts w:cs="Arial"/>
          <w:color w:val="auto"/>
          <w:highlight w:val="none"/>
        </w:rPr>
      </w:pPr>
      <w:r>
        <w:rPr>
          <w:rFonts w:hint="eastAsia" w:cs="Arial"/>
          <w:color w:val="auto"/>
          <w:highlight w:val="none"/>
        </w:rPr>
        <w:t>1.</w:t>
      </w:r>
      <w:r>
        <w:rPr>
          <w:rFonts w:cs="Arial"/>
          <w:color w:val="auto"/>
          <w:highlight w:val="none"/>
        </w:rPr>
        <w:t>地基基础工程和主体结构工程，为设计文件规定的该工程的合理使用年限；</w:t>
      </w:r>
    </w:p>
    <w:p w14:paraId="6689151F">
      <w:pPr>
        <w:tabs>
          <w:tab w:val="left" w:pos="4860"/>
          <w:tab w:val="left" w:pos="5580"/>
        </w:tabs>
        <w:snapToGrid w:val="0"/>
        <w:ind w:right="36" w:rightChars="15" w:firstLine="480" w:firstLineChars="200"/>
        <w:rPr>
          <w:rFonts w:cs="Arial"/>
          <w:color w:val="auto"/>
          <w:highlight w:val="none"/>
        </w:rPr>
      </w:pPr>
      <w:r>
        <w:rPr>
          <w:rFonts w:hint="eastAsia" w:cs="Arial"/>
          <w:color w:val="auto"/>
          <w:highlight w:val="none"/>
        </w:rPr>
        <w:t>2.炼油化工装置主体工程为设计文件规定的该工程合理使用年限；</w:t>
      </w:r>
    </w:p>
    <w:p w14:paraId="0A9C202C">
      <w:pPr>
        <w:ind w:firstLine="480" w:firstLineChars="200"/>
        <w:rPr>
          <w:rFonts w:cs="Arial"/>
          <w:color w:val="auto"/>
          <w:highlight w:val="none"/>
        </w:rPr>
      </w:pPr>
      <w:r>
        <w:rPr>
          <w:rFonts w:hint="eastAsia" w:cs="Arial"/>
          <w:color w:val="auto"/>
          <w:highlight w:val="none"/>
        </w:rPr>
        <w:t>3.</w:t>
      </w:r>
      <w:r>
        <w:rPr>
          <w:rFonts w:cs="Arial"/>
          <w:color w:val="auto"/>
          <w:highlight w:val="none"/>
        </w:rPr>
        <w:t>屋面防水工程、有防水要求的卫生间、房间和外墙面的防渗漏，为5年；</w:t>
      </w:r>
      <w:r>
        <w:rPr>
          <w:rFonts w:hint="eastAsia" w:cs="Arial"/>
          <w:color w:val="auto"/>
          <w:highlight w:val="none"/>
        </w:rPr>
        <w:t>4.</w:t>
      </w:r>
      <w:r>
        <w:rPr>
          <w:rFonts w:cs="Arial"/>
          <w:color w:val="auto"/>
          <w:highlight w:val="none"/>
        </w:rPr>
        <w:t>供热与供冷系统，为2个采暖期、供冷期；</w:t>
      </w:r>
    </w:p>
    <w:p w14:paraId="5D890986">
      <w:pPr>
        <w:ind w:firstLine="480" w:firstLineChars="200"/>
        <w:rPr>
          <w:rFonts w:cs="Arial"/>
          <w:color w:val="auto"/>
          <w:highlight w:val="none"/>
        </w:rPr>
      </w:pPr>
      <w:r>
        <w:rPr>
          <w:rFonts w:hint="eastAsia" w:cs="Arial"/>
          <w:color w:val="auto"/>
          <w:highlight w:val="none"/>
        </w:rPr>
        <w:t>5.</w:t>
      </w:r>
      <w:r>
        <w:rPr>
          <w:rFonts w:cs="Arial"/>
          <w:color w:val="auto"/>
          <w:highlight w:val="none"/>
        </w:rPr>
        <w:t>电气管线、给排水管道、设备安装和装修工程，为2年。</w:t>
      </w:r>
    </w:p>
    <w:p w14:paraId="4904A031">
      <w:pPr>
        <w:tabs>
          <w:tab w:val="left" w:pos="4860"/>
          <w:tab w:val="left" w:pos="5580"/>
        </w:tabs>
        <w:snapToGrid w:val="0"/>
        <w:ind w:right="36" w:rightChars="15" w:firstLine="480" w:firstLineChars="200"/>
        <w:rPr>
          <w:rFonts w:cs="Arial"/>
          <w:color w:val="auto"/>
          <w:highlight w:val="none"/>
        </w:rPr>
      </w:pPr>
      <w:r>
        <w:rPr>
          <w:rFonts w:cs="Arial"/>
          <w:color w:val="auto"/>
          <w:highlight w:val="none"/>
        </w:rPr>
        <w:t>6．</w:t>
      </w:r>
      <w:r>
        <w:rPr>
          <w:rFonts w:hint="eastAsia" w:cs="Arial"/>
          <w:color w:val="auto"/>
          <w:highlight w:val="none"/>
        </w:rPr>
        <w:t>其余根据国务院令</w:t>
      </w:r>
      <w:r>
        <w:rPr>
          <w:rFonts w:cs="Arial"/>
          <w:color w:val="auto"/>
          <w:highlight w:val="none"/>
        </w:rPr>
        <w:t>279号《建设工程质量管理条例》规定期限。</w:t>
      </w:r>
    </w:p>
    <w:p w14:paraId="018F4043">
      <w:pPr>
        <w:tabs>
          <w:tab w:val="left" w:pos="4860"/>
          <w:tab w:val="left" w:pos="5580"/>
        </w:tabs>
        <w:snapToGrid w:val="0"/>
        <w:ind w:firstLine="480" w:firstLineChars="200"/>
        <w:rPr>
          <w:rFonts w:cs="Arial"/>
          <w:color w:val="auto"/>
          <w:highlight w:val="none"/>
        </w:rPr>
      </w:pPr>
      <w:r>
        <w:rPr>
          <w:rFonts w:hint="eastAsia" w:cs="Arial"/>
          <w:color w:val="auto"/>
          <w:highlight w:val="none"/>
        </w:rPr>
        <w:t>质量保修期自工程交工验收合格之日起计算。</w:t>
      </w:r>
    </w:p>
    <w:p w14:paraId="5224E3AA">
      <w:pPr>
        <w:snapToGrid w:val="0"/>
        <w:rPr>
          <w:rFonts w:cs="Arial"/>
          <w:color w:val="auto"/>
          <w:highlight w:val="none"/>
        </w:rPr>
      </w:pPr>
      <w:r>
        <w:rPr>
          <w:rFonts w:hint="eastAsia" w:cs="Arial"/>
          <w:color w:val="auto"/>
          <w:highlight w:val="none"/>
        </w:rPr>
        <w:t>三、质量保修责任</w:t>
      </w:r>
    </w:p>
    <w:p w14:paraId="679CDDCC">
      <w:pPr>
        <w:tabs>
          <w:tab w:val="left" w:pos="4860"/>
          <w:tab w:val="left" w:pos="5580"/>
        </w:tabs>
        <w:snapToGrid w:val="0"/>
        <w:ind w:right="36" w:rightChars="15" w:firstLine="480" w:firstLineChars="200"/>
        <w:rPr>
          <w:rFonts w:cs="Arial"/>
          <w:color w:val="auto"/>
          <w:highlight w:val="none"/>
        </w:rPr>
      </w:pPr>
      <w:r>
        <w:rPr>
          <w:rFonts w:cs="Arial"/>
          <w:color w:val="auto"/>
          <w:highlight w:val="none"/>
        </w:rPr>
        <w:t>1</w:t>
      </w:r>
      <w:r>
        <w:rPr>
          <w:rFonts w:hint="eastAsia" w:cs="Arial"/>
          <w:color w:val="auto"/>
          <w:highlight w:val="none"/>
        </w:rPr>
        <w:t>.属于保修范围、内容的项目，承包人应当在接到保修通知之日起7天内派人保修。承包人不在约定期限内派人保修的，发包人可以委托他人修理，修理费用从质量保险金内扣除。</w:t>
      </w:r>
    </w:p>
    <w:p w14:paraId="5E8E92CA">
      <w:pPr>
        <w:tabs>
          <w:tab w:val="left" w:pos="4860"/>
          <w:tab w:val="left" w:pos="5580"/>
        </w:tabs>
        <w:snapToGrid w:val="0"/>
        <w:ind w:right="36" w:rightChars="15" w:firstLine="480" w:firstLineChars="200"/>
        <w:rPr>
          <w:rFonts w:cs="Arial"/>
          <w:color w:val="auto"/>
          <w:highlight w:val="none"/>
        </w:rPr>
      </w:pPr>
      <w:r>
        <w:rPr>
          <w:rFonts w:cs="Arial"/>
          <w:color w:val="auto"/>
          <w:highlight w:val="none"/>
        </w:rPr>
        <w:t>2</w:t>
      </w:r>
      <w:r>
        <w:rPr>
          <w:rFonts w:hint="eastAsia" w:cs="Arial"/>
          <w:color w:val="auto"/>
          <w:highlight w:val="none"/>
        </w:rPr>
        <w:t>.发生紧急抢修事故的，承包人在接到事故通知后，应当立即到达事故现场抢修。</w:t>
      </w:r>
    </w:p>
    <w:p w14:paraId="5AFE916A">
      <w:pPr>
        <w:tabs>
          <w:tab w:val="left" w:pos="4860"/>
          <w:tab w:val="left" w:pos="5580"/>
        </w:tabs>
        <w:snapToGrid w:val="0"/>
        <w:ind w:right="36" w:rightChars="15" w:firstLine="480" w:firstLineChars="200"/>
        <w:rPr>
          <w:rFonts w:cs="Arial"/>
          <w:color w:val="auto"/>
          <w:highlight w:val="none"/>
        </w:rPr>
      </w:pPr>
      <w:r>
        <w:rPr>
          <w:rFonts w:cs="Arial"/>
          <w:color w:val="auto"/>
          <w:highlight w:val="none"/>
        </w:rPr>
        <w:t>3</w:t>
      </w:r>
      <w:r>
        <w:rPr>
          <w:rFonts w:hint="eastAsia" w:cs="Arial"/>
          <w:color w:val="auto"/>
          <w:highlight w:val="none"/>
        </w:rPr>
        <w:t>.对于涉及工程安全质量问题的，发包人应当按照有关的规定，采取安全防范措施。由原设计单位或者具有相应资质等级的设计单位提出保修方案，承包人实施保修。</w:t>
      </w:r>
    </w:p>
    <w:p w14:paraId="6278B477">
      <w:pPr>
        <w:tabs>
          <w:tab w:val="left" w:pos="4860"/>
          <w:tab w:val="left" w:pos="5580"/>
        </w:tabs>
        <w:snapToGrid w:val="0"/>
        <w:ind w:right="36" w:rightChars="15" w:firstLine="480" w:firstLineChars="200"/>
        <w:rPr>
          <w:rFonts w:cs="Arial"/>
          <w:color w:val="auto"/>
          <w:highlight w:val="none"/>
        </w:rPr>
      </w:pPr>
      <w:r>
        <w:rPr>
          <w:rFonts w:cs="Arial"/>
          <w:color w:val="auto"/>
          <w:highlight w:val="none"/>
        </w:rPr>
        <w:t>4</w:t>
      </w:r>
      <w:r>
        <w:rPr>
          <w:rFonts w:hint="eastAsia" w:cs="Arial"/>
          <w:color w:val="auto"/>
          <w:highlight w:val="none"/>
        </w:rPr>
        <w:t>.质量保修完成后，由发包人组织验收。</w:t>
      </w:r>
    </w:p>
    <w:p w14:paraId="16EB57D1">
      <w:pPr>
        <w:snapToGrid w:val="0"/>
        <w:rPr>
          <w:rFonts w:cs="Arial"/>
          <w:color w:val="auto"/>
          <w:highlight w:val="none"/>
        </w:rPr>
      </w:pPr>
      <w:r>
        <w:rPr>
          <w:rFonts w:hint="eastAsia" w:cs="Arial"/>
          <w:color w:val="auto"/>
          <w:highlight w:val="none"/>
        </w:rPr>
        <w:t>四、保修费</w:t>
      </w:r>
    </w:p>
    <w:p w14:paraId="601C2D52">
      <w:pPr>
        <w:tabs>
          <w:tab w:val="left" w:pos="4860"/>
          <w:tab w:val="left" w:pos="5580"/>
        </w:tabs>
        <w:snapToGrid w:val="0"/>
        <w:ind w:right="36" w:rightChars="15" w:firstLine="480" w:firstLineChars="200"/>
        <w:rPr>
          <w:rFonts w:cs="Arial"/>
          <w:color w:val="auto"/>
          <w:highlight w:val="none"/>
        </w:rPr>
      </w:pPr>
      <w:r>
        <w:rPr>
          <w:rFonts w:cs="Arial"/>
          <w:color w:val="auto"/>
          <w:highlight w:val="none"/>
        </w:rPr>
        <w:t>1</w:t>
      </w:r>
      <w:r>
        <w:rPr>
          <w:rFonts w:hint="eastAsia" w:cs="Arial"/>
          <w:color w:val="auto"/>
          <w:highlight w:val="none"/>
        </w:rPr>
        <w:t>.保修费由造成质量缺陷的责任方承担。</w:t>
      </w:r>
    </w:p>
    <w:p w14:paraId="15DCDE9B">
      <w:pPr>
        <w:tabs>
          <w:tab w:val="left" w:pos="4860"/>
          <w:tab w:val="left" w:pos="5580"/>
        </w:tabs>
        <w:snapToGrid w:val="0"/>
        <w:ind w:right="36" w:rightChars="15" w:firstLine="480" w:firstLineChars="200"/>
        <w:rPr>
          <w:rFonts w:cs="Arial"/>
          <w:color w:val="auto"/>
          <w:highlight w:val="none"/>
        </w:rPr>
      </w:pPr>
      <w:r>
        <w:rPr>
          <w:rFonts w:cs="Arial"/>
          <w:color w:val="auto"/>
          <w:highlight w:val="none"/>
        </w:rPr>
        <w:t>2</w:t>
      </w:r>
      <w:r>
        <w:rPr>
          <w:rFonts w:hint="eastAsia" w:cs="Arial"/>
          <w:color w:val="auto"/>
          <w:highlight w:val="none"/>
        </w:rPr>
        <w:t>.发包人向承包人支付工程结算价款时，保留工程结算总价款的3</w:t>
      </w:r>
      <w:r>
        <w:rPr>
          <w:rFonts w:cs="Arial"/>
          <w:color w:val="auto"/>
          <w:highlight w:val="none"/>
        </w:rPr>
        <w:t>%</w:t>
      </w:r>
      <w:r>
        <w:rPr>
          <w:rFonts w:hint="eastAsia" w:cs="Arial"/>
          <w:color w:val="auto"/>
          <w:highlight w:val="none"/>
        </w:rPr>
        <w:t>作为质量保证金。</w:t>
      </w:r>
    </w:p>
    <w:p w14:paraId="328E3E1D">
      <w:pPr>
        <w:tabs>
          <w:tab w:val="left" w:pos="4860"/>
          <w:tab w:val="left" w:pos="5580"/>
        </w:tabs>
        <w:snapToGrid w:val="0"/>
        <w:ind w:right="36" w:rightChars="15" w:firstLine="480" w:firstLineChars="200"/>
        <w:rPr>
          <w:rFonts w:cs="Arial"/>
          <w:color w:val="auto"/>
          <w:highlight w:val="none"/>
        </w:rPr>
      </w:pPr>
      <w:r>
        <w:rPr>
          <w:rFonts w:cs="Arial"/>
          <w:color w:val="auto"/>
          <w:highlight w:val="none"/>
        </w:rPr>
        <w:t>3</w:t>
      </w:r>
      <w:r>
        <w:rPr>
          <w:rFonts w:hint="eastAsia" w:cs="Arial"/>
          <w:color w:val="auto"/>
          <w:highlight w:val="none"/>
        </w:rPr>
        <w:t>.若造成质量缺陷的责任方为承包人，则本合同缺陷责任期内发生的质量保修费在质量保证金内扣除，不足部分由承包人补足。</w:t>
      </w:r>
    </w:p>
    <w:p w14:paraId="09A09CA8">
      <w:pPr>
        <w:tabs>
          <w:tab w:val="left" w:pos="4860"/>
          <w:tab w:val="left" w:pos="5580"/>
        </w:tabs>
        <w:snapToGrid w:val="0"/>
        <w:ind w:right="36" w:rightChars="15" w:firstLine="480" w:firstLineChars="200"/>
        <w:rPr>
          <w:rFonts w:cs="Arial"/>
          <w:color w:val="auto"/>
          <w:highlight w:val="none"/>
        </w:rPr>
      </w:pPr>
      <w:r>
        <w:rPr>
          <w:rFonts w:hint="eastAsia" w:cs="Arial"/>
          <w:color w:val="auto"/>
          <w:highlight w:val="none"/>
        </w:rPr>
        <w:t>4.缺陷责任期满后，由乙方提出返还质量保证金申请，双方清算质量保证金，剩余部分退还。若逾期承包人仍未办理质量保证金支付申请，则视为放弃费用主张权。未达到质量保证金返还条件的，暂不返还质量保证金。</w:t>
      </w:r>
    </w:p>
    <w:p w14:paraId="39B0E615">
      <w:pPr>
        <w:tabs>
          <w:tab w:val="left" w:pos="4860"/>
          <w:tab w:val="left" w:pos="5580"/>
        </w:tabs>
        <w:snapToGrid w:val="0"/>
        <w:ind w:right="36" w:rightChars="15" w:firstLine="480" w:firstLineChars="200"/>
        <w:rPr>
          <w:rFonts w:cs="Arial"/>
          <w:color w:val="auto"/>
          <w:highlight w:val="none"/>
        </w:rPr>
      </w:pPr>
      <w:r>
        <w:rPr>
          <w:rFonts w:hint="eastAsia" w:cs="Arial"/>
          <w:color w:val="auto"/>
          <w:highlight w:val="none"/>
        </w:rPr>
        <w:t xml:space="preserve">5.质量保修期内缺陷责任期满外如有返修，若造成质量缺陷的责任方为承包人，发生费用由承包人另行支付。 </w:t>
      </w:r>
    </w:p>
    <w:p w14:paraId="566436E0">
      <w:pPr>
        <w:snapToGrid w:val="0"/>
        <w:rPr>
          <w:rFonts w:cs="Arial"/>
          <w:color w:val="auto"/>
          <w:highlight w:val="none"/>
        </w:rPr>
      </w:pPr>
      <w:r>
        <w:rPr>
          <w:rFonts w:hint="eastAsia" w:cs="Arial"/>
          <w:color w:val="auto"/>
          <w:highlight w:val="none"/>
        </w:rPr>
        <w:t>五、其他</w:t>
      </w:r>
    </w:p>
    <w:p w14:paraId="6E128C0B">
      <w:pPr>
        <w:tabs>
          <w:tab w:val="left" w:pos="4860"/>
          <w:tab w:val="left" w:pos="5580"/>
        </w:tabs>
        <w:snapToGrid w:val="0"/>
        <w:ind w:right="36" w:rightChars="15" w:firstLine="480" w:firstLineChars="200"/>
        <w:rPr>
          <w:rFonts w:cs="Arial"/>
          <w:color w:val="auto"/>
          <w:highlight w:val="none"/>
        </w:rPr>
      </w:pPr>
      <w:r>
        <w:rPr>
          <w:rFonts w:hint="eastAsia" w:cs="Arial"/>
          <w:color w:val="auto"/>
          <w:highlight w:val="none"/>
        </w:rPr>
        <w:t>双方约定的其他工程质量保修事项：保修期内由于承包人的原因造成的任何质量安全事故，其责任及费用均由承包人承担。</w:t>
      </w:r>
    </w:p>
    <w:p w14:paraId="179FFD6E">
      <w:pPr>
        <w:tabs>
          <w:tab w:val="left" w:pos="4860"/>
          <w:tab w:val="left" w:pos="5580"/>
        </w:tabs>
        <w:snapToGrid w:val="0"/>
        <w:ind w:right="36" w:rightChars="15" w:firstLine="480" w:firstLineChars="200"/>
        <w:rPr>
          <w:rFonts w:cs="Arial"/>
          <w:color w:val="auto"/>
          <w:highlight w:val="none"/>
        </w:rPr>
      </w:pPr>
      <w:r>
        <w:rPr>
          <w:rFonts w:hint="eastAsia" w:cs="Arial"/>
          <w:color w:val="auto"/>
          <w:highlight w:val="none"/>
        </w:rPr>
        <w:t>本工程质量保修书由发包人、承包人双方在交工验收前共同签署，作为合同附件，其有效期限至保修期满。</w:t>
      </w:r>
    </w:p>
    <w:p w14:paraId="28D75CDA">
      <w:pPr>
        <w:pageBreakBefore/>
        <w:outlineLvl w:val="1"/>
        <w:rPr>
          <w:rFonts w:cs="Arial"/>
          <w:color w:val="auto"/>
          <w:highlight w:val="none"/>
        </w:rPr>
      </w:pPr>
      <w:bookmarkStart w:id="1034" w:name="_Toc119953772"/>
      <w:bookmarkStart w:id="1035" w:name="_Toc90117828"/>
      <w:bookmarkStart w:id="1036" w:name="_Toc31565"/>
      <w:bookmarkStart w:id="1037" w:name="_Toc76398560"/>
      <w:bookmarkStart w:id="1038" w:name="_Toc256000105"/>
      <w:bookmarkStart w:id="1039" w:name="_Toc1828321995"/>
      <w:r>
        <w:rPr>
          <w:rFonts w:hint="eastAsia" w:cs="Arial"/>
          <w:color w:val="auto"/>
          <w:highlight w:val="none"/>
        </w:rPr>
        <w:t>附件</w:t>
      </w:r>
      <w:r>
        <w:rPr>
          <w:rFonts w:hint="eastAsia" w:cs="Arial"/>
          <w:color w:val="auto"/>
          <w:highlight w:val="none"/>
          <w:lang w:val="en-US" w:eastAsia="zh-CN"/>
        </w:rPr>
        <w:t>7</w:t>
      </w:r>
      <w:r>
        <w:rPr>
          <w:rFonts w:hint="eastAsia" w:cs="Arial"/>
          <w:color w:val="auto"/>
          <w:highlight w:val="none"/>
        </w:rPr>
        <w:t>：</w:t>
      </w:r>
      <w:r>
        <w:rPr>
          <w:rFonts w:hint="eastAsia"/>
          <w:color w:val="auto"/>
          <w:highlight w:val="none"/>
        </w:rPr>
        <w:t>廉洁从业责任书</w:t>
      </w:r>
      <w:bookmarkEnd w:id="1033"/>
      <w:bookmarkEnd w:id="1034"/>
      <w:bookmarkEnd w:id="1035"/>
      <w:bookmarkEnd w:id="1036"/>
      <w:bookmarkEnd w:id="1037"/>
      <w:bookmarkEnd w:id="1038"/>
      <w:bookmarkEnd w:id="1039"/>
    </w:p>
    <w:p w14:paraId="525F912A">
      <w:pPr>
        <w:jc w:val="center"/>
        <w:rPr>
          <w:b/>
          <w:color w:val="auto"/>
          <w:sz w:val="30"/>
          <w:szCs w:val="30"/>
          <w:highlight w:val="none"/>
        </w:rPr>
      </w:pPr>
      <w:r>
        <w:rPr>
          <w:rFonts w:hint="eastAsia"/>
          <w:b/>
          <w:color w:val="auto"/>
          <w:sz w:val="30"/>
          <w:szCs w:val="30"/>
          <w:highlight w:val="none"/>
        </w:rPr>
        <w:t>廉洁从业责任书</w:t>
      </w:r>
    </w:p>
    <w:p w14:paraId="6C38F664">
      <w:pPr>
        <w:rPr>
          <w:rFonts w:ascii="仿宋_GB2312" w:eastAsia="仿宋_GB2312"/>
          <w:color w:val="auto"/>
          <w:sz w:val="32"/>
          <w:szCs w:val="32"/>
          <w:highlight w:val="none"/>
        </w:rPr>
      </w:pPr>
    </w:p>
    <w:p w14:paraId="1338A344">
      <w:pPr>
        <w:ind w:firstLine="480" w:firstLineChars="200"/>
        <w:rPr>
          <w:rFonts w:cs="Arial"/>
          <w:color w:val="auto"/>
          <w:highlight w:val="none"/>
        </w:rPr>
      </w:pPr>
      <w:r>
        <w:rPr>
          <w:rFonts w:hint="eastAsia" w:cs="Arial"/>
          <w:color w:val="auto"/>
          <w:highlight w:val="none"/>
        </w:rPr>
        <w:t>为规范发包人和承包人的交易行为，维护公平竞争，预防商业贿赂，根据国家有关法律法规，经双方协商一致，签订本责任书。</w:t>
      </w:r>
    </w:p>
    <w:p w14:paraId="5F3FA74B">
      <w:pPr>
        <w:ind w:firstLine="480" w:firstLineChars="200"/>
        <w:rPr>
          <w:rFonts w:cs="Arial"/>
          <w:color w:val="auto"/>
          <w:highlight w:val="none"/>
        </w:rPr>
      </w:pPr>
      <w:r>
        <w:rPr>
          <w:rFonts w:hint="eastAsia" w:cs="Arial"/>
          <w:color w:val="auto"/>
          <w:highlight w:val="none"/>
        </w:rPr>
        <w:t>第一条  发包人和承包人共同责任</w:t>
      </w:r>
    </w:p>
    <w:p w14:paraId="3A0266F2">
      <w:pPr>
        <w:ind w:firstLine="480" w:firstLineChars="200"/>
        <w:rPr>
          <w:rFonts w:cs="Arial"/>
          <w:color w:val="auto"/>
          <w:highlight w:val="none"/>
        </w:rPr>
      </w:pPr>
      <w:r>
        <w:rPr>
          <w:rFonts w:hint="eastAsia" w:cs="Arial"/>
          <w:color w:val="auto"/>
          <w:highlight w:val="none"/>
        </w:rPr>
        <w:t>（一）严格遵守国家有关法律法规以及廉洁从业的有关规定。</w:t>
      </w:r>
    </w:p>
    <w:p w14:paraId="70413FCC">
      <w:pPr>
        <w:ind w:firstLine="480" w:firstLineChars="200"/>
        <w:rPr>
          <w:rFonts w:cs="Arial"/>
          <w:color w:val="auto"/>
          <w:highlight w:val="none"/>
        </w:rPr>
      </w:pPr>
      <w:r>
        <w:rPr>
          <w:rFonts w:hint="eastAsia" w:cs="Arial"/>
          <w:color w:val="auto"/>
          <w:highlight w:val="none"/>
        </w:rPr>
        <w:t>（二）严格遵守商业道德和市场规则，共同营造公平公正的交易环境。</w:t>
      </w:r>
    </w:p>
    <w:p w14:paraId="4C780CB9">
      <w:pPr>
        <w:ind w:firstLine="480" w:firstLineChars="200"/>
        <w:rPr>
          <w:rFonts w:cs="Arial"/>
          <w:color w:val="auto"/>
          <w:highlight w:val="none"/>
        </w:rPr>
      </w:pPr>
      <w:r>
        <w:rPr>
          <w:rFonts w:hint="eastAsia" w:cs="Arial"/>
          <w:color w:val="auto"/>
          <w:highlight w:val="none"/>
        </w:rPr>
        <w:t>（三）加强相关人员的管理和廉洁从业教育，自觉抵制不廉洁行为；在交易过程中发现对方及其工作人员存在违规违纪违法问题，应及时向监察部门或司法机关举报。</w:t>
      </w:r>
    </w:p>
    <w:p w14:paraId="09D58A4C">
      <w:pPr>
        <w:ind w:firstLine="480" w:firstLineChars="200"/>
        <w:rPr>
          <w:rFonts w:cs="Arial"/>
          <w:color w:val="auto"/>
          <w:highlight w:val="none"/>
        </w:rPr>
      </w:pPr>
      <w:r>
        <w:rPr>
          <w:rFonts w:hint="eastAsia" w:cs="Arial"/>
          <w:color w:val="auto"/>
          <w:highlight w:val="none"/>
        </w:rPr>
        <w:t>第二条  发包人及其人员的责任</w:t>
      </w:r>
    </w:p>
    <w:p w14:paraId="4B3DE7EC">
      <w:pPr>
        <w:ind w:firstLine="480" w:firstLineChars="200"/>
        <w:rPr>
          <w:rFonts w:cs="Arial"/>
          <w:color w:val="auto"/>
          <w:highlight w:val="none"/>
        </w:rPr>
      </w:pPr>
      <w:r>
        <w:rPr>
          <w:rFonts w:hint="eastAsia" w:cs="Arial"/>
          <w:color w:val="auto"/>
          <w:highlight w:val="none"/>
        </w:rPr>
        <w:t>（一）不得索要或接受承包人及其相关单位、人员提供的折扣费、中介费、佣金、礼金、有价证券、支付凭证、贵重物品等。</w:t>
      </w:r>
    </w:p>
    <w:p w14:paraId="69E58A0E">
      <w:pPr>
        <w:ind w:firstLine="480" w:firstLineChars="200"/>
        <w:rPr>
          <w:rFonts w:cs="Arial"/>
          <w:color w:val="auto"/>
          <w:highlight w:val="none"/>
        </w:rPr>
      </w:pPr>
      <w:r>
        <w:rPr>
          <w:rFonts w:hint="eastAsia" w:cs="Arial"/>
          <w:color w:val="auto"/>
          <w:highlight w:val="none"/>
        </w:rPr>
        <w:t>（二）不得在承包人及其相关单位报销任何应由发包人或个人支付的费用。</w:t>
      </w:r>
    </w:p>
    <w:p w14:paraId="078C7696">
      <w:pPr>
        <w:ind w:firstLine="480" w:firstLineChars="200"/>
        <w:rPr>
          <w:rFonts w:cs="Arial"/>
          <w:color w:val="auto"/>
          <w:highlight w:val="none"/>
        </w:rPr>
      </w:pPr>
      <w:r>
        <w:rPr>
          <w:rFonts w:hint="eastAsia" w:cs="Arial"/>
          <w:color w:val="auto"/>
          <w:highlight w:val="none"/>
        </w:rPr>
        <w:t>（三）不得违反规定在承包人及其相关单位投资入股、合伙经营，不得向承包人单位及人员借款或委托买卖股票、债券等。</w:t>
      </w:r>
    </w:p>
    <w:p w14:paraId="241CF984">
      <w:pPr>
        <w:ind w:firstLine="480" w:firstLineChars="200"/>
        <w:rPr>
          <w:rFonts w:cs="Arial"/>
          <w:color w:val="auto"/>
          <w:highlight w:val="none"/>
        </w:rPr>
      </w:pPr>
      <w:r>
        <w:rPr>
          <w:rFonts w:hint="eastAsia" w:cs="Arial"/>
          <w:color w:val="auto"/>
          <w:highlight w:val="none"/>
        </w:rPr>
        <w:t>（四）不得要求、暗示和接受承包人及其相关单位和个人为其购买或装修住房、婚丧嫁娶、配偶和子女的工作安排或上学以及出国（境）、旅游等提供方便。</w:t>
      </w:r>
    </w:p>
    <w:p w14:paraId="646E0B38">
      <w:pPr>
        <w:ind w:firstLine="480" w:firstLineChars="200"/>
        <w:rPr>
          <w:rFonts w:cs="Arial"/>
          <w:color w:val="auto"/>
          <w:highlight w:val="none"/>
        </w:rPr>
      </w:pPr>
      <w:r>
        <w:rPr>
          <w:rFonts w:hint="eastAsia" w:cs="Arial"/>
          <w:color w:val="auto"/>
          <w:highlight w:val="none"/>
        </w:rPr>
        <w:t>（五）不得参加承包人及其相关单位、个人安排的可能影响公平交易的宴请、健身、娱乐等活动。</w:t>
      </w:r>
    </w:p>
    <w:p w14:paraId="20A3158D">
      <w:pPr>
        <w:ind w:firstLine="480" w:firstLineChars="200"/>
        <w:rPr>
          <w:rFonts w:cs="Arial"/>
          <w:color w:val="auto"/>
          <w:highlight w:val="none"/>
        </w:rPr>
      </w:pPr>
      <w:r>
        <w:rPr>
          <w:rFonts w:hint="eastAsia" w:cs="Arial"/>
          <w:color w:val="auto"/>
          <w:highlight w:val="none"/>
        </w:rPr>
        <w:t>（六）不得接受、占用或以明显低于市场价格购买、租用承包人及其相关单位和个人提供的通讯工具、交通工具和高档办公用品。</w:t>
      </w:r>
    </w:p>
    <w:p w14:paraId="200833E3">
      <w:pPr>
        <w:ind w:firstLine="480" w:firstLineChars="200"/>
        <w:rPr>
          <w:rFonts w:cs="Arial"/>
          <w:color w:val="auto"/>
          <w:highlight w:val="none"/>
        </w:rPr>
      </w:pPr>
      <w:r>
        <w:rPr>
          <w:rFonts w:hint="eastAsia" w:cs="Arial"/>
          <w:color w:val="auto"/>
          <w:highlight w:val="none"/>
        </w:rPr>
        <w:t>（七）不得通过承包人及其相关单位为其配偶、子女及其他特定关系人谋取不正当利益。</w:t>
      </w:r>
    </w:p>
    <w:p w14:paraId="643C3769">
      <w:pPr>
        <w:ind w:firstLine="480" w:firstLineChars="200"/>
        <w:rPr>
          <w:rFonts w:cs="Arial"/>
          <w:color w:val="auto"/>
          <w:highlight w:val="none"/>
        </w:rPr>
      </w:pPr>
      <w:r>
        <w:rPr>
          <w:rFonts w:hint="eastAsia" w:cs="Arial"/>
          <w:color w:val="auto"/>
          <w:highlight w:val="none"/>
        </w:rPr>
        <w:t>（八）不得违反规定在承包人或承包人相关单位兼职和领取兼职工资及报酬；不得利用发包人的商业秘密谋取个人私利，或将其提供泄漏给承包人及其它企业和个人。</w:t>
      </w:r>
    </w:p>
    <w:p w14:paraId="58F2D930">
      <w:pPr>
        <w:ind w:firstLine="480" w:firstLineChars="200"/>
        <w:rPr>
          <w:rFonts w:cs="Arial"/>
          <w:color w:val="auto"/>
          <w:highlight w:val="none"/>
        </w:rPr>
      </w:pPr>
      <w:r>
        <w:rPr>
          <w:rFonts w:hint="eastAsia" w:cs="Arial"/>
          <w:color w:val="auto"/>
          <w:highlight w:val="none"/>
        </w:rPr>
        <w:t>（九）不得利用职权和工作之便向承包人提出与交易无关的事项或要求。</w:t>
      </w:r>
    </w:p>
    <w:p w14:paraId="7FFC66A2">
      <w:pPr>
        <w:ind w:firstLine="480" w:firstLineChars="200"/>
        <w:rPr>
          <w:rFonts w:cs="Arial"/>
          <w:color w:val="auto"/>
          <w:highlight w:val="none"/>
        </w:rPr>
      </w:pPr>
      <w:r>
        <w:rPr>
          <w:rFonts w:hint="eastAsia" w:cs="Arial"/>
          <w:color w:val="auto"/>
          <w:highlight w:val="none"/>
        </w:rPr>
        <w:t>第三条  承包人及其人员的责任</w:t>
      </w:r>
    </w:p>
    <w:p w14:paraId="62E30F23">
      <w:pPr>
        <w:ind w:firstLine="480" w:firstLineChars="200"/>
        <w:rPr>
          <w:rFonts w:cs="Arial"/>
          <w:color w:val="auto"/>
          <w:highlight w:val="none"/>
        </w:rPr>
      </w:pPr>
      <w:r>
        <w:rPr>
          <w:rFonts w:hint="eastAsia" w:cs="Arial"/>
          <w:color w:val="auto"/>
          <w:highlight w:val="none"/>
        </w:rPr>
        <w:t>（一）不得向发包人及其人员提供折扣费、中介费、佣金、礼金、有价证券、支付凭证、贵重物品等。</w:t>
      </w:r>
    </w:p>
    <w:p w14:paraId="62F6B61A">
      <w:pPr>
        <w:ind w:firstLine="480" w:firstLineChars="200"/>
        <w:rPr>
          <w:rFonts w:cs="Arial"/>
          <w:color w:val="auto"/>
          <w:highlight w:val="none"/>
        </w:rPr>
      </w:pPr>
      <w:r>
        <w:rPr>
          <w:rFonts w:hint="eastAsia" w:cs="Arial"/>
          <w:color w:val="auto"/>
          <w:highlight w:val="none"/>
        </w:rPr>
        <w:t>（二）不得为发包人及其人员报销应由发包人或个人支付的费用。</w:t>
      </w:r>
    </w:p>
    <w:p w14:paraId="26949A2B">
      <w:pPr>
        <w:ind w:firstLine="480" w:firstLineChars="200"/>
        <w:rPr>
          <w:rFonts w:cs="Arial"/>
          <w:color w:val="auto"/>
          <w:highlight w:val="none"/>
        </w:rPr>
      </w:pPr>
      <w:r>
        <w:rPr>
          <w:rFonts w:hint="eastAsia" w:cs="Arial"/>
          <w:color w:val="auto"/>
          <w:highlight w:val="none"/>
        </w:rPr>
        <w:t>（三）不得为发包人人员投资入股、个人借款或买卖股票、债券等提供方便。</w:t>
      </w:r>
    </w:p>
    <w:p w14:paraId="07823B4B">
      <w:pPr>
        <w:ind w:firstLine="480" w:firstLineChars="200"/>
        <w:rPr>
          <w:rFonts w:cs="Arial"/>
          <w:color w:val="auto"/>
          <w:highlight w:val="none"/>
        </w:rPr>
      </w:pPr>
      <w:r>
        <w:rPr>
          <w:rFonts w:hint="eastAsia" w:cs="Arial"/>
          <w:color w:val="auto"/>
          <w:highlight w:val="none"/>
        </w:rPr>
        <w:t>（四）不得为发包人人员购买或装修住房、婚丧嫁娶、配偶子女上学或工作安排以及出国（境）、旅游等提供方便。</w:t>
      </w:r>
    </w:p>
    <w:p w14:paraId="172B41B7">
      <w:pPr>
        <w:ind w:firstLine="480" w:firstLineChars="200"/>
        <w:rPr>
          <w:rFonts w:cs="Arial"/>
          <w:color w:val="auto"/>
          <w:highlight w:val="none"/>
        </w:rPr>
      </w:pPr>
      <w:r>
        <w:rPr>
          <w:rFonts w:hint="eastAsia" w:cs="Arial"/>
          <w:color w:val="auto"/>
          <w:highlight w:val="none"/>
        </w:rPr>
        <w:t>（五）不得为发包人人员安排有可能影响公平交易的宴请、健身、娱乐等活动。</w:t>
      </w:r>
    </w:p>
    <w:p w14:paraId="55534B28">
      <w:pPr>
        <w:ind w:firstLine="480" w:firstLineChars="200"/>
        <w:rPr>
          <w:rFonts w:cs="Arial"/>
          <w:color w:val="auto"/>
          <w:highlight w:val="none"/>
        </w:rPr>
      </w:pPr>
      <w:r>
        <w:rPr>
          <w:rFonts w:hint="eastAsia" w:cs="Arial"/>
          <w:color w:val="auto"/>
          <w:highlight w:val="none"/>
        </w:rPr>
        <w:t>（六）不得为发包人及其人员购置或以明显低于市场价值提供通讯工具、交通工具和高档办公用品。</w:t>
      </w:r>
    </w:p>
    <w:p w14:paraId="69813F22">
      <w:pPr>
        <w:ind w:firstLine="480" w:firstLineChars="200"/>
        <w:rPr>
          <w:rFonts w:cs="Arial"/>
          <w:color w:val="auto"/>
          <w:highlight w:val="none"/>
        </w:rPr>
      </w:pPr>
      <w:r>
        <w:rPr>
          <w:rFonts w:hint="eastAsia" w:cs="Arial"/>
          <w:color w:val="auto"/>
          <w:highlight w:val="none"/>
        </w:rPr>
        <w:t>（七）不得为发包人工作人员的配偶、子女及其他特定关系人谋取不正当利益提供方便。</w:t>
      </w:r>
    </w:p>
    <w:p w14:paraId="3F6C23A0">
      <w:pPr>
        <w:ind w:firstLine="480" w:firstLineChars="200"/>
        <w:rPr>
          <w:rFonts w:cs="Arial"/>
          <w:color w:val="auto"/>
          <w:highlight w:val="none"/>
        </w:rPr>
      </w:pPr>
      <w:r>
        <w:rPr>
          <w:rFonts w:hint="eastAsia" w:cs="Arial"/>
          <w:color w:val="auto"/>
          <w:highlight w:val="none"/>
        </w:rPr>
        <w:t>（八）不得违反规定安排发包人人员在承包人或承包人相关企业兼职和领取兼职工资及报酬；不得向发包人人员打探涉及发包人的商业秘密。</w:t>
      </w:r>
    </w:p>
    <w:p w14:paraId="5A14B7A3">
      <w:pPr>
        <w:ind w:firstLine="480" w:firstLineChars="200"/>
        <w:rPr>
          <w:rFonts w:cs="Arial"/>
          <w:color w:val="auto"/>
          <w:highlight w:val="none"/>
        </w:rPr>
      </w:pPr>
      <w:r>
        <w:rPr>
          <w:rFonts w:hint="eastAsia" w:cs="Arial"/>
          <w:color w:val="auto"/>
          <w:highlight w:val="none"/>
        </w:rPr>
        <w:t>（九）发包人对涉嫌不廉洁的商业行为进行调查时，承包人有配合发包人提供证据、作证的义务。</w:t>
      </w:r>
    </w:p>
    <w:p w14:paraId="0DEA6651">
      <w:pPr>
        <w:ind w:firstLine="480" w:firstLineChars="200"/>
        <w:rPr>
          <w:rFonts w:cs="Arial"/>
          <w:color w:val="auto"/>
          <w:highlight w:val="none"/>
        </w:rPr>
      </w:pPr>
      <w:r>
        <w:rPr>
          <w:rFonts w:hint="eastAsia" w:cs="Arial"/>
          <w:color w:val="auto"/>
          <w:highlight w:val="none"/>
        </w:rPr>
        <w:t>第四条  违约责任</w:t>
      </w:r>
    </w:p>
    <w:p w14:paraId="0D675B57">
      <w:pPr>
        <w:ind w:firstLine="480" w:firstLineChars="200"/>
        <w:rPr>
          <w:rFonts w:cs="Arial"/>
          <w:color w:val="auto"/>
          <w:highlight w:val="none"/>
        </w:rPr>
      </w:pPr>
      <w:r>
        <w:rPr>
          <w:rFonts w:hint="eastAsia" w:cs="Arial"/>
          <w:color w:val="auto"/>
          <w:highlight w:val="none"/>
        </w:rPr>
        <w:t>（一）发包人及其人员有违反本责任书第一条、第二条规定的，按照管理权限，依据有关法律法规和规定给予有关人员纪律处分或组织处理；涉嫌犯罪的，移交司法机关追究其刑事责任。</w:t>
      </w:r>
    </w:p>
    <w:p w14:paraId="6640D9A7">
      <w:pPr>
        <w:ind w:firstLine="480" w:firstLineChars="200"/>
        <w:rPr>
          <w:rFonts w:cs="Arial"/>
          <w:color w:val="auto"/>
          <w:highlight w:val="none"/>
        </w:rPr>
      </w:pPr>
      <w:r>
        <w:rPr>
          <w:rFonts w:hint="eastAsia" w:cs="Arial"/>
          <w:color w:val="auto"/>
          <w:highlight w:val="none"/>
        </w:rPr>
        <w:t>（二）承包人及其人员有违反本责任书第一条、第三条规定的，根据情节和后果，发包人除有权要求承包人赔偿由此造成的发包人损失外，还将在中国石化系统内分别给予通报、限制或禁止与其交易的处理；涉嫌犯罪的，报请司法机关追究其刑事责任。</w:t>
      </w:r>
    </w:p>
    <w:p w14:paraId="57DE53F6">
      <w:pPr>
        <w:ind w:firstLine="480" w:firstLineChars="200"/>
        <w:rPr>
          <w:rFonts w:cs="Arial"/>
          <w:color w:val="auto"/>
          <w:highlight w:val="none"/>
        </w:rPr>
      </w:pPr>
      <w:r>
        <w:rPr>
          <w:rFonts w:hint="eastAsia" w:cs="Arial"/>
          <w:color w:val="auto"/>
          <w:highlight w:val="none"/>
        </w:rPr>
        <w:t>第五条  本责任书经双方签署后生效。</w:t>
      </w:r>
    </w:p>
    <w:p w14:paraId="15953E58">
      <w:pPr>
        <w:ind w:firstLine="480" w:firstLineChars="200"/>
        <w:rPr>
          <w:rFonts w:cs="Arial"/>
          <w:color w:val="auto"/>
          <w:highlight w:val="none"/>
        </w:rPr>
      </w:pPr>
      <w:r>
        <w:rPr>
          <w:rFonts w:hint="eastAsia" w:cs="Arial"/>
          <w:color w:val="auto"/>
          <w:highlight w:val="none"/>
        </w:rPr>
        <w:t>发包人和承包人签订交易合同的，本责任书作为交易合同附件，与交易合同具有同等法律效力；未签订交易合同的，本责任书独立有效。</w:t>
      </w:r>
    </w:p>
    <w:p w14:paraId="61D2541F">
      <w:pPr>
        <w:ind w:firstLine="480" w:firstLineChars="200"/>
        <w:rPr>
          <w:rFonts w:cs="Arial"/>
          <w:color w:val="auto"/>
          <w:highlight w:val="none"/>
        </w:rPr>
      </w:pPr>
      <w:r>
        <w:rPr>
          <w:rFonts w:hint="eastAsia" w:cs="Arial"/>
          <w:color w:val="auto"/>
          <w:highlight w:val="none"/>
        </w:rPr>
        <w:t>第六条  发包人和承包人及其人员在交易活动完成后，发生或发现违反本责任书规定的行为，按本责任书约定处理。</w:t>
      </w:r>
    </w:p>
    <w:p w14:paraId="416028C0">
      <w:pPr>
        <w:ind w:firstLine="480" w:firstLineChars="200"/>
        <w:rPr>
          <w:rFonts w:ascii="仿宋_GB2312" w:eastAsia="仿宋_GB2312"/>
          <w:color w:val="auto"/>
          <w:sz w:val="32"/>
          <w:szCs w:val="32"/>
          <w:highlight w:val="none"/>
        </w:rPr>
      </w:pPr>
      <w:r>
        <w:rPr>
          <w:rFonts w:hint="eastAsia" w:cs="Arial"/>
          <w:color w:val="auto"/>
          <w:highlight w:val="none"/>
        </w:rPr>
        <w:t>第七条  本责任书一式两份，发包人和承包人双方各执一份，具有同等法律效力。</w:t>
      </w:r>
    </w:p>
    <w:p w14:paraId="3C62B734">
      <w:pPr>
        <w:widowControl/>
        <w:adjustRightInd w:val="0"/>
        <w:snapToGrid w:val="0"/>
        <w:spacing w:after="200" w:line="220" w:lineRule="atLeast"/>
        <w:jc w:val="left"/>
        <w:rPr>
          <w:rFonts w:ascii="Tahoma" w:hAnsi="Tahoma" w:eastAsia="微软雅黑"/>
          <w:color w:val="auto"/>
          <w:sz w:val="22"/>
          <w:szCs w:val="22"/>
          <w:highlight w:val="none"/>
        </w:rPr>
      </w:pPr>
    </w:p>
    <w:p w14:paraId="567A391C">
      <w:pPr>
        <w:pageBreakBefore/>
        <w:outlineLvl w:val="1"/>
        <w:rPr>
          <w:color w:val="auto"/>
          <w:highlight w:val="none"/>
        </w:rPr>
      </w:pPr>
      <w:bookmarkStart w:id="1040" w:name="_Toc16355"/>
      <w:bookmarkStart w:id="1041" w:name="_Toc2084077256"/>
      <w:bookmarkStart w:id="1042" w:name="_Toc256000106"/>
      <w:bookmarkStart w:id="1043" w:name="_Toc119953773"/>
      <w:bookmarkStart w:id="1044" w:name="_Toc704212316"/>
      <w:r>
        <w:rPr>
          <w:rFonts w:hint="eastAsia"/>
          <w:color w:val="auto"/>
          <w:highlight w:val="none"/>
        </w:rPr>
        <w:t>附件</w:t>
      </w:r>
      <w:r>
        <w:rPr>
          <w:rFonts w:hint="eastAsia"/>
          <w:color w:val="auto"/>
          <w:highlight w:val="none"/>
          <w:lang w:val="en-US" w:eastAsia="zh-CN"/>
        </w:rPr>
        <w:t>8</w:t>
      </w:r>
      <w:r>
        <w:rPr>
          <w:rFonts w:hint="eastAsia"/>
          <w:color w:val="auto"/>
          <w:highlight w:val="none"/>
        </w:rPr>
        <w:t>：保密协议</w:t>
      </w:r>
      <w:bookmarkEnd w:id="1040"/>
      <w:bookmarkEnd w:id="1041"/>
      <w:bookmarkEnd w:id="1042"/>
      <w:bookmarkEnd w:id="1043"/>
      <w:bookmarkEnd w:id="1044"/>
    </w:p>
    <w:p w14:paraId="436AF8B4">
      <w:pPr>
        <w:spacing w:after="360" w:afterLines="150"/>
        <w:jc w:val="center"/>
        <w:rPr>
          <w:rFonts w:cs="Arial"/>
          <w:b/>
          <w:color w:val="auto"/>
          <w:sz w:val="30"/>
          <w:szCs w:val="30"/>
          <w:highlight w:val="none"/>
        </w:rPr>
      </w:pPr>
      <w:r>
        <w:rPr>
          <w:rFonts w:hint="eastAsia" w:cs="Arial"/>
          <w:b/>
          <w:color w:val="auto"/>
          <w:sz w:val="30"/>
          <w:szCs w:val="30"/>
          <w:highlight w:val="none"/>
        </w:rPr>
        <w:t>保密协议</w:t>
      </w:r>
    </w:p>
    <w:p w14:paraId="327D0EC4">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鉴于：</w:t>
      </w:r>
    </w:p>
    <w:p w14:paraId="312A891E">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发包人与承包人双方将（或拟）就本项目（以下简称“项目”）开展合作，在此期间双方将接触并知悉彼此的保密信息。为保护双方的保密信息不受侵犯，经协商一致，达成如下协议：</w:t>
      </w:r>
    </w:p>
    <w:p w14:paraId="309D6C36">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第一条  保密信息的范围</w:t>
      </w:r>
    </w:p>
    <w:p w14:paraId="36507F1B">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1.保密信息是指双方各自拥有的，不为公众所知悉，能带来经济利益，具有实用性并经采取保密措施的技术信息和经营信息，也包括被声明要求保密的其他信息。</w:t>
      </w:r>
    </w:p>
    <w:p w14:paraId="01BDC743">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技术信息包括但不限于：技术方案、生产配方、制造方法、检测报告、实验数据、试验结果、工艺流程、技术诀窍、设计图纸等。</w:t>
      </w:r>
    </w:p>
    <w:p w14:paraId="56F64ADD">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经营信息包括但不限于：客户名单、货源情报、产销策略、生产成本、负债情况、重大诉讼、标底标书、行销计划、发展战略、财务资料等。</w:t>
      </w:r>
    </w:p>
    <w:p w14:paraId="397B2560">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上述保密信息双方各自通过书面文件、图片、视频或电子数字等方式向对方提供或披露。</w:t>
      </w:r>
    </w:p>
    <w:p w14:paraId="2FA6CB67">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2.保密信息不包括以下信息：</w:t>
      </w:r>
    </w:p>
    <w:p w14:paraId="2D548CD9">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(1)本协议签署时，已经为公众所知的信息；</w:t>
      </w:r>
    </w:p>
    <w:p w14:paraId="26EBEFC5">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（2）本协议签署后，非对方原因而为公众所知的信息；</w:t>
      </w:r>
    </w:p>
    <w:p w14:paraId="245C2DFC">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（3）双方根据法律规定及政府和监管等有关部门被要求公开的信息；</w:t>
      </w:r>
    </w:p>
    <w:p w14:paraId="51A52187">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（4）经对方书面同意公开的信息。</w:t>
      </w:r>
    </w:p>
    <w:p w14:paraId="3BD89C4B">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第二条  保密信息的使用</w:t>
      </w:r>
    </w:p>
    <w:p w14:paraId="5E8DDA71">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1.双方应使获悉的对方所有保密信息得到最严格的保密，并且除为促进项目发展或本协议允许的用途外，不得使用该等保密信息。</w:t>
      </w:r>
    </w:p>
    <w:p w14:paraId="39EF070E">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在履行上述义务时，双方均应采取不低于与保护其自身保密信息所用措施同样严格的措施，并责成其每一位有可能得到保密信息的董事、雇员或代理人分别就本项目涉及的保密内容签订一份与本协议所列条款同样严格的保密协议。</w:t>
      </w:r>
    </w:p>
    <w:p w14:paraId="71F37374">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2.除非取得对方的书面同意，否则另一方不得将对方的保密信息向第三方披露，不得用于发表文章、申请专利、讲座授课、复制、出版等，不剖析含有对方保密信息的样品等。</w:t>
      </w:r>
    </w:p>
    <w:p w14:paraId="153FC6E7">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3.如果具有司法管辖权的法庭或政府主管部门要求披露对方保密信息，另一方应事先通知对方，使对方能够查验需要披露的保密信息。</w:t>
      </w:r>
    </w:p>
    <w:p w14:paraId="208F17D3">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4.除第一条第2款列举的情形外，一方对另一方的保密信息承担永久保密责任。</w:t>
      </w:r>
    </w:p>
    <w:p w14:paraId="160CD5DC">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第三条  保密信息的所有权</w:t>
      </w:r>
    </w:p>
    <w:p w14:paraId="28F7B6A6">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本协议的任何规定均不得被视为一方向另一方授予任何保密信息的专有权或所有权。</w:t>
      </w:r>
    </w:p>
    <w:p w14:paraId="7A7E8E0C">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第四条  保密载体处理</w:t>
      </w:r>
    </w:p>
    <w:p w14:paraId="07EFCA10">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1.项目合作期满或双方同意提前解除、终止项目合作，双方应在项目合作期满或提前解除、终止后的10天内，将从对方获得的保密信息的物理载体正本及其全部副本退还对方，包括但不限于纸质文件、数据光盘、移动硬盘（含U盘）等。</w:t>
      </w:r>
    </w:p>
    <w:p w14:paraId="28184AC6">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2.对已复制并保存在任一方电脑和档案库的对方保密信息，该方应删除或采取严格保密措施，限定借阅人员。其他复制的纸质文件，若不为存档使用，则应销毁。</w:t>
      </w:r>
    </w:p>
    <w:p w14:paraId="49A56165">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第五条  违约责任</w:t>
      </w:r>
    </w:p>
    <w:p w14:paraId="20C7714D">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任一方如果违反其在本协议项下的义务致使另一方保密信息泄露的，应立即停止侵权，赔偿另一方的全部直接或间接经济损失，并支付违约金5~10万元。</w:t>
      </w:r>
    </w:p>
    <w:p w14:paraId="60177118">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第六条  其他约定</w:t>
      </w:r>
    </w:p>
    <w:p w14:paraId="13B77A3E">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1.任一方在本协议项下的义务对其法定继承人和许可受让人均有约束力。</w:t>
      </w:r>
    </w:p>
    <w:p w14:paraId="10B20DD1">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2.本协议受中华人民共和国的法律管辖，并应依照中华人民共和国的法律解释。如果对本协议的有关事宜有任何争议且协商不成的，任一方可采取在茂名市茂南区人民法院提起诉讼方式解决。</w:t>
      </w:r>
    </w:p>
    <w:p w14:paraId="1F1887A3">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3.除非双方采用书面形式，否则对本协议的任何修改均属无效。</w:t>
      </w:r>
    </w:p>
    <w:p w14:paraId="2E9162E1">
      <w:pPr>
        <w:widowControl/>
        <w:autoSpaceDE w:val="0"/>
        <w:autoSpaceDN w:val="0"/>
        <w:snapToGrid w:val="0"/>
        <w:spacing w:line="560" w:lineRule="atLeast"/>
        <w:ind w:firstLine="480" w:firstLineChars="200"/>
        <w:rPr>
          <w:bCs/>
          <w:color w:val="auto"/>
          <w:highlight w:val="none"/>
          <w:lang w:val="en-GB"/>
        </w:rPr>
      </w:pPr>
      <w:r>
        <w:rPr>
          <w:rFonts w:hint="eastAsia"/>
          <w:bCs/>
          <w:color w:val="auto"/>
          <w:highlight w:val="none"/>
          <w:lang w:val="en-GB"/>
        </w:rPr>
        <w:t>4.本协议自双方签字盖章之日起生效。</w:t>
      </w:r>
    </w:p>
    <w:p w14:paraId="769242A7">
      <w:pPr>
        <w:widowControl/>
        <w:spacing w:line="240" w:lineRule="auto"/>
        <w:jc w:val="left"/>
        <w:rPr>
          <w:color w:val="auto"/>
          <w:highlight w:val="none"/>
        </w:rPr>
      </w:pPr>
      <w:r>
        <w:rPr>
          <w:bCs/>
          <w:color w:val="auto"/>
          <w:highlight w:val="none"/>
          <w:lang w:val="en-GB"/>
        </w:rPr>
        <w:br w:type="page"/>
      </w:r>
      <w:bookmarkStart w:id="1045" w:name="_Toc256000107"/>
      <w:bookmarkStart w:id="1046" w:name="_Toc20413"/>
      <w:r>
        <w:rPr>
          <w:rFonts w:hint="eastAsia"/>
          <w:color w:val="auto"/>
          <w:highlight w:val="none"/>
        </w:rPr>
        <w:t>附件</w:t>
      </w:r>
      <w:r>
        <w:rPr>
          <w:rFonts w:hint="eastAsia"/>
          <w:color w:val="auto"/>
          <w:highlight w:val="none"/>
          <w:lang w:val="en-US" w:eastAsia="zh-CN"/>
        </w:rPr>
        <w:t>9</w:t>
      </w:r>
      <w:r>
        <w:rPr>
          <w:color w:val="auto"/>
          <w:highlight w:val="none"/>
        </w:rPr>
        <w:t>：</w:t>
      </w:r>
      <w:r>
        <w:rPr>
          <w:rFonts w:hint="eastAsia"/>
          <w:color w:val="auto"/>
          <w:highlight w:val="none"/>
        </w:rPr>
        <w:t>承包范围及要求（签订合同时附）</w:t>
      </w:r>
      <w:bookmarkEnd w:id="1045"/>
      <w:bookmarkEnd w:id="1046"/>
    </w:p>
    <w:p w14:paraId="71BC7E8B">
      <w:pPr>
        <w:adjustRightInd w:val="0"/>
        <w:snapToGrid w:val="0"/>
        <w:ind w:firstLine="480" w:firstLineChars="200"/>
        <w:rPr>
          <w:rFonts w:hint="eastAsia"/>
          <w:color w:val="auto"/>
          <w:szCs w:val="32"/>
          <w:highlight w:val="none"/>
          <w:lang w:val="zh-CN"/>
        </w:rPr>
      </w:pPr>
    </w:p>
    <w:p w14:paraId="655A8E78">
      <w:pPr>
        <w:adjustRightInd w:val="0"/>
        <w:snapToGrid w:val="0"/>
        <w:ind w:firstLine="480" w:firstLineChars="200"/>
        <w:rPr>
          <w:rFonts w:hint="default" w:eastAsia="宋体"/>
          <w:color w:val="auto"/>
          <w:highlight w:val="none"/>
          <w:lang w:val="en-US" w:eastAsia="zh-CN"/>
        </w:rPr>
      </w:pPr>
      <w:r>
        <w:rPr>
          <w:rFonts w:hint="eastAsia"/>
          <w:color w:val="auto"/>
          <w:szCs w:val="32"/>
          <w:highlight w:val="none"/>
          <w:lang w:val="zh-CN"/>
        </w:rPr>
        <w:t>茂名石化炼油区域装置（1号石蜡成型、4号石蜡成型【含仓库】、蜡白土及储罐、</w:t>
      </w:r>
      <w:r>
        <w:rPr>
          <w:rFonts w:hint="eastAsia"/>
          <w:color w:val="auto"/>
          <w:szCs w:val="32"/>
          <w:highlight w:val="none"/>
          <w:lang w:val="en-US" w:eastAsia="zh-CN"/>
        </w:rPr>
        <w:t>轻白土</w:t>
      </w:r>
      <w:r>
        <w:rPr>
          <w:rFonts w:hint="eastAsia"/>
          <w:color w:val="auto"/>
          <w:szCs w:val="32"/>
          <w:highlight w:val="none"/>
          <w:lang w:val="zh-CN"/>
        </w:rPr>
        <w:t>【</w:t>
      </w:r>
      <w:r>
        <w:rPr>
          <w:rFonts w:hint="eastAsia"/>
          <w:color w:val="auto"/>
          <w:szCs w:val="32"/>
          <w:highlight w:val="none"/>
          <w:lang w:val="en-US" w:eastAsia="zh-CN"/>
        </w:rPr>
        <w:t>部分</w:t>
      </w:r>
      <w:r>
        <w:rPr>
          <w:rFonts w:hint="eastAsia"/>
          <w:color w:val="auto"/>
          <w:szCs w:val="32"/>
          <w:highlight w:val="none"/>
          <w:lang w:val="zh-CN"/>
        </w:rPr>
        <w:t>】）“拆卖一体”项目</w:t>
      </w:r>
      <w:r>
        <w:rPr>
          <w:rFonts w:hint="eastAsia" w:ascii="宋体" w:hAnsi="宋体" w:eastAsia="宋体"/>
          <w:color w:val="auto"/>
          <w:highlight w:val="none"/>
        </w:rPr>
        <w:t>拆除包含装置全部设施拆除（包括地上</w:t>
      </w:r>
      <w:r>
        <w:rPr>
          <w:rFonts w:hint="eastAsia" w:ascii="宋体" w:hAnsi="宋体"/>
          <w:color w:val="auto"/>
          <w:highlight w:val="none"/>
          <w:lang w:val="en-US" w:eastAsia="zh-CN"/>
        </w:rPr>
        <w:t>及地下</w:t>
      </w:r>
      <w:r>
        <w:rPr>
          <w:rFonts w:hint="eastAsia" w:ascii="宋体" w:hAnsi="宋体" w:eastAsia="宋体"/>
          <w:color w:val="auto"/>
          <w:highlight w:val="none"/>
        </w:rPr>
        <w:t>的静设备、动设备、工艺管道、电气设备、自动化控制与仪表设备、</w:t>
      </w:r>
      <w:r>
        <w:rPr>
          <w:rFonts w:hint="eastAsia" w:ascii="宋体" w:hAnsi="宋体"/>
          <w:color w:val="auto"/>
          <w:highlight w:val="none"/>
          <w:lang w:val="en-US" w:eastAsia="zh-CN"/>
        </w:rPr>
        <w:t>绿化植物、装置至红线外变电所电缆、</w:t>
      </w:r>
      <w:r>
        <w:rPr>
          <w:rFonts w:hint="eastAsia" w:ascii="宋体" w:hAnsi="宋体" w:eastAsia="宋体"/>
          <w:color w:val="auto"/>
          <w:highlight w:val="none"/>
        </w:rPr>
        <w:t>建（构）筑物等），含部分可调剂设备保护性拆除。</w:t>
      </w:r>
      <w:r>
        <w:rPr>
          <w:rFonts w:ascii="宋体" w:hAnsi="宋体" w:eastAsia="宋体" w:cs="宋体"/>
          <w:color w:val="auto"/>
          <w:sz w:val="24"/>
          <w:szCs w:val="24"/>
          <w:highlight w:val="none"/>
        </w:rPr>
        <w:t>地下设施拆除后并进行土方回填，回填（回填密实度达到90％以上）至原地坪标高，达到设置独立施工区域</w:t>
      </w:r>
      <w:r>
        <w:rPr>
          <w:rFonts w:hint="eastAsia" w:ascii="宋体" w:hAnsi="宋体" w:cs="宋体"/>
          <w:color w:val="auto"/>
          <w:sz w:val="24"/>
          <w:szCs w:val="24"/>
          <w:highlight w:val="none"/>
          <w:lang w:val="en-US" w:eastAsia="zh-CN"/>
        </w:rPr>
        <w:t>。</w:t>
      </w:r>
      <w:r>
        <w:rPr>
          <w:rFonts w:hint="eastAsia" w:ascii="宋体" w:hAnsi="宋体" w:eastAsia="宋体"/>
          <w:color w:val="auto"/>
          <w:highlight w:val="none"/>
        </w:rPr>
        <w:t>（2）所有拆除物切割（切割物长不宜超10米、宽不宜超2米、高不宜超2.5米进行管控）、去保温保冷衬里及非金属物资、分类堆放，达到废旧物资回收条件且去功能化。（3）危废统一堆放，由发包人处理；固废由承包商处理，保温保冷衬里等固废由承包商拉至</w:t>
      </w:r>
      <w:r>
        <w:rPr>
          <w:rFonts w:hint="eastAsia" w:ascii="宋体" w:hAnsi="宋体"/>
          <w:color w:val="auto"/>
          <w:highlight w:val="none"/>
          <w:u w:val="single"/>
          <w:lang w:val="en-US" w:eastAsia="zh-CN"/>
        </w:rPr>
        <w:t xml:space="preserve">     </w:t>
      </w:r>
      <w:r>
        <w:rPr>
          <w:rFonts w:hint="eastAsia" w:ascii="宋体" w:hAnsi="宋体" w:eastAsia="宋体"/>
          <w:color w:val="auto"/>
          <w:highlight w:val="none"/>
        </w:rPr>
        <w:t>，混凝土及其它建筑垃圾由承包商进行合法</w:t>
      </w:r>
      <w:r>
        <w:rPr>
          <w:rFonts w:hint="eastAsia" w:ascii="宋体" w:hAnsi="宋体" w:cs="Times New Roman"/>
          <w:color w:val="auto"/>
          <w:kern w:val="2"/>
          <w:sz w:val="21"/>
          <w:szCs w:val="21"/>
          <w:highlight w:val="none"/>
        </w:rPr>
        <w:t>处置</w:t>
      </w:r>
      <w:r>
        <w:rPr>
          <w:rFonts w:hint="eastAsia" w:ascii="宋体" w:hAnsi="宋体" w:eastAsia="宋体"/>
          <w:color w:val="auto"/>
          <w:highlight w:val="none"/>
        </w:rPr>
        <w:t>。</w:t>
      </w:r>
      <w:r>
        <w:rPr>
          <w:rFonts w:ascii="宋体" w:hAnsi="宋体" w:eastAsia="宋体"/>
          <w:bCs/>
          <w:color w:val="auto"/>
          <w:highlight w:val="none"/>
        </w:rPr>
        <w:t>所有拆除物废旧物资处置。</w:t>
      </w:r>
    </w:p>
    <w:p w14:paraId="58D83EC5">
      <w:pPr>
        <w:keepNext w:val="0"/>
        <w:keepLines w:val="0"/>
        <w:ind w:firstLine="480" w:firstLineChars="200"/>
        <w:outlineLvl w:val="9"/>
        <w:rPr>
          <w:b w:val="0"/>
          <w:bCs w:val="0"/>
          <w:color w:val="auto"/>
          <w:highlight w:val="none"/>
        </w:rPr>
      </w:pPr>
      <w:r>
        <w:rPr>
          <w:b w:val="0"/>
          <w:bCs w:val="0"/>
          <w:color w:val="auto"/>
          <w:highlight w:val="none"/>
        </w:rPr>
        <w:t>1.</w:t>
      </w:r>
      <w:r>
        <w:rPr>
          <w:rFonts w:hint="eastAsia"/>
          <w:b w:val="0"/>
          <w:bCs w:val="0"/>
          <w:color w:val="auto"/>
          <w:highlight w:val="none"/>
        </w:rPr>
        <w:t>拆除要求</w:t>
      </w:r>
    </w:p>
    <w:p w14:paraId="39C26DFA">
      <w:pPr>
        <w:ind w:firstLine="480" w:firstLineChars="200"/>
        <w:rPr>
          <w:rFonts w:hint="eastAsia" w:ascii="宋体" w:hAnsi="宋体" w:eastAsia="宋体"/>
          <w:color w:val="auto"/>
          <w:highlight w:val="none"/>
        </w:rPr>
      </w:pPr>
      <w:r>
        <w:rPr>
          <w:color w:val="auto"/>
          <w:highlight w:val="none"/>
        </w:rPr>
        <w:t>1.1</w:t>
      </w:r>
      <w:r>
        <w:rPr>
          <w:rFonts w:hint="eastAsia" w:ascii="宋体" w:hAnsi="宋体"/>
          <w:color w:val="auto"/>
          <w:highlight w:val="none"/>
          <w:lang w:eastAsia="zh-CN"/>
        </w:rPr>
        <w:t>茂名石化炼油区域装置（</w:t>
      </w:r>
      <w:r>
        <w:rPr>
          <w:rFonts w:hint="eastAsia"/>
          <w:color w:val="auto"/>
          <w:szCs w:val="32"/>
          <w:highlight w:val="none"/>
          <w:lang w:val="zh-CN"/>
        </w:rPr>
        <w:t>1号石蜡成型、4号石蜡成型【含仓库】、蜡白土及储罐</w:t>
      </w:r>
      <w:r>
        <w:rPr>
          <w:rFonts w:hint="eastAsia" w:ascii="宋体" w:hAnsi="宋体"/>
          <w:color w:val="auto"/>
          <w:highlight w:val="none"/>
          <w:lang w:eastAsia="zh-CN"/>
        </w:rPr>
        <w:t>、</w:t>
      </w:r>
      <w:r>
        <w:rPr>
          <w:rFonts w:hint="eastAsia" w:ascii="宋体" w:hAnsi="宋体"/>
          <w:color w:val="auto"/>
          <w:highlight w:val="none"/>
          <w:lang w:val="en-US" w:eastAsia="zh-CN"/>
        </w:rPr>
        <w:t>轻白土【部分】</w:t>
      </w:r>
      <w:r>
        <w:rPr>
          <w:rFonts w:hint="eastAsia" w:ascii="宋体" w:hAnsi="宋体"/>
          <w:color w:val="auto"/>
          <w:highlight w:val="none"/>
          <w:lang w:eastAsia="zh-CN"/>
        </w:rPr>
        <w:t>）</w:t>
      </w:r>
      <w:r>
        <w:rPr>
          <w:color w:val="auto"/>
          <w:highlight w:val="none"/>
        </w:rPr>
        <w:t>原有设施的拆除，</w:t>
      </w:r>
      <w:r>
        <w:rPr>
          <w:rFonts w:hint="eastAsia" w:ascii="宋体" w:hAnsi="宋体" w:eastAsia="宋体"/>
          <w:color w:val="auto"/>
          <w:highlight w:val="none"/>
        </w:rPr>
        <w:t>包括区域内所有建筑物、构筑物（包括地下障碍物及地上附着物）、设备、围墙、道路、地坪、绿化、管架、管线及相应配套的电仪设施、水沟等，不含地下桩,以及拆除后的建筑垃圾清理运输、场地平整。具体范围及内容详见采购人提供的平面图和界区交底标识。</w:t>
      </w:r>
    </w:p>
    <w:p w14:paraId="13698D3D">
      <w:pPr>
        <w:ind w:firstLine="480" w:firstLineChars="200"/>
        <w:rPr>
          <w:color w:val="auto"/>
          <w:highlight w:val="none"/>
        </w:rPr>
      </w:pPr>
      <w:r>
        <w:rPr>
          <w:color w:val="auto"/>
          <w:highlight w:val="none"/>
        </w:rPr>
        <w:t>1.2</w:t>
      </w:r>
      <w:r>
        <w:rPr>
          <w:rFonts w:hint="eastAsia"/>
          <w:color w:val="auto"/>
          <w:highlight w:val="none"/>
        </w:rPr>
        <w:t>保护性拆（搬）迁具体范围及内容详见采购人提供的《保护性拆除清单》。</w:t>
      </w:r>
    </w:p>
    <w:p w14:paraId="564E5E59">
      <w:pPr>
        <w:tabs>
          <w:tab w:val="left" w:pos="5320"/>
        </w:tabs>
        <w:ind w:firstLine="480" w:firstLineChars="200"/>
        <w:rPr>
          <w:color w:val="auto"/>
          <w:highlight w:val="none"/>
        </w:rPr>
      </w:pPr>
      <w:r>
        <w:rPr>
          <w:color w:val="auto"/>
          <w:highlight w:val="none"/>
        </w:rPr>
        <w:t>1.3拆除</w:t>
      </w:r>
      <w:r>
        <w:rPr>
          <w:rFonts w:hint="eastAsia"/>
          <w:color w:val="auto"/>
          <w:highlight w:val="none"/>
        </w:rPr>
        <w:t>拆除工程技术要求、拆除物处理及外运要求如下：</w:t>
      </w:r>
    </w:p>
    <w:p w14:paraId="3F0156CA">
      <w:pPr>
        <w:ind w:firstLine="480" w:firstLineChars="200"/>
        <w:rPr>
          <w:color w:val="auto"/>
          <w:highlight w:val="none"/>
        </w:rPr>
      </w:pPr>
      <w:r>
        <w:rPr>
          <w:rFonts w:hint="eastAsia"/>
          <w:color w:val="auto"/>
          <w:highlight w:val="none"/>
        </w:rPr>
        <w:t>①保护性拆除的设备要求整体拆除，拆除的设备必须完好，不得损坏，否则由承包</w:t>
      </w:r>
      <w:r>
        <w:rPr>
          <w:color w:val="auto"/>
          <w:highlight w:val="none"/>
        </w:rPr>
        <w:t>人</w:t>
      </w:r>
      <w:r>
        <w:rPr>
          <w:rFonts w:hint="eastAsia"/>
          <w:color w:val="auto"/>
          <w:highlight w:val="none"/>
        </w:rPr>
        <w:t>承担责任，并负责搬运至指定地点（运距约</w:t>
      </w:r>
      <w:r>
        <w:rPr>
          <w:rFonts w:hint="eastAsia"/>
          <w:color w:val="auto"/>
          <w:highlight w:val="none"/>
          <w:lang w:eastAsia="zh-CN"/>
        </w:rPr>
        <w:t>2-19</w:t>
      </w:r>
      <w:r>
        <w:rPr>
          <w:color w:val="auto"/>
          <w:highlight w:val="none"/>
        </w:rPr>
        <w:t>km</w:t>
      </w:r>
      <w:r>
        <w:rPr>
          <w:rFonts w:hint="eastAsia"/>
          <w:color w:val="auto"/>
          <w:highlight w:val="none"/>
        </w:rPr>
        <w:t>）。</w:t>
      </w:r>
    </w:p>
    <w:p w14:paraId="0E1EE78D">
      <w:pPr>
        <w:ind w:firstLine="480" w:firstLineChars="200"/>
        <w:rPr>
          <w:color w:val="auto"/>
          <w:highlight w:val="none"/>
        </w:rPr>
      </w:pPr>
      <w:r>
        <w:rPr>
          <w:color w:val="auto"/>
          <w:highlight w:val="none"/>
        </w:rPr>
        <w:t>②</w:t>
      </w:r>
      <w:r>
        <w:rPr>
          <w:rFonts w:hint="eastAsia"/>
          <w:color w:val="auto"/>
          <w:highlight w:val="none"/>
        </w:rPr>
        <w:t>破坏性拆除的有回收价值设备、设施，应按发包人要求进行切割，清理干净其中保温、保冷材料及塑料内衬等没有回收价值废料，再搬运到发包人指定地点分类堆放（如：碳钢、</w:t>
      </w:r>
      <w:r>
        <w:rPr>
          <w:color w:val="auto"/>
          <w:highlight w:val="none"/>
        </w:rPr>
        <w:t>304不锈钢、316不锈钢、铝皮及铜等不同价值物资），且施工方案必须经</w:t>
      </w:r>
      <w:r>
        <w:rPr>
          <w:rFonts w:hint="eastAsia"/>
          <w:color w:val="auto"/>
          <w:highlight w:val="none"/>
        </w:rPr>
        <w:t>发包</w:t>
      </w:r>
      <w:r>
        <w:rPr>
          <w:color w:val="auto"/>
          <w:highlight w:val="none"/>
        </w:rPr>
        <w:t>人审核批准。其中，杂钢（含平台、</w:t>
      </w:r>
      <w:r>
        <w:rPr>
          <w:rFonts w:hint="eastAsia"/>
          <w:color w:val="auto"/>
          <w:highlight w:val="none"/>
        </w:rPr>
        <w:t>管线等）必须切割成</w:t>
      </w:r>
      <w:r>
        <w:rPr>
          <w:rFonts w:ascii="宋体" w:hAnsi="宋体"/>
          <w:color w:val="auto"/>
          <w:highlight w:val="none"/>
        </w:rPr>
        <w:t>长10米、宽2米、高2.5米</w:t>
      </w:r>
      <w:r>
        <w:rPr>
          <w:rFonts w:hint="eastAsia" w:ascii="宋体" w:hAnsi="宋体"/>
          <w:color w:val="auto"/>
          <w:highlight w:val="none"/>
        </w:rPr>
        <w:t>以内</w:t>
      </w:r>
      <w:r>
        <w:rPr>
          <w:color w:val="auto"/>
          <w:highlight w:val="none"/>
        </w:rPr>
        <w:t>；</w:t>
      </w:r>
      <w:r>
        <w:rPr>
          <w:rFonts w:hint="eastAsia"/>
          <w:color w:val="auto"/>
          <w:highlight w:val="none"/>
        </w:rPr>
        <w:t>换热器、压力容器</w:t>
      </w:r>
      <w:r>
        <w:rPr>
          <w:color w:val="auto"/>
          <w:highlight w:val="none"/>
        </w:rPr>
        <w:t>，必须拆除</w:t>
      </w:r>
      <w:r>
        <w:rPr>
          <w:rFonts w:hint="eastAsia"/>
          <w:color w:val="auto"/>
          <w:highlight w:val="none"/>
        </w:rPr>
        <w:t>铭牌，开一个150mm</w:t>
      </w:r>
      <w:r>
        <w:rPr>
          <w:color w:val="auto"/>
          <w:highlight w:val="none"/>
        </w:rPr>
        <w:t>x</w:t>
      </w:r>
      <w:r>
        <w:rPr>
          <w:rFonts w:hint="eastAsia"/>
          <w:color w:val="auto"/>
          <w:highlight w:val="none"/>
        </w:rPr>
        <w:t>150mm的囗，并按杂钢尺寸要求进行切割</w:t>
      </w:r>
      <w:r>
        <w:rPr>
          <w:color w:val="auto"/>
          <w:highlight w:val="none"/>
        </w:rPr>
        <w:t>。</w:t>
      </w:r>
      <w:r>
        <w:rPr>
          <w:rFonts w:hint="eastAsia"/>
          <w:color w:val="auto"/>
          <w:highlight w:val="none"/>
        </w:rPr>
        <w:t>本标段承包人</w:t>
      </w:r>
      <w:r>
        <w:rPr>
          <w:color w:val="auto"/>
          <w:highlight w:val="none"/>
        </w:rPr>
        <w:t>要</w:t>
      </w:r>
      <w:r>
        <w:rPr>
          <w:rFonts w:hint="eastAsia"/>
          <w:color w:val="auto"/>
          <w:highlight w:val="none"/>
        </w:rPr>
        <w:t>对吹扫、清洗</w:t>
      </w:r>
      <w:r>
        <w:rPr>
          <w:color w:val="auto"/>
          <w:highlight w:val="none"/>
        </w:rPr>
        <w:t>不彻底</w:t>
      </w:r>
      <w:r>
        <w:rPr>
          <w:rFonts w:hint="eastAsia"/>
          <w:color w:val="auto"/>
          <w:highlight w:val="none"/>
        </w:rPr>
        <w:t>的</w:t>
      </w:r>
      <w:r>
        <w:rPr>
          <w:color w:val="auto"/>
          <w:highlight w:val="none"/>
        </w:rPr>
        <w:t>压力容器、换热器进行清理</w:t>
      </w:r>
      <w:r>
        <w:rPr>
          <w:rFonts w:hint="eastAsia"/>
          <w:color w:val="auto"/>
          <w:highlight w:val="none"/>
        </w:rPr>
        <w:t>；含油设备必须放干净油。其他在处置商提货时遇到的超长、超宽及超高等问题，也由本拆除工程的承包人负责处理。承包人</w:t>
      </w:r>
      <w:r>
        <w:rPr>
          <w:color w:val="auto"/>
          <w:highlight w:val="none"/>
        </w:rPr>
        <w:t>要按照经</w:t>
      </w:r>
      <w:r>
        <w:rPr>
          <w:rFonts w:hint="eastAsia"/>
          <w:color w:val="auto"/>
          <w:highlight w:val="none"/>
        </w:rPr>
        <w:t>发包</w:t>
      </w:r>
      <w:r>
        <w:rPr>
          <w:color w:val="auto"/>
          <w:highlight w:val="none"/>
        </w:rPr>
        <w:t>人审核批准的施工方案</w:t>
      </w:r>
      <w:r>
        <w:rPr>
          <w:rFonts w:hint="eastAsia"/>
          <w:color w:val="auto"/>
          <w:highlight w:val="none"/>
        </w:rPr>
        <w:t>在发包人指定地点</w:t>
      </w:r>
      <w:r>
        <w:rPr>
          <w:color w:val="auto"/>
          <w:highlight w:val="none"/>
        </w:rPr>
        <w:t>实施动火</w:t>
      </w:r>
      <w:r>
        <w:rPr>
          <w:rFonts w:hint="eastAsia"/>
          <w:color w:val="auto"/>
          <w:highlight w:val="none"/>
        </w:rPr>
        <w:t>开口</w:t>
      </w:r>
      <w:r>
        <w:rPr>
          <w:color w:val="auto"/>
          <w:highlight w:val="none"/>
        </w:rPr>
        <w:t>作业，在此过程中产生的相关费用已包含在本标段</w:t>
      </w:r>
      <w:r>
        <w:rPr>
          <w:rFonts w:hint="eastAsia"/>
          <w:color w:val="auto"/>
          <w:highlight w:val="none"/>
        </w:rPr>
        <w:t>响应</w:t>
      </w:r>
      <w:r>
        <w:rPr>
          <w:color w:val="auto"/>
          <w:highlight w:val="none"/>
        </w:rPr>
        <w:t>报价内。</w:t>
      </w:r>
    </w:p>
    <w:p w14:paraId="605FD90B">
      <w:pPr>
        <w:snapToGrid w:val="0"/>
        <w:spacing w:before="60" w:after="60"/>
        <w:ind w:left="130" w:leftChars="54" w:firstLine="480" w:firstLineChars="200"/>
        <w:rPr>
          <w:rFonts w:hint="eastAsia" w:eastAsia="宋体"/>
          <w:color w:val="auto"/>
          <w:highlight w:val="none"/>
        </w:rPr>
      </w:pPr>
      <w:r>
        <w:rPr>
          <w:rFonts w:hint="eastAsia"/>
          <w:color w:val="auto"/>
          <w:highlight w:val="none"/>
        </w:rPr>
        <w:t>③</w:t>
      </w:r>
      <w:r>
        <w:rPr>
          <w:rFonts w:hint="eastAsia" w:eastAsia="宋体"/>
          <w:color w:val="auto"/>
          <w:highlight w:val="none"/>
        </w:rPr>
        <w:t>建构筑物整体拆除</w:t>
      </w:r>
      <w:r>
        <w:rPr>
          <w:rFonts w:eastAsia="宋体"/>
          <w:color w:val="auto"/>
          <w:highlight w:val="none"/>
        </w:rPr>
        <w:t>(</w:t>
      </w:r>
      <w:r>
        <w:rPr>
          <w:rFonts w:hint="eastAsia" w:eastAsia="宋体"/>
          <w:color w:val="auto"/>
          <w:highlight w:val="none"/>
        </w:rPr>
        <w:t>含基础及垫层</w:t>
      </w:r>
      <w:r>
        <w:rPr>
          <w:rFonts w:eastAsia="宋体"/>
          <w:color w:val="auto"/>
          <w:highlight w:val="none"/>
        </w:rPr>
        <w:t>)</w:t>
      </w:r>
      <w:r>
        <w:rPr>
          <w:rFonts w:hint="eastAsia" w:eastAsia="宋体"/>
          <w:color w:val="auto"/>
          <w:highlight w:val="none"/>
        </w:rPr>
        <w:t>，保留原有桩基钢筋。设备、框架及其基础等拆除至桩顶标高（基础拆干净），基桩不拆除。拆除地上建、构筑物后需要完成地下清障，地下清障内容主要是地下基础结构（包括基础承台）及地下废弃的管线等设施（其中地下废弃管线等设施拆除前，需经甲方提前确认后方可实施）。应拆除新建装置区域内的旧有基础承台至原基底标高处，桩头锚入原有基础承台的钢筋应予以保留，切勿切断，桩头混凝土暂不作处理，待新基础承台施工时视具体情况再作处理。</w:t>
      </w:r>
    </w:p>
    <w:p w14:paraId="69613400">
      <w:pPr>
        <w:snapToGrid w:val="0"/>
        <w:spacing w:before="60" w:after="60"/>
        <w:ind w:left="130" w:leftChars="54" w:firstLine="480" w:firstLineChars="200"/>
        <w:rPr>
          <w:rFonts w:hint="eastAsia" w:eastAsia="宋体"/>
          <w:color w:val="auto"/>
          <w:highlight w:val="none"/>
        </w:rPr>
      </w:pPr>
      <w:r>
        <w:rPr>
          <w:rFonts w:hint="eastAsia" w:eastAsia="宋体"/>
          <w:color w:val="auto"/>
          <w:highlight w:val="none"/>
        </w:rPr>
        <w:t>④道路、地坪拆除（含毛石层）。</w:t>
      </w:r>
    </w:p>
    <w:p w14:paraId="33E77CEE">
      <w:pPr>
        <w:snapToGrid w:val="0"/>
        <w:spacing w:before="60" w:after="60"/>
        <w:ind w:left="130" w:leftChars="54" w:firstLine="480" w:firstLineChars="200"/>
        <w:rPr>
          <w:color w:val="auto"/>
          <w:highlight w:val="none"/>
        </w:rPr>
      </w:pPr>
      <w:r>
        <w:rPr>
          <w:rFonts w:hint="eastAsia"/>
          <w:color w:val="auto"/>
          <w:highlight w:val="none"/>
        </w:rPr>
        <w:t>⑤拆除区域范围内在用的电缆、管线，要做好防护保护措施，不得损坏。建构筑物中的钢结构、管线、配件等分类堆放至发包人指定的地点。</w:t>
      </w:r>
    </w:p>
    <w:p w14:paraId="1E09EE52">
      <w:pPr>
        <w:snapToGrid w:val="0"/>
        <w:spacing w:before="60" w:after="60"/>
        <w:ind w:left="130" w:leftChars="54" w:firstLine="480" w:firstLineChars="200"/>
        <w:rPr>
          <w:rFonts w:hint="eastAsia" w:eastAsia="宋体"/>
          <w:color w:val="auto"/>
          <w:highlight w:val="none"/>
        </w:rPr>
      </w:pPr>
      <w:r>
        <w:rPr>
          <w:rFonts w:hint="eastAsia" w:eastAsia="宋体"/>
          <w:color w:val="auto"/>
          <w:highlight w:val="none"/>
        </w:rPr>
        <w:t>⑥全部建构筑物、道路、地坪拆除后需回填并就地平整。回填前承包人进行自检，确保拆除干净后，在回填前48小时以书面形式通知发包人现场代表及监理工程师验收。通知包括验收的内容、验收时间和地点。承包人准备验收记录，验收合格，发包人现场代表在验收记录上签字后，承包人可进行回填。验收不合格，承包人在限定的时间内整改后重新验收。</w:t>
      </w:r>
    </w:p>
    <w:p w14:paraId="38E3D1B7">
      <w:pPr>
        <w:snapToGrid w:val="0"/>
        <w:spacing w:before="60" w:after="60"/>
        <w:ind w:left="130" w:leftChars="54" w:firstLine="480" w:firstLineChars="200"/>
        <w:rPr>
          <w:color w:val="auto"/>
          <w:highlight w:val="none"/>
        </w:rPr>
      </w:pPr>
      <w:r>
        <w:rPr>
          <w:rFonts w:hint="eastAsia"/>
          <w:color w:val="auto"/>
          <w:highlight w:val="none"/>
        </w:rPr>
        <w:t>⑦除需回收的设备材料外，其它拆除物及场内垃圾、杂物均需外运排弃，排弃点由承包</w:t>
      </w:r>
      <w:r>
        <w:rPr>
          <w:color w:val="auto"/>
          <w:highlight w:val="none"/>
        </w:rPr>
        <w:t>人</w:t>
      </w:r>
      <w:r>
        <w:rPr>
          <w:rFonts w:hint="eastAsia"/>
          <w:color w:val="auto"/>
          <w:highlight w:val="none"/>
        </w:rPr>
        <w:t>自行选定。排弃点必须符合茂名市地方政府的有关规定，办理有允许堆放的有关手续</w:t>
      </w:r>
      <w:r>
        <w:rPr>
          <w:color w:val="auto"/>
          <w:highlight w:val="none"/>
        </w:rPr>
        <w:t>,</w:t>
      </w:r>
      <w:r>
        <w:rPr>
          <w:rFonts w:hint="eastAsia"/>
          <w:color w:val="auto"/>
          <w:highlight w:val="none"/>
        </w:rPr>
        <w:t>不污染环境，自行协调解决拆除物堆放点的工农关系。</w:t>
      </w:r>
    </w:p>
    <w:p w14:paraId="75F2122A">
      <w:pPr>
        <w:snapToGrid w:val="0"/>
        <w:spacing w:before="60" w:after="60"/>
        <w:ind w:left="130" w:leftChars="54" w:firstLine="480" w:firstLineChars="200"/>
        <w:rPr>
          <w:color w:val="auto"/>
          <w:highlight w:val="none"/>
        </w:rPr>
      </w:pPr>
      <w:r>
        <w:rPr>
          <w:rFonts w:hint="eastAsia"/>
          <w:color w:val="auto"/>
          <w:highlight w:val="none"/>
        </w:rPr>
        <w:t>⑧建构筑物、基础中拆出的钢筋、埋件由承包</w:t>
      </w:r>
      <w:r>
        <w:rPr>
          <w:color w:val="auto"/>
          <w:highlight w:val="none"/>
        </w:rPr>
        <w:t>人</w:t>
      </w:r>
      <w:r>
        <w:rPr>
          <w:rFonts w:hint="eastAsia"/>
          <w:color w:val="auto"/>
          <w:highlight w:val="none"/>
        </w:rPr>
        <w:t>自行处理。</w:t>
      </w:r>
    </w:p>
    <w:p w14:paraId="7744A6B6">
      <w:pPr>
        <w:snapToGrid w:val="0"/>
        <w:spacing w:before="60" w:after="60"/>
        <w:ind w:left="130" w:leftChars="54" w:firstLine="480" w:firstLineChars="200"/>
        <w:rPr>
          <w:color w:val="auto"/>
          <w:kern w:val="2"/>
          <w:sz w:val="24"/>
          <w:highlight w:val="none"/>
        </w:rPr>
      </w:pPr>
      <w:r>
        <w:rPr>
          <w:rFonts w:hint="eastAsia" w:ascii="宋体" w:hAnsi="宋体" w:cs="宋体"/>
          <w:color w:val="auto"/>
          <w:highlight w:val="none"/>
        </w:rPr>
        <w:t>⑨</w:t>
      </w:r>
      <w:r>
        <w:rPr>
          <w:rFonts w:hint="eastAsia"/>
          <w:color w:val="auto"/>
          <w:highlight w:val="none"/>
        </w:rPr>
        <w:t>区域内绿化砍伐须按分公司安全环保部的规定办理有关手续，砍伐的树木承包人自行处理。</w:t>
      </w:r>
    </w:p>
    <w:p w14:paraId="00548026">
      <w:pPr>
        <w:snapToGrid w:val="0"/>
        <w:spacing w:before="60" w:after="60"/>
        <w:ind w:left="130" w:leftChars="54" w:firstLine="480" w:firstLineChars="200"/>
        <w:rPr>
          <w:color w:val="auto"/>
          <w:highlight w:val="none"/>
        </w:rPr>
      </w:pPr>
      <w:r>
        <w:rPr>
          <w:rFonts w:hint="eastAsia" w:ascii="宋体" w:hAnsi="宋体" w:eastAsia="宋体" w:cs="宋体"/>
          <w:color w:val="auto"/>
          <w:highlight w:val="none"/>
        </w:rPr>
        <w:t>⑩现</w:t>
      </w:r>
      <w:r>
        <w:rPr>
          <w:rFonts w:hint="eastAsia"/>
          <w:color w:val="auto"/>
          <w:highlight w:val="none"/>
        </w:rPr>
        <w:t>场拆除物装车均由拆除施工承包人负责。</w:t>
      </w:r>
    </w:p>
    <w:p w14:paraId="50013EBD">
      <w:pPr>
        <w:snapToGrid w:val="0"/>
        <w:spacing w:before="60" w:after="60"/>
        <w:ind w:left="130" w:leftChars="54" w:firstLine="480" w:firstLineChars="200"/>
        <w:rPr>
          <w:color w:val="auto"/>
          <w:highlight w:val="none"/>
        </w:rPr>
      </w:pPr>
      <w:r>
        <w:rPr>
          <w:color w:val="auto"/>
          <w:highlight w:val="none"/>
        </w:rPr>
        <w:t>1.4拆除清单</w:t>
      </w:r>
      <w:r>
        <w:rPr>
          <w:rFonts w:hint="eastAsia"/>
          <w:color w:val="auto"/>
          <w:highlight w:val="none"/>
        </w:rPr>
        <w:t>所列的拆除工程量，供报价时作为参考，不作为承包商履行合同规定义务过程应完成的实际准确工程量，</w:t>
      </w:r>
      <w:r>
        <w:rPr>
          <w:color w:val="auto"/>
          <w:highlight w:val="none"/>
        </w:rPr>
        <w:t>拆除清单</w:t>
      </w:r>
      <w:r>
        <w:rPr>
          <w:rFonts w:hint="eastAsia"/>
          <w:color w:val="auto"/>
          <w:highlight w:val="none"/>
        </w:rPr>
        <w:t>中的任何错误及遗漏都不能免除承包人中标后根据红线范围施工图对整个工程的任何部分履行的义务和履行合同的责任</w:t>
      </w:r>
      <w:r>
        <w:rPr>
          <w:color w:val="auto"/>
          <w:highlight w:val="none"/>
        </w:rPr>
        <w:t>，拆除部分固定总价不因拆除红线范围内具体工程量的变化调整</w:t>
      </w:r>
      <w:r>
        <w:rPr>
          <w:rFonts w:hint="eastAsia"/>
          <w:color w:val="auto"/>
          <w:highlight w:val="none"/>
        </w:rPr>
        <w:t>。</w:t>
      </w:r>
    </w:p>
    <w:p w14:paraId="3FEA5A19">
      <w:pPr>
        <w:ind w:firstLine="480" w:firstLineChars="200"/>
        <w:rPr>
          <w:rFonts w:cs="Arial"/>
          <w:color w:val="auto"/>
          <w:highlight w:val="none"/>
        </w:rPr>
      </w:pPr>
      <w:r>
        <w:rPr>
          <w:rFonts w:cs="Arial"/>
          <w:color w:val="auto"/>
          <w:highlight w:val="none"/>
        </w:rPr>
        <w:t>(二)各专业分包的工作界面划分：</w:t>
      </w:r>
    </w:p>
    <w:p w14:paraId="33BE2E9C">
      <w:pPr>
        <w:ind w:firstLine="480"/>
        <w:rPr>
          <w:rFonts w:cs="Arial"/>
          <w:color w:val="auto"/>
          <w:highlight w:val="none"/>
        </w:rPr>
      </w:pPr>
      <w:r>
        <w:rPr>
          <w:rFonts w:hint="eastAsia" w:cs="Arial"/>
          <w:color w:val="auto"/>
          <w:highlight w:val="none"/>
        </w:rPr>
        <w:t>拆除物资的切割工作由拆除本施工承包人负责，</w:t>
      </w:r>
      <w:r>
        <w:rPr>
          <w:rFonts w:hint="eastAsia" w:cs="Arial"/>
          <w:color w:val="auto"/>
          <w:highlight w:val="none"/>
          <w:lang w:val="en-US" w:eastAsia="zh-CN"/>
        </w:rPr>
        <w:t>若中标人为联合体，拆除方</w:t>
      </w:r>
      <w:r>
        <w:rPr>
          <w:rFonts w:hint="eastAsia" w:cs="Arial"/>
          <w:color w:val="auto"/>
          <w:highlight w:val="none"/>
        </w:rPr>
        <w:t>与废旧物资处置商双方可约定具体切割要求，但需符合《茂名石化交通安全管理细则》的运输要求。如双方未进行约定，应符合发包人对拆除物的切割要求。</w:t>
      </w:r>
    </w:p>
    <w:p w14:paraId="1C5CD3B4">
      <w:pPr>
        <w:ind w:firstLine="480"/>
        <w:rPr>
          <w:rFonts w:cs="Arial"/>
          <w:color w:val="auto"/>
          <w:highlight w:val="none"/>
        </w:rPr>
      </w:pPr>
      <w:bookmarkStart w:id="1047" w:name="_Toc43826852"/>
      <w:bookmarkStart w:id="1048" w:name="_Toc90117831"/>
      <w:bookmarkStart w:id="1049" w:name="_Toc489094535"/>
      <w:r>
        <w:rPr>
          <w:rFonts w:hint="eastAsia" w:cs="Arial"/>
          <w:color w:val="auto"/>
          <w:highlight w:val="none"/>
        </w:rPr>
        <w:t>本工程承包人与废旧物资处置商之间应相互配合，做到随拆随拉，因双方不配合造成二次转运的费用</w:t>
      </w:r>
      <w:r>
        <w:rPr>
          <w:rFonts w:cs="Arial"/>
          <w:color w:val="auto"/>
          <w:highlight w:val="none"/>
        </w:rPr>
        <w:t>(以实际产生的费用为准)和场地占用费</w:t>
      </w:r>
      <w:r>
        <w:rPr>
          <w:rFonts w:hint="eastAsia" w:cs="Arial"/>
          <w:color w:val="auto"/>
          <w:highlight w:val="none"/>
        </w:rPr>
        <w:t>，发包人不予支付。</w:t>
      </w:r>
    </w:p>
    <w:p w14:paraId="3052EA72">
      <w:pPr>
        <w:widowControl/>
        <w:spacing w:line="240" w:lineRule="auto"/>
        <w:jc w:val="left"/>
        <w:rPr>
          <w:color w:val="auto"/>
          <w:highlight w:val="none"/>
        </w:rPr>
      </w:pPr>
      <w:r>
        <w:rPr>
          <w:rFonts w:ascii="黑体" w:eastAsia="黑体" w:cs="Arial"/>
          <w:color w:val="auto"/>
          <w:szCs w:val="20"/>
          <w:highlight w:val="none"/>
        </w:rPr>
        <w:br w:type="page"/>
      </w:r>
      <w:bookmarkStart w:id="1050" w:name="_Toc1767328616"/>
      <w:bookmarkStart w:id="1051" w:name="_Toc900975734"/>
      <w:bookmarkStart w:id="1052" w:name="_Toc23182"/>
      <w:bookmarkStart w:id="1053" w:name="_Toc119953775"/>
      <w:bookmarkStart w:id="1054" w:name="_Toc256000110"/>
      <w:r>
        <w:rPr>
          <w:rFonts w:hint="eastAsia"/>
          <w:color w:val="auto"/>
          <w:highlight w:val="none"/>
        </w:rPr>
        <w:t>附件</w:t>
      </w:r>
      <w:r>
        <w:rPr>
          <w:color w:val="auto"/>
          <w:highlight w:val="none"/>
        </w:rPr>
        <w:t>1</w:t>
      </w:r>
      <w:r>
        <w:rPr>
          <w:rFonts w:hint="eastAsia"/>
          <w:color w:val="auto"/>
          <w:highlight w:val="none"/>
          <w:lang w:val="en-US" w:eastAsia="zh-CN"/>
        </w:rPr>
        <w:t>0</w:t>
      </w:r>
      <w:r>
        <w:rPr>
          <w:rFonts w:hint="eastAsia"/>
          <w:color w:val="auto"/>
          <w:highlight w:val="none"/>
        </w:rPr>
        <w:t>：</w:t>
      </w:r>
      <w:bookmarkEnd w:id="1047"/>
      <w:bookmarkEnd w:id="1050"/>
      <w:bookmarkEnd w:id="1051"/>
      <w:r>
        <w:rPr>
          <w:rFonts w:hint="eastAsia"/>
          <w:color w:val="auto"/>
          <w:highlight w:val="none"/>
        </w:rPr>
        <w:t>HSE管理协议</w:t>
      </w:r>
      <w:bookmarkEnd w:id="1052"/>
      <w:bookmarkEnd w:id="1053"/>
      <w:bookmarkEnd w:id="1054"/>
    </w:p>
    <w:p w14:paraId="2059A08E">
      <w:pPr>
        <w:jc w:val="center"/>
        <w:rPr>
          <w:rFonts w:hint="eastAsia"/>
          <w:color w:val="auto"/>
          <w:highlight w:val="none"/>
        </w:rPr>
      </w:pPr>
    </w:p>
    <w:p w14:paraId="1DBF00BA">
      <w:pPr>
        <w:jc w:val="center"/>
        <w:rPr>
          <w:color w:val="auto"/>
          <w:highlight w:val="none"/>
        </w:rPr>
      </w:pPr>
      <w:r>
        <w:rPr>
          <w:rFonts w:hint="eastAsia"/>
          <w:color w:val="auto"/>
          <w:highlight w:val="none"/>
        </w:rPr>
        <w:t>HSE管理协议</w:t>
      </w:r>
    </w:p>
    <w:p w14:paraId="234BE9B2">
      <w:pPr>
        <w:snapToGrid w:val="0"/>
        <w:ind w:firstLine="420" w:firstLineChars="200"/>
        <w:rPr>
          <w:rFonts w:eastAsia="仿宋_GB2312"/>
          <w:color w:val="auto"/>
          <w:sz w:val="28"/>
          <w:highlight w:val="none"/>
        </w:rPr>
      </w:pPr>
      <w:r>
        <w:rPr>
          <w:rFonts w:hint="eastAsia" w:cs="Arial"/>
          <w:color w:val="auto"/>
          <w:sz w:val="21"/>
          <w:highlight w:val="none"/>
        </w:rPr>
        <w:t>为加强本项目环境、安全、健康管理，明确双方的权利和义务，依照《中华人民共和国民法典》《中华人民共和国建筑法》《中华人民共和国安全生产法》《中华人民共和环境保护法》《中华人民共和国职业病防治法》《建设工程安全生产管理条例》和其它有关法律、行政法规，以及中国石油化工集团公司、中国石油化工股份有限公司（以下统称中国石化）、</w:t>
      </w:r>
      <w:r>
        <w:rPr>
          <w:rFonts w:cs="Arial"/>
          <w:color w:val="auto"/>
          <w:sz w:val="21"/>
          <w:highlight w:val="none"/>
        </w:rPr>
        <w:t xml:space="preserve"> </w:t>
      </w:r>
      <w:r>
        <w:rPr>
          <w:rFonts w:hint="eastAsia" w:cs="Arial"/>
          <w:color w:val="auto"/>
          <w:sz w:val="21"/>
          <w:highlight w:val="none"/>
        </w:rPr>
        <w:t>中国石油化工股份有限公司茂名分公司</w:t>
      </w:r>
      <w:r>
        <w:rPr>
          <w:rFonts w:cs="Arial"/>
          <w:color w:val="auto"/>
          <w:sz w:val="21"/>
          <w:highlight w:val="none"/>
        </w:rPr>
        <w:t>、中国石油化工股份由公司茂名分公司（以下统称茂名石化）</w:t>
      </w:r>
      <w:r>
        <w:rPr>
          <w:rFonts w:hint="eastAsia" w:cs="Arial"/>
          <w:color w:val="auto"/>
          <w:sz w:val="21"/>
          <w:highlight w:val="none"/>
        </w:rPr>
        <w:t>有关规章制度，在遵循平等、自愿、公平和诚实信用的原则上，经平等协商，意见一致，签</w:t>
      </w:r>
      <w:r>
        <w:rPr>
          <w:rFonts w:cs="Arial"/>
          <w:color w:val="auto"/>
          <w:sz w:val="21"/>
          <w:highlight w:val="none"/>
        </w:rPr>
        <w:t>订</w:t>
      </w:r>
      <w:r>
        <w:rPr>
          <w:rFonts w:hint="eastAsia" w:cs="Arial"/>
          <w:color w:val="auto"/>
          <w:sz w:val="21"/>
          <w:highlight w:val="none"/>
        </w:rPr>
        <w:t>本协议。</w:t>
      </w:r>
    </w:p>
    <w:p w14:paraId="33B18C26">
      <w:pPr>
        <w:numPr>
          <w:ilvl w:val="0"/>
          <w:numId w:val="6"/>
        </w:numPr>
        <w:topLinePunct/>
        <w:snapToGrid w:val="0"/>
        <w:ind w:firstLine="420" w:firstLineChars="200"/>
        <w:jc w:val="left"/>
        <w:rPr>
          <w:rFonts w:cs="Arial"/>
          <w:color w:val="auto"/>
          <w:sz w:val="21"/>
          <w:highlight w:val="none"/>
        </w:rPr>
      </w:pPr>
      <w:r>
        <w:rPr>
          <w:rFonts w:hint="eastAsia" w:cs="Arial"/>
          <w:color w:val="auto"/>
          <w:sz w:val="21"/>
          <w:highlight w:val="none"/>
        </w:rPr>
        <w:t>本HSE标准协议书是合同的组成部分，与合同具有同等法律效力，</w:t>
      </w:r>
      <w:r>
        <w:rPr>
          <w:rFonts w:cs="Arial"/>
          <w:color w:val="auto"/>
          <w:sz w:val="21"/>
          <w:highlight w:val="none"/>
        </w:rPr>
        <w:t>作为招标（选商）文件组成部分，是乙方参与招标选商的必须遵守前提条件。</w:t>
      </w:r>
    </w:p>
    <w:p w14:paraId="5B7B5F57">
      <w:pPr>
        <w:topLinePunct/>
        <w:snapToGrid w:val="0"/>
        <w:ind w:firstLine="420" w:firstLineChars="200"/>
        <w:jc w:val="left"/>
        <w:rPr>
          <w:rFonts w:cs="Arial"/>
          <w:color w:val="auto"/>
          <w:sz w:val="21"/>
          <w:highlight w:val="none"/>
        </w:rPr>
      </w:pPr>
      <w:r>
        <w:rPr>
          <w:rFonts w:hint="eastAsia" w:cs="Arial"/>
          <w:color w:val="auto"/>
          <w:sz w:val="21"/>
          <w:highlight w:val="none"/>
        </w:rPr>
        <w:t>二、HSE标准协议期限与</w:t>
      </w:r>
      <w:r>
        <w:rPr>
          <w:rFonts w:cs="Arial"/>
          <w:color w:val="auto"/>
          <w:sz w:val="21"/>
          <w:highlight w:val="none"/>
        </w:rPr>
        <w:t>实际</w:t>
      </w:r>
      <w:r>
        <w:rPr>
          <w:rFonts w:hint="eastAsia" w:cs="Arial"/>
          <w:color w:val="auto"/>
          <w:sz w:val="21"/>
          <w:highlight w:val="none"/>
        </w:rPr>
        <w:t>合同</w:t>
      </w:r>
      <w:r>
        <w:rPr>
          <w:rFonts w:cs="Arial"/>
          <w:color w:val="auto"/>
          <w:sz w:val="21"/>
          <w:highlight w:val="none"/>
        </w:rPr>
        <w:t>履行</w:t>
      </w:r>
      <w:r>
        <w:rPr>
          <w:rFonts w:hint="eastAsia" w:cs="Arial"/>
          <w:color w:val="auto"/>
          <w:sz w:val="21"/>
          <w:highlight w:val="none"/>
        </w:rPr>
        <w:t>期限一致,合同因故需要变更期限，本协议书与之变更至相同期限</w:t>
      </w:r>
      <w:r>
        <w:rPr>
          <w:rFonts w:cs="Arial"/>
          <w:color w:val="auto"/>
          <w:sz w:val="21"/>
          <w:highlight w:val="none"/>
        </w:rPr>
        <w:t>，但不得短于合同实际履行期限，合同约定履行期限与实际履行期限不符的，以实际合同履行期限为准</w:t>
      </w:r>
      <w:r>
        <w:rPr>
          <w:rFonts w:hint="eastAsia" w:cs="Arial"/>
          <w:color w:val="auto"/>
          <w:sz w:val="21"/>
          <w:highlight w:val="none"/>
        </w:rPr>
        <w:t>。</w:t>
      </w:r>
    </w:p>
    <w:p w14:paraId="398ECABC">
      <w:pPr>
        <w:topLinePunct/>
        <w:snapToGrid w:val="0"/>
        <w:ind w:firstLine="422" w:firstLineChars="200"/>
        <w:jc w:val="left"/>
        <w:rPr>
          <w:rFonts w:cs="Arial"/>
          <w:b/>
          <w:color w:val="auto"/>
          <w:sz w:val="21"/>
          <w:highlight w:val="none"/>
        </w:rPr>
      </w:pPr>
      <w:r>
        <w:rPr>
          <w:rFonts w:hint="eastAsia" w:cs="Arial"/>
          <w:b/>
          <w:color w:val="auto"/>
          <w:sz w:val="21"/>
          <w:highlight w:val="none"/>
        </w:rPr>
        <w:t>三、</w:t>
      </w:r>
      <w:r>
        <w:rPr>
          <w:rFonts w:hint="eastAsia"/>
          <w:b/>
          <w:bCs/>
          <w:color w:val="auto"/>
          <w:sz w:val="21"/>
          <w:highlight w:val="none"/>
        </w:rPr>
        <w:t>甲方权利义务</w:t>
      </w:r>
    </w:p>
    <w:p w14:paraId="2523F375">
      <w:pPr>
        <w:topLinePunct/>
        <w:snapToGrid w:val="0"/>
        <w:ind w:firstLine="420" w:firstLineChars="200"/>
        <w:jc w:val="left"/>
        <w:rPr>
          <w:rFonts w:cs="Arial"/>
          <w:color w:val="auto"/>
          <w:sz w:val="21"/>
          <w:highlight w:val="none"/>
        </w:rPr>
      </w:pPr>
      <w:r>
        <w:rPr>
          <w:rFonts w:hint="eastAsia" w:cs="Arial"/>
          <w:color w:val="auto"/>
          <w:sz w:val="21"/>
          <w:highlight w:val="none"/>
        </w:rPr>
        <w:t>(一)</w:t>
      </w:r>
      <w:r>
        <w:rPr>
          <w:rFonts w:hint="eastAsia"/>
          <w:bCs/>
          <w:color w:val="auto"/>
          <w:sz w:val="21"/>
          <w:highlight w:val="none"/>
        </w:rPr>
        <w:t xml:space="preserve"> 甲方</w:t>
      </w:r>
      <w:r>
        <w:rPr>
          <w:rFonts w:hint="eastAsia" w:cs="Arial"/>
          <w:color w:val="auto"/>
          <w:sz w:val="21"/>
          <w:highlight w:val="none"/>
        </w:rPr>
        <w:t>的权利</w:t>
      </w:r>
    </w:p>
    <w:p w14:paraId="6C534A97">
      <w:pPr>
        <w:topLinePunct/>
        <w:snapToGrid w:val="0"/>
        <w:ind w:firstLine="420" w:firstLineChars="200"/>
        <w:jc w:val="left"/>
        <w:rPr>
          <w:rFonts w:cs="Arial"/>
          <w:color w:val="auto"/>
          <w:sz w:val="21"/>
          <w:highlight w:val="none"/>
        </w:rPr>
      </w:pPr>
      <w:r>
        <w:rPr>
          <w:rFonts w:hint="eastAsia" w:cs="Arial"/>
          <w:color w:val="auto"/>
          <w:sz w:val="21"/>
          <w:highlight w:val="none"/>
        </w:rPr>
        <w:t>1.充分履行《安全生产法》《职业病防治法》</w:t>
      </w:r>
      <w:r>
        <w:rPr>
          <w:rFonts w:cs="Arial"/>
          <w:color w:val="auto"/>
          <w:sz w:val="21"/>
          <w:highlight w:val="none"/>
        </w:rPr>
        <w:t>等相关法律法规及中国石化、茂名石化规章制度</w:t>
      </w:r>
      <w:r>
        <w:rPr>
          <w:rFonts w:hint="eastAsia" w:cs="Arial"/>
          <w:color w:val="auto"/>
          <w:sz w:val="21"/>
          <w:highlight w:val="none"/>
        </w:rPr>
        <w:t>所赋予的各种权力，有权要求乙方建立健全HSE管理体系、完善HSE组织机构、制定HSE责任制和各项HSE管理制度，严格执行国家和地方HSE管理的法律、法规、标准、规范，严格执行中国石化、茂名石化的HSE管理体系手册和HSE规章制度及安全操作规程，根据危害识别、风险评估结果，制定HSE管理方案和应急预案，落实施工安全措施、事故防范措施和应急处理措施。</w:t>
      </w:r>
    </w:p>
    <w:p w14:paraId="7AE880B7">
      <w:pPr>
        <w:topLinePunct/>
        <w:snapToGrid w:val="0"/>
        <w:ind w:firstLine="420" w:firstLineChars="200"/>
        <w:jc w:val="left"/>
        <w:rPr>
          <w:rFonts w:cs="Arial"/>
          <w:color w:val="auto"/>
          <w:sz w:val="21"/>
          <w:highlight w:val="none"/>
        </w:rPr>
      </w:pPr>
      <w:r>
        <w:rPr>
          <w:rFonts w:hint="eastAsia" w:cs="Arial"/>
          <w:color w:val="auto"/>
          <w:sz w:val="21"/>
          <w:highlight w:val="none"/>
        </w:rPr>
        <w:t>2.有权按规定对乙方HSE业绩、资质、HSE管理人员资格和职业安全健康体系、环境管理体系认证情况进行审查，要求乙方作业人员和管理人员参加相应的HSE培训；对乙方的HSE管理体系、“HSE两书一表（HSE作业指导书、HSE作业计划书和HSE现场检查表）”和HSE管理方案进行审查。</w:t>
      </w:r>
    </w:p>
    <w:p w14:paraId="24796CDE">
      <w:pPr>
        <w:topLinePunct/>
        <w:snapToGrid w:val="0"/>
        <w:ind w:firstLine="420" w:firstLineChars="200"/>
        <w:jc w:val="left"/>
        <w:rPr>
          <w:rFonts w:cs="Arial"/>
          <w:color w:val="auto"/>
          <w:sz w:val="21"/>
          <w:highlight w:val="none"/>
        </w:rPr>
      </w:pPr>
      <w:r>
        <w:rPr>
          <w:rFonts w:hint="eastAsia" w:cs="Arial"/>
          <w:color w:val="auto"/>
          <w:sz w:val="21"/>
          <w:highlight w:val="none"/>
        </w:rPr>
        <w:t>3.有权按规定对乙方作业人员的资质、技能、HSE意识等进行审查、验证。</w:t>
      </w:r>
    </w:p>
    <w:p w14:paraId="502A7728">
      <w:pPr>
        <w:topLinePunct/>
        <w:snapToGrid w:val="0"/>
        <w:ind w:firstLine="420" w:firstLineChars="200"/>
        <w:jc w:val="left"/>
        <w:rPr>
          <w:rFonts w:cs="Arial"/>
          <w:color w:val="auto"/>
          <w:sz w:val="21"/>
          <w:highlight w:val="none"/>
        </w:rPr>
      </w:pPr>
      <w:r>
        <w:rPr>
          <w:rFonts w:hint="eastAsia" w:cs="Arial"/>
          <w:color w:val="auto"/>
          <w:sz w:val="21"/>
          <w:highlight w:val="none"/>
        </w:rPr>
        <w:t>4.有权按规定要求乙方配备与作业项目相适应的HSE管理设备设施和器材，配备具有经验的HSE管理人员,根据作业现场的职业病因素危害识别结果，为作业人员提供合格使用的个体防护用品。有权要求更换不满足要求的管理人员；有权对乙方的HSE措施费使用明细进行审查。</w:t>
      </w:r>
    </w:p>
    <w:p w14:paraId="7DF0CDA0">
      <w:pPr>
        <w:topLinePunct/>
        <w:snapToGrid w:val="0"/>
        <w:ind w:firstLine="420" w:firstLineChars="200"/>
        <w:jc w:val="left"/>
        <w:rPr>
          <w:rFonts w:cs="Arial"/>
          <w:color w:val="auto"/>
          <w:sz w:val="21"/>
          <w:highlight w:val="none"/>
        </w:rPr>
      </w:pPr>
      <w:r>
        <w:rPr>
          <w:rFonts w:hint="eastAsia" w:cs="Arial"/>
          <w:color w:val="auto"/>
          <w:sz w:val="21"/>
          <w:highlight w:val="none"/>
        </w:rPr>
        <w:t xml:space="preserve">5.有权对乙方的工作内容实行HSE监督，有HSE方面的否决权。有权对乙方HSE制度执行情况和作业现场的HSE作业情况随时进行监督检查、提出保证HSE方面的要求，以及对违法、违规、违章行为进行制止、责令整改、处罚或责令停止作业等。 </w:t>
      </w:r>
    </w:p>
    <w:p w14:paraId="16119C77">
      <w:pPr>
        <w:topLinePunct/>
        <w:snapToGrid w:val="0"/>
        <w:ind w:firstLine="420" w:firstLineChars="200"/>
        <w:jc w:val="left"/>
        <w:rPr>
          <w:rFonts w:cs="Arial"/>
          <w:color w:val="auto"/>
          <w:sz w:val="21"/>
          <w:highlight w:val="none"/>
        </w:rPr>
      </w:pPr>
      <w:r>
        <w:rPr>
          <w:rFonts w:hint="eastAsia" w:cs="Arial"/>
          <w:color w:val="auto"/>
          <w:sz w:val="21"/>
          <w:highlight w:val="none"/>
        </w:rPr>
        <w:t>6.发生乙方责任事故后，有权根据有关规定组织事故处理，防止事故扩大，有权组织或参与事故调查，并按“四不放过”原则提出处理意见，对事故进行统计上报。</w:t>
      </w:r>
    </w:p>
    <w:p w14:paraId="0EAC9CBD">
      <w:pPr>
        <w:topLinePunct/>
        <w:snapToGrid w:val="0"/>
        <w:ind w:firstLine="420" w:firstLineChars="200"/>
        <w:jc w:val="left"/>
        <w:rPr>
          <w:rFonts w:cs="Arial"/>
          <w:color w:val="auto"/>
          <w:sz w:val="21"/>
          <w:highlight w:val="none"/>
        </w:rPr>
      </w:pPr>
      <w:r>
        <w:rPr>
          <w:rFonts w:hint="eastAsia" w:cs="Arial"/>
          <w:color w:val="auto"/>
          <w:sz w:val="21"/>
          <w:highlight w:val="none"/>
        </w:rPr>
        <w:t xml:space="preserve"> (二)甲方的义务</w:t>
      </w:r>
    </w:p>
    <w:p w14:paraId="1EF04EEA">
      <w:pPr>
        <w:topLinePunct/>
        <w:snapToGrid w:val="0"/>
        <w:ind w:firstLine="420" w:firstLineChars="200"/>
        <w:jc w:val="left"/>
        <w:rPr>
          <w:rFonts w:cs="Arial"/>
          <w:color w:val="auto"/>
          <w:sz w:val="21"/>
          <w:highlight w:val="none"/>
        </w:rPr>
      </w:pPr>
      <w:r>
        <w:rPr>
          <w:rFonts w:hint="eastAsia" w:cs="Arial"/>
          <w:color w:val="auto"/>
          <w:sz w:val="21"/>
          <w:highlight w:val="none"/>
        </w:rPr>
        <w:t xml:space="preserve">1.认真贯彻并积极传达国家、地方政府的有关HSE法律法规、标准规范，以及中国石化、 </w:t>
      </w:r>
      <w:r>
        <w:rPr>
          <w:rFonts w:cs="Arial"/>
          <w:color w:val="auto"/>
          <w:sz w:val="21"/>
          <w:highlight w:val="none"/>
        </w:rPr>
        <w:t>茂名石化</w:t>
      </w:r>
      <w:r>
        <w:rPr>
          <w:rFonts w:hint="eastAsia" w:cs="Arial"/>
          <w:color w:val="auto"/>
          <w:sz w:val="21"/>
          <w:highlight w:val="none"/>
        </w:rPr>
        <w:t>各项HSE管理规定，督促各项HSE法律法规、标准规范和管理规定的落实，督促各项安全措施和事故防范措施的落实，落实项目HSE设施“三同时”监督工作。</w:t>
      </w:r>
    </w:p>
    <w:p w14:paraId="766E787F">
      <w:pPr>
        <w:topLinePunct/>
        <w:snapToGrid w:val="0"/>
        <w:ind w:firstLine="420" w:firstLineChars="200"/>
        <w:jc w:val="left"/>
        <w:rPr>
          <w:rFonts w:cs="Arial"/>
          <w:color w:val="auto"/>
          <w:sz w:val="21"/>
          <w:highlight w:val="none"/>
        </w:rPr>
      </w:pPr>
      <w:r>
        <w:rPr>
          <w:rFonts w:hint="eastAsia" w:cs="Arial"/>
          <w:color w:val="auto"/>
          <w:sz w:val="21"/>
          <w:highlight w:val="none"/>
        </w:rPr>
        <w:t>2.在乙方进入施工现场前，向乙方告知并对</w:t>
      </w:r>
      <w:r>
        <w:rPr>
          <w:rFonts w:cs="Arial"/>
          <w:color w:val="auto"/>
          <w:sz w:val="21"/>
          <w:highlight w:val="none"/>
        </w:rPr>
        <w:t>中国石化及茂名石化</w:t>
      </w:r>
      <w:r>
        <w:rPr>
          <w:rFonts w:hint="eastAsia" w:cs="Arial"/>
          <w:color w:val="auto"/>
          <w:sz w:val="21"/>
          <w:highlight w:val="none"/>
        </w:rPr>
        <w:t xml:space="preserve">相关的HSE规章制度进行交底，交底记录文件由双方代表进行签字，明确施工作业区范围、安全通道和HSE要求。 </w:t>
      </w:r>
    </w:p>
    <w:p w14:paraId="2FC2795C">
      <w:pPr>
        <w:topLinePunct/>
        <w:snapToGrid w:val="0"/>
        <w:ind w:firstLine="420" w:firstLineChars="200"/>
        <w:jc w:val="left"/>
        <w:rPr>
          <w:rFonts w:cs="Arial"/>
          <w:color w:val="auto"/>
          <w:sz w:val="21"/>
          <w:highlight w:val="none"/>
        </w:rPr>
      </w:pPr>
      <w:r>
        <w:rPr>
          <w:rFonts w:hint="eastAsia" w:cs="Arial"/>
          <w:color w:val="auto"/>
          <w:sz w:val="21"/>
          <w:highlight w:val="none"/>
        </w:rPr>
        <w:t>3.提供现有生产系统，以及与工程安全生产相关的勘察、设计、风险评价、检测检验和应急救援等资料，并保证资料的真实、完整和有效；同时，应当告知乙方工程施工作业过程中可能存在的主要危险有害因素，以及在紧急情况下应当采取的应急措施，对工程施工进行书面和现场的技术交底，</w:t>
      </w:r>
      <w:r>
        <w:rPr>
          <w:rFonts w:cs="Arial"/>
          <w:color w:val="auto"/>
          <w:sz w:val="21"/>
          <w:highlight w:val="none"/>
        </w:rPr>
        <w:t>安全</w:t>
      </w:r>
      <w:r>
        <w:rPr>
          <w:rFonts w:hint="eastAsia" w:cs="Arial"/>
          <w:color w:val="auto"/>
          <w:sz w:val="21"/>
          <w:highlight w:val="none"/>
        </w:rPr>
        <w:t>技术交底记录文件由双方有关人员签字</w:t>
      </w:r>
      <w:r>
        <w:rPr>
          <w:rFonts w:cs="Arial"/>
          <w:color w:val="auto"/>
          <w:sz w:val="21"/>
          <w:highlight w:val="none"/>
        </w:rPr>
        <w:t>，对</w:t>
      </w:r>
      <w:r>
        <w:rPr>
          <w:rFonts w:hint="eastAsia" w:cs="Arial"/>
          <w:color w:val="auto"/>
          <w:sz w:val="21"/>
          <w:highlight w:val="none"/>
        </w:rPr>
        <w:t>乙方进行安全风险告知及HSE</w:t>
      </w:r>
      <w:r>
        <w:rPr>
          <w:rFonts w:cs="Arial"/>
          <w:color w:val="auto"/>
          <w:sz w:val="21"/>
          <w:highlight w:val="none"/>
        </w:rPr>
        <w:t xml:space="preserve">注意事项的告知 </w:t>
      </w:r>
      <w:r>
        <w:rPr>
          <w:rFonts w:hint="eastAsia" w:cs="Arial"/>
          <w:color w:val="auto"/>
          <w:sz w:val="21"/>
          <w:highlight w:val="none"/>
        </w:rPr>
        <w:t>。</w:t>
      </w:r>
    </w:p>
    <w:p w14:paraId="7700AE3B">
      <w:pPr>
        <w:topLinePunct/>
        <w:snapToGrid w:val="0"/>
        <w:ind w:firstLine="420" w:firstLineChars="200"/>
        <w:jc w:val="left"/>
        <w:rPr>
          <w:rFonts w:cs="Arial"/>
          <w:color w:val="auto"/>
          <w:sz w:val="21"/>
          <w:highlight w:val="none"/>
        </w:rPr>
      </w:pPr>
      <w:r>
        <w:rPr>
          <w:rFonts w:hint="eastAsia" w:cs="Arial"/>
          <w:color w:val="auto"/>
          <w:sz w:val="21"/>
          <w:highlight w:val="none"/>
        </w:rPr>
        <w:t>4.根据乙方申请，进场前组织或指定单位对乙方人员进行入厂HSE教育培训，督促乙方开展自主HSE教育培训。</w:t>
      </w:r>
    </w:p>
    <w:p w14:paraId="441D9C14">
      <w:pPr>
        <w:topLinePunct/>
        <w:snapToGrid w:val="0"/>
        <w:ind w:firstLine="420" w:firstLineChars="200"/>
        <w:jc w:val="left"/>
        <w:rPr>
          <w:rFonts w:cs="Arial"/>
          <w:color w:val="auto"/>
          <w:sz w:val="21"/>
          <w:highlight w:val="none"/>
        </w:rPr>
      </w:pPr>
      <w:r>
        <w:rPr>
          <w:rFonts w:hint="eastAsia" w:cs="Arial"/>
          <w:color w:val="auto"/>
          <w:sz w:val="21"/>
          <w:highlight w:val="none"/>
        </w:rPr>
        <w:t>5.对乙方提出的有关HSE要求，给予解答或协助解决，创造必要的安全作业条件。</w:t>
      </w:r>
    </w:p>
    <w:p w14:paraId="60661A99">
      <w:pPr>
        <w:topLinePunct/>
        <w:snapToGrid w:val="0"/>
        <w:ind w:firstLine="420" w:firstLineChars="200"/>
        <w:jc w:val="left"/>
        <w:rPr>
          <w:rFonts w:cs="Arial"/>
          <w:color w:val="auto"/>
          <w:sz w:val="21"/>
          <w:highlight w:val="none"/>
        </w:rPr>
      </w:pPr>
      <w:r>
        <w:rPr>
          <w:rFonts w:hint="eastAsia" w:cs="Arial"/>
          <w:color w:val="auto"/>
          <w:sz w:val="21"/>
          <w:highlight w:val="none"/>
        </w:rPr>
        <w:t>6.发生事故后积极协助乙方组织抢险，防止事故扩大，按照有关规定上报。</w:t>
      </w:r>
    </w:p>
    <w:p w14:paraId="54F493F8">
      <w:pPr>
        <w:topLinePunct/>
        <w:snapToGrid w:val="0"/>
        <w:ind w:firstLine="422" w:firstLineChars="200"/>
        <w:jc w:val="left"/>
        <w:rPr>
          <w:rFonts w:cs="Arial"/>
          <w:b/>
          <w:color w:val="auto"/>
          <w:sz w:val="21"/>
          <w:highlight w:val="none"/>
        </w:rPr>
      </w:pPr>
      <w:r>
        <w:rPr>
          <w:rFonts w:hint="eastAsia" w:cs="Arial"/>
          <w:b/>
          <w:color w:val="auto"/>
          <w:sz w:val="21"/>
          <w:highlight w:val="none"/>
        </w:rPr>
        <w:t>四、乙方的权利和义务</w:t>
      </w:r>
    </w:p>
    <w:p w14:paraId="0CB7D75A">
      <w:pPr>
        <w:topLinePunct/>
        <w:snapToGrid w:val="0"/>
        <w:ind w:firstLine="420" w:firstLineChars="200"/>
        <w:jc w:val="left"/>
        <w:rPr>
          <w:rFonts w:cs="Arial"/>
          <w:color w:val="auto"/>
          <w:sz w:val="21"/>
          <w:highlight w:val="none"/>
        </w:rPr>
      </w:pPr>
      <w:r>
        <w:rPr>
          <w:rFonts w:hint="eastAsia" w:cs="Arial"/>
          <w:color w:val="auto"/>
          <w:sz w:val="21"/>
          <w:highlight w:val="none"/>
        </w:rPr>
        <w:t>（一）乙方的权利</w:t>
      </w:r>
    </w:p>
    <w:p w14:paraId="4F887B1E">
      <w:pPr>
        <w:topLinePunct/>
        <w:snapToGrid w:val="0"/>
        <w:ind w:firstLine="420" w:firstLineChars="200"/>
        <w:jc w:val="left"/>
        <w:rPr>
          <w:rFonts w:cs="Arial"/>
          <w:color w:val="auto"/>
          <w:sz w:val="21"/>
          <w:highlight w:val="none"/>
        </w:rPr>
      </w:pPr>
      <w:r>
        <w:rPr>
          <w:rFonts w:hint="eastAsia" w:cs="Arial"/>
          <w:color w:val="auto"/>
          <w:sz w:val="21"/>
          <w:highlight w:val="none"/>
        </w:rPr>
        <w:t>1.充分履行《安全生产法》所赋予的各种权力。</w:t>
      </w:r>
    </w:p>
    <w:p w14:paraId="1A6B8014">
      <w:pPr>
        <w:topLinePunct/>
        <w:snapToGrid w:val="0"/>
        <w:ind w:firstLine="420" w:firstLineChars="200"/>
        <w:jc w:val="left"/>
        <w:rPr>
          <w:rFonts w:cs="Arial"/>
          <w:color w:val="auto"/>
          <w:sz w:val="21"/>
          <w:highlight w:val="none"/>
        </w:rPr>
      </w:pPr>
      <w:r>
        <w:rPr>
          <w:rFonts w:hint="eastAsia" w:cs="Arial"/>
          <w:color w:val="auto"/>
          <w:sz w:val="21"/>
          <w:highlight w:val="none"/>
        </w:rPr>
        <w:t>2.有权对甲方的HSE管理工作提出合理化建议和改进意见。</w:t>
      </w:r>
    </w:p>
    <w:p w14:paraId="1237F0F3">
      <w:pPr>
        <w:topLinePunct/>
        <w:snapToGrid w:val="0"/>
        <w:ind w:firstLine="420" w:firstLineChars="200"/>
        <w:jc w:val="left"/>
        <w:rPr>
          <w:rFonts w:cs="Arial"/>
          <w:color w:val="auto"/>
          <w:sz w:val="21"/>
          <w:highlight w:val="none"/>
        </w:rPr>
      </w:pPr>
      <w:r>
        <w:rPr>
          <w:rFonts w:hint="eastAsia" w:cs="Arial"/>
          <w:color w:val="auto"/>
          <w:sz w:val="21"/>
          <w:highlight w:val="none"/>
        </w:rPr>
        <w:t>3.在施工作业中，对甲方违章指挥、强令冒险作业，乙方有权拒绝执行。</w:t>
      </w:r>
    </w:p>
    <w:p w14:paraId="0BA4EE7E">
      <w:pPr>
        <w:topLinePunct/>
        <w:snapToGrid w:val="0"/>
        <w:ind w:firstLine="420" w:firstLineChars="200"/>
        <w:jc w:val="left"/>
        <w:rPr>
          <w:rFonts w:cs="Arial"/>
          <w:color w:val="auto"/>
          <w:sz w:val="21"/>
          <w:highlight w:val="none"/>
        </w:rPr>
      </w:pPr>
      <w:r>
        <w:rPr>
          <w:rFonts w:hint="eastAsia" w:cs="Arial"/>
          <w:color w:val="auto"/>
          <w:sz w:val="21"/>
          <w:highlight w:val="none"/>
        </w:rPr>
        <w:t>4.发生严重危及生命安全的紧急情况及不可抗拒的自然灾害时，乙方有权采取必要的避险措施，并立即报告甲方。</w:t>
      </w:r>
    </w:p>
    <w:p w14:paraId="07A21D72">
      <w:pPr>
        <w:topLinePunct/>
        <w:snapToGrid w:val="0"/>
        <w:ind w:firstLine="420" w:firstLineChars="200"/>
        <w:jc w:val="left"/>
        <w:rPr>
          <w:rFonts w:cs="Arial"/>
          <w:color w:val="auto"/>
          <w:sz w:val="21"/>
          <w:highlight w:val="none"/>
        </w:rPr>
      </w:pPr>
      <w:r>
        <w:rPr>
          <w:rFonts w:hint="eastAsia" w:cs="Arial"/>
          <w:color w:val="auto"/>
          <w:sz w:val="21"/>
          <w:highlight w:val="none"/>
        </w:rPr>
        <w:t>5.在符合甲方、监理人HSE有关要求、规定及协议条款的情况下，乙方可按本单位管理方式制定施工现场HSE管理细则。</w:t>
      </w:r>
    </w:p>
    <w:p w14:paraId="3BCA0007">
      <w:pPr>
        <w:topLinePunct/>
        <w:snapToGrid w:val="0"/>
        <w:ind w:firstLine="420" w:firstLineChars="200"/>
        <w:jc w:val="left"/>
        <w:rPr>
          <w:rFonts w:cs="Arial"/>
          <w:color w:val="auto"/>
          <w:sz w:val="21"/>
          <w:highlight w:val="none"/>
        </w:rPr>
      </w:pPr>
      <w:r>
        <w:rPr>
          <w:rFonts w:hint="eastAsia" w:cs="Arial"/>
          <w:color w:val="auto"/>
          <w:sz w:val="21"/>
          <w:highlight w:val="none"/>
        </w:rPr>
        <w:t>（二）乙方的义务</w:t>
      </w:r>
    </w:p>
    <w:p w14:paraId="5653564A">
      <w:pPr>
        <w:topLinePunct/>
        <w:snapToGrid w:val="0"/>
        <w:ind w:firstLine="420" w:firstLineChars="200"/>
        <w:jc w:val="left"/>
        <w:rPr>
          <w:rFonts w:cs="Arial"/>
          <w:color w:val="auto"/>
          <w:sz w:val="21"/>
          <w:highlight w:val="none"/>
        </w:rPr>
      </w:pPr>
      <w:r>
        <w:rPr>
          <w:rFonts w:hint="eastAsia" w:cs="Arial"/>
          <w:color w:val="auto"/>
          <w:sz w:val="21"/>
          <w:highlight w:val="none"/>
        </w:rPr>
        <w:t>乙方是施工现场安全责任的主体，应当对施工安全全面负责，并接受甲方的统一监督管理，乙方在施工中应建立健全各项安全生产规章制度和操作规程，并严格执行。</w:t>
      </w:r>
    </w:p>
    <w:p w14:paraId="56266808">
      <w:pPr>
        <w:topLinePunct/>
        <w:snapToGrid w:val="0"/>
        <w:ind w:firstLine="420" w:firstLineChars="200"/>
        <w:jc w:val="left"/>
        <w:rPr>
          <w:rFonts w:cs="Arial"/>
          <w:color w:val="auto"/>
          <w:sz w:val="21"/>
          <w:highlight w:val="none"/>
        </w:rPr>
      </w:pPr>
      <w:r>
        <w:rPr>
          <w:rFonts w:hint="eastAsia" w:cs="Arial"/>
          <w:color w:val="auto"/>
          <w:sz w:val="21"/>
          <w:highlight w:val="none"/>
        </w:rPr>
        <w:t>1.建立、健全并有效实施</w:t>
      </w:r>
      <w:r>
        <w:rPr>
          <w:rFonts w:cs="Arial"/>
          <w:color w:val="auto"/>
          <w:sz w:val="21"/>
          <w:highlight w:val="none"/>
        </w:rPr>
        <w:t>QHSE</w:t>
      </w:r>
      <w:r>
        <w:rPr>
          <w:rFonts w:hint="eastAsia" w:cs="Arial"/>
          <w:color w:val="auto"/>
          <w:sz w:val="21"/>
          <w:highlight w:val="none"/>
        </w:rPr>
        <w:t>管理体系、应急管理体系，严格执行国家和地方相关法律法规、标准规范和中国石化及甲方相关管理制度要求,落实HSE责任制，符合国家和地方相关制度、标准要求，并严格执行甲方相关的管理制度，服从甲方的HSE监督管理；乙方应与各分包人签订“HSE责任书”或HSE标准协议，明确责任及要求，与分包合同一起报甲方备案。</w:t>
      </w:r>
    </w:p>
    <w:p w14:paraId="5A19DF53">
      <w:pPr>
        <w:topLinePunct/>
        <w:snapToGrid w:val="0"/>
        <w:ind w:firstLine="420" w:firstLineChars="200"/>
        <w:jc w:val="left"/>
        <w:rPr>
          <w:rFonts w:cs="Arial"/>
          <w:color w:val="auto"/>
          <w:sz w:val="21"/>
          <w:highlight w:val="none"/>
        </w:rPr>
      </w:pPr>
      <w:r>
        <w:rPr>
          <w:rFonts w:hint="eastAsia" w:cs="Arial"/>
          <w:color w:val="auto"/>
          <w:sz w:val="21"/>
          <w:highlight w:val="none"/>
        </w:rPr>
        <w:t>2.在整个工程施工过程中，乙方应当保持HSE管理人员连续稳定，乙方的项目负责人、施工负责人、技术负责人、安全负责人等关键人员必须持有相应资格证并经甲方HSE培训考核和面试审查合格，无特殊理由不得变更。关键人员发生变更的，乙方应当书面报甲方审查同意。</w:t>
      </w:r>
    </w:p>
    <w:p w14:paraId="4CA73656">
      <w:pPr>
        <w:topLinePunct/>
        <w:snapToGrid w:val="0"/>
        <w:ind w:firstLine="420" w:firstLineChars="200"/>
        <w:jc w:val="left"/>
        <w:rPr>
          <w:rFonts w:cs="Arial"/>
          <w:color w:val="auto"/>
          <w:sz w:val="21"/>
          <w:highlight w:val="none"/>
        </w:rPr>
      </w:pPr>
      <w:r>
        <w:rPr>
          <w:rFonts w:hint="eastAsia" w:cs="Arial"/>
          <w:color w:val="auto"/>
          <w:sz w:val="21"/>
          <w:highlight w:val="none"/>
        </w:rPr>
        <w:t>3.乙方负责对其作业人员以及分包单位作业人员全程管理：</w:t>
      </w:r>
    </w:p>
    <w:p w14:paraId="58B7C1F5">
      <w:pPr>
        <w:topLinePunct/>
        <w:snapToGrid w:val="0"/>
        <w:ind w:firstLine="420" w:firstLineChars="200"/>
        <w:jc w:val="left"/>
        <w:rPr>
          <w:rFonts w:cs="Arial"/>
          <w:color w:val="auto"/>
          <w:sz w:val="21"/>
          <w:highlight w:val="none"/>
        </w:rPr>
      </w:pPr>
      <w:r>
        <w:rPr>
          <w:rFonts w:hint="eastAsia" w:cs="Arial"/>
          <w:color w:val="auto"/>
          <w:sz w:val="21"/>
          <w:highlight w:val="none"/>
        </w:rPr>
        <w:t>（1）乙方应确保作业人员身体状况能适应所从事的工作，年龄不超过中国石化和茂名石化规定的要求。</w:t>
      </w:r>
    </w:p>
    <w:p w14:paraId="71FC8916">
      <w:pPr>
        <w:topLinePunct/>
        <w:snapToGrid w:val="0"/>
        <w:ind w:firstLine="420" w:firstLineChars="200"/>
        <w:jc w:val="left"/>
        <w:rPr>
          <w:rFonts w:cs="Arial"/>
          <w:color w:val="auto"/>
          <w:sz w:val="21"/>
          <w:highlight w:val="none"/>
        </w:rPr>
      </w:pPr>
      <w:r>
        <w:rPr>
          <w:rFonts w:hint="eastAsia" w:cs="Arial"/>
          <w:color w:val="auto"/>
          <w:sz w:val="21"/>
          <w:highlight w:val="none"/>
        </w:rPr>
        <w:t>（2）根据甲方安全生产实际，禁止文盲人员、精神病患者、有案底人员、有吸毒史人员入厂。入厂安全教育并考试合格后，方可办理门禁卡，进入甲方施工区域。</w:t>
      </w:r>
    </w:p>
    <w:p w14:paraId="3700A581">
      <w:pPr>
        <w:topLinePunct/>
        <w:snapToGrid w:val="0"/>
        <w:ind w:firstLine="420" w:firstLineChars="200"/>
        <w:jc w:val="left"/>
        <w:rPr>
          <w:rFonts w:cs="Arial"/>
          <w:color w:val="auto"/>
          <w:sz w:val="21"/>
          <w:highlight w:val="none"/>
        </w:rPr>
      </w:pPr>
      <w:r>
        <w:rPr>
          <w:rFonts w:hint="eastAsia" w:cs="Arial"/>
          <w:color w:val="auto"/>
          <w:sz w:val="21"/>
          <w:highlight w:val="none"/>
        </w:rPr>
        <w:t>（3）所有施工人员必须具备合法证件，国家规定的特种作业人员必须持有有效资格证书；对接触职业病危害作业人员的健康状况须经有职业健康体检资质的机构体检合格，严禁未进行职业健康体检人员和职业禁忌人员从事相关作业。乙方需为所有参加施工人员购买意外伤害保险，未购置意外伤害保险的施工人员严禁进入施工现场。</w:t>
      </w:r>
    </w:p>
    <w:p w14:paraId="4B12D606">
      <w:pPr>
        <w:topLinePunct/>
        <w:snapToGrid w:val="0"/>
        <w:ind w:firstLine="420" w:firstLineChars="200"/>
        <w:jc w:val="left"/>
        <w:rPr>
          <w:rFonts w:cs="Arial"/>
          <w:color w:val="auto"/>
          <w:sz w:val="21"/>
          <w:highlight w:val="none"/>
        </w:rPr>
      </w:pPr>
      <w:r>
        <w:rPr>
          <w:rFonts w:hint="eastAsia" w:cs="Arial"/>
          <w:color w:val="auto"/>
          <w:sz w:val="21"/>
          <w:highlight w:val="none"/>
        </w:rPr>
        <w:t>（4）对作业人员进行作业前及日常、专项HSE教育培训，使其具备相应的HSE意识和安全技能，并通过甲方审核；</w:t>
      </w:r>
    </w:p>
    <w:p w14:paraId="5BBB38D2">
      <w:pPr>
        <w:topLinePunct/>
        <w:snapToGrid w:val="0"/>
        <w:ind w:firstLine="420" w:firstLineChars="200"/>
        <w:jc w:val="left"/>
        <w:rPr>
          <w:rFonts w:cs="Arial"/>
          <w:color w:val="auto"/>
          <w:sz w:val="21"/>
          <w:highlight w:val="none"/>
        </w:rPr>
      </w:pPr>
      <w:r>
        <w:rPr>
          <w:rFonts w:hint="eastAsia" w:cs="Arial"/>
          <w:color w:val="auto"/>
          <w:sz w:val="21"/>
          <w:highlight w:val="none"/>
        </w:rPr>
        <w:t>5.</w:t>
      </w:r>
      <w:r>
        <w:rPr>
          <w:rFonts w:hint="eastAsia" w:ascii="Calibri" w:hAnsi="Calibri"/>
          <w:color w:val="auto"/>
          <w:sz w:val="21"/>
          <w:szCs w:val="22"/>
          <w:highlight w:val="none"/>
        </w:rPr>
        <w:t xml:space="preserve"> 按照设计要求对建设项目中的安全、环境保护、职业病防护、消防、抗震减灾和防雷防静电设施进行同时施工、同时达成投用和验收条件，同时落实项目施工期间的安全、环境保护、职业病防护、抗震减灾工作，</w:t>
      </w:r>
      <w:r>
        <w:rPr>
          <w:rFonts w:hint="eastAsia" w:cs="Arial"/>
          <w:color w:val="auto"/>
          <w:sz w:val="21"/>
          <w:highlight w:val="none"/>
        </w:rPr>
        <w:t>严格落实环境保护、文明施工、安全施工措施费用，不得挪作他用或降低投入，确保现场宣传警示、环境保护、防护措施等达到HSE管理要求；为乙方所有工作人员配备必要的、符合国家标准、具备有效检验合格证书的适用的劳动保护用品，并确保员工正确使用。</w:t>
      </w:r>
    </w:p>
    <w:p w14:paraId="5AEA1D14">
      <w:pPr>
        <w:topLinePunct/>
        <w:snapToGrid w:val="0"/>
        <w:ind w:firstLine="420" w:firstLineChars="200"/>
        <w:jc w:val="left"/>
        <w:rPr>
          <w:rFonts w:cs="Arial"/>
          <w:color w:val="auto"/>
          <w:sz w:val="21"/>
          <w:highlight w:val="none"/>
        </w:rPr>
      </w:pPr>
      <w:r>
        <w:rPr>
          <w:rFonts w:hint="eastAsia" w:cs="Arial"/>
          <w:color w:val="auto"/>
          <w:sz w:val="21"/>
          <w:highlight w:val="none"/>
        </w:rPr>
        <w:t>6.不得使用、租赁不合格的或者技术指标和安全性能不符合国家、行业标准和甲方规定的原材料、安全防护用具、机械设备及检测仪器等。</w:t>
      </w:r>
    </w:p>
    <w:p w14:paraId="6C8D978B">
      <w:pPr>
        <w:topLinePunct/>
        <w:snapToGrid w:val="0"/>
        <w:ind w:firstLine="420" w:firstLineChars="200"/>
        <w:jc w:val="left"/>
        <w:rPr>
          <w:rFonts w:cs="Arial"/>
          <w:color w:val="auto"/>
          <w:sz w:val="21"/>
          <w:highlight w:val="none"/>
        </w:rPr>
      </w:pPr>
      <w:r>
        <w:rPr>
          <w:rFonts w:hint="eastAsia" w:cs="Arial"/>
          <w:color w:val="auto"/>
          <w:sz w:val="21"/>
          <w:highlight w:val="none"/>
        </w:rPr>
        <w:t>7.分析施工作业中HSE风险，在编制施工组织设计及施工方案时制定相应的HSE管理措施和技术措施，确保满足安全施工要求；进行危险性较大的作业前应按规定编制专项施工方案，对超过一定规模的危险性较大分部分项工程的专项施工方案必须组织专家进行论证，经审查或专家论证合格，并报作业计划经甲方批准后方可作业。</w:t>
      </w:r>
    </w:p>
    <w:p w14:paraId="5F916D72">
      <w:pPr>
        <w:topLinePunct/>
        <w:snapToGrid w:val="0"/>
        <w:ind w:firstLine="420" w:firstLineChars="200"/>
        <w:jc w:val="left"/>
        <w:rPr>
          <w:rFonts w:cs="Arial"/>
          <w:color w:val="auto"/>
          <w:sz w:val="21"/>
          <w:highlight w:val="none"/>
        </w:rPr>
      </w:pPr>
      <w:r>
        <w:rPr>
          <w:rFonts w:hint="eastAsia" w:cs="Arial"/>
          <w:color w:val="auto"/>
          <w:sz w:val="21"/>
          <w:highlight w:val="none"/>
        </w:rPr>
        <w:t>8. 乙方进行动火作业、临时用电、动土作业、受限空间作业、吊装作业、高处作业、射线探伤作业、接触硫化氢作业、盲板抽堵作业、带压作业及一般作业等作业必须按</w:t>
      </w:r>
      <w:r>
        <w:rPr>
          <w:rFonts w:cs="Arial"/>
          <w:color w:val="auto"/>
          <w:sz w:val="21"/>
          <w:highlight w:val="none"/>
        </w:rPr>
        <w:t>中国石化及茂名石化</w:t>
      </w:r>
      <w:r>
        <w:rPr>
          <w:rFonts w:hint="eastAsia" w:cs="Arial"/>
          <w:color w:val="auto"/>
          <w:sz w:val="21"/>
          <w:highlight w:val="none"/>
        </w:rPr>
        <w:t>规定办理相应手续。</w:t>
      </w:r>
    </w:p>
    <w:p w14:paraId="290C6679">
      <w:pPr>
        <w:topLinePunct/>
        <w:snapToGrid w:val="0"/>
        <w:ind w:firstLine="420" w:firstLineChars="200"/>
        <w:jc w:val="left"/>
        <w:rPr>
          <w:rFonts w:cs="Arial"/>
          <w:color w:val="auto"/>
          <w:sz w:val="21"/>
          <w:highlight w:val="none"/>
        </w:rPr>
      </w:pPr>
      <w:r>
        <w:rPr>
          <w:rFonts w:hint="eastAsia" w:cs="Arial"/>
          <w:color w:val="auto"/>
          <w:sz w:val="21"/>
          <w:highlight w:val="none"/>
        </w:rPr>
        <w:t>9.乙方作业时产生的废物应按规定回收或处置，不得随意丢弃或就地排放。“三废”处理应符合国家、地方政府和甲方的有关要求，并承担相应环保责任。</w:t>
      </w:r>
    </w:p>
    <w:p w14:paraId="4FA07E85">
      <w:pPr>
        <w:topLinePunct/>
        <w:snapToGrid w:val="0"/>
        <w:ind w:firstLine="420" w:firstLineChars="200"/>
        <w:jc w:val="left"/>
        <w:rPr>
          <w:rFonts w:cs="Arial"/>
          <w:color w:val="auto"/>
          <w:sz w:val="21"/>
          <w:highlight w:val="none"/>
        </w:rPr>
      </w:pPr>
      <w:r>
        <w:rPr>
          <w:rFonts w:hint="eastAsia" w:cs="Arial"/>
          <w:color w:val="auto"/>
          <w:sz w:val="21"/>
          <w:highlight w:val="none"/>
        </w:rPr>
        <w:t>10.乙方应采取有效措施，控制或治理在施工过程中产生的废气、废水、废渣、粉尘、恶臭气体、放射性物质及噪声、振动、电磁波辐射等对环境的污染和危害，并承担因其行为不当所带来的环境污染责任和损失。</w:t>
      </w:r>
    </w:p>
    <w:p w14:paraId="742D6B82">
      <w:pPr>
        <w:topLinePunct/>
        <w:snapToGrid w:val="0"/>
        <w:ind w:firstLine="420" w:firstLineChars="200"/>
        <w:jc w:val="left"/>
        <w:rPr>
          <w:rFonts w:cs="Arial"/>
          <w:color w:val="auto"/>
          <w:sz w:val="21"/>
          <w:highlight w:val="none"/>
        </w:rPr>
      </w:pPr>
      <w:r>
        <w:rPr>
          <w:rFonts w:hint="eastAsia" w:cs="Arial"/>
          <w:color w:val="auto"/>
          <w:sz w:val="21"/>
          <w:highlight w:val="none"/>
        </w:rPr>
        <w:t>11.乙方应按要求组织开展现场HSE检查，及时消除现场安全、环保和职业卫生隐患，并积极开展、参与甲方组织的各种HSE活动，定期向甲方汇报HSE工作开展情况。</w:t>
      </w:r>
    </w:p>
    <w:p w14:paraId="64AD91F5">
      <w:pPr>
        <w:topLinePunct/>
        <w:snapToGrid w:val="0"/>
        <w:ind w:firstLine="420" w:firstLineChars="200"/>
        <w:jc w:val="left"/>
        <w:rPr>
          <w:rFonts w:cs="Arial"/>
          <w:color w:val="auto"/>
          <w:sz w:val="21"/>
          <w:highlight w:val="none"/>
        </w:rPr>
      </w:pPr>
      <w:r>
        <w:rPr>
          <w:rFonts w:hint="eastAsia" w:cs="Arial"/>
          <w:color w:val="auto"/>
          <w:sz w:val="21"/>
          <w:highlight w:val="none"/>
        </w:rPr>
        <w:t>12.发生事故时应积极抢险，避免事故进一步扩大，并按照相关规定报告事故情况；对事故造成的人员伤亡和财产损失，应及时给受害方支付相应的费用。</w:t>
      </w:r>
    </w:p>
    <w:p w14:paraId="56799E84">
      <w:pPr>
        <w:topLinePunct/>
        <w:snapToGrid w:val="0"/>
        <w:ind w:firstLine="420" w:firstLineChars="200"/>
        <w:jc w:val="left"/>
        <w:rPr>
          <w:rFonts w:cs="Arial"/>
          <w:color w:val="auto"/>
          <w:sz w:val="21"/>
          <w:highlight w:val="none"/>
        </w:rPr>
      </w:pPr>
      <w:r>
        <w:rPr>
          <w:rFonts w:hint="eastAsia" w:cs="Arial"/>
          <w:color w:val="auto"/>
          <w:sz w:val="21"/>
          <w:highlight w:val="none"/>
        </w:rPr>
        <w:t>13.针对施工现场的实际情况制定应急预案，配置足够的应急救援物资，定期组织开展应急演练。</w:t>
      </w:r>
    </w:p>
    <w:p w14:paraId="2BF74EFE">
      <w:pPr>
        <w:topLinePunct/>
        <w:snapToGrid w:val="0"/>
        <w:ind w:firstLine="420" w:firstLineChars="200"/>
        <w:jc w:val="left"/>
        <w:rPr>
          <w:rFonts w:cs="Arial"/>
          <w:color w:val="auto"/>
          <w:sz w:val="21"/>
          <w:highlight w:val="none"/>
        </w:rPr>
      </w:pPr>
      <w:r>
        <w:rPr>
          <w:rFonts w:cs="Arial"/>
          <w:color w:val="auto"/>
          <w:sz w:val="21"/>
          <w:highlight w:val="none"/>
        </w:rPr>
        <w:t>14.</w:t>
      </w:r>
      <w:r>
        <w:rPr>
          <w:rFonts w:hint="eastAsia" w:cs="Arial"/>
          <w:color w:val="auto"/>
          <w:sz w:val="21"/>
          <w:highlight w:val="none"/>
        </w:rPr>
        <w:t>对分包人</w:t>
      </w:r>
      <w:r>
        <w:rPr>
          <w:rFonts w:cs="Arial"/>
          <w:color w:val="auto"/>
          <w:sz w:val="21"/>
          <w:highlight w:val="none"/>
        </w:rPr>
        <w:t>HSE</w:t>
      </w:r>
      <w:r>
        <w:rPr>
          <w:rFonts w:hint="eastAsia" w:cs="Arial"/>
          <w:color w:val="auto"/>
          <w:sz w:val="21"/>
          <w:highlight w:val="none"/>
        </w:rPr>
        <w:t>管理全面负责。严格执行《中国石化建设工程分包管理办法》工程分包现场管理要求，将分包人的HSE管理工作纳入本单位管理体系，认真履行HSE管理职责。</w:t>
      </w:r>
    </w:p>
    <w:p w14:paraId="6DA64B5A">
      <w:pPr>
        <w:topLinePunct/>
        <w:snapToGrid w:val="0"/>
        <w:ind w:firstLine="420" w:firstLineChars="200"/>
        <w:jc w:val="left"/>
        <w:rPr>
          <w:rFonts w:cs="Arial"/>
          <w:color w:val="auto"/>
          <w:sz w:val="21"/>
          <w:highlight w:val="none"/>
        </w:rPr>
      </w:pPr>
      <w:r>
        <w:rPr>
          <w:rFonts w:hint="eastAsia" w:cs="Arial"/>
          <w:color w:val="auto"/>
          <w:sz w:val="21"/>
          <w:highlight w:val="none"/>
        </w:rPr>
        <w:t>（三）其他：</w:t>
      </w:r>
      <w:r>
        <w:rPr>
          <w:rFonts w:hint="eastAsia"/>
          <w:bCs/>
          <w:color w:val="auto"/>
          <w:sz w:val="21"/>
          <w:highlight w:val="none"/>
        </w:rPr>
        <w:t xml:space="preserve">            </w:t>
      </w:r>
    </w:p>
    <w:p w14:paraId="16236432">
      <w:pPr>
        <w:topLinePunct/>
        <w:snapToGrid w:val="0"/>
        <w:ind w:firstLine="422" w:firstLineChars="200"/>
        <w:jc w:val="left"/>
        <w:rPr>
          <w:rFonts w:cs="Arial"/>
          <w:b/>
          <w:color w:val="auto"/>
          <w:sz w:val="21"/>
          <w:highlight w:val="none"/>
        </w:rPr>
      </w:pPr>
      <w:r>
        <w:rPr>
          <w:rFonts w:hint="eastAsia" w:cs="Arial"/>
          <w:b/>
          <w:color w:val="auto"/>
          <w:sz w:val="21"/>
          <w:highlight w:val="none"/>
        </w:rPr>
        <w:t>五、事故、事件管理</w:t>
      </w:r>
    </w:p>
    <w:p w14:paraId="401E60BB">
      <w:pPr>
        <w:topLinePunct/>
        <w:snapToGrid w:val="0"/>
        <w:ind w:firstLine="420" w:firstLineChars="200"/>
        <w:jc w:val="left"/>
        <w:rPr>
          <w:rFonts w:cs="Arial"/>
          <w:color w:val="auto"/>
          <w:sz w:val="21"/>
          <w:highlight w:val="none"/>
        </w:rPr>
      </w:pPr>
      <w:r>
        <w:rPr>
          <w:rFonts w:hint="eastAsia" w:cs="Arial"/>
          <w:color w:val="auto"/>
          <w:sz w:val="21"/>
          <w:highlight w:val="none"/>
        </w:rPr>
        <w:t>1.工程施工过程中乙方发生安全、环境事故事件，除按规定上报各自的单位之外，还必须按照</w:t>
      </w:r>
      <w:r>
        <w:rPr>
          <w:rFonts w:cs="Arial"/>
          <w:color w:val="auto"/>
          <w:sz w:val="21"/>
          <w:highlight w:val="none"/>
        </w:rPr>
        <w:t>茂名石化</w:t>
      </w:r>
      <w:r>
        <w:rPr>
          <w:rFonts w:hint="eastAsia" w:cs="Arial"/>
          <w:color w:val="auto"/>
          <w:sz w:val="21"/>
          <w:highlight w:val="none"/>
        </w:rPr>
        <w:t>制度，在规定的时间内如实向甲方报告，负责事故事件内部调查和提交事故事件报告。</w:t>
      </w:r>
    </w:p>
    <w:p w14:paraId="2EAF3699">
      <w:pPr>
        <w:topLinePunct/>
        <w:snapToGrid w:val="0"/>
        <w:ind w:firstLine="420" w:firstLineChars="200"/>
        <w:jc w:val="left"/>
        <w:rPr>
          <w:rFonts w:cs="Arial"/>
          <w:color w:val="auto"/>
          <w:sz w:val="21"/>
          <w:highlight w:val="none"/>
        </w:rPr>
      </w:pPr>
      <w:r>
        <w:rPr>
          <w:rFonts w:hint="eastAsia" w:cs="Arial"/>
          <w:color w:val="auto"/>
          <w:sz w:val="21"/>
          <w:highlight w:val="none"/>
        </w:rPr>
        <w:t>2.工程施工过程中乙方发生因乙方责任导致的事故事件，造成人身或财产伤害或环境污染，乙方承担全部经济责任和法律责任，并赔偿给甲方带来的直接和间接经济损失。</w:t>
      </w:r>
    </w:p>
    <w:p w14:paraId="25C529B9">
      <w:pPr>
        <w:topLinePunct/>
        <w:snapToGrid w:val="0"/>
        <w:ind w:firstLine="420" w:firstLineChars="200"/>
        <w:jc w:val="left"/>
        <w:rPr>
          <w:rFonts w:cs="Arial"/>
          <w:color w:val="auto"/>
          <w:sz w:val="21"/>
          <w:highlight w:val="none"/>
        </w:rPr>
      </w:pPr>
      <w:r>
        <w:rPr>
          <w:rFonts w:hint="eastAsia" w:cs="Arial"/>
          <w:color w:val="auto"/>
          <w:sz w:val="21"/>
          <w:highlight w:val="none"/>
        </w:rPr>
        <w:t>3.发生其它责任事故，按责任比重承担相应的经济赔偿和相应责任。</w:t>
      </w:r>
    </w:p>
    <w:p w14:paraId="29293367">
      <w:pPr>
        <w:topLinePunct/>
        <w:snapToGrid w:val="0"/>
        <w:ind w:firstLine="420" w:firstLineChars="200"/>
        <w:jc w:val="left"/>
        <w:rPr>
          <w:rFonts w:cs="Arial"/>
          <w:color w:val="auto"/>
          <w:sz w:val="21"/>
          <w:highlight w:val="none"/>
        </w:rPr>
      </w:pPr>
      <w:r>
        <w:rPr>
          <w:rFonts w:hint="eastAsia" w:cs="Arial"/>
          <w:color w:val="auto"/>
          <w:sz w:val="21"/>
          <w:highlight w:val="none"/>
        </w:rPr>
        <w:t>4.甲方、乙方双方共同违约造成事故，按双方责任大小承担相应责任，并按规定追究有关人员责任。</w:t>
      </w:r>
    </w:p>
    <w:p w14:paraId="1FD47516">
      <w:pPr>
        <w:topLinePunct/>
        <w:snapToGrid w:val="0"/>
        <w:ind w:firstLine="420" w:firstLineChars="200"/>
        <w:jc w:val="left"/>
        <w:rPr>
          <w:rFonts w:cs="Arial"/>
          <w:color w:val="auto"/>
          <w:sz w:val="21"/>
          <w:highlight w:val="none"/>
        </w:rPr>
      </w:pPr>
      <w:r>
        <w:rPr>
          <w:rFonts w:hint="eastAsia" w:cs="Arial"/>
          <w:color w:val="auto"/>
          <w:sz w:val="21"/>
          <w:highlight w:val="none"/>
        </w:rPr>
        <w:t>5.对乙方发生事故后弄虚作假、隐瞒不报、迟报或谎报，一经查出，按有关规定从重处罚。</w:t>
      </w:r>
    </w:p>
    <w:p w14:paraId="5BCB4A26">
      <w:pPr>
        <w:topLinePunct/>
        <w:snapToGrid w:val="0"/>
        <w:ind w:firstLine="422" w:firstLineChars="200"/>
        <w:jc w:val="left"/>
        <w:rPr>
          <w:rFonts w:cs="Arial"/>
          <w:b/>
          <w:color w:val="auto"/>
          <w:sz w:val="21"/>
          <w:highlight w:val="none"/>
        </w:rPr>
      </w:pPr>
      <w:r>
        <w:rPr>
          <w:rFonts w:hint="eastAsia" w:cs="Arial"/>
          <w:b/>
          <w:color w:val="auto"/>
          <w:sz w:val="21"/>
          <w:highlight w:val="none"/>
        </w:rPr>
        <w:t>六、违约责任</w:t>
      </w:r>
    </w:p>
    <w:p w14:paraId="75817BCD">
      <w:pPr>
        <w:topLinePunct/>
        <w:snapToGrid w:val="0"/>
        <w:ind w:firstLine="420" w:firstLineChars="200"/>
        <w:jc w:val="left"/>
        <w:rPr>
          <w:rFonts w:cs="Arial"/>
          <w:color w:val="auto"/>
          <w:sz w:val="21"/>
          <w:highlight w:val="none"/>
        </w:rPr>
      </w:pPr>
      <w:r>
        <w:rPr>
          <w:rFonts w:hint="eastAsia" w:cs="Arial"/>
          <w:color w:val="auto"/>
          <w:sz w:val="21"/>
          <w:highlight w:val="none"/>
        </w:rPr>
        <w:t xml:space="preserve"> (一)甲方违约。当发生下列情况之一的，甲方承担违约责任，依法赔偿给乙方造成的经济损失；因违约造成生产安全事故的，按照相关法律法规、规章制度的规定，甲方依法承担相应责任：</w:t>
      </w:r>
    </w:p>
    <w:p w14:paraId="7A2B5387">
      <w:pPr>
        <w:topLinePunct/>
        <w:snapToGrid w:val="0"/>
        <w:ind w:firstLine="420" w:firstLineChars="200"/>
        <w:jc w:val="left"/>
        <w:rPr>
          <w:rFonts w:cs="Arial"/>
          <w:color w:val="auto"/>
          <w:sz w:val="21"/>
          <w:highlight w:val="none"/>
        </w:rPr>
      </w:pPr>
      <w:r>
        <w:rPr>
          <w:rFonts w:hint="eastAsia" w:cs="Arial"/>
          <w:color w:val="auto"/>
          <w:sz w:val="21"/>
          <w:highlight w:val="none"/>
        </w:rPr>
        <w:t>1.甲方违章指挥或者强令乙方及其从业人员冒险作业的；</w:t>
      </w:r>
    </w:p>
    <w:p w14:paraId="60C03003">
      <w:pPr>
        <w:topLinePunct/>
        <w:snapToGrid w:val="0"/>
        <w:ind w:firstLine="420" w:firstLineChars="200"/>
        <w:jc w:val="left"/>
        <w:rPr>
          <w:rFonts w:cs="Arial"/>
          <w:color w:val="auto"/>
          <w:sz w:val="21"/>
          <w:highlight w:val="none"/>
        </w:rPr>
      </w:pPr>
      <w:r>
        <w:rPr>
          <w:rFonts w:hint="eastAsia" w:cs="Arial"/>
          <w:color w:val="auto"/>
          <w:sz w:val="21"/>
          <w:highlight w:val="none"/>
        </w:rPr>
        <w:t>2.甲方不能保证与工程有关的生产系统安全设施正常运行的；</w:t>
      </w:r>
    </w:p>
    <w:p w14:paraId="72BD8ACD">
      <w:pPr>
        <w:topLinePunct/>
        <w:snapToGrid w:val="0"/>
        <w:ind w:firstLine="420" w:firstLineChars="200"/>
        <w:jc w:val="left"/>
        <w:rPr>
          <w:rFonts w:cs="Arial"/>
          <w:color w:val="auto"/>
          <w:sz w:val="21"/>
          <w:highlight w:val="none"/>
        </w:rPr>
      </w:pPr>
      <w:r>
        <w:rPr>
          <w:rFonts w:hint="eastAsia" w:cs="Arial"/>
          <w:color w:val="auto"/>
          <w:sz w:val="21"/>
          <w:highlight w:val="none"/>
        </w:rPr>
        <w:t>3.甲方违反工程设计安排乙方施工作业的；</w:t>
      </w:r>
    </w:p>
    <w:p w14:paraId="1E34F0EB">
      <w:pPr>
        <w:topLinePunct/>
        <w:snapToGrid w:val="0"/>
        <w:ind w:firstLine="420" w:firstLineChars="200"/>
        <w:jc w:val="left"/>
        <w:rPr>
          <w:rFonts w:cs="Arial"/>
          <w:color w:val="auto"/>
          <w:sz w:val="21"/>
          <w:highlight w:val="none"/>
        </w:rPr>
      </w:pPr>
      <w:r>
        <w:rPr>
          <w:rFonts w:hint="eastAsia" w:cs="Arial"/>
          <w:color w:val="auto"/>
          <w:sz w:val="21"/>
          <w:highlight w:val="none"/>
        </w:rPr>
        <w:t>4.甲方不履行协议义务或不按协议约定履行义务的其他情况。</w:t>
      </w:r>
    </w:p>
    <w:p w14:paraId="2A43C9B5">
      <w:pPr>
        <w:topLinePunct/>
        <w:snapToGrid w:val="0"/>
        <w:ind w:firstLine="420" w:firstLineChars="200"/>
        <w:jc w:val="left"/>
        <w:rPr>
          <w:rFonts w:cs="Arial"/>
          <w:color w:val="auto"/>
          <w:sz w:val="21"/>
          <w:highlight w:val="none"/>
        </w:rPr>
      </w:pPr>
      <w:r>
        <w:rPr>
          <w:rFonts w:hint="eastAsia" w:cs="Arial"/>
          <w:color w:val="auto"/>
          <w:sz w:val="21"/>
          <w:highlight w:val="none"/>
        </w:rPr>
        <w:t xml:space="preserve">(二)乙方违约。当发生下列情况之一的，乙方承担违约责任，依法赔偿给甲方造成的损失；因违约造成生产安全事故的，按照相关法律法规、规章制度的规定，乙方依法承担相应责任： </w:t>
      </w:r>
    </w:p>
    <w:p w14:paraId="2A425AE1">
      <w:pPr>
        <w:topLinePunct/>
        <w:snapToGrid w:val="0"/>
        <w:ind w:firstLine="420" w:firstLineChars="200"/>
        <w:jc w:val="left"/>
        <w:rPr>
          <w:rFonts w:cs="Arial"/>
          <w:color w:val="auto"/>
          <w:sz w:val="21"/>
          <w:highlight w:val="none"/>
        </w:rPr>
      </w:pPr>
      <w:r>
        <w:rPr>
          <w:rFonts w:hint="eastAsia" w:cs="Arial"/>
          <w:color w:val="auto"/>
          <w:sz w:val="21"/>
          <w:highlight w:val="none"/>
        </w:rPr>
        <w:t>1.乙方未按照约定将甲方提供的安全生产费用落实到位、专款专用的；</w:t>
      </w:r>
    </w:p>
    <w:p w14:paraId="5C23F8C7">
      <w:pPr>
        <w:topLinePunct/>
        <w:snapToGrid w:val="0"/>
        <w:ind w:firstLine="420" w:firstLineChars="200"/>
        <w:jc w:val="left"/>
        <w:rPr>
          <w:rFonts w:cs="Arial"/>
          <w:color w:val="auto"/>
          <w:sz w:val="21"/>
          <w:highlight w:val="none"/>
        </w:rPr>
      </w:pPr>
      <w:r>
        <w:rPr>
          <w:rFonts w:hint="eastAsia" w:cs="Arial"/>
          <w:color w:val="auto"/>
          <w:sz w:val="21"/>
          <w:highlight w:val="none"/>
        </w:rPr>
        <w:t>2.乙方不能保证与工程规模相匹配的施工资质、技术人员、特种作业人员和设备设施的；</w:t>
      </w:r>
    </w:p>
    <w:p w14:paraId="64008F45">
      <w:pPr>
        <w:topLinePunct/>
        <w:snapToGrid w:val="0"/>
        <w:ind w:firstLine="420" w:firstLineChars="200"/>
        <w:jc w:val="left"/>
        <w:rPr>
          <w:rFonts w:cs="Arial"/>
          <w:color w:val="auto"/>
          <w:sz w:val="21"/>
          <w:highlight w:val="none"/>
        </w:rPr>
      </w:pPr>
      <w:r>
        <w:rPr>
          <w:rFonts w:hint="eastAsia" w:cs="Arial"/>
          <w:color w:val="auto"/>
          <w:sz w:val="21"/>
          <w:highlight w:val="none"/>
        </w:rPr>
        <w:t>3.乙方有关资质、证照已过期的，或者安排证件已过期的各类应持证人员上岗作业的；</w:t>
      </w:r>
    </w:p>
    <w:p w14:paraId="12340EDD">
      <w:pPr>
        <w:topLinePunct/>
        <w:snapToGrid w:val="0"/>
        <w:ind w:firstLine="420" w:firstLineChars="200"/>
        <w:jc w:val="left"/>
        <w:rPr>
          <w:rFonts w:cs="Arial"/>
          <w:color w:val="auto"/>
          <w:sz w:val="21"/>
          <w:highlight w:val="none"/>
        </w:rPr>
      </w:pPr>
      <w:r>
        <w:rPr>
          <w:rFonts w:hint="eastAsia" w:cs="Arial"/>
          <w:color w:val="auto"/>
          <w:sz w:val="21"/>
          <w:highlight w:val="none"/>
        </w:rPr>
        <w:t>4.乙方人员违章指挥或者违章作业的；</w:t>
      </w:r>
    </w:p>
    <w:p w14:paraId="0FBC5CD2">
      <w:pPr>
        <w:topLinePunct/>
        <w:snapToGrid w:val="0"/>
        <w:ind w:firstLine="420" w:firstLineChars="200"/>
        <w:jc w:val="left"/>
        <w:rPr>
          <w:rFonts w:cs="Arial"/>
          <w:color w:val="auto"/>
          <w:sz w:val="21"/>
          <w:highlight w:val="none"/>
        </w:rPr>
      </w:pPr>
      <w:r>
        <w:rPr>
          <w:rFonts w:hint="eastAsia" w:cs="Arial"/>
          <w:color w:val="auto"/>
          <w:sz w:val="21"/>
          <w:highlight w:val="none"/>
        </w:rPr>
        <w:t>5.乙方现场安全管理不到位的；</w:t>
      </w:r>
    </w:p>
    <w:p w14:paraId="081874D7">
      <w:pPr>
        <w:topLinePunct/>
        <w:snapToGrid w:val="0"/>
        <w:ind w:firstLine="420" w:firstLineChars="200"/>
        <w:jc w:val="left"/>
        <w:rPr>
          <w:rFonts w:cs="Arial"/>
          <w:color w:val="auto"/>
          <w:sz w:val="21"/>
          <w:highlight w:val="none"/>
        </w:rPr>
      </w:pPr>
      <w:r>
        <w:rPr>
          <w:rFonts w:hint="eastAsia" w:cs="Arial"/>
          <w:color w:val="auto"/>
          <w:sz w:val="21"/>
          <w:highlight w:val="none"/>
        </w:rPr>
        <w:t>6.发生事故后，乙方未及时开展应急救援工作的；</w:t>
      </w:r>
    </w:p>
    <w:p w14:paraId="4AB81949">
      <w:pPr>
        <w:topLinePunct/>
        <w:snapToGrid w:val="0"/>
        <w:ind w:firstLine="420" w:firstLineChars="200"/>
        <w:jc w:val="left"/>
        <w:rPr>
          <w:rFonts w:cs="Arial"/>
          <w:color w:val="auto"/>
          <w:sz w:val="21"/>
          <w:highlight w:val="none"/>
        </w:rPr>
      </w:pPr>
      <w:r>
        <w:rPr>
          <w:rFonts w:hint="eastAsia" w:cs="Arial"/>
          <w:color w:val="auto"/>
          <w:sz w:val="21"/>
          <w:highlight w:val="none"/>
        </w:rPr>
        <w:t>7.乙方不履行协议义务或者未按协议约定履行义务的其他情况。</w:t>
      </w:r>
    </w:p>
    <w:p w14:paraId="30931D03">
      <w:pPr>
        <w:topLinePunct/>
        <w:snapToGrid w:val="0"/>
        <w:ind w:firstLine="420" w:firstLineChars="200"/>
        <w:jc w:val="left"/>
        <w:rPr>
          <w:rFonts w:cs="Arial"/>
          <w:color w:val="auto"/>
          <w:sz w:val="21"/>
          <w:highlight w:val="none"/>
        </w:rPr>
      </w:pPr>
      <w:r>
        <w:rPr>
          <w:rFonts w:hint="eastAsia" w:cs="Arial"/>
          <w:color w:val="auto"/>
          <w:sz w:val="21"/>
          <w:highlight w:val="none"/>
        </w:rPr>
        <w:t>（三）其他：</w:t>
      </w:r>
      <w:r>
        <w:rPr>
          <w:rFonts w:hint="eastAsia"/>
          <w:bCs/>
          <w:color w:val="auto"/>
          <w:sz w:val="21"/>
          <w:highlight w:val="none"/>
        </w:rPr>
        <w:t xml:space="preserve">            </w:t>
      </w:r>
    </w:p>
    <w:p w14:paraId="521115E3">
      <w:pPr>
        <w:topLinePunct/>
        <w:snapToGrid w:val="0"/>
        <w:ind w:firstLine="422" w:firstLineChars="200"/>
        <w:jc w:val="left"/>
        <w:rPr>
          <w:rFonts w:cs="Arial"/>
          <w:b/>
          <w:color w:val="auto"/>
          <w:sz w:val="21"/>
          <w:highlight w:val="none"/>
        </w:rPr>
      </w:pPr>
      <w:r>
        <w:rPr>
          <w:rFonts w:hint="eastAsia" w:cs="Arial"/>
          <w:b/>
          <w:color w:val="auto"/>
          <w:sz w:val="21"/>
          <w:highlight w:val="none"/>
        </w:rPr>
        <w:t>七、安全生产费用使用清单范围</w:t>
      </w:r>
    </w:p>
    <w:p w14:paraId="0D2FEF27">
      <w:pPr>
        <w:topLinePunct/>
        <w:snapToGrid w:val="0"/>
        <w:ind w:firstLine="420" w:firstLineChars="200"/>
        <w:jc w:val="left"/>
        <w:rPr>
          <w:rFonts w:cs="Arial"/>
          <w:color w:val="auto"/>
          <w:sz w:val="21"/>
          <w:highlight w:val="none"/>
        </w:rPr>
      </w:pPr>
      <w:r>
        <w:rPr>
          <w:rFonts w:hint="eastAsia" w:cs="Arial"/>
          <w:color w:val="auto"/>
          <w:sz w:val="21"/>
          <w:highlight w:val="none"/>
        </w:rPr>
        <w:t>本HSE标准协议书约定的安全作业环境及安全施工措施等一切所需安全生产费用已包括在相关工作的合同价款中。乙方应确保安全生产费用落实到位、专款专用。</w:t>
      </w:r>
    </w:p>
    <w:p w14:paraId="1174ACEE">
      <w:pPr>
        <w:topLinePunct/>
        <w:snapToGrid w:val="0"/>
        <w:ind w:firstLine="420" w:firstLineChars="200"/>
        <w:jc w:val="left"/>
        <w:rPr>
          <w:rFonts w:cs="Arial"/>
          <w:color w:val="auto"/>
          <w:sz w:val="21"/>
          <w:highlight w:val="none"/>
        </w:rPr>
      </w:pPr>
      <w:r>
        <w:rPr>
          <w:rFonts w:hint="eastAsia" w:cs="Arial"/>
          <w:color w:val="auto"/>
          <w:sz w:val="21"/>
          <w:highlight w:val="none"/>
        </w:rPr>
        <w:t>1.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14:paraId="22A4BC06">
      <w:pPr>
        <w:topLinePunct/>
        <w:snapToGrid w:val="0"/>
        <w:ind w:firstLine="420" w:firstLineChars="200"/>
        <w:jc w:val="left"/>
        <w:rPr>
          <w:rFonts w:cs="Arial"/>
          <w:color w:val="auto"/>
          <w:sz w:val="21"/>
          <w:highlight w:val="none"/>
        </w:rPr>
      </w:pPr>
      <w:r>
        <w:rPr>
          <w:rFonts w:hint="eastAsia" w:cs="Arial"/>
          <w:color w:val="auto"/>
          <w:sz w:val="21"/>
          <w:highlight w:val="none"/>
        </w:rPr>
        <w:t>2.配备、维护、保养应急救援器材及设备和应急演练支出。</w:t>
      </w:r>
    </w:p>
    <w:p w14:paraId="0451C03B">
      <w:pPr>
        <w:topLinePunct/>
        <w:snapToGrid w:val="0"/>
        <w:ind w:firstLine="420" w:firstLineChars="200"/>
        <w:jc w:val="left"/>
        <w:rPr>
          <w:rFonts w:cs="Arial"/>
          <w:color w:val="auto"/>
          <w:sz w:val="21"/>
          <w:highlight w:val="none"/>
        </w:rPr>
      </w:pPr>
      <w:r>
        <w:rPr>
          <w:rFonts w:hint="eastAsia" w:cs="Arial"/>
          <w:color w:val="auto"/>
          <w:sz w:val="21"/>
          <w:highlight w:val="none"/>
        </w:rPr>
        <w:t>3.开展重大危险源和事故隐患评估、监控和整改支出。</w:t>
      </w:r>
    </w:p>
    <w:p w14:paraId="524882FA">
      <w:pPr>
        <w:topLinePunct/>
        <w:snapToGrid w:val="0"/>
        <w:ind w:firstLine="420" w:firstLineChars="200"/>
        <w:jc w:val="left"/>
        <w:rPr>
          <w:rFonts w:cs="Arial"/>
          <w:color w:val="auto"/>
          <w:sz w:val="21"/>
          <w:highlight w:val="none"/>
        </w:rPr>
      </w:pPr>
      <w:r>
        <w:rPr>
          <w:rFonts w:hint="eastAsia" w:cs="Arial"/>
          <w:color w:val="auto"/>
          <w:sz w:val="21"/>
          <w:highlight w:val="none"/>
        </w:rPr>
        <w:t>4.安全生产检查、评价（不包括新建、改建、扩建项目安全评价）、咨询和标准化建设</w:t>
      </w:r>
    </w:p>
    <w:p w14:paraId="2F31F4B9">
      <w:pPr>
        <w:topLinePunct/>
        <w:snapToGrid w:val="0"/>
        <w:ind w:firstLine="420" w:firstLineChars="200"/>
        <w:jc w:val="left"/>
        <w:rPr>
          <w:rFonts w:cs="Arial"/>
          <w:color w:val="auto"/>
          <w:sz w:val="21"/>
          <w:highlight w:val="none"/>
        </w:rPr>
      </w:pPr>
      <w:r>
        <w:rPr>
          <w:rFonts w:hint="eastAsia" w:cs="Arial"/>
          <w:color w:val="auto"/>
          <w:sz w:val="21"/>
          <w:highlight w:val="none"/>
        </w:rPr>
        <w:t>支出。</w:t>
      </w:r>
    </w:p>
    <w:p w14:paraId="3B1A0883">
      <w:pPr>
        <w:topLinePunct/>
        <w:snapToGrid w:val="0"/>
        <w:ind w:firstLine="420" w:firstLineChars="200"/>
        <w:jc w:val="left"/>
        <w:rPr>
          <w:rFonts w:cs="Arial"/>
          <w:color w:val="auto"/>
          <w:sz w:val="21"/>
          <w:highlight w:val="none"/>
        </w:rPr>
      </w:pPr>
      <w:r>
        <w:rPr>
          <w:rFonts w:hint="eastAsia" w:cs="Arial"/>
          <w:color w:val="auto"/>
          <w:sz w:val="21"/>
          <w:highlight w:val="none"/>
        </w:rPr>
        <w:t>5.配备和更新现场作业人员安全防护用品支出。</w:t>
      </w:r>
    </w:p>
    <w:p w14:paraId="3379B6AE">
      <w:pPr>
        <w:topLinePunct/>
        <w:snapToGrid w:val="0"/>
        <w:ind w:firstLine="420" w:firstLineChars="200"/>
        <w:jc w:val="left"/>
        <w:rPr>
          <w:rFonts w:cs="Arial"/>
          <w:color w:val="auto"/>
          <w:sz w:val="21"/>
          <w:highlight w:val="none"/>
        </w:rPr>
      </w:pPr>
      <w:r>
        <w:rPr>
          <w:rFonts w:hint="eastAsia" w:cs="Arial"/>
          <w:color w:val="auto"/>
          <w:sz w:val="21"/>
          <w:highlight w:val="none"/>
        </w:rPr>
        <w:t>6.安全生产宣传、教育、培训支出。</w:t>
      </w:r>
    </w:p>
    <w:p w14:paraId="0ADE79AD">
      <w:pPr>
        <w:topLinePunct/>
        <w:snapToGrid w:val="0"/>
        <w:ind w:firstLine="420" w:firstLineChars="200"/>
        <w:jc w:val="left"/>
        <w:rPr>
          <w:rFonts w:cs="Arial"/>
          <w:color w:val="auto"/>
          <w:sz w:val="21"/>
          <w:highlight w:val="none"/>
        </w:rPr>
      </w:pPr>
      <w:r>
        <w:rPr>
          <w:rFonts w:hint="eastAsia" w:cs="Arial"/>
          <w:color w:val="auto"/>
          <w:sz w:val="21"/>
          <w:highlight w:val="none"/>
        </w:rPr>
        <w:t>7.安全生产适用的新技术、新标准、新工艺、新装备的推广应用支出。</w:t>
      </w:r>
    </w:p>
    <w:p w14:paraId="299C2AFC">
      <w:pPr>
        <w:topLinePunct/>
        <w:snapToGrid w:val="0"/>
        <w:ind w:firstLine="420" w:firstLineChars="200"/>
        <w:jc w:val="left"/>
        <w:rPr>
          <w:rFonts w:cs="Arial"/>
          <w:color w:val="auto"/>
          <w:sz w:val="21"/>
          <w:highlight w:val="none"/>
        </w:rPr>
      </w:pPr>
      <w:r>
        <w:rPr>
          <w:rFonts w:hint="eastAsia" w:cs="Arial"/>
          <w:color w:val="auto"/>
          <w:sz w:val="21"/>
          <w:highlight w:val="none"/>
        </w:rPr>
        <w:t>8.安全设施及特种设备检测检验支出。</w:t>
      </w:r>
    </w:p>
    <w:p w14:paraId="408A77ED">
      <w:pPr>
        <w:topLinePunct/>
        <w:snapToGrid w:val="0"/>
        <w:ind w:firstLine="420" w:firstLineChars="200"/>
        <w:jc w:val="left"/>
        <w:rPr>
          <w:rFonts w:cs="Arial"/>
          <w:color w:val="auto"/>
          <w:sz w:val="21"/>
          <w:highlight w:val="none"/>
        </w:rPr>
      </w:pPr>
      <w:r>
        <w:rPr>
          <w:rFonts w:hint="eastAsia" w:cs="Arial"/>
          <w:color w:val="auto"/>
          <w:sz w:val="21"/>
          <w:highlight w:val="none"/>
        </w:rPr>
        <w:t>9.其他与安全生产直接相关的支出。</w:t>
      </w:r>
    </w:p>
    <w:p w14:paraId="5553A03F">
      <w:pPr>
        <w:snapToGrid w:val="0"/>
        <w:ind w:firstLine="422" w:firstLineChars="200"/>
        <w:jc w:val="left"/>
        <w:rPr>
          <w:rFonts w:cs="Arial"/>
          <w:b/>
          <w:color w:val="auto"/>
          <w:sz w:val="21"/>
          <w:highlight w:val="none"/>
        </w:rPr>
      </w:pPr>
      <w:bookmarkStart w:id="1055" w:name="_Toc403841505"/>
      <w:r>
        <w:rPr>
          <w:rFonts w:hint="eastAsia" w:cs="Arial"/>
          <w:b/>
          <w:color w:val="auto"/>
          <w:sz w:val="21"/>
          <w:highlight w:val="none"/>
        </w:rPr>
        <w:t>八、承包商</w:t>
      </w:r>
      <w:r>
        <w:rPr>
          <w:rFonts w:cs="Arial"/>
          <w:b/>
          <w:color w:val="auto"/>
          <w:sz w:val="21"/>
          <w:highlight w:val="none"/>
        </w:rPr>
        <w:t>QHSE体系审核</w:t>
      </w:r>
      <w:r>
        <w:rPr>
          <w:rFonts w:hint="eastAsia" w:cs="Arial"/>
          <w:b/>
          <w:color w:val="auto"/>
          <w:sz w:val="21"/>
          <w:highlight w:val="none"/>
        </w:rPr>
        <w:t>（适用于工程类）</w:t>
      </w:r>
    </w:p>
    <w:p w14:paraId="711B7786">
      <w:pPr>
        <w:topLinePunct/>
        <w:snapToGrid w:val="0"/>
        <w:ind w:firstLine="420" w:firstLineChars="200"/>
        <w:jc w:val="left"/>
        <w:rPr>
          <w:rFonts w:cs="Arial"/>
          <w:color w:val="auto"/>
          <w:sz w:val="21"/>
          <w:highlight w:val="none"/>
        </w:rPr>
      </w:pPr>
      <w:r>
        <w:rPr>
          <w:rFonts w:hint="eastAsia" w:cs="Arial"/>
          <w:color w:val="auto"/>
          <w:sz w:val="21"/>
          <w:highlight w:val="none"/>
        </w:rPr>
        <w:t>1.甲方根据《工程建设项目承包商QHSE体系符合性评审指南（试行）》对建设工程承包商QHSE体系进行审核。重点工程建设项目在承包商进场作业3个月内，或高风险作业大规模开展前，组织开展首次QHSE体系符合性评审。首次评审后，甲方在项目实施期内每6个月至少对建设工程承包商QHSE体系符合性进行评审。</w:t>
      </w:r>
    </w:p>
    <w:p w14:paraId="200A98CF">
      <w:pPr>
        <w:topLinePunct/>
        <w:snapToGrid w:val="0"/>
        <w:ind w:firstLine="420" w:firstLineChars="200"/>
        <w:jc w:val="left"/>
        <w:rPr>
          <w:rFonts w:cs="Arial"/>
          <w:color w:val="auto"/>
          <w:sz w:val="21"/>
          <w:highlight w:val="none"/>
        </w:rPr>
      </w:pPr>
      <w:r>
        <w:rPr>
          <w:rFonts w:hint="eastAsia" w:cs="Arial"/>
          <w:color w:val="auto"/>
          <w:sz w:val="21"/>
          <w:highlight w:val="none"/>
        </w:rPr>
        <w:t>2.建设工程按项目评审结果为不合格的，由专业主管部门对承包商采取约谈、警告和通报批评处理；同时连带约谈、警告、通报批评相关监理、总承包单位。评审结果为严重不合格的，由专业主管部门对承包商采取暂停选商资格处理，还要求承包商更换项目关键人员和主要责任人员，同时连带警告、通报批评其他相关监理、总承包单位。具体详见《茂名石化承包商管理程序》附件9。</w:t>
      </w:r>
    </w:p>
    <w:p w14:paraId="759EF36C">
      <w:pPr>
        <w:snapToGrid w:val="0"/>
        <w:ind w:firstLine="422" w:firstLineChars="200"/>
        <w:jc w:val="left"/>
        <w:rPr>
          <w:rFonts w:cs="Arial"/>
          <w:b/>
          <w:color w:val="auto"/>
          <w:sz w:val="21"/>
          <w:highlight w:val="none"/>
        </w:rPr>
      </w:pPr>
      <w:r>
        <w:rPr>
          <w:rFonts w:hint="eastAsia" w:cs="Arial"/>
          <w:b/>
          <w:color w:val="auto"/>
          <w:sz w:val="21"/>
          <w:highlight w:val="none"/>
        </w:rPr>
        <w:t>九、对承包商的</w:t>
      </w:r>
      <w:r>
        <w:rPr>
          <w:rFonts w:cs="Arial"/>
          <w:b/>
          <w:color w:val="auto"/>
          <w:sz w:val="21"/>
          <w:highlight w:val="none"/>
        </w:rPr>
        <w:t>奖励</w:t>
      </w:r>
      <w:r>
        <w:rPr>
          <w:rFonts w:hint="eastAsia" w:cs="Arial"/>
          <w:b/>
          <w:color w:val="auto"/>
          <w:sz w:val="21"/>
          <w:highlight w:val="none"/>
        </w:rPr>
        <w:t>和处罚</w:t>
      </w:r>
    </w:p>
    <w:p w14:paraId="09A7A342">
      <w:pPr>
        <w:topLinePunct/>
        <w:snapToGrid w:val="0"/>
        <w:ind w:firstLine="420" w:firstLineChars="200"/>
        <w:jc w:val="left"/>
        <w:rPr>
          <w:rFonts w:cs="Arial"/>
          <w:color w:val="auto"/>
          <w:sz w:val="21"/>
          <w:highlight w:val="none"/>
        </w:rPr>
      </w:pPr>
      <w:r>
        <w:rPr>
          <w:rFonts w:cs="Arial"/>
          <w:color w:val="auto"/>
          <w:sz w:val="21"/>
          <w:highlight w:val="none"/>
        </w:rPr>
        <w:t>1</w:t>
      </w:r>
      <w:r>
        <w:rPr>
          <w:rFonts w:hint="eastAsia" w:cs="Arial"/>
          <w:color w:val="auto"/>
          <w:sz w:val="21"/>
          <w:highlight w:val="none"/>
        </w:rPr>
        <w:t>.</w:t>
      </w:r>
      <w:r>
        <w:rPr>
          <w:rFonts w:cs="Arial"/>
          <w:color w:val="auto"/>
          <w:sz w:val="21"/>
          <w:highlight w:val="none"/>
        </w:rPr>
        <w:t>承包商在现场直接作业管理上创新安全管理方式或建议，提出或引进新的技术、设备设施，能够降低现场施工作业风险，提高安全系数，值得推广学习的,</w:t>
      </w:r>
      <w:r>
        <w:rPr>
          <w:rFonts w:hint="eastAsia" w:cs="Arial"/>
          <w:color w:val="auto"/>
          <w:sz w:val="21"/>
          <w:highlight w:val="none"/>
        </w:rPr>
        <w:t>每项</w:t>
      </w:r>
      <w:r>
        <w:rPr>
          <w:rFonts w:cs="Arial"/>
          <w:color w:val="auto"/>
          <w:sz w:val="21"/>
          <w:highlight w:val="none"/>
        </w:rPr>
        <w:t>奖励2～10分。</w:t>
      </w:r>
    </w:p>
    <w:p w14:paraId="643E0532">
      <w:pPr>
        <w:topLinePunct/>
        <w:snapToGrid w:val="0"/>
        <w:ind w:firstLine="420" w:firstLineChars="200"/>
        <w:jc w:val="left"/>
        <w:rPr>
          <w:rFonts w:cs="Arial"/>
          <w:color w:val="auto"/>
          <w:sz w:val="21"/>
          <w:highlight w:val="none"/>
        </w:rPr>
      </w:pPr>
      <w:r>
        <w:rPr>
          <w:rFonts w:cs="Arial"/>
          <w:color w:val="auto"/>
          <w:sz w:val="21"/>
          <w:highlight w:val="none"/>
        </w:rPr>
        <w:t>2</w:t>
      </w:r>
      <w:r>
        <w:rPr>
          <w:rFonts w:hint="eastAsia" w:cs="Arial"/>
          <w:color w:val="auto"/>
          <w:sz w:val="21"/>
          <w:highlight w:val="none"/>
        </w:rPr>
        <w:t>.</w:t>
      </w:r>
      <w:r>
        <w:rPr>
          <w:rFonts w:cs="Arial"/>
          <w:color w:val="auto"/>
          <w:sz w:val="21"/>
          <w:highlight w:val="none"/>
        </w:rPr>
        <w:t>承包商自主管理到位，认真执行《茂名石化施工作业安全管理程序》，安全完成公司级重大作业或急难险重抢修任务，</w:t>
      </w:r>
      <w:r>
        <w:rPr>
          <w:rFonts w:hint="eastAsia" w:cs="Arial"/>
          <w:color w:val="auto"/>
          <w:sz w:val="21"/>
          <w:highlight w:val="none"/>
        </w:rPr>
        <w:t>每次</w:t>
      </w:r>
      <w:r>
        <w:rPr>
          <w:rFonts w:cs="Arial"/>
          <w:color w:val="auto"/>
          <w:sz w:val="21"/>
          <w:highlight w:val="none"/>
        </w:rPr>
        <w:t>加2～10分。</w:t>
      </w:r>
    </w:p>
    <w:p w14:paraId="483F9C01">
      <w:pPr>
        <w:topLinePunct/>
        <w:snapToGrid w:val="0"/>
        <w:ind w:firstLine="420" w:firstLineChars="200"/>
        <w:jc w:val="left"/>
        <w:rPr>
          <w:rFonts w:cs="Arial"/>
          <w:color w:val="auto"/>
          <w:sz w:val="21"/>
          <w:highlight w:val="none"/>
        </w:rPr>
      </w:pPr>
      <w:r>
        <w:rPr>
          <w:rFonts w:cs="Arial"/>
          <w:color w:val="auto"/>
          <w:sz w:val="21"/>
          <w:highlight w:val="none"/>
        </w:rPr>
        <w:t>3</w:t>
      </w:r>
      <w:r>
        <w:rPr>
          <w:rFonts w:hint="eastAsia" w:cs="Arial"/>
          <w:color w:val="auto"/>
          <w:sz w:val="21"/>
          <w:highlight w:val="none"/>
        </w:rPr>
        <w:t>.认真执行《茂名石化施工作业安全管理程序》，安全完成</w:t>
      </w:r>
      <w:r>
        <w:rPr>
          <w:rFonts w:cs="Arial"/>
          <w:color w:val="auto"/>
          <w:sz w:val="21"/>
          <w:highlight w:val="none"/>
        </w:rPr>
        <w:t>50万元以下（不含50万元）的工程项目，</w:t>
      </w:r>
      <w:r>
        <w:rPr>
          <w:rFonts w:hint="eastAsia" w:cs="Arial"/>
          <w:color w:val="auto"/>
          <w:sz w:val="21"/>
          <w:highlight w:val="none"/>
        </w:rPr>
        <w:t>每项</w:t>
      </w:r>
      <w:r>
        <w:rPr>
          <w:rFonts w:cs="Arial"/>
          <w:color w:val="auto"/>
          <w:sz w:val="21"/>
          <w:highlight w:val="none"/>
        </w:rPr>
        <w:t>加1分； 100万元以下（不含100万元）的工程项目，</w:t>
      </w:r>
      <w:r>
        <w:rPr>
          <w:rFonts w:hint="eastAsia" w:cs="Arial"/>
          <w:color w:val="auto"/>
          <w:sz w:val="21"/>
          <w:highlight w:val="none"/>
        </w:rPr>
        <w:t>每项</w:t>
      </w:r>
      <w:r>
        <w:rPr>
          <w:rFonts w:cs="Arial"/>
          <w:color w:val="auto"/>
          <w:sz w:val="21"/>
          <w:highlight w:val="none"/>
        </w:rPr>
        <w:t>加2分</w:t>
      </w:r>
      <w:r>
        <w:rPr>
          <w:rFonts w:hint="eastAsia" w:cs="Arial"/>
          <w:color w:val="auto"/>
          <w:sz w:val="21"/>
          <w:highlight w:val="none"/>
        </w:rPr>
        <w:t>；</w:t>
      </w:r>
      <w:r>
        <w:rPr>
          <w:rFonts w:cs="Arial"/>
          <w:color w:val="auto"/>
          <w:sz w:val="21"/>
          <w:highlight w:val="none"/>
        </w:rPr>
        <w:t>500万元以下（不含500万元）的工程项目，</w:t>
      </w:r>
      <w:r>
        <w:rPr>
          <w:rFonts w:hint="eastAsia" w:cs="Arial"/>
          <w:color w:val="auto"/>
          <w:sz w:val="21"/>
          <w:highlight w:val="none"/>
        </w:rPr>
        <w:t>每项</w:t>
      </w:r>
      <w:r>
        <w:rPr>
          <w:rFonts w:cs="Arial"/>
          <w:color w:val="auto"/>
          <w:sz w:val="21"/>
          <w:highlight w:val="none"/>
        </w:rPr>
        <w:t>加3分；500万元-1000万元（不含1000万元）的工程项目，</w:t>
      </w:r>
      <w:r>
        <w:rPr>
          <w:rFonts w:hint="eastAsia" w:cs="Arial"/>
          <w:color w:val="auto"/>
          <w:sz w:val="21"/>
          <w:highlight w:val="none"/>
        </w:rPr>
        <w:t>每项</w:t>
      </w:r>
      <w:r>
        <w:rPr>
          <w:rFonts w:cs="Arial"/>
          <w:color w:val="auto"/>
          <w:sz w:val="21"/>
          <w:highlight w:val="none"/>
        </w:rPr>
        <w:t>加6分；1000万元-3000万元（不含3000万元）的工程项目，</w:t>
      </w:r>
      <w:r>
        <w:rPr>
          <w:rFonts w:hint="eastAsia" w:cs="Arial"/>
          <w:color w:val="auto"/>
          <w:sz w:val="21"/>
          <w:highlight w:val="none"/>
        </w:rPr>
        <w:t>每项</w:t>
      </w:r>
      <w:r>
        <w:rPr>
          <w:rFonts w:cs="Arial"/>
          <w:color w:val="auto"/>
          <w:sz w:val="21"/>
          <w:highlight w:val="none"/>
        </w:rPr>
        <w:t>加9分；3000万元-1亿元（不含1亿元）的工程项目，</w:t>
      </w:r>
      <w:r>
        <w:rPr>
          <w:rFonts w:hint="eastAsia" w:cs="Arial"/>
          <w:color w:val="auto"/>
          <w:sz w:val="21"/>
          <w:highlight w:val="none"/>
        </w:rPr>
        <w:t>每项</w:t>
      </w:r>
      <w:r>
        <w:rPr>
          <w:rFonts w:cs="Arial"/>
          <w:color w:val="auto"/>
          <w:sz w:val="21"/>
          <w:highlight w:val="none"/>
        </w:rPr>
        <w:t>加12分；1亿元以上的工程项目，</w:t>
      </w:r>
      <w:r>
        <w:rPr>
          <w:rFonts w:hint="eastAsia" w:cs="Arial"/>
          <w:color w:val="auto"/>
          <w:sz w:val="21"/>
          <w:highlight w:val="none"/>
        </w:rPr>
        <w:t>每项</w:t>
      </w:r>
      <w:r>
        <w:rPr>
          <w:rFonts w:cs="Arial"/>
          <w:color w:val="auto"/>
          <w:sz w:val="21"/>
          <w:highlight w:val="none"/>
        </w:rPr>
        <w:t>加20分。</w:t>
      </w:r>
    </w:p>
    <w:p w14:paraId="17FEFBB7">
      <w:pPr>
        <w:topLinePunct/>
        <w:snapToGrid w:val="0"/>
        <w:ind w:firstLine="420" w:firstLineChars="200"/>
        <w:jc w:val="left"/>
        <w:rPr>
          <w:rFonts w:cs="Arial"/>
          <w:color w:val="auto"/>
          <w:sz w:val="21"/>
          <w:highlight w:val="none"/>
        </w:rPr>
      </w:pPr>
      <w:r>
        <w:rPr>
          <w:rFonts w:hint="eastAsia" w:cs="Arial"/>
          <w:color w:val="auto"/>
          <w:sz w:val="21"/>
          <w:highlight w:val="none"/>
        </w:rPr>
        <w:t>4.发现安全隐患并及时报告处理的，属车间级的每次加</w:t>
      </w:r>
      <w:r>
        <w:rPr>
          <w:rFonts w:cs="Arial"/>
          <w:color w:val="auto"/>
          <w:sz w:val="21"/>
          <w:highlight w:val="none"/>
        </w:rPr>
        <w:t>1分，属分部级</w:t>
      </w:r>
      <w:r>
        <w:rPr>
          <w:rFonts w:hint="eastAsia" w:cs="Arial"/>
          <w:color w:val="auto"/>
          <w:sz w:val="21"/>
          <w:highlight w:val="none"/>
        </w:rPr>
        <w:t>每次</w:t>
      </w:r>
      <w:r>
        <w:rPr>
          <w:rFonts w:cs="Arial"/>
          <w:color w:val="auto"/>
          <w:sz w:val="21"/>
          <w:highlight w:val="none"/>
        </w:rPr>
        <w:t>加3分，属公司级的</w:t>
      </w:r>
      <w:r>
        <w:rPr>
          <w:rFonts w:hint="eastAsia" w:cs="Arial"/>
          <w:color w:val="auto"/>
          <w:sz w:val="21"/>
          <w:highlight w:val="none"/>
        </w:rPr>
        <w:t>每次</w:t>
      </w:r>
      <w:r>
        <w:rPr>
          <w:rFonts w:cs="Arial"/>
          <w:color w:val="auto"/>
          <w:sz w:val="21"/>
          <w:highlight w:val="none"/>
        </w:rPr>
        <w:t>加6分，属重大隐患</w:t>
      </w:r>
      <w:r>
        <w:rPr>
          <w:rFonts w:hint="eastAsia" w:cs="Arial"/>
          <w:color w:val="auto"/>
          <w:sz w:val="21"/>
          <w:highlight w:val="none"/>
        </w:rPr>
        <w:t>每次</w:t>
      </w:r>
      <w:r>
        <w:rPr>
          <w:rFonts w:cs="Arial"/>
          <w:color w:val="auto"/>
          <w:sz w:val="21"/>
          <w:highlight w:val="none"/>
        </w:rPr>
        <w:t>加10分。</w:t>
      </w:r>
    </w:p>
    <w:p w14:paraId="4FA9B2D8">
      <w:pPr>
        <w:topLinePunct/>
        <w:snapToGrid w:val="0"/>
        <w:ind w:firstLine="420" w:firstLineChars="200"/>
        <w:jc w:val="left"/>
        <w:rPr>
          <w:rFonts w:cs="Arial"/>
          <w:color w:val="auto"/>
          <w:sz w:val="21"/>
          <w:highlight w:val="none"/>
        </w:rPr>
      </w:pPr>
      <w:r>
        <w:rPr>
          <w:rFonts w:hint="eastAsia" w:cs="Arial"/>
          <w:color w:val="auto"/>
          <w:sz w:val="21"/>
          <w:highlight w:val="none"/>
        </w:rPr>
        <w:t>5.发现事故苗头并及时报告处理的，每次加</w:t>
      </w:r>
      <w:r>
        <w:rPr>
          <w:rFonts w:cs="Arial"/>
          <w:color w:val="auto"/>
          <w:sz w:val="21"/>
          <w:highlight w:val="none"/>
        </w:rPr>
        <w:t xml:space="preserve"> 5-10分。</w:t>
      </w:r>
    </w:p>
    <w:p w14:paraId="02AD08B1">
      <w:pPr>
        <w:topLinePunct/>
        <w:snapToGrid w:val="0"/>
        <w:ind w:firstLine="420" w:firstLineChars="200"/>
        <w:jc w:val="left"/>
        <w:rPr>
          <w:rFonts w:cs="Arial"/>
          <w:color w:val="auto"/>
          <w:sz w:val="21"/>
          <w:highlight w:val="none"/>
        </w:rPr>
      </w:pPr>
      <w:r>
        <w:rPr>
          <w:rFonts w:hint="eastAsia" w:cs="Arial"/>
          <w:color w:val="auto"/>
          <w:sz w:val="21"/>
          <w:highlight w:val="none"/>
        </w:rPr>
        <w:t>6.</w:t>
      </w:r>
      <w:r>
        <w:rPr>
          <w:rFonts w:cs="Arial"/>
          <w:color w:val="auto"/>
          <w:sz w:val="21"/>
          <w:highlight w:val="none"/>
        </w:rPr>
        <w:t>承包商</w:t>
      </w:r>
      <w:r>
        <w:rPr>
          <w:rFonts w:hint="eastAsia" w:cs="Arial"/>
          <w:color w:val="auto"/>
          <w:sz w:val="21"/>
          <w:highlight w:val="none"/>
        </w:rPr>
        <w:t>在甲方工程管理部门、二级单位组织的承包商安全工作评比活动中获得优胜的承包商和个人进行奖励，优胜单位每次奖励</w:t>
      </w:r>
      <w:r>
        <w:rPr>
          <w:rFonts w:cs="Arial"/>
          <w:color w:val="auto"/>
          <w:sz w:val="21"/>
          <w:highlight w:val="none"/>
        </w:rPr>
        <w:t>3-9分，先进个人</w:t>
      </w:r>
      <w:r>
        <w:rPr>
          <w:rFonts w:hint="eastAsia" w:cs="Arial"/>
          <w:color w:val="auto"/>
          <w:sz w:val="21"/>
          <w:highlight w:val="none"/>
        </w:rPr>
        <w:t>每人次</w:t>
      </w:r>
      <w:r>
        <w:rPr>
          <w:rFonts w:cs="Arial"/>
          <w:color w:val="auto"/>
          <w:sz w:val="21"/>
          <w:highlight w:val="none"/>
        </w:rPr>
        <w:t>奖励2-4分。</w:t>
      </w:r>
    </w:p>
    <w:p w14:paraId="3A86D1B6">
      <w:pPr>
        <w:topLinePunct/>
        <w:snapToGrid w:val="0"/>
        <w:ind w:firstLine="420" w:firstLineChars="200"/>
        <w:jc w:val="left"/>
        <w:rPr>
          <w:rFonts w:cs="Arial"/>
          <w:color w:val="auto"/>
          <w:sz w:val="21"/>
          <w:highlight w:val="none"/>
        </w:rPr>
      </w:pPr>
      <w:r>
        <w:rPr>
          <w:rFonts w:hint="eastAsia" w:cs="Arial"/>
          <w:color w:val="auto"/>
          <w:sz w:val="21"/>
          <w:highlight w:val="none"/>
        </w:rPr>
        <w:t>7.承包商施工不发生事故事件，对承包商单位及项目进行连续安全人工时奖励，达到</w:t>
      </w:r>
      <w:r>
        <w:rPr>
          <w:rFonts w:cs="Arial"/>
          <w:color w:val="auto"/>
          <w:sz w:val="21"/>
          <w:highlight w:val="none"/>
        </w:rPr>
        <w:t>10万连续安全</w:t>
      </w:r>
      <w:r>
        <w:rPr>
          <w:rFonts w:hint="eastAsia" w:cs="Arial"/>
          <w:color w:val="auto"/>
          <w:sz w:val="21"/>
          <w:highlight w:val="none"/>
        </w:rPr>
        <w:t>人</w:t>
      </w:r>
      <w:r>
        <w:rPr>
          <w:rFonts w:cs="Arial"/>
          <w:color w:val="auto"/>
          <w:sz w:val="21"/>
          <w:highlight w:val="none"/>
        </w:rPr>
        <w:t>工时加6分；达到50万连续安全</w:t>
      </w:r>
      <w:r>
        <w:rPr>
          <w:rFonts w:hint="eastAsia" w:cs="Arial"/>
          <w:color w:val="auto"/>
          <w:sz w:val="21"/>
          <w:highlight w:val="none"/>
        </w:rPr>
        <w:t>人</w:t>
      </w:r>
      <w:r>
        <w:rPr>
          <w:rFonts w:cs="Arial"/>
          <w:color w:val="auto"/>
          <w:sz w:val="21"/>
          <w:highlight w:val="none"/>
        </w:rPr>
        <w:t>工时加12分；达到100万连续安全</w:t>
      </w:r>
      <w:r>
        <w:rPr>
          <w:rFonts w:hint="eastAsia" w:cs="Arial"/>
          <w:color w:val="auto"/>
          <w:sz w:val="21"/>
          <w:highlight w:val="none"/>
        </w:rPr>
        <w:t>人</w:t>
      </w:r>
      <w:r>
        <w:rPr>
          <w:rFonts w:cs="Arial"/>
          <w:color w:val="auto"/>
          <w:sz w:val="21"/>
          <w:highlight w:val="none"/>
        </w:rPr>
        <w:t>工时加24分；达到200万连续安全</w:t>
      </w:r>
      <w:r>
        <w:rPr>
          <w:rFonts w:hint="eastAsia" w:cs="Arial"/>
          <w:color w:val="auto"/>
          <w:sz w:val="21"/>
          <w:highlight w:val="none"/>
        </w:rPr>
        <w:t>人</w:t>
      </w:r>
      <w:r>
        <w:rPr>
          <w:rFonts w:cs="Arial"/>
          <w:color w:val="auto"/>
          <w:sz w:val="21"/>
          <w:highlight w:val="none"/>
        </w:rPr>
        <w:t>工时加36分；达到300万连续安全</w:t>
      </w:r>
      <w:r>
        <w:rPr>
          <w:rFonts w:hint="eastAsia" w:cs="Arial"/>
          <w:color w:val="auto"/>
          <w:sz w:val="21"/>
          <w:highlight w:val="none"/>
        </w:rPr>
        <w:t>人</w:t>
      </w:r>
      <w:r>
        <w:rPr>
          <w:rFonts w:cs="Arial"/>
          <w:color w:val="auto"/>
          <w:sz w:val="21"/>
          <w:highlight w:val="none"/>
        </w:rPr>
        <w:t>工时加48分；达到1000万连续安全</w:t>
      </w:r>
      <w:r>
        <w:rPr>
          <w:rFonts w:hint="eastAsia" w:cs="Arial"/>
          <w:color w:val="auto"/>
          <w:sz w:val="21"/>
          <w:highlight w:val="none"/>
        </w:rPr>
        <w:t>人</w:t>
      </w:r>
      <w:r>
        <w:rPr>
          <w:rFonts w:cs="Arial"/>
          <w:color w:val="auto"/>
          <w:sz w:val="21"/>
          <w:highlight w:val="none"/>
        </w:rPr>
        <w:t>工时加100分。</w:t>
      </w:r>
    </w:p>
    <w:p w14:paraId="7B9BA66B">
      <w:pPr>
        <w:topLinePunct/>
        <w:snapToGrid w:val="0"/>
        <w:ind w:firstLine="420" w:firstLineChars="200"/>
        <w:jc w:val="left"/>
        <w:rPr>
          <w:rFonts w:cs="Arial"/>
          <w:color w:val="auto"/>
          <w:sz w:val="21"/>
          <w:highlight w:val="none"/>
        </w:rPr>
      </w:pPr>
      <w:r>
        <w:rPr>
          <w:rFonts w:hint="eastAsia" w:cs="Arial"/>
          <w:color w:val="auto"/>
          <w:sz w:val="21"/>
          <w:highlight w:val="none"/>
        </w:rPr>
        <w:t>8.承包商发生一、二、三、四、五级违章，每次对应扣承包商及违章人员12</w:t>
      </w:r>
      <w:r>
        <w:rPr>
          <w:rFonts w:cs="Arial"/>
          <w:color w:val="auto"/>
          <w:sz w:val="21"/>
          <w:highlight w:val="none"/>
        </w:rPr>
        <w:t>分、</w:t>
      </w:r>
      <w:r>
        <w:rPr>
          <w:rFonts w:hint="eastAsia" w:cs="Arial"/>
          <w:color w:val="auto"/>
          <w:sz w:val="21"/>
          <w:highlight w:val="none"/>
        </w:rPr>
        <w:t>9</w:t>
      </w:r>
      <w:r>
        <w:rPr>
          <w:rFonts w:cs="Arial"/>
          <w:color w:val="auto"/>
          <w:sz w:val="21"/>
          <w:highlight w:val="none"/>
        </w:rPr>
        <w:t>分、</w:t>
      </w:r>
      <w:r>
        <w:rPr>
          <w:rFonts w:hint="eastAsia" w:cs="Arial"/>
          <w:color w:val="auto"/>
          <w:sz w:val="21"/>
          <w:highlight w:val="none"/>
        </w:rPr>
        <w:t>6</w:t>
      </w:r>
      <w:r>
        <w:rPr>
          <w:rFonts w:cs="Arial"/>
          <w:color w:val="auto"/>
          <w:sz w:val="21"/>
          <w:highlight w:val="none"/>
        </w:rPr>
        <w:t>分、</w:t>
      </w:r>
      <w:r>
        <w:rPr>
          <w:rFonts w:hint="eastAsia" w:cs="Arial"/>
          <w:color w:val="auto"/>
          <w:sz w:val="21"/>
          <w:highlight w:val="none"/>
        </w:rPr>
        <w:t>3</w:t>
      </w:r>
      <w:r>
        <w:rPr>
          <w:rFonts w:cs="Arial"/>
          <w:color w:val="auto"/>
          <w:sz w:val="21"/>
          <w:highlight w:val="none"/>
        </w:rPr>
        <w:t>分、</w:t>
      </w:r>
      <w:r>
        <w:rPr>
          <w:rFonts w:hint="eastAsia" w:cs="Arial"/>
          <w:color w:val="auto"/>
          <w:sz w:val="21"/>
          <w:highlight w:val="none"/>
        </w:rPr>
        <w:t>1</w:t>
      </w:r>
      <w:r>
        <w:rPr>
          <w:rFonts w:cs="Arial"/>
          <w:color w:val="auto"/>
          <w:sz w:val="21"/>
          <w:highlight w:val="none"/>
        </w:rPr>
        <w:t>分。</w:t>
      </w:r>
    </w:p>
    <w:p w14:paraId="39BA051D">
      <w:pPr>
        <w:topLinePunct/>
        <w:snapToGrid w:val="0"/>
        <w:ind w:firstLine="420" w:firstLineChars="200"/>
        <w:jc w:val="left"/>
        <w:rPr>
          <w:rFonts w:cs="Arial"/>
          <w:color w:val="auto"/>
          <w:sz w:val="21"/>
          <w:highlight w:val="none"/>
        </w:rPr>
      </w:pPr>
      <w:r>
        <w:rPr>
          <w:rFonts w:hint="eastAsia" w:cs="Arial"/>
          <w:color w:val="auto"/>
          <w:sz w:val="21"/>
          <w:highlight w:val="none"/>
        </w:rPr>
        <w:t>9.承包商违章及发生事故（事件）被扣分，每扣1分罚款5000元，在工程合同款结算时兑现；对承包商的奖励分，每1分奖励5000元，用于抵消对承包商的罚款。</w:t>
      </w:r>
    </w:p>
    <w:p w14:paraId="1405C534">
      <w:pPr>
        <w:topLinePunct/>
        <w:snapToGrid w:val="0"/>
        <w:ind w:firstLine="420" w:firstLineChars="200"/>
        <w:jc w:val="left"/>
        <w:rPr>
          <w:rFonts w:ascii="仿宋_GB2312" w:hAnsi="黑体" w:eastAsia="仿宋_GB2312"/>
          <w:color w:val="auto"/>
          <w:sz w:val="32"/>
          <w:szCs w:val="32"/>
          <w:highlight w:val="none"/>
        </w:rPr>
      </w:pPr>
      <w:r>
        <w:rPr>
          <w:rFonts w:hint="eastAsia" w:cs="Arial"/>
          <w:color w:val="auto"/>
          <w:sz w:val="21"/>
          <w:highlight w:val="none"/>
        </w:rPr>
        <w:t>10.</w:t>
      </w:r>
      <w:r>
        <w:rPr>
          <w:rFonts w:hint="eastAsia" w:ascii="Calibri" w:hAnsi="Calibri"/>
          <w:color w:val="auto"/>
          <w:sz w:val="21"/>
          <w:highlight w:val="none"/>
        </w:rPr>
        <w:t>承包商年度累计扣分达到年度考核分数50%，暂停其在公司参加竞标、竞价和独家谈判资格1个月；承包商年度累计扣分达到年度考核分数，取消其安全许可并列入“黑名单”，禁止其在公司参加竞标、竞价和独家谈判资格1年。作业人员扣分累积达到</w:t>
      </w:r>
      <w:r>
        <w:rPr>
          <w:rFonts w:ascii="Calibri" w:hAnsi="Calibri"/>
          <w:color w:val="auto"/>
          <w:sz w:val="21"/>
          <w:highlight w:val="none"/>
        </w:rPr>
        <w:t>12</w:t>
      </w:r>
      <w:r>
        <w:rPr>
          <w:rFonts w:hint="eastAsia" w:ascii="Calibri" w:hAnsi="Calibri"/>
          <w:color w:val="auto"/>
          <w:sz w:val="21"/>
          <w:highlight w:val="none"/>
        </w:rPr>
        <w:t>分，即判定为不合格承包商员工并列入“黑名单”，取消其在公司从事各类工程项目施工作业的资格。</w:t>
      </w:r>
    </w:p>
    <w:p w14:paraId="5417EF58">
      <w:pPr>
        <w:snapToGrid w:val="0"/>
        <w:ind w:firstLine="422" w:firstLineChars="200"/>
        <w:jc w:val="left"/>
        <w:rPr>
          <w:rFonts w:cs="Arial"/>
          <w:b/>
          <w:color w:val="auto"/>
          <w:sz w:val="21"/>
          <w:highlight w:val="none"/>
        </w:rPr>
      </w:pPr>
      <w:r>
        <w:rPr>
          <w:rFonts w:hint="eastAsia" w:cs="Arial"/>
          <w:b/>
          <w:color w:val="auto"/>
          <w:sz w:val="21"/>
          <w:highlight w:val="none"/>
        </w:rPr>
        <w:t>十、对项目经理（负责人）的考核</w:t>
      </w:r>
    </w:p>
    <w:p w14:paraId="0F7B6F51">
      <w:pPr>
        <w:topLinePunct/>
        <w:snapToGrid w:val="0"/>
        <w:ind w:firstLine="420" w:firstLineChars="200"/>
        <w:jc w:val="left"/>
        <w:rPr>
          <w:rFonts w:cs="Arial"/>
          <w:color w:val="auto"/>
          <w:sz w:val="21"/>
          <w:highlight w:val="none"/>
        </w:rPr>
      </w:pPr>
      <w:r>
        <w:rPr>
          <w:rFonts w:hint="eastAsia" w:cs="Arial"/>
          <w:color w:val="auto"/>
          <w:sz w:val="21"/>
          <w:highlight w:val="none"/>
        </w:rPr>
        <w:t>1.承包商发生一、二、三、四、五级违章，对应扣项目经理（负责人）</w:t>
      </w:r>
      <w:r>
        <w:rPr>
          <w:rFonts w:cs="Arial"/>
          <w:color w:val="auto"/>
          <w:sz w:val="21"/>
          <w:highlight w:val="none"/>
        </w:rPr>
        <w:t>4分、3分、2分、1分、0.3分。</w:t>
      </w:r>
    </w:p>
    <w:p w14:paraId="747BB12B">
      <w:pPr>
        <w:topLinePunct/>
        <w:snapToGrid w:val="0"/>
        <w:ind w:firstLine="420" w:firstLineChars="200"/>
        <w:jc w:val="left"/>
        <w:rPr>
          <w:rFonts w:cs="Arial"/>
          <w:color w:val="auto"/>
          <w:sz w:val="21"/>
          <w:highlight w:val="none"/>
        </w:rPr>
      </w:pPr>
      <w:r>
        <w:rPr>
          <w:rFonts w:hint="eastAsia" w:cs="Arial"/>
          <w:color w:val="auto"/>
          <w:sz w:val="21"/>
          <w:highlight w:val="none"/>
        </w:rPr>
        <w:t>2.承包商受到奖励，按承包商奖励分数的三分之一奖励项目经理（负责人）。</w:t>
      </w:r>
    </w:p>
    <w:p w14:paraId="4A147FC3">
      <w:pPr>
        <w:topLinePunct/>
        <w:snapToGrid w:val="0"/>
        <w:ind w:firstLine="420" w:firstLineChars="200"/>
        <w:jc w:val="left"/>
        <w:rPr>
          <w:rFonts w:cs="Arial"/>
          <w:color w:val="auto"/>
          <w:sz w:val="21"/>
          <w:highlight w:val="none"/>
        </w:rPr>
      </w:pPr>
      <w:r>
        <w:rPr>
          <w:rFonts w:hint="eastAsia" w:ascii="Calibri" w:hAnsi="Calibri"/>
          <w:color w:val="auto"/>
          <w:sz w:val="21"/>
          <w:highlight w:val="none"/>
        </w:rPr>
        <w:t>3. 项目经理（负责人）有1个项目累计扣分达到施工周期考核分数，暂停其在公司担任项目经理（负责人）</w:t>
      </w:r>
      <w:r>
        <w:rPr>
          <w:rFonts w:ascii="Calibri" w:hAnsi="Calibri"/>
          <w:color w:val="auto"/>
          <w:sz w:val="21"/>
          <w:highlight w:val="none"/>
        </w:rPr>
        <w:t>1</w:t>
      </w:r>
      <w:r>
        <w:rPr>
          <w:rFonts w:hint="eastAsia" w:ascii="Calibri" w:hAnsi="Calibri"/>
          <w:color w:val="auto"/>
          <w:sz w:val="21"/>
          <w:highlight w:val="none"/>
        </w:rPr>
        <w:t>年的资格。</w:t>
      </w:r>
    </w:p>
    <w:p w14:paraId="597D4A39">
      <w:pPr>
        <w:topLinePunct/>
        <w:snapToGrid w:val="0"/>
        <w:ind w:firstLine="422" w:firstLineChars="200"/>
        <w:jc w:val="left"/>
        <w:rPr>
          <w:rFonts w:cs="Arial"/>
          <w:b/>
          <w:color w:val="auto"/>
          <w:sz w:val="21"/>
          <w:highlight w:val="none"/>
        </w:rPr>
      </w:pPr>
      <w:r>
        <w:rPr>
          <w:rFonts w:hint="eastAsia" w:cs="Arial"/>
          <w:b/>
          <w:color w:val="auto"/>
          <w:sz w:val="21"/>
          <w:highlight w:val="none"/>
        </w:rPr>
        <w:t>十一、事故（事件）处罚</w:t>
      </w:r>
    </w:p>
    <w:p w14:paraId="0684A6A5">
      <w:pPr>
        <w:topLinePunct/>
        <w:snapToGrid w:val="0"/>
        <w:ind w:firstLine="420" w:firstLineChars="200"/>
        <w:jc w:val="left"/>
        <w:rPr>
          <w:rFonts w:cs="Arial"/>
          <w:color w:val="auto"/>
          <w:sz w:val="21"/>
          <w:highlight w:val="none"/>
        </w:rPr>
      </w:pPr>
      <w:r>
        <w:rPr>
          <w:rFonts w:hint="eastAsia" w:cs="Arial"/>
          <w:color w:val="auto"/>
          <w:sz w:val="21"/>
          <w:highlight w:val="none"/>
        </w:rPr>
        <w:t>承包商发生甲方公司</w:t>
      </w:r>
      <w:r>
        <w:rPr>
          <w:rFonts w:cs="Arial"/>
          <w:color w:val="auto"/>
          <w:sz w:val="21"/>
          <w:highlight w:val="none"/>
        </w:rPr>
        <w:t>C</w:t>
      </w:r>
      <w:r>
        <w:rPr>
          <w:rFonts w:hint="eastAsia" w:cs="Arial"/>
          <w:color w:val="auto"/>
          <w:sz w:val="21"/>
          <w:highlight w:val="none"/>
        </w:rPr>
        <w:t>级事故（事件）或恶性未遂事故（事件）计扣</w:t>
      </w:r>
      <w:r>
        <w:rPr>
          <w:rFonts w:cs="Arial"/>
          <w:color w:val="auto"/>
          <w:sz w:val="21"/>
          <w:highlight w:val="none"/>
        </w:rPr>
        <w:t>50</w:t>
      </w:r>
      <w:r>
        <w:rPr>
          <w:rFonts w:hint="eastAsia" w:cs="Arial"/>
          <w:color w:val="auto"/>
          <w:sz w:val="21"/>
          <w:highlight w:val="none"/>
        </w:rPr>
        <w:t>分；事故（事件）主要责任者直接扣</w:t>
      </w:r>
      <w:r>
        <w:rPr>
          <w:rFonts w:cs="Arial"/>
          <w:color w:val="auto"/>
          <w:sz w:val="21"/>
          <w:highlight w:val="none"/>
        </w:rPr>
        <w:t>12</w:t>
      </w:r>
      <w:r>
        <w:rPr>
          <w:rFonts w:hint="eastAsia" w:cs="Arial"/>
          <w:color w:val="auto"/>
          <w:sz w:val="21"/>
          <w:highlight w:val="none"/>
        </w:rPr>
        <w:t>分；暂停选商资格</w:t>
      </w:r>
      <w:r>
        <w:rPr>
          <w:rFonts w:cs="Arial"/>
          <w:color w:val="auto"/>
          <w:sz w:val="21"/>
          <w:highlight w:val="none"/>
        </w:rPr>
        <w:t>3</w:t>
      </w:r>
      <w:r>
        <w:rPr>
          <w:rFonts w:hint="eastAsia" w:cs="Arial"/>
          <w:color w:val="auto"/>
          <w:sz w:val="21"/>
          <w:highlight w:val="none"/>
        </w:rPr>
        <w:t>个月。</w:t>
      </w:r>
    </w:p>
    <w:p w14:paraId="6C39ECD3">
      <w:pPr>
        <w:topLinePunct/>
        <w:snapToGrid w:val="0"/>
        <w:ind w:firstLine="420" w:firstLineChars="200"/>
        <w:jc w:val="left"/>
        <w:rPr>
          <w:rFonts w:cs="Arial"/>
          <w:color w:val="auto"/>
          <w:sz w:val="21"/>
          <w:highlight w:val="none"/>
        </w:rPr>
      </w:pPr>
      <w:r>
        <w:rPr>
          <w:rFonts w:hint="eastAsia" w:cs="Arial"/>
          <w:color w:val="auto"/>
          <w:sz w:val="21"/>
          <w:highlight w:val="none"/>
        </w:rPr>
        <w:t>承包商发生甲方公司</w:t>
      </w:r>
      <w:r>
        <w:rPr>
          <w:rFonts w:cs="Arial"/>
          <w:color w:val="auto"/>
          <w:sz w:val="21"/>
          <w:highlight w:val="none"/>
        </w:rPr>
        <w:t>B</w:t>
      </w:r>
      <w:r>
        <w:rPr>
          <w:rFonts w:hint="eastAsia" w:cs="Arial"/>
          <w:color w:val="auto"/>
          <w:sz w:val="21"/>
          <w:highlight w:val="none"/>
        </w:rPr>
        <w:t>级事故（事件）计扣</w:t>
      </w:r>
      <w:r>
        <w:rPr>
          <w:rFonts w:cs="Arial"/>
          <w:color w:val="auto"/>
          <w:sz w:val="21"/>
          <w:highlight w:val="none"/>
        </w:rPr>
        <w:t>100分；事故（事件）主要责任者直接扣12分；暂停选商资格6</w:t>
      </w:r>
      <w:r>
        <w:rPr>
          <w:rFonts w:hint="eastAsia" w:cs="Arial"/>
          <w:color w:val="auto"/>
          <w:sz w:val="21"/>
          <w:highlight w:val="none"/>
        </w:rPr>
        <w:t>个月。</w:t>
      </w:r>
    </w:p>
    <w:p w14:paraId="689C80EA">
      <w:pPr>
        <w:topLinePunct/>
        <w:snapToGrid w:val="0"/>
        <w:ind w:firstLine="420" w:firstLineChars="200"/>
        <w:jc w:val="left"/>
        <w:rPr>
          <w:rFonts w:cs="Arial"/>
          <w:color w:val="auto"/>
          <w:sz w:val="21"/>
          <w:highlight w:val="none"/>
        </w:rPr>
      </w:pPr>
      <w:r>
        <w:rPr>
          <w:rFonts w:hint="eastAsia" w:cs="Arial"/>
          <w:color w:val="auto"/>
          <w:sz w:val="21"/>
          <w:highlight w:val="none"/>
        </w:rPr>
        <w:t>承包商发生甲方公司</w:t>
      </w:r>
      <w:r>
        <w:rPr>
          <w:rFonts w:cs="Arial"/>
          <w:color w:val="auto"/>
          <w:sz w:val="21"/>
          <w:highlight w:val="none"/>
        </w:rPr>
        <w:t>A</w:t>
      </w:r>
      <w:r>
        <w:rPr>
          <w:rFonts w:hint="eastAsia" w:cs="Arial"/>
          <w:color w:val="auto"/>
          <w:sz w:val="21"/>
          <w:highlight w:val="none"/>
        </w:rPr>
        <w:t>级事故（事件）计扣</w:t>
      </w:r>
      <w:r>
        <w:rPr>
          <w:rFonts w:cs="Arial"/>
          <w:color w:val="auto"/>
          <w:sz w:val="21"/>
          <w:highlight w:val="none"/>
        </w:rPr>
        <w:t>200分；事故（事件）主要责任者直接扣12分；暂停选商资格12</w:t>
      </w:r>
      <w:r>
        <w:rPr>
          <w:rFonts w:hint="eastAsia" w:cs="Arial"/>
          <w:color w:val="auto"/>
          <w:sz w:val="21"/>
          <w:highlight w:val="none"/>
        </w:rPr>
        <w:t>个月。</w:t>
      </w:r>
    </w:p>
    <w:p w14:paraId="22120668">
      <w:pPr>
        <w:topLinePunct/>
        <w:snapToGrid w:val="0"/>
        <w:ind w:firstLine="420" w:firstLineChars="200"/>
        <w:jc w:val="left"/>
        <w:rPr>
          <w:rFonts w:cs="Arial"/>
          <w:color w:val="auto"/>
          <w:sz w:val="21"/>
          <w:highlight w:val="none"/>
        </w:rPr>
      </w:pPr>
      <w:r>
        <w:rPr>
          <w:rFonts w:hint="eastAsia" w:cs="Arial"/>
          <w:color w:val="auto"/>
          <w:sz w:val="21"/>
          <w:highlight w:val="none"/>
        </w:rPr>
        <w:t>承包商发生报甲方集团公司一般</w:t>
      </w:r>
      <w:r>
        <w:rPr>
          <w:rFonts w:cs="Arial"/>
          <w:color w:val="auto"/>
          <w:sz w:val="21"/>
          <w:highlight w:val="none"/>
        </w:rPr>
        <w:t>C</w:t>
      </w:r>
      <w:r>
        <w:rPr>
          <w:rFonts w:hint="eastAsia" w:cs="Arial"/>
          <w:color w:val="auto"/>
          <w:sz w:val="21"/>
          <w:highlight w:val="none"/>
        </w:rPr>
        <w:t>级事故（事件）计扣</w:t>
      </w:r>
      <w:r>
        <w:rPr>
          <w:rFonts w:cs="Arial"/>
          <w:color w:val="auto"/>
          <w:sz w:val="21"/>
          <w:highlight w:val="none"/>
        </w:rPr>
        <w:t>300分；事故（事件）主要责任者直接扣12分；暂停选商资格18</w:t>
      </w:r>
      <w:r>
        <w:rPr>
          <w:rFonts w:hint="eastAsia" w:cs="Arial"/>
          <w:color w:val="auto"/>
          <w:sz w:val="21"/>
          <w:highlight w:val="none"/>
        </w:rPr>
        <w:t>个月。</w:t>
      </w:r>
    </w:p>
    <w:p w14:paraId="63BD2A93">
      <w:pPr>
        <w:topLinePunct/>
        <w:snapToGrid w:val="0"/>
        <w:ind w:firstLine="420" w:firstLineChars="200"/>
        <w:jc w:val="left"/>
        <w:rPr>
          <w:rFonts w:cs="Arial"/>
          <w:color w:val="auto"/>
          <w:sz w:val="21"/>
          <w:highlight w:val="none"/>
        </w:rPr>
      </w:pPr>
      <w:r>
        <w:rPr>
          <w:rFonts w:hint="eastAsia" w:cs="Arial"/>
          <w:color w:val="auto"/>
          <w:sz w:val="21"/>
          <w:highlight w:val="none"/>
        </w:rPr>
        <w:t>承包商发生报甲方集团公司一般</w:t>
      </w:r>
      <w:r>
        <w:rPr>
          <w:rFonts w:cs="Arial"/>
          <w:color w:val="auto"/>
          <w:sz w:val="21"/>
          <w:highlight w:val="none"/>
        </w:rPr>
        <w:t>B</w:t>
      </w:r>
      <w:r>
        <w:rPr>
          <w:rFonts w:hint="eastAsia" w:cs="Arial"/>
          <w:color w:val="auto"/>
          <w:sz w:val="21"/>
          <w:highlight w:val="none"/>
        </w:rPr>
        <w:t>级事故（事件）计扣</w:t>
      </w:r>
      <w:r>
        <w:rPr>
          <w:rFonts w:cs="Arial"/>
          <w:color w:val="auto"/>
          <w:sz w:val="21"/>
          <w:highlight w:val="none"/>
        </w:rPr>
        <w:t>400分；事故（事件）主要责任者直接扣12分；暂停选商资格24</w:t>
      </w:r>
      <w:r>
        <w:rPr>
          <w:rFonts w:hint="eastAsia" w:cs="Arial"/>
          <w:color w:val="auto"/>
          <w:sz w:val="21"/>
          <w:highlight w:val="none"/>
        </w:rPr>
        <w:t>个月。</w:t>
      </w:r>
    </w:p>
    <w:p w14:paraId="5DBD1C81">
      <w:pPr>
        <w:topLinePunct/>
        <w:snapToGrid w:val="0"/>
        <w:ind w:firstLine="420" w:firstLineChars="200"/>
        <w:jc w:val="left"/>
        <w:rPr>
          <w:rFonts w:cs="Arial"/>
          <w:color w:val="auto"/>
          <w:sz w:val="21"/>
          <w:highlight w:val="none"/>
        </w:rPr>
      </w:pPr>
      <w:r>
        <w:rPr>
          <w:rFonts w:hint="eastAsia" w:cs="Arial"/>
          <w:color w:val="auto"/>
          <w:sz w:val="21"/>
          <w:highlight w:val="none"/>
        </w:rPr>
        <w:t>承包商发生报甲方集团公司一般</w:t>
      </w:r>
      <w:r>
        <w:rPr>
          <w:rFonts w:cs="Arial"/>
          <w:color w:val="auto"/>
          <w:sz w:val="21"/>
          <w:highlight w:val="none"/>
        </w:rPr>
        <w:t>A</w:t>
      </w:r>
      <w:r>
        <w:rPr>
          <w:rFonts w:hint="eastAsia" w:cs="Arial"/>
          <w:color w:val="auto"/>
          <w:sz w:val="21"/>
          <w:highlight w:val="none"/>
        </w:rPr>
        <w:t>级事故（事件）计扣</w:t>
      </w:r>
      <w:r>
        <w:rPr>
          <w:rFonts w:cs="Arial"/>
          <w:color w:val="auto"/>
          <w:sz w:val="21"/>
          <w:highlight w:val="none"/>
        </w:rPr>
        <w:t>500分；事故（事件）主要责任者直接扣12分；暂停选商资格24个月。</w:t>
      </w:r>
    </w:p>
    <w:p w14:paraId="01CCFD89">
      <w:pPr>
        <w:topLinePunct/>
        <w:snapToGrid w:val="0"/>
        <w:ind w:firstLine="420" w:firstLineChars="200"/>
        <w:jc w:val="left"/>
        <w:rPr>
          <w:rFonts w:cs="Arial"/>
          <w:color w:val="auto"/>
          <w:sz w:val="21"/>
          <w:highlight w:val="none"/>
        </w:rPr>
      </w:pPr>
      <w:r>
        <w:rPr>
          <w:rFonts w:hint="eastAsia" w:cs="Arial"/>
          <w:color w:val="auto"/>
          <w:sz w:val="21"/>
          <w:highlight w:val="none"/>
        </w:rPr>
        <w:t>承包商发生报甲方集团公司较大及以上事故（事件）计扣年度考核分数；事故（事件）主要责任者直接扣</w:t>
      </w:r>
      <w:r>
        <w:rPr>
          <w:rFonts w:cs="Arial"/>
          <w:color w:val="auto"/>
          <w:sz w:val="21"/>
          <w:highlight w:val="none"/>
        </w:rPr>
        <w:t>12分；暂停选商资格36</w:t>
      </w:r>
      <w:r>
        <w:rPr>
          <w:rFonts w:hint="eastAsia" w:cs="Arial"/>
          <w:color w:val="auto"/>
          <w:sz w:val="21"/>
          <w:highlight w:val="none"/>
        </w:rPr>
        <w:t>个月。</w:t>
      </w:r>
    </w:p>
    <w:p w14:paraId="3EA50F02">
      <w:pPr>
        <w:topLinePunct/>
        <w:snapToGrid w:val="0"/>
        <w:ind w:firstLine="422" w:firstLineChars="200"/>
        <w:jc w:val="left"/>
        <w:rPr>
          <w:rFonts w:cs="Arial"/>
          <w:b/>
          <w:color w:val="auto"/>
          <w:sz w:val="21"/>
          <w:highlight w:val="none"/>
        </w:rPr>
      </w:pPr>
      <w:r>
        <w:rPr>
          <w:rFonts w:hint="eastAsia" w:cs="Arial"/>
          <w:b/>
          <w:color w:val="auto"/>
          <w:sz w:val="21"/>
          <w:highlight w:val="none"/>
        </w:rPr>
        <w:t>十二、本协议未尽事宜，按有关规定执行。如有争议，按照合同约定</w:t>
      </w:r>
      <w:r>
        <w:rPr>
          <w:rFonts w:cs="Arial"/>
          <w:b/>
          <w:color w:val="auto"/>
          <w:sz w:val="21"/>
          <w:highlight w:val="none"/>
        </w:rPr>
        <w:t>的争议解决</w:t>
      </w:r>
      <w:r>
        <w:rPr>
          <w:rFonts w:hint="eastAsia" w:cs="Arial"/>
          <w:b/>
          <w:color w:val="auto"/>
          <w:sz w:val="21"/>
          <w:highlight w:val="none"/>
        </w:rPr>
        <w:t>条款执行。</w:t>
      </w:r>
      <w:bookmarkEnd w:id="1055"/>
    </w:p>
    <w:p w14:paraId="43744180">
      <w:pPr>
        <w:snapToGrid w:val="0"/>
        <w:ind w:firstLine="480" w:firstLineChars="200"/>
        <w:jc w:val="left"/>
        <w:rPr>
          <w:color w:val="auto"/>
          <w:highlight w:val="none"/>
        </w:rPr>
      </w:pPr>
    </w:p>
    <w:bookmarkEnd w:id="1048"/>
    <w:bookmarkEnd w:id="1049"/>
    <w:p w14:paraId="68C0C61D">
      <w:pPr>
        <w:adjustRightInd w:val="0"/>
        <w:snapToGrid w:val="0"/>
        <w:ind w:firstLine="480" w:firstLineChars="200"/>
        <w:rPr>
          <w:bCs/>
          <w:color w:val="auto"/>
          <w:highlight w:val="none"/>
          <w:lang w:val="en-GB"/>
        </w:rPr>
      </w:pPr>
      <w:r>
        <w:rPr>
          <w:bCs/>
          <w:color w:val="auto"/>
          <w:highlight w:val="none"/>
          <w:lang w:val="en-GB"/>
        </w:rPr>
        <w:t xml:space="preserve">  </w:t>
      </w:r>
    </w:p>
    <w:p w14:paraId="567FBD20">
      <w:pPr>
        <w:spacing w:after="200"/>
        <w:rPr>
          <w:color w:val="auto"/>
          <w:highlight w:val="none"/>
        </w:rPr>
      </w:pPr>
    </w:p>
    <w:p w14:paraId="0E1D40F2">
      <w:pPr>
        <w:keepNext/>
        <w:keepLines/>
        <w:pageBreakBefore/>
        <w:adjustRightInd w:val="0"/>
        <w:snapToGrid w:val="0"/>
        <w:spacing w:after="240" w:afterLines="100"/>
        <w:outlineLvl w:val="1"/>
        <w:rPr>
          <w:rFonts w:ascii="Arial" w:cs="Arial"/>
          <w:bCs/>
          <w:color w:val="auto"/>
          <w:szCs w:val="32"/>
          <w:highlight w:val="none"/>
        </w:rPr>
      </w:pPr>
      <w:bookmarkStart w:id="1056" w:name="_Toc489094536"/>
      <w:bookmarkStart w:id="1057" w:name="_Toc20846"/>
      <w:bookmarkStart w:id="1058" w:name="_Toc605113023"/>
      <w:bookmarkStart w:id="1059" w:name="_Toc119953776"/>
      <w:bookmarkStart w:id="1060" w:name="_Toc256000124"/>
      <w:bookmarkStart w:id="1061" w:name="_Toc1833218985"/>
      <w:bookmarkStart w:id="1062" w:name="_Toc90117832"/>
      <w:r>
        <w:rPr>
          <w:rFonts w:hint="eastAsia" w:ascii="Arial" w:cs="Arial"/>
          <w:bCs/>
          <w:color w:val="auto"/>
          <w:szCs w:val="32"/>
          <w:highlight w:val="none"/>
        </w:rPr>
        <w:t>附件1</w:t>
      </w:r>
      <w:r>
        <w:rPr>
          <w:rFonts w:hint="eastAsia" w:ascii="Arial" w:cs="Arial"/>
          <w:bCs/>
          <w:color w:val="auto"/>
          <w:szCs w:val="32"/>
          <w:highlight w:val="none"/>
          <w:lang w:val="en-US" w:eastAsia="zh-CN"/>
        </w:rPr>
        <w:t>1</w:t>
      </w:r>
      <w:r>
        <w:rPr>
          <w:rFonts w:hint="eastAsia" w:ascii="Arial" w:cs="Arial"/>
          <w:bCs/>
          <w:color w:val="auto"/>
          <w:szCs w:val="32"/>
          <w:highlight w:val="none"/>
        </w:rPr>
        <w:t>：</w:t>
      </w:r>
      <w:bookmarkEnd w:id="1056"/>
      <w:r>
        <w:rPr>
          <w:rFonts w:hint="eastAsia" w:ascii="Arial" w:cs="Arial"/>
          <w:bCs/>
          <w:color w:val="auto"/>
          <w:szCs w:val="32"/>
          <w:highlight w:val="none"/>
        </w:rPr>
        <w:t>现场施工文明管理规定</w:t>
      </w:r>
      <w:bookmarkEnd w:id="1057"/>
      <w:bookmarkEnd w:id="1058"/>
      <w:bookmarkEnd w:id="1059"/>
      <w:bookmarkEnd w:id="1060"/>
      <w:bookmarkEnd w:id="1061"/>
      <w:bookmarkEnd w:id="1062"/>
    </w:p>
    <w:p w14:paraId="71C1B8CA">
      <w:pPr>
        <w:autoSpaceDE w:val="0"/>
        <w:autoSpaceDN w:val="0"/>
        <w:adjustRightInd w:val="0"/>
        <w:snapToGrid w:val="0"/>
        <w:jc w:val="center"/>
        <w:rPr>
          <w:rFonts w:ascii="黑体" w:hAnsi="黑体" w:eastAsia="黑体" w:cs="Arial"/>
          <w:color w:val="auto"/>
          <w:sz w:val="28"/>
          <w:szCs w:val="28"/>
          <w:highlight w:val="none"/>
        </w:rPr>
      </w:pPr>
      <w:r>
        <w:rPr>
          <w:rFonts w:hint="eastAsia" w:ascii="黑体" w:hAnsi="黑体" w:eastAsia="黑体" w:cs="Arial"/>
          <w:color w:val="auto"/>
          <w:sz w:val="28"/>
          <w:szCs w:val="28"/>
          <w:highlight w:val="none"/>
        </w:rPr>
        <w:t>现场施工文明管理规定</w:t>
      </w:r>
    </w:p>
    <w:p w14:paraId="48E72003">
      <w:pPr>
        <w:autoSpaceDE w:val="0"/>
        <w:autoSpaceDN w:val="0"/>
        <w:adjustRightInd w:val="0"/>
        <w:snapToGrid w:val="0"/>
        <w:ind w:firstLine="480" w:firstLineChars="200"/>
        <w:rPr>
          <w:rFonts w:cs="Arial"/>
          <w:color w:val="auto"/>
          <w:highlight w:val="none"/>
        </w:rPr>
      </w:pPr>
      <w:r>
        <w:rPr>
          <w:rFonts w:hint="eastAsia" w:cs="Arial"/>
          <w:color w:val="auto"/>
          <w:highlight w:val="none"/>
        </w:rPr>
        <w:t>1. 管理办法与要求</w:t>
      </w:r>
    </w:p>
    <w:p w14:paraId="48F935E9">
      <w:pPr>
        <w:autoSpaceDE w:val="0"/>
        <w:autoSpaceDN w:val="0"/>
        <w:adjustRightInd w:val="0"/>
        <w:snapToGrid w:val="0"/>
        <w:ind w:firstLine="480" w:firstLineChars="200"/>
        <w:rPr>
          <w:rFonts w:cs="Arial"/>
          <w:color w:val="auto"/>
          <w:highlight w:val="none"/>
        </w:rPr>
      </w:pPr>
      <w:r>
        <w:rPr>
          <w:rFonts w:hint="eastAsia" w:cs="Arial"/>
          <w:color w:val="auto"/>
          <w:highlight w:val="none"/>
        </w:rPr>
        <w:t>1.1  制定文明施工制度要求：承包人要制定文明管理责任制度、检查制度、奖罚制度，并在施工组织方案中列明工程各节点文明施工专项措施。</w:t>
      </w:r>
    </w:p>
    <w:p w14:paraId="2F212BE4">
      <w:pPr>
        <w:autoSpaceDE w:val="0"/>
        <w:autoSpaceDN w:val="0"/>
        <w:adjustRightInd w:val="0"/>
        <w:snapToGrid w:val="0"/>
        <w:ind w:firstLine="480" w:firstLineChars="200"/>
        <w:rPr>
          <w:rFonts w:cs="Arial"/>
          <w:color w:val="auto"/>
          <w:highlight w:val="none"/>
        </w:rPr>
      </w:pPr>
      <w:r>
        <w:rPr>
          <w:rFonts w:hint="eastAsia" w:cs="Arial"/>
          <w:color w:val="auto"/>
          <w:highlight w:val="none"/>
        </w:rPr>
        <w:t>1.2  预制场要求：各装置预制场之间要简易隔开，避免设备、材料互串，要做到功能区明确，标识清晰、规范，在入口处要设置区域平面图。现场材料、工具摆放要整齐。</w:t>
      </w:r>
    </w:p>
    <w:p w14:paraId="08CC87EB">
      <w:pPr>
        <w:autoSpaceDE w:val="0"/>
        <w:autoSpaceDN w:val="0"/>
        <w:adjustRightInd w:val="0"/>
        <w:snapToGrid w:val="0"/>
        <w:ind w:firstLine="480" w:firstLineChars="200"/>
        <w:rPr>
          <w:rFonts w:cs="Arial"/>
          <w:color w:val="auto"/>
          <w:highlight w:val="none"/>
        </w:rPr>
      </w:pPr>
      <w:r>
        <w:rPr>
          <w:rFonts w:hint="eastAsia" w:cs="Arial"/>
          <w:color w:val="auto"/>
          <w:highlight w:val="none"/>
        </w:rPr>
        <w:t>1.3  施工区域材料、工具及施工相关物品的摆放要求：材料、工具、自行车等施工相关物品要分类、整齐摆放；易燃易爆物要按HSE要求分类、隔离存放；施工用电缆架线要合理，穿过道路的电缆要加防护措施；机械布置要合理、固定可靠。</w:t>
      </w:r>
    </w:p>
    <w:p w14:paraId="4DE304C7">
      <w:pPr>
        <w:autoSpaceDE w:val="0"/>
        <w:autoSpaceDN w:val="0"/>
        <w:adjustRightInd w:val="0"/>
        <w:snapToGrid w:val="0"/>
        <w:ind w:firstLine="480" w:firstLineChars="200"/>
        <w:rPr>
          <w:rFonts w:cs="Arial"/>
          <w:color w:val="auto"/>
          <w:highlight w:val="none"/>
        </w:rPr>
      </w:pPr>
      <w:r>
        <w:rPr>
          <w:rFonts w:hint="eastAsia" w:cs="Arial"/>
          <w:color w:val="auto"/>
          <w:highlight w:val="none"/>
        </w:rPr>
        <w:t>1.4 承包人办公地点：施工区域的承包人现场办公点统一使用活动板房，工具库房统一使用集装箱外刷乳白色油漆。现场办公点原则上设在装置红线外、围墙界区内，具体选点视现场具体情况而定。工具集装箱要求摆放在规定的地点整齐有序，外观统一刷涂墨绿色。</w:t>
      </w:r>
    </w:p>
    <w:p w14:paraId="6428A631">
      <w:pPr>
        <w:autoSpaceDE w:val="0"/>
        <w:autoSpaceDN w:val="0"/>
        <w:adjustRightInd w:val="0"/>
        <w:snapToGrid w:val="0"/>
        <w:ind w:firstLine="480" w:firstLineChars="200"/>
        <w:rPr>
          <w:rFonts w:cs="Arial"/>
          <w:color w:val="auto"/>
          <w:highlight w:val="none"/>
        </w:rPr>
      </w:pPr>
      <w:r>
        <w:rPr>
          <w:rFonts w:hint="eastAsia" w:cs="Arial"/>
          <w:color w:val="auto"/>
          <w:highlight w:val="none"/>
        </w:rPr>
        <w:t>1.5 标示牌要求：承包人统一制作3块1.2m×2.4m的白底标示牌，高2m，立柱使用地脚螺栓固定，主板为木板，其它全为不锈钢，4.5×7.6cm方通包边，0.8mm不锈钢上弧形雨棚，不锈钢圆立柱（中间串铁管，焊接连板）。内容包括装置项目介绍、HSE管理体系、质量管理体系、事故应急程序、工作目标方针，倒计时的标时牌等。标示牌内容全部喷绘（倒计时牌贴字）标题为红色，内容为黑色，字体为黑体。</w:t>
      </w:r>
    </w:p>
    <w:p w14:paraId="36F301B7">
      <w:pPr>
        <w:autoSpaceDE w:val="0"/>
        <w:autoSpaceDN w:val="0"/>
        <w:adjustRightInd w:val="0"/>
        <w:snapToGrid w:val="0"/>
        <w:ind w:firstLine="480" w:firstLineChars="200"/>
        <w:rPr>
          <w:rFonts w:cs="Arial"/>
          <w:color w:val="auto"/>
          <w:highlight w:val="none"/>
        </w:rPr>
      </w:pPr>
      <w:r>
        <w:rPr>
          <w:rFonts w:hint="eastAsia" w:cs="Arial"/>
          <w:color w:val="auto"/>
          <w:highlight w:val="none"/>
        </w:rPr>
        <w:t>1.6  厕所要求：施工区域厕所暂按搭设简易厕所考虑，设三级排粪池，污水经化粪池后排入指定排污点。若不具备排污条件，拟选用活动厕所。</w:t>
      </w:r>
    </w:p>
    <w:p w14:paraId="6A4B01A9">
      <w:pPr>
        <w:autoSpaceDE w:val="0"/>
        <w:autoSpaceDN w:val="0"/>
        <w:adjustRightInd w:val="0"/>
        <w:snapToGrid w:val="0"/>
        <w:ind w:firstLine="480" w:firstLineChars="200"/>
        <w:rPr>
          <w:rFonts w:cs="Arial"/>
          <w:color w:val="auto"/>
          <w:highlight w:val="none"/>
        </w:rPr>
      </w:pPr>
      <w:r>
        <w:rPr>
          <w:rFonts w:hint="eastAsia" w:cs="Arial"/>
          <w:color w:val="auto"/>
          <w:highlight w:val="none"/>
        </w:rPr>
        <w:t>1.7  施工用水、用电申请及事项按发包人要求办理。</w:t>
      </w:r>
    </w:p>
    <w:p w14:paraId="121EA7B4">
      <w:pPr>
        <w:autoSpaceDE w:val="0"/>
        <w:autoSpaceDN w:val="0"/>
        <w:adjustRightInd w:val="0"/>
        <w:snapToGrid w:val="0"/>
        <w:ind w:firstLine="480" w:firstLineChars="200"/>
        <w:rPr>
          <w:rFonts w:cs="Arial"/>
          <w:color w:val="auto"/>
          <w:highlight w:val="none"/>
        </w:rPr>
      </w:pPr>
      <w:r>
        <w:rPr>
          <w:rFonts w:hint="eastAsia" w:cs="Arial"/>
          <w:color w:val="auto"/>
          <w:highlight w:val="none"/>
        </w:rPr>
        <w:t>办公板房要求：现场办公板房布置统一安排以下内容：组织机构图、HSE管理体系、质保体系、装置总体统筹网络控制图、周工作计划、日工作安排等。日工作安排列</w:t>
      </w:r>
    </w:p>
    <w:p w14:paraId="607510C2">
      <w:pPr>
        <w:autoSpaceDE w:val="0"/>
        <w:autoSpaceDN w:val="0"/>
        <w:adjustRightInd w:val="0"/>
        <w:snapToGrid w:val="0"/>
        <w:ind w:firstLine="480" w:firstLineChars="200"/>
        <w:rPr>
          <w:rFonts w:cs="Arial"/>
          <w:color w:val="auto"/>
          <w:highlight w:val="none"/>
        </w:rPr>
      </w:pPr>
      <w:r>
        <w:rPr>
          <w:rFonts w:hint="eastAsia" w:cs="Arial"/>
          <w:color w:val="auto"/>
          <w:highlight w:val="none"/>
        </w:rPr>
        <w:t>1.8  入看板管理，明确责任人、完成情况、原因分析。</w:t>
      </w:r>
    </w:p>
    <w:p w14:paraId="3FF5C75A">
      <w:pPr>
        <w:autoSpaceDE w:val="0"/>
        <w:autoSpaceDN w:val="0"/>
        <w:adjustRightInd w:val="0"/>
        <w:snapToGrid w:val="0"/>
        <w:ind w:firstLine="480" w:firstLineChars="200"/>
        <w:rPr>
          <w:rFonts w:cs="Arial"/>
          <w:color w:val="auto"/>
          <w:highlight w:val="none"/>
        </w:rPr>
      </w:pPr>
      <w:r>
        <w:rPr>
          <w:rFonts w:hint="eastAsia" w:cs="Arial"/>
          <w:color w:val="auto"/>
          <w:highlight w:val="none"/>
        </w:rPr>
        <w:t>1.9  围墙标语要求：统一使用美术字、刷白底、红字、黄边。</w:t>
      </w:r>
    </w:p>
    <w:p w14:paraId="77B54A63">
      <w:pPr>
        <w:autoSpaceDE w:val="0"/>
        <w:autoSpaceDN w:val="0"/>
        <w:adjustRightInd w:val="0"/>
        <w:snapToGrid w:val="0"/>
        <w:ind w:firstLine="480" w:firstLineChars="200"/>
        <w:rPr>
          <w:rFonts w:cs="Arial"/>
          <w:color w:val="auto"/>
          <w:highlight w:val="none"/>
        </w:rPr>
      </w:pPr>
      <w:r>
        <w:rPr>
          <w:rFonts w:hint="eastAsia" w:cs="Arial"/>
          <w:color w:val="auto"/>
          <w:highlight w:val="none"/>
        </w:rPr>
        <w:t>1.10  围栏要求：施工临设区域实行封闭管理，原则上采用发包人统一规定的钢格栅形式。</w:t>
      </w:r>
    </w:p>
    <w:p w14:paraId="26B1DA3D">
      <w:pPr>
        <w:autoSpaceDE w:val="0"/>
        <w:autoSpaceDN w:val="0"/>
        <w:adjustRightInd w:val="0"/>
        <w:snapToGrid w:val="0"/>
        <w:ind w:firstLine="480" w:firstLineChars="200"/>
        <w:rPr>
          <w:rFonts w:cs="Arial"/>
          <w:color w:val="auto"/>
          <w:highlight w:val="none"/>
        </w:rPr>
      </w:pPr>
      <w:r>
        <w:rPr>
          <w:rFonts w:hint="eastAsia" w:cs="Arial"/>
          <w:color w:val="auto"/>
          <w:highlight w:val="none"/>
        </w:rPr>
        <w:t>1.11  商品混凝土要求：施工现场原则上使用商品混凝土，对客观上难以使用商品混凝土、需现场搅拌混凝土的，必须报发包人批准。</w:t>
      </w:r>
    </w:p>
    <w:p w14:paraId="3F050840">
      <w:pPr>
        <w:autoSpaceDE w:val="0"/>
        <w:autoSpaceDN w:val="0"/>
        <w:adjustRightInd w:val="0"/>
        <w:snapToGrid w:val="0"/>
        <w:ind w:firstLine="480" w:firstLineChars="200"/>
        <w:rPr>
          <w:rFonts w:cs="Arial"/>
          <w:color w:val="auto"/>
          <w:highlight w:val="none"/>
        </w:rPr>
      </w:pPr>
      <w:r>
        <w:rPr>
          <w:rFonts w:hint="eastAsia" w:cs="Arial"/>
          <w:color w:val="auto"/>
          <w:highlight w:val="none"/>
        </w:rPr>
        <w:t>1.12  施工车辆要求清洁，保证车轮和车体不得附着泥土等对施工道路和环境污染的附着物。装载的散体物料不能超过车厢，保证厂区内路面的整洁。</w:t>
      </w:r>
    </w:p>
    <w:p w14:paraId="51FAD3BF">
      <w:pPr>
        <w:autoSpaceDE w:val="0"/>
        <w:autoSpaceDN w:val="0"/>
        <w:adjustRightInd w:val="0"/>
        <w:snapToGrid w:val="0"/>
        <w:ind w:firstLine="480" w:firstLineChars="200"/>
        <w:rPr>
          <w:rFonts w:cs="Arial"/>
          <w:color w:val="auto"/>
          <w:highlight w:val="none"/>
        </w:rPr>
      </w:pPr>
      <w:r>
        <w:rPr>
          <w:rFonts w:hint="eastAsia" w:cs="Arial"/>
          <w:color w:val="auto"/>
          <w:highlight w:val="none"/>
        </w:rPr>
        <w:t>1.13  施工场地整体布置要符合发包人的统一规划和规范要求。</w:t>
      </w:r>
    </w:p>
    <w:p w14:paraId="6A84B400">
      <w:pPr>
        <w:autoSpaceDE w:val="0"/>
        <w:autoSpaceDN w:val="0"/>
        <w:adjustRightInd w:val="0"/>
        <w:snapToGrid w:val="0"/>
        <w:ind w:firstLine="480" w:firstLineChars="200"/>
        <w:rPr>
          <w:rFonts w:cs="Arial"/>
          <w:color w:val="auto"/>
          <w:highlight w:val="none"/>
        </w:rPr>
      </w:pPr>
      <w:r>
        <w:rPr>
          <w:rFonts w:hint="eastAsia" w:cs="Arial"/>
          <w:color w:val="auto"/>
          <w:highlight w:val="none"/>
        </w:rPr>
        <w:t>1.14  现场平整、土方处理要求：现场要平整，不能有坑洼而影响施工及通行。具备回填条件的土方要在2天内回填；不需回填的且无需作为土方平衡利用的土方应在3天内外运出场，同时保证外运堆放土方符合城管要求；需作为土方平衡利用的土方，由承包人提出申请，发包人审核后，安排合适位置临时堆放，临时堆放点的土方要堆放齐整。</w:t>
      </w:r>
    </w:p>
    <w:p w14:paraId="37A19261">
      <w:pPr>
        <w:autoSpaceDE w:val="0"/>
        <w:autoSpaceDN w:val="0"/>
        <w:adjustRightInd w:val="0"/>
        <w:snapToGrid w:val="0"/>
        <w:ind w:firstLine="480" w:firstLineChars="200"/>
        <w:rPr>
          <w:rFonts w:cs="Arial"/>
          <w:color w:val="auto"/>
          <w:highlight w:val="none"/>
        </w:rPr>
      </w:pPr>
      <w:r>
        <w:rPr>
          <w:rFonts w:hint="eastAsia" w:cs="Arial"/>
          <w:color w:val="auto"/>
          <w:highlight w:val="none"/>
        </w:rPr>
        <w:t>1.15  着装要求：承包人应按贵公司要求统一着装，且佩戴贵公司统一的企业标识。</w:t>
      </w:r>
    </w:p>
    <w:p w14:paraId="2AA1024A">
      <w:pPr>
        <w:autoSpaceDE w:val="0"/>
        <w:autoSpaceDN w:val="0"/>
        <w:adjustRightInd w:val="0"/>
        <w:snapToGrid w:val="0"/>
        <w:ind w:firstLine="480" w:firstLineChars="200"/>
        <w:rPr>
          <w:rFonts w:cs="Arial"/>
          <w:color w:val="auto"/>
          <w:highlight w:val="none"/>
        </w:rPr>
      </w:pPr>
      <w:r>
        <w:rPr>
          <w:rFonts w:hint="eastAsia" w:cs="Arial"/>
          <w:color w:val="auto"/>
          <w:highlight w:val="none"/>
        </w:rPr>
        <w:t>1.16  施工道路及排水措施要求：施工道路要通畅，并配备连续排水设施。正常情况下，施工区域不得有积水现象，污水废水不得外溢。</w:t>
      </w:r>
    </w:p>
    <w:p w14:paraId="006CD668">
      <w:pPr>
        <w:autoSpaceDE w:val="0"/>
        <w:autoSpaceDN w:val="0"/>
        <w:adjustRightInd w:val="0"/>
        <w:snapToGrid w:val="0"/>
        <w:ind w:firstLine="480" w:firstLineChars="200"/>
        <w:rPr>
          <w:rFonts w:cs="Arial"/>
          <w:color w:val="auto"/>
          <w:highlight w:val="none"/>
        </w:rPr>
      </w:pPr>
      <w:r>
        <w:rPr>
          <w:rFonts w:hint="eastAsia" w:cs="Arial"/>
          <w:color w:val="auto"/>
          <w:highlight w:val="none"/>
        </w:rPr>
        <w:t>1.17  如因实际情况不能满足文明施工管理要求时，由承包人提交相关的情况说明，由监理、发包人审核并提出合理意见后，根据实际情况，采取合理措施。</w:t>
      </w:r>
    </w:p>
    <w:p w14:paraId="3B2A9C4B">
      <w:pPr>
        <w:autoSpaceDE w:val="0"/>
        <w:autoSpaceDN w:val="0"/>
        <w:adjustRightInd w:val="0"/>
        <w:snapToGrid w:val="0"/>
        <w:ind w:firstLine="480" w:firstLineChars="200"/>
        <w:rPr>
          <w:rFonts w:cs="Arial"/>
          <w:color w:val="auto"/>
          <w:highlight w:val="none"/>
        </w:rPr>
      </w:pPr>
      <w:r>
        <w:rPr>
          <w:rFonts w:hint="eastAsia" w:cs="Arial"/>
          <w:color w:val="auto"/>
          <w:highlight w:val="none"/>
        </w:rPr>
        <w:t>2. 管理责任单位及检查与考核</w:t>
      </w:r>
    </w:p>
    <w:p w14:paraId="22AE1178">
      <w:pPr>
        <w:autoSpaceDE w:val="0"/>
        <w:autoSpaceDN w:val="0"/>
        <w:adjustRightInd w:val="0"/>
        <w:snapToGrid w:val="0"/>
        <w:ind w:firstLine="480" w:firstLineChars="200"/>
        <w:rPr>
          <w:rFonts w:cs="Arial"/>
          <w:color w:val="auto"/>
          <w:highlight w:val="none"/>
        </w:rPr>
      </w:pPr>
      <w:r>
        <w:rPr>
          <w:rFonts w:hint="eastAsia" w:cs="Arial"/>
          <w:color w:val="auto"/>
          <w:highlight w:val="none"/>
        </w:rPr>
        <w:t>2.1  责任单位</w:t>
      </w:r>
    </w:p>
    <w:p w14:paraId="6EAA1E67">
      <w:pPr>
        <w:autoSpaceDE w:val="0"/>
        <w:autoSpaceDN w:val="0"/>
        <w:adjustRightInd w:val="0"/>
        <w:snapToGrid w:val="0"/>
        <w:ind w:firstLine="480" w:firstLineChars="200"/>
        <w:rPr>
          <w:rFonts w:cs="Arial"/>
          <w:color w:val="auto"/>
          <w:highlight w:val="none"/>
        </w:rPr>
      </w:pPr>
      <w:r>
        <w:rPr>
          <w:rFonts w:hint="eastAsia" w:cs="Arial"/>
          <w:color w:val="auto"/>
          <w:highlight w:val="none"/>
        </w:rPr>
        <w:t>2.1.1  文明施工监督管理和考核责任单位为发包人工程管理部门。</w:t>
      </w:r>
    </w:p>
    <w:p w14:paraId="5F8A4D03">
      <w:pPr>
        <w:autoSpaceDE w:val="0"/>
        <w:autoSpaceDN w:val="0"/>
        <w:adjustRightInd w:val="0"/>
        <w:snapToGrid w:val="0"/>
        <w:ind w:firstLine="480" w:firstLineChars="200"/>
        <w:rPr>
          <w:rFonts w:cs="Arial"/>
          <w:color w:val="auto"/>
          <w:highlight w:val="none"/>
        </w:rPr>
      </w:pPr>
      <w:r>
        <w:rPr>
          <w:rFonts w:hint="eastAsia" w:cs="Arial"/>
          <w:color w:val="auto"/>
          <w:highlight w:val="none"/>
        </w:rPr>
        <w:t>2.1.2  监理单位负有监督管理责任。</w:t>
      </w:r>
    </w:p>
    <w:p w14:paraId="1F03F899">
      <w:pPr>
        <w:autoSpaceDE w:val="0"/>
        <w:autoSpaceDN w:val="0"/>
        <w:adjustRightInd w:val="0"/>
        <w:snapToGrid w:val="0"/>
        <w:ind w:firstLine="480" w:firstLineChars="200"/>
        <w:rPr>
          <w:rFonts w:cs="Arial"/>
          <w:color w:val="auto"/>
          <w:highlight w:val="none"/>
        </w:rPr>
      </w:pPr>
      <w:r>
        <w:rPr>
          <w:rFonts w:hint="eastAsia" w:cs="Arial"/>
          <w:color w:val="auto"/>
          <w:highlight w:val="none"/>
        </w:rPr>
        <w:t>2.1.3  承包人必须遵守文明施工管理规定中各项要求，并要无条件接受监理单位、建设单位的监督、检查、考核，应按时整改并回复整改情况。</w:t>
      </w:r>
    </w:p>
    <w:p w14:paraId="4D73CA59">
      <w:pPr>
        <w:autoSpaceDE w:val="0"/>
        <w:autoSpaceDN w:val="0"/>
        <w:adjustRightInd w:val="0"/>
        <w:snapToGrid w:val="0"/>
        <w:ind w:firstLine="480" w:firstLineChars="200"/>
        <w:rPr>
          <w:rFonts w:cs="Arial"/>
          <w:color w:val="auto"/>
          <w:highlight w:val="none"/>
        </w:rPr>
      </w:pPr>
      <w:r>
        <w:rPr>
          <w:rFonts w:hint="eastAsia" w:cs="Arial"/>
          <w:color w:val="auto"/>
          <w:highlight w:val="none"/>
        </w:rPr>
        <w:t>2.2  检查与考核</w:t>
      </w:r>
    </w:p>
    <w:p w14:paraId="5B9E03A3">
      <w:pPr>
        <w:autoSpaceDE w:val="0"/>
        <w:autoSpaceDN w:val="0"/>
        <w:adjustRightInd w:val="0"/>
        <w:snapToGrid w:val="0"/>
        <w:ind w:firstLine="480" w:firstLineChars="200"/>
        <w:rPr>
          <w:rFonts w:cs="Arial"/>
          <w:color w:val="auto"/>
          <w:highlight w:val="none"/>
        </w:rPr>
      </w:pPr>
      <w:r>
        <w:rPr>
          <w:rFonts w:hint="eastAsia" w:cs="Arial"/>
          <w:color w:val="auto"/>
          <w:highlight w:val="none"/>
        </w:rPr>
        <w:t xml:space="preserve">2.2.1  </w:t>
      </w:r>
      <w:r>
        <w:rPr>
          <w:rFonts w:cs="Arial"/>
          <w:color w:val="auto"/>
          <w:highlight w:val="none"/>
        </w:rPr>
        <w:t>承包人要加强对本单位人员管理，对于不遵守管理规定的人员，第一次警告，第二次要考核，第三次违纪的承包人要清除出厂</w:t>
      </w:r>
      <w:r>
        <w:rPr>
          <w:rFonts w:hint="eastAsia" w:cs="Arial"/>
          <w:color w:val="auto"/>
          <w:highlight w:val="none"/>
        </w:rPr>
        <w:t>。</w:t>
      </w:r>
    </w:p>
    <w:p w14:paraId="4DEFBD2C">
      <w:pPr>
        <w:autoSpaceDE w:val="0"/>
        <w:autoSpaceDN w:val="0"/>
        <w:adjustRightInd w:val="0"/>
        <w:snapToGrid w:val="0"/>
        <w:ind w:firstLine="480" w:firstLineChars="200"/>
        <w:rPr>
          <w:rFonts w:cs="Arial"/>
          <w:color w:val="auto"/>
          <w:highlight w:val="none"/>
        </w:rPr>
      </w:pPr>
      <w:r>
        <w:rPr>
          <w:rFonts w:hint="eastAsia" w:cs="Arial"/>
          <w:color w:val="auto"/>
          <w:highlight w:val="none"/>
        </w:rPr>
        <w:t>2.2.2  施工车辆行使要服从厂区管理规定，第一次违纪的警告考核，第二次违纪由发包人工程管理部门通知保卫部将违章车辆及司机清除出厂。</w:t>
      </w:r>
    </w:p>
    <w:p w14:paraId="3B3EF38B">
      <w:pPr>
        <w:autoSpaceDE w:val="0"/>
        <w:autoSpaceDN w:val="0"/>
        <w:adjustRightInd w:val="0"/>
        <w:snapToGrid w:val="0"/>
        <w:ind w:firstLine="480" w:firstLineChars="200"/>
        <w:rPr>
          <w:rFonts w:cs="Arial"/>
          <w:color w:val="auto"/>
          <w:highlight w:val="none"/>
        </w:rPr>
      </w:pPr>
      <w:r>
        <w:rPr>
          <w:rFonts w:hint="eastAsia" w:cs="Arial"/>
          <w:color w:val="auto"/>
          <w:highlight w:val="none"/>
        </w:rPr>
        <w:t>2.2.3  加大现场文明施工情况的巡检、督察及考核力度，承包人对监理公司、发包人所下发的各项整改单要限期整改完。对整改措施落实不力的，第一次警告考核，第二次由发包人工程管理部门按合同相关条款安排其他施工队伍整改，所发生费用从整改不利的承包人的合同款中扣除。</w:t>
      </w:r>
    </w:p>
    <w:p w14:paraId="7F4CC6A8">
      <w:pPr>
        <w:autoSpaceDE w:val="0"/>
        <w:autoSpaceDN w:val="0"/>
        <w:adjustRightInd w:val="0"/>
        <w:snapToGrid w:val="0"/>
        <w:ind w:firstLine="480" w:firstLineChars="200"/>
        <w:rPr>
          <w:rFonts w:cs="Arial"/>
          <w:color w:val="auto"/>
          <w:highlight w:val="none"/>
        </w:rPr>
      </w:pPr>
      <w:r>
        <w:rPr>
          <w:rFonts w:hint="eastAsia" w:cs="Arial"/>
          <w:color w:val="auto"/>
          <w:highlight w:val="none"/>
        </w:rPr>
        <w:t>2.2.4  发包人定期将文明施工的检查考核情况进行通报。</w:t>
      </w:r>
    </w:p>
    <w:p w14:paraId="65614C93">
      <w:pPr>
        <w:autoSpaceDE w:val="0"/>
        <w:autoSpaceDN w:val="0"/>
        <w:adjustRightInd w:val="0"/>
        <w:snapToGrid w:val="0"/>
        <w:ind w:firstLine="480" w:firstLineChars="200"/>
        <w:rPr>
          <w:rFonts w:cs="Arial"/>
          <w:color w:val="auto"/>
          <w:highlight w:val="none"/>
        </w:rPr>
      </w:pPr>
      <w:r>
        <w:rPr>
          <w:rFonts w:hint="eastAsia" w:cs="Arial"/>
          <w:color w:val="auto"/>
          <w:highlight w:val="none"/>
        </w:rPr>
        <w:t>遵守国家、石化行业、地方政府的规范和规定，遵守发包人的规定和要求。</w:t>
      </w:r>
    </w:p>
    <w:p w14:paraId="42E47DD4">
      <w:pPr>
        <w:widowControl/>
        <w:spacing w:line="240" w:lineRule="auto"/>
        <w:jc w:val="left"/>
        <w:rPr>
          <w:rFonts w:ascii="Arial" w:cs="Arial"/>
          <w:bCs/>
          <w:color w:val="auto"/>
          <w:szCs w:val="32"/>
          <w:highlight w:val="none"/>
        </w:rPr>
      </w:pPr>
      <w:bookmarkStart w:id="1063" w:name="_Toc489094537"/>
      <w:r>
        <w:rPr>
          <w:rFonts w:ascii="Arial" w:cs="Arial"/>
          <w:bCs/>
          <w:color w:val="auto"/>
          <w:szCs w:val="32"/>
          <w:highlight w:val="none"/>
        </w:rPr>
        <w:br w:type="page"/>
      </w:r>
    </w:p>
    <w:p w14:paraId="724EA682">
      <w:pPr>
        <w:keepNext/>
        <w:keepLines/>
        <w:adjustRightInd w:val="0"/>
        <w:snapToGrid w:val="0"/>
        <w:spacing w:after="240" w:afterLines="100"/>
        <w:outlineLvl w:val="1"/>
        <w:rPr>
          <w:rFonts w:ascii="Calibri" w:hAnsi="Calibri" w:cs="Calibri"/>
          <w:color w:val="auto"/>
          <w:szCs w:val="20"/>
          <w:highlight w:val="none"/>
        </w:rPr>
      </w:pPr>
      <w:bookmarkStart w:id="1064" w:name="_Toc119953777"/>
      <w:bookmarkStart w:id="1065" w:name="_Toc90117833"/>
      <w:bookmarkStart w:id="1066" w:name="_Toc256000125"/>
      <w:bookmarkStart w:id="1067" w:name="_Toc1020388718"/>
      <w:bookmarkStart w:id="1068" w:name="_Toc1104003217"/>
      <w:bookmarkStart w:id="1069" w:name="_Toc4995"/>
      <w:r>
        <w:rPr>
          <w:rFonts w:hint="eastAsia" w:ascii="Arial" w:cs="Arial"/>
          <w:bCs/>
          <w:color w:val="auto"/>
          <w:szCs w:val="32"/>
          <w:highlight w:val="none"/>
        </w:rPr>
        <w:t>附件1</w:t>
      </w:r>
      <w:r>
        <w:rPr>
          <w:rFonts w:hint="eastAsia" w:ascii="Arial" w:cs="Arial"/>
          <w:bCs/>
          <w:color w:val="auto"/>
          <w:szCs w:val="32"/>
          <w:highlight w:val="none"/>
          <w:lang w:val="en-US" w:eastAsia="zh-CN"/>
        </w:rPr>
        <w:t>2</w:t>
      </w:r>
      <w:r>
        <w:rPr>
          <w:rFonts w:hint="eastAsia" w:ascii="Arial" w:cs="Arial"/>
          <w:bCs/>
          <w:color w:val="auto"/>
          <w:szCs w:val="32"/>
          <w:highlight w:val="none"/>
        </w:rPr>
        <w:t>：</w:t>
      </w:r>
      <w:bookmarkEnd w:id="1063"/>
      <w:r>
        <w:rPr>
          <w:rFonts w:hint="eastAsia" w:ascii="Arial" w:cs="Arial"/>
          <w:bCs/>
          <w:color w:val="auto"/>
          <w:szCs w:val="32"/>
          <w:highlight w:val="none"/>
        </w:rPr>
        <w:t>质量管理规定</w:t>
      </w:r>
      <w:bookmarkEnd w:id="1064"/>
      <w:bookmarkEnd w:id="1065"/>
      <w:bookmarkEnd w:id="1066"/>
      <w:bookmarkEnd w:id="1067"/>
      <w:bookmarkEnd w:id="1068"/>
      <w:bookmarkEnd w:id="1069"/>
    </w:p>
    <w:p w14:paraId="3D307943">
      <w:pPr>
        <w:autoSpaceDE w:val="0"/>
        <w:autoSpaceDN w:val="0"/>
        <w:adjustRightInd w:val="0"/>
        <w:snapToGrid w:val="0"/>
        <w:ind w:firstLine="560" w:firstLineChars="200"/>
        <w:jc w:val="center"/>
        <w:rPr>
          <w:rFonts w:ascii="黑体" w:hAnsi="黑体" w:eastAsia="黑体" w:cs="Arial"/>
          <w:color w:val="auto"/>
          <w:sz w:val="28"/>
          <w:szCs w:val="28"/>
          <w:highlight w:val="none"/>
        </w:rPr>
      </w:pPr>
      <w:r>
        <w:rPr>
          <w:rFonts w:hint="eastAsia" w:ascii="黑体" w:hAnsi="黑体" w:eastAsia="黑体" w:cs="Arial"/>
          <w:color w:val="auto"/>
          <w:sz w:val="28"/>
          <w:szCs w:val="28"/>
          <w:highlight w:val="none"/>
        </w:rPr>
        <w:t>质量管理规定</w:t>
      </w:r>
    </w:p>
    <w:p w14:paraId="09FE4037">
      <w:pPr>
        <w:autoSpaceDE w:val="0"/>
        <w:autoSpaceDN w:val="0"/>
        <w:adjustRightInd w:val="0"/>
        <w:snapToGrid w:val="0"/>
        <w:ind w:firstLine="480" w:firstLineChars="200"/>
        <w:rPr>
          <w:rFonts w:cs="Arial"/>
          <w:color w:val="auto"/>
          <w:highlight w:val="none"/>
        </w:rPr>
      </w:pPr>
      <w:r>
        <w:rPr>
          <w:rFonts w:hint="eastAsia" w:cs="Arial"/>
          <w:color w:val="auto"/>
          <w:highlight w:val="none"/>
        </w:rPr>
        <w:t>1.按照承包合同的质量要求对采购、施工的质量全面负责。</w:t>
      </w:r>
    </w:p>
    <w:p w14:paraId="1285B75D">
      <w:pPr>
        <w:autoSpaceDE w:val="0"/>
        <w:autoSpaceDN w:val="0"/>
        <w:adjustRightInd w:val="0"/>
        <w:snapToGrid w:val="0"/>
        <w:ind w:firstLine="480" w:firstLineChars="200"/>
        <w:rPr>
          <w:rFonts w:cs="Arial"/>
          <w:color w:val="auto"/>
          <w:highlight w:val="none"/>
        </w:rPr>
      </w:pPr>
      <w:r>
        <w:rPr>
          <w:rFonts w:hint="eastAsia" w:cs="Arial"/>
          <w:color w:val="auto"/>
          <w:highlight w:val="none"/>
        </w:rPr>
        <w:t>依据承包合同的质量条款约定，按照设计文件、技术标准规范施工，过程和最终的工程实体质量负直接责任。接受监理公司、发包人、质量监督站对工程质量的监督、管理和控制。</w:t>
      </w:r>
    </w:p>
    <w:p w14:paraId="4C7B950F">
      <w:pPr>
        <w:autoSpaceDE w:val="0"/>
        <w:autoSpaceDN w:val="0"/>
        <w:adjustRightInd w:val="0"/>
        <w:snapToGrid w:val="0"/>
        <w:ind w:firstLine="480" w:firstLineChars="200"/>
        <w:rPr>
          <w:rFonts w:cs="Arial"/>
          <w:color w:val="auto"/>
          <w:highlight w:val="none"/>
        </w:rPr>
      </w:pPr>
      <w:r>
        <w:rPr>
          <w:rFonts w:hint="eastAsia" w:cs="Arial"/>
          <w:color w:val="auto"/>
          <w:highlight w:val="none"/>
        </w:rPr>
        <w:t>1.1.质量职责是：</w:t>
      </w:r>
    </w:p>
    <w:p w14:paraId="503E09BC">
      <w:pPr>
        <w:autoSpaceDE w:val="0"/>
        <w:autoSpaceDN w:val="0"/>
        <w:adjustRightInd w:val="0"/>
        <w:snapToGrid w:val="0"/>
        <w:ind w:firstLine="480" w:firstLineChars="200"/>
        <w:rPr>
          <w:rFonts w:cs="Arial"/>
          <w:color w:val="auto"/>
          <w:highlight w:val="none"/>
        </w:rPr>
      </w:pPr>
      <w:r>
        <w:rPr>
          <w:rFonts w:hint="eastAsia" w:cs="Arial"/>
          <w:color w:val="auto"/>
          <w:highlight w:val="none"/>
        </w:rPr>
        <w:t>1.1.1  建立施工质量保证体系，制定工程质量控制计划。</w:t>
      </w:r>
    </w:p>
    <w:p w14:paraId="3BC30C4F">
      <w:pPr>
        <w:autoSpaceDE w:val="0"/>
        <w:autoSpaceDN w:val="0"/>
        <w:adjustRightInd w:val="0"/>
        <w:snapToGrid w:val="0"/>
        <w:ind w:firstLine="480" w:firstLineChars="200"/>
        <w:rPr>
          <w:rFonts w:cs="Arial"/>
          <w:color w:val="auto"/>
          <w:highlight w:val="none"/>
        </w:rPr>
      </w:pPr>
      <w:r>
        <w:rPr>
          <w:rFonts w:hint="eastAsia" w:cs="Arial"/>
          <w:color w:val="auto"/>
          <w:highlight w:val="none"/>
        </w:rPr>
        <w:t xml:space="preserve"> 建立项目质量管理机构，配备专职质量检查员独立行使质量否决职能。</w:t>
      </w:r>
    </w:p>
    <w:p w14:paraId="15315079">
      <w:pPr>
        <w:autoSpaceDE w:val="0"/>
        <w:autoSpaceDN w:val="0"/>
        <w:adjustRightInd w:val="0"/>
        <w:snapToGrid w:val="0"/>
        <w:ind w:firstLine="480" w:firstLineChars="200"/>
        <w:rPr>
          <w:rFonts w:cs="Arial"/>
          <w:color w:val="auto"/>
          <w:highlight w:val="none"/>
        </w:rPr>
      </w:pPr>
      <w:r>
        <w:rPr>
          <w:rFonts w:hint="eastAsia" w:cs="Arial"/>
          <w:color w:val="auto"/>
          <w:highlight w:val="none"/>
        </w:rPr>
        <w:t xml:space="preserve"> 制定各项质量管理制度。</w:t>
      </w:r>
    </w:p>
    <w:p w14:paraId="45EEBC25">
      <w:pPr>
        <w:autoSpaceDE w:val="0"/>
        <w:autoSpaceDN w:val="0"/>
        <w:adjustRightInd w:val="0"/>
        <w:snapToGrid w:val="0"/>
        <w:ind w:firstLine="480" w:firstLineChars="200"/>
        <w:rPr>
          <w:rFonts w:cs="Arial"/>
          <w:color w:val="auto"/>
          <w:highlight w:val="none"/>
        </w:rPr>
      </w:pPr>
      <w:r>
        <w:rPr>
          <w:rFonts w:hint="eastAsia" w:cs="Arial"/>
          <w:color w:val="auto"/>
          <w:highlight w:val="none"/>
        </w:rPr>
        <w:t xml:space="preserve"> 制定质量控制措施及检验试验计划。</w:t>
      </w:r>
    </w:p>
    <w:p w14:paraId="7B9390FD">
      <w:pPr>
        <w:autoSpaceDE w:val="0"/>
        <w:autoSpaceDN w:val="0"/>
        <w:adjustRightInd w:val="0"/>
        <w:snapToGrid w:val="0"/>
        <w:ind w:firstLine="480" w:firstLineChars="200"/>
        <w:rPr>
          <w:rFonts w:cs="Arial"/>
          <w:color w:val="auto"/>
          <w:highlight w:val="none"/>
        </w:rPr>
      </w:pPr>
      <w:r>
        <w:rPr>
          <w:rFonts w:hint="eastAsia" w:cs="Arial"/>
          <w:color w:val="auto"/>
          <w:highlight w:val="none"/>
        </w:rPr>
        <w:t xml:space="preserve"> 人员资格培训计划，设备、计量器具齐备完好有效。</w:t>
      </w:r>
    </w:p>
    <w:p w14:paraId="4E1DD84E">
      <w:pPr>
        <w:autoSpaceDE w:val="0"/>
        <w:autoSpaceDN w:val="0"/>
        <w:adjustRightInd w:val="0"/>
        <w:snapToGrid w:val="0"/>
        <w:ind w:firstLine="480" w:firstLineChars="200"/>
        <w:rPr>
          <w:rFonts w:cs="Arial"/>
          <w:color w:val="auto"/>
          <w:highlight w:val="none"/>
        </w:rPr>
      </w:pPr>
      <w:r>
        <w:rPr>
          <w:rFonts w:hint="eastAsia" w:cs="Arial"/>
          <w:color w:val="auto"/>
          <w:highlight w:val="none"/>
        </w:rPr>
        <w:t>1.1.2  负责压力容器、压力管道的监检报装。</w:t>
      </w:r>
    </w:p>
    <w:p w14:paraId="662F21F1">
      <w:pPr>
        <w:autoSpaceDE w:val="0"/>
        <w:autoSpaceDN w:val="0"/>
        <w:adjustRightInd w:val="0"/>
        <w:snapToGrid w:val="0"/>
        <w:ind w:firstLine="480" w:firstLineChars="200"/>
        <w:rPr>
          <w:rFonts w:cs="Arial"/>
          <w:color w:val="auto"/>
          <w:highlight w:val="none"/>
        </w:rPr>
      </w:pPr>
      <w:r>
        <w:rPr>
          <w:rFonts w:hint="eastAsia" w:cs="Arial"/>
          <w:color w:val="auto"/>
          <w:highlight w:val="none"/>
        </w:rPr>
        <w:t>1.1.3  负责自供材料的检验和见证取样复验；负责对领用甲供设备材料的进场报验，按施工规范要求作好检测和复验工作，检测和复验报告进入交工文件。</w:t>
      </w:r>
    </w:p>
    <w:p w14:paraId="6BFAC441">
      <w:pPr>
        <w:autoSpaceDE w:val="0"/>
        <w:autoSpaceDN w:val="0"/>
        <w:adjustRightInd w:val="0"/>
        <w:snapToGrid w:val="0"/>
        <w:ind w:firstLine="480" w:firstLineChars="200"/>
        <w:rPr>
          <w:rFonts w:cs="Arial"/>
          <w:color w:val="auto"/>
          <w:highlight w:val="none"/>
        </w:rPr>
      </w:pPr>
      <w:r>
        <w:rPr>
          <w:rFonts w:hint="eastAsia" w:cs="Arial"/>
          <w:color w:val="auto"/>
          <w:highlight w:val="none"/>
        </w:rPr>
        <w:t>1.1.4  组织施工人员详细阅读施工图纸、熟悉标准规范，加强职工培训考核，做好技术交底，按质量标准和验收规范施工。</w:t>
      </w:r>
    </w:p>
    <w:p w14:paraId="57FF50AE">
      <w:pPr>
        <w:autoSpaceDE w:val="0"/>
        <w:autoSpaceDN w:val="0"/>
        <w:adjustRightInd w:val="0"/>
        <w:snapToGrid w:val="0"/>
        <w:ind w:firstLine="480" w:firstLineChars="200"/>
        <w:rPr>
          <w:rFonts w:cs="Arial"/>
          <w:color w:val="auto"/>
          <w:highlight w:val="none"/>
        </w:rPr>
      </w:pPr>
      <w:r>
        <w:rPr>
          <w:rFonts w:hint="eastAsia" w:cs="Arial"/>
          <w:color w:val="auto"/>
          <w:highlight w:val="none"/>
        </w:rPr>
        <w:t>1.1.5  做好隐蔽工程及工序过程的自检，施工记录文件及时齐全，按质量控制点规定分别向监理、发包人、质量监督站报检。</w:t>
      </w:r>
    </w:p>
    <w:p w14:paraId="5745B5FE">
      <w:pPr>
        <w:autoSpaceDE w:val="0"/>
        <w:autoSpaceDN w:val="0"/>
        <w:adjustRightInd w:val="0"/>
        <w:snapToGrid w:val="0"/>
        <w:ind w:firstLine="480" w:firstLineChars="200"/>
        <w:rPr>
          <w:rFonts w:cs="Arial"/>
          <w:color w:val="auto"/>
          <w:highlight w:val="none"/>
        </w:rPr>
      </w:pPr>
      <w:r>
        <w:rPr>
          <w:rFonts w:hint="eastAsia" w:cs="Arial"/>
          <w:color w:val="auto"/>
          <w:highlight w:val="none"/>
        </w:rPr>
        <w:t>1.1.6  分部、分项工程质量验收评定与工程施工同步，且报监理签认。</w:t>
      </w:r>
    </w:p>
    <w:p w14:paraId="0C33395D">
      <w:pPr>
        <w:autoSpaceDE w:val="0"/>
        <w:autoSpaceDN w:val="0"/>
        <w:adjustRightInd w:val="0"/>
        <w:snapToGrid w:val="0"/>
        <w:ind w:firstLine="480" w:firstLineChars="200"/>
        <w:rPr>
          <w:rFonts w:cs="Arial"/>
          <w:color w:val="auto"/>
          <w:highlight w:val="none"/>
        </w:rPr>
      </w:pPr>
      <w:r>
        <w:rPr>
          <w:rFonts w:hint="eastAsia" w:cs="Arial"/>
          <w:color w:val="auto"/>
          <w:highlight w:val="none"/>
        </w:rPr>
        <w:t>1.1.7  组织质量事故调查、处理、上报，写出事故调查报告。对质量检查、“三查四定”、中间交接中提出的问题进行整改。</w:t>
      </w:r>
    </w:p>
    <w:p w14:paraId="4D06D7A7">
      <w:pPr>
        <w:autoSpaceDE w:val="0"/>
        <w:autoSpaceDN w:val="0"/>
        <w:adjustRightInd w:val="0"/>
        <w:snapToGrid w:val="0"/>
        <w:ind w:firstLine="480" w:firstLineChars="200"/>
        <w:rPr>
          <w:rFonts w:cs="Arial"/>
          <w:color w:val="auto"/>
          <w:highlight w:val="none"/>
        </w:rPr>
      </w:pPr>
      <w:r>
        <w:rPr>
          <w:rFonts w:hint="eastAsia" w:cs="Arial"/>
          <w:color w:val="auto"/>
          <w:highlight w:val="none"/>
        </w:rPr>
        <w:t>1.1.8  工程按设计图纸和合同完工后，组织质量自评，向质量监督站提出初评申请。初评合格后，提出中间交接申请经监理机构认可后，由发包人组织中间交接或交工验收。</w:t>
      </w:r>
    </w:p>
    <w:p w14:paraId="58F3D4A4">
      <w:pPr>
        <w:autoSpaceDE w:val="0"/>
        <w:autoSpaceDN w:val="0"/>
        <w:adjustRightInd w:val="0"/>
        <w:snapToGrid w:val="0"/>
        <w:ind w:firstLine="480" w:firstLineChars="200"/>
        <w:rPr>
          <w:rFonts w:cs="Arial"/>
          <w:color w:val="auto"/>
          <w:highlight w:val="none"/>
        </w:rPr>
      </w:pPr>
      <w:r>
        <w:rPr>
          <w:rFonts w:hint="eastAsia" w:cs="Arial"/>
          <w:color w:val="auto"/>
          <w:highlight w:val="none"/>
        </w:rPr>
        <w:t>1.1.9  按合同约定的时间和SH3503标准及本办法的规定整理交工技术文件送发包人存档。</w:t>
      </w:r>
    </w:p>
    <w:p w14:paraId="5ADD6B31">
      <w:pPr>
        <w:autoSpaceDE w:val="0"/>
        <w:autoSpaceDN w:val="0"/>
        <w:adjustRightInd w:val="0"/>
        <w:snapToGrid w:val="0"/>
        <w:ind w:firstLine="480" w:firstLineChars="200"/>
        <w:rPr>
          <w:rFonts w:cs="Arial"/>
          <w:color w:val="auto"/>
          <w:highlight w:val="none"/>
        </w:rPr>
      </w:pPr>
      <w:r>
        <w:rPr>
          <w:rFonts w:hint="eastAsia" w:cs="Arial"/>
          <w:color w:val="auto"/>
          <w:highlight w:val="none"/>
        </w:rPr>
        <w:t>1.1.10  负责工程质量保修工作。</w:t>
      </w:r>
    </w:p>
    <w:p w14:paraId="585C6E82">
      <w:pPr>
        <w:autoSpaceDE w:val="0"/>
        <w:autoSpaceDN w:val="0"/>
        <w:adjustRightInd w:val="0"/>
        <w:snapToGrid w:val="0"/>
        <w:ind w:firstLine="480" w:firstLineChars="200"/>
        <w:rPr>
          <w:rFonts w:cs="Arial"/>
          <w:color w:val="auto"/>
          <w:highlight w:val="none"/>
        </w:rPr>
      </w:pPr>
      <w:r>
        <w:rPr>
          <w:rFonts w:hint="eastAsia" w:cs="Arial"/>
          <w:color w:val="auto"/>
          <w:highlight w:val="none"/>
        </w:rPr>
        <w:t>2  质量控制的程序、内容</w:t>
      </w:r>
    </w:p>
    <w:p w14:paraId="69FAAB2A">
      <w:pPr>
        <w:autoSpaceDE w:val="0"/>
        <w:autoSpaceDN w:val="0"/>
        <w:adjustRightInd w:val="0"/>
        <w:snapToGrid w:val="0"/>
        <w:ind w:firstLine="480" w:firstLineChars="200"/>
        <w:rPr>
          <w:rFonts w:cs="Arial"/>
          <w:color w:val="auto"/>
          <w:highlight w:val="none"/>
        </w:rPr>
      </w:pPr>
      <w:bookmarkStart w:id="1070" w:name="施工质量管理"/>
      <w:r>
        <w:rPr>
          <w:rFonts w:hint="eastAsia" w:cs="Arial"/>
          <w:color w:val="auto"/>
          <w:highlight w:val="none"/>
        </w:rPr>
        <w:t>2.1  施工质量管理</w:t>
      </w:r>
      <w:bookmarkEnd w:id="1070"/>
    </w:p>
    <w:p w14:paraId="50A4D815">
      <w:pPr>
        <w:autoSpaceDE w:val="0"/>
        <w:autoSpaceDN w:val="0"/>
        <w:adjustRightInd w:val="0"/>
        <w:snapToGrid w:val="0"/>
        <w:ind w:firstLine="480" w:firstLineChars="200"/>
        <w:rPr>
          <w:rFonts w:cs="Arial"/>
          <w:color w:val="auto"/>
          <w:highlight w:val="none"/>
        </w:rPr>
      </w:pPr>
      <w:r>
        <w:rPr>
          <w:rFonts w:hint="eastAsia" w:cs="Arial"/>
          <w:color w:val="auto"/>
          <w:highlight w:val="none"/>
        </w:rPr>
        <w:t>2.1.1承包人，分包人及检测单位，必须建立完整的、切实可行的质量保证体系，必须有独立行使质量控制的质量检查机构和专职检查员。</w:t>
      </w:r>
    </w:p>
    <w:p w14:paraId="1903E342">
      <w:pPr>
        <w:autoSpaceDE w:val="0"/>
        <w:autoSpaceDN w:val="0"/>
        <w:adjustRightInd w:val="0"/>
        <w:snapToGrid w:val="0"/>
        <w:ind w:firstLine="480" w:firstLineChars="200"/>
        <w:rPr>
          <w:rFonts w:cs="Arial"/>
          <w:color w:val="auto"/>
          <w:highlight w:val="none"/>
        </w:rPr>
      </w:pPr>
      <w:r>
        <w:rPr>
          <w:rFonts w:hint="eastAsia" w:cs="Arial"/>
          <w:color w:val="auto"/>
          <w:highlight w:val="none"/>
        </w:rPr>
        <w:t>开工前，承包人向监理机构、发包人、质量监督站申报质保体系，监理机构组织专项检查，填写“施工现场质量管理检查记录”，发包人、质量监督站不定期抽查。</w:t>
      </w:r>
    </w:p>
    <w:p w14:paraId="367EAF02">
      <w:pPr>
        <w:autoSpaceDE w:val="0"/>
        <w:autoSpaceDN w:val="0"/>
        <w:adjustRightInd w:val="0"/>
        <w:snapToGrid w:val="0"/>
        <w:ind w:firstLine="480" w:firstLineChars="200"/>
        <w:rPr>
          <w:rFonts w:cs="Arial"/>
          <w:color w:val="auto"/>
          <w:highlight w:val="none"/>
        </w:rPr>
      </w:pPr>
      <w:bookmarkStart w:id="1071" w:name="施工队伍资质和施工人员素质保证"/>
      <w:r>
        <w:rPr>
          <w:rFonts w:hint="eastAsia" w:cs="Arial"/>
          <w:color w:val="auto"/>
          <w:highlight w:val="none"/>
        </w:rPr>
        <w:t>2.1.2  施工队伍资质和施工人员素质保证</w:t>
      </w:r>
      <w:bookmarkEnd w:id="1071"/>
    </w:p>
    <w:p w14:paraId="3926BC96">
      <w:pPr>
        <w:autoSpaceDE w:val="0"/>
        <w:autoSpaceDN w:val="0"/>
        <w:adjustRightInd w:val="0"/>
        <w:snapToGrid w:val="0"/>
        <w:ind w:firstLine="480" w:firstLineChars="200"/>
        <w:rPr>
          <w:rFonts w:cs="Arial"/>
          <w:color w:val="auto"/>
          <w:highlight w:val="none"/>
        </w:rPr>
      </w:pPr>
      <w:r>
        <w:rPr>
          <w:rFonts w:hint="eastAsia" w:cs="Arial"/>
          <w:color w:val="auto"/>
          <w:highlight w:val="none"/>
        </w:rPr>
        <w:t>承包人不得转包或违法分包所承包的工程。主体结构、主要工艺设备安装不得分包，某些专业工程可以分包给具备相应资质条件的分包人，但必须征得发包人的同意，并对分包的工程质量负责，承包人负连带质量责任。</w:t>
      </w:r>
    </w:p>
    <w:p w14:paraId="06D26273">
      <w:pPr>
        <w:autoSpaceDE w:val="0"/>
        <w:autoSpaceDN w:val="0"/>
        <w:adjustRightInd w:val="0"/>
        <w:snapToGrid w:val="0"/>
        <w:ind w:firstLine="480" w:firstLineChars="200"/>
        <w:rPr>
          <w:rFonts w:cs="Arial"/>
          <w:color w:val="auto"/>
          <w:highlight w:val="none"/>
        </w:rPr>
      </w:pPr>
      <w:r>
        <w:rPr>
          <w:rFonts w:hint="eastAsia" w:cs="Arial"/>
          <w:color w:val="auto"/>
          <w:highlight w:val="none"/>
        </w:rPr>
        <w:t>总监理工程师审查分包人的资质业绩、能力、人员岗位资格等，提出审查意见，报发包人批准，质量监督站抽查。</w:t>
      </w:r>
    </w:p>
    <w:p w14:paraId="1816DD73">
      <w:pPr>
        <w:autoSpaceDE w:val="0"/>
        <w:autoSpaceDN w:val="0"/>
        <w:adjustRightInd w:val="0"/>
        <w:snapToGrid w:val="0"/>
        <w:ind w:firstLine="480" w:firstLineChars="200"/>
        <w:rPr>
          <w:rFonts w:cs="Arial"/>
          <w:color w:val="auto"/>
          <w:highlight w:val="none"/>
        </w:rPr>
      </w:pPr>
      <w:r>
        <w:rPr>
          <w:rFonts w:hint="eastAsia" w:cs="Arial"/>
          <w:color w:val="auto"/>
          <w:highlight w:val="none"/>
        </w:rPr>
        <w:t>参加项目施工的各类人员（管理人员、技术人员、特殊岗位作业人员）均应持有相应的岗位作业证，开工前向监理机构报审，质量监督站、发包人备案抽查。</w:t>
      </w:r>
    </w:p>
    <w:p w14:paraId="27430323">
      <w:pPr>
        <w:autoSpaceDE w:val="0"/>
        <w:autoSpaceDN w:val="0"/>
        <w:adjustRightInd w:val="0"/>
        <w:snapToGrid w:val="0"/>
        <w:ind w:firstLine="480" w:firstLineChars="200"/>
        <w:rPr>
          <w:rFonts w:cs="Arial"/>
          <w:color w:val="auto"/>
          <w:highlight w:val="none"/>
        </w:rPr>
      </w:pPr>
      <w:r>
        <w:rPr>
          <w:rFonts w:hint="eastAsia" w:cs="Arial"/>
          <w:color w:val="auto"/>
          <w:highlight w:val="none"/>
        </w:rPr>
        <w:t>2.1.3 承包人质量管理人员必须在项目所在地办公</w:t>
      </w:r>
      <w:r>
        <w:rPr>
          <w:rFonts w:cs="Arial"/>
          <w:color w:val="auto"/>
          <w:highlight w:val="none"/>
        </w:rPr>
        <w:t>,</w:t>
      </w:r>
      <w:r>
        <w:rPr>
          <w:rFonts w:hint="eastAsia" w:cs="Arial"/>
          <w:color w:val="auto"/>
          <w:highlight w:val="none"/>
        </w:rPr>
        <w:t>负责施工现场质量管理</w:t>
      </w:r>
      <w:r>
        <w:rPr>
          <w:rFonts w:cs="Arial"/>
          <w:color w:val="auto"/>
          <w:highlight w:val="none"/>
        </w:rPr>
        <w:t>,</w:t>
      </w:r>
      <w:r>
        <w:rPr>
          <w:rFonts w:hint="eastAsia" w:cs="Arial"/>
          <w:color w:val="auto"/>
          <w:highlight w:val="none"/>
        </w:rPr>
        <w:t>若出现质量管理人员变更</w:t>
      </w:r>
      <w:r>
        <w:rPr>
          <w:rFonts w:cs="Arial"/>
          <w:color w:val="auto"/>
          <w:highlight w:val="none"/>
        </w:rPr>
        <w:t>,</w:t>
      </w:r>
      <w:r>
        <w:rPr>
          <w:rFonts w:hint="eastAsia" w:cs="Arial"/>
          <w:color w:val="auto"/>
          <w:highlight w:val="none"/>
        </w:rPr>
        <w:t>应提前书面通知监理单位及发包人。</w:t>
      </w:r>
    </w:p>
    <w:p w14:paraId="51AE63C9">
      <w:pPr>
        <w:autoSpaceDE w:val="0"/>
        <w:autoSpaceDN w:val="0"/>
        <w:adjustRightInd w:val="0"/>
        <w:snapToGrid w:val="0"/>
        <w:ind w:firstLine="480" w:firstLineChars="200"/>
        <w:rPr>
          <w:rFonts w:cs="Arial"/>
          <w:color w:val="auto"/>
          <w:highlight w:val="none"/>
        </w:rPr>
      </w:pPr>
      <w:bookmarkStart w:id="1072" w:name="施工质量技术保证"/>
      <w:r>
        <w:rPr>
          <w:rFonts w:hint="eastAsia" w:cs="Arial"/>
          <w:color w:val="auto"/>
          <w:highlight w:val="none"/>
        </w:rPr>
        <w:t>2.1.4 承包人应按照发包人对报告内容的要求递交项目质量周</w:t>
      </w:r>
      <w:r>
        <w:rPr>
          <w:rFonts w:cs="Arial"/>
          <w:color w:val="auto"/>
          <w:highlight w:val="none"/>
        </w:rPr>
        <w:t>/</w:t>
      </w:r>
      <w:r>
        <w:rPr>
          <w:rFonts w:hint="eastAsia" w:cs="Arial"/>
          <w:color w:val="auto"/>
          <w:highlight w:val="none"/>
        </w:rPr>
        <w:t>月报（报告应包含检测结果统计数据）等质量信息，质量周报每周四上报发包方，质量月报每月上</w:t>
      </w:r>
      <w:r>
        <w:rPr>
          <w:rFonts w:cs="Arial"/>
          <w:color w:val="auto"/>
          <w:highlight w:val="none"/>
        </w:rPr>
        <w:t>23</w:t>
      </w:r>
      <w:r>
        <w:rPr>
          <w:rFonts w:hint="eastAsia" w:cs="Arial"/>
          <w:color w:val="auto"/>
          <w:highlight w:val="none"/>
        </w:rPr>
        <w:t>日报发包方。</w:t>
      </w:r>
    </w:p>
    <w:p w14:paraId="02166D7A">
      <w:pPr>
        <w:autoSpaceDE w:val="0"/>
        <w:autoSpaceDN w:val="0"/>
        <w:adjustRightInd w:val="0"/>
        <w:snapToGrid w:val="0"/>
        <w:ind w:firstLine="480" w:firstLineChars="200"/>
        <w:rPr>
          <w:rFonts w:cs="Arial"/>
          <w:color w:val="auto"/>
          <w:highlight w:val="none"/>
        </w:rPr>
      </w:pPr>
      <w:r>
        <w:rPr>
          <w:rFonts w:hint="eastAsia" w:cs="Arial"/>
          <w:color w:val="auto"/>
          <w:highlight w:val="none"/>
        </w:rPr>
        <w:t>2.1.5 承包人应根据发包人模板要求</w:t>
      </w:r>
      <w:r>
        <w:rPr>
          <w:rFonts w:cs="Arial"/>
          <w:color w:val="auto"/>
          <w:highlight w:val="none"/>
        </w:rPr>
        <w:t>,</w:t>
      </w:r>
      <w:r>
        <w:rPr>
          <w:rFonts w:hint="eastAsia" w:cs="Arial"/>
          <w:color w:val="auto"/>
          <w:highlight w:val="none"/>
        </w:rPr>
        <w:t>建立起进场工程物资管理台账</w:t>
      </w:r>
      <w:r>
        <w:rPr>
          <w:rFonts w:cs="Arial"/>
          <w:color w:val="auto"/>
          <w:highlight w:val="none"/>
        </w:rPr>
        <w:t>,</w:t>
      </w:r>
      <w:r>
        <w:rPr>
          <w:rFonts w:hint="eastAsia" w:cs="Arial"/>
          <w:color w:val="auto"/>
          <w:highlight w:val="none"/>
        </w:rPr>
        <w:t>实行动态管理</w:t>
      </w:r>
      <w:r>
        <w:rPr>
          <w:rFonts w:cs="Arial"/>
          <w:color w:val="auto"/>
          <w:highlight w:val="none"/>
        </w:rPr>
        <w:t>,</w:t>
      </w:r>
      <w:r>
        <w:rPr>
          <w:rFonts w:hint="eastAsia" w:cs="Arial"/>
          <w:color w:val="auto"/>
          <w:highlight w:val="none"/>
        </w:rPr>
        <w:t>每周四上报发包人质量监督部门。</w:t>
      </w:r>
    </w:p>
    <w:p w14:paraId="413A7F3D">
      <w:pPr>
        <w:autoSpaceDE w:val="0"/>
        <w:autoSpaceDN w:val="0"/>
        <w:adjustRightInd w:val="0"/>
        <w:snapToGrid w:val="0"/>
        <w:ind w:firstLine="480" w:firstLineChars="200"/>
        <w:rPr>
          <w:rFonts w:cs="Arial"/>
          <w:color w:val="auto"/>
          <w:highlight w:val="none"/>
        </w:rPr>
      </w:pPr>
      <w:r>
        <w:rPr>
          <w:rFonts w:hint="eastAsia" w:cs="Arial"/>
          <w:color w:val="auto"/>
          <w:highlight w:val="none"/>
        </w:rPr>
        <w:t>2.2 施工质量技术保证</w:t>
      </w:r>
      <w:bookmarkEnd w:id="1072"/>
    </w:p>
    <w:p w14:paraId="2ECB495C">
      <w:pPr>
        <w:autoSpaceDE w:val="0"/>
        <w:autoSpaceDN w:val="0"/>
        <w:adjustRightInd w:val="0"/>
        <w:snapToGrid w:val="0"/>
        <w:ind w:firstLine="480" w:firstLineChars="200"/>
        <w:rPr>
          <w:rFonts w:cs="Arial"/>
          <w:color w:val="auto"/>
          <w:highlight w:val="none"/>
        </w:rPr>
      </w:pPr>
      <w:r>
        <w:rPr>
          <w:rFonts w:hint="eastAsia" w:cs="Arial"/>
          <w:color w:val="auto"/>
          <w:highlight w:val="none"/>
        </w:rPr>
        <w:t>2.2.1  统一施工验收规范及评定标准</w:t>
      </w:r>
    </w:p>
    <w:p w14:paraId="5CF79535">
      <w:pPr>
        <w:autoSpaceDE w:val="0"/>
        <w:autoSpaceDN w:val="0"/>
        <w:adjustRightInd w:val="0"/>
        <w:snapToGrid w:val="0"/>
        <w:ind w:firstLine="480" w:firstLineChars="200"/>
        <w:rPr>
          <w:rFonts w:cs="Arial"/>
          <w:color w:val="auto"/>
          <w:highlight w:val="none"/>
        </w:rPr>
      </w:pPr>
      <w:r>
        <w:rPr>
          <w:rFonts w:hint="eastAsia" w:cs="Arial"/>
          <w:color w:val="auto"/>
          <w:highlight w:val="none"/>
        </w:rPr>
        <w:t>国内工艺技术应执行国内颁发的规范标准，国外随工艺和设备引进部分应按外商提供的标准和合同、规定验收，对没有规范、标准可循的工艺技术，应通过试验测试数据。由承包人进行试验测试，提供数据或论证资料，经施工、监理、发包人、质量监督站共同确认后作为施工依据和交工凭证。</w:t>
      </w:r>
    </w:p>
    <w:p w14:paraId="393C8390">
      <w:pPr>
        <w:autoSpaceDE w:val="0"/>
        <w:autoSpaceDN w:val="0"/>
        <w:adjustRightInd w:val="0"/>
        <w:snapToGrid w:val="0"/>
        <w:ind w:firstLine="480" w:firstLineChars="200"/>
        <w:rPr>
          <w:rFonts w:cs="Arial"/>
          <w:color w:val="auto"/>
          <w:highlight w:val="none"/>
        </w:rPr>
      </w:pPr>
      <w:r>
        <w:rPr>
          <w:rFonts w:hint="eastAsia" w:cs="Arial"/>
          <w:color w:val="auto"/>
          <w:highlight w:val="none"/>
        </w:rPr>
        <w:t>开工前，承包人根据设计图纸编写各单项工程施工验收规范、工艺标准、质量评定标准及有关技术规定目录，提交监理单位审查，质量监督站批准。同时，质量监督站将审查批准后的验收规范及质量评定标准清单下发到监理单位、承包人、发包人执行。</w:t>
      </w:r>
    </w:p>
    <w:p w14:paraId="1048D48E">
      <w:pPr>
        <w:autoSpaceDE w:val="0"/>
        <w:autoSpaceDN w:val="0"/>
        <w:adjustRightInd w:val="0"/>
        <w:snapToGrid w:val="0"/>
        <w:ind w:firstLine="480" w:firstLineChars="200"/>
        <w:rPr>
          <w:rFonts w:cs="Arial"/>
          <w:color w:val="auto"/>
          <w:highlight w:val="none"/>
        </w:rPr>
      </w:pPr>
      <w:r>
        <w:rPr>
          <w:rFonts w:hint="eastAsia" w:cs="Arial"/>
          <w:color w:val="auto"/>
          <w:highlight w:val="none"/>
        </w:rPr>
        <w:t>承包人、监理单位应完善、配齐所管工程项目的各类技术标准、规范，以保证施工需要，质量监督站检查落实。</w:t>
      </w:r>
    </w:p>
    <w:p w14:paraId="6B56C780">
      <w:pPr>
        <w:autoSpaceDE w:val="0"/>
        <w:autoSpaceDN w:val="0"/>
        <w:adjustRightInd w:val="0"/>
        <w:snapToGrid w:val="0"/>
        <w:ind w:firstLine="480" w:firstLineChars="200"/>
        <w:rPr>
          <w:rFonts w:cs="Arial"/>
          <w:color w:val="auto"/>
          <w:highlight w:val="none"/>
        </w:rPr>
      </w:pPr>
      <w:r>
        <w:rPr>
          <w:rFonts w:hint="eastAsia" w:cs="Arial"/>
          <w:color w:val="auto"/>
          <w:highlight w:val="none"/>
        </w:rPr>
        <w:t>2.2.2  统一单位工程划分</w:t>
      </w:r>
    </w:p>
    <w:p w14:paraId="5A013BDA">
      <w:pPr>
        <w:autoSpaceDE w:val="0"/>
        <w:autoSpaceDN w:val="0"/>
        <w:adjustRightInd w:val="0"/>
        <w:snapToGrid w:val="0"/>
        <w:ind w:firstLine="480" w:firstLineChars="200"/>
        <w:rPr>
          <w:rFonts w:cs="Arial"/>
          <w:color w:val="auto"/>
          <w:highlight w:val="none"/>
        </w:rPr>
      </w:pPr>
      <w:r>
        <w:rPr>
          <w:rFonts w:hint="eastAsia" w:cs="Arial"/>
          <w:color w:val="auto"/>
          <w:highlight w:val="none"/>
        </w:rPr>
        <w:t>工程开工前，由承包人提交单位工程（含分部、分项工程）划分方案报监理机构审查，质量监督站审批后下发。</w:t>
      </w:r>
    </w:p>
    <w:p w14:paraId="512D4720">
      <w:pPr>
        <w:autoSpaceDE w:val="0"/>
        <w:autoSpaceDN w:val="0"/>
        <w:adjustRightInd w:val="0"/>
        <w:snapToGrid w:val="0"/>
        <w:ind w:firstLine="480" w:firstLineChars="200"/>
        <w:rPr>
          <w:rFonts w:cs="Arial"/>
          <w:color w:val="auto"/>
          <w:highlight w:val="none"/>
        </w:rPr>
      </w:pPr>
      <w:r>
        <w:rPr>
          <w:rFonts w:hint="eastAsia" w:cs="Arial"/>
          <w:color w:val="auto"/>
          <w:highlight w:val="none"/>
        </w:rPr>
        <w:t>2.2.3施工组织设计和施工方案</w:t>
      </w:r>
    </w:p>
    <w:p w14:paraId="60AA369C">
      <w:pPr>
        <w:autoSpaceDE w:val="0"/>
        <w:autoSpaceDN w:val="0"/>
        <w:adjustRightInd w:val="0"/>
        <w:snapToGrid w:val="0"/>
        <w:ind w:firstLine="480" w:firstLineChars="200"/>
        <w:rPr>
          <w:rFonts w:cs="Arial"/>
          <w:color w:val="auto"/>
          <w:highlight w:val="none"/>
        </w:rPr>
      </w:pPr>
      <w:r>
        <w:rPr>
          <w:rFonts w:hint="eastAsia" w:cs="Arial"/>
          <w:color w:val="auto"/>
          <w:highlight w:val="none"/>
        </w:rPr>
        <w:t>a)  承包人根据工程承包范围和具体情况编制施工组织设计或施工方案。施工组织设计或施工方案中必须有工程质量计划与措施的内容，包括质量目标，与质量有关人员的职责、权限，工程质量控制点的设置及实施计划，检验与试验计划，工序和分项工程施工技术措施等。</w:t>
      </w:r>
    </w:p>
    <w:p w14:paraId="29498708">
      <w:pPr>
        <w:autoSpaceDE w:val="0"/>
        <w:autoSpaceDN w:val="0"/>
        <w:adjustRightInd w:val="0"/>
        <w:snapToGrid w:val="0"/>
        <w:ind w:firstLine="480" w:firstLineChars="200"/>
        <w:rPr>
          <w:rFonts w:cs="Arial"/>
          <w:color w:val="auto"/>
          <w:highlight w:val="none"/>
        </w:rPr>
      </w:pPr>
      <w:r>
        <w:rPr>
          <w:rFonts w:hint="eastAsia" w:cs="Arial"/>
          <w:color w:val="auto"/>
          <w:highlight w:val="none"/>
        </w:rPr>
        <w:t>b)  施工组织设计或技术方案应由承包人项目技术负责人审定，项目经理批准后，填写“施工组织计/施工方案报审表”送监理单位审查，总监签字。施工组织设计和重要施工方案（由发包人界定并通知监理单位）报发包人组织审批，对其中质量保证措施提出意见，使之符合工程技术要求和质量标准。</w:t>
      </w:r>
    </w:p>
    <w:p w14:paraId="46F2969E">
      <w:pPr>
        <w:autoSpaceDE w:val="0"/>
        <w:autoSpaceDN w:val="0"/>
        <w:adjustRightInd w:val="0"/>
        <w:snapToGrid w:val="0"/>
        <w:ind w:firstLine="480" w:firstLineChars="200"/>
        <w:rPr>
          <w:rFonts w:cs="Arial"/>
          <w:color w:val="auto"/>
          <w:highlight w:val="none"/>
        </w:rPr>
      </w:pPr>
      <w:r>
        <w:rPr>
          <w:rFonts w:hint="eastAsia" w:cs="Arial"/>
          <w:color w:val="auto"/>
          <w:highlight w:val="none"/>
        </w:rPr>
        <w:t>c)  施工组织设计（或施工方案）没有编制或未经审查批准的工程，不得开工。</w:t>
      </w:r>
    </w:p>
    <w:p w14:paraId="385872FE">
      <w:pPr>
        <w:autoSpaceDE w:val="0"/>
        <w:autoSpaceDN w:val="0"/>
        <w:adjustRightInd w:val="0"/>
        <w:snapToGrid w:val="0"/>
        <w:ind w:firstLine="480" w:firstLineChars="200"/>
        <w:rPr>
          <w:rFonts w:cs="Arial"/>
          <w:color w:val="auto"/>
          <w:highlight w:val="none"/>
        </w:rPr>
      </w:pPr>
      <w:r>
        <w:rPr>
          <w:rFonts w:hint="eastAsia" w:cs="Arial"/>
          <w:color w:val="auto"/>
          <w:highlight w:val="none"/>
        </w:rPr>
        <w:t>d)  工程施工必须按照批准的施工组织设计或施工方案进行，在施工中因实际情况确需进行重大修改，必须报监理机构及发包人讨论审批同意后方能组织施工。各级质量管理人员严格按施工组织设计和施工方案中确定的质量内容进行监督检查。</w:t>
      </w:r>
    </w:p>
    <w:p w14:paraId="7ECDCC1A">
      <w:pPr>
        <w:autoSpaceDE w:val="0"/>
        <w:autoSpaceDN w:val="0"/>
        <w:adjustRightInd w:val="0"/>
        <w:snapToGrid w:val="0"/>
        <w:ind w:firstLine="480" w:firstLineChars="200"/>
        <w:rPr>
          <w:rFonts w:cs="Arial"/>
          <w:color w:val="auto"/>
          <w:highlight w:val="none"/>
        </w:rPr>
      </w:pPr>
      <w:r>
        <w:rPr>
          <w:rFonts w:hint="eastAsia" w:cs="Arial"/>
          <w:color w:val="auto"/>
          <w:highlight w:val="none"/>
        </w:rPr>
        <w:t>2.2.4 施工技术交底</w:t>
      </w:r>
    </w:p>
    <w:p w14:paraId="6F842584">
      <w:pPr>
        <w:autoSpaceDE w:val="0"/>
        <w:autoSpaceDN w:val="0"/>
        <w:adjustRightInd w:val="0"/>
        <w:snapToGrid w:val="0"/>
        <w:ind w:firstLine="480" w:firstLineChars="200"/>
        <w:rPr>
          <w:rFonts w:cs="Arial"/>
          <w:color w:val="auto"/>
          <w:highlight w:val="none"/>
        </w:rPr>
      </w:pPr>
      <w:r>
        <w:rPr>
          <w:rFonts w:hint="eastAsia" w:cs="Arial"/>
          <w:color w:val="auto"/>
          <w:highlight w:val="none"/>
        </w:rPr>
        <w:t>承包人技术负责人开工前均应逐级向施工人员进行技术交底，明确技术要求、质量标准、检验要点、质量通病防止措施和各级人员质量职责。并作好交底记录，监理机构督促检查。</w:t>
      </w:r>
    </w:p>
    <w:p w14:paraId="31474A3E">
      <w:pPr>
        <w:autoSpaceDE w:val="0"/>
        <w:autoSpaceDN w:val="0"/>
        <w:adjustRightInd w:val="0"/>
        <w:snapToGrid w:val="0"/>
        <w:ind w:firstLine="480" w:firstLineChars="200"/>
        <w:rPr>
          <w:rFonts w:cs="Arial"/>
          <w:color w:val="auto"/>
          <w:highlight w:val="none"/>
        </w:rPr>
      </w:pPr>
      <w:bookmarkStart w:id="1073" w:name="设备、材料、构配件质量控制"/>
      <w:r>
        <w:rPr>
          <w:rFonts w:hint="eastAsia" w:cs="Arial"/>
          <w:color w:val="auto"/>
          <w:highlight w:val="none"/>
        </w:rPr>
        <w:t>2.3  设备、材料、构配件质量控制</w:t>
      </w:r>
      <w:bookmarkEnd w:id="1073"/>
    </w:p>
    <w:p w14:paraId="4B5DED51">
      <w:pPr>
        <w:autoSpaceDE w:val="0"/>
        <w:autoSpaceDN w:val="0"/>
        <w:adjustRightInd w:val="0"/>
        <w:snapToGrid w:val="0"/>
        <w:ind w:firstLine="480" w:firstLineChars="200"/>
        <w:rPr>
          <w:rFonts w:cs="Arial"/>
          <w:color w:val="auto"/>
          <w:highlight w:val="none"/>
        </w:rPr>
      </w:pPr>
      <w:r>
        <w:rPr>
          <w:rFonts w:hint="eastAsia" w:cs="Arial"/>
          <w:color w:val="auto"/>
          <w:highlight w:val="none"/>
        </w:rPr>
        <w:t>2.3.1</w:t>
      </w:r>
      <w:bookmarkStart w:id="1074" w:name="设备、材料进场前质量控制"/>
      <w:r>
        <w:rPr>
          <w:rFonts w:hint="eastAsia" w:cs="Arial"/>
          <w:color w:val="auto"/>
          <w:highlight w:val="none"/>
        </w:rPr>
        <w:t xml:space="preserve">  设备、材料进场前质量控制</w:t>
      </w:r>
      <w:bookmarkEnd w:id="1074"/>
      <w:r>
        <w:rPr>
          <w:rFonts w:hint="eastAsia" w:cs="Arial"/>
          <w:color w:val="auto"/>
          <w:highlight w:val="none"/>
        </w:rPr>
        <w:t>。</w:t>
      </w:r>
    </w:p>
    <w:p w14:paraId="3118BDB0">
      <w:pPr>
        <w:autoSpaceDE w:val="0"/>
        <w:autoSpaceDN w:val="0"/>
        <w:adjustRightInd w:val="0"/>
        <w:snapToGrid w:val="0"/>
        <w:ind w:firstLine="480" w:firstLineChars="200"/>
        <w:rPr>
          <w:rFonts w:cs="Arial"/>
          <w:color w:val="auto"/>
          <w:highlight w:val="none"/>
        </w:rPr>
      </w:pPr>
      <w:r>
        <w:rPr>
          <w:rFonts w:hint="eastAsia" w:cs="Arial"/>
          <w:color w:val="auto"/>
          <w:highlight w:val="none"/>
        </w:rPr>
        <w:t>机动部负责设备、材料技术参数、质量标准的确定和技术协议的签订，参与优选供应商及产品制造过程的质量控制。实行谁采购谁负责质量的原则，采购部门负责优选供应商、合同签订、第三方监造、产品出厂入库检验。</w:t>
      </w:r>
    </w:p>
    <w:p w14:paraId="621D15C6">
      <w:pPr>
        <w:autoSpaceDE w:val="0"/>
        <w:autoSpaceDN w:val="0"/>
        <w:adjustRightInd w:val="0"/>
        <w:snapToGrid w:val="0"/>
        <w:ind w:firstLine="480" w:firstLineChars="200"/>
        <w:rPr>
          <w:rFonts w:cs="Arial"/>
          <w:color w:val="auto"/>
          <w:highlight w:val="none"/>
        </w:rPr>
      </w:pPr>
      <w:r>
        <w:rPr>
          <w:rFonts w:hint="eastAsia" w:cs="Arial"/>
          <w:color w:val="auto"/>
          <w:highlight w:val="none"/>
        </w:rPr>
        <w:t>产品验收等过程的质量管理工作。</w:t>
      </w:r>
    </w:p>
    <w:p w14:paraId="268E18D0">
      <w:pPr>
        <w:autoSpaceDE w:val="0"/>
        <w:autoSpaceDN w:val="0"/>
        <w:adjustRightInd w:val="0"/>
        <w:snapToGrid w:val="0"/>
        <w:ind w:firstLine="480" w:firstLineChars="200"/>
        <w:rPr>
          <w:rFonts w:cs="Arial"/>
          <w:color w:val="auto"/>
          <w:highlight w:val="none"/>
        </w:rPr>
      </w:pPr>
      <w:r>
        <w:rPr>
          <w:rFonts w:hint="eastAsia" w:cs="Arial"/>
          <w:color w:val="auto"/>
          <w:highlight w:val="none"/>
        </w:rPr>
        <w:t>质量监督站负责程序过程监督。</w:t>
      </w:r>
    </w:p>
    <w:p w14:paraId="4F338EEB">
      <w:pPr>
        <w:autoSpaceDE w:val="0"/>
        <w:autoSpaceDN w:val="0"/>
        <w:adjustRightInd w:val="0"/>
        <w:snapToGrid w:val="0"/>
        <w:ind w:firstLine="480" w:firstLineChars="200"/>
        <w:rPr>
          <w:rFonts w:cs="Arial"/>
          <w:color w:val="auto"/>
          <w:highlight w:val="none"/>
        </w:rPr>
      </w:pPr>
      <w:r>
        <w:rPr>
          <w:rFonts w:hint="eastAsia" w:cs="Arial"/>
          <w:color w:val="auto"/>
          <w:highlight w:val="none"/>
        </w:rPr>
        <w:t>采购人制定重要设备、材料监造计划，凡实施监造的设备、材料监造人员应事先编写监造大纲（或细则），未经监造人员签字，产品不得出厂验收。</w:t>
      </w:r>
    </w:p>
    <w:p w14:paraId="5AC90550">
      <w:pPr>
        <w:autoSpaceDE w:val="0"/>
        <w:autoSpaceDN w:val="0"/>
        <w:adjustRightInd w:val="0"/>
        <w:snapToGrid w:val="0"/>
        <w:ind w:firstLine="480" w:firstLineChars="200"/>
        <w:rPr>
          <w:rFonts w:cs="Arial"/>
          <w:color w:val="auto"/>
          <w:highlight w:val="none"/>
        </w:rPr>
      </w:pPr>
      <w:r>
        <w:rPr>
          <w:rFonts w:hint="eastAsia" w:cs="Arial"/>
          <w:color w:val="auto"/>
          <w:highlight w:val="none"/>
        </w:rPr>
        <w:t>重要设备、材料出厂前，采购人组织机动部、质量监督站等有关部门进厂检验，检查产品质量和监造人员的工作质量，及时发现和处理质量问题堵绝不合格产品出厂。</w:t>
      </w:r>
    </w:p>
    <w:p w14:paraId="7EE0CB26">
      <w:pPr>
        <w:autoSpaceDE w:val="0"/>
        <w:autoSpaceDN w:val="0"/>
        <w:adjustRightInd w:val="0"/>
        <w:snapToGrid w:val="0"/>
        <w:ind w:firstLine="480" w:firstLineChars="200"/>
        <w:rPr>
          <w:rFonts w:cs="Arial"/>
          <w:color w:val="auto"/>
          <w:highlight w:val="none"/>
        </w:rPr>
      </w:pPr>
      <w:r>
        <w:rPr>
          <w:rFonts w:hint="eastAsia" w:cs="Arial"/>
          <w:color w:val="auto"/>
          <w:highlight w:val="none"/>
        </w:rPr>
        <w:t>采购人组织有关单位专业人员、制造商代表（约定）进行设备、材料、构配件的开箱检验，指定专人填写开箱记录，参检人员应予签认。开箱检验的主要内容是：装箱清单与实物名称、规格（型号）、数量核查；设备铭牌与材料色标核查；实物与质量证明文件（包括监检、监造文件）、随机资料核查；实物外观质量检查。</w:t>
      </w:r>
    </w:p>
    <w:p w14:paraId="6FD758A9">
      <w:pPr>
        <w:autoSpaceDE w:val="0"/>
        <w:autoSpaceDN w:val="0"/>
        <w:adjustRightInd w:val="0"/>
        <w:snapToGrid w:val="0"/>
        <w:ind w:firstLine="480" w:firstLineChars="200"/>
        <w:rPr>
          <w:rFonts w:cs="Arial"/>
          <w:color w:val="auto"/>
          <w:highlight w:val="none"/>
        </w:rPr>
      </w:pPr>
      <w:r>
        <w:rPr>
          <w:rFonts w:hint="eastAsia" w:cs="Arial"/>
          <w:color w:val="auto"/>
          <w:highlight w:val="none"/>
        </w:rPr>
        <w:t>采购人应制定入库设备、材料的检、试验方案，组织专业人员或委托第三方进行检验、试验。检验不合格的设备、材料、构配件不得进入施工现场。</w:t>
      </w:r>
    </w:p>
    <w:p w14:paraId="511FCEAE">
      <w:pPr>
        <w:autoSpaceDE w:val="0"/>
        <w:autoSpaceDN w:val="0"/>
        <w:adjustRightInd w:val="0"/>
        <w:snapToGrid w:val="0"/>
        <w:ind w:firstLine="480" w:firstLineChars="200"/>
        <w:rPr>
          <w:rFonts w:cs="Arial"/>
          <w:color w:val="auto"/>
          <w:highlight w:val="none"/>
        </w:rPr>
      </w:pPr>
      <w:r>
        <w:rPr>
          <w:rFonts w:hint="eastAsia" w:cs="Arial"/>
          <w:color w:val="auto"/>
          <w:highlight w:val="none"/>
        </w:rPr>
        <w:t>监造过程、开箱检查和复验中发现的质量问题由采购人负责解决并反馈给质量监督站。</w:t>
      </w:r>
    </w:p>
    <w:p w14:paraId="21259427">
      <w:pPr>
        <w:autoSpaceDE w:val="0"/>
        <w:autoSpaceDN w:val="0"/>
        <w:adjustRightInd w:val="0"/>
        <w:snapToGrid w:val="0"/>
        <w:ind w:firstLine="480" w:firstLineChars="200"/>
        <w:rPr>
          <w:rFonts w:cs="Arial"/>
          <w:color w:val="auto"/>
          <w:highlight w:val="none"/>
        </w:rPr>
      </w:pPr>
      <w:r>
        <w:rPr>
          <w:rFonts w:hint="eastAsia" w:cs="Arial"/>
          <w:color w:val="auto"/>
          <w:highlight w:val="none"/>
        </w:rPr>
        <w:t>设备、材料、构配件入库及复验后要有明确标识，无标识或标识不清的设备材料不得发放用于工程。采购人须加强设备、材料、构配件质量证明文件的管理，对各类质量证明文件必须有供应商提供的原件一份，其余可为复印件；供应商未提供原件时，复印件应加盖供应商红章且文字数据应清楚；大批量的材料用于多个工程时，质量证明文件原件的复印件加盖采购人的红章也可作原件对待。质量证明文件必须随设备、材料、构配件同时发放</w:t>
      </w:r>
    </w:p>
    <w:p w14:paraId="03F8F1D6">
      <w:pPr>
        <w:autoSpaceDE w:val="0"/>
        <w:autoSpaceDN w:val="0"/>
        <w:adjustRightInd w:val="0"/>
        <w:snapToGrid w:val="0"/>
        <w:ind w:firstLine="480" w:firstLineChars="200"/>
        <w:rPr>
          <w:rFonts w:cs="Arial"/>
          <w:color w:val="auto"/>
          <w:highlight w:val="none"/>
        </w:rPr>
      </w:pPr>
      <w:bookmarkStart w:id="1075" w:name="设备材料入场后的质量控制"/>
      <w:r>
        <w:rPr>
          <w:rFonts w:hint="eastAsia" w:cs="Arial"/>
          <w:color w:val="auto"/>
          <w:highlight w:val="none"/>
        </w:rPr>
        <w:t>2.3.2  设备材料入场后的质量控制</w:t>
      </w:r>
      <w:bookmarkEnd w:id="1075"/>
    </w:p>
    <w:p w14:paraId="495D83B1">
      <w:pPr>
        <w:autoSpaceDE w:val="0"/>
        <w:autoSpaceDN w:val="0"/>
        <w:adjustRightInd w:val="0"/>
        <w:snapToGrid w:val="0"/>
        <w:ind w:firstLine="480" w:firstLineChars="200"/>
        <w:rPr>
          <w:rFonts w:cs="Arial"/>
          <w:color w:val="auto"/>
          <w:highlight w:val="none"/>
        </w:rPr>
      </w:pPr>
      <w:r>
        <w:rPr>
          <w:rFonts w:hint="eastAsia" w:cs="Arial"/>
          <w:color w:val="auto"/>
          <w:highlight w:val="none"/>
        </w:rPr>
        <w:t>进入现场的设备、材料、构配件的质量由承包人自检，监理单位核验，发包人各发包人项目、质量监督站抽查。设备、材料、构配件无标识或标识不清、无质量证明文件时承包人不得领用（紧急放行须办理手续）。设备、材料、构配件运往现场安装前，承包人必须进行检查、验收，作好《自检记录表》，填写“工程材料/构配件/设备报审表”向监理工程师进行报验；报审的物件为一件以上时，必须列出数量清单编上序号，且与质量证明文件的序号相对应以便核对。</w:t>
      </w:r>
    </w:p>
    <w:p w14:paraId="19D00A16">
      <w:pPr>
        <w:autoSpaceDE w:val="0"/>
        <w:autoSpaceDN w:val="0"/>
        <w:adjustRightInd w:val="0"/>
        <w:snapToGrid w:val="0"/>
        <w:ind w:firstLine="480" w:firstLineChars="200"/>
        <w:rPr>
          <w:rFonts w:cs="Arial"/>
          <w:color w:val="auto"/>
          <w:highlight w:val="none"/>
        </w:rPr>
      </w:pPr>
      <w:r>
        <w:rPr>
          <w:rFonts w:hint="eastAsia" w:cs="Arial"/>
          <w:color w:val="auto"/>
          <w:highlight w:val="none"/>
        </w:rPr>
        <w:t>监理工程师在审核承包人设备、材料报审资料的同时对实物进行抽查；承包人未进行自检的设备、材料，监理工程师不接受报审。</w:t>
      </w:r>
    </w:p>
    <w:p w14:paraId="0B631FDB">
      <w:pPr>
        <w:autoSpaceDE w:val="0"/>
        <w:autoSpaceDN w:val="0"/>
        <w:adjustRightInd w:val="0"/>
        <w:snapToGrid w:val="0"/>
        <w:ind w:firstLine="480" w:firstLineChars="200"/>
        <w:rPr>
          <w:rFonts w:cs="Arial"/>
          <w:color w:val="auto"/>
          <w:highlight w:val="none"/>
        </w:rPr>
      </w:pPr>
      <w:r>
        <w:rPr>
          <w:rFonts w:hint="eastAsia" w:cs="Arial"/>
          <w:color w:val="auto"/>
          <w:highlight w:val="none"/>
        </w:rPr>
        <w:t>设备、材料安装前，承包人应按施工规范要求进行复验，复验检测报告应作为交工文件的组成部分。</w:t>
      </w:r>
    </w:p>
    <w:p w14:paraId="69776E15">
      <w:pPr>
        <w:autoSpaceDE w:val="0"/>
        <w:autoSpaceDN w:val="0"/>
        <w:adjustRightInd w:val="0"/>
        <w:snapToGrid w:val="0"/>
        <w:ind w:firstLine="480" w:firstLineChars="200"/>
        <w:rPr>
          <w:rFonts w:cs="Arial"/>
          <w:color w:val="auto"/>
          <w:highlight w:val="none"/>
        </w:rPr>
      </w:pPr>
      <w:r>
        <w:rPr>
          <w:rFonts w:hint="eastAsia" w:cs="Arial"/>
          <w:color w:val="auto"/>
          <w:highlight w:val="none"/>
        </w:rPr>
        <w:t>承包人应制定标识管理办法，现场安装作好标识移植，不合格品应隔离存放。</w:t>
      </w:r>
    </w:p>
    <w:p w14:paraId="0E04983F">
      <w:pPr>
        <w:autoSpaceDE w:val="0"/>
        <w:autoSpaceDN w:val="0"/>
        <w:adjustRightInd w:val="0"/>
        <w:snapToGrid w:val="0"/>
        <w:ind w:firstLine="480" w:firstLineChars="200"/>
        <w:rPr>
          <w:rFonts w:cs="Arial"/>
          <w:color w:val="auto"/>
          <w:highlight w:val="none"/>
        </w:rPr>
      </w:pPr>
      <w:r>
        <w:rPr>
          <w:rFonts w:hint="eastAsia" w:cs="Arial"/>
          <w:color w:val="auto"/>
          <w:highlight w:val="none"/>
        </w:rPr>
        <w:t>工程安装完成后，对有使用合金材料的部位，由监理、施工、装置人员共同检查确认，有疑问时，由承包人进行复验。</w:t>
      </w:r>
    </w:p>
    <w:p w14:paraId="22455800">
      <w:pPr>
        <w:autoSpaceDE w:val="0"/>
        <w:autoSpaceDN w:val="0"/>
        <w:adjustRightInd w:val="0"/>
        <w:snapToGrid w:val="0"/>
        <w:ind w:firstLine="480" w:firstLineChars="200"/>
        <w:rPr>
          <w:rFonts w:cs="Arial"/>
          <w:color w:val="auto"/>
          <w:highlight w:val="none"/>
        </w:rPr>
      </w:pPr>
      <w:r>
        <w:rPr>
          <w:rFonts w:hint="eastAsia" w:cs="Arial"/>
          <w:color w:val="auto"/>
          <w:highlight w:val="none"/>
        </w:rPr>
        <w:t>承包人自购的建筑材料，必须有完整、齐全、清晰的质量证明文件，并由监理人员按规定见证取样复验。</w:t>
      </w:r>
    </w:p>
    <w:p w14:paraId="792654A0">
      <w:pPr>
        <w:autoSpaceDE w:val="0"/>
        <w:autoSpaceDN w:val="0"/>
        <w:adjustRightInd w:val="0"/>
        <w:snapToGrid w:val="0"/>
        <w:ind w:firstLine="480" w:firstLineChars="200"/>
        <w:rPr>
          <w:rFonts w:cs="Arial"/>
          <w:color w:val="auto"/>
          <w:highlight w:val="none"/>
        </w:rPr>
      </w:pPr>
      <w:bookmarkStart w:id="1076" w:name="物资紧急放行处理原则"/>
      <w:r>
        <w:rPr>
          <w:rFonts w:hint="eastAsia" w:cs="Arial"/>
          <w:color w:val="auto"/>
          <w:highlight w:val="none"/>
        </w:rPr>
        <w:t>2.3.3  物资紧急放行处理原则</w:t>
      </w:r>
      <w:bookmarkEnd w:id="1076"/>
    </w:p>
    <w:p w14:paraId="20F9AA19">
      <w:pPr>
        <w:autoSpaceDE w:val="0"/>
        <w:autoSpaceDN w:val="0"/>
        <w:adjustRightInd w:val="0"/>
        <w:snapToGrid w:val="0"/>
        <w:ind w:firstLine="480" w:firstLineChars="200"/>
        <w:rPr>
          <w:rFonts w:cs="Arial"/>
          <w:color w:val="auto"/>
          <w:highlight w:val="none"/>
        </w:rPr>
      </w:pPr>
      <w:r>
        <w:rPr>
          <w:rFonts w:hint="eastAsia" w:cs="Arial"/>
          <w:color w:val="auto"/>
          <w:highlight w:val="none"/>
        </w:rPr>
        <w:t>进货检验中，由于急需来不及检验时，必须由发包人主管领导授权的审批人批准，必须做出明确标识和记录，发现不合格立即更换。承包人应在规定的时限内，提供紧急放行物资的原始凭证和质量证明文件</w:t>
      </w:r>
      <w:r>
        <w:rPr>
          <w:rFonts w:cs="Arial"/>
          <w:color w:val="auto"/>
          <w:highlight w:val="none"/>
        </w:rPr>
        <w:t>,</w:t>
      </w:r>
      <w:r>
        <w:rPr>
          <w:rFonts w:hint="eastAsia" w:cs="Arial"/>
          <w:color w:val="auto"/>
          <w:highlight w:val="none"/>
        </w:rPr>
        <w:t>做好闭环管理；否则总监理工程师视情况做出相应处置。</w:t>
      </w:r>
    </w:p>
    <w:p w14:paraId="731981CA">
      <w:pPr>
        <w:autoSpaceDE w:val="0"/>
        <w:autoSpaceDN w:val="0"/>
        <w:adjustRightInd w:val="0"/>
        <w:snapToGrid w:val="0"/>
        <w:ind w:firstLine="480" w:firstLineChars="200"/>
        <w:rPr>
          <w:rFonts w:cs="Arial"/>
          <w:color w:val="auto"/>
          <w:highlight w:val="none"/>
        </w:rPr>
      </w:pPr>
      <w:r>
        <w:rPr>
          <w:rFonts w:hint="eastAsia" w:cs="Arial"/>
          <w:color w:val="auto"/>
          <w:highlight w:val="none"/>
        </w:rPr>
        <w:t>紧急放行仅限于可更换部位的物资。</w:t>
      </w:r>
    </w:p>
    <w:p w14:paraId="57C5B512">
      <w:pPr>
        <w:autoSpaceDE w:val="0"/>
        <w:autoSpaceDN w:val="0"/>
        <w:adjustRightInd w:val="0"/>
        <w:snapToGrid w:val="0"/>
        <w:ind w:firstLine="480" w:firstLineChars="200"/>
        <w:rPr>
          <w:rFonts w:cs="Arial"/>
          <w:color w:val="auto"/>
          <w:highlight w:val="none"/>
        </w:rPr>
      </w:pPr>
      <w:bookmarkStart w:id="1077" w:name="不合格品的处置"/>
      <w:r>
        <w:rPr>
          <w:rFonts w:hint="eastAsia" w:cs="Arial"/>
          <w:color w:val="auto"/>
          <w:highlight w:val="none"/>
        </w:rPr>
        <w:t>2.3.4  不合格品的处置</w:t>
      </w:r>
      <w:bookmarkEnd w:id="1077"/>
    </w:p>
    <w:p w14:paraId="21C2F7CF">
      <w:pPr>
        <w:autoSpaceDE w:val="0"/>
        <w:autoSpaceDN w:val="0"/>
        <w:adjustRightInd w:val="0"/>
        <w:snapToGrid w:val="0"/>
        <w:ind w:firstLine="480" w:firstLineChars="200"/>
        <w:rPr>
          <w:rFonts w:cs="Arial"/>
          <w:color w:val="auto"/>
          <w:highlight w:val="none"/>
        </w:rPr>
      </w:pPr>
      <w:r>
        <w:rPr>
          <w:rFonts w:hint="eastAsia" w:cs="Arial"/>
          <w:color w:val="auto"/>
          <w:highlight w:val="none"/>
        </w:rPr>
        <w:t>验收不合格的物资应拒收，已达现场的应立即运出现场；不合格品由承包人提出，监理机构确认，应通知采购人处理并最终提供合格品。</w:t>
      </w:r>
    </w:p>
    <w:p w14:paraId="773DE90C">
      <w:pPr>
        <w:autoSpaceDE w:val="0"/>
        <w:autoSpaceDN w:val="0"/>
        <w:adjustRightInd w:val="0"/>
        <w:snapToGrid w:val="0"/>
        <w:ind w:firstLine="480" w:firstLineChars="200"/>
        <w:rPr>
          <w:rFonts w:cs="Arial"/>
          <w:color w:val="auto"/>
          <w:highlight w:val="none"/>
        </w:rPr>
      </w:pPr>
      <w:r>
        <w:rPr>
          <w:rFonts w:hint="eastAsia" w:cs="Arial"/>
          <w:color w:val="auto"/>
          <w:highlight w:val="none"/>
        </w:rPr>
        <w:t>轻度不合格但不影响工程质量的物资，必须经发包人和监理机构同意后方可接收。</w:t>
      </w:r>
    </w:p>
    <w:p w14:paraId="16C223A4">
      <w:pPr>
        <w:autoSpaceDE w:val="0"/>
        <w:autoSpaceDN w:val="0"/>
        <w:adjustRightInd w:val="0"/>
        <w:snapToGrid w:val="0"/>
        <w:ind w:firstLine="480" w:firstLineChars="200"/>
        <w:rPr>
          <w:rFonts w:cs="Arial"/>
          <w:color w:val="auto"/>
          <w:highlight w:val="none"/>
        </w:rPr>
      </w:pPr>
      <w:bookmarkStart w:id="1078" w:name="施工过程质量控制"/>
      <w:r>
        <w:rPr>
          <w:rFonts w:hint="eastAsia" w:cs="Arial"/>
          <w:color w:val="auto"/>
          <w:highlight w:val="none"/>
        </w:rPr>
        <w:t>2.4  施工过程质量控制</w:t>
      </w:r>
      <w:bookmarkEnd w:id="1078"/>
    </w:p>
    <w:p w14:paraId="18D8CD92">
      <w:pPr>
        <w:autoSpaceDE w:val="0"/>
        <w:autoSpaceDN w:val="0"/>
        <w:adjustRightInd w:val="0"/>
        <w:snapToGrid w:val="0"/>
        <w:ind w:firstLine="480" w:firstLineChars="200"/>
        <w:rPr>
          <w:rFonts w:cs="Arial"/>
          <w:color w:val="auto"/>
          <w:highlight w:val="none"/>
        </w:rPr>
      </w:pPr>
      <w:r>
        <w:rPr>
          <w:rFonts w:hint="eastAsia" w:cs="Arial"/>
          <w:color w:val="auto"/>
          <w:highlight w:val="none"/>
        </w:rPr>
        <w:t>2.4.1</w:t>
      </w:r>
      <w:bookmarkStart w:id="1079" w:name="质量计划"/>
      <w:r>
        <w:rPr>
          <w:rFonts w:hint="eastAsia" w:cs="Arial"/>
          <w:color w:val="auto"/>
          <w:highlight w:val="none"/>
        </w:rPr>
        <w:t xml:space="preserve">  质量计划</w:t>
      </w:r>
      <w:bookmarkEnd w:id="1079"/>
      <w:r>
        <w:rPr>
          <w:rFonts w:hint="eastAsia" w:cs="Arial"/>
          <w:color w:val="auto"/>
          <w:highlight w:val="none"/>
        </w:rPr>
        <w:t>：</w:t>
      </w:r>
    </w:p>
    <w:p w14:paraId="10FFF73E">
      <w:pPr>
        <w:autoSpaceDE w:val="0"/>
        <w:autoSpaceDN w:val="0"/>
        <w:adjustRightInd w:val="0"/>
        <w:snapToGrid w:val="0"/>
        <w:ind w:firstLine="480" w:firstLineChars="200"/>
        <w:rPr>
          <w:rFonts w:cs="Arial"/>
          <w:color w:val="auto"/>
          <w:highlight w:val="none"/>
        </w:rPr>
      </w:pPr>
      <w:r>
        <w:rPr>
          <w:rFonts w:hint="eastAsia" w:cs="Arial"/>
          <w:color w:val="auto"/>
          <w:highlight w:val="none"/>
        </w:rPr>
        <w:t>承包人对每个单项工程都应编写质量计划，作为对外质量保证和对内质量控制的依据。</w:t>
      </w:r>
    </w:p>
    <w:p w14:paraId="51F742A5">
      <w:pPr>
        <w:autoSpaceDE w:val="0"/>
        <w:autoSpaceDN w:val="0"/>
        <w:adjustRightInd w:val="0"/>
        <w:snapToGrid w:val="0"/>
        <w:ind w:firstLine="480" w:firstLineChars="200"/>
        <w:rPr>
          <w:rFonts w:cs="Arial"/>
          <w:color w:val="auto"/>
          <w:highlight w:val="none"/>
        </w:rPr>
      </w:pPr>
      <w:r>
        <w:rPr>
          <w:rFonts w:hint="eastAsia" w:cs="Arial"/>
          <w:color w:val="auto"/>
          <w:highlight w:val="none"/>
        </w:rPr>
        <w:t>质量计划的内容至少应有：质量目标；质量机构及各级施工人员质量责任、权限；关键工序、特殊过程的质量控制措施；工序质量控制点设置及质量控制方案；施工过程检验试验计划。</w:t>
      </w:r>
    </w:p>
    <w:p w14:paraId="22CD8F70">
      <w:pPr>
        <w:autoSpaceDE w:val="0"/>
        <w:autoSpaceDN w:val="0"/>
        <w:adjustRightInd w:val="0"/>
        <w:snapToGrid w:val="0"/>
        <w:ind w:firstLine="480" w:firstLineChars="200"/>
        <w:rPr>
          <w:rFonts w:cs="Arial"/>
          <w:color w:val="auto"/>
          <w:highlight w:val="none"/>
        </w:rPr>
      </w:pPr>
      <w:r>
        <w:rPr>
          <w:rFonts w:cs="Arial"/>
          <w:color w:val="auto"/>
          <w:highlight w:val="none"/>
        </w:rPr>
        <w:t>项目经理主持编制承包项目的质量计划，经本企业质量管理体系规定的审批后，在合同订立后的21天内报</w:t>
      </w:r>
      <w:r>
        <w:rPr>
          <w:rFonts w:hint="eastAsia" w:cs="Arial"/>
          <w:color w:val="auto"/>
          <w:highlight w:val="none"/>
        </w:rPr>
        <w:t>请监理机构审核</w:t>
      </w:r>
      <w:r>
        <w:rPr>
          <w:rFonts w:cs="Arial"/>
          <w:color w:val="auto"/>
          <w:highlight w:val="none"/>
        </w:rPr>
        <w:t xml:space="preserve">, </w:t>
      </w:r>
      <w:r>
        <w:rPr>
          <w:rFonts w:hint="eastAsia" w:cs="Arial"/>
          <w:color w:val="auto"/>
          <w:highlight w:val="none"/>
        </w:rPr>
        <w:t>监理机构审核通过后上交发包人质量监督部门审定后方可实施，施工组织设计中已有此章节详细内容时，可不另行编制。</w:t>
      </w:r>
    </w:p>
    <w:p w14:paraId="630EE708">
      <w:pPr>
        <w:autoSpaceDE w:val="0"/>
        <w:autoSpaceDN w:val="0"/>
        <w:adjustRightInd w:val="0"/>
        <w:snapToGrid w:val="0"/>
        <w:ind w:firstLine="480" w:firstLineChars="200"/>
        <w:textAlignment w:val="baseline"/>
        <w:rPr>
          <w:rFonts w:cs="Arial"/>
          <w:color w:val="auto"/>
          <w:highlight w:val="none"/>
        </w:rPr>
      </w:pPr>
      <w:r>
        <w:rPr>
          <w:rFonts w:hint="eastAsia" w:cs="Arial"/>
          <w:color w:val="auto"/>
          <w:highlight w:val="none"/>
        </w:rPr>
        <w:t>2.</w:t>
      </w:r>
      <w:r>
        <w:rPr>
          <w:rFonts w:cs="Arial"/>
          <w:color w:val="auto"/>
          <w:highlight w:val="none"/>
        </w:rPr>
        <w:t>4.</w:t>
      </w:r>
      <w:r>
        <w:rPr>
          <w:rFonts w:hint="eastAsia" w:cs="Arial"/>
          <w:color w:val="auto"/>
          <w:highlight w:val="none"/>
        </w:rPr>
        <w:t>2 感官质量控制</w:t>
      </w:r>
    </w:p>
    <w:p w14:paraId="72F0C520">
      <w:pPr>
        <w:autoSpaceDE w:val="0"/>
        <w:autoSpaceDN w:val="0"/>
        <w:adjustRightInd w:val="0"/>
        <w:snapToGrid w:val="0"/>
        <w:ind w:firstLine="480" w:firstLineChars="200"/>
        <w:textAlignment w:val="baseline"/>
        <w:rPr>
          <w:rFonts w:cs="Arial"/>
          <w:color w:val="auto"/>
          <w:sz w:val="21"/>
          <w:szCs w:val="22"/>
          <w:highlight w:val="none"/>
        </w:rPr>
      </w:pPr>
      <w:r>
        <w:rPr>
          <w:rFonts w:hint="eastAsia" w:cs="Arial"/>
          <w:color w:val="auto"/>
          <w:highlight w:val="none"/>
        </w:rPr>
        <w:t>防腐保温工程质量、混凝土表观质量、道路竖向标识、建构筑物（包括围墙）外观、设备钢结构管道表面色等外在视觉形象工程统一纳入感官质量管控范畴，</w:t>
      </w:r>
      <w:r>
        <w:rPr>
          <w:rFonts w:hint="eastAsia" w:cs="Arial"/>
          <w:color w:val="auto"/>
          <w:sz w:val="21"/>
          <w:szCs w:val="22"/>
          <w:highlight w:val="none"/>
        </w:rPr>
        <w:t>承包人要</w:t>
      </w:r>
      <w:r>
        <w:rPr>
          <w:rFonts w:hint="eastAsia" w:cs="Arial"/>
          <w:color w:val="auto"/>
          <w:highlight w:val="none"/>
        </w:rPr>
        <w:t>对作业指导书缺少、档案管理缺失、专业技术人员缺乏等问题查漏项、补短板，建立和完善专项工程质量管理体系，确保体系有效运行。</w:t>
      </w:r>
    </w:p>
    <w:p w14:paraId="7111C6C1">
      <w:pPr>
        <w:autoSpaceDE w:val="0"/>
        <w:autoSpaceDN w:val="0"/>
        <w:adjustRightInd w:val="0"/>
        <w:snapToGrid w:val="0"/>
        <w:ind w:firstLine="480" w:firstLineChars="200"/>
        <w:textAlignment w:val="baseline"/>
        <w:rPr>
          <w:rFonts w:cs="Arial"/>
          <w:color w:val="auto"/>
          <w:sz w:val="21"/>
          <w:szCs w:val="22"/>
          <w:highlight w:val="none"/>
        </w:rPr>
      </w:pPr>
      <w:r>
        <w:rPr>
          <w:rFonts w:hint="eastAsia" w:cs="Arial"/>
          <w:color w:val="auto"/>
          <w:highlight w:val="none"/>
        </w:rPr>
        <w:t>感官质量将作为评选优质工程的前置条件，</w:t>
      </w:r>
      <w:r>
        <w:rPr>
          <w:rFonts w:hint="eastAsia" w:cs="Arial"/>
          <w:color w:val="auto"/>
          <w:sz w:val="21"/>
          <w:szCs w:val="22"/>
          <w:highlight w:val="none"/>
        </w:rPr>
        <w:t>承包人</w:t>
      </w:r>
      <w:r>
        <w:rPr>
          <w:rFonts w:hint="eastAsia" w:cs="Arial"/>
          <w:color w:val="auto"/>
          <w:highlight w:val="none"/>
        </w:rPr>
        <w:t>要将项目防腐、保温施工质量验收作为</w:t>
      </w:r>
      <w:r>
        <w:rPr>
          <w:rFonts w:cs="Arial"/>
          <w:color w:val="auto"/>
          <w:highlight w:val="none"/>
        </w:rPr>
        <w:t xml:space="preserve">A </w:t>
      </w:r>
      <w:r>
        <w:rPr>
          <w:rFonts w:hint="eastAsia" w:cs="Arial"/>
          <w:color w:val="auto"/>
          <w:highlight w:val="none"/>
        </w:rPr>
        <w:t>级质量控制点。</w:t>
      </w:r>
    </w:p>
    <w:p w14:paraId="2A0EF5C6">
      <w:pPr>
        <w:autoSpaceDE w:val="0"/>
        <w:autoSpaceDN w:val="0"/>
        <w:adjustRightInd w:val="0"/>
        <w:snapToGrid w:val="0"/>
        <w:ind w:firstLine="420" w:firstLineChars="200"/>
        <w:textAlignment w:val="baseline"/>
        <w:rPr>
          <w:rFonts w:cs="Arial"/>
          <w:color w:val="auto"/>
          <w:sz w:val="21"/>
          <w:szCs w:val="22"/>
          <w:highlight w:val="none"/>
        </w:rPr>
      </w:pPr>
      <w:r>
        <w:rPr>
          <w:rFonts w:hint="eastAsia" w:cs="Arial"/>
          <w:color w:val="auto"/>
          <w:sz w:val="21"/>
          <w:szCs w:val="22"/>
          <w:highlight w:val="none"/>
        </w:rPr>
        <w:t>承包人</w:t>
      </w:r>
      <w:r>
        <w:rPr>
          <w:rFonts w:hint="eastAsia" w:cs="Arial"/>
          <w:color w:val="auto"/>
          <w:highlight w:val="none"/>
        </w:rPr>
        <w:t>、监理单位要严格执行涂料、保温保冷、防火材料接保检制度，由</w:t>
      </w:r>
      <w:r>
        <w:rPr>
          <w:rFonts w:hint="eastAsia" w:cs="Arial"/>
          <w:color w:val="auto"/>
          <w:sz w:val="21"/>
          <w:szCs w:val="22"/>
          <w:highlight w:val="none"/>
        </w:rPr>
        <w:t>监理单位</w:t>
      </w:r>
      <w:r>
        <w:rPr>
          <w:rFonts w:hint="eastAsia" w:cs="Arial"/>
          <w:color w:val="auto"/>
          <w:highlight w:val="none"/>
        </w:rPr>
        <w:t>组织材料验收，安排专人负责取样、封样、送样至第三方检验机构进行体积固含量、红外图谱等关键性能参数检测，检测合格后方可使用，严禁由厂家自行送样。</w:t>
      </w:r>
    </w:p>
    <w:p w14:paraId="47935911">
      <w:pPr>
        <w:autoSpaceDE w:val="0"/>
        <w:autoSpaceDN w:val="0"/>
        <w:adjustRightInd w:val="0"/>
        <w:snapToGrid w:val="0"/>
        <w:ind w:firstLine="420" w:firstLineChars="200"/>
        <w:textAlignment w:val="baseline"/>
        <w:rPr>
          <w:rFonts w:cs="Arial"/>
          <w:color w:val="auto"/>
          <w:sz w:val="21"/>
          <w:szCs w:val="22"/>
          <w:highlight w:val="none"/>
        </w:rPr>
      </w:pPr>
      <w:r>
        <w:rPr>
          <w:rFonts w:hint="eastAsia" w:cs="Arial"/>
          <w:color w:val="auto"/>
          <w:sz w:val="21"/>
          <w:szCs w:val="22"/>
          <w:highlight w:val="none"/>
        </w:rPr>
        <w:t>承包人</w:t>
      </w:r>
      <w:r>
        <w:rPr>
          <w:rFonts w:hint="eastAsia" w:cs="Arial"/>
          <w:color w:val="auto"/>
          <w:highlight w:val="none"/>
        </w:rPr>
        <w:t>要全面开展针对管理人员及施工作业人员的防腐、保温等专业培训工作，强化和规范过程管控，编制作业指导书并严格执行；施工过程中要加强施工技术服务指导，要求供应商提供防腐整体方案、材料选择、材料质量、施工质量、工程验收及维保等全方位策划及服务；监理单位要严格按照监理合同和监理大纲等相关要求，充实防腐、保温工程的专业监理工程师。</w:t>
      </w:r>
    </w:p>
    <w:p w14:paraId="3E8984F0">
      <w:pPr>
        <w:autoSpaceDE w:val="0"/>
        <w:autoSpaceDN w:val="0"/>
        <w:adjustRightInd w:val="0"/>
        <w:snapToGrid w:val="0"/>
        <w:ind w:firstLine="480" w:firstLineChars="200"/>
        <w:rPr>
          <w:rFonts w:cs="Arial"/>
          <w:color w:val="auto"/>
          <w:highlight w:val="none"/>
        </w:rPr>
      </w:pPr>
      <w:r>
        <w:rPr>
          <w:rFonts w:hint="eastAsia" w:cs="Arial"/>
          <w:color w:val="auto"/>
          <w:highlight w:val="none"/>
        </w:rPr>
        <w:t>2.4.</w:t>
      </w:r>
      <w:bookmarkStart w:id="1080" w:name="工序质量控制"/>
      <w:r>
        <w:rPr>
          <w:rFonts w:hint="eastAsia" w:cs="Arial"/>
          <w:color w:val="auto"/>
          <w:highlight w:val="none"/>
        </w:rPr>
        <w:t>3  工序质量控制</w:t>
      </w:r>
      <w:bookmarkEnd w:id="1080"/>
    </w:p>
    <w:p w14:paraId="0A1399F5">
      <w:pPr>
        <w:autoSpaceDE w:val="0"/>
        <w:autoSpaceDN w:val="0"/>
        <w:adjustRightInd w:val="0"/>
        <w:snapToGrid w:val="0"/>
        <w:ind w:firstLine="480" w:firstLineChars="200"/>
        <w:rPr>
          <w:rFonts w:cs="Arial"/>
          <w:color w:val="auto"/>
          <w:highlight w:val="none"/>
        </w:rPr>
      </w:pPr>
      <w:r>
        <w:rPr>
          <w:rFonts w:hint="eastAsia" w:cs="Arial"/>
          <w:color w:val="auto"/>
          <w:highlight w:val="none"/>
        </w:rPr>
        <w:t>质量控制点设置：依据对工程质量特征影响的阶段、大小及危害程度设置A、B、C三级质量控制点。质量监督站制定工程建设项目原则性的质量控制点。各承包人针对所承包的单项（或单位）工程的实际情况，制定本项目的质量控制点和检查记录表式报监理机构审查，发包人确认，质量监督站备案。</w:t>
      </w:r>
    </w:p>
    <w:p w14:paraId="00E4B211">
      <w:pPr>
        <w:autoSpaceDE w:val="0"/>
        <w:autoSpaceDN w:val="0"/>
        <w:adjustRightInd w:val="0"/>
        <w:snapToGrid w:val="0"/>
        <w:ind w:firstLine="480" w:firstLineChars="200"/>
        <w:rPr>
          <w:rFonts w:cs="Arial"/>
          <w:color w:val="auto"/>
          <w:highlight w:val="none"/>
        </w:rPr>
      </w:pPr>
      <w:r>
        <w:rPr>
          <w:rFonts w:hint="eastAsia" w:cs="Arial"/>
          <w:color w:val="auto"/>
          <w:highlight w:val="none"/>
        </w:rPr>
        <w:t>各级质量控制点检查应符合下列规定：</w:t>
      </w:r>
    </w:p>
    <w:p w14:paraId="1CF93968">
      <w:pPr>
        <w:numPr>
          <w:ilvl w:val="1"/>
          <w:numId w:val="7"/>
        </w:numPr>
        <w:adjustRightInd w:val="0"/>
        <w:snapToGrid w:val="0"/>
        <w:spacing w:before="60" w:after="60"/>
        <w:ind w:right="-204" w:rightChars="-85" w:firstLine="200"/>
        <w:rPr>
          <w:rFonts w:cs="Arial"/>
          <w:color w:val="auto"/>
          <w:highlight w:val="none"/>
        </w:rPr>
      </w:pPr>
      <w:r>
        <w:rPr>
          <w:rFonts w:cs="Arial"/>
          <w:color w:val="auto"/>
          <w:highlight w:val="none"/>
        </w:rPr>
        <w:t>A</w:t>
      </w:r>
      <w:r>
        <w:rPr>
          <w:rFonts w:hint="eastAsia" w:cs="Arial"/>
          <w:color w:val="auto"/>
          <w:highlight w:val="none"/>
        </w:rPr>
        <w:t>级：为重要控制点，由发包人、监理机构、承包人共同检查确认签字。</w:t>
      </w:r>
    </w:p>
    <w:p w14:paraId="244F564C">
      <w:pPr>
        <w:numPr>
          <w:ilvl w:val="1"/>
          <w:numId w:val="7"/>
        </w:numPr>
        <w:adjustRightInd w:val="0"/>
        <w:snapToGrid w:val="0"/>
        <w:spacing w:before="60" w:after="60"/>
        <w:ind w:right="-204" w:rightChars="-85" w:firstLine="200"/>
        <w:rPr>
          <w:rFonts w:cs="Arial"/>
          <w:color w:val="auto"/>
          <w:highlight w:val="none"/>
        </w:rPr>
      </w:pPr>
      <w:r>
        <w:rPr>
          <w:rFonts w:cs="Arial"/>
          <w:color w:val="auto"/>
          <w:highlight w:val="none"/>
        </w:rPr>
        <w:t>B</w:t>
      </w:r>
      <w:r>
        <w:rPr>
          <w:rFonts w:hint="eastAsia" w:cs="Arial"/>
          <w:color w:val="auto"/>
          <w:highlight w:val="none"/>
        </w:rPr>
        <w:t>级：较为重要控制点，由监理机构、承包人共同检查确认签字。</w:t>
      </w:r>
    </w:p>
    <w:p w14:paraId="56EB02EB">
      <w:pPr>
        <w:numPr>
          <w:ilvl w:val="1"/>
          <w:numId w:val="7"/>
        </w:numPr>
        <w:adjustRightInd w:val="0"/>
        <w:snapToGrid w:val="0"/>
        <w:spacing w:before="60" w:after="60"/>
        <w:ind w:right="-204" w:rightChars="-85" w:firstLine="200"/>
        <w:rPr>
          <w:rFonts w:cs="Arial"/>
          <w:color w:val="auto"/>
          <w:highlight w:val="none"/>
        </w:rPr>
      </w:pPr>
      <w:r>
        <w:rPr>
          <w:rFonts w:cs="Arial"/>
          <w:color w:val="auto"/>
          <w:highlight w:val="none"/>
        </w:rPr>
        <w:t>C</w:t>
      </w:r>
      <w:r>
        <w:rPr>
          <w:rFonts w:hint="eastAsia" w:cs="Arial"/>
          <w:color w:val="auto"/>
          <w:highlight w:val="none"/>
        </w:rPr>
        <w:t>级：由承包人质量检查机构专职质检员检查确认签字。</w:t>
      </w:r>
    </w:p>
    <w:p w14:paraId="746385F0">
      <w:pPr>
        <w:ind w:firstLine="480" w:firstLineChars="200"/>
        <w:rPr>
          <w:rFonts w:cs="Arial"/>
          <w:color w:val="auto"/>
          <w:highlight w:val="none"/>
        </w:rPr>
      </w:pPr>
      <w:bookmarkStart w:id="1081" w:name="_Toc19525"/>
      <w:bookmarkStart w:id="1082" w:name="_Toc27948"/>
      <w:bookmarkStart w:id="1083" w:name="_Toc12543"/>
      <w:bookmarkStart w:id="1084" w:name="_Toc2020"/>
      <w:bookmarkStart w:id="1085" w:name="_Toc24015"/>
      <w:bookmarkStart w:id="1086" w:name="_Toc28027"/>
      <w:r>
        <w:rPr>
          <w:rFonts w:hint="eastAsia" w:cs="Arial"/>
          <w:color w:val="auto"/>
          <w:highlight w:val="none"/>
        </w:rPr>
        <w:t>无论哪一等级质量控制点，承包人都必须按照“三检一评”制（自检、互检、专职检及验收评定）检查合格提供有关施工检查记录和检、试验报告，报请相关部门共检。</w:t>
      </w:r>
      <w:bookmarkEnd w:id="1081"/>
      <w:bookmarkEnd w:id="1082"/>
      <w:bookmarkEnd w:id="1083"/>
      <w:bookmarkEnd w:id="1084"/>
      <w:bookmarkEnd w:id="1085"/>
      <w:bookmarkEnd w:id="1086"/>
      <w:r>
        <w:rPr>
          <w:rFonts w:hint="eastAsia" w:cs="Arial"/>
          <w:color w:val="auto"/>
          <w:highlight w:val="none"/>
        </w:rPr>
        <w:t>承包人应根据发包人模板要求</w:t>
      </w:r>
      <w:r>
        <w:rPr>
          <w:rFonts w:cs="Arial"/>
          <w:color w:val="auto"/>
          <w:highlight w:val="none"/>
        </w:rPr>
        <w:t>,</w:t>
      </w:r>
      <w:r>
        <w:rPr>
          <w:rFonts w:hint="eastAsia" w:cs="Arial"/>
          <w:color w:val="auto"/>
          <w:highlight w:val="none"/>
        </w:rPr>
        <w:t>建立起</w:t>
      </w:r>
      <w:r>
        <w:rPr>
          <w:rFonts w:cs="Arial"/>
          <w:color w:val="auto"/>
          <w:highlight w:val="none"/>
        </w:rPr>
        <w:t>A</w:t>
      </w:r>
      <w:r>
        <w:rPr>
          <w:rFonts w:hint="eastAsia" w:cs="Arial"/>
          <w:color w:val="auto"/>
          <w:highlight w:val="none"/>
        </w:rPr>
        <w:t>、</w:t>
      </w:r>
      <w:r>
        <w:rPr>
          <w:rFonts w:cs="Arial"/>
          <w:color w:val="auto"/>
          <w:highlight w:val="none"/>
        </w:rPr>
        <w:t>B</w:t>
      </w:r>
      <w:r>
        <w:rPr>
          <w:rFonts w:hint="eastAsia" w:cs="Arial"/>
          <w:color w:val="auto"/>
          <w:highlight w:val="none"/>
        </w:rPr>
        <w:t>级质量控制点管理台账</w:t>
      </w:r>
      <w:r>
        <w:rPr>
          <w:rFonts w:cs="Arial"/>
          <w:color w:val="auto"/>
          <w:highlight w:val="none"/>
        </w:rPr>
        <w:t>,</w:t>
      </w:r>
      <w:r>
        <w:rPr>
          <w:rFonts w:hint="eastAsia" w:cs="Arial"/>
          <w:color w:val="auto"/>
          <w:highlight w:val="none"/>
        </w:rPr>
        <w:t>实行动态管理</w:t>
      </w:r>
      <w:r>
        <w:rPr>
          <w:rFonts w:cs="Arial"/>
          <w:color w:val="auto"/>
          <w:highlight w:val="none"/>
        </w:rPr>
        <w:t>,</w:t>
      </w:r>
      <w:r>
        <w:rPr>
          <w:rFonts w:hint="eastAsia" w:cs="Arial"/>
          <w:color w:val="auto"/>
          <w:highlight w:val="none"/>
        </w:rPr>
        <w:t>每周四上报发包人质量监督部门。</w:t>
      </w:r>
    </w:p>
    <w:p w14:paraId="4FF47683">
      <w:pPr>
        <w:ind w:firstLine="480" w:firstLineChars="200"/>
        <w:rPr>
          <w:rFonts w:cs="Arial"/>
          <w:color w:val="auto"/>
          <w:highlight w:val="none"/>
        </w:rPr>
      </w:pPr>
      <w:r>
        <w:rPr>
          <w:rFonts w:cs="Arial"/>
          <w:color w:val="auto"/>
          <w:highlight w:val="none"/>
        </w:rPr>
        <w:t>依据</w:t>
      </w:r>
      <w:r>
        <w:rPr>
          <w:rFonts w:hint="eastAsia" w:cs="Arial"/>
          <w:color w:val="auto"/>
          <w:highlight w:val="none"/>
        </w:rPr>
        <w:t>中国石化及发包人</w:t>
      </w:r>
      <w:r>
        <w:rPr>
          <w:rFonts w:cs="Arial"/>
          <w:color w:val="auto"/>
          <w:highlight w:val="none"/>
        </w:rPr>
        <w:t>的</w:t>
      </w:r>
      <w:r>
        <w:rPr>
          <w:rFonts w:hint="eastAsia" w:cs="Arial"/>
          <w:color w:val="auto"/>
          <w:highlight w:val="none"/>
        </w:rPr>
        <w:t>管理</w:t>
      </w:r>
      <w:r>
        <w:rPr>
          <w:rFonts w:cs="Arial"/>
          <w:color w:val="auto"/>
          <w:highlight w:val="none"/>
        </w:rPr>
        <w:t>要求，以及创优工作需要，按可追溯要求，须对A、B、C三级质量控制点检查验收过程进行全程拍摄，并要</w:t>
      </w:r>
      <w:r>
        <w:rPr>
          <w:rFonts w:hint="eastAsia" w:cs="Arial"/>
          <w:color w:val="auto"/>
          <w:highlight w:val="none"/>
        </w:rPr>
        <w:t>要求</w:t>
      </w:r>
      <w:r>
        <w:rPr>
          <w:rFonts w:cs="Arial"/>
          <w:color w:val="auto"/>
          <w:highlight w:val="none"/>
        </w:rPr>
        <w:t>对</w:t>
      </w:r>
      <w:r>
        <w:rPr>
          <w:rFonts w:hint="eastAsia" w:cs="Arial"/>
          <w:color w:val="auto"/>
          <w:highlight w:val="none"/>
        </w:rPr>
        <w:t>照片、声像档案等</w:t>
      </w:r>
      <w:r>
        <w:rPr>
          <w:rFonts w:cs="Arial"/>
          <w:color w:val="auto"/>
          <w:highlight w:val="none"/>
        </w:rPr>
        <w:t>及时进行整理、编辑、归档要求。</w:t>
      </w:r>
    </w:p>
    <w:p w14:paraId="45805821">
      <w:pPr>
        <w:ind w:firstLine="480" w:firstLineChars="200"/>
        <w:rPr>
          <w:rFonts w:cs="Arial"/>
          <w:color w:val="auto"/>
          <w:highlight w:val="none"/>
        </w:rPr>
      </w:pPr>
      <w:r>
        <w:rPr>
          <w:rFonts w:hint="eastAsia" w:cs="Arial"/>
          <w:color w:val="auto"/>
          <w:highlight w:val="none"/>
        </w:rPr>
        <w:t>所有质量控制点检查验收影像资料由承包人留存</w:t>
      </w:r>
      <w:r>
        <w:rPr>
          <w:rFonts w:cs="Arial"/>
          <w:color w:val="auto"/>
          <w:highlight w:val="none"/>
        </w:rPr>
        <w:t>,</w:t>
      </w:r>
      <w:r>
        <w:rPr>
          <w:rFonts w:hint="eastAsia" w:cs="Arial"/>
          <w:color w:val="auto"/>
          <w:highlight w:val="none"/>
        </w:rPr>
        <w:t>其中</w:t>
      </w:r>
      <w:r>
        <w:rPr>
          <w:rFonts w:cs="Arial"/>
          <w:color w:val="auto"/>
          <w:highlight w:val="none"/>
        </w:rPr>
        <w:t>A</w:t>
      </w:r>
      <w:r>
        <w:rPr>
          <w:rFonts w:hint="eastAsia" w:cs="Arial"/>
          <w:color w:val="auto"/>
          <w:highlight w:val="none"/>
        </w:rPr>
        <w:t>类及</w:t>
      </w:r>
      <w:r>
        <w:rPr>
          <w:rFonts w:cs="Arial"/>
          <w:color w:val="auto"/>
          <w:highlight w:val="none"/>
        </w:rPr>
        <w:t>B</w:t>
      </w:r>
      <w:r>
        <w:rPr>
          <w:rFonts w:hint="eastAsia" w:cs="Arial"/>
          <w:color w:val="auto"/>
          <w:highlight w:val="none"/>
        </w:rPr>
        <w:t>类质量控制点检查验收影像资料由承包人自查合格后报工程监理单位审核</w:t>
      </w:r>
      <w:r>
        <w:rPr>
          <w:rFonts w:cs="Arial"/>
          <w:color w:val="auto"/>
          <w:highlight w:val="none"/>
        </w:rPr>
        <w:t>,</w:t>
      </w:r>
      <w:r>
        <w:rPr>
          <w:rFonts w:hint="eastAsia" w:cs="Arial"/>
          <w:color w:val="auto"/>
          <w:highlight w:val="none"/>
        </w:rPr>
        <w:t>承包商将审核后的影像资料上交到发包人质量监督部门，每月</w:t>
      </w:r>
      <w:r>
        <w:rPr>
          <w:rFonts w:cs="Arial"/>
          <w:color w:val="auto"/>
          <w:highlight w:val="none"/>
        </w:rPr>
        <w:t>20</w:t>
      </w:r>
      <w:r>
        <w:rPr>
          <w:rFonts w:hint="eastAsia" w:cs="Arial"/>
          <w:color w:val="auto"/>
          <w:highlight w:val="none"/>
        </w:rPr>
        <w:t>日上交相关资料。</w:t>
      </w:r>
    </w:p>
    <w:p w14:paraId="2DB86584">
      <w:pPr>
        <w:adjustRightInd w:val="0"/>
        <w:snapToGrid w:val="0"/>
        <w:ind w:firstLine="480" w:firstLineChars="200"/>
        <w:rPr>
          <w:rFonts w:cs="Arial"/>
          <w:color w:val="auto"/>
          <w:highlight w:val="none"/>
        </w:rPr>
      </w:pPr>
      <w:bookmarkStart w:id="1087" w:name="_Toc6458"/>
      <w:bookmarkStart w:id="1088" w:name="_Toc30583"/>
      <w:bookmarkStart w:id="1089" w:name="_Toc29536"/>
      <w:bookmarkStart w:id="1090" w:name="_Toc8716"/>
      <w:bookmarkStart w:id="1091" w:name="_Toc26377"/>
      <w:bookmarkStart w:id="1092" w:name="_Toc13147"/>
      <w:r>
        <w:rPr>
          <w:rFonts w:hint="eastAsia" w:cs="Arial"/>
          <w:color w:val="auto"/>
          <w:highlight w:val="none"/>
        </w:rPr>
        <w:t>质量监督站在其监督计划中明确的停检点，承包人必须填写“停检点报检单”并提前</w:t>
      </w:r>
      <w:r>
        <w:rPr>
          <w:rFonts w:cs="Arial"/>
          <w:color w:val="auto"/>
          <w:highlight w:val="none"/>
        </w:rPr>
        <w:t>48</w:t>
      </w:r>
      <w:r>
        <w:rPr>
          <w:rFonts w:hint="eastAsia" w:cs="Arial"/>
          <w:color w:val="auto"/>
          <w:highlight w:val="none"/>
        </w:rPr>
        <w:t>小时（最少</w:t>
      </w:r>
      <w:r>
        <w:rPr>
          <w:rFonts w:cs="Arial"/>
          <w:color w:val="auto"/>
          <w:highlight w:val="none"/>
        </w:rPr>
        <w:t>24</w:t>
      </w:r>
      <w:r>
        <w:rPr>
          <w:rFonts w:hint="eastAsia" w:cs="Arial"/>
          <w:color w:val="auto"/>
          <w:highlight w:val="none"/>
        </w:rPr>
        <w:t>小时）通知专业监督工程师检查。</w:t>
      </w:r>
      <w:bookmarkEnd w:id="1087"/>
      <w:bookmarkEnd w:id="1088"/>
      <w:bookmarkEnd w:id="1089"/>
      <w:bookmarkEnd w:id="1090"/>
      <w:bookmarkEnd w:id="1091"/>
      <w:bookmarkEnd w:id="1092"/>
    </w:p>
    <w:p w14:paraId="5562C7A6">
      <w:pPr>
        <w:adjustRightInd w:val="0"/>
        <w:snapToGrid w:val="0"/>
        <w:ind w:firstLine="480" w:firstLineChars="200"/>
        <w:rPr>
          <w:rFonts w:cs="Arial"/>
          <w:color w:val="auto"/>
          <w:highlight w:val="none"/>
        </w:rPr>
      </w:pPr>
      <w:bookmarkStart w:id="1093" w:name="_Toc7896"/>
      <w:bookmarkStart w:id="1094" w:name="_Toc29231"/>
      <w:bookmarkStart w:id="1095" w:name="_Toc1174"/>
      <w:bookmarkStart w:id="1096" w:name="_Toc12069"/>
      <w:bookmarkStart w:id="1097" w:name="_Toc14999"/>
      <w:bookmarkStart w:id="1098" w:name="_Toc15477"/>
      <w:r>
        <w:rPr>
          <w:rFonts w:hint="eastAsia" w:cs="Arial"/>
          <w:color w:val="auto"/>
          <w:highlight w:val="none"/>
        </w:rPr>
        <w:t>在各等级检查中，当某一工序施工质量符合设计文件、标准规范和合同约定的质量要求，检查各方要及时签认，不得拖延，承包人可以进行下一道工序；检查不符合有关规定，检查各方不予签证，承包人不得进行下一道工序施工。</w:t>
      </w:r>
      <w:bookmarkEnd w:id="1093"/>
      <w:bookmarkEnd w:id="1094"/>
      <w:bookmarkEnd w:id="1095"/>
      <w:bookmarkEnd w:id="1096"/>
      <w:bookmarkEnd w:id="1097"/>
      <w:bookmarkEnd w:id="1098"/>
    </w:p>
    <w:p w14:paraId="706FDDE9">
      <w:pPr>
        <w:adjustRightInd w:val="0"/>
        <w:snapToGrid w:val="0"/>
        <w:ind w:firstLine="480" w:firstLineChars="200"/>
        <w:rPr>
          <w:rFonts w:cs="Arial"/>
          <w:color w:val="auto"/>
          <w:highlight w:val="none"/>
        </w:rPr>
      </w:pPr>
      <w:bookmarkStart w:id="1099" w:name="_Toc3629"/>
      <w:bookmarkStart w:id="1100" w:name="_Toc4757"/>
      <w:bookmarkStart w:id="1101" w:name="_Toc19755"/>
      <w:bookmarkStart w:id="1102" w:name="_Toc29042"/>
      <w:bookmarkStart w:id="1103" w:name="_Toc18959"/>
      <w:bookmarkStart w:id="1104" w:name="_Toc21705"/>
      <w:r>
        <w:rPr>
          <w:rFonts w:hint="eastAsia" w:cs="Arial"/>
          <w:color w:val="auto"/>
          <w:highlight w:val="none"/>
        </w:rPr>
        <w:t>发包人、监理机构未在规定时间内到达现场可视为同意（隐蔽工程除外）。</w:t>
      </w:r>
      <w:bookmarkEnd w:id="1099"/>
      <w:bookmarkEnd w:id="1100"/>
      <w:bookmarkEnd w:id="1101"/>
      <w:bookmarkEnd w:id="1102"/>
      <w:bookmarkEnd w:id="1103"/>
      <w:bookmarkEnd w:id="1104"/>
    </w:p>
    <w:p w14:paraId="738C226C">
      <w:pPr>
        <w:adjustRightInd w:val="0"/>
        <w:snapToGrid w:val="0"/>
        <w:ind w:firstLine="480" w:firstLineChars="200"/>
        <w:rPr>
          <w:rFonts w:cs="Arial"/>
          <w:color w:val="auto"/>
          <w:highlight w:val="none"/>
        </w:rPr>
      </w:pPr>
      <w:bookmarkStart w:id="1105" w:name="_Toc31299"/>
      <w:bookmarkStart w:id="1106" w:name="_Toc21606"/>
      <w:bookmarkStart w:id="1107" w:name="_Toc21832"/>
      <w:bookmarkStart w:id="1108" w:name="_Toc8675"/>
      <w:bookmarkStart w:id="1109" w:name="_Toc5174"/>
      <w:bookmarkStart w:id="1110" w:name="_Toc32688"/>
      <w:r>
        <w:rPr>
          <w:rFonts w:hint="eastAsia" w:cs="Arial"/>
          <w:color w:val="auto"/>
          <w:highlight w:val="none"/>
        </w:rPr>
        <w:t>工序质量控制记录资料由承包人妥善保管，部分资料按规定列入交工技术文件移交。</w:t>
      </w:r>
      <w:bookmarkEnd w:id="1105"/>
      <w:bookmarkEnd w:id="1106"/>
      <w:bookmarkEnd w:id="1107"/>
      <w:bookmarkEnd w:id="1108"/>
      <w:bookmarkEnd w:id="1109"/>
      <w:bookmarkEnd w:id="1110"/>
    </w:p>
    <w:p w14:paraId="68C64DB6">
      <w:pPr>
        <w:adjustRightInd w:val="0"/>
        <w:snapToGrid w:val="0"/>
        <w:ind w:firstLine="480" w:firstLineChars="200"/>
        <w:rPr>
          <w:rFonts w:cs="Arial"/>
          <w:color w:val="auto"/>
          <w:highlight w:val="none"/>
        </w:rPr>
      </w:pPr>
      <w:bookmarkStart w:id="1111" w:name="_Toc20597"/>
      <w:bookmarkStart w:id="1112" w:name="_Toc28767"/>
      <w:bookmarkStart w:id="1113" w:name="_Toc145"/>
      <w:bookmarkStart w:id="1114" w:name="_Toc28294"/>
      <w:bookmarkStart w:id="1115" w:name="_Toc27525"/>
      <w:bookmarkStart w:id="1116" w:name="_Toc1190"/>
      <w:r>
        <w:rPr>
          <w:rFonts w:hint="eastAsia" w:cs="Arial"/>
          <w:color w:val="auto"/>
          <w:highlight w:val="none"/>
        </w:rPr>
        <w:t>2.4.</w:t>
      </w:r>
      <w:bookmarkStart w:id="1117" w:name="特殊工艺过程质量控制"/>
      <w:r>
        <w:rPr>
          <w:rFonts w:hint="eastAsia" w:cs="Arial"/>
          <w:color w:val="auto"/>
          <w:highlight w:val="none"/>
        </w:rPr>
        <w:t>4  特殊工艺过程质量控制</w:t>
      </w:r>
      <w:bookmarkEnd w:id="1111"/>
      <w:bookmarkEnd w:id="1112"/>
      <w:bookmarkEnd w:id="1113"/>
      <w:bookmarkEnd w:id="1114"/>
      <w:bookmarkEnd w:id="1115"/>
      <w:bookmarkEnd w:id="1116"/>
      <w:bookmarkEnd w:id="1117"/>
    </w:p>
    <w:p w14:paraId="38E8DFFA">
      <w:pPr>
        <w:adjustRightInd w:val="0"/>
        <w:snapToGrid w:val="0"/>
        <w:ind w:firstLine="480" w:firstLineChars="200"/>
        <w:rPr>
          <w:rFonts w:cs="Arial"/>
          <w:color w:val="auto"/>
          <w:highlight w:val="none"/>
        </w:rPr>
      </w:pPr>
      <w:bookmarkStart w:id="1118" w:name="_Toc9362"/>
      <w:bookmarkStart w:id="1119" w:name="_Toc22035"/>
      <w:bookmarkStart w:id="1120" w:name="_Toc12286"/>
      <w:bookmarkStart w:id="1121" w:name="_Toc19799"/>
      <w:bookmarkStart w:id="1122" w:name="_Toc2107"/>
      <w:bookmarkStart w:id="1123" w:name="_Toc32440"/>
      <w:r>
        <w:rPr>
          <w:rFonts w:hint="eastAsia" w:cs="Arial"/>
          <w:color w:val="auto"/>
          <w:highlight w:val="none"/>
        </w:rPr>
        <w:t>特殊工艺过程是指其结果不易或不能经济地通过其后的检验或试验进行验证，其缺陷只能在使用后才能暴露，如焊接、防腐等隐蔽工程。</w:t>
      </w:r>
      <w:bookmarkEnd w:id="1118"/>
      <w:bookmarkEnd w:id="1119"/>
      <w:bookmarkEnd w:id="1120"/>
      <w:bookmarkEnd w:id="1121"/>
      <w:bookmarkEnd w:id="1122"/>
      <w:bookmarkEnd w:id="1123"/>
    </w:p>
    <w:p w14:paraId="6FDB1F6B">
      <w:pPr>
        <w:adjustRightInd w:val="0"/>
        <w:snapToGrid w:val="0"/>
        <w:ind w:firstLine="480" w:firstLineChars="200"/>
        <w:rPr>
          <w:rFonts w:cs="Arial"/>
          <w:color w:val="auto"/>
          <w:highlight w:val="none"/>
        </w:rPr>
      </w:pPr>
      <w:bookmarkStart w:id="1124" w:name="_Toc9116"/>
      <w:bookmarkStart w:id="1125" w:name="_Toc1387"/>
      <w:bookmarkStart w:id="1126" w:name="_Toc3737"/>
      <w:bookmarkStart w:id="1127" w:name="_Toc19688"/>
      <w:bookmarkStart w:id="1128" w:name="_Toc14585"/>
      <w:bookmarkStart w:id="1129" w:name="_Toc22851"/>
      <w:r>
        <w:rPr>
          <w:rFonts w:hint="eastAsia" w:cs="Arial"/>
          <w:color w:val="auto"/>
          <w:highlight w:val="none"/>
        </w:rPr>
        <w:t>2.4.4.1隐蔽工程验收</w:t>
      </w:r>
      <w:bookmarkEnd w:id="1124"/>
      <w:bookmarkEnd w:id="1125"/>
      <w:bookmarkEnd w:id="1126"/>
      <w:bookmarkEnd w:id="1127"/>
      <w:bookmarkEnd w:id="1128"/>
      <w:bookmarkEnd w:id="1129"/>
    </w:p>
    <w:p w14:paraId="12B0FCBD">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hint="eastAsia" w:cs="Arial"/>
          <w:color w:val="auto"/>
          <w:highlight w:val="none"/>
        </w:rPr>
        <w:t>所有隐蔽工程都列入A级控制点，监理人员旁站。</w:t>
      </w:r>
    </w:p>
    <w:p w14:paraId="07B7B4D7">
      <w:pPr>
        <w:numPr>
          <w:ilvl w:val="1"/>
          <w:numId w:val="7"/>
        </w:numPr>
        <w:adjustRightInd w:val="0"/>
        <w:snapToGrid w:val="0"/>
        <w:spacing w:before="60" w:after="60"/>
        <w:ind w:right="-204" w:rightChars="-85" w:firstLine="200"/>
        <w:rPr>
          <w:rFonts w:cs="Arial"/>
          <w:color w:val="auto"/>
          <w:highlight w:val="none"/>
        </w:rPr>
      </w:pPr>
      <w:r>
        <w:rPr>
          <w:rFonts w:hint="eastAsia" w:cs="Arial"/>
          <w:color w:val="auto"/>
          <w:highlight w:val="none"/>
        </w:rPr>
        <w:t>“隐蔽工程检查记录”由承包人等专业人员填写，共检人员确认签字；承包人未按规定报检，监理机构、发包人专业工程师有权对隐蔽工程进行剥露检查，费用由责任方承担。</w:t>
      </w:r>
    </w:p>
    <w:p w14:paraId="13DDB304">
      <w:pPr>
        <w:numPr>
          <w:ilvl w:val="1"/>
          <w:numId w:val="7"/>
        </w:numPr>
        <w:adjustRightInd w:val="0"/>
        <w:snapToGrid w:val="0"/>
        <w:spacing w:before="60" w:after="60"/>
        <w:ind w:right="-204" w:rightChars="-85" w:firstLine="200"/>
        <w:rPr>
          <w:rFonts w:cs="Arial"/>
          <w:color w:val="auto"/>
          <w:highlight w:val="none"/>
        </w:rPr>
      </w:pPr>
      <w:r>
        <w:rPr>
          <w:rFonts w:hint="eastAsia" w:cs="Arial"/>
          <w:color w:val="auto"/>
          <w:highlight w:val="none"/>
        </w:rPr>
        <w:t>所有“隐蔽工程检查记录”均列入交工技术文件移交。</w:t>
      </w:r>
    </w:p>
    <w:p w14:paraId="08452314">
      <w:pPr>
        <w:adjustRightInd w:val="0"/>
        <w:snapToGrid w:val="0"/>
        <w:ind w:firstLine="480" w:firstLineChars="200"/>
        <w:rPr>
          <w:rFonts w:cs="Arial"/>
          <w:color w:val="auto"/>
          <w:highlight w:val="none"/>
        </w:rPr>
      </w:pPr>
      <w:bookmarkStart w:id="1130" w:name="_Toc2963"/>
      <w:bookmarkStart w:id="1131" w:name="_Toc19630"/>
      <w:bookmarkStart w:id="1132" w:name="_Toc21160"/>
      <w:bookmarkStart w:id="1133" w:name="_Toc22420"/>
      <w:bookmarkStart w:id="1134" w:name="_Toc31448"/>
      <w:bookmarkStart w:id="1135" w:name="_Toc22136"/>
      <w:r>
        <w:rPr>
          <w:rFonts w:hint="eastAsia" w:cs="Arial"/>
          <w:color w:val="auto"/>
          <w:highlight w:val="none"/>
        </w:rPr>
        <w:t>2.4.4.2加强焊接工程质量控制</w:t>
      </w:r>
      <w:bookmarkEnd w:id="1130"/>
      <w:bookmarkEnd w:id="1131"/>
      <w:bookmarkEnd w:id="1132"/>
      <w:bookmarkEnd w:id="1133"/>
      <w:bookmarkEnd w:id="1134"/>
      <w:bookmarkEnd w:id="1135"/>
    </w:p>
    <w:p w14:paraId="41E6E792">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cs="Arial"/>
          <w:color w:val="auto"/>
          <w:highlight w:val="none"/>
        </w:rPr>
        <w:t>严格审查承包人焊接方案、焊接工艺评定、焊工及探伤人员资格，焊接设备状态，焊接环境等环节的质量控制。由监理机构进行专项检查，动态控制，发包人、质量监督站抽查。</w:t>
      </w:r>
    </w:p>
    <w:p w14:paraId="67932C89">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cs="Arial"/>
          <w:color w:val="auto"/>
          <w:highlight w:val="none"/>
        </w:rPr>
        <w:t>加大管道预制深度，每个焊口都要标识，不能及时安装的管道焊接后要清洁封口。</w:t>
      </w:r>
    </w:p>
    <w:p w14:paraId="1A5D298D">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cs="Arial"/>
          <w:color w:val="auto"/>
          <w:highlight w:val="none"/>
        </w:rPr>
        <w:t>工艺管道安装一律实行单线图管理，同时作好管道焊接、探伤一览表，以便过程追踪检查。</w:t>
      </w:r>
    </w:p>
    <w:p w14:paraId="19B4A0AC">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cs="Arial"/>
          <w:color w:val="auto"/>
          <w:highlight w:val="none"/>
        </w:rPr>
        <w:t>重要设备、高温高压、临氢管线等焊口X射线探伤底片质量监督站100%审查。</w:t>
      </w:r>
    </w:p>
    <w:p w14:paraId="4653EB1E">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cs="Arial"/>
          <w:color w:val="auto"/>
          <w:highlight w:val="none"/>
        </w:rPr>
        <w:t>按总焊口数的2～4%，石化质量监督组组织随机抽查，严格控制焊接质量。</w:t>
      </w:r>
    </w:p>
    <w:p w14:paraId="4FF84A26">
      <w:pPr>
        <w:adjustRightInd w:val="0"/>
        <w:snapToGrid w:val="0"/>
        <w:ind w:firstLine="480" w:firstLineChars="200"/>
        <w:rPr>
          <w:rFonts w:cs="Arial"/>
          <w:color w:val="auto"/>
          <w:highlight w:val="none"/>
        </w:rPr>
      </w:pPr>
      <w:bookmarkStart w:id="1136" w:name="_Toc19497"/>
      <w:bookmarkStart w:id="1137" w:name="_Toc22144"/>
      <w:bookmarkStart w:id="1138" w:name="_Toc14855"/>
      <w:bookmarkStart w:id="1139" w:name="_Toc16207"/>
      <w:bookmarkStart w:id="1140" w:name="_Toc5995"/>
      <w:bookmarkStart w:id="1141" w:name="_Toc30398"/>
      <w:r>
        <w:rPr>
          <w:rFonts w:cs="Arial"/>
          <w:color w:val="auto"/>
          <w:highlight w:val="none"/>
        </w:rPr>
        <w:t>地下管网防腐施工须先做模拟工件，其各道工序经相关单位确认合格后才能正式开工，施工过程监理旁站，各项质量指标检测合格后方能下管埋地。</w:t>
      </w:r>
      <w:bookmarkEnd w:id="1136"/>
      <w:bookmarkEnd w:id="1137"/>
      <w:bookmarkEnd w:id="1138"/>
      <w:bookmarkEnd w:id="1139"/>
      <w:bookmarkEnd w:id="1140"/>
      <w:bookmarkEnd w:id="1141"/>
    </w:p>
    <w:p w14:paraId="6679B683">
      <w:pPr>
        <w:adjustRightInd w:val="0"/>
        <w:snapToGrid w:val="0"/>
        <w:ind w:firstLine="480" w:firstLineChars="200"/>
        <w:rPr>
          <w:rFonts w:cs="Arial"/>
          <w:color w:val="auto"/>
          <w:highlight w:val="none"/>
        </w:rPr>
      </w:pPr>
      <w:bookmarkStart w:id="1142" w:name="_Toc27428"/>
      <w:bookmarkStart w:id="1143" w:name="_Toc13910"/>
      <w:bookmarkStart w:id="1144" w:name="_Toc14980"/>
      <w:bookmarkStart w:id="1145" w:name="_Toc14089"/>
      <w:bookmarkStart w:id="1146" w:name="_Toc806"/>
      <w:bookmarkStart w:id="1147" w:name="_Toc5912"/>
      <w:r>
        <w:rPr>
          <w:rFonts w:hint="eastAsia" w:cs="Arial"/>
          <w:color w:val="auto"/>
          <w:highlight w:val="none"/>
        </w:rPr>
        <w:t>2.4.</w:t>
      </w:r>
      <w:bookmarkStart w:id="1148" w:name="委托第三方抽查检测"/>
      <w:r>
        <w:rPr>
          <w:rFonts w:hint="eastAsia" w:cs="Arial"/>
          <w:color w:val="auto"/>
          <w:highlight w:val="none"/>
        </w:rPr>
        <w:t>5  委托第三方抽查检测</w:t>
      </w:r>
      <w:bookmarkEnd w:id="1142"/>
      <w:bookmarkEnd w:id="1143"/>
      <w:bookmarkEnd w:id="1144"/>
      <w:bookmarkEnd w:id="1145"/>
      <w:bookmarkEnd w:id="1146"/>
      <w:bookmarkEnd w:id="1147"/>
      <w:bookmarkEnd w:id="1148"/>
    </w:p>
    <w:p w14:paraId="3F1C97E6">
      <w:pPr>
        <w:adjustRightInd w:val="0"/>
        <w:snapToGrid w:val="0"/>
        <w:ind w:firstLine="480" w:firstLineChars="200"/>
        <w:rPr>
          <w:rFonts w:cs="Arial"/>
          <w:color w:val="auto"/>
          <w:highlight w:val="none"/>
        </w:rPr>
      </w:pPr>
      <w:bookmarkStart w:id="1149" w:name="_Toc25757"/>
      <w:bookmarkStart w:id="1150" w:name="_Toc23342"/>
      <w:bookmarkStart w:id="1151" w:name="_Toc6121"/>
      <w:bookmarkStart w:id="1152" w:name="_Toc14068"/>
      <w:bookmarkStart w:id="1153" w:name="_Toc5137"/>
      <w:bookmarkStart w:id="1154" w:name="_Toc25290"/>
      <w:r>
        <w:rPr>
          <w:rFonts w:hint="eastAsia" w:cs="Arial"/>
          <w:color w:val="auto"/>
          <w:highlight w:val="none"/>
        </w:rPr>
        <w:t>为掌握关键工程关键部位的工程质量，防止弄虚作假行为发生，客观评价工程质量，由质量监督站组织施工承包人之外的第三方随机抽查检测。</w:t>
      </w:r>
      <w:bookmarkEnd w:id="1149"/>
      <w:bookmarkEnd w:id="1150"/>
      <w:bookmarkEnd w:id="1151"/>
      <w:bookmarkEnd w:id="1152"/>
      <w:bookmarkEnd w:id="1153"/>
      <w:bookmarkEnd w:id="1154"/>
    </w:p>
    <w:p w14:paraId="5084E671">
      <w:pPr>
        <w:adjustRightInd w:val="0"/>
        <w:snapToGrid w:val="0"/>
        <w:ind w:firstLine="480" w:firstLineChars="200"/>
        <w:rPr>
          <w:rFonts w:cs="Arial"/>
          <w:color w:val="auto"/>
          <w:highlight w:val="none"/>
        </w:rPr>
      </w:pPr>
      <w:bookmarkStart w:id="1155" w:name="_Toc24964"/>
      <w:bookmarkStart w:id="1156" w:name="_Toc2385"/>
      <w:bookmarkStart w:id="1157" w:name="_Toc12591"/>
      <w:bookmarkStart w:id="1158" w:name="_Toc6537"/>
      <w:bookmarkStart w:id="1159" w:name="_Toc18676"/>
      <w:bookmarkStart w:id="1160" w:name="_Toc32039"/>
      <w:r>
        <w:rPr>
          <w:rFonts w:hint="eastAsia" w:cs="Arial"/>
          <w:color w:val="auto"/>
          <w:highlight w:val="none"/>
        </w:rPr>
        <w:t>2.4.5.1抽查检测的主要内容：</w:t>
      </w:r>
      <w:bookmarkEnd w:id="1155"/>
      <w:bookmarkEnd w:id="1156"/>
      <w:bookmarkEnd w:id="1157"/>
      <w:bookmarkEnd w:id="1158"/>
      <w:bookmarkEnd w:id="1159"/>
      <w:bookmarkEnd w:id="1160"/>
    </w:p>
    <w:p w14:paraId="291E6B42">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hint="eastAsia" w:cs="Arial"/>
          <w:color w:val="auto"/>
          <w:highlight w:val="none"/>
        </w:rPr>
        <w:t>进入现场的设备、材料质量检测；</w:t>
      </w:r>
    </w:p>
    <w:p w14:paraId="1F290FC8">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hint="eastAsia" w:cs="Arial"/>
          <w:color w:val="auto"/>
          <w:highlight w:val="none"/>
        </w:rPr>
        <w:t>现场组焊设备、管道焊接质量无损检测；</w:t>
      </w:r>
    </w:p>
    <w:p w14:paraId="58CEFC2B">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hint="eastAsia" w:cs="Arial"/>
          <w:color w:val="auto"/>
          <w:highlight w:val="none"/>
        </w:rPr>
        <w:t>发包人认为需要委托的其他检测内容。</w:t>
      </w:r>
    </w:p>
    <w:p w14:paraId="40B8B9C0">
      <w:pPr>
        <w:adjustRightInd w:val="0"/>
        <w:snapToGrid w:val="0"/>
        <w:ind w:firstLine="480" w:firstLineChars="200"/>
        <w:rPr>
          <w:rFonts w:cs="Arial"/>
          <w:color w:val="auto"/>
          <w:highlight w:val="none"/>
        </w:rPr>
      </w:pPr>
      <w:bookmarkStart w:id="1161" w:name="_Toc3342"/>
      <w:bookmarkStart w:id="1162" w:name="_Toc14739"/>
      <w:bookmarkStart w:id="1163" w:name="_Toc32369"/>
      <w:bookmarkStart w:id="1164" w:name="_Toc24335"/>
      <w:bookmarkStart w:id="1165" w:name="_Toc16947"/>
      <w:bookmarkStart w:id="1166" w:name="_Toc19295"/>
      <w:r>
        <w:rPr>
          <w:rFonts w:hint="eastAsia" w:cs="Arial"/>
          <w:color w:val="auto"/>
          <w:highlight w:val="none"/>
        </w:rPr>
        <w:t>2.4.</w:t>
      </w:r>
      <w:bookmarkStart w:id="1167" w:name="生产装置使用单位适时介入"/>
      <w:r>
        <w:rPr>
          <w:rFonts w:hint="eastAsia" w:cs="Arial"/>
          <w:color w:val="auto"/>
          <w:highlight w:val="none"/>
        </w:rPr>
        <w:t>6  生产装置使用单位适时介入</w:t>
      </w:r>
      <w:bookmarkEnd w:id="1161"/>
      <w:bookmarkEnd w:id="1162"/>
      <w:bookmarkEnd w:id="1163"/>
      <w:bookmarkEnd w:id="1164"/>
      <w:bookmarkEnd w:id="1165"/>
      <w:bookmarkEnd w:id="1166"/>
      <w:bookmarkEnd w:id="1167"/>
    </w:p>
    <w:p w14:paraId="0B4BAC23">
      <w:pPr>
        <w:adjustRightInd w:val="0"/>
        <w:snapToGrid w:val="0"/>
        <w:ind w:firstLine="480" w:firstLineChars="200"/>
        <w:rPr>
          <w:rFonts w:cs="Arial"/>
          <w:color w:val="auto"/>
          <w:highlight w:val="none"/>
        </w:rPr>
      </w:pPr>
      <w:bookmarkStart w:id="1168" w:name="_Toc24529"/>
      <w:bookmarkStart w:id="1169" w:name="_Toc1514"/>
      <w:bookmarkStart w:id="1170" w:name="_Toc14891"/>
      <w:bookmarkStart w:id="1171" w:name="_Toc2287"/>
      <w:bookmarkStart w:id="1172" w:name="_Toc22330"/>
      <w:bookmarkStart w:id="1173" w:name="_Toc1724"/>
      <w:r>
        <w:rPr>
          <w:rFonts w:hint="eastAsia" w:cs="Arial"/>
          <w:color w:val="auto"/>
          <w:highlight w:val="none"/>
        </w:rPr>
        <w:t>1）发包人根据工程施工不同阶段的具体情况组织生产装置的设备或工艺专业人员参加工程验收过程的质量控制。</w:t>
      </w:r>
      <w:bookmarkEnd w:id="1168"/>
      <w:bookmarkEnd w:id="1169"/>
      <w:bookmarkEnd w:id="1170"/>
      <w:bookmarkEnd w:id="1171"/>
      <w:bookmarkEnd w:id="1172"/>
      <w:bookmarkEnd w:id="1173"/>
    </w:p>
    <w:p w14:paraId="132FA0C0">
      <w:pPr>
        <w:adjustRightInd w:val="0"/>
        <w:snapToGrid w:val="0"/>
        <w:ind w:firstLine="480" w:firstLineChars="200"/>
        <w:rPr>
          <w:rFonts w:cs="Arial"/>
          <w:color w:val="auto"/>
          <w:highlight w:val="none"/>
        </w:rPr>
      </w:pPr>
      <w:bookmarkStart w:id="1174" w:name="_Toc12660"/>
      <w:bookmarkStart w:id="1175" w:name="_Toc29778"/>
      <w:bookmarkStart w:id="1176" w:name="_Toc1456"/>
      <w:bookmarkStart w:id="1177" w:name="_Toc7074"/>
      <w:bookmarkStart w:id="1178" w:name="_Toc2899"/>
      <w:bookmarkStart w:id="1179" w:name="_Toc3471"/>
      <w:r>
        <w:rPr>
          <w:rFonts w:hint="eastAsia" w:cs="Arial"/>
          <w:color w:val="auto"/>
          <w:highlight w:val="none"/>
        </w:rPr>
        <w:t>2）生产作业参加工程质量控制的主要环节为工艺参数确立、设计审查、设备试运转，气密吹扫、电仪设备调试运转、高压法兰及重要塔罐内件安装封口检查、新旧管线碰口、“三查四定”等以及发包人认为其他需要参与质量控制的环节。</w:t>
      </w:r>
      <w:bookmarkEnd w:id="1174"/>
      <w:bookmarkEnd w:id="1175"/>
      <w:bookmarkEnd w:id="1176"/>
      <w:bookmarkEnd w:id="1177"/>
      <w:bookmarkEnd w:id="1178"/>
      <w:bookmarkEnd w:id="1179"/>
    </w:p>
    <w:p w14:paraId="484FA8A0">
      <w:pPr>
        <w:adjustRightInd w:val="0"/>
        <w:snapToGrid w:val="0"/>
        <w:ind w:firstLine="480" w:firstLineChars="200"/>
        <w:rPr>
          <w:rFonts w:cs="Arial"/>
          <w:color w:val="auto"/>
          <w:highlight w:val="none"/>
        </w:rPr>
      </w:pPr>
      <w:bookmarkStart w:id="1180" w:name="_Toc25395"/>
      <w:bookmarkStart w:id="1181" w:name="_Toc17657"/>
      <w:bookmarkStart w:id="1182" w:name="_Toc22544"/>
      <w:bookmarkStart w:id="1183" w:name="_Toc5089"/>
      <w:bookmarkStart w:id="1184" w:name="_Toc5971"/>
      <w:bookmarkStart w:id="1185" w:name="_Toc25919"/>
      <w:r>
        <w:rPr>
          <w:rFonts w:hint="eastAsia" w:cs="Arial"/>
          <w:color w:val="auto"/>
          <w:highlight w:val="none"/>
        </w:rPr>
        <w:t>2.4.</w:t>
      </w:r>
      <w:bookmarkStart w:id="1186" w:name="标识管理及可追溯性质量控制"/>
      <w:r>
        <w:rPr>
          <w:rFonts w:hint="eastAsia" w:cs="Arial"/>
          <w:color w:val="auto"/>
          <w:highlight w:val="none"/>
        </w:rPr>
        <w:t>7  标识管理及可追溯性质量控制</w:t>
      </w:r>
      <w:bookmarkEnd w:id="1180"/>
      <w:bookmarkEnd w:id="1181"/>
      <w:bookmarkEnd w:id="1182"/>
      <w:bookmarkEnd w:id="1183"/>
      <w:bookmarkEnd w:id="1184"/>
      <w:bookmarkEnd w:id="1185"/>
      <w:bookmarkEnd w:id="1186"/>
    </w:p>
    <w:p w14:paraId="065591A9">
      <w:pPr>
        <w:adjustRightInd w:val="0"/>
        <w:snapToGrid w:val="0"/>
        <w:ind w:firstLine="480" w:firstLineChars="200"/>
        <w:rPr>
          <w:rFonts w:cs="Arial"/>
          <w:color w:val="auto"/>
          <w:highlight w:val="none"/>
        </w:rPr>
      </w:pPr>
      <w:bookmarkStart w:id="1187" w:name="_Toc2125"/>
      <w:bookmarkStart w:id="1188" w:name="_Toc14124"/>
      <w:bookmarkStart w:id="1189" w:name="_Toc21423"/>
      <w:bookmarkStart w:id="1190" w:name="_Toc16410"/>
      <w:bookmarkStart w:id="1191" w:name="_Toc5256"/>
      <w:bookmarkStart w:id="1192" w:name="_Toc4384"/>
      <w:r>
        <w:rPr>
          <w:rFonts w:hint="eastAsia" w:cs="Arial"/>
          <w:color w:val="auto"/>
          <w:highlight w:val="none"/>
        </w:rPr>
        <w:t>1）承包人应制定标识管理程序或办法。</w:t>
      </w:r>
      <w:bookmarkEnd w:id="1187"/>
      <w:bookmarkEnd w:id="1188"/>
      <w:bookmarkEnd w:id="1189"/>
      <w:bookmarkEnd w:id="1190"/>
      <w:bookmarkEnd w:id="1191"/>
      <w:bookmarkEnd w:id="1192"/>
    </w:p>
    <w:p w14:paraId="10EC79A9">
      <w:pPr>
        <w:adjustRightInd w:val="0"/>
        <w:snapToGrid w:val="0"/>
        <w:ind w:firstLine="480" w:firstLineChars="200"/>
        <w:rPr>
          <w:rFonts w:cs="Arial"/>
          <w:color w:val="auto"/>
          <w:highlight w:val="none"/>
        </w:rPr>
      </w:pPr>
      <w:bookmarkStart w:id="1193" w:name="_Toc7686"/>
      <w:bookmarkStart w:id="1194" w:name="_Toc22468"/>
      <w:bookmarkStart w:id="1195" w:name="_Toc20149"/>
      <w:bookmarkStart w:id="1196" w:name="_Toc2630"/>
      <w:bookmarkStart w:id="1197" w:name="_Toc14110"/>
      <w:bookmarkStart w:id="1198" w:name="_Toc15846"/>
      <w:r>
        <w:rPr>
          <w:rFonts w:hint="eastAsia" w:cs="Arial"/>
          <w:color w:val="auto"/>
          <w:highlight w:val="none"/>
        </w:rPr>
        <w:t>2）标识的主要内容：</w:t>
      </w:r>
      <w:bookmarkEnd w:id="1193"/>
      <w:bookmarkEnd w:id="1194"/>
      <w:bookmarkEnd w:id="1195"/>
      <w:bookmarkEnd w:id="1196"/>
      <w:bookmarkEnd w:id="1197"/>
      <w:bookmarkEnd w:id="1198"/>
    </w:p>
    <w:p w14:paraId="6022EC0B">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hint="eastAsia" w:cs="Arial"/>
          <w:color w:val="auto"/>
          <w:highlight w:val="none"/>
        </w:rPr>
        <w:t>不同区域使用的不同材料、半成品应有明确色标；</w:t>
      </w:r>
    </w:p>
    <w:p w14:paraId="7DE020A0">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hint="eastAsia" w:cs="Arial"/>
          <w:color w:val="auto"/>
          <w:highlight w:val="none"/>
        </w:rPr>
        <w:t>焊接接口应按要求标识管线号、焊工号、焊口序号、探伤标记；</w:t>
      </w:r>
    </w:p>
    <w:p w14:paraId="2EB84859">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hint="eastAsia" w:cs="Arial"/>
          <w:color w:val="auto"/>
          <w:highlight w:val="none"/>
        </w:rPr>
        <w:t>产品的检、试验状态、阀门调试状态及开关指示、管线走向；</w:t>
      </w:r>
    </w:p>
    <w:p w14:paraId="46EE3265">
      <w:pPr>
        <w:numPr>
          <w:ilvl w:val="1"/>
          <w:numId w:val="7"/>
        </w:numPr>
        <w:tabs>
          <w:tab w:val="left" w:pos="567"/>
        </w:tabs>
        <w:adjustRightInd w:val="0"/>
        <w:snapToGrid w:val="0"/>
        <w:spacing w:before="60" w:after="60"/>
        <w:ind w:left="161" w:leftChars="67" w:right="-204" w:rightChars="-85" w:firstLine="200"/>
        <w:rPr>
          <w:rFonts w:cs="Arial"/>
          <w:color w:val="auto"/>
          <w:highlight w:val="none"/>
        </w:rPr>
      </w:pPr>
      <w:r>
        <w:rPr>
          <w:rFonts w:hint="eastAsia" w:cs="Arial"/>
          <w:color w:val="auto"/>
          <w:highlight w:val="none"/>
        </w:rPr>
        <w:t>不合格品标识。</w:t>
      </w:r>
    </w:p>
    <w:p w14:paraId="29E624E8">
      <w:pPr>
        <w:adjustRightInd w:val="0"/>
        <w:snapToGrid w:val="0"/>
        <w:ind w:firstLine="480" w:firstLineChars="200"/>
        <w:rPr>
          <w:rFonts w:cs="Arial"/>
          <w:color w:val="auto"/>
          <w:highlight w:val="none"/>
        </w:rPr>
      </w:pPr>
      <w:r>
        <w:rPr>
          <w:rFonts w:hint="eastAsia" w:cs="Arial"/>
          <w:color w:val="auto"/>
          <w:highlight w:val="none"/>
        </w:rPr>
        <w:t>3）施工全过程应做好标识保护和标识移植。</w:t>
      </w:r>
    </w:p>
    <w:p w14:paraId="3B8D6C22">
      <w:pPr>
        <w:adjustRightInd w:val="0"/>
        <w:snapToGrid w:val="0"/>
        <w:ind w:firstLine="480" w:firstLineChars="200"/>
        <w:rPr>
          <w:rFonts w:cs="Arial"/>
          <w:color w:val="auto"/>
          <w:highlight w:val="none"/>
        </w:rPr>
      </w:pPr>
      <w:r>
        <w:rPr>
          <w:rFonts w:hint="eastAsia" w:cs="Arial"/>
          <w:color w:val="auto"/>
          <w:highlight w:val="none"/>
        </w:rPr>
        <w:t>4）施工记录、各种质量证明文件清晰、完整，与实体对应可追溯。</w:t>
      </w:r>
    </w:p>
    <w:p w14:paraId="1E4E55CF">
      <w:pPr>
        <w:adjustRightInd w:val="0"/>
        <w:snapToGrid w:val="0"/>
        <w:ind w:firstLine="480" w:firstLineChars="200"/>
        <w:rPr>
          <w:rFonts w:cs="Arial"/>
          <w:color w:val="auto"/>
          <w:highlight w:val="none"/>
        </w:rPr>
      </w:pPr>
      <w:r>
        <w:rPr>
          <w:rFonts w:hint="eastAsia" w:cs="Arial"/>
          <w:color w:val="auto"/>
          <w:highlight w:val="none"/>
        </w:rPr>
        <w:t>2.4.8  “</w:t>
      </w:r>
      <w:bookmarkStart w:id="1199" w:name="三查四定"/>
      <w:r>
        <w:rPr>
          <w:rFonts w:hint="eastAsia" w:cs="Arial"/>
          <w:color w:val="auto"/>
          <w:highlight w:val="none"/>
        </w:rPr>
        <w:t>三查四定</w:t>
      </w:r>
      <w:bookmarkEnd w:id="1199"/>
      <w:r>
        <w:rPr>
          <w:rFonts w:hint="eastAsia" w:cs="Arial"/>
          <w:color w:val="auto"/>
          <w:highlight w:val="none"/>
        </w:rPr>
        <w:t>”</w:t>
      </w:r>
    </w:p>
    <w:p w14:paraId="5E2F6F05">
      <w:pPr>
        <w:adjustRightInd w:val="0"/>
        <w:snapToGrid w:val="0"/>
        <w:ind w:firstLine="480" w:firstLineChars="200"/>
        <w:rPr>
          <w:rFonts w:cs="Arial"/>
          <w:color w:val="auto"/>
          <w:highlight w:val="none"/>
        </w:rPr>
      </w:pPr>
      <w:r>
        <w:rPr>
          <w:rFonts w:hint="eastAsia" w:cs="Arial"/>
          <w:color w:val="auto"/>
          <w:highlight w:val="none"/>
        </w:rPr>
        <w:t>1）“三查四定”由监理机构组织，使用单位、承包人、设计单位、发包人、质量监督站均应参加。</w:t>
      </w:r>
    </w:p>
    <w:p w14:paraId="35FF3304">
      <w:pPr>
        <w:adjustRightInd w:val="0"/>
        <w:snapToGrid w:val="0"/>
        <w:ind w:firstLine="480" w:firstLineChars="200"/>
        <w:rPr>
          <w:rFonts w:cs="Arial"/>
          <w:color w:val="auto"/>
          <w:highlight w:val="none"/>
        </w:rPr>
      </w:pPr>
      <w:r>
        <w:rPr>
          <w:rFonts w:hint="eastAsia" w:cs="Arial"/>
          <w:color w:val="auto"/>
          <w:highlight w:val="none"/>
        </w:rPr>
        <w:t>2）查设计漏项：按专业工号、设计图纸及设备证明书、设计修改联络单进行核对。</w:t>
      </w:r>
    </w:p>
    <w:p w14:paraId="3F6C5B02">
      <w:pPr>
        <w:adjustRightInd w:val="0"/>
        <w:snapToGrid w:val="0"/>
        <w:ind w:firstLine="480" w:firstLineChars="200"/>
        <w:rPr>
          <w:rFonts w:cs="Arial"/>
          <w:color w:val="auto"/>
          <w:highlight w:val="none"/>
        </w:rPr>
      </w:pPr>
      <w:r>
        <w:rPr>
          <w:rFonts w:hint="eastAsia" w:cs="Arial"/>
          <w:color w:val="auto"/>
          <w:highlight w:val="none"/>
        </w:rPr>
        <w:t>3）查质量隐患：重点查隐蔽工程记录是否齐全、是否核对、签字，现场实体质量状况。</w:t>
      </w:r>
    </w:p>
    <w:p w14:paraId="592BC801">
      <w:pPr>
        <w:adjustRightInd w:val="0"/>
        <w:snapToGrid w:val="0"/>
        <w:ind w:firstLine="480" w:firstLineChars="200"/>
        <w:rPr>
          <w:rFonts w:cs="Arial"/>
          <w:color w:val="auto"/>
          <w:highlight w:val="none"/>
        </w:rPr>
      </w:pPr>
      <w:r>
        <w:rPr>
          <w:rFonts w:hint="eastAsia" w:cs="Arial"/>
          <w:color w:val="auto"/>
          <w:highlight w:val="none"/>
        </w:rPr>
        <w:t>4）监理机构对查出的质量问题和未完工程督促承包人整改、消缺，质量监督站跟踪检查。</w:t>
      </w:r>
    </w:p>
    <w:p w14:paraId="5C549379">
      <w:pPr>
        <w:adjustRightInd w:val="0"/>
        <w:snapToGrid w:val="0"/>
        <w:ind w:firstLine="480" w:firstLineChars="200"/>
        <w:rPr>
          <w:rFonts w:cs="Arial"/>
          <w:color w:val="auto"/>
          <w:highlight w:val="none"/>
        </w:rPr>
      </w:pPr>
      <w:r>
        <w:rPr>
          <w:rFonts w:hint="eastAsia" w:cs="Arial"/>
          <w:color w:val="auto"/>
          <w:highlight w:val="none"/>
        </w:rPr>
        <w:t>2.4.</w:t>
      </w:r>
      <w:bookmarkStart w:id="1200" w:name="中间交接"/>
      <w:r>
        <w:rPr>
          <w:rFonts w:hint="eastAsia" w:cs="Arial"/>
          <w:color w:val="auto"/>
          <w:highlight w:val="none"/>
        </w:rPr>
        <w:t>9  中间交接</w:t>
      </w:r>
      <w:bookmarkEnd w:id="1200"/>
    </w:p>
    <w:p w14:paraId="3C2EBFB5">
      <w:pPr>
        <w:adjustRightInd w:val="0"/>
        <w:snapToGrid w:val="0"/>
        <w:ind w:firstLine="480" w:firstLineChars="200"/>
        <w:rPr>
          <w:rFonts w:cs="Arial"/>
          <w:color w:val="auto"/>
          <w:highlight w:val="none"/>
        </w:rPr>
      </w:pPr>
      <w:r>
        <w:rPr>
          <w:rFonts w:hint="eastAsia" w:cs="Arial"/>
          <w:color w:val="auto"/>
          <w:highlight w:val="none"/>
        </w:rPr>
        <w:t>1）中间交接由发包人组织，监理单位配合。</w:t>
      </w:r>
    </w:p>
    <w:p w14:paraId="7480BFEC">
      <w:pPr>
        <w:adjustRightInd w:val="0"/>
        <w:snapToGrid w:val="0"/>
        <w:ind w:firstLine="480" w:firstLineChars="200"/>
        <w:rPr>
          <w:rFonts w:cs="Arial"/>
          <w:color w:val="auto"/>
          <w:highlight w:val="none"/>
        </w:rPr>
      </w:pPr>
      <w:r>
        <w:rPr>
          <w:rFonts w:hint="eastAsia" w:cs="Arial"/>
          <w:color w:val="auto"/>
          <w:highlight w:val="none"/>
        </w:rPr>
        <w:t>2）工程按图纸和合同全部完成，管道系统及设备内部处理、电仪调试、单机试运全部完成合格，有关工程的质量证明资料齐全、审查合格，质量监督站质量初评合格后方能办理中间交接手续。</w:t>
      </w:r>
    </w:p>
    <w:p w14:paraId="18D5B8B1">
      <w:pPr>
        <w:adjustRightInd w:val="0"/>
        <w:snapToGrid w:val="0"/>
        <w:ind w:firstLine="480" w:firstLineChars="200"/>
        <w:rPr>
          <w:rFonts w:cs="Arial"/>
          <w:color w:val="auto"/>
          <w:highlight w:val="none"/>
        </w:rPr>
      </w:pPr>
      <w:bookmarkStart w:id="1201" w:name="工程质量验收评定"/>
      <w:r>
        <w:rPr>
          <w:rFonts w:hint="eastAsia" w:cs="Arial"/>
          <w:color w:val="auto"/>
          <w:highlight w:val="none"/>
        </w:rPr>
        <w:t>2.5  工程质量验收评定</w:t>
      </w:r>
      <w:bookmarkEnd w:id="1201"/>
    </w:p>
    <w:p w14:paraId="17B1F558">
      <w:pPr>
        <w:adjustRightInd w:val="0"/>
        <w:snapToGrid w:val="0"/>
        <w:ind w:firstLine="480" w:firstLineChars="200"/>
        <w:rPr>
          <w:rFonts w:cs="Arial"/>
          <w:color w:val="auto"/>
          <w:highlight w:val="none"/>
        </w:rPr>
      </w:pPr>
      <w:r>
        <w:rPr>
          <w:rFonts w:hint="eastAsia" w:cs="Arial"/>
          <w:color w:val="auto"/>
          <w:highlight w:val="none"/>
        </w:rPr>
        <w:t>2.5.1  验收评定依据：中国石化有关规定。</w:t>
      </w:r>
    </w:p>
    <w:p w14:paraId="3A42F677">
      <w:pPr>
        <w:adjustRightInd w:val="0"/>
        <w:snapToGrid w:val="0"/>
        <w:ind w:firstLine="480" w:firstLineChars="200"/>
        <w:rPr>
          <w:rFonts w:cs="Arial"/>
          <w:color w:val="auto"/>
          <w:highlight w:val="none"/>
        </w:rPr>
      </w:pPr>
      <w:r>
        <w:rPr>
          <w:rFonts w:hint="eastAsia" w:cs="Arial"/>
          <w:color w:val="auto"/>
          <w:highlight w:val="none"/>
        </w:rPr>
        <w:t xml:space="preserve"> 验收程序：</w:t>
      </w:r>
    </w:p>
    <w:p w14:paraId="709C96C7">
      <w:pPr>
        <w:adjustRightInd w:val="0"/>
        <w:snapToGrid w:val="0"/>
        <w:ind w:firstLine="480" w:firstLineChars="200"/>
        <w:rPr>
          <w:rFonts w:cs="Arial"/>
          <w:color w:val="auto"/>
          <w:highlight w:val="none"/>
        </w:rPr>
      </w:pPr>
      <w:r>
        <w:rPr>
          <w:rFonts w:hint="eastAsia" w:cs="Arial"/>
          <w:color w:val="auto"/>
          <w:highlight w:val="none"/>
        </w:rPr>
        <w:t>1）分项工程完工后，施工班组自检合格后，由承包人项目专职质量检查员进行检查评定，填写各分项验收记录交专业监理工程师组织验收并签字。</w:t>
      </w:r>
    </w:p>
    <w:p w14:paraId="59FA945E">
      <w:pPr>
        <w:adjustRightInd w:val="0"/>
        <w:snapToGrid w:val="0"/>
        <w:ind w:firstLine="480" w:firstLineChars="200"/>
        <w:rPr>
          <w:rFonts w:cs="Arial"/>
          <w:color w:val="auto"/>
          <w:highlight w:val="none"/>
        </w:rPr>
      </w:pPr>
      <w:r>
        <w:rPr>
          <w:rFonts w:hint="eastAsia" w:cs="Arial"/>
          <w:color w:val="auto"/>
          <w:highlight w:val="none"/>
        </w:rPr>
        <w:t>2）分部工程、单位工程完工后，承包人项目经理组织验收评定，填写分部、单位工程各验收记录表交总监理工程师组织验收并签字。</w:t>
      </w:r>
    </w:p>
    <w:p w14:paraId="33F63AF3">
      <w:pPr>
        <w:adjustRightInd w:val="0"/>
        <w:snapToGrid w:val="0"/>
        <w:ind w:firstLine="480" w:firstLineChars="200"/>
        <w:rPr>
          <w:rFonts w:cs="Arial"/>
          <w:color w:val="auto"/>
          <w:highlight w:val="none"/>
        </w:rPr>
      </w:pPr>
      <w:r>
        <w:rPr>
          <w:rFonts w:hint="eastAsia" w:cs="Arial"/>
          <w:color w:val="auto"/>
          <w:highlight w:val="none"/>
        </w:rPr>
        <w:t>3）单位工程有分包的，监理单位组织验收时，承包人、分包人的有关人员都应参加。</w:t>
      </w:r>
    </w:p>
    <w:p w14:paraId="3E5DC456">
      <w:pPr>
        <w:adjustRightInd w:val="0"/>
        <w:snapToGrid w:val="0"/>
        <w:ind w:firstLine="480" w:firstLineChars="200"/>
        <w:rPr>
          <w:rFonts w:cs="Arial"/>
          <w:color w:val="auto"/>
          <w:highlight w:val="none"/>
        </w:rPr>
      </w:pPr>
      <w:r>
        <w:rPr>
          <w:rFonts w:hint="eastAsia" w:cs="Arial"/>
          <w:color w:val="auto"/>
          <w:highlight w:val="none"/>
        </w:rPr>
        <w:t>2.5.2  质量初评及等级核定：</w:t>
      </w:r>
    </w:p>
    <w:p w14:paraId="7FDF53BB">
      <w:pPr>
        <w:adjustRightInd w:val="0"/>
        <w:snapToGrid w:val="0"/>
        <w:ind w:firstLine="480" w:firstLineChars="200"/>
        <w:rPr>
          <w:rFonts w:cs="Arial"/>
          <w:color w:val="auto"/>
          <w:highlight w:val="none"/>
        </w:rPr>
      </w:pPr>
      <w:r>
        <w:rPr>
          <w:rFonts w:hint="eastAsia" w:cs="Arial"/>
          <w:color w:val="auto"/>
          <w:highlight w:val="none"/>
        </w:rPr>
        <w:t xml:space="preserve"> 工程按设计文件和合同规定的内容完工后，通过验证实体质量和有关质量文件，质量监督站组织建设、设计、监理、施工等单位对完工项目进行质量初评，初评合格才能办理中间交接。</w:t>
      </w:r>
    </w:p>
    <w:p w14:paraId="1D51E5EE">
      <w:pPr>
        <w:adjustRightInd w:val="0"/>
        <w:snapToGrid w:val="0"/>
        <w:ind w:firstLine="480" w:firstLineChars="200"/>
        <w:rPr>
          <w:rFonts w:cs="Arial"/>
          <w:color w:val="auto"/>
          <w:highlight w:val="none"/>
        </w:rPr>
      </w:pPr>
      <w:r>
        <w:rPr>
          <w:rFonts w:hint="eastAsia" w:cs="Arial"/>
          <w:color w:val="auto"/>
          <w:highlight w:val="none"/>
        </w:rPr>
        <w:t>“中间交接”后经联动试车合格并生产试运行一个月以上，质量监督站审查正式交工技术文件，组织专业监督工程师进行质量等级核定，经质量监督站负责人审核后在《工程交工证书》上填写质量等级并签字。</w:t>
      </w:r>
    </w:p>
    <w:p w14:paraId="551F658C">
      <w:pPr>
        <w:adjustRightInd w:val="0"/>
        <w:snapToGrid w:val="0"/>
        <w:ind w:firstLine="480" w:firstLineChars="200"/>
        <w:rPr>
          <w:rFonts w:cs="Arial"/>
          <w:color w:val="auto"/>
          <w:highlight w:val="none"/>
        </w:rPr>
      </w:pPr>
      <w:bookmarkStart w:id="1202" w:name="质量检查"/>
      <w:r>
        <w:rPr>
          <w:rFonts w:hint="eastAsia" w:cs="Arial"/>
          <w:color w:val="auto"/>
          <w:highlight w:val="none"/>
        </w:rPr>
        <w:t>2.6  质量检查</w:t>
      </w:r>
      <w:bookmarkEnd w:id="1202"/>
    </w:p>
    <w:p w14:paraId="029FAEC7">
      <w:pPr>
        <w:adjustRightInd w:val="0"/>
        <w:snapToGrid w:val="0"/>
        <w:ind w:firstLine="480" w:firstLineChars="200"/>
        <w:rPr>
          <w:rFonts w:cs="Arial"/>
          <w:color w:val="auto"/>
          <w:highlight w:val="none"/>
        </w:rPr>
      </w:pPr>
      <w:r>
        <w:rPr>
          <w:rFonts w:hint="eastAsia" w:cs="Arial"/>
          <w:color w:val="auto"/>
          <w:highlight w:val="none"/>
        </w:rPr>
        <w:t>2.6.1</w:t>
      </w:r>
      <w:bookmarkStart w:id="1203" w:name="检查内容"/>
      <w:r>
        <w:rPr>
          <w:rFonts w:hint="eastAsia" w:cs="Arial"/>
          <w:color w:val="auto"/>
          <w:highlight w:val="none"/>
        </w:rPr>
        <w:t xml:space="preserve">  检查内容</w:t>
      </w:r>
      <w:bookmarkEnd w:id="1203"/>
    </w:p>
    <w:p w14:paraId="61317A13">
      <w:pPr>
        <w:adjustRightInd w:val="0"/>
        <w:snapToGrid w:val="0"/>
        <w:ind w:firstLine="480" w:firstLineChars="200"/>
        <w:rPr>
          <w:rFonts w:cs="Arial"/>
          <w:color w:val="auto"/>
          <w:highlight w:val="none"/>
        </w:rPr>
      </w:pPr>
      <w:r>
        <w:rPr>
          <w:rFonts w:cs="Arial"/>
          <w:color w:val="auto"/>
          <w:highlight w:val="none"/>
        </w:rPr>
        <w:t>各参建单位质量行为检查；</w:t>
      </w:r>
    </w:p>
    <w:p w14:paraId="61F68245">
      <w:pPr>
        <w:adjustRightInd w:val="0"/>
        <w:snapToGrid w:val="0"/>
        <w:ind w:firstLine="480" w:firstLineChars="200"/>
        <w:rPr>
          <w:rFonts w:cs="Arial"/>
          <w:color w:val="auto"/>
          <w:highlight w:val="none"/>
        </w:rPr>
      </w:pPr>
      <w:r>
        <w:rPr>
          <w:rFonts w:cs="Arial"/>
          <w:color w:val="auto"/>
          <w:highlight w:val="none"/>
        </w:rPr>
        <w:t>进场设备材料质量控制；</w:t>
      </w:r>
    </w:p>
    <w:p w14:paraId="443655B5">
      <w:pPr>
        <w:adjustRightInd w:val="0"/>
        <w:snapToGrid w:val="0"/>
        <w:ind w:firstLine="480" w:firstLineChars="200"/>
        <w:rPr>
          <w:rFonts w:cs="Arial"/>
          <w:color w:val="auto"/>
          <w:highlight w:val="none"/>
        </w:rPr>
      </w:pPr>
      <w:r>
        <w:rPr>
          <w:rFonts w:cs="Arial"/>
          <w:color w:val="auto"/>
          <w:highlight w:val="none"/>
        </w:rPr>
        <w:t>施工过程现场质量管理制度执行情况；</w:t>
      </w:r>
    </w:p>
    <w:p w14:paraId="7F5DBB45">
      <w:pPr>
        <w:adjustRightInd w:val="0"/>
        <w:snapToGrid w:val="0"/>
        <w:ind w:firstLine="480" w:firstLineChars="200"/>
        <w:rPr>
          <w:rFonts w:cs="Arial"/>
          <w:color w:val="auto"/>
          <w:highlight w:val="none"/>
        </w:rPr>
      </w:pPr>
      <w:r>
        <w:rPr>
          <w:rFonts w:cs="Arial"/>
          <w:color w:val="auto"/>
          <w:highlight w:val="none"/>
        </w:rPr>
        <w:t>工程实体质量情况；</w:t>
      </w:r>
    </w:p>
    <w:p w14:paraId="2FDFF704">
      <w:pPr>
        <w:adjustRightInd w:val="0"/>
        <w:snapToGrid w:val="0"/>
        <w:ind w:firstLine="480" w:firstLineChars="200"/>
        <w:rPr>
          <w:rFonts w:cs="Arial"/>
          <w:color w:val="auto"/>
          <w:highlight w:val="none"/>
        </w:rPr>
      </w:pPr>
      <w:r>
        <w:rPr>
          <w:rFonts w:cs="Arial"/>
          <w:color w:val="auto"/>
          <w:highlight w:val="none"/>
        </w:rPr>
        <w:t>施工过程质量记录、质量证明文件。</w:t>
      </w:r>
    </w:p>
    <w:p w14:paraId="5E28ACFC">
      <w:pPr>
        <w:adjustRightInd w:val="0"/>
        <w:snapToGrid w:val="0"/>
        <w:ind w:firstLine="480" w:firstLineChars="200"/>
        <w:rPr>
          <w:rFonts w:cs="Arial"/>
          <w:color w:val="auto"/>
          <w:highlight w:val="none"/>
        </w:rPr>
      </w:pPr>
      <w:r>
        <w:rPr>
          <w:rFonts w:hint="eastAsia" w:cs="Arial"/>
          <w:color w:val="auto"/>
          <w:highlight w:val="none"/>
        </w:rPr>
        <w:t>2.6.2</w:t>
      </w:r>
      <w:bookmarkStart w:id="1204" w:name="检查的组织形式"/>
      <w:r>
        <w:rPr>
          <w:rFonts w:hint="eastAsia" w:cs="Arial"/>
          <w:color w:val="auto"/>
          <w:highlight w:val="none"/>
        </w:rPr>
        <w:t xml:space="preserve">  检查的组织形式</w:t>
      </w:r>
      <w:bookmarkEnd w:id="1204"/>
    </w:p>
    <w:p w14:paraId="3A7C3EE4">
      <w:pPr>
        <w:adjustRightInd w:val="0"/>
        <w:snapToGrid w:val="0"/>
        <w:ind w:firstLine="480" w:firstLineChars="200"/>
        <w:rPr>
          <w:rFonts w:cs="Arial"/>
          <w:color w:val="auto"/>
          <w:highlight w:val="none"/>
        </w:rPr>
      </w:pPr>
      <w:r>
        <w:rPr>
          <w:rFonts w:cs="Arial"/>
          <w:color w:val="auto"/>
          <w:highlight w:val="none"/>
        </w:rPr>
        <w:t>专业检查由监理机构组织，不定期进行，质量监督站协助指导；</w:t>
      </w:r>
    </w:p>
    <w:p w14:paraId="3F33EA9C">
      <w:pPr>
        <w:adjustRightInd w:val="0"/>
        <w:snapToGrid w:val="0"/>
        <w:ind w:firstLine="480" w:firstLineChars="200"/>
        <w:rPr>
          <w:rFonts w:cs="Arial"/>
          <w:color w:val="auto"/>
          <w:highlight w:val="none"/>
        </w:rPr>
      </w:pPr>
      <w:r>
        <w:rPr>
          <w:rFonts w:cs="Arial"/>
          <w:color w:val="auto"/>
          <w:highlight w:val="none"/>
        </w:rPr>
        <w:t>阶段性质量检查由质量监督站组织，监理、发包人参加、承包人参加交叉检查；</w:t>
      </w:r>
    </w:p>
    <w:p w14:paraId="3546FDD2">
      <w:pPr>
        <w:adjustRightInd w:val="0"/>
        <w:snapToGrid w:val="0"/>
        <w:ind w:firstLine="480" w:firstLineChars="200"/>
        <w:rPr>
          <w:rFonts w:cs="Arial"/>
          <w:color w:val="auto"/>
          <w:highlight w:val="none"/>
        </w:rPr>
      </w:pPr>
      <w:r>
        <w:rPr>
          <w:rFonts w:cs="Arial"/>
          <w:color w:val="auto"/>
          <w:highlight w:val="none"/>
        </w:rPr>
        <w:t>每单项工程交工前，为了高标准中交，质量监督站组织一次验证性检查；</w:t>
      </w:r>
    </w:p>
    <w:p w14:paraId="61476D5A">
      <w:pPr>
        <w:adjustRightInd w:val="0"/>
        <w:snapToGrid w:val="0"/>
        <w:ind w:firstLine="480" w:firstLineChars="200"/>
        <w:rPr>
          <w:rFonts w:cs="Arial"/>
          <w:color w:val="auto"/>
          <w:highlight w:val="none"/>
        </w:rPr>
      </w:pPr>
      <w:r>
        <w:rPr>
          <w:rFonts w:cs="Arial"/>
          <w:color w:val="auto"/>
          <w:highlight w:val="none"/>
        </w:rPr>
        <w:t>集团公司组织质量大检查，由</w:t>
      </w:r>
      <w:r>
        <w:rPr>
          <w:rFonts w:hint="eastAsia" w:cs="Arial"/>
          <w:color w:val="auto"/>
          <w:highlight w:val="none"/>
        </w:rPr>
        <w:t>质量监督站</w:t>
      </w:r>
      <w:r>
        <w:rPr>
          <w:rFonts w:cs="Arial"/>
          <w:color w:val="auto"/>
          <w:highlight w:val="none"/>
        </w:rPr>
        <w:t>主持迎检，监理、</w:t>
      </w:r>
      <w:r>
        <w:rPr>
          <w:rFonts w:hint="eastAsia" w:cs="Arial"/>
          <w:color w:val="auto"/>
          <w:highlight w:val="none"/>
        </w:rPr>
        <w:t>承包人</w:t>
      </w:r>
      <w:r>
        <w:rPr>
          <w:rFonts w:cs="Arial"/>
          <w:color w:val="auto"/>
          <w:highlight w:val="none"/>
        </w:rPr>
        <w:t>配合。</w:t>
      </w:r>
    </w:p>
    <w:p w14:paraId="39FF9660">
      <w:pPr>
        <w:adjustRightInd w:val="0"/>
        <w:snapToGrid w:val="0"/>
        <w:ind w:firstLine="480" w:firstLineChars="200"/>
        <w:rPr>
          <w:rFonts w:cs="Arial"/>
          <w:color w:val="auto"/>
          <w:highlight w:val="none"/>
        </w:rPr>
      </w:pPr>
      <w:bookmarkStart w:id="1205" w:name="检查程序"/>
      <w:r>
        <w:rPr>
          <w:rFonts w:hint="eastAsia" w:cs="Arial"/>
          <w:color w:val="auto"/>
          <w:highlight w:val="none"/>
        </w:rPr>
        <w:t xml:space="preserve"> 检查程序</w:t>
      </w:r>
      <w:bookmarkEnd w:id="1205"/>
    </w:p>
    <w:p w14:paraId="7CD3C016">
      <w:pPr>
        <w:adjustRightInd w:val="0"/>
        <w:snapToGrid w:val="0"/>
        <w:ind w:firstLine="480" w:firstLineChars="200"/>
        <w:rPr>
          <w:rFonts w:cs="Arial"/>
          <w:color w:val="auto"/>
          <w:highlight w:val="none"/>
        </w:rPr>
      </w:pPr>
      <w:r>
        <w:rPr>
          <w:rFonts w:hint="eastAsia" w:cs="Arial"/>
          <w:color w:val="auto"/>
          <w:highlight w:val="none"/>
        </w:rPr>
        <w:t>1）每次大检查，主持单位成立专业检查组，写出检查大纲，发出检查通知；</w:t>
      </w:r>
    </w:p>
    <w:p w14:paraId="6FA12981">
      <w:pPr>
        <w:adjustRightInd w:val="0"/>
        <w:snapToGrid w:val="0"/>
        <w:ind w:firstLine="480" w:firstLineChars="200"/>
        <w:rPr>
          <w:rFonts w:cs="Arial"/>
          <w:color w:val="auto"/>
          <w:highlight w:val="none"/>
        </w:rPr>
      </w:pPr>
      <w:r>
        <w:rPr>
          <w:rFonts w:hint="eastAsia" w:cs="Arial"/>
          <w:color w:val="auto"/>
          <w:highlight w:val="none"/>
        </w:rPr>
        <w:t>2）施工及有关被检单位作好准备，整理好资料，写出自检材料；</w:t>
      </w:r>
    </w:p>
    <w:p w14:paraId="6D3E587A">
      <w:pPr>
        <w:adjustRightInd w:val="0"/>
        <w:snapToGrid w:val="0"/>
        <w:ind w:firstLine="480" w:firstLineChars="200"/>
        <w:rPr>
          <w:rFonts w:cs="Arial"/>
          <w:color w:val="auto"/>
          <w:highlight w:val="none"/>
        </w:rPr>
      </w:pPr>
      <w:r>
        <w:rPr>
          <w:rFonts w:hint="eastAsia" w:cs="Arial"/>
          <w:color w:val="auto"/>
          <w:highlight w:val="none"/>
        </w:rPr>
        <w:t>按检查大纲分专业进行检查；</w:t>
      </w:r>
    </w:p>
    <w:p w14:paraId="4DD3435D">
      <w:pPr>
        <w:adjustRightInd w:val="0"/>
        <w:snapToGrid w:val="0"/>
        <w:ind w:firstLine="480" w:firstLineChars="200"/>
        <w:rPr>
          <w:rFonts w:cs="Arial"/>
          <w:color w:val="auto"/>
          <w:highlight w:val="none"/>
        </w:rPr>
      </w:pPr>
      <w:r>
        <w:rPr>
          <w:rFonts w:hint="eastAsia" w:cs="Arial"/>
          <w:color w:val="auto"/>
          <w:highlight w:val="none"/>
        </w:rPr>
        <w:t>4）检查问题汇总、书面总结讲评、发出整改通知，质量监督站检查整改情况。</w:t>
      </w:r>
    </w:p>
    <w:p w14:paraId="5315AF64">
      <w:pPr>
        <w:adjustRightInd w:val="0"/>
        <w:snapToGrid w:val="0"/>
        <w:ind w:firstLine="480" w:firstLineChars="200"/>
        <w:rPr>
          <w:rFonts w:cs="Arial"/>
          <w:color w:val="auto"/>
          <w:highlight w:val="none"/>
        </w:rPr>
      </w:pPr>
      <w:bookmarkStart w:id="1206" w:name="工程质量责任制考核"/>
      <w:r>
        <w:rPr>
          <w:rFonts w:hint="eastAsia" w:cs="Arial"/>
          <w:color w:val="auto"/>
          <w:highlight w:val="none"/>
        </w:rPr>
        <w:t>2.7  工程质量责任制考核</w:t>
      </w:r>
      <w:bookmarkEnd w:id="1206"/>
    </w:p>
    <w:p w14:paraId="0A872922">
      <w:pPr>
        <w:adjustRightInd w:val="0"/>
        <w:snapToGrid w:val="0"/>
        <w:ind w:firstLine="480" w:firstLineChars="200"/>
        <w:rPr>
          <w:rFonts w:cs="Arial"/>
          <w:color w:val="auto"/>
          <w:highlight w:val="none"/>
        </w:rPr>
      </w:pPr>
      <w:r>
        <w:rPr>
          <w:rFonts w:hint="eastAsia" w:cs="Arial"/>
          <w:color w:val="auto"/>
          <w:highlight w:val="none"/>
        </w:rPr>
        <w:t>2.7.1</w:t>
      </w:r>
      <w:bookmarkStart w:id="1207" w:name="考核内容"/>
      <w:r>
        <w:rPr>
          <w:rFonts w:hint="eastAsia" w:cs="Arial"/>
          <w:color w:val="auto"/>
          <w:highlight w:val="none"/>
        </w:rPr>
        <w:t xml:space="preserve">  考核内容</w:t>
      </w:r>
      <w:bookmarkEnd w:id="1207"/>
      <w:r>
        <w:rPr>
          <w:rFonts w:hint="eastAsia" w:cs="Arial"/>
          <w:color w:val="auto"/>
          <w:highlight w:val="none"/>
        </w:rPr>
        <w:t>：承包人违反国家质量法规、标准规范及本办法规定的质量行为，以及由此造成的工程实体隐含或显现的质量问题，对其责任单位和责任人员按照规定进行考核。</w:t>
      </w:r>
    </w:p>
    <w:p w14:paraId="473BEEBF">
      <w:pPr>
        <w:adjustRightInd w:val="0"/>
        <w:snapToGrid w:val="0"/>
        <w:ind w:firstLine="480" w:firstLineChars="200"/>
        <w:rPr>
          <w:rFonts w:cs="Arial"/>
          <w:color w:val="auto"/>
          <w:highlight w:val="none"/>
        </w:rPr>
      </w:pPr>
      <w:r>
        <w:rPr>
          <w:rFonts w:hint="eastAsia" w:cs="Arial"/>
          <w:color w:val="auto"/>
          <w:highlight w:val="none"/>
        </w:rPr>
        <w:t>2.7.2</w:t>
      </w:r>
      <w:bookmarkStart w:id="1208" w:name="考核组织"/>
      <w:r>
        <w:rPr>
          <w:rFonts w:hint="eastAsia" w:cs="Arial"/>
          <w:color w:val="auto"/>
          <w:highlight w:val="none"/>
        </w:rPr>
        <w:t xml:space="preserve">  考核组织</w:t>
      </w:r>
      <w:bookmarkEnd w:id="1208"/>
      <w:r>
        <w:rPr>
          <w:rFonts w:hint="eastAsia" w:cs="Arial"/>
          <w:color w:val="auto"/>
          <w:highlight w:val="none"/>
        </w:rPr>
        <w:t>：由质量监督站、发包人组织并实施奖惩。</w:t>
      </w:r>
    </w:p>
    <w:p w14:paraId="536735BD">
      <w:pPr>
        <w:adjustRightInd w:val="0"/>
        <w:snapToGrid w:val="0"/>
        <w:ind w:firstLine="480" w:firstLineChars="200"/>
        <w:rPr>
          <w:rFonts w:cs="Arial"/>
          <w:color w:val="auto"/>
          <w:highlight w:val="none"/>
        </w:rPr>
      </w:pPr>
      <w:r>
        <w:rPr>
          <w:rFonts w:hint="eastAsia" w:cs="Arial"/>
          <w:color w:val="auto"/>
          <w:highlight w:val="none"/>
        </w:rPr>
        <w:t>2.7.3</w:t>
      </w:r>
      <w:bookmarkStart w:id="1209" w:name="考核程序"/>
      <w:r>
        <w:rPr>
          <w:rFonts w:hint="eastAsia" w:cs="Arial"/>
          <w:color w:val="auto"/>
          <w:highlight w:val="none"/>
        </w:rPr>
        <w:t xml:space="preserve">  考核程序</w:t>
      </w:r>
      <w:bookmarkEnd w:id="1209"/>
    </w:p>
    <w:p w14:paraId="5452DC4D">
      <w:pPr>
        <w:adjustRightInd w:val="0"/>
        <w:snapToGrid w:val="0"/>
        <w:ind w:firstLine="480" w:firstLineChars="200"/>
        <w:rPr>
          <w:rFonts w:cs="Arial"/>
          <w:color w:val="auto"/>
          <w:highlight w:val="none"/>
        </w:rPr>
      </w:pPr>
      <w:r>
        <w:rPr>
          <w:rFonts w:hint="eastAsia" w:cs="Arial"/>
          <w:color w:val="auto"/>
          <w:highlight w:val="none"/>
        </w:rPr>
        <w:t>1）质量监督站对发包人、监理单位、承包人进行考核。</w:t>
      </w:r>
    </w:p>
    <w:p w14:paraId="0AF91FF4">
      <w:pPr>
        <w:adjustRightInd w:val="0"/>
        <w:snapToGrid w:val="0"/>
        <w:ind w:firstLine="480" w:firstLineChars="200"/>
        <w:rPr>
          <w:rFonts w:cs="Arial"/>
          <w:color w:val="auto"/>
          <w:highlight w:val="none"/>
        </w:rPr>
      </w:pPr>
      <w:r>
        <w:rPr>
          <w:rFonts w:hint="eastAsia" w:cs="Arial"/>
          <w:color w:val="auto"/>
          <w:highlight w:val="none"/>
        </w:rPr>
        <w:t>2）发包人对监理单位、承包人提出考核意见，监理单位对承包人提出考核意见，各单位都有权对承包人根据考核细则规定提出考核意见。每月上报给质量监督站研究决定后统一上报发包人实施。</w:t>
      </w:r>
    </w:p>
    <w:p w14:paraId="075E9074">
      <w:pPr>
        <w:adjustRightInd w:val="0"/>
        <w:snapToGrid w:val="0"/>
        <w:ind w:firstLine="480" w:firstLineChars="200"/>
        <w:rPr>
          <w:rFonts w:cs="Arial"/>
          <w:color w:val="auto"/>
          <w:highlight w:val="none"/>
        </w:rPr>
      </w:pPr>
      <w:r>
        <w:rPr>
          <w:rFonts w:hint="eastAsia" w:cs="Arial"/>
          <w:color w:val="auto"/>
          <w:highlight w:val="none"/>
        </w:rPr>
        <w:t>3）对发现和解决重大质量问题的单位和人员，由发包人专题研究给予奖励；</w:t>
      </w:r>
    </w:p>
    <w:p w14:paraId="4AF68096">
      <w:pPr>
        <w:adjustRightInd w:val="0"/>
        <w:snapToGrid w:val="0"/>
        <w:ind w:firstLine="480" w:firstLineChars="200"/>
        <w:rPr>
          <w:rFonts w:cs="Arial"/>
          <w:color w:val="auto"/>
          <w:highlight w:val="none"/>
        </w:rPr>
      </w:pPr>
      <w:r>
        <w:rPr>
          <w:rFonts w:hint="eastAsia" w:cs="Arial"/>
          <w:color w:val="auto"/>
          <w:highlight w:val="none"/>
        </w:rPr>
        <w:t>4）对发生重大质量事故的单位和个人，在调查、处理的基础上由发包人专题研究处罚。</w:t>
      </w:r>
    </w:p>
    <w:p w14:paraId="33E15D18">
      <w:pPr>
        <w:adjustRightInd w:val="0"/>
        <w:snapToGrid w:val="0"/>
        <w:ind w:firstLine="480" w:firstLineChars="200"/>
        <w:rPr>
          <w:rFonts w:cs="Arial"/>
          <w:color w:val="auto"/>
          <w:highlight w:val="none"/>
        </w:rPr>
      </w:pPr>
      <w:r>
        <w:rPr>
          <w:rFonts w:hint="eastAsia" w:cs="Arial"/>
          <w:color w:val="auto"/>
          <w:highlight w:val="none"/>
        </w:rPr>
        <w:t>5）工程质量考核采取以人为本，分段实施的办法。按考核细则的规定对质量检查中发现的质量问题进行考核登记，由质量监督站发出整改通知限期整改，整改合格者不实施考核；凡未整改或已造成实事无法整改的质量问题严格按考核细则考核。</w:t>
      </w:r>
    </w:p>
    <w:p w14:paraId="30AEBF10">
      <w:pPr>
        <w:adjustRightInd w:val="0"/>
        <w:snapToGrid w:val="0"/>
        <w:ind w:firstLine="480" w:firstLineChars="200"/>
        <w:rPr>
          <w:rFonts w:cs="Arial"/>
          <w:color w:val="auto"/>
          <w:highlight w:val="none"/>
        </w:rPr>
      </w:pPr>
      <w:r>
        <w:rPr>
          <w:rFonts w:hint="eastAsia" w:cs="Arial"/>
          <w:color w:val="auto"/>
          <w:highlight w:val="none"/>
        </w:rPr>
        <w:t>2.7.4</w:t>
      </w:r>
      <w:bookmarkStart w:id="1210" w:name="工程质量不良记录管理"/>
      <w:r>
        <w:rPr>
          <w:rFonts w:hint="eastAsia" w:cs="Arial"/>
          <w:color w:val="auto"/>
          <w:highlight w:val="none"/>
        </w:rPr>
        <w:t xml:space="preserve">  工程质量不良记录管理</w:t>
      </w:r>
      <w:bookmarkEnd w:id="1210"/>
    </w:p>
    <w:p w14:paraId="6E64ABDE">
      <w:pPr>
        <w:adjustRightInd w:val="0"/>
        <w:snapToGrid w:val="0"/>
        <w:ind w:firstLine="480" w:firstLineChars="200"/>
        <w:rPr>
          <w:rFonts w:cs="Arial"/>
          <w:color w:val="auto"/>
          <w:highlight w:val="none"/>
        </w:rPr>
      </w:pPr>
      <w:r>
        <w:rPr>
          <w:rFonts w:hint="eastAsia" w:cs="Arial"/>
          <w:color w:val="auto"/>
          <w:highlight w:val="none"/>
        </w:rPr>
        <w:t>1）对参加工程建设各质量责任主体（建设、设计、施工、监理、检测）等单位违反法律、法规、规章所规定的质量责任和义务以及设计文件、工程实体不符合建设强制性标准的情况，予以记录。</w:t>
      </w:r>
    </w:p>
    <w:p w14:paraId="7C94E3FA">
      <w:pPr>
        <w:adjustRightInd w:val="0"/>
        <w:snapToGrid w:val="0"/>
        <w:ind w:firstLine="480" w:firstLineChars="200"/>
        <w:rPr>
          <w:rFonts w:cs="Arial"/>
          <w:color w:val="auto"/>
          <w:highlight w:val="none"/>
        </w:rPr>
      </w:pPr>
      <w:r>
        <w:rPr>
          <w:rFonts w:hint="eastAsia" w:cs="Arial"/>
          <w:color w:val="auto"/>
          <w:highlight w:val="none"/>
        </w:rPr>
        <w:t>2）由质量监督站管理汇总，上报质量监督总站和有关主管部门备案。</w:t>
      </w:r>
    </w:p>
    <w:p w14:paraId="25C6C4C9">
      <w:pPr>
        <w:adjustRightInd w:val="0"/>
        <w:snapToGrid w:val="0"/>
        <w:ind w:firstLine="480" w:firstLineChars="200"/>
        <w:rPr>
          <w:rFonts w:cs="Arial"/>
          <w:color w:val="auto"/>
          <w:highlight w:val="none"/>
        </w:rPr>
      </w:pPr>
      <w:bookmarkStart w:id="1211" w:name="工程质量问题、质量事故管理"/>
      <w:r>
        <w:rPr>
          <w:rFonts w:hint="eastAsia" w:cs="Arial"/>
          <w:color w:val="auto"/>
          <w:highlight w:val="none"/>
        </w:rPr>
        <w:t>2.8  工程质量问题、质量事故管理</w:t>
      </w:r>
      <w:bookmarkEnd w:id="1211"/>
    </w:p>
    <w:p w14:paraId="4CD8E5ED">
      <w:pPr>
        <w:adjustRightInd w:val="0"/>
        <w:snapToGrid w:val="0"/>
        <w:ind w:firstLine="480" w:firstLineChars="200"/>
        <w:rPr>
          <w:rFonts w:cs="Arial"/>
          <w:color w:val="auto"/>
          <w:highlight w:val="none"/>
        </w:rPr>
      </w:pPr>
      <w:r>
        <w:rPr>
          <w:rFonts w:hint="eastAsia" w:cs="Arial"/>
          <w:color w:val="auto"/>
          <w:highlight w:val="none"/>
        </w:rPr>
        <w:t>2.8.1</w:t>
      </w:r>
      <w:bookmarkStart w:id="1212" w:name="质量事故分类"/>
      <w:r>
        <w:rPr>
          <w:rFonts w:hint="eastAsia" w:cs="Arial"/>
          <w:color w:val="auto"/>
          <w:highlight w:val="none"/>
        </w:rPr>
        <w:t xml:space="preserve">  质量事故分类</w:t>
      </w:r>
      <w:bookmarkEnd w:id="1212"/>
    </w:p>
    <w:p w14:paraId="41A49775">
      <w:pPr>
        <w:adjustRightInd w:val="0"/>
        <w:snapToGrid w:val="0"/>
        <w:ind w:firstLine="480" w:firstLineChars="200"/>
        <w:rPr>
          <w:rFonts w:cs="Arial"/>
          <w:color w:val="auto"/>
          <w:highlight w:val="none"/>
        </w:rPr>
      </w:pPr>
      <w:r>
        <w:rPr>
          <w:rFonts w:hint="eastAsia" w:cs="Arial"/>
          <w:color w:val="auto"/>
          <w:highlight w:val="none"/>
        </w:rPr>
        <w:t>1）质量问题、质量事故是指在施工过程中由于施工管理、设备材料管理、技术管理、检测试验以及施工操作等原因使施工质量达不到设计或标准规范要求而造成的结果，根据造成经济损失的严重程度按以下分类：</w:t>
      </w:r>
    </w:p>
    <w:p w14:paraId="52228FBD">
      <w:pPr>
        <w:adjustRightInd w:val="0"/>
        <w:snapToGrid w:val="0"/>
        <w:ind w:firstLine="480" w:firstLineChars="200"/>
        <w:rPr>
          <w:rFonts w:cs="Arial"/>
          <w:color w:val="auto"/>
          <w:highlight w:val="none"/>
        </w:rPr>
      </w:pPr>
      <w:r>
        <w:rPr>
          <w:rFonts w:hint="eastAsia" w:cs="Arial"/>
          <w:color w:val="auto"/>
          <w:highlight w:val="none"/>
        </w:rPr>
        <w:t>2）轻微质量事故（车间级）：造成直接经济损失5万元及以上，20万元以下。</w:t>
      </w:r>
    </w:p>
    <w:p w14:paraId="09AB0830">
      <w:pPr>
        <w:adjustRightInd w:val="0"/>
        <w:snapToGrid w:val="0"/>
        <w:ind w:firstLine="480" w:firstLineChars="200"/>
        <w:rPr>
          <w:rFonts w:cs="Arial"/>
          <w:color w:val="auto"/>
          <w:highlight w:val="none"/>
        </w:rPr>
      </w:pPr>
      <w:r>
        <w:rPr>
          <w:rFonts w:hint="eastAsia" w:cs="Arial"/>
          <w:color w:val="auto"/>
          <w:highlight w:val="none"/>
        </w:rPr>
        <w:t>3) 一般工程质量事故（分部级）：造成直接经济损失50万元及以上，1000万元以下；造成整个工程停工2天以下。</w:t>
      </w:r>
    </w:p>
    <w:p w14:paraId="4AB3CB8F">
      <w:pPr>
        <w:adjustRightInd w:val="0"/>
        <w:snapToGrid w:val="0"/>
        <w:ind w:firstLine="480" w:firstLineChars="200"/>
        <w:rPr>
          <w:rFonts w:cs="Arial"/>
          <w:color w:val="auto"/>
          <w:highlight w:val="none"/>
        </w:rPr>
      </w:pPr>
      <w:r>
        <w:rPr>
          <w:rFonts w:hint="eastAsia" w:cs="Arial"/>
          <w:color w:val="auto"/>
          <w:highlight w:val="none"/>
        </w:rPr>
        <w:t>4)较大工程质量事故（公司级）：造成直接经济损失1000万元及以上，5000万元以下；造成整个工程停工3-5天。</w:t>
      </w:r>
    </w:p>
    <w:p w14:paraId="68475A80">
      <w:pPr>
        <w:adjustRightInd w:val="0"/>
        <w:snapToGrid w:val="0"/>
        <w:ind w:firstLine="480" w:firstLineChars="200"/>
        <w:rPr>
          <w:rFonts w:cs="Arial"/>
          <w:color w:val="auto"/>
          <w:highlight w:val="none"/>
        </w:rPr>
      </w:pPr>
      <w:r>
        <w:rPr>
          <w:rFonts w:hint="eastAsia" w:cs="Arial"/>
          <w:color w:val="auto"/>
          <w:highlight w:val="none"/>
        </w:rPr>
        <w:t>5）重大工程质量事故：造成直接经济损失5000万元及以上，1亿元以下；造成不可挽救的永久性质量缺陷或隐患，影响工程的使用功能，或造成整个工程停工6天以上。</w:t>
      </w:r>
    </w:p>
    <w:p w14:paraId="671EEE31">
      <w:pPr>
        <w:adjustRightInd w:val="0"/>
        <w:snapToGrid w:val="0"/>
        <w:ind w:firstLine="480" w:firstLineChars="200"/>
        <w:rPr>
          <w:rFonts w:cs="Arial"/>
          <w:color w:val="auto"/>
          <w:highlight w:val="none"/>
        </w:rPr>
      </w:pPr>
      <w:r>
        <w:rPr>
          <w:rFonts w:hint="eastAsia" w:cs="Arial"/>
          <w:color w:val="auto"/>
          <w:highlight w:val="none"/>
        </w:rPr>
        <w:t>6）特大工程质量事故：造成直接经济损失1亿元及以上；造成重大工程（装置或设备）报废或原定设计使用功能严重降低。</w:t>
      </w:r>
    </w:p>
    <w:p w14:paraId="57C869F4">
      <w:pPr>
        <w:adjustRightInd w:val="0"/>
        <w:snapToGrid w:val="0"/>
        <w:ind w:firstLine="480" w:firstLineChars="200"/>
        <w:rPr>
          <w:rFonts w:cs="Arial"/>
          <w:color w:val="auto"/>
          <w:highlight w:val="none"/>
        </w:rPr>
      </w:pPr>
      <w:r>
        <w:rPr>
          <w:rFonts w:hint="eastAsia" w:cs="Arial"/>
          <w:color w:val="auto"/>
          <w:highlight w:val="none"/>
        </w:rPr>
        <w:t>2.8.2  质量事故处罚</w:t>
      </w:r>
    </w:p>
    <w:p w14:paraId="68B37661">
      <w:pPr>
        <w:adjustRightInd w:val="0"/>
        <w:snapToGrid w:val="0"/>
        <w:ind w:firstLine="480" w:firstLineChars="200"/>
        <w:rPr>
          <w:rFonts w:cs="Arial"/>
          <w:color w:val="auto"/>
          <w:highlight w:val="none"/>
        </w:rPr>
      </w:pPr>
      <w:r>
        <w:rPr>
          <w:rFonts w:hint="eastAsia" w:cs="Arial"/>
          <w:color w:val="auto"/>
          <w:highlight w:val="none"/>
        </w:rPr>
        <w:t>1）轻微质量事故（车间级）：对责任承包商处以2万元以上10万元以下罚款。</w:t>
      </w:r>
    </w:p>
    <w:p w14:paraId="2C5E4547">
      <w:pPr>
        <w:adjustRightInd w:val="0"/>
        <w:snapToGrid w:val="0"/>
        <w:ind w:firstLine="480" w:firstLineChars="200"/>
        <w:rPr>
          <w:rFonts w:cs="Arial"/>
          <w:color w:val="auto"/>
          <w:highlight w:val="none"/>
        </w:rPr>
      </w:pPr>
      <w:r>
        <w:rPr>
          <w:rFonts w:hint="eastAsia" w:cs="Arial"/>
          <w:color w:val="auto"/>
          <w:highlight w:val="none"/>
        </w:rPr>
        <w:t>2）一般工程质量事故（分部级）：对责任承包商处以10万元以上50万元以下罚款。</w:t>
      </w:r>
    </w:p>
    <w:p w14:paraId="4A398BEF">
      <w:pPr>
        <w:adjustRightInd w:val="0"/>
        <w:snapToGrid w:val="0"/>
        <w:ind w:firstLine="480" w:firstLineChars="200"/>
        <w:rPr>
          <w:rFonts w:cs="Arial"/>
          <w:color w:val="auto"/>
          <w:highlight w:val="none"/>
        </w:rPr>
      </w:pPr>
      <w:r>
        <w:rPr>
          <w:rFonts w:hint="eastAsia" w:cs="Arial"/>
          <w:color w:val="auto"/>
          <w:highlight w:val="none"/>
        </w:rPr>
        <w:t>3）较大工程质量事故（公司级）：对责任承包商处以50万元以上100万元以下罚款。构成犯罪的，由国家执法机关依法追究刑事责任。</w:t>
      </w:r>
    </w:p>
    <w:p w14:paraId="603C8F44">
      <w:pPr>
        <w:adjustRightInd w:val="0"/>
        <w:snapToGrid w:val="0"/>
        <w:ind w:firstLine="480" w:firstLineChars="200"/>
        <w:rPr>
          <w:rFonts w:cs="Arial"/>
          <w:color w:val="auto"/>
          <w:highlight w:val="none"/>
        </w:rPr>
      </w:pPr>
      <w:r>
        <w:rPr>
          <w:rFonts w:hint="eastAsia" w:cs="Arial"/>
          <w:color w:val="auto"/>
          <w:highlight w:val="none"/>
        </w:rPr>
        <w:t>4）重大工程质量事故：对责任承包商处以100万元以上200万元以下罚款，可解除合同，清退出场。构成犯罪的，由国家执法机关依法追究刑事责任。</w:t>
      </w:r>
    </w:p>
    <w:p w14:paraId="00E17E21">
      <w:pPr>
        <w:adjustRightInd w:val="0"/>
        <w:snapToGrid w:val="0"/>
        <w:ind w:firstLine="480" w:firstLineChars="200"/>
        <w:rPr>
          <w:rFonts w:cs="Arial"/>
          <w:color w:val="auto"/>
          <w:highlight w:val="none"/>
        </w:rPr>
      </w:pPr>
      <w:r>
        <w:rPr>
          <w:rFonts w:hint="eastAsia" w:cs="Arial"/>
          <w:color w:val="auto"/>
          <w:highlight w:val="none"/>
        </w:rPr>
        <w:t>5）特大工程质量事故：对责任承包商处以200万元以上500万元以下罚款，可解除合同，清退出场。构成犯罪的，由国家执法机关依法追究刑事责任。2.8.</w:t>
      </w:r>
      <w:bookmarkStart w:id="1213" w:name="质量事故报告与调查"/>
      <w:r>
        <w:rPr>
          <w:rFonts w:hint="eastAsia" w:cs="Arial"/>
          <w:color w:val="auto"/>
          <w:highlight w:val="none"/>
        </w:rPr>
        <w:t>3  质量事故报告</w:t>
      </w:r>
      <w:bookmarkEnd w:id="1213"/>
    </w:p>
    <w:p w14:paraId="7DEC1462">
      <w:pPr>
        <w:adjustRightInd w:val="0"/>
        <w:snapToGrid w:val="0"/>
        <w:ind w:firstLine="480" w:firstLineChars="200"/>
        <w:rPr>
          <w:rFonts w:cs="Arial"/>
          <w:color w:val="auto"/>
          <w:highlight w:val="none"/>
        </w:rPr>
      </w:pPr>
      <w:r>
        <w:rPr>
          <w:rFonts w:hint="eastAsia" w:cs="Arial"/>
          <w:color w:val="auto"/>
          <w:highlight w:val="none"/>
        </w:rPr>
        <w:t>1）工程质量事故发生后，事故发生单位应立即口头向监理机构、质量监督站、发包人报告，且在24小时内提交事故初步情况的书面报告。</w:t>
      </w:r>
    </w:p>
    <w:p w14:paraId="000E5CC3">
      <w:pPr>
        <w:adjustRightInd w:val="0"/>
        <w:snapToGrid w:val="0"/>
        <w:ind w:firstLine="480" w:firstLineChars="200"/>
        <w:rPr>
          <w:rFonts w:cs="Arial"/>
          <w:color w:val="auto"/>
          <w:highlight w:val="none"/>
        </w:rPr>
      </w:pPr>
      <w:r>
        <w:rPr>
          <w:rFonts w:hint="eastAsia" w:cs="Arial"/>
          <w:color w:val="auto"/>
          <w:highlight w:val="none"/>
        </w:rPr>
        <w:t>2）事故发生后事故发生单位应保护好现场，采取措施防止事故进一步发展。</w:t>
      </w:r>
    </w:p>
    <w:p w14:paraId="26F92993">
      <w:pPr>
        <w:adjustRightInd w:val="0"/>
        <w:snapToGrid w:val="0"/>
        <w:ind w:firstLine="480" w:firstLineChars="200"/>
        <w:rPr>
          <w:rFonts w:cs="Arial"/>
          <w:color w:val="auto"/>
          <w:highlight w:val="none"/>
        </w:rPr>
      </w:pPr>
      <w:r>
        <w:rPr>
          <w:rFonts w:hint="eastAsia" w:cs="Arial"/>
          <w:color w:val="auto"/>
          <w:highlight w:val="none"/>
        </w:rPr>
        <w:t>3）发生人身伤亡重大事故应按国家安全管理规定向有关部门报告。</w:t>
      </w:r>
    </w:p>
    <w:p w14:paraId="4C2905F5">
      <w:pPr>
        <w:adjustRightInd w:val="0"/>
        <w:snapToGrid w:val="0"/>
        <w:ind w:firstLine="480" w:firstLineChars="200"/>
        <w:rPr>
          <w:rFonts w:cs="Arial"/>
          <w:color w:val="auto"/>
          <w:highlight w:val="none"/>
        </w:rPr>
      </w:pPr>
      <w:r>
        <w:rPr>
          <w:rFonts w:hint="eastAsia" w:cs="Arial"/>
          <w:color w:val="auto"/>
          <w:highlight w:val="none"/>
        </w:rPr>
        <w:t>2.8.</w:t>
      </w:r>
      <w:bookmarkStart w:id="1214" w:name="质量事故处置原则"/>
      <w:r>
        <w:rPr>
          <w:rFonts w:hint="eastAsia" w:cs="Arial"/>
          <w:color w:val="auto"/>
          <w:highlight w:val="none"/>
        </w:rPr>
        <w:t>4  质量事故</w:t>
      </w:r>
      <w:bookmarkEnd w:id="1214"/>
      <w:r>
        <w:rPr>
          <w:rFonts w:hint="eastAsia" w:cs="Arial"/>
          <w:color w:val="auto"/>
          <w:highlight w:val="none"/>
        </w:rPr>
        <w:t>调查</w:t>
      </w:r>
    </w:p>
    <w:p w14:paraId="2BB4ADFF">
      <w:pPr>
        <w:adjustRightInd w:val="0"/>
        <w:snapToGrid w:val="0"/>
        <w:ind w:firstLine="480" w:firstLineChars="200"/>
        <w:rPr>
          <w:rFonts w:cs="Arial"/>
          <w:color w:val="auto"/>
          <w:highlight w:val="none"/>
        </w:rPr>
      </w:pPr>
      <w:r>
        <w:rPr>
          <w:rFonts w:hint="eastAsia" w:cs="Arial"/>
          <w:color w:val="auto"/>
          <w:highlight w:val="none"/>
        </w:rPr>
        <w:t>1）事故发生后，监理单位应责令事故发生单位就所发生的质量事故进行周密调查，并写出详细质量事故调查报告送质量监督站、发包人。</w:t>
      </w:r>
    </w:p>
    <w:p w14:paraId="04FE46FC">
      <w:pPr>
        <w:adjustRightInd w:val="0"/>
        <w:snapToGrid w:val="0"/>
        <w:ind w:firstLine="480" w:firstLineChars="200"/>
        <w:rPr>
          <w:rFonts w:cs="Arial"/>
          <w:color w:val="auto"/>
          <w:highlight w:val="none"/>
        </w:rPr>
      </w:pPr>
      <w:r>
        <w:rPr>
          <w:rFonts w:hint="eastAsia" w:cs="Arial"/>
          <w:color w:val="auto"/>
          <w:highlight w:val="none"/>
        </w:rPr>
        <w:t>2）一般质量事故由工程管理部负责组织成立调查组，事故发生单位、监理单位、发包人、设计单位参加调查。</w:t>
      </w:r>
    </w:p>
    <w:p w14:paraId="64804B21">
      <w:pPr>
        <w:adjustRightInd w:val="0"/>
        <w:snapToGrid w:val="0"/>
        <w:ind w:firstLine="480" w:firstLineChars="200"/>
        <w:rPr>
          <w:rFonts w:cs="Arial"/>
          <w:color w:val="auto"/>
          <w:highlight w:val="none"/>
        </w:rPr>
      </w:pPr>
      <w:r>
        <w:rPr>
          <w:rFonts w:hint="eastAsia" w:cs="Arial"/>
          <w:color w:val="auto"/>
          <w:highlight w:val="none"/>
        </w:rPr>
        <w:t>3）重大质量事故由发包人负责组织成立调查组，事故发生单位、监理单位、发包人、质量监督站、设计等单位参加调查。</w:t>
      </w:r>
    </w:p>
    <w:p w14:paraId="71A129E9">
      <w:pPr>
        <w:adjustRightInd w:val="0"/>
        <w:snapToGrid w:val="0"/>
        <w:ind w:firstLine="480" w:firstLineChars="200"/>
        <w:rPr>
          <w:rFonts w:cs="Arial"/>
          <w:color w:val="auto"/>
          <w:highlight w:val="none"/>
        </w:rPr>
      </w:pPr>
      <w:r>
        <w:rPr>
          <w:rFonts w:hint="eastAsia" w:cs="Arial"/>
          <w:color w:val="auto"/>
          <w:highlight w:val="none"/>
        </w:rPr>
        <w:t>4）调查组在调查工作结束7天内应将事故调查报告送发包人和有关部门。</w:t>
      </w:r>
    </w:p>
    <w:p w14:paraId="5EE0588C">
      <w:pPr>
        <w:adjustRightInd w:val="0"/>
        <w:snapToGrid w:val="0"/>
        <w:ind w:firstLine="480" w:firstLineChars="200"/>
        <w:rPr>
          <w:rFonts w:cs="Arial"/>
          <w:color w:val="auto"/>
          <w:highlight w:val="none"/>
        </w:rPr>
      </w:pPr>
      <w:r>
        <w:rPr>
          <w:rFonts w:hint="eastAsia" w:cs="Arial"/>
          <w:color w:val="auto"/>
          <w:highlight w:val="none"/>
        </w:rPr>
        <w:t>2.8.5 质量事故处理</w:t>
      </w:r>
    </w:p>
    <w:p w14:paraId="6276D17A">
      <w:pPr>
        <w:adjustRightInd w:val="0"/>
        <w:snapToGrid w:val="0"/>
        <w:ind w:firstLine="480" w:firstLineChars="200"/>
        <w:rPr>
          <w:rFonts w:cs="Arial"/>
          <w:color w:val="auto"/>
          <w:highlight w:val="none"/>
        </w:rPr>
      </w:pPr>
      <w:r>
        <w:rPr>
          <w:rFonts w:hint="eastAsia" w:cs="Arial"/>
          <w:color w:val="auto"/>
          <w:highlight w:val="none"/>
        </w:rPr>
        <w:t>根据质量事故的实际情况，由调查组负责人牵头召集调查组成员讨论（必要时请专家论证）提出处理方案，一般按以下三种情况处理：</w:t>
      </w:r>
    </w:p>
    <w:p w14:paraId="726183CD">
      <w:pPr>
        <w:adjustRightInd w:val="0"/>
        <w:snapToGrid w:val="0"/>
        <w:ind w:firstLine="480" w:firstLineChars="200"/>
        <w:rPr>
          <w:rFonts w:cs="Arial"/>
          <w:color w:val="auto"/>
          <w:highlight w:val="none"/>
        </w:rPr>
      </w:pPr>
      <w:r>
        <w:rPr>
          <w:rFonts w:hint="eastAsia" w:cs="Arial"/>
          <w:color w:val="auto"/>
          <w:highlight w:val="none"/>
        </w:rPr>
        <w:t>1）返修或加固处理，由发生事故的承包人编制施工技术方案，经设计、监理、发包人、质量监督站认可后施工，作好自检记录。</w:t>
      </w:r>
    </w:p>
    <w:p w14:paraId="7AD7BB32">
      <w:pPr>
        <w:adjustRightInd w:val="0"/>
        <w:snapToGrid w:val="0"/>
        <w:ind w:firstLine="480" w:firstLineChars="200"/>
        <w:rPr>
          <w:rFonts w:cs="Arial"/>
          <w:color w:val="auto"/>
          <w:highlight w:val="none"/>
        </w:rPr>
      </w:pPr>
      <w:r>
        <w:rPr>
          <w:rFonts w:hint="eastAsia" w:cs="Arial"/>
          <w:color w:val="auto"/>
          <w:highlight w:val="none"/>
        </w:rPr>
        <w:t>2）返工处理，承包人按原施工图重新施工，重新进行检查验收。</w:t>
      </w:r>
    </w:p>
    <w:p w14:paraId="11FB80E1">
      <w:pPr>
        <w:adjustRightInd w:val="0"/>
        <w:snapToGrid w:val="0"/>
        <w:ind w:firstLine="480" w:firstLineChars="200"/>
        <w:rPr>
          <w:rFonts w:cs="Arial"/>
          <w:color w:val="auto"/>
          <w:highlight w:val="none"/>
        </w:rPr>
      </w:pPr>
      <w:r>
        <w:rPr>
          <w:rFonts w:hint="eastAsia" w:cs="Arial"/>
          <w:color w:val="auto"/>
          <w:highlight w:val="none"/>
        </w:rPr>
        <w:t>3）让步接受处理，经有资质的检测单位检测鉴定能够达到设计要求，或经有资质的检测单位检测鉴定达不到设计要求，但经原设计单位核算认可能够满足结构安全和使用功能的，承包人应向发包人提出书面申请，记录不合格情况，双方确认让步接收。</w:t>
      </w:r>
    </w:p>
    <w:p w14:paraId="634A0984">
      <w:pPr>
        <w:adjustRightInd w:val="0"/>
        <w:snapToGrid w:val="0"/>
        <w:ind w:firstLine="480" w:firstLineChars="200"/>
        <w:rPr>
          <w:rFonts w:cs="Arial"/>
          <w:color w:val="auto"/>
          <w:highlight w:val="none"/>
        </w:rPr>
      </w:pPr>
      <w:r>
        <w:rPr>
          <w:rFonts w:hint="eastAsia" w:cs="Arial"/>
          <w:color w:val="auto"/>
          <w:highlight w:val="none"/>
        </w:rPr>
        <w:t>2.8.6  质量问题、质量事故处理的验收和确认</w:t>
      </w:r>
    </w:p>
    <w:p w14:paraId="6E997B26">
      <w:pPr>
        <w:adjustRightInd w:val="0"/>
        <w:snapToGrid w:val="0"/>
        <w:ind w:firstLine="480" w:firstLineChars="200"/>
        <w:rPr>
          <w:rFonts w:cs="Arial"/>
          <w:color w:val="auto"/>
          <w:highlight w:val="none"/>
        </w:rPr>
      </w:pPr>
      <w:r>
        <w:rPr>
          <w:rFonts w:hint="eastAsia" w:cs="Arial"/>
          <w:color w:val="auto"/>
          <w:highlight w:val="none"/>
        </w:rPr>
        <w:t>1）一般质量问题由监理机构负责组织处理，检查落实承包人整改情况；做好质量问题及整改情况统计工作，按时上报质量监督站。</w:t>
      </w:r>
    </w:p>
    <w:p w14:paraId="7CECA198">
      <w:pPr>
        <w:adjustRightInd w:val="0"/>
        <w:snapToGrid w:val="0"/>
        <w:ind w:firstLine="480" w:firstLineChars="200"/>
        <w:rPr>
          <w:rFonts w:cs="Arial"/>
          <w:color w:val="auto"/>
          <w:highlight w:val="none"/>
        </w:rPr>
      </w:pPr>
      <w:r>
        <w:rPr>
          <w:rFonts w:hint="eastAsia" w:cs="Arial"/>
          <w:color w:val="auto"/>
          <w:highlight w:val="none"/>
        </w:rPr>
        <w:t>2）质量事故处理完成后，承包人写出事故处理总结报告交监理单位，重大质量事故填写《重大质量事故处理鉴定报告》，经有关各方签字盖章后进入交工文件。</w:t>
      </w:r>
    </w:p>
    <w:p w14:paraId="0B6B4AD8">
      <w:pPr>
        <w:adjustRightInd w:val="0"/>
        <w:snapToGrid w:val="0"/>
        <w:ind w:firstLine="480" w:firstLineChars="200"/>
        <w:rPr>
          <w:rFonts w:cs="Arial"/>
          <w:color w:val="auto"/>
          <w:highlight w:val="none"/>
        </w:rPr>
      </w:pPr>
      <w:r>
        <w:rPr>
          <w:rFonts w:hint="eastAsia" w:cs="Arial"/>
          <w:color w:val="auto"/>
          <w:highlight w:val="none"/>
        </w:rPr>
        <w:t>3）监理机构组织监理人员对质量事故的处理过程和处理结果进行跟踪检查，并严格按施工验收规范及有关标准进行验收、确认。</w:t>
      </w:r>
    </w:p>
    <w:p w14:paraId="56BA50CC">
      <w:pPr>
        <w:adjustRightInd w:val="0"/>
        <w:snapToGrid w:val="0"/>
        <w:ind w:firstLine="480" w:firstLineChars="200"/>
        <w:rPr>
          <w:rFonts w:cs="Arial"/>
          <w:color w:val="auto"/>
          <w:highlight w:val="none"/>
        </w:rPr>
      </w:pPr>
      <w:r>
        <w:rPr>
          <w:rFonts w:hint="eastAsia" w:cs="Arial"/>
          <w:color w:val="auto"/>
          <w:highlight w:val="none"/>
        </w:rPr>
        <w:t>4）项目监理单位在事故处理完成后一周内向质量事故调查组提交有关质量事故及处理结果的书面报告。</w:t>
      </w:r>
    </w:p>
    <w:p w14:paraId="5F4684AE">
      <w:pPr>
        <w:adjustRightInd w:val="0"/>
        <w:snapToGrid w:val="0"/>
        <w:ind w:firstLine="480" w:firstLineChars="200"/>
        <w:rPr>
          <w:rFonts w:cs="Arial"/>
          <w:color w:val="auto"/>
          <w:highlight w:val="none"/>
        </w:rPr>
      </w:pPr>
      <w:bookmarkStart w:id="1215" w:name="交工技术文件管理"/>
      <w:r>
        <w:rPr>
          <w:rFonts w:hint="eastAsia" w:cs="Arial"/>
          <w:color w:val="auto"/>
          <w:highlight w:val="none"/>
        </w:rPr>
        <w:t>2.9  交工技术文件管理</w:t>
      </w:r>
    </w:p>
    <w:p w14:paraId="26DD90DF">
      <w:pPr>
        <w:adjustRightInd w:val="0"/>
        <w:snapToGrid w:val="0"/>
        <w:ind w:firstLine="480" w:firstLineChars="200"/>
        <w:rPr>
          <w:rFonts w:cs="Arial"/>
          <w:color w:val="auto"/>
          <w:highlight w:val="none"/>
        </w:rPr>
      </w:pPr>
      <w:r>
        <w:rPr>
          <w:rFonts w:hint="eastAsia" w:cs="Arial"/>
          <w:color w:val="auto"/>
          <w:highlight w:val="none"/>
        </w:rPr>
        <w:t>交工技术文件（简称交工文件）指承包人在施工过程中形成的技术资料，由施工记录、竣工图两部分组成，与设备材料的质量文件等构成项目档案的一部分。</w:t>
      </w:r>
    </w:p>
    <w:p w14:paraId="5D072722">
      <w:pPr>
        <w:adjustRightInd w:val="0"/>
        <w:snapToGrid w:val="0"/>
        <w:ind w:firstLine="480" w:firstLineChars="200"/>
        <w:rPr>
          <w:rFonts w:cs="Arial"/>
          <w:color w:val="auto"/>
          <w:highlight w:val="none"/>
        </w:rPr>
      </w:pPr>
      <w:r>
        <w:rPr>
          <w:rFonts w:hint="eastAsia" w:cs="Arial"/>
          <w:color w:val="auto"/>
          <w:highlight w:val="none"/>
        </w:rPr>
        <w:t>2.9.1  交工文件管理部门。</w:t>
      </w:r>
    </w:p>
    <w:p w14:paraId="15CE38A5">
      <w:pPr>
        <w:adjustRightInd w:val="0"/>
        <w:snapToGrid w:val="0"/>
        <w:ind w:firstLine="480" w:firstLineChars="200"/>
        <w:rPr>
          <w:rFonts w:cs="Arial"/>
          <w:color w:val="auto"/>
          <w:highlight w:val="none"/>
        </w:rPr>
      </w:pPr>
      <w:r>
        <w:rPr>
          <w:rFonts w:hint="eastAsia" w:cs="Arial"/>
          <w:color w:val="auto"/>
          <w:highlight w:val="none"/>
        </w:rPr>
        <w:t>工程管理部门是交工文件的管理和移交部门，对交工文件的完整性、系统性负管理责任，协调、指导交工文件编制工作。</w:t>
      </w:r>
    </w:p>
    <w:p w14:paraId="4D844655">
      <w:pPr>
        <w:adjustRightInd w:val="0"/>
        <w:snapToGrid w:val="0"/>
        <w:ind w:firstLine="480" w:firstLineChars="200"/>
        <w:rPr>
          <w:rFonts w:cs="Arial"/>
          <w:color w:val="auto"/>
          <w:highlight w:val="none"/>
        </w:rPr>
      </w:pPr>
      <w:r>
        <w:rPr>
          <w:rFonts w:hint="eastAsia" w:cs="Arial"/>
          <w:color w:val="auto"/>
          <w:highlight w:val="none"/>
        </w:rPr>
        <w:t>2.9.2  交工文件编制依据。</w:t>
      </w:r>
    </w:p>
    <w:p w14:paraId="4E3F1393">
      <w:pPr>
        <w:adjustRightInd w:val="0"/>
        <w:snapToGrid w:val="0"/>
        <w:ind w:firstLine="480" w:firstLineChars="200"/>
        <w:rPr>
          <w:rFonts w:cs="Arial"/>
          <w:color w:val="auto"/>
          <w:highlight w:val="none"/>
        </w:rPr>
      </w:pPr>
      <w:r>
        <w:rPr>
          <w:rFonts w:hint="eastAsia" w:cs="Arial"/>
          <w:color w:val="auto"/>
          <w:highlight w:val="none"/>
        </w:rPr>
        <w:t>1）交工文件执行石化行业标准3503等，按照石化《基建项目档案管理规定》、《企业档案管理规定》等的要求及承包合同的约定进行编制、整理及交付。</w:t>
      </w:r>
    </w:p>
    <w:p w14:paraId="78DA5041">
      <w:pPr>
        <w:adjustRightInd w:val="0"/>
        <w:snapToGrid w:val="0"/>
        <w:ind w:firstLine="480" w:firstLineChars="200"/>
        <w:rPr>
          <w:rFonts w:cs="Arial"/>
          <w:color w:val="auto"/>
          <w:highlight w:val="none"/>
        </w:rPr>
      </w:pPr>
      <w:r>
        <w:rPr>
          <w:rFonts w:hint="eastAsia" w:cs="Arial"/>
          <w:color w:val="auto"/>
          <w:highlight w:val="none"/>
        </w:rPr>
        <w:t>2）监理单位按监理规范的要求提交监理档案资料及按石化行业标准的要求做好交工资料的审查工作。</w:t>
      </w:r>
    </w:p>
    <w:p w14:paraId="50AE397F">
      <w:pPr>
        <w:adjustRightInd w:val="0"/>
        <w:snapToGrid w:val="0"/>
        <w:ind w:firstLine="480" w:firstLineChars="200"/>
        <w:rPr>
          <w:rFonts w:cs="Arial"/>
          <w:color w:val="auto"/>
          <w:highlight w:val="none"/>
        </w:rPr>
      </w:pPr>
      <w:r>
        <w:rPr>
          <w:rFonts w:hint="eastAsia" w:cs="Arial"/>
          <w:color w:val="auto"/>
          <w:highlight w:val="none"/>
        </w:rPr>
        <w:t>2.9.3  交工文件的内容和格式</w:t>
      </w:r>
    </w:p>
    <w:p w14:paraId="57ABA2F7">
      <w:pPr>
        <w:adjustRightInd w:val="0"/>
        <w:snapToGrid w:val="0"/>
        <w:ind w:firstLine="480" w:firstLineChars="200"/>
        <w:rPr>
          <w:rFonts w:cs="Arial"/>
          <w:color w:val="auto"/>
          <w:highlight w:val="none"/>
        </w:rPr>
      </w:pPr>
      <w:r>
        <w:rPr>
          <w:rFonts w:hint="eastAsia" w:cs="Arial"/>
          <w:color w:val="auto"/>
          <w:highlight w:val="none"/>
        </w:rPr>
        <w:t>石化装置及配套工程安装：</w:t>
      </w:r>
    </w:p>
    <w:p w14:paraId="0151F240">
      <w:pPr>
        <w:adjustRightInd w:val="0"/>
        <w:snapToGrid w:val="0"/>
        <w:ind w:firstLine="480" w:firstLineChars="200"/>
        <w:rPr>
          <w:rFonts w:cs="Arial"/>
          <w:color w:val="auto"/>
          <w:highlight w:val="none"/>
        </w:rPr>
      </w:pPr>
      <w:r>
        <w:rPr>
          <w:rFonts w:hint="eastAsia" w:cs="Arial"/>
          <w:color w:val="auto"/>
          <w:highlight w:val="none"/>
        </w:rPr>
        <w:t>1）石化装置及配套工程安装交工文件的内容和格式按石化行业标准3503等执行。</w:t>
      </w:r>
    </w:p>
    <w:p w14:paraId="246DC94D">
      <w:pPr>
        <w:adjustRightInd w:val="0"/>
        <w:snapToGrid w:val="0"/>
        <w:ind w:firstLine="480" w:firstLineChars="200"/>
        <w:rPr>
          <w:rFonts w:cs="Arial"/>
          <w:color w:val="auto"/>
          <w:highlight w:val="none"/>
        </w:rPr>
      </w:pPr>
      <w:r>
        <w:rPr>
          <w:rFonts w:hint="eastAsia" w:cs="Arial"/>
          <w:color w:val="auto"/>
          <w:highlight w:val="none"/>
        </w:rPr>
        <w:t>2）目前尚无适用的规范和表格时，交工文件的内容和格式由承包人和发包人协商确定，但表格的表头用SH3503标准空白表头（如J128、J512、J613等）。若不能套用石化行业标准的，可使用其他行业或地方标准。</w:t>
      </w:r>
      <w:bookmarkEnd w:id="1215"/>
    </w:p>
    <w:p w14:paraId="3AC1D300">
      <w:pPr>
        <w:adjustRightInd w:val="0"/>
        <w:snapToGrid w:val="0"/>
        <w:ind w:firstLine="480" w:firstLineChars="200"/>
        <w:rPr>
          <w:rFonts w:cs="Arial"/>
          <w:color w:val="auto"/>
          <w:highlight w:val="none"/>
        </w:rPr>
      </w:pPr>
      <w:r>
        <w:rPr>
          <w:rFonts w:hint="eastAsia" w:cs="Arial"/>
          <w:color w:val="auto"/>
          <w:highlight w:val="none"/>
        </w:rPr>
        <w:t>3）现场组装的设备需提交标识明确的排版图。</w:t>
      </w:r>
    </w:p>
    <w:p w14:paraId="10D97BDB">
      <w:pPr>
        <w:adjustRightInd w:val="0"/>
        <w:snapToGrid w:val="0"/>
        <w:ind w:firstLine="480" w:firstLineChars="200"/>
        <w:rPr>
          <w:rFonts w:cs="Arial"/>
          <w:color w:val="auto"/>
          <w:highlight w:val="none"/>
        </w:rPr>
      </w:pPr>
      <w:r>
        <w:rPr>
          <w:rFonts w:hint="eastAsia" w:cs="Arial"/>
          <w:color w:val="auto"/>
          <w:highlight w:val="none"/>
        </w:rPr>
        <w:t>4）工艺管道安装需提交标识明确的单线图。</w:t>
      </w:r>
    </w:p>
    <w:p w14:paraId="68A766D9">
      <w:pPr>
        <w:adjustRightInd w:val="0"/>
        <w:snapToGrid w:val="0"/>
        <w:ind w:firstLine="480" w:firstLineChars="200"/>
        <w:rPr>
          <w:rFonts w:cs="Arial"/>
          <w:color w:val="auto"/>
          <w:highlight w:val="none"/>
        </w:rPr>
      </w:pPr>
      <w:r>
        <w:rPr>
          <w:rFonts w:hint="eastAsia" w:cs="Arial"/>
          <w:color w:val="auto"/>
          <w:highlight w:val="none"/>
        </w:rPr>
        <w:t>建筑工程：</w:t>
      </w:r>
    </w:p>
    <w:p w14:paraId="6DFAC418">
      <w:pPr>
        <w:adjustRightInd w:val="0"/>
        <w:snapToGrid w:val="0"/>
        <w:ind w:firstLine="480" w:firstLineChars="200"/>
        <w:rPr>
          <w:rFonts w:cs="Arial"/>
          <w:color w:val="auto"/>
          <w:highlight w:val="none"/>
        </w:rPr>
      </w:pPr>
      <w:r>
        <w:rPr>
          <w:rFonts w:hint="eastAsia" w:cs="Arial"/>
          <w:color w:val="auto"/>
          <w:highlight w:val="none"/>
        </w:rPr>
        <w:t>1）石化装置及配套工程的工业建筑物、构筑物的交工文件的内容和格式，除首先使用SH3503标准所列表格外，还执行国家现行验收标准，使用《广东省建筑工程交、竣工验收技术资料统一用表》。</w:t>
      </w:r>
    </w:p>
    <w:p w14:paraId="535FB9AA">
      <w:pPr>
        <w:adjustRightInd w:val="0"/>
        <w:snapToGrid w:val="0"/>
        <w:ind w:firstLine="480" w:firstLineChars="200"/>
        <w:rPr>
          <w:rFonts w:cs="Arial"/>
          <w:color w:val="auto"/>
          <w:highlight w:val="none"/>
        </w:rPr>
      </w:pPr>
      <w:r>
        <w:rPr>
          <w:rFonts w:hint="eastAsia" w:cs="Arial"/>
          <w:color w:val="auto"/>
          <w:highlight w:val="none"/>
        </w:rPr>
        <w:t>2）《单位工程质量交、竣工验收记录》（建筑工程仅为分部工程时则提供《分部工程验收记录》）应列人交工文件。</w:t>
      </w:r>
    </w:p>
    <w:p w14:paraId="2A9A9A3F">
      <w:pPr>
        <w:adjustRightInd w:val="0"/>
        <w:snapToGrid w:val="0"/>
        <w:ind w:firstLine="480" w:firstLineChars="200"/>
        <w:rPr>
          <w:rFonts w:cs="Arial"/>
          <w:color w:val="auto"/>
          <w:highlight w:val="none"/>
        </w:rPr>
      </w:pPr>
      <w:r>
        <w:rPr>
          <w:rFonts w:hint="eastAsia" w:cs="Arial"/>
          <w:color w:val="auto"/>
          <w:highlight w:val="none"/>
        </w:rPr>
        <w:t>3）检验批、分项分部工程质量验收记录、单位工程质量交、竣工验收记录送质量监督站存档。</w:t>
      </w:r>
    </w:p>
    <w:p w14:paraId="3E99FFBB">
      <w:pPr>
        <w:adjustRightInd w:val="0"/>
        <w:snapToGrid w:val="0"/>
        <w:ind w:firstLine="480" w:firstLineChars="200"/>
        <w:rPr>
          <w:rFonts w:cs="Arial"/>
          <w:color w:val="auto"/>
          <w:highlight w:val="none"/>
        </w:rPr>
      </w:pPr>
      <w:r>
        <w:rPr>
          <w:rFonts w:hint="eastAsia" w:cs="Arial"/>
          <w:color w:val="auto"/>
          <w:highlight w:val="none"/>
        </w:rPr>
        <w:t>4）球罐、锅炉、起重机等专业安装工程使用技术监督部门认可的相关标准中的表格。</w:t>
      </w:r>
    </w:p>
    <w:p w14:paraId="5C1FB02A">
      <w:pPr>
        <w:adjustRightInd w:val="0"/>
        <w:snapToGrid w:val="0"/>
        <w:ind w:firstLine="480" w:firstLineChars="200"/>
        <w:rPr>
          <w:rFonts w:cs="Arial"/>
          <w:color w:val="auto"/>
          <w:highlight w:val="none"/>
        </w:rPr>
      </w:pPr>
      <w:r>
        <w:rPr>
          <w:rFonts w:hint="eastAsia" w:cs="Arial"/>
          <w:color w:val="auto"/>
          <w:highlight w:val="none"/>
        </w:rPr>
        <w:t>2.9.4  交工文件编制、移交程序</w:t>
      </w:r>
    </w:p>
    <w:p w14:paraId="2AE4EB9D">
      <w:pPr>
        <w:adjustRightInd w:val="0"/>
        <w:snapToGrid w:val="0"/>
        <w:ind w:firstLine="480" w:firstLineChars="200"/>
        <w:rPr>
          <w:rFonts w:cs="Arial"/>
          <w:color w:val="auto"/>
          <w:highlight w:val="none"/>
        </w:rPr>
      </w:pPr>
      <w:r>
        <w:rPr>
          <w:rFonts w:hint="eastAsia" w:cs="Arial"/>
          <w:color w:val="auto"/>
          <w:highlight w:val="none"/>
        </w:rPr>
        <w:t>1）施工过程中，承包人按有关标准、规范及本办法过程控制的要求认真及时填写原始记录，设计、质量监督站、发包人按规定及时办理签证手续，各方均不得拖延。</w:t>
      </w:r>
    </w:p>
    <w:p w14:paraId="76378742">
      <w:pPr>
        <w:adjustRightInd w:val="0"/>
        <w:snapToGrid w:val="0"/>
        <w:ind w:firstLine="480" w:firstLineChars="200"/>
        <w:rPr>
          <w:rFonts w:cs="Arial"/>
          <w:color w:val="auto"/>
          <w:highlight w:val="none"/>
        </w:rPr>
      </w:pPr>
      <w:r>
        <w:rPr>
          <w:rFonts w:hint="eastAsia" w:cs="Arial"/>
          <w:color w:val="auto"/>
          <w:highlight w:val="none"/>
        </w:rPr>
        <w:t>2）承包人应负责审查、汇编各分包单位所编制的有关工程的交工文件，负责按规范要求编制、收集、整理、汇总所有的归档资料交监理机构审查，监理公司对其施工文件（含竣工图）和质量证明文件的有效性、完整性审查，发现问题及时督促整改。承包人按监理公司反馈的信息进行整改完毕，则视为监理公司完成该项目归档资料的审核。监理公司完成审核后，承包人再将所有归档资料提交发包人门的项目负责人审查，在其完成审核后提交相应的质量监督部门审核。</w:t>
      </w:r>
    </w:p>
    <w:p w14:paraId="155FC099">
      <w:pPr>
        <w:adjustRightInd w:val="0"/>
        <w:snapToGrid w:val="0"/>
        <w:ind w:firstLine="480" w:firstLineChars="200"/>
        <w:rPr>
          <w:rFonts w:cs="Arial"/>
          <w:color w:val="auto"/>
          <w:highlight w:val="none"/>
        </w:rPr>
      </w:pPr>
      <w:r>
        <w:rPr>
          <w:rFonts w:hint="eastAsia" w:cs="Arial"/>
          <w:color w:val="auto"/>
          <w:highlight w:val="none"/>
        </w:rPr>
        <w:t>3）质量监督站对交工文件中施工文件和质量证明文件进行最后审核，签署质量评定结论意见后，由承包人交发包人审查，符合要求后向档案部门办理移交。</w:t>
      </w:r>
    </w:p>
    <w:p w14:paraId="5475559F">
      <w:pPr>
        <w:adjustRightInd w:val="0"/>
        <w:snapToGrid w:val="0"/>
        <w:ind w:firstLine="480" w:firstLineChars="200"/>
        <w:rPr>
          <w:rFonts w:cs="Arial"/>
          <w:color w:val="auto"/>
          <w:highlight w:val="none"/>
        </w:rPr>
      </w:pPr>
      <w:r>
        <w:rPr>
          <w:rFonts w:hint="eastAsia" w:cs="Arial"/>
          <w:color w:val="auto"/>
          <w:highlight w:val="none"/>
        </w:rPr>
        <w:t>3  原材料及施工的检测检验工作</w:t>
      </w:r>
    </w:p>
    <w:p w14:paraId="6D9455DE">
      <w:pPr>
        <w:adjustRightInd w:val="0"/>
        <w:snapToGrid w:val="0"/>
        <w:ind w:firstLine="480" w:firstLineChars="200"/>
        <w:rPr>
          <w:rFonts w:cs="Arial"/>
          <w:color w:val="auto"/>
          <w:highlight w:val="none"/>
        </w:rPr>
      </w:pPr>
      <w:r>
        <w:rPr>
          <w:rFonts w:hint="eastAsia" w:cs="Arial"/>
          <w:color w:val="auto"/>
          <w:highlight w:val="none"/>
        </w:rPr>
        <w:t>3.1   建设项目开工前，检测检验单位必须到石油化工工程质量监督总站华南监督站（以下简称质量监督站）办理资质审查手续，审查合格后，方可承接石化建设工程原材料及施工检测检验任务。</w:t>
      </w:r>
    </w:p>
    <w:p w14:paraId="5926A81E">
      <w:pPr>
        <w:adjustRightInd w:val="0"/>
        <w:snapToGrid w:val="0"/>
        <w:ind w:firstLine="480" w:firstLineChars="200"/>
        <w:rPr>
          <w:rFonts w:cs="Arial"/>
          <w:color w:val="auto"/>
          <w:highlight w:val="none"/>
        </w:rPr>
      </w:pPr>
      <w:r>
        <w:rPr>
          <w:rFonts w:hint="eastAsia" w:cs="Arial"/>
          <w:color w:val="auto"/>
          <w:highlight w:val="none"/>
        </w:rPr>
        <w:t>3.2   物资供应、承包人应按照相关标准、规定加强原材料的质量检验，监理单位应严格把好原材料见证取样和进场报验关。</w:t>
      </w:r>
    </w:p>
    <w:p w14:paraId="664D361D">
      <w:pPr>
        <w:adjustRightInd w:val="0"/>
        <w:snapToGrid w:val="0"/>
        <w:ind w:firstLine="480" w:firstLineChars="200"/>
        <w:rPr>
          <w:rFonts w:cs="Arial"/>
          <w:color w:val="auto"/>
          <w:highlight w:val="none"/>
        </w:rPr>
      </w:pPr>
      <w:r>
        <w:rPr>
          <w:rFonts w:hint="eastAsia" w:cs="Arial"/>
          <w:color w:val="auto"/>
          <w:highlight w:val="none"/>
        </w:rPr>
        <w:t>3.3   原材料入库前必须经原材料生产厂出厂检验合格，并附相关质量证明资料。除技术协议或合同另有规定外，产品出厂检验项目不能移至施工现场进行。</w:t>
      </w:r>
    </w:p>
    <w:p w14:paraId="4FE3BBDB">
      <w:pPr>
        <w:adjustRightInd w:val="0"/>
        <w:snapToGrid w:val="0"/>
        <w:ind w:firstLine="480" w:firstLineChars="200"/>
        <w:rPr>
          <w:rFonts w:cs="Arial"/>
          <w:color w:val="auto"/>
          <w:highlight w:val="none"/>
        </w:rPr>
      </w:pPr>
      <w:r>
        <w:rPr>
          <w:rFonts w:hint="eastAsia" w:cs="Arial"/>
          <w:color w:val="auto"/>
          <w:highlight w:val="none"/>
        </w:rPr>
        <w:t>3.4   原材料及施工过程无损检测必须在外观检验合格后进行。</w:t>
      </w:r>
    </w:p>
    <w:p w14:paraId="6BC79D22">
      <w:pPr>
        <w:adjustRightInd w:val="0"/>
        <w:snapToGrid w:val="0"/>
        <w:ind w:firstLine="480" w:firstLineChars="200"/>
        <w:rPr>
          <w:rFonts w:cs="Arial"/>
          <w:color w:val="auto"/>
          <w:highlight w:val="none"/>
        </w:rPr>
      </w:pPr>
      <w:r>
        <w:rPr>
          <w:rFonts w:hint="eastAsia" w:cs="Arial"/>
          <w:color w:val="auto"/>
          <w:highlight w:val="none"/>
        </w:rPr>
        <w:t>3.5  原材料的入库检验与施工进场检验不允许委托同一家检测公司进行。</w:t>
      </w:r>
    </w:p>
    <w:p w14:paraId="66EE5645">
      <w:pPr>
        <w:adjustRightInd w:val="0"/>
        <w:snapToGrid w:val="0"/>
        <w:ind w:firstLine="480" w:firstLineChars="200"/>
        <w:rPr>
          <w:rFonts w:cs="Arial"/>
          <w:color w:val="auto"/>
          <w:highlight w:val="none"/>
        </w:rPr>
      </w:pPr>
      <w:r>
        <w:rPr>
          <w:rFonts w:hint="eastAsia" w:cs="Arial"/>
          <w:color w:val="auto"/>
          <w:highlight w:val="none"/>
        </w:rPr>
        <w:t>3.6   重要设备、材料的入库、出库、施工进场检验，必须编制检测检验方案经有关部门审批后送质量监督站备案。</w:t>
      </w:r>
    </w:p>
    <w:p w14:paraId="3A305D88">
      <w:pPr>
        <w:adjustRightInd w:val="0"/>
        <w:snapToGrid w:val="0"/>
        <w:ind w:firstLine="480" w:firstLineChars="200"/>
        <w:rPr>
          <w:rFonts w:cs="Arial"/>
          <w:color w:val="auto"/>
          <w:highlight w:val="none"/>
        </w:rPr>
      </w:pPr>
      <w:r>
        <w:rPr>
          <w:rFonts w:hint="eastAsia" w:cs="Arial"/>
          <w:color w:val="auto"/>
          <w:highlight w:val="none"/>
        </w:rPr>
        <w:t>3.7   代表质量监督站进行监督抽查的检测检验单位不能本项目的施工检测检验项目。</w:t>
      </w:r>
    </w:p>
    <w:p w14:paraId="66E201C3">
      <w:pPr>
        <w:adjustRightInd w:val="0"/>
        <w:snapToGrid w:val="0"/>
        <w:ind w:firstLine="480" w:firstLineChars="200"/>
        <w:rPr>
          <w:rFonts w:cs="Arial"/>
          <w:color w:val="auto"/>
          <w:highlight w:val="none"/>
        </w:rPr>
      </w:pPr>
      <w:r>
        <w:rPr>
          <w:rFonts w:hint="eastAsia" w:cs="Arial"/>
          <w:color w:val="auto"/>
          <w:highlight w:val="none"/>
        </w:rPr>
        <w:t>3.8   所有检测检验单位必须履行诚实检验，保证检测结果的准确性，对检测实体的质量负责。</w:t>
      </w:r>
    </w:p>
    <w:p w14:paraId="5FC41F0A">
      <w:pPr>
        <w:adjustRightInd w:val="0"/>
        <w:snapToGrid w:val="0"/>
        <w:ind w:firstLine="480" w:firstLineChars="200"/>
        <w:rPr>
          <w:rFonts w:cs="Arial"/>
          <w:color w:val="auto"/>
          <w:highlight w:val="none"/>
        </w:rPr>
      </w:pPr>
      <w:r>
        <w:rPr>
          <w:rFonts w:hint="eastAsia" w:cs="Arial"/>
          <w:color w:val="auto"/>
          <w:highlight w:val="none"/>
        </w:rPr>
        <w:t>3.9  建设项目监理单位，应根据工程的特点配备能满足监理工作需要的常规检测设备和工具，分项工程验收时应进行一定比例的抽查，抽查结果作为监理资料归档。</w:t>
      </w:r>
    </w:p>
    <w:p w14:paraId="7FB3C7F8">
      <w:pPr>
        <w:adjustRightInd w:val="0"/>
        <w:snapToGrid w:val="0"/>
        <w:ind w:firstLine="480" w:firstLineChars="200"/>
        <w:rPr>
          <w:rFonts w:cs="Arial"/>
          <w:color w:val="auto"/>
          <w:highlight w:val="none"/>
        </w:rPr>
      </w:pPr>
      <w:r>
        <w:rPr>
          <w:rFonts w:hint="eastAsia" w:cs="Arial"/>
          <w:color w:val="auto"/>
          <w:highlight w:val="none"/>
        </w:rPr>
        <w:t>3.10  任何检测检验单位在检测检验过程中发现严重质量问题时，除向委托单位汇报外，应同时向质量监督站报告。</w:t>
      </w:r>
    </w:p>
    <w:p w14:paraId="72B9FE34">
      <w:pPr>
        <w:adjustRightInd w:val="0"/>
        <w:snapToGrid w:val="0"/>
        <w:ind w:firstLine="480" w:firstLineChars="200"/>
        <w:rPr>
          <w:rFonts w:cs="Arial"/>
          <w:color w:val="auto"/>
          <w:highlight w:val="none"/>
        </w:rPr>
      </w:pPr>
      <w:r>
        <w:rPr>
          <w:rFonts w:hint="eastAsia" w:cs="Arial"/>
          <w:color w:val="auto"/>
          <w:highlight w:val="none"/>
        </w:rPr>
        <w:t>3.11 质量监督站对所有检测检验单位的不良行为进行记录备案。对性质严重者将直接令其退出本项目，并上报有关建设行政主管部门，同时由其承担相关责任，且三年内不得重新进入石化从事工程检测检验工作。</w:t>
      </w:r>
    </w:p>
    <w:p w14:paraId="4D961159">
      <w:pPr>
        <w:adjustRightInd w:val="0"/>
        <w:snapToGrid w:val="0"/>
        <w:ind w:firstLine="480" w:firstLineChars="200"/>
        <w:rPr>
          <w:rFonts w:cs="Arial"/>
          <w:color w:val="auto"/>
          <w:highlight w:val="none"/>
        </w:rPr>
      </w:pPr>
      <w:r>
        <w:rPr>
          <w:rFonts w:hint="eastAsia" w:cs="Arial"/>
          <w:color w:val="auto"/>
          <w:highlight w:val="none"/>
        </w:rPr>
        <w:t>3.12质量监督站根据《中国石油化工集团公司工程质量管理具体规定》对工程的工艺管线、设备实行无损检测监督抽查，抽查比例根据工程特点不同按焊口总数的2%～5%进行，费用由发包人负责结算。</w:t>
      </w:r>
    </w:p>
    <w:p w14:paraId="15504698">
      <w:pPr>
        <w:adjustRightInd w:val="0"/>
        <w:snapToGrid w:val="0"/>
        <w:ind w:firstLine="480" w:firstLineChars="200"/>
        <w:rPr>
          <w:rFonts w:cs="Arial"/>
          <w:color w:val="auto"/>
          <w:highlight w:val="none"/>
        </w:rPr>
      </w:pPr>
      <w:r>
        <w:rPr>
          <w:rFonts w:hint="eastAsia" w:cs="Arial"/>
          <w:color w:val="auto"/>
          <w:highlight w:val="none"/>
        </w:rPr>
        <w:t>3.13 质量监督站组织的工艺管线、设备无损检测监督抽查，抽查部位由工程监理专业工程师指定，监督工程师监督。</w:t>
      </w:r>
    </w:p>
    <w:p w14:paraId="25B8BF3C">
      <w:pPr>
        <w:adjustRightInd w:val="0"/>
        <w:snapToGrid w:val="0"/>
        <w:ind w:firstLine="480" w:firstLineChars="200"/>
        <w:rPr>
          <w:rFonts w:cs="Arial"/>
          <w:color w:val="auto"/>
          <w:highlight w:val="none"/>
        </w:rPr>
      </w:pPr>
      <w:r>
        <w:rPr>
          <w:rFonts w:hint="eastAsia" w:cs="Arial"/>
          <w:color w:val="auto"/>
          <w:highlight w:val="none"/>
        </w:rPr>
        <w:t>3.14  对违反原材料及施工检测检验规定的，参照发包人有关规定进行考核。</w:t>
      </w:r>
    </w:p>
    <w:p w14:paraId="055D7523">
      <w:pPr>
        <w:adjustRightInd w:val="0"/>
        <w:snapToGrid w:val="0"/>
        <w:ind w:firstLine="480" w:firstLineChars="200"/>
        <w:rPr>
          <w:rFonts w:cs="Arial"/>
          <w:color w:val="auto"/>
          <w:highlight w:val="none"/>
        </w:rPr>
      </w:pPr>
      <w:r>
        <w:rPr>
          <w:rFonts w:hint="eastAsia" w:cs="Arial"/>
          <w:color w:val="auto"/>
          <w:highlight w:val="none"/>
        </w:rPr>
        <w:t>4.工程质量管理</w:t>
      </w:r>
    </w:p>
    <w:p w14:paraId="116ECA38">
      <w:pPr>
        <w:adjustRightInd w:val="0"/>
        <w:snapToGrid w:val="0"/>
        <w:ind w:firstLine="480" w:firstLineChars="200"/>
        <w:rPr>
          <w:rFonts w:cs="Arial"/>
          <w:color w:val="auto"/>
          <w:highlight w:val="none"/>
        </w:rPr>
      </w:pPr>
      <w:r>
        <w:rPr>
          <w:rFonts w:hint="eastAsia" w:cs="Arial"/>
          <w:color w:val="auto"/>
          <w:highlight w:val="none"/>
        </w:rPr>
        <w:t>4.1总则</w:t>
      </w:r>
    </w:p>
    <w:p w14:paraId="1B24E653">
      <w:pPr>
        <w:adjustRightInd w:val="0"/>
        <w:snapToGrid w:val="0"/>
        <w:ind w:firstLine="480" w:firstLineChars="200"/>
        <w:rPr>
          <w:rFonts w:cs="Arial"/>
          <w:color w:val="auto"/>
          <w:highlight w:val="none"/>
        </w:rPr>
      </w:pPr>
      <w:r>
        <w:rPr>
          <w:rFonts w:hint="eastAsia" w:cs="Arial"/>
          <w:color w:val="auto"/>
          <w:highlight w:val="none"/>
        </w:rPr>
        <w:t>为把本项目建成优质工程，明确承包人在本工程质量控制中的责任，严格执行国家和石化行业相关标准，依据工程建设的质量方针和质量目标，结合本工程实际情况，在补充合同中明确相关质量管理要求。</w:t>
      </w:r>
    </w:p>
    <w:p w14:paraId="418C6961">
      <w:pPr>
        <w:adjustRightInd w:val="0"/>
        <w:snapToGrid w:val="0"/>
        <w:ind w:firstLine="480" w:firstLineChars="200"/>
        <w:rPr>
          <w:rFonts w:cs="Arial"/>
          <w:color w:val="auto"/>
          <w:highlight w:val="none"/>
        </w:rPr>
      </w:pPr>
      <w:r>
        <w:rPr>
          <w:rFonts w:hint="eastAsia" w:cs="Arial"/>
          <w:color w:val="auto"/>
          <w:highlight w:val="none"/>
        </w:rPr>
        <w:t>本工程质量，主要由发包人及质量监督站全面负责工程质量管理工作。</w:t>
      </w:r>
    </w:p>
    <w:p w14:paraId="6FBE14B1">
      <w:pPr>
        <w:adjustRightInd w:val="0"/>
        <w:snapToGrid w:val="0"/>
        <w:ind w:firstLine="480" w:firstLineChars="200"/>
        <w:rPr>
          <w:rFonts w:cs="Arial"/>
          <w:color w:val="auto"/>
          <w:highlight w:val="none"/>
        </w:rPr>
      </w:pPr>
      <w:r>
        <w:rPr>
          <w:rFonts w:hint="eastAsia" w:cs="Arial"/>
          <w:color w:val="auto"/>
          <w:highlight w:val="none"/>
        </w:rPr>
        <w:t>4.2本工程建设的质量方针目标：</w:t>
      </w:r>
    </w:p>
    <w:p w14:paraId="3017D2BF">
      <w:pPr>
        <w:adjustRightInd w:val="0"/>
        <w:snapToGrid w:val="0"/>
        <w:ind w:firstLine="480" w:firstLineChars="200"/>
        <w:rPr>
          <w:rFonts w:cs="Arial"/>
          <w:color w:val="auto"/>
          <w:highlight w:val="none"/>
        </w:rPr>
      </w:pPr>
      <w:r>
        <w:rPr>
          <w:rFonts w:hint="eastAsia" w:cs="Arial"/>
          <w:color w:val="auto"/>
          <w:highlight w:val="none"/>
        </w:rPr>
        <w:t>设计：设计质量、设计成品合格率</w:t>
      </w:r>
      <w:r>
        <w:rPr>
          <w:rFonts w:cs="Arial"/>
          <w:color w:val="auto"/>
          <w:highlight w:val="none"/>
        </w:rPr>
        <w:t>100</w:t>
      </w:r>
      <w:r>
        <w:rPr>
          <w:rFonts w:hint="eastAsia" w:cs="Arial"/>
          <w:color w:val="auto"/>
          <w:highlight w:val="none"/>
        </w:rPr>
        <w:t>％，工程达到设计生产能力，经生产考核，性能达到发包人要求。</w:t>
      </w:r>
    </w:p>
    <w:p w14:paraId="61DC9989">
      <w:pPr>
        <w:adjustRightInd w:val="0"/>
        <w:snapToGrid w:val="0"/>
        <w:ind w:firstLine="480" w:firstLineChars="200"/>
        <w:rPr>
          <w:rFonts w:cs="Arial"/>
          <w:color w:val="auto"/>
          <w:highlight w:val="none"/>
        </w:rPr>
      </w:pPr>
      <w:r>
        <w:rPr>
          <w:rFonts w:hint="eastAsia" w:cs="Arial"/>
          <w:color w:val="auto"/>
          <w:highlight w:val="none"/>
        </w:rPr>
        <w:t>采购：符合设计图纸及有关标准规范要求，设备材料合格率</w:t>
      </w:r>
      <w:r>
        <w:rPr>
          <w:rFonts w:cs="Arial"/>
          <w:color w:val="auto"/>
          <w:highlight w:val="none"/>
        </w:rPr>
        <w:t>100</w:t>
      </w:r>
      <w:r>
        <w:rPr>
          <w:rFonts w:hint="eastAsia" w:cs="Arial"/>
          <w:color w:val="auto"/>
          <w:highlight w:val="none"/>
        </w:rPr>
        <w:t>％。</w:t>
      </w:r>
    </w:p>
    <w:p w14:paraId="268573B3">
      <w:pPr>
        <w:adjustRightInd w:val="0"/>
        <w:snapToGrid w:val="0"/>
        <w:ind w:firstLine="480" w:firstLineChars="200"/>
        <w:rPr>
          <w:rFonts w:cs="Arial"/>
          <w:color w:val="auto"/>
          <w:highlight w:val="none"/>
        </w:rPr>
      </w:pPr>
      <w:r>
        <w:rPr>
          <w:rFonts w:hint="eastAsia" w:cs="Arial"/>
          <w:color w:val="auto"/>
          <w:highlight w:val="none"/>
        </w:rPr>
        <w:t>施工：工程质量符合设计图纸及有关标准规范要求，工程质量达到国家及行业施工验收规范标准，单位工程合格率</w:t>
      </w:r>
      <w:r>
        <w:rPr>
          <w:rFonts w:cs="Arial"/>
          <w:color w:val="auto"/>
          <w:highlight w:val="none"/>
        </w:rPr>
        <w:t>100%</w:t>
      </w:r>
      <w:r>
        <w:rPr>
          <w:rFonts w:hint="eastAsia" w:cs="Arial"/>
          <w:color w:val="auto"/>
          <w:highlight w:val="none"/>
        </w:rPr>
        <w:t>，焊缝检测一次合格率</w:t>
      </w:r>
      <w:r>
        <w:rPr>
          <w:rFonts w:cs="Arial"/>
          <w:color w:val="auto"/>
          <w:highlight w:val="none"/>
        </w:rPr>
        <w:t>96.2%</w:t>
      </w:r>
      <w:r>
        <w:rPr>
          <w:rFonts w:hint="eastAsia" w:cs="Arial"/>
          <w:color w:val="auto"/>
          <w:highlight w:val="none"/>
        </w:rPr>
        <w:t>以上，投料试车一次成功。</w:t>
      </w:r>
    </w:p>
    <w:p w14:paraId="2E24A12E">
      <w:pPr>
        <w:adjustRightInd w:val="0"/>
        <w:snapToGrid w:val="0"/>
        <w:ind w:firstLine="480" w:firstLineChars="200"/>
        <w:rPr>
          <w:rFonts w:cs="Arial"/>
          <w:color w:val="auto"/>
          <w:highlight w:val="none"/>
        </w:rPr>
      </w:pPr>
      <w:r>
        <w:rPr>
          <w:rFonts w:cs="Arial"/>
          <w:color w:val="auto"/>
          <w:highlight w:val="none"/>
        </w:rPr>
        <w:t>4</w:t>
      </w:r>
      <w:r>
        <w:rPr>
          <w:rFonts w:hint="eastAsia" w:cs="Arial"/>
          <w:color w:val="auto"/>
          <w:highlight w:val="none"/>
        </w:rPr>
        <w:t>.3质量管理总体要求：</w:t>
      </w:r>
    </w:p>
    <w:p w14:paraId="34472A3F">
      <w:pPr>
        <w:adjustRightInd w:val="0"/>
        <w:snapToGrid w:val="0"/>
        <w:ind w:firstLine="480" w:firstLineChars="200"/>
        <w:rPr>
          <w:rFonts w:cs="Arial"/>
          <w:color w:val="auto"/>
          <w:highlight w:val="none"/>
        </w:rPr>
      </w:pPr>
      <w:r>
        <w:rPr>
          <w:rFonts w:hint="eastAsia" w:cs="Arial"/>
          <w:color w:val="auto"/>
          <w:highlight w:val="none"/>
        </w:rPr>
        <w:t>坚持实行全过程的质量管理，采用项目管理和实行项目经理责任制，采用招投标制、合同制、建设监理制、第三方检测制和质量监督制。</w:t>
      </w:r>
    </w:p>
    <w:p w14:paraId="74CD6B44">
      <w:pPr>
        <w:adjustRightInd w:val="0"/>
        <w:snapToGrid w:val="0"/>
        <w:ind w:firstLine="480" w:firstLineChars="200"/>
        <w:rPr>
          <w:rFonts w:cs="Arial"/>
          <w:color w:val="auto"/>
          <w:highlight w:val="none"/>
        </w:rPr>
      </w:pPr>
      <w:r>
        <w:rPr>
          <w:rFonts w:hint="eastAsia" w:cs="Arial"/>
          <w:color w:val="auto"/>
          <w:highlight w:val="none"/>
        </w:rPr>
        <w:t>4.4工程控制的质量目标</w:t>
      </w:r>
    </w:p>
    <w:p w14:paraId="278C4AE3">
      <w:pPr>
        <w:adjustRightInd w:val="0"/>
        <w:snapToGrid w:val="0"/>
        <w:ind w:firstLine="480" w:firstLineChars="200"/>
        <w:rPr>
          <w:rFonts w:cs="Arial"/>
          <w:color w:val="auto"/>
          <w:highlight w:val="none"/>
        </w:rPr>
      </w:pPr>
      <w:r>
        <w:rPr>
          <w:rFonts w:hint="eastAsia" w:cs="Arial"/>
          <w:color w:val="auto"/>
          <w:highlight w:val="none"/>
        </w:rPr>
        <w:t>管桩施工材质、焊接、桩位偏差、终压控制合格率达</w:t>
      </w:r>
      <w:r>
        <w:rPr>
          <w:rFonts w:cs="Arial"/>
          <w:color w:val="auto"/>
          <w:highlight w:val="none"/>
        </w:rPr>
        <w:t>100</w:t>
      </w:r>
      <w:r>
        <w:rPr>
          <w:rFonts w:hint="eastAsia" w:cs="Arial"/>
          <w:color w:val="auto"/>
          <w:highlight w:val="none"/>
        </w:rPr>
        <w:t>％；灌注桩成孔、入岩深度、沉渣厚度、钢筋笼制作和砼浇筑合格率</w:t>
      </w:r>
      <w:r>
        <w:rPr>
          <w:rFonts w:cs="Arial"/>
          <w:color w:val="auto"/>
          <w:highlight w:val="none"/>
        </w:rPr>
        <w:t>100</w:t>
      </w:r>
      <w:r>
        <w:rPr>
          <w:rFonts w:hint="eastAsia" w:cs="Arial"/>
          <w:color w:val="auto"/>
          <w:highlight w:val="none"/>
        </w:rPr>
        <w:t>％；基础几何尺寸、钢筋绑扎和砼浇筑合格率</w:t>
      </w:r>
      <w:r>
        <w:rPr>
          <w:rFonts w:cs="Arial"/>
          <w:color w:val="auto"/>
          <w:highlight w:val="none"/>
        </w:rPr>
        <w:t>100</w:t>
      </w:r>
      <w:r>
        <w:rPr>
          <w:rFonts w:hint="eastAsia" w:cs="Arial"/>
          <w:color w:val="auto"/>
          <w:highlight w:val="none"/>
        </w:rPr>
        <w:t>％；焊接焊缝一次合格率</w:t>
      </w:r>
      <w:r>
        <w:rPr>
          <w:rFonts w:cs="Arial"/>
          <w:color w:val="auto"/>
          <w:highlight w:val="none"/>
        </w:rPr>
        <w:t>96.</w:t>
      </w:r>
      <w:r>
        <w:rPr>
          <w:rFonts w:hint="eastAsia" w:cs="Arial"/>
          <w:color w:val="auto"/>
          <w:highlight w:val="none"/>
        </w:rPr>
        <w:t>2％以上（以拍片计算），同时满足按焊口统计一次合格率</w:t>
      </w:r>
      <w:r>
        <w:rPr>
          <w:rFonts w:cs="Arial"/>
          <w:color w:val="auto"/>
          <w:highlight w:val="none"/>
        </w:rPr>
        <w:t>9</w:t>
      </w:r>
      <w:r>
        <w:rPr>
          <w:rFonts w:hint="eastAsia" w:cs="Arial"/>
          <w:color w:val="auto"/>
          <w:highlight w:val="none"/>
        </w:rPr>
        <w:t>2</w:t>
      </w:r>
      <w:r>
        <w:rPr>
          <w:rFonts w:cs="Arial"/>
          <w:color w:val="auto"/>
          <w:highlight w:val="none"/>
        </w:rPr>
        <w:t>%</w:t>
      </w:r>
      <w:r>
        <w:rPr>
          <w:rFonts w:hint="eastAsia" w:cs="Arial"/>
          <w:color w:val="auto"/>
          <w:highlight w:val="none"/>
        </w:rPr>
        <w:t>以上，不允许第二次返修；防腐施工一次合格率</w:t>
      </w:r>
      <w:r>
        <w:rPr>
          <w:rFonts w:cs="Arial"/>
          <w:color w:val="auto"/>
          <w:highlight w:val="none"/>
        </w:rPr>
        <w:t>99</w:t>
      </w:r>
      <w:r>
        <w:rPr>
          <w:rFonts w:hint="eastAsia" w:cs="Arial"/>
          <w:color w:val="auto"/>
          <w:highlight w:val="none"/>
        </w:rPr>
        <w:t>％以上；机电设备试运一次成功，阴极保护测试一次合格率</w:t>
      </w:r>
      <w:r>
        <w:rPr>
          <w:rFonts w:cs="Arial"/>
          <w:color w:val="auto"/>
          <w:highlight w:val="none"/>
        </w:rPr>
        <w:t>99</w:t>
      </w:r>
      <w:r>
        <w:rPr>
          <w:rFonts w:hint="eastAsia" w:cs="Arial"/>
          <w:color w:val="auto"/>
          <w:highlight w:val="none"/>
        </w:rPr>
        <w:t>％以上；各类管线阀门安装合格率和对位率</w:t>
      </w:r>
      <w:r>
        <w:rPr>
          <w:rFonts w:cs="Arial"/>
          <w:color w:val="auto"/>
          <w:highlight w:val="none"/>
        </w:rPr>
        <w:t>100</w:t>
      </w:r>
      <w:r>
        <w:rPr>
          <w:rFonts w:hint="eastAsia" w:cs="Arial"/>
          <w:color w:val="auto"/>
          <w:highlight w:val="none"/>
        </w:rPr>
        <w:t>％；消防、防雷、各单元等工程一次合格率</w:t>
      </w:r>
      <w:r>
        <w:rPr>
          <w:rFonts w:cs="Arial"/>
          <w:color w:val="auto"/>
          <w:highlight w:val="none"/>
        </w:rPr>
        <w:t>90</w:t>
      </w:r>
      <w:r>
        <w:rPr>
          <w:rFonts w:hint="eastAsia" w:cs="Arial"/>
          <w:color w:val="auto"/>
          <w:highlight w:val="none"/>
        </w:rPr>
        <w:t>％，最终合格率</w:t>
      </w:r>
      <w:r>
        <w:rPr>
          <w:rFonts w:cs="Arial"/>
          <w:color w:val="auto"/>
          <w:highlight w:val="none"/>
        </w:rPr>
        <w:t>100</w:t>
      </w:r>
      <w:r>
        <w:rPr>
          <w:rFonts w:hint="eastAsia" w:cs="Arial"/>
          <w:color w:val="auto"/>
          <w:highlight w:val="none"/>
        </w:rPr>
        <w:t>％；试运投产一次成功。</w:t>
      </w:r>
    </w:p>
    <w:p w14:paraId="5CA863E5">
      <w:pPr>
        <w:adjustRightInd w:val="0"/>
        <w:snapToGrid w:val="0"/>
        <w:ind w:firstLine="480" w:firstLineChars="200"/>
        <w:rPr>
          <w:rFonts w:cs="Arial"/>
          <w:color w:val="auto"/>
          <w:highlight w:val="none"/>
        </w:rPr>
      </w:pPr>
      <w:r>
        <w:rPr>
          <w:rFonts w:hint="eastAsia" w:cs="Arial"/>
          <w:color w:val="auto"/>
          <w:highlight w:val="none"/>
        </w:rPr>
        <w:t>4.5承包人在质量管理中的相应责任</w:t>
      </w:r>
    </w:p>
    <w:p w14:paraId="5DFC36A0">
      <w:pPr>
        <w:adjustRightInd w:val="0"/>
        <w:snapToGrid w:val="0"/>
        <w:ind w:firstLine="480" w:firstLineChars="200"/>
        <w:rPr>
          <w:rFonts w:cs="Arial"/>
          <w:color w:val="auto"/>
          <w:highlight w:val="none"/>
        </w:rPr>
      </w:pPr>
      <w:r>
        <w:rPr>
          <w:rFonts w:hint="eastAsia" w:cs="Arial"/>
          <w:color w:val="auto"/>
          <w:highlight w:val="none"/>
        </w:rPr>
        <w:t>发包人是工程建设项目计划部署、组织、协调控制的管理者，是工程质量第一责任人，有权监督、审核、检查工程建设项目范围内的一切工作和施工质量，有权停止违背工程建设目标和质量方针的各种活动。</w:t>
      </w:r>
    </w:p>
    <w:p w14:paraId="0658FB27">
      <w:pPr>
        <w:adjustRightInd w:val="0"/>
        <w:snapToGrid w:val="0"/>
        <w:ind w:firstLine="480" w:firstLineChars="200"/>
        <w:rPr>
          <w:rFonts w:cs="Arial"/>
          <w:color w:val="auto"/>
          <w:highlight w:val="none"/>
        </w:rPr>
      </w:pPr>
      <w:r>
        <w:rPr>
          <w:rFonts w:hint="eastAsia" w:cs="Arial"/>
          <w:color w:val="auto"/>
          <w:highlight w:val="none"/>
        </w:rPr>
        <w:t>承包人应建立覆盖施工、试运行全过程的质量管理体系，保证项目产品和服务的质量、功能和特性，满足合同及相关方的要求。具体职责为：</w:t>
      </w:r>
    </w:p>
    <w:p w14:paraId="1E3427A6">
      <w:pPr>
        <w:adjustRightInd w:val="0"/>
        <w:snapToGrid w:val="0"/>
        <w:ind w:firstLine="480" w:firstLineChars="200"/>
        <w:rPr>
          <w:rFonts w:cs="Arial"/>
          <w:color w:val="auto"/>
          <w:highlight w:val="none"/>
        </w:rPr>
      </w:pPr>
      <w:r>
        <w:rPr>
          <w:rFonts w:cs="Arial"/>
          <w:color w:val="auto"/>
          <w:highlight w:val="none"/>
        </w:rPr>
        <w:t>1)</w:t>
      </w:r>
      <w:r>
        <w:rPr>
          <w:rFonts w:hint="eastAsia" w:cs="Arial"/>
          <w:color w:val="auto"/>
          <w:highlight w:val="none"/>
        </w:rPr>
        <w:t>承包人对合同范围内全部工程负总责，不得将主体工程分包；将主体工程以外工作进行分包，必须取得发包人及发包人书面同意，承包人的分包不能免除其任何质量责任。不得多层次分包，严禁转包。</w:t>
      </w:r>
    </w:p>
    <w:p w14:paraId="7098DF1C">
      <w:pPr>
        <w:adjustRightInd w:val="0"/>
        <w:snapToGrid w:val="0"/>
        <w:ind w:firstLine="480" w:firstLineChars="200"/>
        <w:rPr>
          <w:rFonts w:cs="Arial"/>
          <w:color w:val="auto"/>
          <w:highlight w:val="none"/>
        </w:rPr>
      </w:pPr>
      <w:r>
        <w:rPr>
          <w:rFonts w:hint="eastAsia" w:cs="Arial"/>
          <w:color w:val="auto"/>
          <w:highlight w:val="none"/>
        </w:rPr>
        <w:t>2</w:t>
      </w:r>
      <w:r>
        <w:rPr>
          <w:rFonts w:cs="Arial"/>
          <w:color w:val="auto"/>
          <w:highlight w:val="none"/>
        </w:rPr>
        <w:t>)</w:t>
      </w:r>
      <w:r>
        <w:rPr>
          <w:rFonts w:hint="eastAsia" w:cs="Arial"/>
          <w:color w:val="auto"/>
          <w:highlight w:val="none"/>
        </w:rPr>
        <w:t>承包人应认真做好设备、材料进场的各项质量检验工作，检查不合格的板材、管材、设备、阀门组件等材料不得用于本工程，应及时交由物资供应中心或采购人处理。</w:t>
      </w:r>
    </w:p>
    <w:p w14:paraId="5717AF5E">
      <w:pPr>
        <w:adjustRightInd w:val="0"/>
        <w:snapToGrid w:val="0"/>
        <w:ind w:firstLine="480" w:firstLineChars="200"/>
        <w:rPr>
          <w:rFonts w:cs="Arial"/>
          <w:color w:val="auto"/>
          <w:highlight w:val="none"/>
        </w:rPr>
      </w:pPr>
      <w:r>
        <w:rPr>
          <w:rFonts w:hint="eastAsia" w:cs="Arial"/>
          <w:color w:val="auto"/>
          <w:highlight w:val="none"/>
        </w:rPr>
        <w:t>3</w:t>
      </w:r>
      <w:r>
        <w:rPr>
          <w:rFonts w:cs="Arial"/>
          <w:color w:val="auto"/>
          <w:highlight w:val="none"/>
        </w:rPr>
        <w:t>)</w:t>
      </w:r>
      <w:r>
        <w:rPr>
          <w:rFonts w:hint="eastAsia" w:cs="Arial"/>
          <w:color w:val="auto"/>
          <w:highlight w:val="none"/>
        </w:rPr>
        <w:t>承包人为工程施工质量的直接责任者。要依据设计、规范标准施工并围绕发包人的质量方针目标，结合本工程特点建立质量保证体系。实行项目经理责任制和工程质量终身制。确保施工质量达到设计要求和发包人的质量目标。</w:t>
      </w:r>
    </w:p>
    <w:p w14:paraId="07CC719A">
      <w:pPr>
        <w:adjustRightInd w:val="0"/>
        <w:snapToGrid w:val="0"/>
        <w:ind w:firstLine="480" w:firstLineChars="200"/>
        <w:rPr>
          <w:rFonts w:cs="Arial"/>
          <w:color w:val="auto"/>
          <w:highlight w:val="none"/>
        </w:rPr>
      </w:pPr>
      <w:r>
        <w:rPr>
          <w:rFonts w:hint="eastAsia" w:cs="Arial"/>
          <w:color w:val="auto"/>
          <w:highlight w:val="none"/>
        </w:rPr>
        <w:t>4</w:t>
      </w:r>
      <w:r>
        <w:rPr>
          <w:rFonts w:cs="Arial"/>
          <w:color w:val="auto"/>
          <w:highlight w:val="none"/>
        </w:rPr>
        <w:t>)</w:t>
      </w:r>
      <w:r>
        <w:rPr>
          <w:rFonts w:hint="eastAsia" w:cs="Arial"/>
          <w:color w:val="auto"/>
          <w:highlight w:val="none"/>
        </w:rPr>
        <w:t>施工过程中承包人要严格执行设计文件和标准规范，接受质量监督站与工程监理的监督和检查。按设计文件、施工图纸和经批准的施工组织设计进行施工，对易产生质量问题的难点工程和重点工程做好事前预控；质量保证措施要具体、可靠、可行；做到顺序施工、重点突出、不断提高施工一次合格率、确保工程质量。</w:t>
      </w:r>
    </w:p>
    <w:p w14:paraId="65C95686">
      <w:pPr>
        <w:adjustRightInd w:val="0"/>
        <w:snapToGrid w:val="0"/>
        <w:ind w:firstLine="480" w:firstLineChars="200"/>
        <w:rPr>
          <w:rFonts w:cs="Arial"/>
          <w:color w:val="auto"/>
          <w:highlight w:val="none"/>
        </w:rPr>
      </w:pPr>
      <w:r>
        <w:rPr>
          <w:rFonts w:hint="eastAsia" w:cs="Arial"/>
          <w:color w:val="auto"/>
          <w:highlight w:val="none"/>
        </w:rPr>
        <w:t>5</w:t>
      </w:r>
      <w:r>
        <w:rPr>
          <w:rFonts w:cs="Arial"/>
          <w:color w:val="auto"/>
          <w:highlight w:val="none"/>
        </w:rPr>
        <w:t xml:space="preserve">) </w:t>
      </w:r>
      <w:r>
        <w:rPr>
          <w:rFonts w:hint="eastAsia" w:cs="Arial"/>
          <w:color w:val="auto"/>
          <w:highlight w:val="none"/>
        </w:rPr>
        <w:t>承包人应实行</w:t>
      </w:r>
      <w:r>
        <w:rPr>
          <w:rFonts w:cs="Arial"/>
          <w:color w:val="auto"/>
          <w:highlight w:val="none"/>
        </w:rPr>
        <w:t>“</w:t>
      </w:r>
      <w:r>
        <w:rPr>
          <w:rFonts w:hint="eastAsia" w:cs="Arial"/>
          <w:color w:val="auto"/>
          <w:highlight w:val="none"/>
        </w:rPr>
        <w:t>三检一评</w:t>
      </w:r>
      <w:r>
        <w:rPr>
          <w:rFonts w:cs="Arial"/>
          <w:color w:val="auto"/>
          <w:highlight w:val="none"/>
        </w:rPr>
        <w:t xml:space="preserve">” </w:t>
      </w:r>
      <w:r>
        <w:rPr>
          <w:rFonts w:hint="eastAsia" w:cs="Arial"/>
          <w:color w:val="auto"/>
          <w:highlight w:val="none"/>
        </w:rPr>
        <w:t>（三检一评是指：自检、互检、交接检验和工程质量自评定）的质量检验制度，对工程质量实施有效控制。</w:t>
      </w:r>
    </w:p>
    <w:p w14:paraId="134CC66B">
      <w:pPr>
        <w:adjustRightInd w:val="0"/>
        <w:snapToGrid w:val="0"/>
        <w:ind w:firstLine="480" w:firstLineChars="200"/>
        <w:rPr>
          <w:rFonts w:cs="Arial"/>
          <w:color w:val="auto"/>
          <w:highlight w:val="none"/>
        </w:rPr>
      </w:pPr>
      <w:r>
        <w:rPr>
          <w:rFonts w:hint="eastAsia" w:cs="Arial"/>
          <w:color w:val="auto"/>
          <w:highlight w:val="none"/>
        </w:rPr>
        <w:t>4.6质量监督</w:t>
      </w:r>
    </w:p>
    <w:p w14:paraId="586C028A">
      <w:pPr>
        <w:adjustRightInd w:val="0"/>
        <w:snapToGrid w:val="0"/>
        <w:ind w:firstLine="480" w:firstLineChars="200"/>
        <w:rPr>
          <w:rFonts w:cs="Arial"/>
          <w:color w:val="auto"/>
          <w:highlight w:val="none"/>
        </w:rPr>
      </w:pPr>
      <w:r>
        <w:rPr>
          <w:rFonts w:cs="Arial"/>
          <w:color w:val="auto"/>
          <w:highlight w:val="none"/>
        </w:rPr>
        <w:t>1)</w:t>
      </w:r>
      <w:r>
        <w:rPr>
          <w:rFonts w:hint="eastAsia" w:cs="Arial"/>
          <w:color w:val="auto"/>
          <w:highlight w:val="none"/>
        </w:rPr>
        <w:t xml:space="preserve"> 质量监督是发包人在建设项目开工前向石油化工工程质量监督总站办理有关工程质量监督手续，由石油化工工程质量监督总站委派质量监督站承担本项目质量监督工作。</w:t>
      </w:r>
    </w:p>
    <w:p w14:paraId="28F4B811">
      <w:pPr>
        <w:adjustRightInd w:val="0"/>
        <w:snapToGrid w:val="0"/>
        <w:ind w:firstLine="480" w:firstLineChars="200"/>
        <w:rPr>
          <w:rFonts w:cs="Arial"/>
          <w:color w:val="auto"/>
          <w:highlight w:val="none"/>
        </w:rPr>
      </w:pPr>
      <w:r>
        <w:rPr>
          <w:rFonts w:cs="Arial"/>
          <w:color w:val="auto"/>
          <w:highlight w:val="none"/>
        </w:rPr>
        <w:t>2)</w:t>
      </w:r>
      <w:r>
        <w:rPr>
          <w:rFonts w:hint="eastAsia" w:cs="Arial"/>
          <w:color w:val="auto"/>
          <w:highlight w:val="none"/>
        </w:rPr>
        <w:t>质量监督站依据国家有关法规和发包人工程质量监督工作程序、法规等规定，对工程建设的实体质量和建设主体质量行为实行监督，对工程质量等级予以核定、工程建设质量予以评价，对质量争议进行裁决等工作，具有质量否定权和裁决权，承包人都要积极配合和服从质量监督站的指导。</w:t>
      </w:r>
    </w:p>
    <w:p w14:paraId="1EA58569">
      <w:pPr>
        <w:adjustRightInd w:val="0"/>
        <w:snapToGrid w:val="0"/>
        <w:ind w:firstLine="480" w:firstLineChars="200"/>
        <w:rPr>
          <w:rFonts w:cs="Arial"/>
          <w:color w:val="auto"/>
          <w:highlight w:val="none"/>
        </w:rPr>
      </w:pPr>
      <w:r>
        <w:rPr>
          <w:rFonts w:cs="Arial"/>
          <w:color w:val="auto"/>
          <w:highlight w:val="none"/>
        </w:rPr>
        <w:t xml:space="preserve"> 3)</w:t>
      </w:r>
      <w:r>
        <w:rPr>
          <w:rFonts w:hint="eastAsia" w:cs="Arial"/>
          <w:color w:val="auto"/>
          <w:highlight w:val="none"/>
        </w:rPr>
        <w:t>本工程质量监督将采取</w:t>
      </w:r>
      <w:r>
        <w:rPr>
          <w:rFonts w:cs="Arial"/>
          <w:color w:val="auto"/>
          <w:highlight w:val="none"/>
        </w:rPr>
        <w:t>“</w:t>
      </w:r>
      <w:r>
        <w:rPr>
          <w:rFonts w:hint="eastAsia" w:cs="Arial"/>
          <w:color w:val="auto"/>
          <w:highlight w:val="none"/>
        </w:rPr>
        <w:t>日常质量监督、随机抽查、专项监督检查和质量体系监督审核的方法来实行项目质量监督工作</w:t>
      </w:r>
      <w:r>
        <w:rPr>
          <w:rFonts w:cs="Arial"/>
          <w:color w:val="auto"/>
          <w:highlight w:val="none"/>
        </w:rPr>
        <w:t>”</w:t>
      </w:r>
      <w:r>
        <w:rPr>
          <w:rFonts w:hint="eastAsia" w:cs="Arial"/>
          <w:color w:val="auto"/>
          <w:highlight w:val="none"/>
        </w:rPr>
        <w:t>。质量监督将依照监督方案，对承包人的人员资质、施工组织设计、施工方案、检测设备、质量记录、质量等级评定、质量体系、施工质量进行审核或抽查，特别是要对无损检测的拍片质量进行抽查，对工程监理在质量管理方面进行考核检查。</w:t>
      </w:r>
    </w:p>
    <w:p w14:paraId="5EC174D6">
      <w:pPr>
        <w:adjustRightInd w:val="0"/>
        <w:snapToGrid w:val="0"/>
        <w:ind w:firstLine="480" w:firstLineChars="200"/>
        <w:rPr>
          <w:rFonts w:cs="Arial"/>
          <w:color w:val="auto"/>
          <w:highlight w:val="none"/>
        </w:rPr>
      </w:pPr>
      <w:r>
        <w:rPr>
          <w:rFonts w:hint="eastAsia" w:cs="Arial"/>
          <w:color w:val="auto"/>
          <w:highlight w:val="none"/>
        </w:rPr>
        <w:t>4.7监理单位：由发包人委托工程建设监理有限公司依据法律、法规、设计文件和监理合同确定的权利对工程建设施工阶段进行质量、进度和投资控制，对工程安全实施管理、协调建设参加各方关系、承担工程建设施工质量的监督管理责任，有权对承包人、检测单位的质量管理工作进行监督检查，具体职责为：</w:t>
      </w:r>
    </w:p>
    <w:p w14:paraId="5DFE2AF5">
      <w:pPr>
        <w:adjustRightInd w:val="0"/>
        <w:snapToGrid w:val="0"/>
        <w:ind w:firstLine="480" w:firstLineChars="200"/>
        <w:rPr>
          <w:rFonts w:cs="Arial"/>
          <w:color w:val="auto"/>
          <w:highlight w:val="none"/>
        </w:rPr>
      </w:pPr>
      <w:r>
        <w:rPr>
          <w:rFonts w:cs="Arial"/>
          <w:color w:val="auto"/>
          <w:highlight w:val="none"/>
        </w:rPr>
        <w:t xml:space="preserve"> 1)</w:t>
      </w:r>
      <w:r>
        <w:rPr>
          <w:rFonts w:hint="eastAsia" w:cs="Arial"/>
          <w:color w:val="auto"/>
          <w:highlight w:val="none"/>
        </w:rPr>
        <w:t>所有用于工程上的原材料、设备、构件等都必须经过监理工程师签字验收方可使用，否则监理工程师有权下令暂停施工或更换为合格的材料、设备。验收方式主要为现场检查、检测、复验和核查质量证明文件。验收的依据是设计图纸、国标或行业标准及经批准的监理规划和监理实施细则。</w:t>
      </w:r>
    </w:p>
    <w:p w14:paraId="5FC60CCA">
      <w:pPr>
        <w:adjustRightInd w:val="0"/>
        <w:snapToGrid w:val="0"/>
        <w:ind w:firstLine="480" w:firstLineChars="200"/>
        <w:rPr>
          <w:rFonts w:cs="Arial"/>
          <w:color w:val="auto"/>
          <w:highlight w:val="none"/>
        </w:rPr>
      </w:pPr>
      <w:r>
        <w:rPr>
          <w:rFonts w:cs="Arial"/>
          <w:color w:val="auto"/>
          <w:highlight w:val="none"/>
        </w:rPr>
        <w:t xml:space="preserve"> 2)</w:t>
      </w:r>
      <w:r>
        <w:rPr>
          <w:rFonts w:hint="eastAsia" w:cs="Arial"/>
          <w:color w:val="auto"/>
          <w:highlight w:val="none"/>
        </w:rPr>
        <w:t>有权审核承包人和检测单位的人员资质、有权建议撤换不符合发包人要求的人员，有权按合同规定要求承包人和检测单位按时配足、配齐项目管理人员及技术人员。否则可以依照合同相应条款采取经济手段进行处罚。</w:t>
      </w:r>
    </w:p>
    <w:p w14:paraId="69C4FBD1">
      <w:pPr>
        <w:adjustRightInd w:val="0"/>
        <w:snapToGrid w:val="0"/>
        <w:ind w:firstLine="480" w:firstLineChars="200"/>
        <w:rPr>
          <w:rFonts w:cs="Arial"/>
          <w:color w:val="auto"/>
          <w:highlight w:val="none"/>
        </w:rPr>
      </w:pPr>
      <w:r>
        <w:rPr>
          <w:rFonts w:cs="Arial"/>
          <w:color w:val="auto"/>
          <w:highlight w:val="none"/>
        </w:rPr>
        <w:t>3)</w:t>
      </w:r>
      <w:r>
        <w:rPr>
          <w:rFonts w:hint="eastAsia" w:cs="Arial"/>
          <w:color w:val="auto"/>
          <w:highlight w:val="none"/>
        </w:rPr>
        <w:t>监理单位应按照国家规定的工程建设程序，在认真核查开工条件和施工组织设计后下达开工令。同时要审核被监理单位的工程质量保证组织措施和质量目标。施工组织设计审核的重点内容为：</w:t>
      </w:r>
    </w:p>
    <w:p w14:paraId="5A84FADD">
      <w:pPr>
        <w:adjustRightInd w:val="0"/>
        <w:snapToGrid w:val="0"/>
        <w:ind w:firstLine="480" w:firstLineChars="200"/>
        <w:rPr>
          <w:rFonts w:cs="Arial"/>
          <w:color w:val="auto"/>
          <w:highlight w:val="none"/>
        </w:rPr>
      </w:pPr>
      <w:r>
        <w:rPr>
          <w:rFonts w:cs="Arial"/>
          <w:color w:val="auto"/>
          <w:highlight w:val="none"/>
        </w:rPr>
        <w:t>a</w:t>
      </w:r>
      <w:r>
        <w:rPr>
          <w:rFonts w:hint="eastAsia" w:cs="Arial"/>
          <w:color w:val="auto"/>
          <w:highlight w:val="none"/>
        </w:rPr>
        <w:t>）人员组织、机具配备是否符合合同要求，进场计划是否符合工期要求（厂家生产计划是否符合物资供应计划）。</w:t>
      </w:r>
    </w:p>
    <w:p w14:paraId="791760B5">
      <w:pPr>
        <w:adjustRightInd w:val="0"/>
        <w:snapToGrid w:val="0"/>
        <w:ind w:firstLine="480" w:firstLineChars="200"/>
        <w:rPr>
          <w:rFonts w:cs="Arial"/>
          <w:color w:val="auto"/>
          <w:highlight w:val="none"/>
        </w:rPr>
      </w:pPr>
      <w:r>
        <w:rPr>
          <w:rFonts w:cs="Arial"/>
          <w:color w:val="auto"/>
          <w:highlight w:val="none"/>
        </w:rPr>
        <w:t>b</w:t>
      </w:r>
      <w:r>
        <w:rPr>
          <w:rFonts w:hint="eastAsia" w:cs="Arial"/>
          <w:color w:val="auto"/>
          <w:highlight w:val="none"/>
        </w:rPr>
        <w:t>）施工技术方案是否可行，是否适合承担工程的特点。</w:t>
      </w:r>
    </w:p>
    <w:p w14:paraId="18F7733D">
      <w:pPr>
        <w:adjustRightInd w:val="0"/>
        <w:snapToGrid w:val="0"/>
        <w:ind w:firstLine="480" w:firstLineChars="200"/>
        <w:rPr>
          <w:rFonts w:cs="Arial"/>
          <w:color w:val="auto"/>
          <w:highlight w:val="none"/>
        </w:rPr>
      </w:pPr>
      <w:r>
        <w:rPr>
          <w:rFonts w:cs="Arial"/>
          <w:color w:val="auto"/>
          <w:highlight w:val="none"/>
        </w:rPr>
        <w:t>c</w:t>
      </w:r>
      <w:r>
        <w:rPr>
          <w:rFonts w:hint="eastAsia" w:cs="Arial"/>
          <w:color w:val="auto"/>
          <w:highlight w:val="none"/>
        </w:rPr>
        <w:t>）质量保证体系是否健全，自检手续是否齐全，执行的标准、规范是否准确；质量记录内容是否齐全等。</w:t>
      </w:r>
    </w:p>
    <w:p w14:paraId="3552386C">
      <w:pPr>
        <w:adjustRightInd w:val="0"/>
        <w:snapToGrid w:val="0"/>
        <w:ind w:firstLine="480" w:firstLineChars="200"/>
        <w:rPr>
          <w:rFonts w:cs="Arial"/>
          <w:color w:val="auto"/>
          <w:highlight w:val="none"/>
        </w:rPr>
      </w:pPr>
      <w:r>
        <w:rPr>
          <w:rFonts w:cs="Arial"/>
          <w:color w:val="auto"/>
          <w:highlight w:val="none"/>
        </w:rPr>
        <w:t>d</w:t>
      </w:r>
      <w:r>
        <w:rPr>
          <w:rFonts w:hint="eastAsia" w:cs="Arial"/>
          <w:color w:val="auto"/>
          <w:highlight w:val="none"/>
        </w:rPr>
        <w:t>）拟定的竣工资料是否符合中国石化建设交工技术条件及发包人要求。</w:t>
      </w:r>
    </w:p>
    <w:p w14:paraId="16D87168">
      <w:pPr>
        <w:adjustRightInd w:val="0"/>
        <w:snapToGrid w:val="0"/>
        <w:ind w:firstLine="480" w:firstLineChars="200"/>
        <w:rPr>
          <w:rFonts w:cs="Arial"/>
          <w:color w:val="auto"/>
          <w:highlight w:val="none"/>
        </w:rPr>
      </w:pPr>
      <w:r>
        <w:rPr>
          <w:rFonts w:cs="Arial"/>
          <w:color w:val="auto"/>
          <w:highlight w:val="none"/>
        </w:rPr>
        <w:t>4)</w:t>
      </w:r>
      <w:r>
        <w:rPr>
          <w:rFonts w:hint="eastAsia" w:cs="Arial"/>
          <w:color w:val="auto"/>
          <w:highlight w:val="none"/>
        </w:rPr>
        <w:t>审核和确认承包人自评的分项工程质量等级。评定分部工程等级。组织分部工程验收，有权要求被监督单位提供各种质量记录和质量信息，如施工质量出现问题有权下令整改或暂停施工或拒绝验收。</w:t>
      </w:r>
    </w:p>
    <w:p w14:paraId="6FC48B8C">
      <w:pPr>
        <w:adjustRightInd w:val="0"/>
        <w:snapToGrid w:val="0"/>
        <w:ind w:firstLine="480" w:firstLineChars="200"/>
        <w:rPr>
          <w:rFonts w:cs="Arial"/>
          <w:color w:val="auto"/>
          <w:highlight w:val="none"/>
        </w:rPr>
      </w:pPr>
      <w:r>
        <w:rPr>
          <w:rFonts w:cs="Arial"/>
          <w:color w:val="auto"/>
          <w:highlight w:val="none"/>
        </w:rPr>
        <w:t xml:space="preserve"> 5)</w:t>
      </w:r>
      <w:r>
        <w:rPr>
          <w:rFonts w:hint="eastAsia" w:cs="Arial"/>
          <w:color w:val="auto"/>
          <w:highlight w:val="none"/>
        </w:rPr>
        <w:t>工程质量（出厂产品）不合格或达不到发包人的质量目标要求，有权拒签工程款申请，发包人不予支付工程款。</w:t>
      </w:r>
    </w:p>
    <w:p w14:paraId="29C9B67C">
      <w:pPr>
        <w:adjustRightInd w:val="0"/>
        <w:snapToGrid w:val="0"/>
        <w:ind w:firstLine="480" w:firstLineChars="200"/>
        <w:rPr>
          <w:rFonts w:cs="Arial"/>
          <w:color w:val="auto"/>
          <w:highlight w:val="none"/>
        </w:rPr>
      </w:pPr>
      <w:r>
        <w:rPr>
          <w:rFonts w:cs="Arial"/>
          <w:color w:val="auto"/>
          <w:highlight w:val="none"/>
        </w:rPr>
        <w:t>6)</w:t>
      </w:r>
      <w:r>
        <w:rPr>
          <w:rFonts w:hint="eastAsia" w:cs="Arial"/>
          <w:color w:val="auto"/>
          <w:highlight w:val="none"/>
        </w:rPr>
        <w:t>监理单位有权下达工程检测指令或委托单，对检测单位评定不合格的检测结果进行确认和下达复检指令。</w:t>
      </w:r>
    </w:p>
    <w:p w14:paraId="522E4EDA">
      <w:pPr>
        <w:adjustRightInd w:val="0"/>
        <w:snapToGrid w:val="0"/>
        <w:ind w:firstLine="480" w:firstLineChars="200"/>
        <w:rPr>
          <w:rFonts w:cs="Arial"/>
          <w:color w:val="auto"/>
          <w:highlight w:val="none"/>
        </w:rPr>
      </w:pPr>
      <w:r>
        <w:rPr>
          <w:rFonts w:cs="Arial"/>
          <w:color w:val="auto"/>
          <w:highlight w:val="none"/>
        </w:rPr>
        <w:t xml:space="preserve"> 7)</w:t>
      </w:r>
      <w:r>
        <w:rPr>
          <w:rFonts w:hint="eastAsia" w:cs="Arial"/>
          <w:color w:val="auto"/>
          <w:highlight w:val="none"/>
        </w:rPr>
        <w:t>监理单位在行使职权时，应遵循守法、诚信、公正、科学的准则和按照公正、独立、自主的原则开展工作。</w:t>
      </w:r>
    </w:p>
    <w:p w14:paraId="1F684092">
      <w:pPr>
        <w:adjustRightInd w:val="0"/>
        <w:snapToGrid w:val="0"/>
        <w:ind w:firstLine="480" w:firstLineChars="200"/>
        <w:rPr>
          <w:rFonts w:cs="Arial"/>
          <w:color w:val="auto"/>
          <w:highlight w:val="none"/>
        </w:rPr>
      </w:pPr>
      <w:r>
        <w:rPr>
          <w:rFonts w:cs="Arial"/>
          <w:color w:val="auto"/>
          <w:highlight w:val="none"/>
        </w:rPr>
        <w:t>8)</w:t>
      </w:r>
      <w:r>
        <w:rPr>
          <w:rFonts w:hint="eastAsia" w:cs="Arial"/>
          <w:color w:val="auto"/>
          <w:highlight w:val="none"/>
        </w:rPr>
        <w:t>对于隐蔽工程，监理单位必须做好旁站监理工作。</w:t>
      </w:r>
    </w:p>
    <w:p w14:paraId="02620D4A">
      <w:pPr>
        <w:adjustRightInd w:val="0"/>
        <w:snapToGrid w:val="0"/>
        <w:ind w:firstLine="480" w:firstLineChars="200"/>
        <w:rPr>
          <w:rFonts w:cs="Arial"/>
          <w:color w:val="auto"/>
          <w:highlight w:val="none"/>
        </w:rPr>
      </w:pPr>
      <w:r>
        <w:rPr>
          <w:rFonts w:hint="eastAsia" w:cs="Arial"/>
          <w:color w:val="auto"/>
          <w:highlight w:val="none"/>
        </w:rPr>
        <w:t>4.8第三方检测单位</w:t>
      </w:r>
    </w:p>
    <w:p w14:paraId="2DA16791">
      <w:pPr>
        <w:adjustRightInd w:val="0"/>
        <w:snapToGrid w:val="0"/>
        <w:ind w:firstLine="480" w:firstLineChars="200"/>
        <w:rPr>
          <w:rFonts w:cs="Arial"/>
          <w:color w:val="auto"/>
          <w:highlight w:val="none"/>
        </w:rPr>
      </w:pPr>
      <w:r>
        <w:rPr>
          <w:rFonts w:cs="Arial"/>
          <w:color w:val="auto"/>
          <w:highlight w:val="none"/>
        </w:rPr>
        <w:t xml:space="preserve"> 1)</w:t>
      </w:r>
      <w:r>
        <w:rPr>
          <w:rFonts w:hint="eastAsia" w:cs="Arial"/>
          <w:color w:val="auto"/>
          <w:highlight w:val="none"/>
        </w:rPr>
        <w:t>检测单位主要承担软地基、试桩、工程桩的静载、高应变、低应变和油罐、管线焊缝的射线拍片、超声波探伤、阀门检验、试验等检测任务。</w:t>
      </w:r>
    </w:p>
    <w:p w14:paraId="144366F4">
      <w:pPr>
        <w:adjustRightInd w:val="0"/>
        <w:snapToGrid w:val="0"/>
        <w:ind w:firstLine="480" w:firstLineChars="200"/>
        <w:rPr>
          <w:rFonts w:cs="Arial"/>
          <w:color w:val="auto"/>
          <w:highlight w:val="none"/>
        </w:rPr>
      </w:pPr>
      <w:r>
        <w:rPr>
          <w:rFonts w:cs="Arial"/>
          <w:color w:val="auto"/>
          <w:highlight w:val="none"/>
        </w:rPr>
        <w:t xml:space="preserve"> 2)</w:t>
      </w:r>
      <w:r>
        <w:rPr>
          <w:rFonts w:hint="eastAsia" w:cs="Arial"/>
          <w:color w:val="auto"/>
          <w:highlight w:val="none"/>
        </w:rPr>
        <w:t>检测单位对检测结果负责。具体为：工程桩静载、高应表、低应变检测准确率为</w:t>
      </w:r>
      <w:r>
        <w:rPr>
          <w:rFonts w:cs="Arial"/>
          <w:color w:val="auto"/>
          <w:highlight w:val="none"/>
        </w:rPr>
        <w:t>99</w:t>
      </w:r>
      <w:r>
        <w:rPr>
          <w:rFonts w:hint="eastAsia" w:cs="Arial"/>
          <w:color w:val="auto"/>
          <w:highlight w:val="none"/>
        </w:rPr>
        <w:t>％以上，检测报告应及时提交，探伤拍片底片合格率</w:t>
      </w:r>
      <w:r>
        <w:rPr>
          <w:rFonts w:cs="Arial"/>
          <w:color w:val="auto"/>
          <w:highlight w:val="none"/>
        </w:rPr>
        <w:t>99</w:t>
      </w:r>
      <w:r>
        <w:rPr>
          <w:rFonts w:hint="eastAsia" w:cs="Arial"/>
          <w:color w:val="auto"/>
          <w:highlight w:val="none"/>
        </w:rPr>
        <w:t>％以上，不合格底片复拍费用由检测单位承担，评片准确率</w:t>
      </w:r>
      <w:r>
        <w:rPr>
          <w:rFonts w:cs="Arial"/>
          <w:color w:val="auto"/>
          <w:highlight w:val="none"/>
        </w:rPr>
        <w:t>100</w:t>
      </w:r>
      <w:r>
        <w:rPr>
          <w:rFonts w:hint="eastAsia" w:cs="Arial"/>
          <w:color w:val="auto"/>
          <w:highlight w:val="none"/>
        </w:rPr>
        <w:t>％，不允许出现错评和漏评；拍片结果必须在</w:t>
      </w:r>
      <w:r>
        <w:rPr>
          <w:rFonts w:cs="Arial"/>
          <w:color w:val="auto"/>
          <w:highlight w:val="none"/>
        </w:rPr>
        <w:t xml:space="preserve">24 </w:t>
      </w:r>
      <w:r>
        <w:rPr>
          <w:rFonts w:hint="eastAsia" w:cs="Arial"/>
          <w:color w:val="auto"/>
          <w:highlight w:val="none"/>
        </w:rPr>
        <w:t>小时内出检测报告。桩基检测、无损检测工作要接受监理单位管理和质量检测单位的监督、检查。检测完成的工作量由工程监理确认。</w:t>
      </w:r>
    </w:p>
    <w:p w14:paraId="24C63BA6">
      <w:pPr>
        <w:adjustRightInd w:val="0"/>
        <w:snapToGrid w:val="0"/>
        <w:ind w:firstLine="480" w:firstLineChars="200"/>
        <w:rPr>
          <w:rFonts w:cs="Arial"/>
          <w:color w:val="auto"/>
          <w:highlight w:val="none"/>
        </w:rPr>
      </w:pPr>
      <w:r>
        <w:rPr>
          <w:rFonts w:cs="Arial"/>
          <w:color w:val="auto"/>
          <w:highlight w:val="none"/>
        </w:rPr>
        <w:t xml:space="preserve"> 3)</w:t>
      </w:r>
      <w:r>
        <w:rPr>
          <w:rFonts w:hint="eastAsia" w:cs="Arial"/>
          <w:color w:val="auto"/>
          <w:highlight w:val="none"/>
        </w:rPr>
        <w:t>检测信息程序为：接受监理下达的检测委托，向监理工程师报告检测结果，每周向监理工程师提交检测结果和累计情况。提出书面分析报告，分析产生超标缺陷的原因，提出改进意见。</w:t>
      </w:r>
    </w:p>
    <w:p w14:paraId="0D43ECD1">
      <w:pPr>
        <w:adjustRightInd w:val="0"/>
        <w:snapToGrid w:val="0"/>
        <w:ind w:firstLine="480" w:firstLineChars="200"/>
        <w:rPr>
          <w:rFonts w:cs="Arial"/>
          <w:color w:val="auto"/>
          <w:highlight w:val="none"/>
        </w:rPr>
      </w:pPr>
      <w:r>
        <w:rPr>
          <w:rFonts w:cs="Arial"/>
          <w:color w:val="auto"/>
          <w:highlight w:val="none"/>
        </w:rPr>
        <w:t>4)</w:t>
      </w:r>
      <w:r>
        <w:rPr>
          <w:rFonts w:hint="eastAsia" w:cs="Arial"/>
          <w:color w:val="auto"/>
          <w:highlight w:val="none"/>
        </w:rPr>
        <w:t>检测出现不合格的情况</w:t>
      </w:r>
      <w:r>
        <w:rPr>
          <w:rFonts w:cs="Arial"/>
          <w:color w:val="auto"/>
          <w:highlight w:val="none"/>
        </w:rPr>
        <w:t xml:space="preserve">4 </w:t>
      </w:r>
      <w:r>
        <w:rPr>
          <w:rFonts w:hint="eastAsia" w:cs="Arial"/>
          <w:color w:val="auto"/>
          <w:highlight w:val="none"/>
        </w:rPr>
        <w:t>小时内交监理审核，由监理工程师签字下发整改通知单，修复后的检测结果是否合格及时向监理汇报。</w:t>
      </w:r>
    </w:p>
    <w:p w14:paraId="4BB6B1B5">
      <w:pPr>
        <w:adjustRightInd w:val="0"/>
        <w:snapToGrid w:val="0"/>
        <w:ind w:firstLine="480" w:firstLineChars="200"/>
        <w:rPr>
          <w:rFonts w:cs="Arial"/>
          <w:color w:val="auto"/>
          <w:highlight w:val="none"/>
        </w:rPr>
      </w:pPr>
      <w:r>
        <w:rPr>
          <w:rFonts w:hint="eastAsia" w:cs="Arial"/>
          <w:color w:val="auto"/>
          <w:highlight w:val="none"/>
        </w:rPr>
        <w:t>4.9工程质量检查评定办法</w:t>
      </w:r>
    </w:p>
    <w:p w14:paraId="0117D1F1">
      <w:pPr>
        <w:adjustRightInd w:val="0"/>
        <w:snapToGrid w:val="0"/>
        <w:ind w:firstLine="480" w:firstLineChars="200"/>
        <w:rPr>
          <w:rFonts w:cs="Arial"/>
          <w:color w:val="auto"/>
          <w:highlight w:val="none"/>
        </w:rPr>
      </w:pPr>
      <w:r>
        <w:rPr>
          <w:rFonts w:hint="eastAsia" w:cs="Arial"/>
          <w:color w:val="auto"/>
          <w:highlight w:val="none"/>
        </w:rPr>
        <w:t>本工程质量实行</w:t>
      </w:r>
      <w:r>
        <w:rPr>
          <w:rFonts w:cs="Arial"/>
          <w:color w:val="auto"/>
          <w:highlight w:val="none"/>
        </w:rPr>
        <w:t>A</w:t>
      </w:r>
      <w:r>
        <w:rPr>
          <w:rFonts w:hint="eastAsia" w:cs="Arial"/>
          <w:color w:val="auto"/>
          <w:highlight w:val="none"/>
        </w:rPr>
        <w:t>、</w:t>
      </w:r>
      <w:r>
        <w:rPr>
          <w:rFonts w:cs="Arial"/>
          <w:color w:val="auto"/>
          <w:highlight w:val="none"/>
        </w:rPr>
        <w:t>B</w:t>
      </w:r>
      <w:r>
        <w:rPr>
          <w:rFonts w:hint="eastAsia" w:cs="Arial"/>
          <w:color w:val="auto"/>
          <w:highlight w:val="none"/>
        </w:rPr>
        <w:t>、</w:t>
      </w:r>
      <w:r>
        <w:rPr>
          <w:rFonts w:cs="Arial"/>
          <w:color w:val="auto"/>
          <w:highlight w:val="none"/>
        </w:rPr>
        <w:t>C</w:t>
      </w:r>
      <w:r>
        <w:rPr>
          <w:rFonts w:hint="eastAsia" w:cs="Arial"/>
          <w:color w:val="auto"/>
          <w:highlight w:val="none"/>
        </w:rPr>
        <w:t>三级检验制度和办法。</w:t>
      </w:r>
    </w:p>
    <w:p w14:paraId="7EECA101">
      <w:pPr>
        <w:adjustRightInd w:val="0"/>
        <w:snapToGrid w:val="0"/>
        <w:ind w:firstLine="480" w:firstLineChars="200"/>
        <w:rPr>
          <w:rFonts w:cs="Arial"/>
          <w:color w:val="auto"/>
          <w:highlight w:val="none"/>
        </w:rPr>
      </w:pPr>
      <w:r>
        <w:rPr>
          <w:rFonts w:hint="eastAsia" w:cs="Arial"/>
          <w:color w:val="auto"/>
          <w:highlight w:val="none"/>
        </w:rPr>
        <w:t>质量检查层次</w:t>
      </w:r>
    </w:p>
    <w:p w14:paraId="32AAA764">
      <w:pPr>
        <w:adjustRightInd w:val="0"/>
        <w:snapToGrid w:val="0"/>
        <w:ind w:firstLine="480" w:firstLineChars="200"/>
        <w:rPr>
          <w:rFonts w:cs="Arial"/>
          <w:color w:val="auto"/>
          <w:highlight w:val="none"/>
        </w:rPr>
      </w:pPr>
      <w:r>
        <w:rPr>
          <w:rFonts w:cs="Arial"/>
          <w:color w:val="auto"/>
          <w:highlight w:val="none"/>
        </w:rPr>
        <w:t xml:space="preserve">1)C </w:t>
      </w:r>
      <w:r>
        <w:rPr>
          <w:rFonts w:hint="eastAsia" w:cs="Arial"/>
          <w:color w:val="auto"/>
          <w:highlight w:val="none"/>
        </w:rPr>
        <w:t>级质量检查，以自检为主，包括承包人作业队（班组）的工序检查、专职质检员的专项检查和项目经理组织的施工作业队间的质量互检。必要时可邀请监理代表、发包人代表的质量监督人员参加。</w:t>
      </w:r>
    </w:p>
    <w:p w14:paraId="5A334905">
      <w:pPr>
        <w:adjustRightInd w:val="0"/>
        <w:snapToGrid w:val="0"/>
        <w:ind w:firstLine="480" w:firstLineChars="200"/>
        <w:rPr>
          <w:rFonts w:cs="Arial"/>
          <w:color w:val="auto"/>
          <w:highlight w:val="none"/>
        </w:rPr>
      </w:pPr>
      <w:r>
        <w:rPr>
          <w:rFonts w:cs="Arial"/>
          <w:color w:val="auto"/>
          <w:highlight w:val="none"/>
        </w:rPr>
        <w:t xml:space="preserve">2)B </w:t>
      </w:r>
      <w:r>
        <w:rPr>
          <w:rFonts w:hint="eastAsia" w:cs="Arial"/>
          <w:color w:val="auto"/>
          <w:highlight w:val="none"/>
        </w:rPr>
        <w:t>级质量检查，为监理机构内部质量管理工作的自检以及发包人与监理机构联合对承包人质量管理工作和工程质量的检查。</w:t>
      </w:r>
    </w:p>
    <w:p w14:paraId="6EF3F7A4">
      <w:pPr>
        <w:adjustRightInd w:val="0"/>
        <w:snapToGrid w:val="0"/>
        <w:ind w:firstLine="480" w:firstLineChars="200"/>
        <w:rPr>
          <w:rFonts w:cs="Arial"/>
          <w:color w:val="auto"/>
          <w:highlight w:val="none"/>
        </w:rPr>
      </w:pPr>
      <w:r>
        <w:rPr>
          <w:rFonts w:cs="Arial"/>
          <w:color w:val="auto"/>
          <w:highlight w:val="none"/>
        </w:rPr>
        <w:t xml:space="preserve"> 3)A </w:t>
      </w:r>
      <w:r>
        <w:rPr>
          <w:rFonts w:hint="eastAsia" w:cs="Arial"/>
          <w:color w:val="auto"/>
          <w:highlight w:val="none"/>
        </w:rPr>
        <w:t>级质量检查，由发包人主持并会同质量监督站对监理机构质量工作的检查和对承包人（包括检测单位）施工质量的抽查，包括配合上级主管部门的质量抽查工作，</w:t>
      </w:r>
      <w:r>
        <w:rPr>
          <w:rFonts w:cs="Arial"/>
          <w:color w:val="auto"/>
          <w:highlight w:val="none"/>
        </w:rPr>
        <w:t xml:space="preserve">A </w:t>
      </w:r>
      <w:r>
        <w:rPr>
          <w:rFonts w:hint="eastAsia" w:cs="Arial"/>
          <w:color w:val="auto"/>
          <w:highlight w:val="none"/>
        </w:rPr>
        <w:t>级质量管理层人员可在不事先通知的情况下不定期对工程质量进行专项检查或对施工质量随机抽查。</w:t>
      </w:r>
    </w:p>
    <w:p w14:paraId="07DB56AE">
      <w:pPr>
        <w:adjustRightInd w:val="0"/>
        <w:snapToGrid w:val="0"/>
        <w:ind w:firstLine="480" w:firstLineChars="200"/>
        <w:rPr>
          <w:rFonts w:cs="Arial"/>
          <w:color w:val="auto"/>
          <w:highlight w:val="none"/>
        </w:rPr>
      </w:pPr>
      <w:r>
        <w:rPr>
          <w:rFonts w:hint="eastAsia" w:cs="Arial"/>
          <w:color w:val="auto"/>
          <w:highlight w:val="none"/>
        </w:rPr>
        <w:t>4.10工程质量检查的程序。工程质量检查程序见图</w:t>
      </w:r>
      <w:r>
        <w:rPr>
          <w:rFonts w:cs="Arial"/>
          <w:color w:val="auto"/>
          <w:highlight w:val="none"/>
        </w:rPr>
        <w:t xml:space="preserve">1 </w:t>
      </w:r>
    </w:p>
    <w:p w14:paraId="5A80F5DB">
      <w:pPr>
        <w:adjustRightInd w:val="0"/>
        <w:snapToGrid w:val="0"/>
        <w:ind w:firstLine="480" w:firstLineChars="200"/>
        <w:rPr>
          <w:rFonts w:cs="Arial"/>
          <w:color w:val="auto"/>
          <w:highlight w:val="none"/>
        </w:rPr>
      </w:pPr>
      <w:r>
        <w:rPr>
          <w:rFonts w:hint="eastAsia" w:cs="Arial"/>
          <w:color w:val="auto"/>
          <w:highlight w:val="none"/>
        </w:rPr>
        <w:t>成立检查小组―安排检查－评分、讲评、反馈意见－汇总检查情况向领导汇报－排出名次－通报参建各承包人</w:t>
      </w:r>
    </w:p>
    <w:p w14:paraId="212225B0">
      <w:pPr>
        <w:adjustRightInd w:val="0"/>
        <w:snapToGrid w:val="0"/>
        <w:ind w:firstLine="480" w:firstLineChars="200"/>
        <w:rPr>
          <w:rFonts w:cs="Arial"/>
          <w:color w:val="auto"/>
          <w:highlight w:val="none"/>
        </w:rPr>
      </w:pPr>
      <w:r>
        <w:rPr>
          <w:rFonts w:hint="eastAsia" w:cs="Arial"/>
          <w:color w:val="auto"/>
          <w:highlight w:val="none"/>
        </w:rPr>
        <w:t>4.11质量检查对象及内容</w:t>
      </w:r>
    </w:p>
    <w:p w14:paraId="27E60FED">
      <w:pPr>
        <w:adjustRightInd w:val="0"/>
        <w:snapToGrid w:val="0"/>
        <w:ind w:firstLine="480" w:firstLineChars="200"/>
        <w:rPr>
          <w:rFonts w:cs="Arial"/>
          <w:color w:val="auto"/>
          <w:highlight w:val="none"/>
        </w:rPr>
      </w:pPr>
      <w:r>
        <w:rPr>
          <w:rFonts w:cs="Arial"/>
          <w:color w:val="auto"/>
          <w:highlight w:val="none"/>
        </w:rPr>
        <w:t>1)</w:t>
      </w:r>
      <w:r>
        <w:rPr>
          <w:rFonts w:hint="eastAsia" w:cs="Arial"/>
          <w:color w:val="auto"/>
          <w:highlight w:val="none"/>
        </w:rPr>
        <w:t>承包人主要检查以下内容：</w:t>
      </w:r>
    </w:p>
    <w:p w14:paraId="33A2589C">
      <w:pPr>
        <w:adjustRightInd w:val="0"/>
        <w:snapToGrid w:val="0"/>
        <w:ind w:firstLine="480" w:firstLineChars="200"/>
        <w:rPr>
          <w:rFonts w:cs="Arial"/>
          <w:color w:val="auto"/>
          <w:highlight w:val="none"/>
        </w:rPr>
      </w:pPr>
      <w:r>
        <w:rPr>
          <w:rFonts w:hint="eastAsia" w:cs="Arial"/>
          <w:color w:val="auto"/>
          <w:highlight w:val="none"/>
        </w:rPr>
        <w:t>设计文件、图纸在施工过程中的错、漏、碰、缺等问题的出现频率；检查设计变更的合理性及频次；检查设计代表的服务质量等。</w:t>
      </w:r>
    </w:p>
    <w:p w14:paraId="1DEC1179">
      <w:pPr>
        <w:adjustRightInd w:val="0"/>
        <w:snapToGrid w:val="0"/>
        <w:ind w:firstLine="480" w:firstLineChars="200"/>
        <w:rPr>
          <w:rFonts w:cs="Arial"/>
          <w:color w:val="auto"/>
          <w:highlight w:val="none"/>
        </w:rPr>
      </w:pPr>
      <w:r>
        <w:rPr>
          <w:rFonts w:hint="eastAsia" w:cs="Arial"/>
          <w:color w:val="auto"/>
          <w:highlight w:val="none"/>
        </w:rPr>
        <w:t>采购设备、材料的计划文件是否进行详细的市场调查，进入现场的设备、材料的各种资料的齐全性、准确性及可追溯性，进入现场的设备、材料的质量状况等；</w:t>
      </w:r>
    </w:p>
    <w:p w14:paraId="65535833">
      <w:pPr>
        <w:adjustRightInd w:val="0"/>
        <w:snapToGrid w:val="0"/>
        <w:ind w:firstLine="480" w:firstLineChars="200"/>
        <w:rPr>
          <w:rFonts w:cs="Arial"/>
          <w:color w:val="auto"/>
          <w:highlight w:val="none"/>
        </w:rPr>
      </w:pPr>
      <w:r>
        <w:rPr>
          <w:rFonts w:hint="eastAsia" w:cs="Arial"/>
          <w:color w:val="auto"/>
          <w:highlight w:val="none"/>
        </w:rPr>
        <w:t>综合管理资料检查，基础技术资料检查（检查记录、试验记录、验收记录、评定表、测量记录、合格证、质量问题处理、安全会议记录等各种施工记录类的检查）；现场施工质量抽查，文明施工检查等。</w:t>
      </w:r>
    </w:p>
    <w:p w14:paraId="024ABBA0">
      <w:pPr>
        <w:adjustRightInd w:val="0"/>
        <w:snapToGrid w:val="0"/>
        <w:ind w:firstLine="480" w:firstLineChars="200"/>
        <w:rPr>
          <w:rFonts w:cs="Arial"/>
          <w:color w:val="auto"/>
          <w:highlight w:val="none"/>
        </w:rPr>
      </w:pPr>
      <w:r>
        <w:rPr>
          <w:rFonts w:cs="Arial"/>
          <w:color w:val="auto"/>
          <w:highlight w:val="none"/>
        </w:rPr>
        <w:t xml:space="preserve">2)监理单位：综合管理资料检查，基础技术资料检查，现场施工质量抽查、文明安全施工检查、监理人员现场旁站监督检查和效果检查等。 </w:t>
      </w:r>
    </w:p>
    <w:p w14:paraId="4B78D095">
      <w:pPr>
        <w:adjustRightInd w:val="0"/>
        <w:snapToGrid w:val="0"/>
        <w:ind w:firstLine="480" w:firstLineChars="200"/>
        <w:rPr>
          <w:rFonts w:cs="Arial"/>
          <w:color w:val="auto"/>
          <w:highlight w:val="none"/>
        </w:rPr>
      </w:pPr>
      <w:r>
        <w:rPr>
          <w:rFonts w:cs="Arial"/>
          <w:color w:val="auto"/>
          <w:highlight w:val="none"/>
        </w:rPr>
        <w:t>检查频次</w:t>
      </w:r>
      <w:r>
        <w:rPr>
          <w:rFonts w:hint="eastAsia" w:cs="Arial"/>
          <w:color w:val="auto"/>
          <w:highlight w:val="none"/>
        </w:rPr>
        <w:t>：</w:t>
      </w:r>
    </w:p>
    <w:p w14:paraId="124A7038">
      <w:pPr>
        <w:adjustRightInd w:val="0"/>
        <w:snapToGrid w:val="0"/>
        <w:ind w:firstLine="480" w:firstLineChars="200"/>
        <w:rPr>
          <w:rFonts w:cs="Arial"/>
          <w:color w:val="auto"/>
          <w:highlight w:val="none"/>
        </w:rPr>
      </w:pPr>
      <w:r>
        <w:rPr>
          <w:rFonts w:cs="Arial"/>
          <w:color w:val="auto"/>
          <w:highlight w:val="none"/>
        </w:rPr>
        <w:t xml:space="preserve"> 1)A 级检查每月一次（包括专项检查）。 </w:t>
      </w:r>
    </w:p>
    <w:p w14:paraId="34B0505B">
      <w:pPr>
        <w:adjustRightInd w:val="0"/>
        <w:snapToGrid w:val="0"/>
        <w:ind w:firstLine="600" w:firstLineChars="250"/>
        <w:rPr>
          <w:rFonts w:cs="Arial"/>
          <w:color w:val="auto"/>
          <w:highlight w:val="none"/>
        </w:rPr>
      </w:pPr>
      <w:r>
        <w:rPr>
          <w:rFonts w:cs="Arial"/>
          <w:color w:val="auto"/>
          <w:highlight w:val="none"/>
        </w:rPr>
        <w:t>2)B 级检查每半月一次（包括监理内部检查和检查承包人）。</w:t>
      </w:r>
    </w:p>
    <w:p w14:paraId="103345DA">
      <w:pPr>
        <w:adjustRightInd w:val="0"/>
        <w:snapToGrid w:val="0"/>
        <w:ind w:firstLine="480" w:firstLineChars="200"/>
        <w:rPr>
          <w:rFonts w:cs="Arial"/>
          <w:color w:val="auto"/>
          <w:highlight w:val="none"/>
        </w:rPr>
      </w:pPr>
      <w:r>
        <w:rPr>
          <w:rFonts w:cs="Arial"/>
          <w:color w:val="auto"/>
          <w:highlight w:val="none"/>
        </w:rPr>
        <w:t xml:space="preserve"> 3)C 级检查每周一次。 </w:t>
      </w:r>
    </w:p>
    <w:p w14:paraId="1C953CC3">
      <w:pPr>
        <w:adjustRightInd w:val="0"/>
        <w:snapToGrid w:val="0"/>
        <w:ind w:firstLine="480" w:firstLineChars="200"/>
        <w:rPr>
          <w:rFonts w:cs="Arial"/>
          <w:color w:val="auto"/>
          <w:highlight w:val="none"/>
        </w:rPr>
      </w:pPr>
      <w:r>
        <w:rPr>
          <w:rFonts w:hint="eastAsia" w:cs="Arial"/>
          <w:color w:val="auto"/>
          <w:highlight w:val="none"/>
        </w:rPr>
        <w:t>4.12</w:t>
      </w:r>
      <w:r>
        <w:rPr>
          <w:rFonts w:cs="Arial"/>
          <w:color w:val="auto"/>
          <w:highlight w:val="none"/>
        </w:rPr>
        <w:t xml:space="preserve">检查手段：听、看、查、问、量。 听：听受检单位汇报（书面材料）。 看：看组织机构、规章制度、质量责任、质量状况等上墙情况。 查：查看安全、文明施工情况，基础资料、记录资料、技术资料、检测结果、文件通讯等。 问：询问相关岗位人员掌握本岗位质量要求及目标状况。量：现场实测实量施工质量。 </w:t>
      </w:r>
    </w:p>
    <w:p w14:paraId="6274DE8C">
      <w:pPr>
        <w:adjustRightInd w:val="0"/>
        <w:snapToGrid w:val="0"/>
        <w:ind w:firstLine="480" w:firstLineChars="200"/>
        <w:rPr>
          <w:rFonts w:cs="Arial"/>
          <w:color w:val="auto"/>
          <w:highlight w:val="none"/>
        </w:rPr>
      </w:pPr>
      <w:r>
        <w:rPr>
          <w:rFonts w:hint="eastAsia" w:cs="Arial"/>
          <w:color w:val="auto"/>
          <w:highlight w:val="none"/>
        </w:rPr>
        <w:t>4.13</w:t>
      </w:r>
      <w:r>
        <w:rPr>
          <w:rFonts w:cs="Arial"/>
          <w:color w:val="auto"/>
          <w:highlight w:val="none"/>
        </w:rPr>
        <w:t xml:space="preserve">工程交工与验收 </w:t>
      </w:r>
    </w:p>
    <w:p w14:paraId="15B3BFB9">
      <w:pPr>
        <w:adjustRightInd w:val="0"/>
        <w:snapToGrid w:val="0"/>
        <w:ind w:firstLine="480" w:firstLineChars="200"/>
        <w:rPr>
          <w:rFonts w:cs="Arial"/>
          <w:color w:val="auto"/>
          <w:highlight w:val="none"/>
        </w:rPr>
      </w:pPr>
      <w:r>
        <w:rPr>
          <w:rFonts w:hint="eastAsia" w:cs="Arial"/>
          <w:color w:val="auto"/>
          <w:highlight w:val="none"/>
        </w:rPr>
        <w:t>1）</w:t>
      </w:r>
      <w:r>
        <w:rPr>
          <w:rFonts w:cs="Arial"/>
          <w:color w:val="auto"/>
          <w:highlight w:val="none"/>
        </w:rPr>
        <w:t>施工物资的交付按照</w:t>
      </w:r>
      <w:r>
        <w:rPr>
          <w:rFonts w:hint="eastAsia" w:cs="Arial"/>
          <w:color w:val="auto"/>
          <w:highlight w:val="none"/>
        </w:rPr>
        <w:t>发包人</w:t>
      </w:r>
      <w:r>
        <w:rPr>
          <w:rFonts w:cs="Arial"/>
          <w:color w:val="auto"/>
          <w:highlight w:val="none"/>
        </w:rPr>
        <w:t>物资供应管理办法</w:t>
      </w:r>
      <w:r>
        <w:rPr>
          <w:rFonts w:hint="eastAsia" w:cs="Arial"/>
          <w:color w:val="auto"/>
          <w:highlight w:val="none"/>
        </w:rPr>
        <w:t>的</w:t>
      </w:r>
      <w:r>
        <w:rPr>
          <w:rFonts w:cs="Arial"/>
          <w:color w:val="auto"/>
          <w:highlight w:val="none"/>
        </w:rPr>
        <w:t xml:space="preserve">质量要求执行，并由工程监理、物资采办和承包人共同进行交付、验收，否则禁止使用。 </w:t>
      </w:r>
    </w:p>
    <w:p w14:paraId="0415630B">
      <w:pPr>
        <w:adjustRightInd w:val="0"/>
        <w:snapToGrid w:val="0"/>
        <w:ind w:firstLine="480" w:firstLineChars="200"/>
        <w:rPr>
          <w:rFonts w:cs="Arial"/>
          <w:color w:val="auto"/>
          <w:highlight w:val="none"/>
        </w:rPr>
      </w:pPr>
      <w:r>
        <w:rPr>
          <w:rFonts w:hint="eastAsia" w:cs="Arial"/>
          <w:color w:val="auto"/>
          <w:highlight w:val="none"/>
        </w:rPr>
        <w:t>2）</w:t>
      </w:r>
      <w:r>
        <w:rPr>
          <w:rFonts w:cs="Arial"/>
          <w:color w:val="auto"/>
          <w:highlight w:val="none"/>
        </w:rPr>
        <w:t xml:space="preserve">工程交付使用必须完成合同规定、设计文件的全部内容，工程质量全部合格，质量经监理单位和质量监督站认可；并已经72 小时试运考核全部正常，达到投产使用条件。 </w:t>
      </w:r>
    </w:p>
    <w:p w14:paraId="29E2ADD1">
      <w:pPr>
        <w:adjustRightInd w:val="0"/>
        <w:snapToGrid w:val="0"/>
        <w:ind w:firstLine="480" w:firstLineChars="200"/>
        <w:rPr>
          <w:rFonts w:cs="Arial"/>
          <w:color w:val="auto"/>
          <w:highlight w:val="none"/>
        </w:rPr>
      </w:pPr>
      <w:r>
        <w:rPr>
          <w:rFonts w:hint="eastAsia" w:cs="Arial"/>
          <w:color w:val="auto"/>
          <w:highlight w:val="none"/>
        </w:rPr>
        <w:t>4.14</w:t>
      </w:r>
      <w:r>
        <w:rPr>
          <w:rFonts w:cs="Arial"/>
          <w:color w:val="auto"/>
          <w:highlight w:val="none"/>
        </w:rPr>
        <w:t>工程质量等级的评定及审核按照以下规定执行：</w:t>
      </w:r>
    </w:p>
    <w:p w14:paraId="16482DC9">
      <w:pPr>
        <w:adjustRightInd w:val="0"/>
        <w:snapToGrid w:val="0"/>
        <w:ind w:firstLine="480" w:firstLineChars="200"/>
        <w:rPr>
          <w:rFonts w:cs="Arial"/>
          <w:color w:val="auto"/>
          <w:highlight w:val="none"/>
        </w:rPr>
      </w:pPr>
      <w:r>
        <w:rPr>
          <w:rFonts w:cs="Arial"/>
          <w:color w:val="auto"/>
          <w:highlight w:val="none"/>
        </w:rPr>
        <w:t xml:space="preserve">1)分项工程质量等级由承包人评定，监理工程师签字认可； </w:t>
      </w:r>
    </w:p>
    <w:p w14:paraId="455BD1BA">
      <w:pPr>
        <w:adjustRightInd w:val="0"/>
        <w:snapToGrid w:val="0"/>
        <w:ind w:firstLine="480" w:firstLineChars="200"/>
        <w:rPr>
          <w:rFonts w:cs="Arial"/>
          <w:color w:val="auto"/>
          <w:highlight w:val="none"/>
        </w:rPr>
      </w:pPr>
      <w:r>
        <w:rPr>
          <w:rFonts w:cs="Arial"/>
          <w:color w:val="auto"/>
          <w:highlight w:val="none"/>
        </w:rPr>
        <w:t xml:space="preserve">2)分部工程质量等级，由工程监理评定，发包人审核； </w:t>
      </w:r>
    </w:p>
    <w:p w14:paraId="04D4582E">
      <w:pPr>
        <w:adjustRightInd w:val="0"/>
        <w:snapToGrid w:val="0"/>
        <w:ind w:firstLine="480" w:firstLineChars="200"/>
        <w:rPr>
          <w:rFonts w:cs="Arial"/>
          <w:color w:val="auto"/>
          <w:highlight w:val="none"/>
        </w:rPr>
      </w:pPr>
      <w:r>
        <w:rPr>
          <w:rFonts w:cs="Arial"/>
          <w:color w:val="auto"/>
          <w:highlight w:val="none"/>
        </w:rPr>
        <w:t xml:space="preserve">3)单位工程质量等级，由质量监督站核定。 </w:t>
      </w:r>
    </w:p>
    <w:p w14:paraId="452F41E6">
      <w:pPr>
        <w:adjustRightInd w:val="0"/>
        <w:snapToGrid w:val="0"/>
        <w:ind w:firstLine="480" w:firstLineChars="200"/>
        <w:rPr>
          <w:rFonts w:cs="Arial"/>
          <w:color w:val="auto"/>
          <w:highlight w:val="none"/>
        </w:rPr>
      </w:pPr>
      <w:r>
        <w:rPr>
          <w:rFonts w:hint="eastAsia" w:cs="Arial"/>
          <w:color w:val="auto"/>
          <w:highlight w:val="none"/>
        </w:rPr>
        <w:t>4.15</w:t>
      </w:r>
      <w:r>
        <w:rPr>
          <w:rFonts w:cs="Arial"/>
          <w:color w:val="auto"/>
          <w:highlight w:val="none"/>
        </w:rPr>
        <w:t xml:space="preserve">工程竣工验收按以下规定制定 </w:t>
      </w:r>
    </w:p>
    <w:p w14:paraId="67309A88">
      <w:pPr>
        <w:adjustRightInd w:val="0"/>
        <w:snapToGrid w:val="0"/>
        <w:ind w:firstLine="480" w:firstLineChars="200"/>
        <w:rPr>
          <w:rFonts w:cs="Arial"/>
          <w:color w:val="auto"/>
          <w:highlight w:val="none"/>
        </w:rPr>
      </w:pPr>
      <w:r>
        <w:rPr>
          <w:rFonts w:cs="Arial"/>
          <w:color w:val="auto"/>
          <w:highlight w:val="none"/>
        </w:rPr>
        <w:t>1)当工程达到交付使用条件时，承包人要向监理单位递交“工程交工申请报告”，同时递交工程竣工技术条件资料。</w:t>
      </w:r>
    </w:p>
    <w:p w14:paraId="234CBDAA">
      <w:pPr>
        <w:adjustRightInd w:val="0"/>
        <w:snapToGrid w:val="0"/>
        <w:ind w:firstLine="480" w:firstLineChars="200"/>
        <w:rPr>
          <w:rFonts w:cs="Arial"/>
          <w:color w:val="auto"/>
          <w:highlight w:val="none"/>
        </w:rPr>
      </w:pPr>
      <w:r>
        <w:rPr>
          <w:rFonts w:cs="Arial"/>
          <w:color w:val="auto"/>
          <w:highlight w:val="none"/>
        </w:rPr>
        <w:t xml:space="preserve"> 2)工程竣工技术文件、资料有：交工技术资料、质量检验评定资料、管理资料和竣工图等。</w:t>
      </w:r>
    </w:p>
    <w:p w14:paraId="50526E4D">
      <w:pPr>
        <w:adjustRightInd w:val="0"/>
        <w:snapToGrid w:val="0"/>
        <w:ind w:firstLine="480" w:firstLineChars="200"/>
        <w:rPr>
          <w:rFonts w:cs="Arial"/>
          <w:color w:val="auto"/>
          <w:highlight w:val="none"/>
        </w:rPr>
      </w:pPr>
      <w:r>
        <w:rPr>
          <w:rFonts w:cs="Arial"/>
          <w:color w:val="auto"/>
          <w:highlight w:val="none"/>
        </w:rPr>
        <w:t xml:space="preserve"> 3)工程验收程序、工序、隐蔽工程、分项工程和分部工程的验收由监理负责；单位工程的竣工预验收由发包人统一组织；单位工程验收由发包人统一组织；项目工程的预验收由</w:t>
      </w:r>
      <w:r>
        <w:rPr>
          <w:rFonts w:hint="eastAsia" w:cs="Arial"/>
          <w:color w:val="auto"/>
          <w:highlight w:val="none"/>
        </w:rPr>
        <w:t>发包人</w:t>
      </w:r>
      <w:r>
        <w:rPr>
          <w:rFonts w:cs="Arial"/>
          <w:color w:val="auto"/>
          <w:highlight w:val="none"/>
        </w:rPr>
        <w:t xml:space="preserve">统一组织；项目工程竣工验收可邀请国家有关主管部门参与验收。各项验收由项目部逐级上报备案，按规定要求验收合格后进行竣工验收。 </w:t>
      </w:r>
    </w:p>
    <w:p w14:paraId="7417E883">
      <w:pPr>
        <w:adjustRightInd w:val="0"/>
        <w:snapToGrid w:val="0"/>
        <w:ind w:firstLine="480" w:firstLineChars="200"/>
        <w:rPr>
          <w:rFonts w:cs="Arial"/>
          <w:color w:val="auto"/>
          <w:highlight w:val="none"/>
        </w:rPr>
      </w:pPr>
      <w:r>
        <w:rPr>
          <w:rFonts w:hint="eastAsia" w:cs="Arial"/>
          <w:color w:val="auto"/>
          <w:highlight w:val="none"/>
        </w:rPr>
        <w:t>4.16</w:t>
      </w:r>
      <w:r>
        <w:rPr>
          <w:rFonts w:cs="Arial"/>
          <w:color w:val="auto"/>
          <w:highlight w:val="none"/>
        </w:rPr>
        <w:t xml:space="preserve">对质量管理具体奖罚规定 </w:t>
      </w:r>
    </w:p>
    <w:p w14:paraId="70B3966E">
      <w:pPr>
        <w:adjustRightInd w:val="0"/>
        <w:snapToGrid w:val="0"/>
        <w:ind w:firstLine="480" w:firstLineChars="200"/>
        <w:rPr>
          <w:rFonts w:cs="Arial"/>
          <w:color w:val="auto"/>
          <w:highlight w:val="none"/>
        </w:rPr>
      </w:pPr>
      <w:r>
        <w:rPr>
          <w:rFonts w:cs="Arial"/>
          <w:color w:val="auto"/>
          <w:highlight w:val="none"/>
        </w:rPr>
        <w:t xml:space="preserve">为了加强质量管理，发包人制定以下奖罚规定，现场施工存在责任隐患和出现质量事故将按双方合同约定及发包人有关规定（如质量违约管理规定等）追查责任单位相应责任，并实行经济奖罚。 </w:t>
      </w:r>
    </w:p>
    <w:p w14:paraId="4F757F97">
      <w:pPr>
        <w:adjustRightInd w:val="0"/>
        <w:snapToGrid w:val="0"/>
        <w:ind w:firstLine="480" w:firstLineChars="200"/>
        <w:rPr>
          <w:rFonts w:cs="Arial"/>
          <w:color w:val="auto"/>
          <w:highlight w:val="none"/>
        </w:rPr>
      </w:pPr>
      <w:r>
        <w:rPr>
          <w:rFonts w:cs="Arial"/>
          <w:color w:val="auto"/>
          <w:highlight w:val="none"/>
        </w:rPr>
        <w:t>发包人内部考核 发包人各职能部门应认真履行部门职能，严格管控工程质量，工程建设过程中出项质量不合格或重大质量事故将追究相关部门连带管理责任，并进行相应经济处罚。</w:t>
      </w:r>
    </w:p>
    <w:p w14:paraId="0B51E62D">
      <w:pPr>
        <w:adjustRightInd w:val="0"/>
        <w:snapToGrid w:val="0"/>
        <w:ind w:firstLine="480" w:firstLineChars="200"/>
        <w:rPr>
          <w:rFonts w:cs="Arial"/>
          <w:color w:val="auto"/>
          <w:highlight w:val="none"/>
        </w:rPr>
      </w:pPr>
      <w:r>
        <w:rPr>
          <w:rFonts w:hint="eastAsia" w:cs="Arial"/>
          <w:color w:val="auto"/>
          <w:highlight w:val="none"/>
        </w:rPr>
        <w:t>4.17</w:t>
      </w:r>
      <w:r>
        <w:rPr>
          <w:rFonts w:cs="Arial"/>
          <w:color w:val="auto"/>
          <w:highlight w:val="none"/>
        </w:rPr>
        <w:t>工程质量奖励规定。</w:t>
      </w:r>
    </w:p>
    <w:p w14:paraId="032FA8AA">
      <w:pPr>
        <w:adjustRightInd w:val="0"/>
        <w:snapToGrid w:val="0"/>
        <w:ind w:firstLine="480" w:firstLineChars="200"/>
        <w:rPr>
          <w:rFonts w:cs="Arial"/>
          <w:color w:val="auto"/>
          <w:highlight w:val="none"/>
        </w:rPr>
      </w:pPr>
      <w:r>
        <w:rPr>
          <w:rFonts w:cs="Arial"/>
          <w:color w:val="auto"/>
          <w:highlight w:val="none"/>
        </w:rPr>
        <w:t>1)任何人对本工程质量事故，质量缺陷都有检举权</w:t>
      </w:r>
      <w:r>
        <w:rPr>
          <w:rFonts w:hint="eastAsia" w:cs="Arial"/>
          <w:color w:val="auto"/>
          <w:highlight w:val="none"/>
        </w:rPr>
        <w:t>利</w:t>
      </w:r>
      <w:r>
        <w:rPr>
          <w:rFonts w:cs="Arial"/>
          <w:color w:val="auto"/>
          <w:highlight w:val="none"/>
        </w:rPr>
        <w:t>，对重点部位存在的质量隐患检举将根据实际情况奖励1000～3000 元。</w:t>
      </w:r>
    </w:p>
    <w:p w14:paraId="156CF21D">
      <w:pPr>
        <w:adjustRightInd w:val="0"/>
        <w:snapToGrid w:val="0"/>
        <w:ind w:firstLine="480" w:firstLineChars="200"/>
        <w:rPr>
          <w:rFonts w:cs="Arial"/>
          <w:color w:val="auto"/>
          <w:highlight w:val="none"/>
        </w:rPr>
      </w:pPr>
      <w:r>
        <w:rPr>
          <w:rFonts w:cs="Arial"/>
          <w:color w:val="auto"/>
          <w:highlight w:val="none"/>
        </w:rPr>
        <w:t>2)承包人相关责任人在工程质量管理中做出突出贡献的，据实际情况可给个人奖励1000～5000 元，给单位奖励5000～10000 元。</w:t>
      </w:r>
    </w:p>
    <w:p w14:paraId="018AAFFC">
      <w:pPr>
        <w:adjustRightInd w:val="0"/>
        <w:snapToGrid w:val="0"/>
        <w:ind w:firstLine="480" w:firstLineChars="200"/>
        <w:rPr>
          <w:rFonts w:cs="Arial"/>
          <w:color w:val="auto"/>
          <w:highlight w:val="none"/>
        </w:rPr>
      </w:pPr>
      <w:r>
        <w:rPr>
          <w:rFonts w:hint="eastAsia" w:cs="Arial"/>
          <w:color w:val="auto"/>
          <w:highlight w:val="none"/>
        </w:rPr>
        <w:t>4.18</w:t>
      </w:r>
      <w:r>
        <w:rPr>
          <w:rFonts w:cs="Arial"/>
          <w:color w:val="auto"/>
          <w:highlight w:val="none"/>
        </w:rPr>
        <w:t>工程质量</w:t>
      </w:r>
      <w:r>
        <w:rPr>
          <w:rFonts w:hint="eastAsia" w:cs="Arial"/>
          <w:color w:val="auto"/>
          <w:highlight w:val="none"/>
        </w:rPr>
        <w:t>考核</w:t>
      </w:r>
      <w:r>
        <w:rPr>
          <w:rFonts w:cs="Arial"/>
          <w:color w:val="auto"/>
          <w:highlight w:val="none"/>
        </w:rPr>
        <w:t xml:space="preserve">规定 </w:t>
      </w:r>
    </w:p>
    <w:p w14:paraId="0BE8D923">
      <w:pPr>
        <w:adjustRightInd w:val="0"/>
        <w:snapToGrid w:val="0"/>
        <w:ind w:firstLine="480" w:firstLineChars="200"/>
        <w:rPr>
          <w:rFonts w:cs="Arial"/>
          <w:color w:val="auto"/>
          <w:highlight w:val="none"/>
        </w:rPr>
      </w:pPr>
      <w:r>
        <w:rPr>
          <w:rFonts w:hint="eastAsia" w:cs="Arial"/>
          <w:color w:val="auto"/>
          <w:highlight w:val="none"/>
        </w:rPr>
        <w:t>存在以下情形的，视情节轻重考核1000~100000元/次并扣分，直至解除合同，将承包商列入黑名单并清退出厂。</w:t>
      </w:r>
    </w:p>
    <w:p w14:paraId="6F8068A0">
      <w:pPr>
        <w:adjustRightInd w:val="0"/>
        <w:snapToGrid w:val="0"/>
        <w:ind w:firstLine="480" w:firstLineChars="200"/>
        <w:rPr>
          <w:rFonts w:cs="Arial"/>
          <w:color w:val="auto"/>
          <w:highlight w:val="none"/>
        </w:rPr>
      </w:pPr>
      <w:r>
        <w:rPr>
          <w:rFonts w:hint="eastAsia" w:cs="Arial"/>
          <w:color w:val="auto"/>
          <w:highlight w:val="none"/>
        </w:rPr>
        <w:t>1)对本工程重点部位留有质量隐患，而且无法进行整改，处罚10000～100000 元/处。</w:t>
      </w:r>
    </w:p>
    <w:p w14:paraId="11DDBDC2">
      <w:pPr>
        <w:adjustRightInd w:val="0"/>
        <w:snapToGrid w:val="0"/>
        <w:ind w:firstLine="480" w:firstLineChars="200"/>
        <w:rPr>
          <w:rFonts w:cs="Arial"/>
          <w:color w:val="auto"/>
          <w:highlight w:val="none"/>
        </w:rPr>
      </w:pPr>
      <w:r>
        <w:rPr>
          <w:rFonts w:hint="eastAsia" w:cs="Arial"/>
          <w:color w:val="auto"/>
          <w:highlight w:val="none"/>
        </w:rPr>
        <w:t>2) 对于施工过程中偷工减料、以假代真、不按设计规范、不按国家和行业标准施工等影响工程质量，处罚1000～20000 元/处。</w:t>
      </w:r>
    </w:p>
    <w:p w14:paraId="018F5C20">
      <w:pPr>
        <w:adjustRightInd w:val="0"/>
        <w:snapToGrid w:val="0"/>
        <w:ind w:firstLine="480" w:firstLineChars="200"/>
        <w:rPr>
          <w:rFonts w:cs="Arial"/>
          <w:color w:val="auto"/>
          <w:highlight w:val="none"/>
        </w:rPr>
      </w:pPr>
      <w:r>
        <w:rPr>
          <w:rFonts w:hint="eastAsia" w:cs="Arial"/>
          <w:color w:val="auto"/>
          <w:highlight w:val="none"/>
        </w:rPr>
        <w:t xml:space="preserve">3)承包人以次充好、使用不合格的工程建设原材料，除要求全部更换外并处罚10000～100000 元。 </w:t>
      </w:r>
    </w:p>
    <w:p w14:paraId="27715139">
      <w:pPr>
        <w:adjustRightInd w:val="0"/>
        <w:snapToGrid w:val="0"/>
        <w:ind w:firstLine="480" w:firstLineChars="200"/>
        <w:rPr>
          <w:rFonts w:cs="Arial"/>
          <w:color w:val="auto"/>
          <w:highlight w:val="none"/>
        </w:rPr>
      </w:pPr>
      <w:r>
        <w:rPr>
          <w:rFonts w:hint="eastAsia" w:cs="Arial"/>
          <w:color w:val="auto"/>
          <w:highlight w:val="none"/>
        </w:rPr>
        <w:t>4)发现有重大质量问题时不及时整改的，处罚1000～10000 元/处。</w:t>
      </w:r>
    </w:p>
    <w:p w14:paraId="5DA17736">
      <w:pPr>
        <w:adjustRightInd w:val="0"/>
        <w:snapToGrid w:val="0"/>
        <w:ind w:firstLine="480" w:firstLineChars="200"/>
        <w:rPr>
          <w:rFonts w:cs="Arial"/>
          <w:color w:val="auto"/>
          <w:highlight w:val="none"/>
        </w:rPr>
      </w:pPr>
      <w:r>
        <w:rPr>
          <w:rFonts w:hint="eastAsia" w:cs="Arial"/>
          <w:color w:val="auto"/>
          <w:highlight w:val="none"/>
        </w:rPr>
        <w:t xml:space="preserve">5)同类质量问题反复出现三次以上（含三次），处罚5000～10000 元。 </w:t>
      </w:r>
    </w:p>
    <w:p w14:paraId="6B678E9D">
      <w:pPr>
        <w:adjustRightInd w:val="0"/>
        <w:snapToGrid w:val="0"/>
        <w:ind w:firstLine="480" w:firstLineChars="200"/>
        <w:rPr>
          <w:rFonts w:cs="Arial"/>
          <w:color w:val="auto"/>
          <w:highlight w:val="none"/>
        </w:rPr>
      </w:pPr>
      <w:r>
        <w:rPr>
          <w:rFonts w:hint="eastAsia" w:cs="Arial"/>
          <w:color w:val="auto"/>
          <w:highlight w:val="none"/>
        </w:rPr>
        <w:t xml:space="preserve">6)要求承包人健全质量管理体制、机构并保证责任人员到位，否则处罚5000～10000元/人次。 </w:t>
      </w:r>
    </w:p>
    <w:p w14:paraId="544EBC58">
      <w:pPr>
        <w:adjustRightInd w:val="0"/>
        <w:snapToGrid w:val="0"/>
        <w:ind w:firstLine="480" w:firstLineChars="200"/>
        <w:rPr>
          <w:rFonts w:cs="Arial"/>
          <w:color w:val="auto"/>
          <w:highlight w:val="none"/>
        </w:rPr>
      </w:pPr>
      <w:r>
        <w:rPr>
          <w:rFonts w:hint="eastAsia" w:cs="Arial"/>
          <w:color w:val="auto"/>
          <w:highlight w:val="none"/>
        </w:rPr>
        <w:t xml:space="preserve">7）提供虚假执业（特种作业）资格证书的； </w:t>
      </w:r>
    </w:p>
    <w:p w14:paraId="63043DAA">
      <w:pPr>
        <w:adjustRightInd w:val="0"/>
        <w:snapToGrid w:val="0"/>
        <w:ind w:firstLine="480" w:firstLineChars="200"/>
        <w:rPr>
          <w:rFonts w:cs="Arial"/>
          <w:color w:val="auto"/>
          <w:highlight w:val="none"/>
        </w:rPr>
      </w:pPr>
      <w:r>
        <w:rPr>
          <w:rFonts w:hint="eastAsia" w:cs="Arial"/>
          <w:color w:val="auto"/>
          <w:highlight w:val="none"/>
        </w:rPr>
        <w:t xml:space="preserve">8）伪造、篡改供应商质量证明文件（包括发、送货单）的； </w:t>
      </w:r>
    </w:p>
    <w:p w14:paraId="40A6AA82">
      <w:pPr>
        <w:adjustRightInd w:val="0"/>
        <w:snapToGrid w:val="0"/>
        <w:ind w:firstLine="480" w:firstLineChars="200"/>
        <w:rPr>
          <w:rFonts w:cs="Arial"/>
          <w:color w:val="auto"/>
          <w:highlight w:val="none"/>
        </w:rPr>
      </w:pPr>
      <w:r>
        <w:rPr>
          <w:rFonts w:hint="eastAsia" w:cs="Arial"/>
          <w:color w:val="auto"/>
          <w:highlight w:val="none"/>
        </w:rPr>
        <w:t xml:space="preserve">9）编造、篡改施工过程事实、实际数据和过程资料，出具虚假质量记录，性质恶劣的； </w:t>
      </w:r>
    </w:p>
    <w:p w14:paraId="779A5592">
      <w:pPr>
        <w:adjustRightInd w:val="0"/>
        <w:snapToGrid w:val="0"/>
        <w:ind w:firstLine="480" w:firstLineChars="200"/>
        <w:rPr>
          <w:rFonts w:cs="Arial"/>
          <w:color w:val="auto"/>
          <w:highlight w:val="none"/>
        </w:rPr>
      </w:pPr>
      <w:r>
        <w:rPr>
          <w:rFonts w:hint="eastAsia" w:cs="Arial"/>
          <w:color w:val="auto"/>
          <w:highlight w:val="none"/>
        </w:rPr>
        <w:t xml:space="preserve">10）未经监理工程师签认就进行下道工序的； </w:t>
      </w:r>
    </w:p>
    <w:p w14:paraId="5565C98A">
      <w:pPr>
        <w:adjustRightInd w:val="0"/>
        <w:snapToGrid w:val="0"/>
        <w:ind w:firstLine="480" w:firstLineChars="200"/>
        <w:rPr>
          <w:rFonts w:cs="Arial"/>
          <w:color w:val="auto"/>
          <w:highlight w:val="none"/>
        </w:rPr>
      </w:pPr>
      <w:r>
        <w:rPr>
          <w:rFonts w:hint="eastAsia" w:cs="Arial"/>
          <w:color w:val="auto"/>
          <w:highlight w:val="none"/>
        </w:rPr>
        <w:t xml:space="preserve">11）将不合格的质量控制点作为合格签认的； </w:t>
      </w:r>
    </w:p>
    <w:p w14:paraId="08102488">
      <w:pPr>
        <w:adjustRightInd w:val="0"/>
        <w:snapToGrid w:val="0"/>
        <w:ind w:firstLine="480" w:firstLineChars="200"/>
        <w:rPr>
          <w:rFonts w:cs="Arial"/>
          <w:color w:val="auto"/>
          <w:highlight w:val="none"/>
        </w:rPr>
      </w:pPr>
      <w:r>
        <w:rPr>
          <w:rFonts w:hint="eastAsia" w:cs="Arial"/>
          <w:color w:val="auto"/>
          <w:highlight w:val="none"/>
        </w:rPr>
        <w:t>12）伪造、偷换已见证封样的送检样品的。</w:t>
      </w:r>
      <w:r>
        <w:rPr>
          <w:rFonts w:cs="Arial"/>
          <w:color w:val="auto"/>
          <w:highlight w:val="none"/>
        </w:rPr>
        <w:t xml:space="preserve"> </w:t>
      </w:r>
    </w:p>
    <w:p w14:paraId="59247057">
      <w:pPr>
        <w:adjustRightInd w:val="0"/>
        <w:snapToGrid w:val="0"/>
        <w:ind w:firstLine="480" w:firstLineChars="200"/>
        <w:rPr>
          <w:rFonts w:cs="Arial"/>
          <w:color w:val="auto"/>
          <w:highlight w:val="none"/>
        </w:rPr>
      </w:pPr>
      <w:r>
        <w:rPr>
          <w:rFonts w:hint="eastAsia" w:cs="Arial"/>
          <w:color w:val="auto"/>
          <w:highlight w:val="none"/>
        </w:rPr>
        <w:t>4.19</w:t>
      </w:r>
      <w:r>
        <w:rPr>
          <w:rFonts w:cs="Arial"/>
          <w:color w:val="auto"/>
          <w:highlight w:val="none"/>
        </w:rPr>
        <w:t>发包人将结合现场实际情况制订的质量管理办法和要求，承包人应认真贯彻执行。</w:t>
      </w:r>
    </w:p>
    <w:p w14:paraId="654B1EF9">
      <w:pPr>
        <w:widowControl/>
        <w:spacing w:line="240" w:lineRule="auto"/>
        <w:jc w:val="left"/>
        <w:rPr>
          <w:rFonts w:ascii="黑体" w:eastAsia="黑体" w:cs="Arial"/>
          <w:color w:val="auto"/>
          <w:szCs w:val="20"/>
          <w:highlight w:val="none"/>
        </w:rPr>
      </w:pPr>
      <w:r>
        <w:rPr>
          <w:rFonts w:ascii="黑体" w:eastAsia="黑体" w:cs="Arial"/>
          <w:color w:val="auto"/>
          <w:szCs w:val="20"/>
          <w:highlight w:val="none"/>
        </w:rPr>
        <w:br w:type="page"/>
      </w:r>
    </w:p>
    <w:p w14:paraId="0A7619C9">
      <w:pPr>
        <w:keepNext/>
        <w:keepLines/>
        <w:adjustRightInd w:val="0"/>
        <w:snapToGrid w:val="0"/>
        <w:spacing w:after="240" w:afterLines="100"/>
        <w:outlineLvl w:val="1"/>
        <w:rPr>
          <w:rFonts w:ascii="Arial" w:cs="Arial"/>
          <w:bCs/>
          <w:color w:val="auto"/>
          <w:szCs w:val="32"/>
          <w:highlight w:val="none"/>
        </w:rPr>
      </w:pPr>
      <w:bookmarkStart w:id="1216" w:name="_Toc489094538"/>
      <w:bookmarkStart w:id="1217" w:name="_Toc119953778"/>
      <w:bookmarkStart w:id="1218" w:name="_Toc90117834"/>
      <w:bookmarkStart w:id="1219" w:name="_Toc256000126"/>
      <w:bookmarkStart w:id="1220" w:name="_Toc510559156"/>
      <w:bookmarkStart w:id="1221" w:name="_Toc1944597407"/>
      <w:bookmarkStart w:id="1222" w:name="_Toc21268"/>
      <w:r>
        <w:rPr>
          <w:rFonts w:hint="eastAsia" w:ascii="Arial" w:cs="Arial"/>
          <w:bCs/>
          <w:color w:val="auto"/>
          <w:szCs w:val="32"/>
          <w:highlight w:val="none"/>
        </w:rPr>
        <w:t>附件1</w:t>
      </w:r>
      <w:r>
        <w:rPr>
          <w:rFonts w:hint="eastAsia" w:ascii="Arial" w:cs="Arial"/>
          <w:bCs/>
          <w:color w:val="auto"/>
          <w:szCs w:val="32"/>
          <w:highlight w:val="none"/>
          <w:lang w:val="en-US" w:eastAsia="zh-CN"/>
        </w:rPr>
        <w:t>3</w:t>
      </w:r>
      <w:r>
        <w:rPr>
          <w:rFonts w:hint="eastAsia" w:ascii="Arial" w:cs="Arial"/>
          <w:bCs/>
          <w:color w:val="auto"/>
          <w:szCs w:val="32"/>
          <w:highlight w:val="none"/>
        </w:rPr>
        <w:t>：</w:t>
      </w:r>
      <w:bookmarkEnd w:id="1216"/>
      <w:r>
        <w:rPr>
          <w:rFonts w:hint="eastAsia" w:ascii="Arial" w:cs="Arial"/>
          <w:bCs/>
          <w:color w:val="auto"/>
          <w:szCs w:val="32"/>
          <w:highlight w:val="none"/>
        </w:rPr>
        <w:t>信息及文档管理规定</w:t>
      </w:r>
      <w:bookmarkEnd w:id="1217"/>
      <w:bookmarkEnd w:id="1218"/>
      <w:bookmarkEnd w:id="1219"/>
      <w:bookmarkEnd w:id="1220"/>
      <w:bookmarkEnd w:id="1221"/>
      <w:bookmarkEnd w:id="1222"/>
    </w:p>
    <w:p w14:paraId="01C2FA2E">
      <w:pPr>
        <w:autoSpaceDE w:val="0"/>
        <w:autoSpaceDN w:val="0"/>
        <w:adjustRightInd w:val="0"/>
        <w:snapToGrid w:val="0"/>
        <w:ind w:firstLine="560" w:firstLineChars="200"/>
        <w:jc w:val="center"/>
        <w:rPr>
          <w:rFonts w:ascii="黑体" w:hAnsi="黑体" w:eastAsia="黑体" w:cs="Arial"/>
          <w:color w:val="auto"/>
          <w:sz w:val="28"/>
          <w:szCs w:val="28"/>
          <w:highlight w:val="none"/>
        </w:rPr>
      </w:pPr>
      <w:r>
        <w:rPr>
          <w:rFonts w:hint="eastAsia" w:ascii="黑体" w:hAnsi="黑体" w:eastAsia="黑体" w:cs="Arial"/>
          <w:color w:val="auto"/>
          <w:sz w:val="28"/>
          <w:szCs w:val="28"/>
          <w:highlight w:val="none"/>
        </w:rPr>
        <w:t>信息及文档管理规定</w:t>
      </w:r>
    </w:p>
    <w:p w14:paraId="22CE1F76">
      <w:pPr>
        <w:ind w:firstLine="480" w:firstLineChars="200"/>
        <w:rPr>
          <w:rFonts w:cs="Arial"/>
          <w:color w:val="auto"/>
          <w:highlight w:val="none"/>
        </w:rPr>
      </w:pPr>
      <w:r>
        <w:rPr>
          <w:rFonts w:cs="Arial"/>
          <w:color w:val="auto"/>
          <w:highlight w:val="none"/>
        </w:rPr>
        <w:t>项目的信息</w:t>
      </w:r>
      <w:r>
        <w:rPr>
          <w:rFonts w:hint="eastAsia" w:cs="Arial"/>
          <w:color w:val="auto"/>
          <w:highlight w:val="none"/>
        </w:rPr>
        <w:t>化</w:t>
      </w:r>
      <w:r>
        <w:rPr>
          <w:rFonts w:cs="Arial"/>
          <w:color w:val="auto"/>
          <w:highlight w:val="none"/>
        </w:rPr>
        <w:t>和文档管理是项目管理的重要组成部分，贯穿项目全过程，在项目实施期间由DCC（或项目秘书）负责。为了保证信息管理的完整性、准确性和及时性，要求项目部对外、对内与各单位、部门之间的联络、协调和指令均采用书面形式，如果在紧急情况下发出了口头指令，也应在事后以书面函件以补充确认。</w:t>
      </w:r>
    </w:p>
    <w:p w14:paraId="01B4062E">
      <w:pPr>
        <w:ind w:firstLine="480" w:firstLineChars="200"/>
        <w:rPr>
          <w:rFonts w:cs="Arial"/>
          <w:color w:val="auto"/>
          <w:highlight w:val="none"/>
        </w:rPr>
      </w:pPr>
      <w:r>
        <w:rPr>
          <w:rFonts w:hint="eastAsia" w:cs="Arial"/>
          <w:color w:val="auto"/>
          <w:highlight w:val="none"/>
        </w:rPr>
        <w:t>1．</w:t>
      </w:r>
      <w:r>
        <w:rPr>
          <w:rFonts w:cs="Arial"/>
          <w:color w:val="auto"/>
          <w:highlight w:val="none"/>
        </w:rPr>
        <w:t>项目文件的</w:t>
      </w:r>
      <w:r>
        <w:rPr>
          <w:rFonts w:hint="eastAsia" w:cs="Arial"/>
          <w:color w:val="auto"/>
          <w:highlight w:val="none"/>
        </w:rPr>
        <w:t>形成、</w:t>
      </w:r>
      <w:r>
        <w:rPr>
          <w:rFonts w:cs="Arial"/>
          <w:color w:val="auto"/>
          <w:highlight w:val="none"/>
        </w:rPr>
        <w:t>接收和发送均应进行编号、登记，并定期进行整理，项目结束时，应将全部项目文件进行清理、整理、归档入库。</w:t>
      </w:r>
    </w:p>
    <w:p w14:paraId="2B5FEB47">
      <w:pPr>
        <w:ind w:firstLine="480" w:firstLineChars="200"/>
        <w:rPr>
          <w:rFonts w:cs="Arial"/>
          <w:color w:val="auto"/>
          <w:highlight w:val="none"/>
        </w:rPr>
      </w:pPr>
      <w:r>
        <w:rPr>
          <w:rFonts w:hint="eastAsia" w:cs="Arial"/>
          <w:color w:val="auto"/>
          <w:highlight w:val="none"/>
        </w:rPr>
        <w:t>2．总包单位应会同项目监理人，建立项目交工文件编号规则体系，按一文一号的原则对项目交工技术文件进行标识。并在项目文件的形成中推广应用二维码、条型码等技术进行编码标识。</w:t>
      </w:r>
    </w:p>
    <w:p w14:paraId="1687476E">
      <w:pPr>
        <w:ind w:firstLine="480" w:firstLineChars="200"/>
        <w:rPr>
          <w:rFonts w:cs="Arial"/>
          <w:color w:val="auto"/>
          <w:highlight w:val="none"/>
        </w:rPr>
      </w:pPr>
      <w:r>
        <w:rPr>
          <w:rFonts w:hint="eastAsia" w:cs="Arial"/>
          <w:color w:val="auto"/>
          <w:highlight w:val="none"/>
        </w:rPr>
        <w:t>3．总包单位应编制项目交工技术文件分类整理方案送业主工程管理、档案管理等专业管理部门审核后，发送各发包单位执行。</w:t>
      </w:r>
    </w:p>
    <w:p w14:paraId="7520B077">
      <w:pPr>
        <w:ind w:firstLine="480" w:firstLineChars="200"/>
        <w:rPr>
          <w:rFonts w:cs="Arial"/>
          <w:color w:val="auto"/>
          <w:highlight w:val="none"/>
        </w:rPr>
      </w:pPr>
      <w:r>
        <w:rPr>
          <w:rFonts w:hint="eastAsia" w:cs="Arial"/>
          <w:color w:val="auto"/>
          <w:highlight w:val="none"/>
        </w:rPr>
        <w:t>4．项目交工技术文件应符合Q/SH 0704-2016、SH/T 3503-2017、SH/T 3903-2017及其它中国石化、广东省、国家部委关于项目工程文档的相关要求。</w:t>
      </w:r>
    </w:p>
    <w:p w14:paraId="0DA325A1">
      <w:pPr>
        <w:ind w:firstLine="480" w:firstLineChars="200"/>
        <w:rPr>
          <w:rFonts w:cs="Arial"/>
          <w:color w:val="auto"/>
          <w:highlight w:val="none"/>
        </w:rPr>
      </w:pPr>
      <w:r>
        <w:rPr>
          <w:rFonts w:hint="eastAsia" w:cs="Arial"/>
          <w:color w:val="auto"/>
          <w:highlight w:val="none"/>
        </w:rPr>
        <w:t>5．</w:t>
      </w:r>
      <w:r>
        <w:rPr>
          <w:rFonts w:cs="Arial"/>
          <w:color w:val="auto"/>
          <w:highlight w:val="none"/>
        </w:rPr>
        <w:t>项目文</w:t>
      </w:r>
      <w:r>
        <w:rPr>
          <w:rFonts w:hint="eastAsia" w:cs="Arial"/>
          <w:color w:val="auto"/>
          <w:highlight w:val="none"/>
        </w:rPr>
        <w:t>档索引</w:t>
      </w:r>
      <w:r>
        <w:rPr>
          <w:rFonts w:cs="Arial"/>
          <w:color w:val="auto"/>
          <w:highlight w:val="none"/>
        </w:rPr>
        <w:t>：</w:t>
      </w:r>
    </w:p>
    <w:p w14:paraId="78D197B2">
      <w:pPr>
        <w:ind w:firstLine="480" w:firstLineChars="200"/>
        <w:rPr>
          <w:rFonts w:cs="Arial"/>
          <w:color w:val="auto"/>
          <w:highlight w:val="none"/>
        </w:rPr>
      </w:pPr>
      <w:r>
        <w:rPr>
          <w:rFonts w:cs="Arial"/>
          <w:color w:val="auto"/>
          <w:highlight w:val="none"/>
        </w:rPr>
        <w:t>1</w:t>
      </w:r>
      <w:r>
        <w:rPr>
          <w:rFonts w:hint="eastAsia" w:cs="Arial"/>
          <w:color w:val="auto"/>
          <w:highlight w:val="none"/>
        </w:rPr>
        <w:t>）项目立项文档</w:t>
      </w:r>
    </w:p>
    <w:p w14:paraId="577BFCD6">
      <w:pPr>
        <w:numPr>
          <w:ilvl w:val="0"/>
          <w:numId w:val="8"/>
        </w:numPr>
        <w:rPr>
          <w:rFonts w:cs="Arial"/>
          <w:color w:val="auto"/>
          <w:highlight w:val="none"/>
        </w:rPr>
      </w:pPr>
      <w:r>
        <w:rPr>
          <w:rFonts w:hint="eastAsia" w:cs="Arial"/>
          <w:color w:val="auto"/>
          <w:highlight w:val="none"/>
        </w:rPr>
        <w:t>项目建议书</w:t>
      </w:r>
    </w:p>
    <w:p w14:paraId="3FB7C8A2">
      <w:pPr>
        <w:numPr>
          <w:ilvl w:val="0"/>
          <w:numId w:val="8"/>
        </w:numPr>
        <w:rPr>
          <w:rFonts w:cs="Arial"/>
          <w:color w:val="auto"/>
          <w:highlight w:val="none"/>
        </w:rPr>
      </w:pPr>
      <w:r>
        <w:rPr>
          <w:rFonts w:hint="eastAsia" w:cs="Arial"/>
          <w:color w:val="auto"/>
          <w:highlight w:val="none"/>
        </w:rPr>
        <w:t>项目可研</w:t>
      </w:r>
    </w:p>
    <w:p w14:paraId="7447FE4D">
      <w:pPr>
        <w:numPr>
          <w:ilvl w:val="0"/>
          <w:numId w:val="8"/>
        </w:numPr>
        <w:rPr>
          <w:rFonts w:cs="Arial"/>
          <w:color w:val="auto"/>
          <w:highlight w:val="none"/>
        </w:rPr>
      </w:pPr>
      <w:r>
        <w:rPr>
          <w:rFonts w:hint="eastAsia" w:cs="Arial"/>
          <w:color w:val="auto"/>
          <w:highlight w:val="none"/>
        </w:rPr>
        <w:t>初步设计基础</w:t>
      </w:r>
    </w:p>
    <w:p w14:paraId="629D1B56">
      <w:pPr>
        <w:numPr>
          <w:ilvl w:val="0"/>
          <w:numId w:val="8"/>
        </w:numPr>
        <w:rPr>
          <w:rFonts w:cs="Arial"/>
          <w:color w:val="auto"/>
          <w:highlight w:val="none"/>
        </w:rPr>
      </w:pPr>
      <w:r>
        <w:rPr>
          <w:rFonts w:hint="eastAsia" w:cs="Arial"/>
          <w:color w:val="auto"/>
          <w:highlight w:val="none"/>
        </w:rPr>
        <w:t>初步设计</w:t>
      </w:r>
    </w:p>
    <w:p w14:paraId="174F6640">
      <w:pPr>
        <w:ind w:firstLine="480" w:firstLineChars="200"/>
        <w:rPr>
          <w:rFonts w:cs="Arial"/>
          <w:color w:val="auto"/>
          <w:highlight w:val="none"/>
        </w:rPr>
      </w:pPr>
      <w:r>
        <w:rPr>
          <w:rFonts w:hint="eastAsia" w:cs="Arial"/>
          <w:color w:val="auto"/>
          <w:highlight w:val="none"/>
        </w:rPr>
        <w:t>2）项目施工设计文档</w:t>
      </w:r>
    </w:p>
    <w:p w14:paraId="630BAF1C">
      <w:pPr>
        <w:numPr>
          <w:ilvl w:val="0"/>
          <w:numId w:val="8"/>
        </w:numPr>
        <w:rPr>
          <w:rFonts w:cs="Arial"/>
          <w:color w:val="auto"/>
          <w:highlight w:val="none"/>
        </w:rPr>
      </w:pPr>
      <w:r>
        <w:rPr>
          <w:rFonts w:hint="eastAsia" w:cs="Arial"/>
          <w:color w:val="auto"/>
          <w:highlight w:val="none"/>
        </w:rPr>
        <w:t>详细设计基础</w:t>
      </w:r>
    </w:p>
    <w:p w14:paraId="38BF21E3">
      <w:pPr>
        <w:numPr>
          <w:ilvl w:val="0"/>
          <w:numId w:val="8"/>
        </w:numPr>
        <w:rPr>
          <w:rFonts w:cs="Arial"/>
          <w:color w:val="auto"/>
          <w:highlight w:val="none"/>
        </w:rPr>
      </w:pPr>
      <w:r>
        <w:rPr>
          <w:rFonts w:hint="eastAsia" w:cs="Arial"/>
          <w:color w:val="auto"/>
          <w:highlight w:val="none"/>
        </w:rPr>
        <w:t>总体设计</w:t>
      </w:r>
    </w:p>
    <w:p w14:paraId="59C2E4F3">
      <w:pPr>
        <w:numPr>
          <w:ilvl w:val="0"/>
          <w:numId w:val="8"/>
        </w:numPr>
        <w:rPr>
          <w:rFonts w:cs="Arial"/>
          <w:color w:val="auto"/>
          <w:highlight w:val="none"/>
        </w:rPr>
      </w:pPr>
      <w:r>
        <w:rPr>
          <w:rFonts w:hint="eastAsia" w:cs="Arial"/>
          <w:color w:val="auto"/>
          <w:highlight w:val="none"/>
        </w:rPr>
        <w:t>详细设计</w:t>
      </w:r>
    </w:p>
    <w:p w14:paraId="29F2C2B0">
      <w:pPr>
        <w:numPr>
          <w:ilvl w:val="0"/>
          <w:numId w:val="8"/>
        </w:numPr>
        <w:rPr>
          <w:rFonts w:cs="Arial"/>
          <w:color w:val="auto"/>
          <w:highlight w:val="none"/>
        </w:rPr>
      </w:pPr>
      <w:r>
        <w:rPr>
          <w:rFonts w:hint="eastAsia" w:cs="Arial"/>
          <w:color w:val="auto"/>
          <w:highlight w:val="none"/>
        </w:rPr>
        <w:t>竣工图</w:t>
      </w:r>
    </w:p>
    <w:p w14:paraId="2F749561">
      <w:pPr>
        <w:numPr>
          <w:ilvl w:val="0"/>
          <w:numId w:val="8"/>
        </w:numPr>
        <w:rPr>
          <w:rFonts w:cs="Arial"/>
          <w:color w:val="auto"/>
          <w:highlight w:val="none"/>
        </w:rPr>
      </w:pPr>
      <w:r>
        <w:rPr>
          <w:rFonts w:hint="eastAsia" w:cs="Arial"/>
          <w:color w:val="auto"/>
          <w:highlight w:val="none"/>
        </w:rPr>
        <w:t>工程设计变更</w:t>
      </w:r>
    </w:p>
    <w:p w14:paraId="062AE2BC">
      <w:pPr>
        <w:ind w:firstLine="480" w:firstLineChars="200"/>
        <w:rPr>
          <w:rFonts w:cs="Arial"/>
          <w:color w:val="auto"/>
          <w:highlight w:val="none"/>
        </w:rPr>
      </w:pPr>
      <w:r>
        <w:rPr>
          <w:rFonts w:hint="eastAsia" w:cs="Arial"/>
          <w:color w:val="auto"/>
          <w:highlight w:val="none"/>
        </w:rPr>
        <w:t>3）土地与房产管理文档</w:t>
      </w:r>
    </w:p>
    <w:p w14:paraId="720545BB">
      <w:pPr>
        <w:ind w:firstLine="480" w:firstLineChars="200"/>
        <w:rPr>
          <w:rFonts w:cs="Arial"/>
          <w:color w:val="auto"/>
          <w:highlight w:val="none"/>
        </w:rPr>
      </w:pPr>
      <w:r>
        <w:rPr>
          <w:rFonts w:hint="eastAsia" w:cs="Arial"/>
          <w:color w:val="auto"/>
          <w:highlight w:val="none"/>
        </w:rPr>
        <w:t>4）合同和商务文档</w:t>
      </w:r>
    </w:p>
    <w:p w14:paraId="1EF74274">
      <w:pPr>
        <w:numPr>
          <w:ilvl w:val="0"/>
          <w:numId w:val="8"/>
        </w:numPr>
        <w:rPr>
          <w:rFonts w:cs="Arial"/>
          <w:color w:val="auto"/>
          <w:highlight w:val="none"/>
        </w:rPr>
      </w:pPr>
      <w:r>
        <w:rPr>
          <w:rFonts w:hint="eastAsia" w:cs="Arial"/>
          <w:color w:val="auto"/>
          <w:highlight w:val="none"/>
        </w:rPr>
        <w:t>合同台帐</w:t>
      </w:r>
    </w:p>
    <w:p w14:paraId="3DECDE78">
      <w:pPr>
        <w:numPr>
          <w:ilvl w:val="0"/>
          <w:numId w:val="8"/>
        </w:numPr>
        <w:rPr>
          <w:rFonts w:cs="Arial"/>
          <w:color w:val="auto"/>
          <w:highlight w:val="none"/>
        </w:rPr>
      </w:pPr>
      <w:r>
        <w:rPr>
          <w:rFonts w:hint="eastAsia" w:cs="Arial"/>
          <w:color w:val="auto"/>
          <w:highlight w:val="none"/>
        </w:rPr>
        <w:t>设计合同</w:t>
      </w:r>
    </w:p>
    <w:p w14:paraId="2CE49603">
      <w:pPr>
        <w:numPr>
          <w:ilvl w:val="0"/>
          <w:numId w:val="8"/>
        </w:numPr>
        <w:rPr>
          <w:rFonts w:cs="Arial"/>
          <w:color w:val="auto"/>
          <w:highlight w:val="none"/>
        </w:rPr>
      </w:pPr>
      <w:r>
        <w:rPr>
          <w:rFonts w:hint="eastAsia" w:cs="Arial"/>
          <w:color w:val="auto"/>
          <w:highlight w:val="none"/>
        </w:rPr>
        <w:t>施工合同</w:t>
      </w:r>
    </w:p>
    <w:p w14:paraId="2F99AF6E">
      <w:pPr>
        <w:numPr>
          <w:ilvl w:val="0"/>
          <w:numId w:val="8"/>
        </w:numPr>
        <w:rPr>
          <w:rFonts w:cs="Arial"/>
          <w:color w:val="auto"/>
          <w:highlight w:val="none"/>
        </w:rPr>
      </w:pPr>
      <w:r>
        <w:rPr>
          <w:rFonts w:hint="eastAsia" w:cs="Arial"/>
          <w:color w:val="auto"/>
          <w:highlight w:val="none"/>
        </w:rPr>
        <w:t>监理合同</w:t>
      </w:r>
    </w:p>
    <w:p w14:paraId="44E401E3">
      <w:pPr>
        <w:numPr>
          <w:ilvl w:val="0"/>
          <w:numId w:val="8"/>
        </w:numPr>
        <w:rPr>
          <w:rFonts w:cs="Arial"/>
          <w:color w:val="auto"/>
          <w:highlight w:val="none"/>
        </w:rPr>
      </w:pPr>
      <w:r>
        <w:rPr>
          <w:rFonts w:hint="eastAsia" w:cs="Arial"/>
          <w:color w:val="auto"/>
          <w:highlight w:val="none"/>
        </w:rPr>
        <w:t>专项合同</w:t>
      </w:r>
    </w:p>
    <w:p w14:paraId="53AEC722">
      <w:pPr>
        <w:ind w:firstLine="480" w:firstLineChars="200"/>
        <w:rPr>
          <w:rFonts w:cs="Arial"/>
          <w:color w:val="auto"/>
          <w:highlight w:val="none"/>
        </w:rPr>
      </w:pPr>
      <w:r>
        <w:rPr>
          <w:rFonts w:hint="eastAsia" w:cs="Arial"/>
          <w:color w:val="auto"/>
          <w:highlight w:val="none"/>
        </w:rPr>
        <w:t>5</w:t>
      </w:r>
      <w:r>
        <w:rPr>
          <w:rFonts w:cs="Arial"/>
          <w:color w:val="auto"/>
          <w:highlight w:val="none"/>
        </w:rPr>
        <w:t>）估算和费用控制</w:t>
      </w:r>
      <w:r>
        <w:rPr>
          <w:rFonts w:hint="eastAsia" w:cs="Arial"/>
          <w:color w:val="auto"/>
          <w:highlight w:val="none"/>
        </w:rPr>
        <w:t>文档</w:t>
      </w:r>
    </w:p>
    <w:p w14:paraId="6491BD97">
      <w:pPr>
        <w:ind w:firstLine="480" w:firstLineChars="200"/>
        <w:rPr>
          <w:rFonts w:cs="Arial"/>
          <w:color w:val="auto"/>
          <w:highlight w:val="none"/>
        </w:rPr>
      </w:pPr>
      <w:r>
        <w:rPr>
          <w:rFonts w:hint="eastAsia" w:cs="Arial"/>
          <w:color w:val="auto"/>
          <w:highlight w:val="none"/>
        </w:rPr>
        <w:t>6</w:t>
      </w:r>
      <w:r>
        <w:rPr>
          <w:rFonts w:cs="Arial"/>
          <w:color w:val="auto"/>
          <w:highlight w:val="none"/>
        </w:rPr>
        <w:t>）工程变更</w:t>
      </w:r>
      <w:r>
        <w:rPr>
          <w:rFonts w:hint="eastAsia" w:cs="Arial"/>
          <w:color w:val="auto"/>
          <w:highlight w:val="none"/>
        </w:rPr>
        <w:t>文档</w:t>
      </w:r>
    </w:p>
    <w:p w14:paraId="6BB7C4B7">
      <w:pPr>
        <w:ind w:firstLine="480" w:firstLineChars="200"/>
        <w:rPr>
          <w:rFonts w:cs="Arial"/>
          <w:color w:val="auto"/>
          <w:highlight w:val="none"/>
        </w:rPr>
      </w:pPr>
      <w:r>
        <w:rPr>
          <w:rFonts w:hint="eastAsia" w:cs="Arial"/>
          <w:color w:val="auto"/>
          <w:highlight w:val="none"/>
        </w:rPr>
        <w:t>7</w:t>
      </w:r>
      <w:r>
        <w:rPr>
          <w:rFonts w:cs="Arial"/>
          <w:color w:val="auto"/>
          <w:highlight w:val="none"/>
        </w:rPr>
        <w:t>）项目</w:t>
      </w:r>
      <w:r>
        <w:rPr>
          <w:rFonts w:hint="eastAsia" w:cs="Arial"/>
          <w:color w:val="auto"/>
          <w:highlight w:val="none"/>
        </w:rPr>
        <w:t>开工文档</w:t>
      </w:r>
    </w:p>
    <w:p w14:paraId="486911EF">
      <w:pPr>
        <w:ind w:firstLine="480" w:firstLineChars="200"/>
        <w:rPr>
          <w:rFonts w:cs="Arial"/>
          <w:color w:val="auto"/>
          <w:highlight w:val="none"/>
        </w:rPr>
      </w:pPr>
      <w:r>
        <w:rPr>
          <w:rFonts w:hint="eastAsia" w:cs="Arial"/>
          <w:color w:val="auto"/>
          <w:highlight w:val="none"/>
        </w:rPr>
        <w:t>8）项目施工过程控制文档</w:t>
      </w:r>
    </w:p>
    <w:p w14:paraId="58111A0D">
      <w:pPr>
        <w:numPr>
          <w:ilvl w:val="0"/>
          <w:numId w:val="9"/>
        </w:numPr>
        <w:rPr>
          <w:rFonts w:cs="Arial"/>
          <w:color w:val="auto"/>
          <w:highlight w:val="none"/>
        </w:rPr>
      </w:pPr>
      <w:r>
        <w:rPr>
          <w:rFonts w:hint="eastAsia" w:cs="Arial"/>
          <w:color w:val="auto"/>
          <w:highlight w:val="none"/>
        </w:rPr>
        <w:t>有关信函</w:t>
      </w:r>
    </w:p>
    <w:p w14:paraId="739D81A3">
      <w:pPr>
        <w:numPr>
          <w:ilvl w:val="0"/>
          <w:numId w:val="9"/>
        </w:numPr>
        <w:rPr>
          <w:rFonts w:cs="Arial"/>
          <w:color w:val="auto"/>
          <w:highlight w:val="none"/>
        </w:rPr>
      </w:pPr>
      <w:r>
        <w:rPr>
          <w:rFonts w:hint="eastAsia" w:cs="Arial"/>
          <w:color w:val="auto"/>
          <w:highlight w:val="none"/>
        </w:rPr>
        <w:t>项目审查会议</w:t>
      </w:r>
    </w:p>
    <w:p w14:paraId="534413D7">
      <w:pPr>
        <w:numPr>
          <w:ilvl w:val="0"/>
          <w:numId w:val="9"/>
        </w:numPr>
        <w:rPr>
          <w:rFonts w:cs="Arial"/>
          <w:color w:val="auto"/>
          <w:highlight w:val="none"/>
        </w:rPr>
      </w:pPr>
      <w:r>
        <w:rPr>
          <w:rFonts w:hint="eastAsia" w:cs="Arial"/>
          <w:color w:val="auto"/>
          <w:highlight w:val="none"/>
        </w:rPr>
        <w:t>会议记录</w:t>
      </w:r>
    </w:p>
    <w:p w14:paraId="3547FDBC">
      <w:pPr>
        <w:numPr>
          <w:ilvl w:val="0"/>
          <w:numId w:val="9"/>
        </w:numPr>
        <w:rPr>
          <w:rFonts w:cs="Arial"/>
          <w:color w:val="auto"/>
          <w:highlight w:val="none"/>
        </w:rPr>
      </w:pPr>
      <w:r>
        <w:rPr>
          <w:rFonts w:hint="eastAsia" w:cs="Arial"/>
          <w:color w:val="auto"/>
          <w:highlight w:val="none"/>
        </w:rPr>
        <w:t>电话记录</w:t>
      </w:r>
    </w:p>
    <w:p w14:paraId="6D7F6A2F">
      <w:pPr>
        <w:numPr>
          <w:ilvl w:val="0"/>
          <w:numId w:val="9"/>
        </w:numPr>
        <w:rPr>
          <w:rFonts w:cs="Arial"/>
          <w:color w:val="auto"/>
          <w:highlight w:val="none"/>
        </w:rPr>
      </w:pPr>
      <w:r>
        <w:rPr>
          <w:rFonts w:hint="eastAsia" w:cs="Arial"/>
          <w:color w:val="auto"/>
          <w:highlight w:val="none"/>
        </w:rPr>
        <w:t>项目管理计划</w:t>
      </w:r>
    </w:p>
    <w:p w14:paraId="7AFF7BFD">
      <w:pPr>
        <w:numPr>
          <w:ilvl w:val="0"/>
          <w:numId w:val="9"/>
        </w:numPr>
        <w:rPr>
          <w:rFonts w:cs="Arial"/>
          <w:color w:val="auto"/>
          <w:highlight w:val="none"/>
        </w:rPr>
      </w:pPr>
      <w:r>
        <w:rPr>
          <w:rFonts w:hint="eastAsia" w:cs="Arial"/>
          <w:color w:val="auto"/>
          <w:highlight w:val="none"/>
        </w:rPr>
        <w:t>项目实施计划</w:t>
      </w:r>
    </w:p>
    <w:p w14:paraId="4B89864D">
      <w:pPr>
        <w:numPr>
          <w:ilvl w:val="0"/>
          <w:numId w:val="9"/>
        </w:numPr>
        <w:rPr>
          <w:rFonts w:cs="Arial"/>
          <w:color w:val="auto"/>
          <w:highlight w:val="none"/>
        </w:rPr>
      </w:pPr>
      <w:r>
        <w:rPr>
          <w:rFonts w:hint="eastAsia" w:cs="Arial"/>
          <w:color w:val="auto"/>
          <w:highlight w:val="none"/>
        </w:rPr>
        <w:t>项目情况摘要</w:t>
      </w:r>
    </w:p>
    <w:p w14:paraId="3ADA777B">
      <w:pPr>
        <w:numPr>
          <w:ilvl w:val="0"/>
          <w:numId w:val="9"/>
        </w:numPr>
        <w:rPr>
          <w:rFonts w:cs="Arial"/>
          <w:color w:val="auto"/>
          <w:highlight w:val="none"/>
        </w:rPr>
      </w:pPr>
      <w:r>
        <w:rPr>
          <w:rFonts w:hint="eastAsia" w:cs="Arial"/>
          <w:color w:val="auto"/>
          <w:highlight w:val="none"/>
        </w:rPr>
        <w:t>项目进展情况报告</w:t>
      </w:r>
    </w:p>
    <w:p w14:paraId="1344A314">
      <w:pPr>
        <w:numPr>
          <w:ilvl w:val="0"/>
          <w:numId w:val="9"/>
        </w:numPr>
        <w:rPr>
          <w:rFonts w:cs="Arial"/>
          <w:color w:val="auto"/>
          <w:highlight w:val="none"/>
        </w:rPr>
      </w:pPr>
      <w:r>
        <w:rPr>
          <w:rFonts w:hint="eastAsia" w:cs="Arial"/>
          <w:color w:val="auto"/>
          <w:highlight w:val="none"/>
        </w:rPr>
        <w:t>项目管理协调程序</w:t>
      </w:r>
    </w:p>
    <w:p w14:paraId="712378CE">
      <w:pPr>
        <w:numPr>
          <w:ilvl w:val="0"/>
          <w:numId w:val="9"/>
        </w:numPr>
        <w:rPr>
          <w:rFonts w:cs="Arial"/>
          <w:color w:val="auto"/>
          <w:highlight w:val="none"/>
        </w:rPr>
      </w:pPr>
      <w:r>
        <w:rPr>
          <w:rFonts w:hint="eastAsia" w:cs="Arial"/>
          <w:color w:val="auto"/>
          <w:highlight w:val="none"/>
        </w:rPr>
        <w:t>项目进度计划</w:t>
      </w:r>
    </w:p>
    <w:p w14:paraId="659904E7">
      <w:pPr>
        <w:numPr>
          <w:ilvl w:val="0"/>
          <w:numId w:val="9"/>
        </w:numPr>
        <w:rPr>
          <w:rFonts w:cs="Arial"/>
          <w:color w:val="auto"/>
          <w:highlight w:val="none"/>
        </w:rPr>
      </w:pPr>
      <w:r>
        <w:rPr>
          <w:rFonts w:hint="eastAsia" w:cs="Arial"/>
          <w:color w:val="auto"/>
          <w:highlight w:val="none"/>
        </w:rPr>
        <w:t>风险分析</w:t>
      </w:r>
    </w:p>
    <w:p w14:paraId="5E472A94">
      <w:pPr>
        <w:numPr>
          <w:ilvl w:val="0"/>
          <w:numId w:val="9"/>
        </w:numPr>
        <w:rPr>
          <w:rFonts w:cs="Arial"/>
          <w:color w:val="auto"/>
          <w:highlight w:val="none"/>
        </w:rPr>
      </w:pPr>
      <w:r>
        <w:rPr>
          <w:rFonts w:hint="eastAsia" w:cs="Arial"/>
          <w:color w:val="auto"/>
          <w:highlight w:val="none"/>
        </w:rPr>
        <w:t>HSE文件</w:t>
      </w:r>
    </w:p>
    <w:p w14:paraId="0A776FC0">
      <w:pPr>
        <w:ind w:firstLine="480" w:firstLineChars="200"/>
        <w:rPr>
          <w:rFonts w:cs="Arial"/>
          <w:color w:val="auto"/>
          <w:highlight w:val="none"/>
        </w:rPr>
      </w:pPr>
      <w:r>
        <w:rPr>
          <w:rFonts w:hint="eastAsia" w:cs="Arial"/>
          <w:color w:val="auto"/>
          <w:highlight w:val="none"/>
        </w:rPr>
        <w:t>9）项目投资管理文档</w:t>
      </w:r>
    </w:p>
    <w:p w14:paraId="61425995">
      <w:pPr>
        <w:ind w:firstLine="480" w:firstLineChars="200"/>
        <w:rPr>
          <w:rFonts w:cs="Arial"/>
          <w:color w:val="auto"/>
          <w:highlight w:val="none"/>
        </w:rPr>
      </w:pPr>
      <w:r>
        <w:rPr>
          <w:rFonts w:hint="eastAsia" w:cs="Arial"/>
          <w:color w:val="auto"/>
          <w:highlight w:val="none"/>
        </w:rPr>
        <w:t>10）物资供应文档</w:t>
      </w:r>
    </w:p>
    <w:p w14:paraId="2A4CA9BB">
      <w:pPr>
        <w:ind w:firstLine="480" w:firstLineChars="200"/>
        <w:rPr>
          <w:rFonts w:cs="Arial"/>
          <w:color w:val="auto"/>
          <w:highlight w:val="none"/>
        </w:rPr>
      </w:pPr>
      <w:r>
        <w:rPr>
          <w:rFonts w:hint="eastAsia" w:cs="Arial"/>
          <w:color w:val="auto"/>
          <w:highlight w:val="none"/>
        </w:rPr>
        <w:t>11）项目施工文档</w:t>
      </w:r>
    </w:p>
    <w:p w14:paraId="495F57C3">
      <w:pPr>
        <w:numPr>
          <w:ilvl w:val="0"/>
          <w:numId w:val="9"/>
        </w:numPr>
        <w:rPr>
          <w:rFonts w:cs="Arial"/>
          <w:color w:val="auto"/>
          <w:highlight w:val="none"/>
        </w:rPr>
      </w:pPr>
      <w:r>
        <w:rPr>
          <w:rFonts w:hint="eastAsia" w:cs="Arial"/>
          <w:color w:val="auto"/>
          <w:highlight w:val="none"/>
        </w:rPr>
        <w:t>施工综合管理</w:t>
      </w:r>
    </w:p>
    <w:p w14:paraId="67963164">
      <w:pPr>
        <w:numPr>
          <w:ilvl w:val="0"/>
          <w:numId w:val="9"/>
        </w:numPr>
        <w:rPr>
          <w:rFonts w:cs="Arial"/>
          <w:color w:val="auto"/>
          <w:highlight w:val="none"/>
        </w:rPr>
      </w:pPr>
      <w:r>
        <w:rPr>
          <w:rFonts w:hint="eastAsia" w:cs="Arial"/>
          <w:color w:val="auto"/>
          <w:highlight w:val="none"/>
        </w:rPr>
        <w:t>工程质量评定</w:t>
      </w:r>
    </w:p>
    <w:p w14:paraId="66BBBDD6">
      <w:pPr>
        <w:numPr>
          <w:ilvl w:val="0"/>
          <w:numId w:val="9"/>
        </w:numPr>
        <w:rPr>
          <w:rFonts w:cs="Arial"/>
          <w:color w:val="auto"/>
          <w:highlight w:val="none"/>
        </w:rPr>
      </w:pPr>
      <w:r>
        <w:rPr>
          <w:rFonts w:hint="eastAsia" w:cs="Arial"/>
          <w:color w:val="auto"/>
          <w:highlight w:val="none"/>
        </w:rPr>
        <w:t>工程材料管理</w:t>
      </w:r>
    </w:p>
    <w:p w14:paraId="537C3470">
      <w:pPr>
        <w:numPr>
          <w:ilvl w:val="0"/>
          <w:numId w:val="9"/>
        </w:numPr>
        <w:rPr>
          <w:rFonts w:cs="Arial"/>
          <w:color w:val="auto"/>
          <w:highlight w:val="none"/>
        </w:rPr>
      </w:pPr>
      <w:r>
        <w:rPr>
          <w:rFonts w:hint="eastAsia" w:cs="Arial"/>
          <w:color w:val="auto"/>
          <w:highlight w:val="none"/>
        </w:rPr>
        <w:t>土建施工</w:t>
      </w:r>
    </w:p>
    <w:p w14:paraId="7B39F695">
      <w:pPr>
        <w:numPr>
          <w:ilvl w:val="0"/>
          <w:numId w:val="9"/>
        </w:numPr>
        <w:rPr>
          <w:rFonts w:cs="Arial"/>
          <w:color w:val="auto"/>
          <w:highlight w:val="none"/>
        </w:rPr>
      </w:pPr>
      <w:r>
        <w:rPr>
          <w:rFonts w:hint="eastAsia" w:cs="Arial"/>
          <w:color w:val="auto"/>
          <w:highlight w:val="none"/>
        </w:rPr>
        <w:t>设备施工</w:t>
      </w:r>
    </w:p>
    <w:p w14:paraId="5A1A5BFC">
      <w:pPr>
        <w:numPr>
          <w:ilvl w:val="0"/>
          <w:numId w:val="9"/>
        </w:numPr>
        <w:rPr>
          <w:rFonts w:cs="Arial"/>
          <w:color w:val="auto"/>
          <w:highlight w:val="none"/>
        </w:rPr>
      </w:pPr>
      <w:r>
        <w:rPr>
          <w:rFonts w:hint="eastAsia" w:cs="Arial"/>
          <w:color w:val="auto"/>
          <w:highlight w:val="none"/>
        </w:rPr>
        <w:t>管道施工</w:t>
      </w:r>
    </w:p>
    <w:p w14:paraId="18CB22B5">
      <w:pPr>
        <w:numPr>
          <w:ilvl w:val="0"/>
          <w:numId w:val="9"/>
        </w:numPr>
        <w:rPr>
          <w:rFonts w:cs="Arial"/>
          <w:color w:val="auto"/>
          <w:highlight w:val="none"/>
        </w:rPr>
      </w:pPr>
      <w:r>
        <w:rPr>
          <w:rFonts w:hint="eastAsia" w:cs="Arial"/>
          <w:color w:val="auto"/>
          <w:highlight w:val="none"/>
        </w:rPr>
        <w:t>电气施工</w:t>
      </w:r>
    </w:p>
    <w:p w14:paraId="25D73058">
      <w:pPr>
        <w:numPr>
          <w:ilvl w:val="0"/>
          <w:numId w:val="9"/>
        </w:numPr>
        <w:rPr>
          <w:rFonts w:cs="Arial"/>
          <w:color w:val="auto"/>
          <w:highlight w:val="none"/>
        </w:rPr>
      </w:pPr>
      <w:r>
        <w:rPr>
          <w:rFonts w:hint="eastAsia" w:cs="Arial"/>
          <w:color w:val="auto"/>
          <w:highlight w:val="none"/>
        </w:rPr>
        <w:t>仪表施工</w:t>
      </w:r>
    </w:p>
    <w:p w14:paraId="68E16DFB">
      <w:pPr>
        <w:ind w:firstLine="480" w:firstLineChars="200"/>
        <w:rPr>
          <w:rFonts w:cs="Arial"/>
          <w:color w:val="auto"/>
          <w:highlight w:val="none"/>
        </w:rPr>
      </w:pPr>
      <w:r>
        <w:rPr>
          <w:rFonts w:hint="eastAsia" w:cs="Arial"/>
          <w:color w:val="auto"/>
          <w:highlight w:val="none"/>
        </w:rPr>
        <w:t>12）监理文档</w:t>
      </w:r>
    </w:p>
    <w:p w14:paraId="02D2B287">
      <w:pPr>
        <w:numPr>
          <w:ilvl w:val="0"/>
          <w:numId w:val="9"/>
        </w:numPr>
        <w:rPr>
          <w:rFonts w:cs="Arial"/>
          <w:color w:val="auto"/>
          <w:highlight w:val="none"/>
        </w:rPr>
      </w:pPr>
      <w:r>
        <w:rPr>
          <w:rFonts w:hint="eastAsia" w:cs="Arial"/>
          <w:color w:val="auto"/>
          <w:highlight w:val="none"/>
        </w:rPr>
        <w:t>设计监理</w:t>
      </w:r>
    </w:p>
    <w:p w14:paraId="764F86CC">
      <w:pPr>
        <w:numPr>
          <w:ilvl w:val="0"/>
          <w:numId w:val="9"/>
        </w:numPr>
        <w:rPr>
          <w:rFonts w:cs="Arial"/>
          <w:color w:val="auto"/>
          <w:highlight w:val="none"/>
        </w:rPr>
      </w:pPr>
      <w:r>
        <w:rPr>
          <w:rFonts w:hint="eastAsia" w:cs="Arial"/>
          <w:color w:val="auto"/>
          <w:highlight w:val="none"/>
        </w:rPr>
        <w:t>施工监理</w:t>
      </w:r>
    </w:p>
    <w:p w14:paraId="734BE00B">
      <w:pPr>
        <w:numPr>
          <w:ilvl w:val="0"/>
          <w:numId w:val="9"/>
        </w:numPr>
        <w:rPr>
          <w:rFonts w:cs="Arial"/>
          <w:color w:val="auto"/>
          <w:highlight w:val="none"/>
        </w:rPr>
      </w:pPr>
      <w:r>
        <w:rPr>
          <w:rFonts w:hint="eastAsia" w:cs="Arial"/>
          <w:color w:val="auto"/>
          <w:highlight w:val="none"/>
        </w:rPr>
        <w:t>采购监理</w:t>
      </w:r>
    </w:p>
    <w:p w14:paraId="4CF6917B">
      <w:pPr>
        <w:numPr>
          <w:ilvl w:val="0"/>
          <w:numId w:val="9"/>
        </w:numPr>
        <w:rPr>
          <w:rFonts w:cs="Arial"/>
          <w:color w:val="auto"/>
          <w:highlight w:val="none"/>
        </w:rPr>
      </w:pPr>
      <w:r>
        <w:rPr>
          <w:rFonts w:hint="eastAsia" w:cs="Arial"/>
          <w:color w:val="auto"/>
          <w:highlight w:val="none"/>
        </w:rPr>
        <w:t>制造监理</w:t>
      </w:r>
    </w:p>
    <w:p w14:paraId="64DB7F9C">
      <w:pPr>
        <w:ind w:firstLine="480" w:firstLineChars="200"/>
        <w:rPr>
          <w:rFonts w:cs="Arial"/>
          <w:color w:val="auto"/>
          <w:highlight w:val="none"/>
        </w:rPr>
      </w:pPr>
      <w:r>
        <w:rPr>
          <w:rFonts w:hint="eastAsia" w:cs="Arial"/>
          <w:color w:val="auto"/>
          <w:highlight w:val="none"/>
        </w:rPr>
        <w:t>13）工程专项管理与验收文档</w:t>
      </w:r>
    </w:p>
    <w:p w14:paraId="1A564F82">
      <w:pPr>
        <w:numPr>
          <w:ilvl w:val="0"/>
          <w:numId w:val="9"/>
        </w:numPr>
        <w:rPr>
          <w:rFonts w:cs="Arial"/>
          <w:color w:val="auto"/>
          <w:highlight w:val="none"/>
        </w:rPr>
      </w:pPr>
      <w:r>
        <w:rPr>
          <w:rFonts w:hint="eastAsia" w:cs="Arial"/>
          <w:color w:val="auto"/>
          <w:highlight w:val="none"/>
        </w:rPr>
        <w:t>规划许可</w:t>
      </w:r>
    </w:p>
    <w:p w14:paraId="458D0250">
      <w:pPr>
        <w:numPr>
          <w:ilvl w:val="0"/>
          <w:numId w:val="9"/>
        </w:numPr>
        <w:rPr>
          <w:rFonts w:cs="Arial"/>
          <w:color w:val="auto"/>
          <w:highlight w:val="none"/>
        </w:rPr>
      </w:pPr>
      <w:r>
        <w:rPr>
          <w:rFonts w:hint="eastAsia" w:cs="Arial"/>
          <w:color w:val="auto"/>
          <w:highlight w:val="none"/>
        </w:rPr>
        <w:t>节能</w:t>
      </w:r>
    </w:p>
    <w:p w14:paraId="6547A459">
      <w:pPr>
        <w:numPr>
          <w:ilvl w:val="0"/>
          <w:numId w:val="9"/>
        </w:numPr>
        <w:rPr>
          <w:rFonts w:cs="Arial"/>
          <w:color w:val="auto"/>
          <w:highlight w:val="none"/>
        </w:rPr>
      </w:pPr>
      <w:r>
        <w:rPr>
          <w:rFonts w:hint="eastAsia" w:cs="Arial"/>
          <w:color w:val="auto"/>
          <w:highlight w:val="none"/>
        </w:rPr>
        <w:t>安全</w:t>
      </w:r>
    </w:p>
    <w:p w14:paraId="3EA068DA">
      <w:pPr>
        <w:numPr>
          <w:ilvl w:val="0"/>
          <w:numId w:val="9"/>
        </w:numPr>
        <w:rPr>
          <w:rFonts w:cs="Arial"/>
          <w:color w:val="auto"/>
          <w:highlight w:val="none"/>
        </w:rPr>
      </w:pPr>
      <w:r>
        <w:rPr>
          <w:rFonts w:hint="eastAsia" w:cs="Arial"/>
          <w:color w:val="auto"/>
          <w:highlight w:val="none"/>
        </w:rPr>
        <w:t>环保</w:t>
      </w:r>
    </w:p>
    <w:p w14:paraId="6E73DEA2">
      <w:pPr>
        <w:numPr>
          <w:ilvl w:val="0"/>
          <w:numId w:val="9"/>
        </w:numPr>
        <w:rPr>
          <w:rFonts w:cs="Arial"/>
          <w:color w:val="auto"/>
          <w:highlight w:val="none"/>
        </w:rPr>
      </w:pPr>
      <w:r>
        <w:rPr>
          <w:rFonts w:hint="eastAsia" w:cs="Arial"/>
          <w:color w:val="auto"/>
          <w:highlight w:val="none"/>
        </w:rPr>
        <w:t>职工卫生</w:t>
      </w:r>
    </w:p>
    <w:p w14:paraId="478F926F">
      <w:pPr>
        <w:numPr>
          <w:ilvl w:val="0"/>
          <w:numId w:val="9"/>
        </w:numPr>
        <w:rPr>
          <w:rFonts w:cs="Arial"/>
          <w:color w:val="auto"/>
          <w:highlight w:val="none"/>
        </w:rPr>
      </w:pPr>
      <w:r>
        <w:rPr>
          <w:rFonts w:hint="eastAsia" w:cs="Arial"/>
          <w:color w:val="auto"/>
          <w:highlight w:val="none"/>
        </w:rPr>
        <w:t>消防</w:t>
      </w:r>
    </w:p>
    <w:p w14:paraId="6408023F">
      <w:pPr>
        <w:numPr>
          <w:ilvl w:val="0"/>
          <w:numId w:val="9"/>
        </w:numPr>
        <w:rPr>
          <w:rFonts w:cs="Arial"/>
          <w:color w:val="auto"/>
          <w:highlight w:val="none"/>
        </w:rPr>
      </w:pPr>
      <w:r>
        <w:rPr>
          <w:rFonts w:hint="eastAsia" w:cs="Arial"/>
          <w:color w:val="auto"/>
          <w:highlight w:val="none"/>
        </w:rPr>
        <w:t>防雷</w:t>
      </w:r>
    </w:p>
    <w:p w14:paraId="051880D9">
      <w:pPr>
        <w:numPr>
          <w:ilvl w:val="0"/>
          <w:numId w:val="9"/>
        </w:numPr>
        <w:rPr>
          <w:rFonts w:cs="Arial"/>
          <w:color w:val="auto"/>
          <w:highlight w:val="none"/>
        </w:rPr>
      </w:pPr>
      <w:r>
        <w:rPr>
          <w:rFonts w:hint="eastAsia" w:cs="Arial"/>
          <w:color w:val="auto"/>
          <w:highlight w:val="none"/>
        </w:rPr>
        <w:t>水土保持</w:t>
      </w:r>
    </w:p>
    <w:p w14:paraId="285BE8F9">
      <w:pPr>
        <w:numPr>
          <w:ilvl w:val="0"/>
          <w:numId w:val="9"/>
        </w:numPr>
        <w:rPr>
          <w:rFonts w:cs="Arial"/>
          <w:color w:val="auto"/>
          <w:highlight w:val="none"/>
        </w:rPr>
      </w:pPr>
      <w:r>
        <w:rPr>
          <w:rFonts w:hint="eastAsia" w:cs="Arial"/>
          <w:color w:val="auto"/>
          <w:highlight w:val="none"/>
        </w:rPr>
        <w:t>地震</w:t>
      </w:r>
    </w:p>
    <w:p w14:paraId="33A3AD78">
      <w:pPr>
        <w:numPr>
          <w:ilvl w:val="0"/>
          <w:numId w:val="9"/>
        </w:numPr>
        <w:rPr>
          <w:rFonts w:cs="Arial"/>
          <w:color w:val="auto"/>
          <w:highlight w:val="none"/>
        </w:rPr>
      </w:pPr>
      <w:r>
        <w:rPr>
          <w:rFonts w:hint="eastAsia" w:cs="Arial"/>
          <w:color w:val="auto"/>
          <w:highlight w:val="none"/>
        </w:rPr>
        <w:t>港口</w:t>
      </w:r>
    </w:p>
    <w:p w14:paraId="7790A4FA">
      <w:pPr>
        <w:numPr>
          <w:ilvl w:val="0"/>
          <w:numId w:val="9"/>
        </w:numPr>
        <w:rPr>
          <w:rFonts w:cs="Arial"/>
          <w:color w:val="auto"/>
          <w:highlight w:val="none"/>
        </w:rPr>
      </w:pPr>
      <w:r>
        <w:rPr>
          <w:rFonts w:hint="eastAsia" w:cs="Arial"/>
          <w:color w:val="auto"/>
          <w:highlight w:val="none"/>
        </w:rPr>
        <w:t>危化品</w:t>
      </w:r>
    </w:p>
    <w:p w14:paraId="4FC33030">
      <w:pPr>
        <w:numPr>
          <w:ilvl w:val="0"/>
          <w:numId w:val="9"/>
        </w:numPr>
        <w:rPr>
          <w:rFonts w:cs="Arial"/>
          <w:color w:val="auto"/>
          <w:highlight w:val="none"/>
        </w:rPr>
      </w:pPr>
      <w:r>
        <w:rPr>
          <w:rFonts w:hint="eastAsia" w:cs="Arial"/>
          <w:color w:val="auto"/>
          <w:highlight w:val="none"/>
        </w:rPr>
        <w:t>其它</w:t>
      </w:r>
    </w:p>
    <w:p w14:paraId="67A0BF5A">
      <w:pPr>
        <w:ind w:firstLine="480" w:firstLineChars="200"/>
        <w:rPr>
          <w:rFonts w:cs="Arial"/>
          <w:color w:val="auto"/>
          <w:highlight w:val="none"/>
        </w:rPr>
      </w:pPr>
      <w:r>
        <w:rPr>
          <w:rFonts w:hint="eastAsia" w:cs="Arial"/>
          <w:color w:val="auto"/>
          <w:highlight w:val="none"/>
        </w:rPr>
        <w:t>14）工艺管理文档</w:t>
      </w:r>
    </w:p>
    <w:p w14:paraId="5790FE44">
      <w:pPr>
        <w:ind w:firstLine="480" w:firstLineChars="200"/>
        <w:rPr>
          <w:rFonts w:cs="Arial"/>
          <w:color w:val="auto"/>
          <w:highlight w:val="none"/>
        </w:rPr>
      </w:pPr>
      <w:r>
        <w:rPr>
          <w:rFonts w:hint="eastAsia" w:cs="Arial"/>
          <w:color w:val="auto"/>
          <w:highlight w:val="none"/>
        </w:rPr>
        <w:t>15）生产准备文档</w:t>
      </w:r>
    </w:p>
    <w:p w14:paraId="1C3B63DD">
      <w:pPr>
        <w:numPr>
          <w:ilvl w:val="0"/>
          <w:numId w:val="9"/>
        </w:numPr>
        <w:rPr>
          <w:rFonts w:cs="Arial"/>
          <w:color w:val="auto"/>
          <w:highlight w:val="none"/>
        </w:rPr>
      </w:pPr>
      <w:r>
        <w:rPr>
          <w:rFonts w:hint="eastAsia" w:cs="Arial"/>
          <w:color w:val="auto"/>
          <w:highlight w:val="none"/>
        </w:rPr>
        <w:t>运行记录</w:t>
      </w:r>
    </w:p>
    <w:p w14:paraId="17C149B3">
      <w:pPr>
        <w:numPr>
          <w:ilvl w:val="0"/>
          <w:numId w:val="9"/>
        </w:numPr>
        <w:rPr>
          <w:rFonts w:cs="Arial"/>
          <w:color w:val="auto"/>
          <w:highlight w:val="none"/>
        </w:rPr>
      </w:pPr>
      <w:r>
        <w:rPr>
          <w:rFonts w:hint="eastAsia" w:cs="Arial"/>
          <w:color w:val="auto"/>
          <w:highlight w:val="none"/>
        </w:rPr>
        <w:t>生产标定</w:t>
      </w:r>
    </w:p>
    <w:p w14:paraId="5CDBD437">
      <w:pPr>
        <w:numPr>
          <w:ilvl w:val="0"/>
          <w:numId w:val="9"/>
        </w:numPr>
        <w:rPr>
          <w:rFonts w:cs="Arial"/>
          <w:color w:val="auto"/>
          <w:highlight w:val="none"/>
        </w:rPr>
      </w:pPr>
      <w:r>
        <w:rPr>
          <w:rFonts w:hint="eastAsia" w:cs="Arial"/>
          <w:color w:val="auto"/>
          <w:highlight w:val="none"/>
        </w:rPr>
        <w:t>试车方案、报告</w:t>
      </w:r>
    </w:p>
    <w:p w14:paraId="42C42E2D">
      <w:pPr>
        <w:numPr>
          <w:ilvl w:val="0"/>
          <w:numId w:val="9"/>
        </w:numPr>
        <w:rPr>
          <w:rFonts w:cs="Arial"/>
          <w:color w:val="auto"/>
          <w:highlight w:val="none"/>
        </w:rPr>
      </w:pPr>
      <w:r>
        <w:rPr>
          <w:rFonts w:hint="eastAsia" w:cs="Arial"/>
          <w:color w:val="auto"/>
          <w:highlight w:val="none"/>
        </w:rPr>
        <w:t>培训</w:t>
      </w:r>
    </w:p>
    <w:p w14:paraId="765BD1AA">
      <w:pPr>
        <w:numPr>
          <w:ilvl w:val="0"/>
          <w:numId w:val="9"/>
        </w:numPr>
        <w:rPr>
          <w:rFonts w:cs="Arial"/>
          <w:color w:val="auto"/>
          <w:highlight w:val="none"/>
        </w:rPr>
      </w:pPr>
      <w:r>
        <w:rPr>
          <w:rFonts w:hint="eastAsia" w:cs="Arial"/>
          <w:color w:val="auto"/>
          <w:highlight w:val="none"/>
        </w:rPr>
        <w:t>工艺说明、生产规程</w:t>
      </w:r>
    </w:p>
    <w:p w14:paraId="2527E0F3">
      <w:pPr>
        <w:numPr>
          <w:ilvl w:val="0"/>
          <w:numId w:val="9"/>
        </w:numPr>
        <w:rPr>
          <w:rFonts w:cs="Arial"/>
          <w:color w:val="auto"/>
          <w:highlight w:val="none"/>
        </w:rPr>
      </w:pPr>
      <w:r>
        <w:rPr>
          <w:rFonts w:hint="eastAsia" w:cs="Arial"/>
          <w:color w:val="auto"/>
          <w:highlight w:val="none"/>
        </w:rPr>
        <w:t>试生产总结</w:t>
      </w:r>
    </w:p>
    <w:p w14:paraId="3ACC4089">
      <w:pPr>
        <w:ind w:firstLine="480" w:firstLineChars="200"/>
        <w:rPr>
          <w:rFonts w:cs="Arial"/>
          <w:color w:val="auto"/>
          <w:highlight w:val="none"/>
        </w:rPr>
      </w:pPr>
      <w:r>
        <w:rPr>
          <w:rFonts w:hint="eastAsia" w:cs="Arial"/>
          <w:color w:val="auto"/>
          <w:highlight w:val="none"/>
        </w:rPr>
        <w:t>16）资产管理</w:t>
      </w:r>
    </w:p>
    <w:p w14:paraId="435E69D2">
      <w:pPr>
        <w:ind w:firstLine="480" w:firstLineChars="200"/>
        <w:rPr>
          <w:rFonts w:cs="Arial"/>
          <w:color w:val="auto"/>
          <w:highlight w:val="none"/>
        </w:rPr>
      </w:pPr>
      <w:r>
        <w:rPr>
          <w:rFonts w:hint="eastAsia" w:cs="Arial"/>
          <w:color w:val="auto"/>
          <w:highlight w:val="none"/>
        </w:rPr>
        <w:t>17）档案管理</w:t>
      </w:r>
    </w:p>
    <w:p w14:paraId="55499FDE">
      <w:pPr>
        <w:ind w:firstLine="480" w:firstLineChars="200"/>
        <w:rPr>
          <w:rFonts w:cs="Arial"/>
          <w:color w:val="auto"/>
          <w:highlight w:val="none"/>
        </w:rPr>
      </w:pPr>
      <w:r>
        <w:rPr>
          <w:rFonts w:hint="eastAsia" w:cs="Arial"/>
          <w:color w:val="auto"/>
          <w:highlight w:val="none"/>
        </w:rPr>
        <w:t>18）工程审计</w:t>
      </w:r>
    </w:p>
    <w:p w14:paraId="1D5F8EBC">
      <w:pPr>
        <w:ind w:firstLine="480" w:firstLineChars="200"/>
        <w:rPr>
          <w:rFonts w:cs="Arial"/>
          <w:color w:val="auto"/>
          <w:highlight w:val="none"/>
        </w:rPr>
      </w:pPr>
      <w:r>
        <w:rPr>
          <w:rFonts w:hint="eastAsia" w:cs="Arial"/>
          <w:color w:val="auto"/>
          <w:highlight w:val="none"/>
        </w:rPr>
        <w:t>19）工程验收</w:t>
      </w:r>
    </w:p>
    <w:p w14:paraId="05B473AA">
      <w:pPr>
        <w:ind w:firstLine="480" w:firstLineChars="200"/>
        <w:rPr>
          <w:rFonts w:cs="Arial"/>
          <w:color w:val="auto"/>
          <w:highlight w:val="none"/>
        </w:rPr>
      </w:pPr>
      <w:r>
        <w:rPr>
          <w:rFonts w:hint="eastAsia" w:cs="Arial"/>
          <w:color w:val="auto"/>
          <w:highlight w:val="none"/>
        </w:rPr>
        <w:t>20）工程后评价</w:t>
      </w:r>
    </w:p>
    <w:p w14:paraId="5DEB1A47">
      <w:pPr>
        <w:ind w:firstLine="480" w:firstLineChars="200"/>
        <w:rPr>
          <w:rFonts w:cs="Arial"/>
          <w:color w:val="auto"/>
          <w:highlight w:val="none"/>
        </w:rPr>
      </w:pPr>
      <w:r>
        <w:rPr>
          <w:rFonts w:hint="eastAsia" w:cs="Arial"/>
          <w:color w:val="auto"/>
          <w:highlight w:val="none"/>
        </w:rPr>
        <w:t>21) 其它</w:t>
      </w:r>
    </w:p>
    <w:p w14:paraId="2B5B37F3">
      <w:pPr>
        <w:spacing w:line="240" w:lineRule="auto"/>
        <w:ind w:firstLine="420" w:firstLineChars="200"/>
        <w:rPr>
          <w:rFonts w:ascii="Calibri" w:hAnsi="Calibri" w:cs="Calibri"/>
          <w:color w:val="auto"/>
          <w:sz w:val="21"/>
          <w:szCs w:val="20"/>
          <w:highlight w:val="none"/>
        </w:rPr>
      </w:pPr>
    </w:p>
    <w:p w14:paraId="2A0A5BD9">
      <w:pPr>
        <w:adjustRightInd w:val="0"/>
        <w:snapToGrid w:val="0"/>
        <w:rPr>
          <w:color w:val="auto"/>
          <w:highlight w:val="none"/>
        </w:rPr>
      </w:pPr>
    </w:p>
    <w:p w14:paraId="10BA591E">
      <w:pPr>
        <w:snapToGrid w:val="0"/>
        <w:rPr>
          <w:color w:val="auto"/>
          <w:highlight w:val="none"/>
        </w:rPr>
      </w:pPr>
    </w:p>
    <w:p w14:paraId="09D49273">
      <w:pPr>
        <w:ind w:right="51" w:firstLine="117" w:firstLineChars="49"/>
        <w:rPr>
          <w:color w:val="auto"/>
          <w:highlight w:val="none"/>
        </w:rPr>
      </w:pPr>
    </w:p>
    <w:p w14:paraId="2A25617F">
      <w:pPr>
        <w:snapToGrid w:val="0"/>
        <w:ind w:firstLine="480" w:firstLineChars="200"/>
        <w:rPr>
          <w:rFonts w:cs="Arial"/>
          <w:color w:val="auto"/>
          <w:highlight w:val="none"/>
        </w:rPr>
      </w:pPr>
    </w:p>
    <w:p w14:paraId="1FC65248">
      <w:pPr>
        <w:jc w:val="center"/>
        <w:rPr>
          <w:bCs/>
          <w:color w:val="auto"/>
          <w:highlight w:val="none"/>
        </w:rPr>
      </w:pPr>
    </w:p>
    <w:p w14:paraId="0B83A23E">
      <w:pPr>
        <w:jc w:val="center"/>
        <w:rPr>
          <w:bCs/>
          <w:color w:val="auto"/>
          <w:highlight w:val="none"/>
        </w:rPr>
      </w:pPr>
    </w:p>
    <w:p w14:paraId="49694E27">
      <w:pPr>
        <w:jc w:val="center"/>
        <w:rPr>
          <w:bCs/>
          <w:color w:val="auto"/>
          <w:highlight w:val="none"/>
        </w:rPr>
      </w:pPr>
    </w:p>
    <w:p w14:paraId="23495879">
      <w:pPr>
        <w:jc w:val="center"/>
        <w:rPr>
          <w:bCs/>
          <w:color w:val="auto"/>
          <w:highlight w:val="none"/>
        </w:rPr>
      </w:pPr>
    </w:p>
    <w:p w14:paraId="6F2662C6">
      <w:pPr>
        <w:jc w:val="center"/>
        <w:rPr>
          <w:bCs/>
          <w:color w:val="auto"/>
          <w:highlight w:val="none"/>
        </w:rPr>
      </w:pPr>
    </w:p>
    <w:p w14:paraId="3D9465B1">
      <w:pPr>
        <w:jc w:val="center"/>
        <w:rPr>
          <w:bCs/>
          <w:color w:val="auto"/>
          <w:highlight w:val="none"/>
        </w:rPr>
      </w:pPr>
    </w:p>
    <w:p w14:paraId="7B1EB6F2">
      <w:pPr>
        <w:jc w:val="center"/>
        <w:rPr>
          <w:bCs/>
          <w:color w:val="auto"/>
          <w:highlight w:val="none"/>
        </w:rPr>
      </w:pPr>
    </w:p>
    <w:p w14:paraId="12F26C9C">
      <w:pPr>
        <w:jc w:val="center"/>
        <w:rPr>
          <w:bCs/>
          <w:color w:val="auto"/>
          <w:highlight w:val="none"/>
        </w:rPr>
      </w:pPr>
    </w:p>
    <w:p w14:paraId="5F00C414">
      <w:pPr>
        <w:jc w:val="center"/>
        <w:rPr>
          <w:bCs/>
          <w:color w:val="auto"/>
          <w:highlight w:val="none"/>
        </w:rPr>
      </w:pPr>
    </w:p>
    <w:p w14:paraId="7BF3D06E">
      <w:pPr>
        <w:jc w:val="center"/>
        <w:rPr>
          <w:bCs/>
          <w:color w:val="auto"/>
          <w:highlight w:val="none"/>
        </w:rPr>
      </w:pPr>
    </w:p>
    <w:p w14:paraId="78138AFA">
      <w:pPr>
        <w:jc w:val="center"/>
        <w:rPr>
          <w:bCs/>
          <w:color w:val="auto"/>
          <w:highlight w:val="none"/>
        </w:rPr>
      </w:pPr>
    </w:p>
    <w:p w14:paraId="3208ACD0">
      <w:pPr>
        <w:jc w:val="center"/>
        <w:rPr>
          <w:bCs/>
          <w:color w:val="auto"/>
          <w:highlight w:val="none"/>
        </w:rPr>
      </w:pPr>
    </w:p>
    <w:p w14:paraId="4231F643">
      <w:pPr>
        <w:jc w:val="center"/>
        <w:rPr>
          <w:bCs/>
          <w:color w:val="auto"/>
          <w:highlight w:val="none"/>
        </w:rPr>
      </w:pPr>
    </w:p>
    <w:p w14:paraId="2C84D792">
      <w:pPr>
        <w:jc w:val="center"/>
        <w:rPr>
          <w:bCs/>
          <w:color w:val="auto"/>
          <w:highlight w:val="none"/>
        </w:rPr>
      </w:pPr>
    </w:p>
    <w:p w14:paraId="7C9DAC98">
      <w:pPr>
        <w:jc w:val="center"/>
        <w:rPr>
          <w:bCs/>
          <w:color w:val="auto"/>
          <w:highlight w:val="none"/>
        </w:rPr>
      </w:pPr>
    </w:p>
    <w:p w14:paraId="7A0CFAEE">
      <w:pPr>
        <w:spacing w:line="240" w:lineRule="auto"/>
        <w:rPr>
          <w:color w:val="auto"/>
          <w:highlight w:val="none"/>
        </w:rPr>
      </w:pPr>
      <w:r>
        <w:rPr>
          <w:color w:val="auto"/>
          <w:highlight w:val="none"/>
        </w:rPr>
        <w:br w:type="page"/>
      </w:r>
    </w:p>
    <w:p w14:paraId="74B05BEA">
      <w:pPr>
        <w:keepNext/>
        <w:keepLines/>
        <w:adjustRightInd w:val="0"/>
        <w:snapToGrid w:val="0"/>
        <w:spacing w:after="240" w:afterLines="100"/>
        <w:outlineLvl w:val="1"/>
        <w:rPr>
          <w:rFonts w:ascii="Arial" w:cs="Arial"/>
          <w:bCs/>
          <w:color w:val="auto"/>
          <w:szCs w:val="32"/>
          <w:highlight w:val="none"/>
        </w:rPr>
      </w:pPr>
      <w:bookmarkStart w:id="1223" w:name="_Toc256000127"/>
      <w:bookmarkStart w:id="1224" w:name="_Toc1318796510"/>
      <w:bookmarkStart w:id="1225" w:name="_Toc119953779"/>
      <w:bookmarkStart w:id="1226" w:name="_Toc755262720"/>
      <w:bookmarkStart w:id="1227" w:name="_Toc21797"/>
      <w:bookmarkStart w:id="1228" w:name="_Toc93413857"/>
      <w:bookmarkStart w:id="1229" w:name="_Toc89509293"/>
      <w:bookmarkStart w:id="1230" w:name="_Toc15868"/>
      <w:r>
        <w:rPr>
          <w:rFonts w:hint="eastAsia" w:ascii="Arial" w:cs="Arial"/>
          <w:bCs/>
          <w:color w:val="auto"/>
          <w:szCs w:val="32"/>
          <w:highlight w:val="none"/>
        </w:rPr>
        <w:t>附件1</w:t>
      </w:r>
      <w:r>
        <w:rPr>
          <w:rFonts w:hint="eastAsia" w:ascii="Arial" w:cs="Arial"/>
          <w:bCs/>
          <w:color w:val="auto"/>
          <w:szCs w:val="32"/>
          <w:highlight w:val="none"/>
          <w:lang w:val="en-US" w:eastAsia="zh-CN"/>
        </w:rPr>
        <w:t>4</w:t>
      </w:r>
      <w:r>
        <w:rPr>
          <w:rFonts w:hint="eastAsia" w:ascii="Arial" w:cs="Arial"/>
          <w:bCs/>
          <w:color w:val="auto"/>
          <w:szCs w:val="32"/>
          <w:highlight w:val="none"/>
        </w:rPr>
        <w:t>：规范农民工工资支付管理</w:t>
      </w:r>
      <w:bookmarkEnd w:id="1223"/>
      <w:bookmarkEnd w:id="1224"/>
      <w:bookmarkEnd w:id="1225"/>
      <w:bookmarkEnd w:id="1226"/>
      <w:bookmarkEnd w:id="1227"/>
      <w:bookmarkEnd w:id="1228"/>
      <w:bookmarkEnd w:id="1229"/>
      <w:bookmarkEnd w:id="1230"/>
    </w:p>
    <w:p w14:paraId="3055CD3A">
      <w:pPr>
        <w:snapToGrid w:val="0"/>
        <w:ind w:firstLine="562" w:firstLineChars="200"/>
        <w:jc w:val="center"/>
        <w:rPr>
          <w:rFonts w:cs="Arial"/>
          <w:b/>
          <w:color w:val="auto"/>
          <w:sz w:val="28"/>
          <w:szCs w:val="28"/>
          <w:highlight w:val="none"/>
        </w:rPr>
      </w:pPr>
      <w:r>
        <w:rPr>
          <w:rFonts w:hint="eastAsia" w:cs="Arial"/>
          <w:b/>
          <w:color w:val="auto"/>
          <w:sz w:val="28"/>
          <w:szCs w:val="28"/>
          <w:highlight w:val="none"/>
        </w:rPr>
        <w:t>规范农民工工资支付管理</w:t>
      </w:r>
    </w:p>
    <w:p w14:paraId="661FA94B">
      <w:pPr>
        <w:adjustRightInd w:val="0"/>
        <w:snapToGrid w:val="0"/>
        <w:ind w:firstLine="420" w:firstLineChars="200"/>
        <w:rPr>
          <w:color w:val="auto"/>
          <w:sz w:val="21"/>
          <w:highlight w:val="none"/>
        </w:rPr>
      </w:pPr>
    </w:p>
    <w:p w14:paraId="158AE366">
      <w:pPr>
        <w:adjustRightInd w:val="0"/>
        <w:snapToGrid w:val="0"/>
        <w:ind w:firstLine="420" w:firstLineChars="200"/>
        <w:rPr>
          <w:color w:val="auto"/>
          <w:sz w:val="21"/>
          <w:highlight w:val="none"/>
        </w:rPr>
      </w:pPr>
      <w:r>
        <w:rPr>
          <w:rFonts w:hint="eastAsia"/>
          <w:color w:val="auto"/>
          <w:sz w:val="21"/>
          <w:highlight w:val="none"/>
        </w:rPr>
        <w:t>按照</w:t>
      </w:r>
      <w:r>
        <w:rPr>
          <w:rFonts w:hint="eastAsia"/>
          <w:b/>
          <w:bCs/>
          <w:color w:val="auto"/>
          <w:sz w:val="21"/>
          <w:highlight w:val="none"/>
        </w:rPr>
        <w:t>《国务院办公厅关于全面治理拖欠农民工工资问题的意见》（国办发【2016】1号）</w:t>
      </w:r>
      <w:r>
        <w:rPr>
          <w:rFonts w:hint="eastAsia"/>
          <w:color w:val="auto"/>
          <w:sz w:val="21"/>
          <w:highlight w:val="none"/>
        </w:rPr>
        <w:t>和</w:t>
      </w:r>
      <w:r>
        <w:rPr>
          <w:rFonts w:hint="eastAsia"/>
          <w:b/>
          <w:bCs/>
          <w:color w:val="auto"/>
          <w:sz w:val="21"/>
          <w:highlight w:val="none"/>
        </w:rPr>
        <w:t>中石化《关于进一步规范农民工工资支付管理等有关事宜的通知》（集团工单财资【2019】83号）</w:t>
      </w:r>
      <w:r>
        <w:rPr>
          <w:rFonts w:hint="eastAsia"/>
          <w:color w:val="auto"/>
          <w:sz w:val="21"/>
          <w:highlight w:val="none"/>
        </w:rPr>
        <w:t>相关要求，为切实落实国家相关政策，发包人和承包人双方要深刻认识到解决拖欠农民工工资问题是事关社会公平正义和社会和谐稳定的重大政治任务，也是重大的民生工程、民心工程。</w:t>
      </w:r>
    </w:p>
    <w:p w14:paraId="3A11A73E">
      <w:pPr>
        <w:adjustRightInd w:val="0"/>
        <w:snapToGrid w:val="0"/>
        <w:ind w:firstLine="420" w:firstLineChars="200"/>
        <w:rPr>
          <w:color w:val="auto"/>
          <w:sz w:val="21"/>
          <w:highlight w:val="none"/>
        </w:rPr>
      </w:pPr>
      <w:r>
        <w:rPr>
          <w:rFonts w:hint="eastAsia"/>
          <w:color w:val="auto"/>
          <w:sz w:val="21"/>
          <w:highlight w:val="none"/>
        </w:rPr>
        <w:t>1、承包人要制订劳务用工制度，坚持施工企业与农民工先签订劳动合同后进场施工的原则，全面实行农民工实名制管理。在工程项目部配备劳资专管员，建立施工人员进出场登记制度和考勤计量</w:t>
      </w:r>
      <w:r>
        <w:rPr>
          <w:rFonts w:hint="eastAsia"/>
          <w:b/>
          <w:bCs/>
          <w:color w:val="auto"/>
          <w:sz w:val="21"/>
          <w:highlight w:val="none"/>
        </w:rPr>
        <w:t>（建议施工现场采用人脸识别、身份证识别打卡机等方式记录施工人员进出场和考勤）</w:t>
      </w:r>
      <w:r>
        <w:rPr>
          <w:rFonts w:hint="eastAsia"/>
          <w:color w:val="auto"/>
          <w:sz w:val="21"/>
          <w:highlight w:val="none"/>
        </w:rPr>
        <w:t>、工资支付等管理台账，实时掌握施工现场用工及其工资支付情况，不得以包代管。承包人和分包人应将经农民工本人签字确认的工资支付书面记录保存两年以上备查。</w:t>
      </w:r>
    </w:p>
    <w:p w14:paraId="18D3F113">
      <w:pPr>
        <w:adjustRightInd w:val="0"/>
        <w:snapToGrid w:val="0"/>
        <w:ind w:firstLine="420" w:firstLineChars="200"/>
        <w:rPr>
          <w:color w:val="auto"/>
          <w:sz w:val="21"/>
          <w:highlight w:val="none"/>
        </w:rPr>
      </w:pPr>
      <w:r>
        <w:rPr>
          <w:rFonts w:hint="eastAsia"/>
          <w:color w:val="auto"/>
          <w:sz w:val="21"/>
          <w:highlight w:val="none"/>
        </w:rPr>
        <w:t>2、</w:t>
      </w:r>
      <w:bookmarkStart w:id="1231" w:name="_Hlk27643812"/>
      <w:r>
        <w:rPr>
          <w:rFonts w:hint="eastAsia"/>
          <w:color w:val="auto"/>
          <w:sz w:val="21"/>
          <w:highlight w:val="none"/>
        </w:rPr>
        <w:t>承包人对农民工工资支付负总体责任、分包人负直接责任，不得以工程款未到位等为由克扣、拖欠农民工工资，不得将合同应收工程款等经营风险转嫁给农民工。承包人要设立农民工工资（劳务费）专用账户，负责落实分包业务中农民工实名制、工资专用账户管理、支付银行卡等相关政策。</w:t>
      </w:r>
      <w:bookmarkEnd w:id="1231"/>
    </w:p>
    <w:p w14:paraId="261BF4E0">
      <w:pPr>
        <w:adjustRightInd w:val="0"/>
        <w:snapToGrid w:val="0"/>
        <w:ind w:firstLine="420" w:firstLineChars="200"/>
        <w:rPr>
          <w:color w:val="auto"/>
          <w:sz w:val="21"/>
          <w:highlight w:val="none"/>
        </w:rPr>
      </w:pPr>
      <w:r>
        <w:rPr>
          <w:rFonts w:hint="eastAsia"/>
          <w:color w:val="auto"/>
          <w:sz w:val="21"/>
          <w:highlight w:val="none"/>
        </w:rPr>
        <w:t>3、承包人须分解工程价款中的人工费用，在工程项目所在地银行开设农民工工资（劳务费）专用账户，专项用于支付农民工工资。发包人按照承包人提供的人工费用数额，将应付工程款中的人工费单独拨付到施工总承包企业开设的农民工工资（劳务费）专用账户中，保障农民工工资发放。</w:t>
      </w:r>
    </w:p>
    <w:p w14:paraId="55AD2D46">
      <w:pPr>
        <w:adjustRightInd w:val="0"/>
        <w:snapToGrid w:val="0"/>
        <w:ind w:firstLine="420" w:firstLineChars="200"/>
        <w:rPr>
          <w:color w:val="auto"/>
          <w:sz w:val="21"/>
          <w:highlight w:val="none"/>
        </w:rPr>
      </w:pPr>
      <w:r>
        <w:rPr>
          <w:rFonts w:hint="eastAsia"/>
          <w:color w:val="auto"/>
          <w:sz w:val="21"/>
          <w:highlight w:val="none"/>
        </w:rPr>
        <w:t>4、推行银行代发工资制度。严格执行《保障农民工工资支付条例》。由施工承包人直接、及时、按月、足额支付农民工工资。施工承包人应当在工程项目开工之日起三十日内为该项目建立农民工个人工资专用账户，发包人按照约定拨付工程款时，应当按照工程承包合同约定的比例或者施工承包人提供的人工费用数额，将应付工程款中的人工费用按期分别拨付到农民工个人工资专用账户。实行专业或劳务分包单位农民工工资委托施工承包人代发制度，专业或劳务分包单位负责按月计算每位农民工当月应得工资额，并交施工承包人通过银行代发工资。</w:t>
      </w:r>
    </w:p>
    <w:p w14:paraId="443B0B6F">
      <w:pPr>
        <w:adjustRightInd w:val="0"/>
        <w:snapToGrid w:val="0"/>
        <w:ind w:firstLine="420" w:firstLineChars="200"/>
        <w:rPr>
          <w:color w:val="auto"/>
          <w:sz w:val="21"/>
          <w:highlight w:val="none"/>
        </w:rPr>
      </w:pPr>
      <w:r>
        <w:rPr>
          <w:rFonts w:hint="eastAsia"/>
          <w:color w:val="auto"/>
          <w:sz w:val="21"/>
          <w:highlight w:val="none"/>
        </w:rPr>
        <w:t>实行工资保证金制度、实名制用工管理制度及施工现场维权信息公示制度。</w:t>
      </w:r>
    </w:p>
    <w:p w14:paraId="6C47B074">
      <w:pPr>
        <w:adjustRightInd w:val="0"/>
        <w:snapToGrid w:val="0"/>
        <w:ind w:firstLine="420" w:firstLineChars="200"/>
        <w:rPr>
          <w:color w:val="auto"/>
          <w:sz w:val="21"/>
          <w:highlight w:val="none"/>
        </w:rPr>
      </w:pPr>
      <w:r>
        <w:rPr>
          <w:rFonts w:hint="eastAsia"/>
          <w:color w:val="auto"/>
          <w:sz w:val="21"/>
          <w:highlight w:val="none"/>
        </w:rPr>
        <w:t>发包人根据工程项目实际，制定施工承包人农民工工资支付情况监督检查措施。</w:t>
      </w:r>
    </w:p>
    <w:p w14:paraId="7B8B05DF">
      <w:pPr>
        <w:adjustRightInd w:val="0"/>
        <w:snapToGrid w:val="0"/>
        <w:ind w:firstLine="420" w:firstLineChars="200"/>
        <w:rPr>
          <w:color w:val="auto"/>
          <w:sz w:val="21"/>
          <w:highlight w:val="none"/>
        </w:rPr>
      </w:pPr>
      <w:r>
        <w:rPr>
          <w:rFonts w:hint="eastAsia"/>
          <w:color w:val="auto"/>
          <w:sz w:val="21"/>
          <w:highlight w:val="none"/>
        </w:rPr>
        <w:t>5、规范分包合同结算</w:t>
      </w:r>
    </w:p>
    <w:p w14:paraId="7577F462">
      <w:pPr>
        <w:adjustRightInd w:val="0"/>
        <w:snapToGrid w:val="0"/>
        <w:ind w:firstLine="420" w:firstLineChars="200"/>
        <w:rPr>
          <w:color w:val="auto"/>
          <w:sz w:val="21"/>
          <w:highlight w:val="none"/>
        </w:rPr>
      </w:pPr>
      <w:r>
        <w:rPr>
          <w:rFonts w:hint="eastAsia"/>
          <w:color w:val="auto"/>
          <w:sz w:val="21"/>
          <w:highlight w:val="none"/>
        </w:rPr>
        <w:t>① 固定总价合同，工程中交后原则上3个月内，除特殊情况外6个月内承包人应办理完分包结算，除质保金（3</w:t>
      </w:r>
      <w:r>
        <w:rPr>
          <w:color w:val="auto"/>
          <w:sz w:val="21"/>
          <w:highlight w:val="none"/>
        </w:rPr>
        <w:t>%</w:t>
      </w:r>
      <w:r>
        <w:rPr>
          <w:rFonts w:hint="eastAsia"/>
          <w:color w:val="auto"/>
          <w:sz w:val="21"/>
          <w:highlight w:val="none"/>
        </w:rPr>
        <w:t>）外，经承包人确认未拖欠农民工工资后付清全部分包结算款。</w:t>
      </w:r>
    </w:p>
    <w:p w14:paraId="2267D16F">
      <w:pPr>
        <w:adjustRightInd w:val="0"/>
        <w:snapToGrid w:val="0"/>
        <w:ind w:firstLine="420" w:firstLineChars="200"/>
        <w:rPr>
          <w:color w:val="auto"/>
          <w:sz w:val="21"/>
          <w:highlight w:val="none"/>
        </w:rPr>
      </w:pPr>
      <w:r>
        <w:rPr>
          <w:rFonts w:hint="eastAsia"/>
          <w:color w:val="auto"/>
          <w:sz w:val="21"/>
          <w:highlight w:val="none"/>
        </w:rPr>
        <w:t>② 承包人未按以上时间节点办理完毕，无正当理由证明分包人不及时结算的情况，发包人视情况有权要求承包人支付合同价款</w:t>
      </w:r>
      <w:r>
        <w:rPr>
          <w:color w:val="auto"/>
          <w:sz w:val="21"/>
          <w:highlight w:val="none"/>
        </w:rPr>
        <w:t>3%~10%</w:t>
      </w:r>
      <w:r>
        <w:rPr>
          <w:rFonts w:hint="eastAsia"/>
          <w:color w:val="auto"/>
          <w:sz w:val="21"/>
          <w:highlight w:val="none"/>
        </w:rPr>
        <w:t>的违约金。</w:t>
      </w:r>
    </w:p>
    <w:p w14:paraId="06729502">
      <w:pPr>
        <w:adjustRightInd w:val="0"/>
        <w:snapToGrid w:val="0"/>
        <w:ind w:firstLine="420" w:firstLineChars="200"/>
        <w:rPr>
          <w:color w:val="auto"/>
          <w:sz w:val="21"/>
          <w:highlight w:val="none"/>
        </w:rPr>
      </w:pPr>
      <w:r>
        <w:rPr>
          <w:rFonts w:hint="eastAsia"/>
          <w:color w:val="auto"/>
          <w:sz w:val="21"/>
          <w:highlight w:val="none"/>
        </w:rPr>
        <w:t>6、发包人在施工现场设置农民工薪金监督服务热线电话提示牌，并安排专人负责电话接访受理讨薪、投诉和举报等问题，保障农民工沟通监督服务渠道畅通。对于人员集中、出现过问题的施工现场要定期安排人员到施工现场进行现场接访答疑，及时受理讨薪、投诉和举报等问题。对于发现的问题，建设单位要提出整改时限（不超过1个月），限时未完成整改的，由建设单位或总承包企业从未结算工程款中先行支付，全力保障农民工合法权益。</w:t>
      </w:r>
    </w:p>
    <w:p w14:paraId="634F4344">
      <w:pPr>
        <w:adjustRightInd w:val="0"/>
        <w:snapToGrid w:val="0"/>
        <w:ind w:firstLine="420" w:firstLineChars="200"/>
        <w:rPr>
          <w:color w:val="auto"/>
          <w:sz w:val="21"/>
          <w:highlight w:val="none"/>
        </w:rPr>
      </w:pPr>
      <w:r>
        <w:rPr>
          <w:rFonts w:hint="eastAsia"/>
          <w:color w:val="auto"/>
          <w:sz w:val="21"/>
          <w:highlight w:val="none"/>
        </w:rPr>
        <w:t>7、发包人定期组织清查支付农民工工资情况，发现故意拖欠、克扣等行为的，及时督促整改，并根据合同条款及《茂名石化承包商管理程序》有关规定进行考核，情况严重的，限制招投标直至列入“黑名单”。</w:t>
      </w:r>
    </w:p>
    <w:p w14:paraId="44E3D530">
      <w:pPr>
        <w:widowControl/>
        <w:spacing w:line="240" w:lineRule="auto"/>
        <w:jc w:val="left"/>
        <w:rPr>
          <w:color w:val="auto"/>
          <w:highlight w:val="none"/>
        </w:rPr>
      </w:pPr>
      <w:r>
        <w:rPr>
          <w:color w:val="auto"/>
          <w:highlight w:val="none"/>
        </w:rPr>
        <w:br w:type="page"/>
      </w:r>
    </w:p>
    <w:p w14:paraId="19ADEA2A">
      <w:pPr>
        <w:keepNext/>
        <w:keepLines/>
        <w:adjustRightInd w:val="0"/>
        <w:snapToGrid w:val="0"/>
        <w:spacing w:after="240" w:afterLines="100" w:line="240" w:lineRule="auto"/>
        <w:outlineLvl w:val="1"/>
        <w:rPr>
          <w:bCs/>
          <w:color w:val="auto"/>
          <w:highlight w:val="none"/>
        </w:rPr>
      </w:pPr>
      <w:bookmarkStart w:id="1232" w:name="_Toc99782866"/>
      <w:bookmarkStart w:id="1233" w:name="_Toc5207"/>
      <w:bookmarkStart w:id="1234" w:name="_Toc119953783"/>
      <w:bookmarkStart w:id="1235" w:name="_Toc256000205"/>
      <w:bookmarkStart w:id="1236" w:name="_Toc64904380"/>
      <w:bookmarkStart w:id="1237" w:name="_Toc256000128"/>
      <w:bookmarkStart w:id="1238" w:name="_Toc91660659"/>
      <w:bookmarkStart w:id="1239" w:name="_Toc33186059"/>
      <w:bookmarkStart w:id="1240" w:name="_Toc115209336"/>
      <w:bookmarkStart w:id="1241" w:name="_Toc81225326"/>
      <w:bookmarkStart w:id="1242" w:name="_Hlk28440631"/>
      <w:bookmarkStart w:id="1243" w:name="_Toc2092359457"/>
      <w:bookmarkStart w:id="1244" w:name="_Toc671603218"/>
      <w:r>
        <w:rPr>
          <w:rFonts w:hint="eastAsia"/>
          <w:bCs/>
          <w:color w:val="auto"/>
          <w:highlight w:val="none"/>
        </w:rPr>
        <w:t>附件1</w:t>
      </w:r>
      <w:r>
        <w:rPr>
          <w:rFonts w:hint="eastAsia"/>
          <w:bCs/>
          <w:color w:val="auto"/>
          <w:highlight w:val="none"/>
          <w:lang w:val="en-US" w:eastAsia="zh-CN"/>
        </w:rPr>
        <w:t>5</w:t>
      </w:r>
      <w:r>
        <w:rPr>
          <w:rFonts w:hint="eastAsia"/>
          <w:bCs/>
          <w:color w:val="auto"/>
          <w:highlight w:val="none"/>
        </w:rPr>
        <w:t>：关于集团外承包人的物资采购要求</w:t>
      </w:r>
      <w:bookmarkEnd w:id="1232"/>
      <w:bookmarkEnd w:id="1233"/>
      <w:bookmarkEnd w:id="1234"/>
      <w:bookmarkEnd w:id="1235"/>
      <w:bookmarkEnd w:id="1236"/>
      <w:bookmarkEnd w:id="1237"/>
      <w:bookmarkEnd w:id="1238"/>
      <w:bookmarkEnd w:id="1239"/>
      <w:bookmarkEnd w:id="1240"/>
      <w:bookmarkEnd w:id="1241"/>
    </w:p>
    <w:bookmarkEnd w:id="1242"/>
    <w:p w14:paraId="06D5AEDE">
      <w:pPr>
        <w:ind w:right="51" w:firstLine="148" w:firstLineChars="49"/>
        <w:jc w:val="center"/>
        <w:rPr>
          <w:color w:val="auto"/>
          <w:highlight w:val="none"/>
        </w:rPr>
      </w:pPr>
      <w:r>
        <w:rPr>
          <w:rFonts w:hint="eastAsia" w:cs="Arial"/>
          <w:b/>
          <w:color w:val="auto"/>
          <w:sz w:val="30"/>
          <w:szCs w:val="30"/>
          <w:highlight w:val="none"/>
        </w:rPr>
        <w:t>关于集团外承包人的物资采购要求</w:t>
      </w:r>
    </w:p>
    <w:p w14:paraId="11DE53AC">
      <w:pPr>
        <w:ind w:firstLine="420" w:firstLineChars="200"/>
        <w:rPr>
          <w:color w:val="auto"/>
          <w:sz w:val="21"/>
          <w:highlight w:val="none"/>
        </w:rPr>
      </w:pPr>
      <w:r>
        <w:rPr>
          <w:rFonts w:hint="eastAsia" w:ascii="华文楷体" w:hAnsi="华文楷体" w:eastAsia="华文楷体"/>
          <w:color w:val="auto"/>
          <w:sz w:val="21"/>
          <w:highlight w:val="none"/>
        </w:rPr>
        <w:t>说明：若EPC或施工总承包、施工专业承包合同中的承包人是本工程建设项目（包括固定资产投资、检维修、技术改造项目和工程技术服务，下同）的集团公司外部单位（即集团外承包商），其采购物资（即乙供物资）活动应执行《中国石化集团外承包商物资采购监督管理办法》的规定，主要内容如下：</w:t>
      </w:r>
      <w:r>
        <w:rPr>
          <w:rFonts w:hint="eastAsia"/>
          <w:color w:val="auto"/>
          <w:sz w:val="21"/>
          <w:highlight w:val="none"/>
        </w:rPr>
        <w:t xml:space="preserve"> </w:t>
      </w:r>
    </w:p>
    <w:p w14:paraId="323AF842">
      <w:pPr>
        <w:ind w:firstLine="480" w:firstLineChars="200"/>
        <w:rPr>
          <w:color w:val="auto"/>
          <w:highlight w:val="none"/>
        </w:rPr>
      </w:pPr>
      <w:r>
        <w:rPr>
          <w:rFonts w:hint="eastAsia"/>
          <w:color w:val="auto"/>
          <w:highlight w:val="none"/>
        </w:rPr>
        <w:t>1.在乙供物资的采购活动中，承、发包双方（以下简称合同双方）应严格执行《中国石化集团外承包商物资采购监督管理办法》（中国石化物〔2017〕697号）的规定。</w:t>
      </w:r>
    </w:p>
    <w:p w14:paraId="3C5148B0">
      <w:pPr>
        <w:ind w:firstLine="480" w:firstLineChars="200"/>
        <w:rPr>
          <w:color w:val="auto"/>
          <w:highlight w:val="none"/>
        </w:rPr>
      </w:pPr>
      <w:r>
        <w:rPr>
          <w:rFonts w:hint="eastAsia"/>
          <w:color w:val="auto"/>
          <w:highlight w:val="none"/>
        </w:rPr>
        <w:t>2.发包人是乙供物资采购监管的责任主体，负责建立乙供物资采购监督管理实施细则和工作流程，指导、督促并推进乙供采购物资电子化采购和招标采购，审查承包人提出的采购策略、采购方案、评标办法、供应商资格审查条件等资料，加强乙供物资质量监督检查并督促问题整改，确保乙供物资质量、性能满足工程建设项目安全要求。</w:t>
      </w:r>
    </w:p>
    <w:p w14:paraId="098B989D">
      <w:pPr>
        <w:ind w:firstLine="480" w:firstLineChars="200"/>
        <w:rPr>
          <w:color w:val="auto"/>
          <w:highlight w:val="none"/>
        </w:rPr>
      </w:pPr>
      <w:r>
        <w:rPr>
          <w:rFonts w:hint="eastAsia"/>
          <w:color w:val="auto"/>
          <w:highlight w:val="none"/>
        </w:rPr>
        <w:t>3.乙供物资采购、验收、质量检验与监造、质量证明文件审查等相关要求应符合中国石化物资采购相关制度要求。</w:t>
      </w:r>
    </w:p>
    <w:p w14:paraId="197EC0EB">
      <w:pPr>
        <w:ind w:firstLine="480" w:firstLineChars="200"/>
        <w:rPr>
          <w:color w:val="auto"/>
          <w:highlight w:val="none"/>
        </w:rPr>
      </w:pPr>
      <w:r>
        <w:rPr>
          <w:rFonts w:hint="eastAsia"/>
          <w:color w:val="auto"/>
          <w:highlight w:val="none"/>
        </w:rPr>
        <w:t>4.发包人指导承包人编制重点工程项目乙供物资采购策略，主要明确采购方式、供应商选择、质量控制等内容，发包人组织相关部门审查通过后执行，并报物资装备部备案。</w:t>
      </w:r>
    </w:p>
    <w:p w14:paraId="52D0EEBA">
      <w:pPr>
        <w:ind w:firstLine="480" w:firstLineChars="200"/>
        <w:rPr>
          <w:color w:val="auto"/>
          <w:highlight w:val="none"/>
        </w:rPr>
      </w:pPr>
      <w:r>
        <w:rPr>
          <w:rFonts w:hint="eastAsia"/>
          <w:color w:val="auto"/>
          <w:highlight w:val="none"/>
        </w:rPr>
        <w:t>5.中国石油化工集团公司（以下简称集团公司）签订的框架协议已涵盖的乙供物资品种，通过易派客电商平台实施采购。发包人组织承包人提出拟执行框架协议清单，审核后提交添加执行方申请。承包人执行框架协议项下订单并结算。</w:t>
      </w:r>
    </w:p>
    <w:p w14:paraId="5EA787F3">
      <w:pPr>
        <w:ind w:firstLine="480" w:firstLineChars="200"/>
        <w:rPr>
          <w:color w:val="auto"/>
          <w:highlight w:val="none"/>
        </w:rPr>
      </w:pPr>
      <w:r>
        <w:rPr>
          <w:rFonts w:hint="eastAsia"/>
          <w:color w:val="auto"/>
          <w:highlight w:val="none"/>
        </w:rPr>
        <w:t>6.属依法必须招标的乙供物资，以及发包人认定对工程施工、作业安全及装置设备稳定运行等方面有重大影响的重要物资，由发包人组织，通过中国石化物资招标平台实施招标采购。招标结果经发包人和承包人确认后，由承包人与供应商签约。</w:t>
      </w:r>
    </w:p>
    <w:p w14:paraId="42B6853A">
      <w:pPr>
        <w:ind w:firstLine="480" w:firstLineChars="200"/>
        <w:rPr>
          <w:color w:val="auto"/>
          <w:highlight w:val="none"/>
        </w:rPr>
      </w:pPr>
      <w:r>
        <w:rPr>
          <w:rFonts w:hint="eastAsia"/>
          <w:color w:val="auto"/>
          <w:highlight w:val="none"/>
        </w:rPr>
        <w:t>7.发包人确定主要乙供物资清单，根据项目建设需要，参与承包人开展的主要乙供物资的技术交流、商务谈判等采购活动，承包人提出的主要乙供物资的采购方案，经发包人审查通过后实施。其他乙供物资采购结果，发包人根据需要实施备案。</w:t>
      </w:r>
    </w:p>
    <w:p w14:paraId="2C00DA46">
      <w:pPr>
        <w:ind w:firstLine="480" w:firstLineChars="200"/>
        <w:rPr>
          <w:color w:val="auto"/>
          <w:highlight w:val="none"/>
        </w:rPr>
      </w:pPr>
      <w:r>
        <w:rPr>
          <w:rFonts w:hint="eastAsia"/>
          <w:color w:val="auto"/>
          <w:highlight w:val="none"/>
        </w:rPr>
        <w:t>8.乙供物资的指定采购和独家采购要接受发包人的监控。乙供物资确需独家采购的，发包人实施内部公示，无异议后由承包人实施采购。</w:t>
      </w:r>
    </w:p>
    <w:p w14:paraId="72606100">
      <w:pPr>
        <w:ind w:firstLine="480" w:firstLineChars="200"/>
        <w:rPr>
          <w:strike/>
          <w:color w:val="auto"/>
          <w:highlight w:val="none"/>
        </w:rPr>
      </w:pPr>
      <w:r>
        <w:rPr>
          <w:rFonts w:hint="eastAsia"/>
          <w:color w:val="auto"/>
          <w:highlight w:val="none"/>
        </w:rPr>
        <w:t>9.发包人审查承包人提出的供应商资格审查条件，通过后由承包人开展供应商资格审查。资格审查合格的供应商，赋予相应物资目录权限，业务范围仅限于本承包人。</w:t>
      </w:r>
    </w:p>
    <w:p w14:paraId="3A35729E">
      <w:pPr>
        <w:ind w:firstLine="480" w:firstLineChars="200"/>
        <w:rPr>
          <w:color w:val="auto"/>
          <w:highlight w:val="none"/>
        </w:rPr>
      </w:pPr>
      <w:r>
        <w:rPr>
          <w:rFonts w:hint="eastAsia"/>
          <w:color w:val="auto"/>
          <w:highlight w:val="none"/>
        </w:rPr>
        <w:t>10.发包人组织承包人及时收集、核实供应商在参与工程建设项目物资供应活动中，存在的质量、交货、服务、诚信等方面的违约行为，参照中国石化物资采购供应资源管理的有关规定进行处理并通报。</w:t>
      </w:r>
    </w:p>
    <w:p w14:paraId="5D141F99">
      <w:pPr>
        <w:ind w:firstLine="480" w:firstLineChars="200"/>
        <w:rPr>
          <w:color w:val="auto"/>
          <w:highlight w:val="none"/>
        </w:rPr>
      </w:pPr>
      <w:r>
        <w:rPr>
          <w:rFonts w:hint="eastAsia"/>
          <w:color w:val="auto"/>
          <w:highlight w:val="none"/>
        </w:rPr>
        <w:t>11.承包人应严格执行发包人建立的进入现场物资的检验（包括第三方检验）和接货验收工作标准及操作流程。</w:t>
      </w:r>
    </w:p>
    <w:p w14:paraId="5C26B493">
      <w:pPr>
        <w:ind w:firstLine="480" w:firstLineChars="200"/>
        <w:rPr>
          <w:color w:val="auto"/>
          <w:highlight w:val="none"/>
        </w:rPr>
      </w:pPr>
      <w:r>
        <w:rPr>
          <w:rFonts w:hint="eastAsia"/>
          <w:color w:val="auto"/>
          <w:highlight w:val="none"/>
        </w:rPr>
        <w:t>12.承包人应制订包括物资入库验收、现场保管、设备材料移交前保养等方面的乙供物资质量控制方案，并提交发包人组织审查。对重要设备、关键材料等乙供物资，由发包人提出需质量监造的物资目录，并监督承包人实施。</w:t>
      </w:r>
    </w:p>
    <w:p w14:paraId="35647DA0">
      <w:pPr>
        <w:ind w:firstLine="480" w:firstLineChars="200"/>
        <w:rPr>
          <w:color w:val="auto"/>
          <w:highlight w:val="none"/>
        </w:rPr>
      </w:pPr>
      <w:r>
        <w:rPr>
          <w:rFonts w:hint="eastAsia"/>
          <w:color w:val="auto"/>
          <w:highlight w:val="none"/>
        </w:rPr>
        <w:t>13.发包人对乙供物资质量控制方案执行情况定期组织监督检查，对发现的物资质量缺陷、不规范操作等问题，督促承包人限期整改。因乙供物资质量、交货等问题致使工程建设项目工期推迟、影响项目安全、造成经济损失的，发包人将对承包人进行索赔。</w:t>
      </w:r>
    </w:p>
    <w:p w14:paraId="511BC1F9">
      <w:pPr>
        <w:ind w:firstLine="480" w:firstLineChars="200"/>
        <w:rPr>
          <w:color w:val="auto"/>
          <w:highlight w:val="none"/>
        </w:rPr>
      </w:pPr>
      <w:r>
        <w:rPr>
          <w:rFonts w:hint="eastAsia"/>
          <w:color w:val="auto"/>
          <w:highlight w:val="none"/>
        </w:rPr>
        <w:t>14.因工程建设项目需要新增物料编码的，发包人协助承包人通过中国石化信息化标准管理系统在线申请。</w:t>
      </w:r>
    </w:p>
    <w:p w14:paraId="104C970D">
      <w:pPr>
        <w:ind w:right="51" w:firstLine="480" w:firstLineChars="200"/>
        <w:rPr>
          <w:color w:val="auto"/>
          <w:highlight w:val="none"/>
        </w:rPr>
      </w:pPr>
      <w:r>
        <w:rPr>
          <w:rFonts w:hint="eastAsia"/>
          <w:color w:val="auto"/>
          <w:highlight w:val="none"/>
        </w:rPr>
        <w:t>15发包人提出承包人需开通的中国石化电子化采购平台权限申请，指导承包人在电子化采购平台中配置相关岗位账户权限，并进行操作培训。</w:t>
      </w:r>
    </w:p>
    <w:p w14:paraId="1280119B">
      <w:pPr>
        <w:ind w:right="51" w:firstLine="480" w:firstLineChars="200"/>
        <w:rPr>
          <w:color w:val="auto"/>
          <w:highlight w:val="none"/>
        </w:rPr>
        <w:sectPr>
          <w:footerReference r:id="rId5" w:type="default"/>
          <w:pgSz w:w="11906" w:h="16838"/>
          <w:pgMar w:top="1440" w:right="1800" w:bottom="1440" w:left="1800" w:header="851" w:footer="992" w:gutter="0"/>
          <w:cols w:space="720" w:num="1"/>
          <w:docGrid w:linePitch="312" w:charSpace="0"/>
        </w:sectPr>
      </w:pPr>
    </w:p>
    <w:bookmarkEnd w:id="1243"/>
    <w:bookmarkEnd w:id="1244"/>
    <w:p w14:paraId="337DD65E">
      <w:pPr>
        <w:keepNext/>
        <w:keepLines/>
        <w:pageBreakBefore/>
        <w:spacing w:after="240" w:afterLines="100" w:line="240" w:lineRule="auto"/>
        <w:outlineLvl w:val="1"/>
        <w:rPr>
          <w:rFonts w:cs="Arial"/>
          <w:bCs/>
          <w:color w:val="auto"/>
          <w:highlight w:val="none"/>
        </w:rPr>
      </w:pPr>
      <w:bookmarkStart w:id="1245" w:name="_Toc47447610"/>
      <w:bookmarkStart w:id="1246" w:name="_Toc117018845"/>
      <w:bookmarkStart w:id="1247" w:name="_Toc64904382"/>
      <w:bookmarkStart w:id="1248" w:name="_Toc256000207"/>
      <w:bookmarkStart w:id="1249" w:name="_Toc81225328"/>
      <w:bookmarkStart w:id="1250" w:name="_Toc91660661"/>
      <w:bookmarkStart w:id="1251" w:name="_Toc99782868"/>
      <w:bookmarkStart w:id="1252" w:name="_Toc256000129"/>
      <w:bookmarkStart w:id="1253" w:name="_Toc45886122"/>
      <w:bookmarkStart w:id="1254" w:name="_Toc119953784"/>
      <w:bookmarkStart w:id="1255" w:name="_Toc18455"/>
      <w:bookmarkStart w:id="1256" w:name="_Toc651206020"/>
      <w:bookmarkStart w:id="1257" w:name="_Toc628626911"/>
      <w:r>
        <w:rPr>
          <w:rFonts w:hint="eastAsia" w:cs="Arial"/>
          <w:bCs/>
          <w:color w:val="auto"/>
          <w:highlight w:val="none"/>
        </w:rPr>
        <w:t>附件1</w:t>
      </w:r>
      <w:r>
        <w:rPr>
          <w:rFonts w:hint="eastAsia" w:cs="Arial"/>
          <w:bCs/>
          <w:color w:val="auto"/>
          <w:highlight w:val="none"/>
          <w:lang w:val="en-US" w:eastAsia="zh-CN"/>
        </w:rPr>
        <w:t>6</w:t>
      </w:r>
      <w:r>
        <w:rPr>
          <w:rFonts w:hint="eastAsia" w:cs="Arial"/>
          <w:bCs/>
          <w:color w:val="auto"/>
          <w:highlight w:val="none"/>
        </w:rPr>
        <w:t>：中国石化建设项目承包商记分量化考核办法（试行）</w:t>
      </w:r>
      <w:bookmarkEnd w:id="1245"/>
      <w:bookmarkEnd w:id="1246"/>
      <w:bookmarkEnd w:id="1247"/>
      <w:bookmarkEnd w:id="1248"/>
      <w:bookmarkEnd w:id="1249"/>
      <w:bookmarkEnd w:id="1250"/>
      <w:bookmarkEnd w:id="1251"/>
      <w:bookmarkEnd w:id="1252"/>
      <w:bookmarkEnd w:id="1253"/>
      <w:bookmarkEnd w:id="1254"/>
      <w:bookmarkEnd w:id="1255"/>
    </w:p>
    <w:p w14:paraId="63017399">
      <w:pPr>
        <w:snapToGrid w:val="0"/>
        <w:spacing w:line="240" w:lineRule="auto"/>
        <w:jc w:val="center"/>
        <w:rPr>
          <w:color w:val="auto"/>
          <w:sz w:val="30"/>
          <w:szCs w:val="30"/>
          <w:highlight w:val="none"/>
        </w:rPr>
      </w:pPr>
      <w:r>
        <w:rPr>
          <w:rFonts w:hint="eastAsia"/>
          <w:color w:val="auto"/>
          <w:sz w:val="30"/>
          <w:szCs w:val="30"/>
          <w:highlight w:val="none"/>
        </w:rPr>
        <w:t>中国石化建设项目承包商记分量化考核办法（试行）</w:t>
      </w:r>
    </w:p>
    <w:p w14:paraId="7247BAE3">
      <w:pPr>
        <w:snapToGrid w:val="0"/>
        <w:ind w:firstLine="480" w:firstLineChars="200"/>
        <w:rPr>
          <w:color w:val="auto"/>
          <w:highlight w:val="none"/>
        </w:rPr>
      </w:pPr>
      <w:r>
        <w:rPr>
          <w:rFonts w:hint="eastAsia"/>
          <w:color w:val="auto"/>
          <w:highlight w:val="none"/>
        </w:rPr>
        <w:t>1.  总则</w:t>
      </w:r>
    </w:p>
    <w:p w14:paraId="0C4F94C0">
      <w:pPr>
        <w:snapToGrid w:val="0"/>
        <w:ind w:firstLine="480" w:firstLineChars="200"/>
        <w:rPr>
          <w:color w:val="auto"/>
          <w:highlight w:val="none"/>
        </w:rPr>
      </w:pPr>
      <w:r>
        <w:rPr>
          <w:rFonts w:hint="eastAsia"/>
          <w:color w:val="auto"/>
          <w:highlight w:val="none"/>
        </w:rPr>
        <w:t>1.1  目的依据</w:t>
      </w:r>
    </w:p>
    <w:p w14:paraId="7728E031">
      <w:pPr>
        <w:snapToGrid w:val="0"/>
        <w:ind w:firstLine="480" w:firstLineChars="200"/>
        <w:rPr>
          <w:color w:val="auto"/>
          <w:highlight w:val="none"/>
        </w:rPr>
      </w:pPr>
      <w:r>
        <w:rPr>
          <w:rFonts w:hint="eastAsia"/>
          <w:color w:val="auto"/>
          <w:highlight w:val="none"/>
        </w:rPr>
        <w:t>为规范中国石油化工集团有限公司、中国石油化工股份有限公司（以下统称中国石化）建设项目承包商记分及量化考核管理工作，全面加强承包商直接作业环节管理，提升工程建设管理水平，确保建设项目顺利实施，依照国家法律、法规和中国石化相关制度，制定本办法。</w:t>
      </w:r>
    </w:p>
    <w:p w14:paraId="266D4A02">
      <w:pPr>
        <w:snapToGrid w:val="0"/>
        <w:ind w:firstLine="480" w:firstLineChars="200"/>
        <w:rPr>
          <w:color w:val="auto"/>
          <w:highlight w:val="none"/>
        </w:rPr>
      </w:pPr>
      <w:r>
        <w:rPr>
          <w:rFonts w:hint="eastAsia"/>
          <w:color w:val="auto"/>
          <w:highlight w:val="none"/>
        </w:rPr>
        <w:t>1.2  适用范围</w:t>
      </w:r>
    </w:p>
    <w:p w14:paraId="19C4B09C">
      <w:pPr>
        <w:snapToGrid w:val="0"/>
        <w:ind w:firstLine="480" w:firstLineChars="200"/>
        <w:rPr>
          <w:color w:val="auto"/>
          <w:highlight w:val="none"/>
        </w:rPr>
      </w:pPr>
      <w:r>
        <w:rPr>
          <w:rFonts w:hint="eastAsia"/>
          <w:color w:val="auto"/>
          <w:highlight w:val="none"/>
        </w:rPr>
        <w:t>1.2.1  中国石化各企事业单位、股份公司各分（子）公司（统称企业），在中华人民共和国境内独资、合资控股、合作主导方式建设的建设项目（工程建设项目和大检修项目）中，对承包商及从业人员的记分及量化考核管理，按照本办法执行。</w:t>
      </w:r>
    </w:p>
    <w:p w14:paraId="286414B7">
      <w:pPr>
        <w:snapToGrid w:val="0"/>
        <w:ind w:firstLine="480" w:firstLineChars="200"/>
        <w:rPr>
          <w:color w:val="auto"/>
          <w:highlight w:val="none"/>
        </w:rPr>
      </w:pPr>
      <w:r>
        <w:rPr>
          <w:rFonts w:hint="eastAsia"/>
          <w:color w:val="auto"/>
          <w:highlight w:val="none"/>
        </w:rPr>
        <w:t>1.2.2  各企业对承担日常检维修工作承包商的考核可参照本办法执行。</w:t>
      </w:r>
    </w:p>
    <w:p w14:paraId="1C4F598A">
      <w:pPr>
        <w:snapToGrid w:val="0"/>
        <w:ind w:firstLine="480" w:firstLineChars="200"/>
        <w:rPr>
          <w:color w:val="auto"/>
          <w:highlight w:val="none"/>
        </w:rPr>
      </w:pPr>
      <w:r>
        <w:rPr>
          <w:rFonts w:hint="eastAsia"/>
          <w:color w:val="auto"/>
          <w:highlight w:val="none"/>
        </w:rPr>
        <w:t>1.3  内容界定</w:t>
      </w:r>
    </w:p>
    <w:p w14:paraId="4CE1CE67">
      <w:pPr>
        <w:snapToGrid w:val="0"/>
        <w:ind w:firstLine="480" w:firstLineChars="200"/>
        <w:rPr>
          <w:color w:val="auto"/>
          <w:highlight w:val="none"/>
        </w:rPr>
      </w:pPr>
      <w:r>
        <w:rPr>
          <w:rFonts w:hint="eastAsia"/>
          <w:color w:val="auto"/>
          <w:highlight w:val="none"/>
        </w:rPr>
        <w:t>1.3.1  本办法所称考核主体，是指通过记录问题事件实施记分及量化考核的各类主体，包括总部相关职能部门、建设单位、分包发包人等单位。</w:t>
      </w:r>
    </w:p>
    <w:p w14:paraId="1E18DFC7">
      <w:pPr>
        <w:snapToGrid w:val="0"/>
        <w:ind w:firstLine="480" w:firstLineChars="200"/>
        <w:rPr>
          <w:color w:val="auto"/>
          <w:highlight w:val="none"/>
        </w:rPr>
      </w:pPr>
      <w:r>
        <w:rPr>
          <w:rFonts w:hint="eastAsia"/>
          <w:color w:val="auto"/>
          <w:highlight w:val="none"/>
        </w:rPr>
        <w:t>1.3.2  本办法所称考核对象，是指接受记分及量化考核的承包商、从业人员。</w:t>
      </w:r>
    </w:p>
    <w:p w14:paraId="29D00698">
      <w:pPr>
        <w:snapToGrid w:val="0"/>
        <w:ind w:firstLine="480" w:firstLineChars="200"/>
        <w:rPr>
          <w:color w:val="auto"/>
          <w:highlight w:val="none"/>
        </w:rPr>
      </w:pPr>
      <w:r>
        <w:rPr>
          <w:rFonts w:hint="eastAsia"/>
          <w:color w:val="auto"/>
          <w:highlight w:val="none"/>
        </w:rPr>
        <w:t>1.3.3  本办法所称承包商,是指参与建设项目的工程总承包、勘察、设计、施工、监理、检测等有关的法人或其他组织，包括总包商和分包商。</w:t>
      </w:r>
    </w:p>
    <w:p w14:paraId="453D159B">
      <w:pPr>
        <w:snapToGrid w:val="0"/>
        <w:ind w:firstLine="480" w:firstLineChars="200"/>
        <w:rPr>
          <w:color w:val="auto"/>
          <w:highlight w:val="none"/>
        </w:rPr>
      </w:pPr>
      <w:r>
        <w:rPr>
          <w:rFonts w:hint="eastAsia"/>
          <w:color w:val="auto"/>
          <w:highlight w:val="none"/>
        </w:rPr>
        <w:t>1.3.4  本办法所称从业人员，是指参与建设项目建设活动的各类管理人员、作业人员等。</w:t>
      </w:r>
    </w:p>
    <w:p w14:paraId="357E962D">
      <w:pPr>
        <w:snapToGrid w:val="0"/>
        <w:ind w:firstLine="480" w:firstLineChars="200"/>
        <w:rPr>
          <w:color w:val="auto"/>
          <w:highlight w:val="none"/>
        </w:rPr>
      </w:pPr>
      <w:r>
        <w:rPr>
          <w:rFonts w:hint="eastAsia"/>
          <w:color w:val="auto"/>
          <w:highlight w:val="none"/>
        </w:rPr>
        <w:t>1.3.5  本办法所称主要管理人员，是指在承包商组建项目部中行使管理职能，承担主要管理责任的人员。主要管理人员清单详见附件。</w:t>
      </w:r>
    </w:p>
    <w:p w14:paraId="2AC9C03E">
      <w:pPr>
        <w:snapToGrid w:val="0"/>
        <w:ind w:firstLine="480" w:firstLineChars="200"/>
        <w:rPr>
          <w:color w:val="auto"/>
          <w:highlight w:val="none"/>
        </w:rPr>
      </w:pPr>
      <w:r>
        <w:rPr>
          <w:rFonts w:hint="eastAsia"/>
          <w:color w:val="auto"/>
          <w:highlight w:val="none"/>
        </w:rPr>
        <w:t>1.3.6  本办法所称事件，是对承包商或从业人员参与建设项目建设活动各类行为的归纳总结，构成考核模型的最基本单元。</w:t>
      </w:r>
    </w:p>
    <w:p w14:paraId="048C15DB">
      <w:pPr>
        <w:snapToGrid w:val="0"/>
        <w:ind w:firstLine="480" w:firstLineChars="200"/>
        <w:rPr>
          <w:color w:val="auto"/>
          <w:highlight w:val="none"/>
        </w:rPr>
      </w:pPr>
      <w:r>
        <w:rPr>
          <w:rFonts w:hint="eastAsia"/>
          <w:color w:val="auto"/>
          <w:highlight w:val="none"/>
        </w:rPr>
        <w:t>1.3.7  本办法所称考核模型，是指对各类事件赋予记分规则形成考核指标，并按照一定算法规则组合成为记分、量化评价特定对象的方法。</w:t>
      </w:r>
    </w:p>
    <w:p w14:paraId="240772E7">
      <w:pPr>
        <w:snapToGrid w:val="0"/>
        <w:ind w:firstLine="480" w:firstLineChars="200"/>
        <w:rPr>
          <w:color w:val="auto"/>
          <w:highlight w:val="none"/>
        </w:rPr>
      </w:pPr>
      <w:r>
        <w:rPr>
          <w:rFonts w:hint="eastAsia"/>
          <w:color w:val="auto"/>
          <w:highlight w:val="none"/>
        </w:rPr>
        <w:t>1.3.8  本办法所称量化考核，是指对承包商、主要管理人员的合同履约（个人履职）、基本信息及市场行为三方面情况，按照统一的评价规则和标准进行量化评价，通过信息系统按照考核模型汇总计算得出承包商、主要管理人员的总体量化评价，将评价结果应用于工程建设监督管理、工程采购活动和战略承包商培育等工作。承包商、主要管理人员合同履约（个人履职）、基本信息、市场行为三方面量化评价以及总体量化评价均采取百分制。</w:t>
      </w:r>
    </w:p>
    <w:p w14:paraId="178B74A0">
      <w:pPr>
        <w:snapToGrid w:val="0"/>
        <w:ind w:firstLine="480" w:firstLineChars="200"/>
        <w:rPr>
          <w:color w:val="auto"/>
          <w:highlight w:val="none"/>
        </w:rPr>
      </w:pPr>
      <w:r>
        <w:rPr>
          <w:rFonts w:hint="eastAsia"/>
          <w:color w:val="auto"/>
          <w:highlight w:val="none"/>
        </w:rPr>
        <w:t>1.3.9  本办法所称记分考核，是指对承包商及从业人员直接作业环节行为同时进行记分管理，根据记分情况，按照本办法相关规定对承包商和从业人员即时进行处置，强化过程管理。承包商记分考核采取百分制，从业人员记分考核采取12分制。</w:t>
      </w:r>
    </w:p>
    <w:p w14:paraId="1148210A">
      <w:pPr>
        <w:snapToGrid w:val="0"/>
        <w:ind w:firstLine="480" w:firstLineChars="200"/>
        <w:rPr>
          <w:color w:val="auto"/>
          <w:highlight w:val="none"/>
        </w:rPr>
      </w:pPr>
      <w:r>
        <w:rPr>
          <w:rFonts w:hint="eastAsia"/>
          <w:color w:val="auto"/>
          <w:highlight w:val="none"/>
        </w:rPr>
        <w:t>1.3.10  本办法所称中国石化建设项目承包商管理信息平台（简称管理平台），是指覆盖中国石化各企业，满足各考核主体在线开展承包商及从业人员记分及量化考核需要，将考核评价结果进行共享和应用的信息系统。</w:t>
      </w:r>
    </w:p>
    <w:p w14:paraId="61427357">
      <w:pPr>
        <w:snapToGrid w:val="0"/>
        <w:ind w:firstLine="480" w:firstLineChars="200"/>
        <w:rPr>
          <w:color w:val="auto"/>
          <w:highlight w:val="none"/>
        </w:rPr>
      </w:pPr>
      <w:r>
        <w:rPr>
          <w:rFonts w:hint="eastAsia"/>
          <w:color w:val="auto"/>
          <w:highlight w:val="none"/>
        </w:rPr>
        <w:t>1.4  管理原则</w:t>
      </w:r>
    </w:p>
    <w:p w14:paraId="584D33AA">
      <w:pPr>
        <w:snapToGrid w:val="0"/>
        <w:ind w:firstLine="480" w:firstLineChars="200"/>
        <w:rPr>
          <w:color w:val="auto"/>
          <w:highlight w:val="none"/>
        </w:rPr>
      </w:pPr>
      <w:r>
        <w:rPr>
          <w:rFonts w:hint="eastAsia"/>
          <w:color w:val="auto"/>
          <w:highlight w:val="none"/>
        </w:rPr>
        <w:t>1.4.1  坚持公平公正。考核主体应当规范工作程序，公平公正考核各承包商及从业人员。</w:t>
      </w:r>
    </w:p>
    <w:p w14:paraId="73FC6D46">
      <w:pPr>
        <w:snapToGrid w:val="0"/>
        <w:ind w:firstLine="480" w:firstLineChars="200"/>
        <w:rPr>
          <w:color w:val="auto"/>
          <w:highlight w:val="none"/>
        </w:rPr>
      </w:pPr>
      <w:r>
        <w:rPr>
          <w:rFonts w:hint="eastAsia"/>
          <w:color w:val="auto"/>
          <w:highlight w:val="none"/>
        </w:rPr>
        <w:t>1.4.2  坚持及时高效。考核主体应当及时发现和记录直接作业环节各类问题事项，即时记分、即时考核兑现，切实发挥考核导向作用。</w:t>
      </w:r>
    </w:p>
    <w:p w14:paraId="25D88A8F">
      <w:pPr>
        <w:snapToGrid w:val="0"/>
        <w:ind w:firstLine="480" w:firstLineChars="200"/>
        <w:rPr>
          <w:color w:val="auto"/>
          <w:highlight w:val="none"/>
        </w:rPr>
      </w:pPr>
      <w:r>
        <w:rPr>
          <w:rFonts w:hint="eastAsia"/>
          <w:color w:val="auto"/>
          <w:highlight w:val="none"/>
        </w:rPr>
        <w:t>1.4.3  坚持集中统一。各考核主体应当在中国石化建设项目承包商管理信息平台统一实施考核工作，各企业不得设置其他形式的承包商考核体系，确保考核结果在全系统进行共享与应用。</w:t>
      </w:r>
    </w:p>
    <w:p w14:paraId="17DD5A9D">
      <w:pPr>
        <w:snapToGrid w:val="0"/>
        <w:ind w:firstLine="480" w:firstLineChars="200"/>
        <w:rPr>
          <w:color w:val="auto"/>
          <w:highlight w:val="none"/>
        </w:rPr>
      </w:pPr>
      <w:r>
        <w:rPr>
          <w:rFonts w:hint="eastAsia"/>
          <w:color w:val="auto"/>
          <w:highlight w:val="none"/>
        </w:rPr>
        <w:t>2.  管理机构与职责</w:t>
      </w:r>
    </w:p>
    <w:p w14:paraId="2C46ECDC">
      <w:pPr>
        <w:snapToGrid w:val="0"/>
        <w:ind w:firstLine="480" w:firstLineChars="200"/>
        <w:rPr>
          <w:color w:val="auto"/>
          <w:highlight w:val="none"/>
        </w:rPr>
      </w:pPr>
      <w:r>
        <w:rPr>
          <w:rFonts w:hint="eastAsia"/>
          <w:color w:val="auto"/>
          <w:highlight w:val="none"/>
        </w:rPr>
        <w:t>2.1  工程部是中国石化建设项目承包商诚信考核归口管理部门，主要管理职责如下：</w:t>
      </w:r>
    </w:p>
    <w:p w14:paraId="74800D56">
      <w:pPr>
        <w:snapToGrid w:val="0"/>
        <w:ind w:firstLine="480" w:firstLineChars="200"/>
        <w:rPr>
          <w:color w:val="auto"/>
          <w:highlight w:val="none"/>
        </w:rPr>
      </w:pPr>
      <w:r>
        <w:rPr>
          <w:rFonts w:hint="eastAsia"/>
          <w:color w:val="auto"/>
          <w:highlight w:val="none"/>
        </w:rPr>
        <w:t>（1）负责规范中国石化工程建设市场各方主体行为，建立中国石化工程建设市场诚信考核体系、规范工程建设秩序。</w:t>
      </w:r>
    </w:p>
    <w:p w14:paraId="0DDC3797">
      <w:pPr>
        <w:snapToGrid w:val="0"/>
        <w:ind w:firstLine="480" w:firstLineChars="200"/>
        <w:rPr>
          <w:color w:val="auto"/>
          <w:highlight w:val="none"/>
        </w:rPr>
      </w:pPr>
      <w:r>
        <w:rPr>
          <w:rFonts w:hint="eastAsia"/>
          <w:color w:val="auto"/>
          <w:highlight w:val="none"/>
        </w:rPr>
        <w:t>（2）负责中国石化建设项目承包商记分量化考核管理规章制度的制定、修订并组织落实、监督、检查和考核。</w:t>
      </w:r>
    </w:p>
    <w:p w14:paraId="40868022">
      <w:pPr>
        <w:snapToGrid w:val="0"/>
        <w:ind w:firstLine="480" w:firstLineChars="200"/>
        <w:rPr>
          <w:color w:val="auto"/>
          <w:highlight w:val="none"/>
        </w:rPr>
      </w:pPr>
      <w:r>
        <w:rPr>
          <w:rFonts w:hint="eastAsia"/>
          <w:color w:val="auto"/>
          <w:highlight w:val="none"/>
        </w:rPr>
        <w:t>（3）负责组织建立、维护、发布承包商及从业人员记分量化考核事件清单、考核指标和考核模型。</w:t>
      </w:r>
    </w:p>
    <w:p w14:paraId="7FABC0C9">
      <w:pPr>
        <w:snapToGrid w:val="0"/>
        <w:ind w:firstLine="480" w:firstLineChars="200"/>
        <w:rPr>
          <w:color w:val="auto"/>
          <w:highlight w:val="none"/>
        </w:rPr>
      </w:pPr>
      <w:r>
        <w:rPr>
          <w:rFonts w:hint="eastAsia"/>
          <w:color w:val="auto"/>
          <w:highlight w:val="none"/>
        </w:rPr>
        <w:t>（4）负责考核结果的汇总、发布，负责考核结果投诉处理。</w:t>
      </w:r>
    </w:p>
    <w:p w14:paraId="17E1A596">
      <w:pPr>
        <w:snapToGrid w:val="0"/>
        <w:ind w:firstLine="480" w:firstLineChars="200"/>
        <w:rPr>
          <w:color w:val="auto"/>
          <w:highlight w:val="none"/>
        </w:rPr>
      </w:pPr>
      <w:r>
        <w:rPr>
          <w:rFonts w:hint="eastAsia"/>
          <w:color w:val="auto"/>
          <w:highlight w:val="none"/>
        </w:rPr>
        <w:t>（5）负责中国石化建设项目承包商管理信息平台的组织建设与监督管理。</w:t>
      </w:r>
    </w:p>
    <w:p w14:paraId="10667986">
      <w:pPr>
        <w:snapToGrid w:val="0"/>
        <w:ind w:firstLine="480" w:firstLineChars="200"/>
        <w:rPr>
          <w:color w:val="auto"/>
          <w:highlight w:val="none"/>
        </w:rPr>
      </w:pPr>
      <w:r>
        <w:rPr>
          <w:rFonts w:hint="eastAsia"/>
          <w:color w:val="auto"/>
          <w:highlight w:val="none"/>
        </w:rPr>
        <w:t>（6）负责对口联系国家及地方政府有关部门。</w:t>
      </w:r>
    </w:p>
    <w:p w14:paraId="22842685">
      <w:pPr>
        <w:snapToGrid w:val="0"/>
        <w:ind w:firstLine="480" w:firstLineChars="200"/>
        <w:rPr>
          <w:color w:val="auto"/>
          <w:highlight w:val="none"/>
        </w:rPr>
      </w:pPr>
      <w:r>
        <w:rPr>
          <w:rFonts w:hint="eastAsia"/>
          <w:color w:val="auto"/>
          <w:highlight w:val="none"/>
        </w:rPr>
        <w:t>2.2  安全监管局</w:t>
      </w:r>
    </w:p>
    <w:p w14:paraId="6EFFF0E9">
      <w:pPr>
        <w:snapToGrid w:val="0"/>
        <w:ind w:firstLine="480" w:firstLineChars="200"/>
        <w:rPr>
          <w:color w:val="auto"/>
          <w:highlight w:val="none"/>
        </w:rPr>
      </w:pPr>
      <w:r>
        <w:rPr>
          <w:rFonts w:hint="eastAsia"/>
          <w:color w:val="auto"/>
          <w:highlight w:val="none"/>
        </w:rPr>
        <w:t>（1）负责承包商安全监督管理工作。</w:t>
      </w:r>
    </w:p>
    <w:p w14:paraId="4BB8EEFC">
      <w:pPr>
        <w:snapToGrid w:val="0"/>
        <w:ind w:firstLine="480" w:firstLineChars="200"/>
        <w:rPr>
          <w:color w:val="auto"/>
          <w:highlight w:val="none"/>
        </w:rPr>
      </w:pPr>
      <w:r>
        <w:rPr>
          <w:rFonts w:hint="eastAsia"/>
          <w:color w:val="auto"/>
          <w:highlight w:val="none"/>
        </w:rPr>
        <w:t>（2）负责协调、指导企业安全监管部门及人员，按照本办法参与建设项目承包商记分及量化考核工作。</w:t>
      </w:r>
    </w:p>
    <w:p w14:paraId="6BE8E568">
      <w:pPr>
        <w:snapToGrid w:val="0"/>
        <w:ind w:firstLine="480" w:firstLineChars="200"/>
        <w:rPr>
          <w:color w:val="auto"/>
          <w:highlight w:val="none"/>
        </w:rPr>
      </w:pPr>
      <w:r>
        <w:rPr>
          <w:rFonts w:hint="eastAsia"/>
          <w:color w:val="auto"/>
          <w:highlight w:val="none"/>
        </w:rPr>
        <w:t>（3）对建设项目承包商考核管理提出建议，参与记分量化考核事件清单维护管理工作。</w:t>
      </w:r>
    </w:p>
    <w:p w14:paraId="15A1627D">
      <w:pPr>
        <w:snapToGrid w:val="0"/>
        <w:ind w:firstLine="480" w:firstLineChars="200"/>
        <w:rPr>
          <w:color w:val="auto"/>
          <w:highlight w:val="none"/>
        </w:rPr>
      </w:pPr>
      <w:r>
        <w:rPr>
          <w:rFonts w:hint="eastAsia"/>
          <w:color w:val="auto"/>
          <w:highlight w:val="none"/>
        </w:rPr>
        <w:t>2.3  信息部</w:t>
      </w:r>
    </w:p>
    <w:p w14:paraId="7ABF8461">
      <w:pPr>
        <w:snapToGrid w:val="0"/>
        <w:ind w:firstLine="480" w:firstLineChars="200"/>
        <w:rPr>
          <w:color w:val="auto"/>
          <w:highlight w:val="none"/>
        </w:rPr>
      </w:pPr>
      <w:r>
        <w:rPr>
          <w:rFonts w:hint="eastAsia"/>
          <w:color w:val="auto"/>
          <w:highlight w:val="none"/>
        </w:rPr>
        <w:t>（1）负责按照“六统一”管理原则，统筹中国石化建设项目承包商管理信息化的规划、计划和预算，统筹软硬件资源配置等。</w:t>
      </w:r>
    </w:p>
    <w:p w14:paraId="2CC050D2">
      <w:pPr>
        <w:snapToGrid w:val="0"/>
        <w:ind w:firstLine="480" w:firstLineChars="200"/>
        <w:rPr>
          <w:color w:val="auto"/>
          <w:highlight w:val="none"/>
        </w:rPr>
      </w:pPr>
      <w:r>
        <w:rPr>
          <w:rFonts w:hint="eastAsia"/>
          <w:color w:val="auto"/>
          <w:highlight w:val="none"/>
        </w:rPr>
        <w:t>（2）负责协调、指导中国石化建设项目承包商管理信息平台建设工作。</w:t>
      </w:r>
    </w:p>
    <w:p w14:paraId="6C91E035">
      <w:pPr>
        <w:snapToGrid w:val="0"/>
        <w:ind w:firstLine="480" w:firstLineChars="200"/>
        <w:rPr>
          <w:color w:val="auto"/>
          <w:highlight w:val="none"/>
        </w:rPr>
      </w:pPr>
      <w:r>
        <w:rPr>
          <w:rFonts w:hint="eastAsia"/>
          <w:color w:val="auto"/>
          <w:highlight w:val="none"/>
        </w:rPr>
        <w:t>2.4  事业部</w:t>
      </w:r>
    </w:p>
    <w:p w14:paraId="19132449">
      <w:pPr>
        <w:snapToGrid w:val="0"/>
        <w:ind w:firstLine="480" w:firstLineChars="200"/>
        <w:rPr>
          <w:color w:val="auto"/>
          <w:highlight w:val="none"/>
        </w:rPr>
      </w:pPr>
      <w:r>
        <w:rPr>
          <w:rFonts w:hint="eastAsia"/>
          <w:color w:val="auto"/>
          <w:highlight w:val="none"/>
        </w:rPr>
        <w:t>（1）负责监督、指导事业部直接管理企业开展建设项目承包商记分及量化考核工作，收集、整理有关执行情况。</w:t>
      </w:r>
    </w:p>
    <w:p w14:paraId="580F3904">
      <w:pPr>
        <w:snapToGrid w:val="0"/>
        <w:ind w:firstLine="480" w:firstLineChars="200"/>
        <w:rPr>
          <w:color w:val="auto"/>
          <w:highlight w:val="none"/>
        </w:rPr>
      </w:pPr>
      <w:r>
        <w:rPr>
          <w:rFonts w:hint="eastAsia"/>
          <w:color w:val="auto"/>
          <w:highlight w:val="none"/>
        </w:rPr>
        <w:t>（2）参与事业部直接管理企业业务范畴内重点建设项目承包商年度专项考核工作。</w:t>
      </w:r>
    </w:p>
    <w:p w14:paraId="2115FE81">
      <w:pPr>
        <w:snapToGrid w:val="0"/>
        <w:ind w:firstLine="480" w:firstLineChars="200"/>
        <w:rPr>
          <w:color w:val="auto"/>
          <w:highlight w:val="none"/>
        </w:rPr>
      </w:pPr>
      <w:r>
        <w:rPr>
          <w:rFonts w:hint="eastAsia"/>
          <w:color w:val="auto"/>
          <w:highlight w:val="none"/>
        </w:rPr>
        <w:t>（3）参与提出事业部直接管理企业建设项目承包商管理建议。</w:t>
      </w:r>
    </w:p>
    <w:p w14:paraId="36A6F757">
      <w:pPr>
        <w:snapToGrid w:val="0"/>
        <w:ind w:firstLine="480" w:firstLineChars="200"/>
        <w:rPr>
          <w:color w:val="auto"/>
          <w:highlight w:val="none"/>
        </w:rPr>
      </w:pPr>
      <w:r>
        <w:rPr>
          <w:rFonts w:hint="eastAsia"/>
          <w:color w:val="auto"/>
          <w:highlight w:val="none"/>
        </w:rPr>
        <w:t>2.5  建设单位是建设项目承包商管理责任主体，主要管理职责如下：</w:t>
      </w:r>
    </w:p>
    <w:p w14:paraId="191D8EF4">
      <w:pPr>
        <w:snapToGrid w:val="0"/>
        <w:ind w:firstLine="480" w:firstLineChars="200"/>
        <w:rPr>
          <w:color w:val="auto"/>
          <w:highlight w:val="none"/>
        </w:rPr>
      </w:pPr>
      <w:r>
        <w:rPr>
          <w:rFonts w:hint="eastAsia"/>
          <w:color w:val="auto"/>
          <w:highlight w:val="none"/>
        </w:rPr>
        <w:t xml:space="preserve">（1）贯彻执行国家相关法律法规及政策，贯彻执行中国石化诚信体系管理等相关制度。 </w:t>
      </w:r>
    </w:p>
    <w:p w14:paraId="76FE777C">
      <w:pPr>
        <w:snapToGrid w:val="0"/>
        <w:ind w:firstLine="480" w:firstLineChars="200"/>
        <w:rPr>
          <w:color w:val="auto"/>
          <w:highlight w:val="none"/>
        </w:rPr>
      </w:pPr>
      <w:r>
        <w:rPr>
          <w:rFonts w:hint="eastAsia"/>
          <w:color w:val="auto"/>
          <w:highlight w:val="none"/>
        </w:rPr>
        <w:t>（2）明确本单位承包商管理责任部门，牵头组织对承包商及从业人员行为进行日常管理，按照本办法进行记分及量化考核。</w:t>
      </w:r>
    </w:p>
    <w:p w14:paraId="0542B7F0">
      <w:pPr>
        <w:snapToGrid w:val="0"/>
        <w:ind w:firstLine="480" w:firstLineChars="200"/>
        <w:rPr>
          <w:color w:val="auto"/>
          <w:highlight w:val="none"/>
        </w:rPr>
      </w:pPr>
      <w:r>
        <w:rPr>
          <w:rFonts w:hint="eastAsia"/>
          <w:color w:val="auto"/>
          <w:highlight w:val="none"/>
        </w:rPr>
        <w:t>（3）负责落实总部职能部门组织的各类安全、质量检查和质量监督发现问题整改工作，按照本办法进行记分及量化考核。</w:t>
      </w:r>
    </w:p>
    <w:p w14:paraId="095A8B3F">
      <w:pPr>
        <w:snapToGrid w:val="0"/>
        <w:ind w:firstLine="480" w:firstLineChars="200"/>
        <w:rPr>
          <w:color w:val="auto"/>
          <w:highlight w:val="none"/>
        </w:rPr>
      </w:pPr>
      <w:r>
        <w:rPr>
          <w:rFonts w:hint="eastAsia"/>
          <w:color w:val="auto"/>
          <w:highlight w:val="none"/>
        </w:rPr>
        <w:t>（4）负责处理承包商及相关从业人员对考核结果提出的异议。</w:t>
      </w:r>
    </w:p>
    <w:p w14:paraId="529AC10F">
      <w:pPr>
        <w:snapToGrid w:val="0"/>
        <w:ind w:firstLine="480" w:firstLineChars="200"/>
        <w:rPr>
          <w:color w:val="auto"/>
          <w:highlight w:val="none"/>
        </w:rPr>
      </w:pPr>
      <w:r>
        <w:rPr>
          <w:rFonts w:hint="eastAsia"/>
          <w:color w:val="auto"/>
          <w:highlight w:val="none"/>
        </w:rPr>
        <w:t>2.6  承包商权利义务</w:t>
      </w:r>
    </w:p>
    <w:p w14:paraId="6D652629">
      <w:pPr>
        <w:snapToGrid w:val="0"/>
        <w:ind w:firstLine="480" w:firstLineChars="200"/>
        <w:rPr>
          <w:color w:val="auto"/>
          <w:highlight w:val="none"/>
        </w:rPr>
      </w:pPr>
      <w:r>
        <w:rPr>
          <w:rFonts w:hint="eastAsia"/>
          <w:color w:val="auto"/>
          <w:highlight w:val="none"/>
        </w:rPr>
        <w:t>（1）依法依规参与中国石化工程建设活动。</w:t>
      </w:r>
    </w:p>
    <w:p w14:paraId="7C957958">
      <w:pPr>
        <w:snapToGrid w:val="0"/>
        <w:ind w:firstLine="480" w:firstLineChars="200"/>
        <w:rPr>
          <w:color w:val="auto"/>
          <w:highlight w:val="none"/>
        </w:rPr>
      </w:pPr>
      <w:r>
        <w:rPr>
          <w:rFonts w:hint="eastAsia"/>
          <w:color w:val="auto"/>
          <w:highlight w:val="none"/>
        </w:rPr>
        <w:t>（2）遵守国家法律法规和中国石化相关规定，诚实守信，认真履行合同约定。</w:t>
      </w:r>
    </w:p>
    <w:p w14:paraId="5129CE92">
      <w:pPr>
        <w:snapToGrid w:val="0"/>
        <w:ind w:firstLine="480" w:firstLineChars="200"/>
        <w:rPr>
          <w:color w:val="auto"/>
          <w:highlight w:val="none"/>
        </w:rPr>
      </w:pPr>
      <w:r>
        <w:rPr>
          <w:rFonts w:hint="eastAsia"/>
          <w:color w:val="auto"/>
          <w:highlight w:val="none"/>
        </w:rPr>
        <w:t>（3）接受考核主体对其开展的记分及量化考核管理。</w:t>
      </w:r>
    </w:p>
    <w:p w14:paraId="3A9B2482">
      <w:pPr>
        <w:snapToGrid w:val="0"/>
        <w:ind w:firstLine="480" w:firstLineChars="200"/>
        <w:rPr>
          <w:color w:val="auto"/>
          <w:highlight w:val="none"/>
        </w:rPr>
      </w:pPr>
      <w:r>
        <w:rPr>
          <w:rFonts w:hint="eastAsia"/>
          <w:color w:val="auto"/>
          <w:highlight w:val="none"/>
        </w:rPr>
        <w:t>（4）及时在管理平台填报、更新有关信息，包括不限于项目部管理人员信息、分包商情况、现场作业人员信息等，保证信息真实有效。</w:t>
      </w:r>
    </w:p>
    <w:p w14:paraId="00B48849">
      <w:pPr>
        <w:snapToGrid w:val="0"/>
        <w:ind w:firstLine="480" w:firstLineChars="200"/>
        <w:rPr>
          <w:color w:val="auto"/>
          <w:highlight w:val="none"/>
        </w:rPr>
      </w:pPr>
      <w:r>
        <w:rPr>
          <w:rFonts w:hint="eastAsia"/>
          <w:color w:val="auto"/>
          <w:highlight w:val="none"/>
        </w:rPr>
        <w:t>（5）作为考核对象时，可对考核结果提出异议。</w:t>
      </w:r>
    </w:p>
    <w:p w14:paraId="7F87289A">
      <w:pPr>
        <w:snapToGrid w:val="0"/>
        <w:ind w:firstLine="480" w:firstLineChars="200"/>
        <w:rPr>
          <w:color w:val="auto"/>
          <w:highlight w:val="none"/>
        </w:rPr>
      </w:pPr>
      <w:r>
        <w:rPr>
          <w:rFonts w:hint="eastAsia"/>
          <w:color w:val="auto"/>
          <w:highlight w:val="none"/>
        </w:rPr>
        <w:t>（6）作为分包发包人时，及时在管理平台对分包人进行考核评价，及时处理分包人提出的异议。</w:t>
      </w:r>
    </w:p>
    <w:p w14:paraId="25E6E64B">
      <w:pPr>
        <w:snapToGrid w:val="0"/>
        <w:ind w:firstLine="480" w:firstLineChars="200"/>
        <w:rPr>
          <w:color w:val="auto"/>
          <w:highlight w:val="none"/>
        </w:rPr>
      </w:pPr>
      <w:r>
        <w:rPr>
          <w:rFonts w:hint="eastAsia"/>
          <w:color w:val="auto"/>
          <w:highlight w:val="none"/>
        </w:rPr>
        <w:t>3.  管理内容及要求</w:t>
      </w:r>
    </w:p>
    <w:p w14:paraId="57E5D091">
      <w:pPr>
        <w:snapToGrid w:val="0"/>
        <w:ind w:firstLine="480" w:firstLineChars="200"/>
        <w:rPr>
          <w:color w:val="auto"/>
          <w:highlight w:val="none"/>
        </w:rPr>
      </w:pPr>
      <w:r>
        <w:rPr>
          <w:rFonts w:hint="eastAsia"/>
          <w:color w:val="auto"/>
          <w:highlight w:val="none"/>
        </w:rPr>
        <w:t>3.1  记分考核模型管理</w:t>
      </w:r>
    </w:p>
    <w:p w14:paraId="0D52C352">
      <w:pPr>
        <w:snapToGrid w:val="0"/>
        <w:ind w:firstLine="480" w:firstLineChars="200"/>
        <w:rPr>
          <w:color w:val="auto"/>
          <w:highlight w:val="none"/>
        </w:rPr>
      </w:pPr>
      <w:r>
        <w:rPr>
          <w:rFonts w:hint="eastAsia"/>
          <w:color w:val="auto"/>
          <w:highlight w:val="none"/>
        </w:rPr>
        <w:t>3.1.1  承包商记分考核</w:t>
      </w:r>
    </w:p>
    <w:p w14:paraId="3A977E2F">
      <w:pPr>
        <w:snapToGrid w:val="0"/>
        <w:ind w:firstLine="480" w:firstLineChars="200"/>
        <w:rPr>
          <w:color w:val="auto"/>
          <w:highlight w:val="none"/>
        </w:rPr>
      </w:pPr>
      <w:r>
        <w:rPr>
          <w:rFonts w:hint="eastAsia"/>
          <w:color w:val="auto"/>
          <w:highlight w:val="none"/>
        </w:rPr>
        <w:t>（1）对承包商直接作业环节行为进行记分考核，考核周期为合同履行期，自中标通知书发出之日起至合同关闭之日止。</w:t>
      </w:r>
    </w:p>
    <w:p w14:paraId="59DC5E9C">
      <w:pPr>
        <w:snapToGrid w:val="0"/>
        <w:ind w:firstLine="480" w:firstLineChars="200"/>
        <w:rPr>
          <w:color w:val="auto"/>
          <w:highlight w:val="none"/>
        </w:rPr>
      </w:pPr>
      <w:r>
        <w:rPr>
          <w:rFonts w:hint="eastAsia"/>
          <w:color w:val="auto"/>
          <w:highlight w:val="none"/>
        </w:rPr>
        <w:t>（2）承包商记分考核采取百分制。</w:t>
      </w:r>
    </w:p>
    <w:p w14:paraId="0EA05C54">
      <w:pPr>
        <w:snapToGrid w:val="0"/>
        <w:ind w:firstLine="480" w:firstLineChars="200"/>
        <w:rPr>
          <w:color w:val="auto"/>
          <w:highlight w:val="none"/>
        </w:rPr>
      </w:pPr>
      <w:r>
        <w:rPr>
          <w:rFonts w:hint="eastAsia"/>
          <w:color w:val="auto"/>
          <w:highlight w:val="none"/>
        </w:rPr>
        <w:t>3.1.2  从业人员记分考核</w:t>
      </w:r>
    </w:p>
    <w:p w14:paraId="52433251">
      <w:pPr>
        <w:snapToGrid w:val="0"/>
        <w:ind w:firstLine="480" w:firstLineChars="200"/>
        <w:rPr>
          <w:color w:val="auto"/>
          <w:highlight w:val="none"/>
        </w:rPr>
      </w:pPr>
      <w:r>
        <w:rPr>
          <w:rFonts w:hint="eastAsia"/>
          <w:color w:val="auto"/>
          <w:highlight w:val="none"/>
        </w:rPr>
        <w:t>（1）对从业人员直接作业环节行为进行记分考核，考核周期为12个月，考核采取12分制。</w:t>
      </w:r>
    </w:p>
    <w:p w14:paraId="5FC50734">
      <w:pPr>
        <w:snapToGrid w:val="0"/>
        <w:ind w:firstLine="480" w:firstLineChars="200"/>
        <w:rPr>
          <w:color w:val="auto"/>
          <w:highlight w:val="none"/>
        </w:rPr>
      </w:pPr>
      <w:r>
        <w:rPr>
          <w:rFonts w:hint="eastAsia"/>
          <w:color w:val="auto"/>
          <w:highlight w:val="none"/>
        </w:rPr>
        <w:t>（2）从业人员在本办法发布生效时，已参与中国石化建设项目建设活动的，记分周期自本办法发布生效之日计算；从业人员在本办法发布生效后，参与中国石化建设项目建设活动的，记分周期自从业人员进入现场之日起计算；不能准确记录从业人员进入现场之日的，记分周期自首次被记分考核之日起计算。</w:t>
      </w:r>
    </w:p>
    <w:p w14:paraId="4806ECFF">
      <w:pPr>
        <w:snapToGrid w:val="0"/>
        <w:ind w:firstLine="480" w:firstLineChars="200"/>
        <w:rPr>
          <w:color w:val="auto"/>
          <w:highlight w:val="none"/>
        </w:rPr>
      </w:pPr>
      <w:r>
        <w:rPr>
          <w:rFonts w:hint="eastAsia"/>
          <w:color w:val="auto"/>
          <w:highlight w:val="none"/>
        </w:rPr>
        <w:t>（3）在一个记分周期内，从业人员更换项目或现场的，记分跟随不清零。</w:t>
      </w:r>
    </w:p>
    <w:p w14:paraId="1B463EAB">
      <w:pPr>
        <w:snapToGrid w:val="0"/>
        <w:ind w:firstLine="480" w:firstLineChars="200"/>
        <w:rPr>
          <w:color w:val="auto"/>
          <w:highlight w:val="none"/>
        </w:rPr>
      </w:pPr>
      <w:r>
        <w:rPr>
          <w:rFonts w:hint="eastAsia"/>
          <w:color w:val="auto"/>
          <w:highlight w:val="none"/>
        </w:rPr>
        <w:t>（4）从业人员在一个记分周期内记12分的，考核周期结束。</w:t>
      </w:r>
    </w:p>
    <w:p w14:paraId="6A3107BB">
      <w:pPr>
        <w:snapToGrid w:val="0"/>
        <w:ind w:firstLine="480" w:firstLineChars="200"/>
        <w:rPr>
          <w:color w:val="auto"/>
          <w:highlight w:val="none"/>
        </w:rPr>
      </w:pPr>
      <w:r>
        <w:rPr>
          <w:rFonts w:hint="eastAsia"/>
          <w:color w:val="auto"/>
          <w:highlight w:val="none"/>
        </w:rPr>
        <w:t>（5）从业人员一个记分周期结束后，下一个记分周期起始之日计算按照本条第（2）款执行。</w:t>
      </w:r>
    </w:p>
    <w:p w14:paraId="67DD614D">
      <w:pPr>
        <w:snapToGrid w:val="0"/>
        <w:ind w:firstLine="480" w:firstLineChars="200"/>
        <w:rPr>
          <w:color w:val="auto"/>
          <w:highlight w:val="none"/>
        </w:rPr>
      </w:pPr>
      <w:r>
        <w:rPr>
          <w:rFonts w:hint="eastAsia"/>
          <w:color w:val="auto"/>
          <w:highlight w:val="none"/>
        </w:rPr>
        <w:t>（6）从业人员记分考核采信以事件记分生效时间为准。</w:t>
      </w:r>
    </w:p>
    <w:p w14:paraId="47A74184">
      <w:pPr>
        <w:snapToGrid w:val="0"/>
        <w:ind w:firstLine="480" w:firstLineChars="200"/>
        <w:rPr>
          <w:color w:val="auto"/>
          <w:highlight w:val="none"/>
        </w:rPr>
      </w:pPr>
      <w:r>
        <w:rPr>
          <w:rFonts w:hint="eastAsia"/>
          <w:color w:val="auto"/>
          <w:highlight w:val="none"/>
        </w:rPr>
        <w:t>3.1.3  记分考核模型以中国石化建设项目承包商管理信息平台发布为准。</w:t>
      </w:r>
    </w:p>
    <w:p w14:paraId="190A5E85">
      <w:pPr>
        <w:snapToGrid w:val="0"/>
        <w:ind w:firstLine="480" w:firstLineChars="200"/>
        <w:rPr>
          <w:color w:val="auto"/>
          <w:highlight w:val="none"/>
        </w:rPr>
      </w:pPr>
      <w:r>
        <w:rPr>
          <w:rFonts w:hint="eastAsia"/>
          <w:color w:val="auto"/>
          <w:highlight w:val="none"/>
        </w:rPr>
        <w:t>3.2  量化考核模型管理</w:t>
      </w:r>
    </w:p>
    <w:p w14:paraId="6EA3CE57">
      <w:pPr>
        <w:snapToGrid w:val="0"/>
        <w:ind w:firstLine="480" w:firstLineChars="200"/>
        <w:rPr>
          <w:color w:val="auto"/>
          <w:highlight w:val="none"/>
        </w:rPr>
      </w:pPr>
      <w:r>
        <w:rPr>
          <w:rFonts w:hint="eastAsia"/>
          <w:color w:val="auto"/>
          <w:highlight w:val="none"/>
        </w:rPr>
        <w:t>3.2.1  对承包商的总体评价采用量化考核方式，由合同履约评价、基本信息评价、市场行为评价三部分组成：</w:t>
      </w:r>
    </w:p>
    <w:p w14:paraId="58DB70D8">
      <w:pPr>
        <w:snapToGrid w:val="0"/>
        <w:ind w:firstLine="480" w:firstLineChars="200"/>
        <w:rPr>
          <w:color w:val="auto"/>
          <w:highlight w:val="none"/>
        </w:rPr>
      </w:pPr>
      <w:r>
        <w:rPr>
          <w:rFonts w:hint="eastAsia"/>
          <w:color w:val="auto"/>
          <w:highlight w:val="none"/>
        </w:rPr>
        <w:t>（1）合同履约评价主要包括安全、质量、进度、综合管理、综合评价等方面内容，各方面内容考核均采取百分制。通过考核主体在线记录安全、质量、进度等各类事件，从合同维度按照百分制进行量化评价。管理平台按照考核模型，将承包商获得的各合同履约评价按照合同金额、工程难度等因素进行汇总加权综合计算，得出该承包商合同履约方面的总体评价得分。</w:t>
      </w:r>
    </w:p>
    <w:p w14:paraId="40E3D72A">
      <w:pPr>
        <w:snapToGrid w:val="0"/>
        <w:ind w:firstLine="480" w:firstLineChars="200"/>
        <w:rPr>
          <w:color w:val="auto"/>
          <w:highlight w:val="none"/>
        </w:rPr>
      </w:pPr>
      <w:r>
        <w:rPr>
          <w:rFonts w:hint="eastAsia"/>
          <w:color w:val="auto"/>
          <w:highlight w:val="none"/>
        </w:rPr>
        <w:t>（2）基本信息评价主要包括企业基本信息、资质认证情况、人员信息、财务状况、技术水平情况、行政司法监管情况、社会责任信息等内容。上述信息通过管理平台自动交互政府官方信息，以及承包商填报有关信息的方式获得，按照统一标准进行评价。</w:t>
      </w:r>
    </w:p>
    <w:p w14:paraId="412E4CCF">
      <w:pPr>
        <w:snapToGrid w:val="0"/>
        <w:ind w:firstLine="480" w:firstLineChars="200"/>
        <w:rPr>
          <w:color w:val="auto"/>
          <w:highlight w:val="none"/>
        </w:rPr>
      </w:pPr>
      <w:r>
        <w:rPr>
          <w:rFonts w:hint="eastAsia"/>
          <w:color w:val="auto"/>
          <w:highlight w:val="none"/>
        </w:rPr>
        <w:t>（3）市场行为评价主要包括投标情况、业绩情况、重点项目情况等内容。上述信息通过管理平台自动采集中国石化建设工程电子招标投标交易平台有关信息，以及承包商填报有关信息的方式获得，按照统一标准进行评价。</w:t>
      </w:r>
    </w:p>
    <w:p w14:paraId="42D688D0">
      <w:pPr>
        <w:snapToGrid w:val="0"/>
        <w:ind w:firstLine="480" w:firstLineChars="200"/>
        <w:rPr>
          <w:color w:val="auto"/>
          <w:highlight w:val="none"/>
        </w:rPr>
      </w:pPr>
      <w:r>
        <w:rPr>
          <w:rFonts w:hint="eastAsia"/>
          <w:color w:val="auto"/>
          <w:highlight w:val="none"/>
        </w:rPr>
        <w:t>（4）管理平台按照考核模型，将承包商合同履约评价、基本信息评价、市场行为评价三部分的得分进行加权计算，得出该承包商的总体评价得分。</w:t>
      </w:r>
    </w:p>
    <w:p w14:paraId="130B8B40">
      <w:pPr>
        <w:snapToGrid w:val="0"/>
        <w:ind w:firstLine="480" w:firstLineChars="200"/>
        <w:rPr>
          <w:color w:val="auto"/>
          <w:highlight w:val="none"/>
        </w:rPr>
      </w:pPr>
      <w:r>
        <w:rPr>
          <w:rFonts w:hint="eastAsia"/>
          <w:color w:val="auto"/>
          <w:highlight w:val="none"/>
        </w:rPr>
        <w:t>3.2.2  对主要管理人员的总体评价采用量化考核方式，由个人履职评价、基本信息评价、市场行为评价三个部分组成：</w:t>
      </w:r>
    </w:p>
    <w:p w14:paraId="5063EB24">
      <w:pPr>
        <w:snapToGrid w:val="0"/>
        <w:ind w:firstLine="480" w:firstLineChars="200"/>
        <w:rPr>
          <w:color w:val="auto"/>
          <w:highlight w:val="none"/>
        </w:rPr>
      </w:pPr>
      <w:r>
        <w:rPr>
          <w:rFonts w:hint="eastAsia"/>
          <w:color w:val="auto"/>
          <w:highlight w:val="none"/>
        </w:rPr>
        <w:t>（1）个人履职评价主要包括安全、质量、进度、综合管理、综合评价等方面内容，各方面内容考核均采取百分制。通过考核主体在线记录安全、质量、进度等各类事件，从合同维度按照百分制进行量化评价。管理平台按照考核模型，将主要管理人员获得的各合同的个人履职评价进行汇总加权综合计算，得出该人员个人履职方面的总体评价得分。</w:t>
      </w:r>
    </w:p>
    <w:p w14:paraId="6C07362A">
      <w:pPr>
        <w:snapToGrid w:val="0"/>
        <w:ind w:firstLine="480" w:firstLineChars="200"/>
        <w:rPr>
          <w:color w:val="auto"/>
          <w:highlight w:val="none"/>
        </w:rPr>
      </w:pPr>
      <w:r>
        <w:rPr>
          <w:rFonts w:hint="eastAsia"/>
          <w:color w:val="auto"/>
          <w:highlight w:val="none"/>
        </w:rPr>
        <w:t>（2）基本信息评价主要包括学历、职称、从业资格、培训经历、荣誉等内容。上述信息通过管理平台自动采集政府官方网站信息，以及承包商、个人填报有关信息的方式获得，按照统一标准进行评价。</w:t>
      </w:r>
    </w:p>
    <w:p w14:paraId="23CB8C18">
      <w:pPr>
        <w:snapToGrid w:val="0"/>
        <w:ind w:firstLine="480" w:firstLineChars="200"/>
        <w:rPr>
          <w:color w:val="auto"/>
          <w:highlight w:val="none"/>
        </w:rPr>
      </w:pPr>
      <w:r>
        <w:rPr>
          <w:rFonts w:hint="eastAsia"/>
          <w:color w:val="auto"/>
          <w:highlight w:val="none"/>
        </w:rPr>
        <w:t>（3）市场行为评价主要包括从业业绩、从业年限等内容。上述信息通过管理平台自动采集中国石化建设工程电子招标投标交易平台有关信息，以及承包商补充填报有关信息的方式获得，按照统一标准进行评价。</w:t>
      </w:r>
    </w:p>
    <w:p w14:paraId="5253B4B5">
      <w:pPr>
        <w:snapToGrid w:val="0"/>
        <w:ind w:firstLine="480" w:firstLineChars="200"/>
        <w:rPr>
          <w:color w:val="auto"/>
          <w:highlight w:val="none"/>
        </w:rPr>
      </w:pPr>
      <w:r>
        <w:rPr>
          <w:rFonts w:hint="eastAsia"/>
          <w:color w:val="auto"/>
          <w:highlight w:val="none"/>
        </w:rPr>
        <w:t>（4）管理平台按照考核模型，将主要管理人员合同履约评价、基本信息评价、市场行为评价三个部分的得分进行加权计算，得出该人员的总体评价得分。</w:t>
      </w:r>
    </w:p>
    <w:p w14:paraId="4A9CDA80">
      <w:pPr>
        <w:snapToGrid w:val="0"/>
        <w:ind w:firstLine="480" w:firstLineChars="200"/>
        <w:rPr>
          <w:color w:val="auto"/>
          <w:highlight w:val="none"/>
        </w:rPr>
      </w:pPr>
      <w:r>
        <w:rPr>
          <w:rFonts w:hint="eastAsia"/>
          <w:color w:val="auto"/>
          <w:highlight w:val="none"/>
        </w:rPr>
        <w:t>3.2.3  对承包商的合同履约评价期限为自中标通知书发出之日起至合同关闭之日止。</w:t>
      </w:r>
    </w:p>
    <w:p w14:paraId="770F3F94">
      <w:pPr>
        <w:snapToGrid w:val="0"/>
        <w:ind w:firstLine="480" w:firstLineChars="200"/>
        <w:rPr>
          <w:color w:val="auto"/>
          <w:highlight w:val="none"/>
        </w:rPr>
      </w:pPr>
      <w:r>
        <w:rPr>
          <w:rFonts w:hint="eastAsia"/>
          <w:color w:val="auto"/>
          <w:highlight w:val="none"/>
        </w:rPr>
        <w:t>3.2.4  对主要管理人员的个人履职评价期限为其在某一项目的实际履职期。</w:t>
      </w:r>
    </w:p>
    <w:p w14:paraId="568023ED">
      <w:pPr>
        <w:snapToGrid w:val="0"/>
        <w:ind w:firstLine="480" w:firstLineChars="200"/>
        <w:rPr>
          <w:color w:val="auto"/>
          <w:highlight w:val="none"/>
        </w:rPr>
      </w:pPr>
      <w:r>
        <w:rPr>
          <w:rFonts w:hint="eastAsia"/>
          <w:color w:val="auto"/>
          <w:highlight w:val="none"/>
        </w:rPr>
        <w:t>3.2.5  量化考核模型以中国石化建设项目承包商管理信息平台发布为准。</w:t>
      </w:r>
    </w:p>
    <w:p w14:paraId="594C42F2">
      <w:pPr>
        <w:snapToGrid w:val="0"/>
        <w:ind w:firstLine="480" w:firstLineChars="200"/>
        <w:rPr>
          <w:color w:val="auto"/>
          <w:highlight w:val="none"/>
        </w:rPr>
      </w:pPr>
      <w:r>
        <w:rPr>
          <w:rFonts w:hint="eastAsia"/>
          <w:color w:val="auto"/>
          <w:highlight w:val="none"/>
        </w:rPr>
        <w:t>3.2.6  劳务作业人员纳入对其实施直接管理的施工承包商考核范畴。</w:t>
      </w:r>
    </w:p>
    <w:p w14:paraId="7D9C6CD1">
      <w:pPr>
        <w:snapToGrid w:val="0"/>
        <w:ind w:firstLine="480" w:firstLineChars="200"/>
        <w:rPr>
          <w:color w:val="auto"/>
          <w:highlight w:val="none"/>
        </w:rPr>
      </w:pPr>
      <w:r>
        <w:rPr>
          <w:rFonts w:hint="eastAsia"/>
          <w:color w:val="auto"/>
          <w:highlight w:val="none"/>
        </w:rPr>
        <w:t>3.3  事件管理</w:t>
      </w:r>
    </w:p>
    <w:p w14:paraId="53CB8E92">
      <w:pPr>
        <w:snapToGrid w:val="0"/>
        <w:ind w:firstLine="480" w:firstLineChars="200"/>
        <w:rPr>
          <w:color w:val="auto"/>
          <w:highlight w:val="none"/>
        </w:rPr>
      </w:pPr>
      <w:r>
        <w:rPr>
          <w:rFonts w:hint="eastAsia"/>
          <w:color w:val="auto"/>
          <w:highlight w:val="none"/>
        </w:rPr>
        <w:t>3.3.1  事件清单管理</w:t>
      </w:r>
    </w:p>
    <w:p w14:paraId="5681D320">
      <w:pPr>
        <w:snapToGrid w:val="0"/>
        <w:ind w:firstLine="480" w:firstLineChars="200"/>
        <w:rPr>
          <w:color w:val="auto"/>
          <w:highlight w:val="none"/>
        </w:rPr>
      </w:pPr>
      <w:r>
        <w:rPr>
          <w:rFonts w:hint="eastAsia"/>
          <w:color w:val="auto"/>
          <w:highlight w:val="none"/>
        </w:rPr>
        <w:t>（1）总部工程部负责制定、发布事件清单，根据使用情况及时修订升版事件清单并在管理平台发布。</w:t>
      </w:r>
    </w:p>
    <w:p w14:paraId="5E1CA9BB">
      <w:pPr>
        <w:snapToGrid w:val="0"/>
        <w:ind w:firstLine="480" w:firstLineChars="200"/>
        <w:rPr>
          <w:color w:val="auto"/>
          <w:highlight w:val="none"/>
        </w:rPr>
      </w:pPr>
      <w:r>
        <w:rPr>
          <w:rFonts w:hint="eastAsia"/>
          <w:color w:val="auto"/>
          <w:highlight w:val="none"/>
        </w:rPr>
        <w:t>（2） 按照严重程度，将事件分为事故级、一级、二级、三级事件。</w:t>
      </w:r>
    </w:p>
    <w:p w14:paraId="58B23422">
      <w:pPr>
        <w:snapToGrid w:val="0"/>
        <w:ind w:firstLine="480" w:firstLineChars="200"/>
        <w:rPr>
          <w:color w:val="auto"/>
          <w:highlight w:val="none"/>
        </w:rPr>
      </w:pPr>
      <w:r>
        <w:rPr>
          <w:rFonts w:hint="eastAsia"/>
          <w:color w:val="auto"/>
          <w:highlight w:val="none"/>
        </w:rPr>
        <w:t>（3）参照工程建设管理控制内容，将事件分为安全、质量、进度、综合管理、综合评价等事件。</w:t>
      </w:r>
    </w:p>
    <w:p w14:paraId="75B859BC">
      <w:pPr>
        <w:snapToGrid w:val="0"/>
        <w:ind w:firstLine="480" w:firstLineChars="200"/>
        <w:rPr>
          <w:color w:val="auto"/>
          <w:highlight w:val="none"/>
        </w:rPr>
      </w:pPr>
      <w:r>
        <w:rPr>
          <w:rFonts w:hint="eastAsia"/>
          <w:color w:val="auto"/>
          <w:highlight w:val="none"/>
        </w:rPr>
        <w:t>3.3.2  事件记录管理</w:t>
      </w:r>
    </w:p>
    <w:p w14:paraId="55A30F08">
      <w:pPr>
        <w:snapToGrid w:val="0"/>
        <w:ind w:firstLine="480" w:firstLineChars="200"/>
        <w:rPr>
          <w:color w:val="auto"/>
          <w:highlight w:val="none"/>
        </w:rPr>
      </w:pPr>
      <w:r>
        <w:rPr>
          <w:rFonts w:hint="eastAsia"/>
          <w:color w:val="auto"/>
          <w:highlight w:val="none"/>
        </w:rPr>
        <w:t>（1）各考核主体按照总部工程部发布的事件清单在线记录各类事件。</w:t>
      </w:r>
    </w:p>
    <w:p w14:paraId="342A76C7">
      <w:pPr>
        <w:snapToGrid w:val="0"/>
        <w:ind w:firstLine="480" w:firstLineChars="200"/>
        <w:rPr>
          <w:color w:val="auto"/>
          <w:highlight w:val="none"/>
        </w:rPr>
      </w:pPr>
      <w:r>
        <w:rPr>
          <w:rFonts w:hint="eastAsia"/>
          <w:color w:val="auto"/>
          <w:highlight w:val="none"/>
        </w:rPr>
        <w:t>（2）建设单位应当建立健全事件记录管理程序，明确事件记录管理部门，负责事件记录统筹管理工作。</w:t>
      </w:r>
    </w:p>
    <w:p w14:paraId="4F7F64D9">
      <w:pPr>
        <w:snapToGrid w:val="0"/>
        <w:ind w:firstLine="480" w:firstLineChars="200"/>
        <w:rPr>
          <w:color w:val="auto"/>
          <w:highlight w:val="none"/>
        </w:rPr>
      </w:pPr>
      <w:r>
        <w:rPr>
          <w:rFonts w:hint="eastAsia"/>
          <w:color w:val="auto"/>
          <w:highlight w:val="none"/>
        </w:rPr>
        <w:t>（3）建设单位可以通过合同约定方式，在其统一管理下，组织监理、项目管理、全过程咨询等单位参与事件记录等承包商管理相关工作。</w:t>
      </w:r>
    </w:p>
    <w:p w14:paraId="43FEF501">
      <w:pPr>
        <w:snapToGrid w:val="0"/>
        <w:ind w:firstLine="480" w:firstLineChars="200"/>
        <w:rPr>
          <w:color w:val="auto"/>
          <w:highlight w:val="none"/>
        </w:rPr>
      </w:pPr>
      <w:r>
        <w:rPr>
          <w:rFonts w:hint="eastAsia"/>
          <w:color w:val="auto"/>
          <w:highlight w:val="none"/>
        </w:rPr>
        <w:t>（4）建设单位首先发现并记录问题事件的，按照统一规则和标准对事件责任人、责任单位进行即时考核；分包发包人、监理、项目管理等单位先于建设单位发现并记录问题事件的，按照统一规则和标准减免其连带责任记分（同样减免其主要管理人员的管理责任记分）。</w:t>
      </w:r>
    </w:p>
    <w:p w14:paraId="77A70BA4">
      <w:pPr>
        <w:snapToGrid w:val="0"/>
        <w:ind w:firstLine="480" w:firstLineChars="200"/>
        <w:rPr>
          <w:color w:val="auto"/>
          <w:highlight w:val="none"/>
        </w:rPr>
      </w:pPr>
      <w:r>
        <w:rPr>
          <w:rFonts w:hint="eastAsia"/>
          <w:color w:val="auto"/>
          <w:highlight w:val="none"/>
        </w:rPr>
        <w:t>（5）建设单位应当完善事件的记录、审核程序，各方主体的管理及检查人员，要确保事件记录各项描述及责任人、责任单位认定的及时高效与真实准确，原则上应当在问题事件发现的24小时内，完成事件记录。</w:t>
      </w:r>
    </w:p>
    <w:p w14:paraId="231B57AC">
      <w:pPr>
        <w:snapToGrid w:val="0"/>
        <w:ind w:firstLine="480" w:firstLineChars="200"/>
        <w:rPr>
          <w:color w:val="auto"/>
          <w:highlight w:val="none"/>
        </w:rPr>
      </w:pPr>
      <w:r>
        <w:rPr>
          <w:rFonts w:hint="eastAsia"/>
          <w:color w:val="auto"/>
          <w:highlight w:val="none"/>
        </w:rPr>
        <w:t>（6）问题事件责任人按照事件关联程度划分为直接责任人、管理责任人；问题事件责任单位按照关联程度划分为直接责任单位、连带责任单位。</w:t>
      </w:r>
    </w:p>
    <w:p w14:paraId="18BB3EB7">
      <w:pPr>
        <w:snapToGrid w:val="0"/>
        <w:ind w:firstLine="480" w:firstLineChars="200"/>
        <w:rPr>
          <w:color w:val="auto"/>
          <w:highlight w:val="none"/>
        </w:rPr>
      </w:pPr>
      <w:r>
        <w:rPr>
          <w:rFonts w:hint="eastAsia"/>
          <w:color w:val="auto"/>
          <w:highlight w:val="none"/>
        </w:rPr>
        <w:t>（7）建设单位可采取多种措施，督促、激励事件记录工作。</w:t>
      </w:r>
    </w:p>
    <w:p w14:paraId="221820B6">
      <w:pPr>
        <w:snapToGrid w:val="0"/>
        <w:ind w:firstLine="480" w:firstLineChars="200"/>
        <w:rPr>
          <w:color w:val="auto"/>
          <w:highlight w:val="none"/>
        </w:rPr>
      </w:pPr>
      <w:r>
        <w:rPr>
          <w:rFonts w:hint="eastAsia"/>
          <w:color w:val="auto"/>
          <w:highlight w:val="none"/>
        </w:rPr>
        <w:t>3.4  事件记分管理</w:t>
      </w:r>
    </w:p>
    <w:p w14:paraId="6A43A48A">
      <w:pPr>
        <w:snapToGrid w:val="0"/>
        <w:ind w:firstLine="480" w:firstLineChars="200"/>
        <w:rPr>
          <w:color w:val="auto"/>
          <w:highlight w:val="none"/>
        </w:rPr>
      </w:pPr>
      <w:r>
        <w:rPr>
          <w:rFonts w:hint="eastAsia"/>
          <w:color w:val="auto"/>
          <w:highlight w:val="none"/>
        </w:rPr>
        <w:t>3.4.1  发生事故级事件，按照“事故级事件记分规则及处罚清单”进行记分及处罚。</w:t>
      </w:r>
    </w:p>
    <w:p w14:paraId="453BF21F">
      <w:pPr>
        <w:snapToGrid w:val="0"/>
        <w:ind w:firstLine="480" w:firstLineChars="200"/>
        <w:rPr>
          <w:color w:val="auto"/>
          <w:highlight w:val="none"/>
        </w:rPr>
      </w:pPr>
      <w:r>
        <w:rPr>
          <w:rFonts w:hint="eastAsia"/>
          <w:color w:val="auto"/>
          <w:highlight w:val="none"/>
        </w:rPr>
        <w:t>3.4.2  发生一级、二级、三级事件，按照“一级、二级、三级事件记分规则清单”进行记分。</w:t>
      </w:r>
    </w:p>
    <w:p w14:paraId="65FF71A7">
      <w:pPr>
        <w:snapToGrid w:val="0"/>
        <w:ind w:firstLine="480" w:firstLineChars="200"/>
        <w:rPr>
          <w:color w:val="auto"/>
          <w:highlight w:val="none"/>
        </w:rPr>
      </w:pPr>
      <w:r>
        <w:rPr>
          <w:rFonts w:hint="eastAsia"/>
          <w:color w:val="auto"/>
          <w:highlight w:val="none"/>
        </w:rPr>
        <w:t>3.5  考核结果应用管理</w:t>
      </w:r>
    </w:p>
    <w:p w14:paraId="39B2F788">
      <w:pPr>
        <w:snapToGrid w:val="0"/>
        <w:ind w:firstLine="480" w:firstLineChars="200"/>
        <w:rPr>
          <w:color w:val="auto"/>
          <w:highlight w:val="none"/>
        </w:rPr>
      </w:pPr>
      <w:r>
        <w:rPr>
          <w:rFonts w:hint="eastAsia"/>
          <w:color w:val="auto"/>
          <w:highlight w:val="none"/>
        </w:rPr>
        <w:t>3.5.1  承包商、主要管理人员量化考核结果应用管理</w:t>
      </w:r>
    </w:p>
    <w:p w14:paraId="31E27259">
      <w:pPr>
        <w:snapToGrid w:val="0"/>
        <w:ind w:firstLine="480" w:firstLineChars="200"/>
        <w:rPr>
          <w:color w:val="auto"/>
          <w:highlight w:val="none"/>
        </w:rPr>
      </w:pPr>
      <w:r>
        <w:rPr>
          <w:rFonts w:hint="eastAsia"/>
          <w:color w:val="auto"/>
          <w:highlight w:val="none"/>
        </w:rPr>
        <w:t>（1）承包商、主要管理人员量化考核结果可以应用于工程采购环节，作为投标人资格审查、评标、定标和合同签订的重要依据。</w:t>
      </w:r>
    </w:p>
    <w:p w14:paraId="6250277D">
      <w:pPr>
        <w:snapToGrid w:val="0"/>
        <w:ind w:firstLine="480" w:firstLineChars="200"/>
        <w:rPr>
          <w:color w:val="auto"/>
          <w:highlight w:val="none"/>
        </w:rPr>
      </w:pPr>
      <w:r>
        <w:rPr>
          <w:rFonts w:hint="eastAsia"/>
          <w:color w:val="auto"/>
          <w:highlight w:val="none"/>
        </w:rPr>
        <w:t>（2）承包商量化考核结果可以作为培育战略承包商、评奖评优的重要依据。</w:t>
      </w:r>
    </w:p>
    <w:p w14:paraId="3D1036C4">
      <w:pPr>
        <w:snapToGrid w:val="0"/>
        <w:ind w:firstLine="480" w:firstLineChars="200"/>
        <w:rPr>
          <w:color w:val="auto"/>
          <w:highlight w:val="none"/>
        </w:rPr>
      </w:pPr>
      <w:r>
        <w:rPr>
          <w:rFonts w:hint="eastAsia"/>
          <w:color w:val="auto"/>
          <w:highlight w:val="none"/>
        </w:rPr>
        <w:t>3.5.2  从业人员记分考核结果应用管理</w:t>
      </w:r>
    </w:p>
    <w:p w14:paraId="29DA9A60">
      <w:pPr>
        <w:snapToGrid w:val="0"/>
        <w:ind w:firstLine="480" w:firstLineChars="200"/>
        <w:rPr>
          <w:color w:val="auto"/>
          <w:highlight w:val="none"/>
        </w:rPr>
      </w:pPr>
      <w:r>
        <w:rPr>
          <w:rFonts w:hint="eastAsia"/>
          <w:color w:val="auto"/>
          <w:highlight w:val="none"/>
        </w:rPr>
        <w:t>（1）从业人员在一个记分周期内累计记分达6分的，管理平台自动通知承包商暂停该从业人员现场工作资格，经建设单位培训教育考试合格后重新进场；累计记分达到12分的，清出现场。</w:t>
      </w:r>
    </w:p>
    <w:p w14:paraId="79DB2600">
      <w:pPr>
        <w:snapToGrid w:val="0"/>
        <w:ind w:firstLine="480" w:firstLineChars="200"/>
        <w:rPr>
          <w:color w:val="auto"/>
          <w:highlight w:val="none"/>
        </w:rPr>
      </w:pPr>
      <w:r>
        <w:rPr>
          <w:rFonts w:hint="eastAsia"/>
          <w:color w:val="auto"/>
          <w:highlight w:val="none"/>
        </w:rPr>
        <w:t>（2）从业人员在一个记分周期出现三次相同违章事件行为，一次性记12分，并清出现场。</w:t>
      </w:r>
    </w:p>
    <w:p w14:paraId="3E11DF8D">
      <w:pPr>
        <w:snapToGrid w:val="0"/>
        <w:ind w:firstLine="480" w:firstLineChars="200"/>
        <w:rPr>
          <w:color w:val="auto"/>
          <w:highlight w:val="none"/>
        </w:rPr>
      </w:pPr>
      <w:r>
        <w:rPr>
          <w:rFonts w:hint="eastAsia"/>
          <w:color w:val="auto"/>
          <w:highlight w:val="none"/>
        </w:rPr>
        <w:t>（3）从业人员因累计记12分被清出现场的，列入集团公司“限制名单”，3个月内不得进入中国石化建设项目现场。3个月后，经建设单位培训教育考试合格的，可重新进入中国石化建设项目现场。</w:t>
      </w:r>
    </w:p>
    <w:p w14:paraId="620259D8">
      <w:pPr>
        <w:snapToGrid w:val="0"/>
        <w:ind w:firstLine="480" w:firstLineChars="200"/>
        <w:rPr>
          <w:color w:val="auto"/>
          <w:highlight w:val="none"/>
        </w:rPr>
      </w:pPr>
      <w:r>
        <w:rPr>
          <w:rFonts w:hint="eastAsia"/>
          <w:color w:val="auto"/>
          <w:highlight w:val="none"/>
        </w:rPr>
        <w:t>（4）从业人员12个月内两次因累计记12分被清出现场的，列入集团公司级“黑名单”，3年内不得进入中国石化建设项目现场。</w:t>
      </w:r>
    </w:p>
    <w:p w14:paraId="0521E0DC">
      <w:pPr>
        <w:snapToGrid w:val="0"/>
        <w:ind w:firstLine="480" w:firstLineChars="200"/>
        <w:rPr>
          <w:color w:val="auto"/>
          <w:highlight w:val="none"/>
        </w:rPr>
      </w:pPr>
      <w:r>
        <w:rPr>
          <w:rFonts w:hint="eastAsia"/>
          <w:color w:val="auto"/>
          <w:highlight w:val="none"/>
        </w:rPr>
        <w:t>3.5.3  主要管理人员除按照第3.5.2条进行记分考核外,还应当按照以下要求进行处理：</w:t>
      </w:r>
    </w:p>
    <w:p w14:paraId="047D95C8">
      <w:pPr>
        <w:snapToGrid w:val="0"/>
        <w:ind w:firstLine="480" w:firstLineChars="200"/>
        <w:rPr>
          <w:color w:val="auto"/>
          <w:highlight w:val="none"/>
        </w:rPr>
      </w:pPr>
      <w:r>
        <w:rPr>
          <w:rFonts w:hint="eastAsia"/>
          <w:color w:val="auto"/>
          <w:highlight w:val="none"/>
        </w:rPr>
        <w:t>（1）主要管理人员的个人履职评价中安全或质量部分累计记分达50分的，建设单位约谈承包商项目部负责人，主要管理人员重新参加相关教育培训。</w:t>
      </w:r>
    </w:p>
    <w:p w14:paraId="5BC4FC25">
      <w:pPr>
        <w:snapToGrid w:val="0"/>
        <w:ind w:firstLine="480" w:firstLineChars="200"/>
        <w:rPr>
          <w:color w:val="auto"/>
          <w:highlight w:val="none"/>
        </w:rPr>
      </w:pPr>
      <w:r>
        <w:rPr>
          <w:rFonts w:hint="eastAsia"/>
          <w:color w:val="auto"/>
          <w:highlight w:val="none"/>
        </w:rPr>
        <w:t>（2）主要管理人员的个人履职评价中安全或质量部分累计记分达100分的，建设单位可要求更换，本次履职结束或被更换后，6个月内不得参与对其实施考核的建设单位的工程建设任务及分包任务。</w:t>
      </w:r>
    </w:p>
    <w:p w14:paraId="398DDE81">
      <w:pPr>
        <w:snapToGrid w:val="0"/>
        <w:ind w:firstLine="480" w:firstLineChars="200"/>
        <w:rPr>
          <w:color w:val="auto"/>
          <w:highlight w:val="none"/>
        </w:rPr>
      </w:pPr>
      <w:r>
        <w:rPr>
          <w:rFonts w:hint="eastAsia"/>
          <w:color w:val="auto"/>
          <w:highlight w:val="none"/>
        </w:rPr>
        <w:t>（3）主要管理人员一年内第二次出现合同履约评价安全或质量部分累计记分达100分的，应当立即更换，且12个月内不得参与对其实施考核的建设单位的工程建设任务及分包任务。</w:t>
      </w:r>
    </w:p>
    <w:p w14:paraId="3ED61B82">
      <w:pPr>
        <w:snapToGrid w:val="0"/>
        <w:ind w:firstLine="480" w:firstLineChars="200"/>
        <w:rPr>
          <w:color w:val="auto"/>
          <w:highlight w:val="none"/>
        </w:rPr>
      </w:pPr>
      <w:r>
        <w:rPr>
          <w:rFonts w:hint="eastAsia"/>
          <w:color w:val="auto"/>
          <w:highlight w:val="none"/>
        </w:rPr>
        <w:t>3.5.4  承包商记分考核结果应用管理</w:t>
      </w:r>
    </w:p>
    <w:p w14:paraId="0ED5E70E">
      <w:pPr>
        <w:snapToGrid w:val="0"/>
        <w:ind w:firstLine="480" w:firstLineChars="200"/>
        <w:rPr>
          <w:color w:val="auto"/>
          <w:highlight w:val="none"/>
        </w:rPr>
      </w:pPr>
      <w:r>
        <w:rPr>
          <w:rFonts w:hint="eastAsia"/>
          <w:color w:val="auto"/>
          <w:highlight w:val="none"/>
        </w:rPr>
        <w:t>（1）承包商在合同履约过程中，合同履约评价中安全或质量部分累计记分达50分的，建设单位约谈承包商项目部负责人，主要管理人员重新参加相关教育培训。</w:t>
      </w:r>
    </w:p>
    <w:p w14:paraId="19DAD022">
      <w:pPr>
        <w:snapToGrid w:val="0"/>
        <w:ind w:firstLine="480" w:firstLineChars="200"/>
        <w:rPr>
          <w:color w:val="auto"/>
          <w:highlight w:val="none"/>
        </w:rPr>
      </w:pPr>
      <w:r>
        <w:rPr>
          <w:rFonts w:hint="eastAsia"/>
          <w:color w:val="auto"/>
          <w:highlight w:val="none"/>
        </w:rPr>
        <w:t>（2）承包商在合同履约过程中，合同履约评价安全或质量部分累计记分达80分的，建设单位约谈承包商安全或质量负责人，责令停工整顿，并可要求更换项目经理。</w:t>
      </w:r>
    </w:p>
    <w:p w14:paraId="57D9161A">
      <w:pPr>
        <w:snapToGrid w:val="0"/>
        <w:ind w:firstLine="480" w:firstLineChars="200"/>
        <w:rPr>
          <w:color w:val="auto"/>
          <w:highlight w:val="none"/>
        </w:rPr>
      </w:pPr>
      <w:r>
        <w:rPr>
          <w:rFonts w:hint="eastAsia"/>
          <w:color w:val="auto"/>
          <w:highlight w:val="none"/>
        </w:rPr>
        <w:t>（3）承包商在合同履约过程中，合同履约评价安全或质量部分累计记分达100分的，建设单位约谈承包商法定代表人，承包商6个月内不得新承揽对其实施考核的建设单位的工程建设任务及分包任务。</w:t>
      </w:r>
    </w:p>
    <w:p w14:paraId="4213B219">
      <w:pPr>
        <w:snapToGrid w:val="0"/>
        <w:ind w:firstLine="480" w:firstLineChars="200"/>
        <w:rPr>
          <w:color w:val="auto"/>
          <w:highlight w:val="none"/>
        </w:rPr>
      </w:pPr>
      <w:r>
        <w:rPr>
          <w:rFonts w:hint="eastAsia"/>
          <w:color w:val="auto"/>
          <w:highlight w:val="none"/>
        </w:rPr>
        <w:t>（4）承包商一年内，在同一建设单位两次出现合同履约评价安全或质量部分累计记分达100分的，12个月内不得新承揽该建设单位的工程建设任务及分包任务。</w:t>
      </w:r>
    </w:p>
    <w:p w14:paraId="25F1F013">
      <w:pPr>
        <w:snapToGrid w:val="0"/>
        <w:ind w:firstLine="480" w:firstLineChars="200"/>
        <w:rPr>
          <w:color w:val="auto"/>
          <w:highlight w:val="none"/>
        </w:rPr>
      </w:pPr>
      <w:r>
        <w:rPr>
          <w:rFonts w:hint="eastAsia"/>
          <w:color w:val="auto"/>
          <w:highlight w:val="none"/>
        </w:rPr>
        <w:t>3.5.5  建设单位可根据本办法记分考核事项，自行制定相对应的经济考核指标，在实施记分考核时同时应用。</w:t>
      </w:r>
    </w:p>
    <w:p w14:paraId="163990D0">
      <w:pPr>
        <w:snapToGrid w:val="0"/>
        <w:ind w:firstLine="480" w:firstLineChars="200"/>
        <w:rPr>
          <w:color w:val="auto"/>
          <w:highlight w:val="none"/>
        </w:rPr>
      </w:pPr>
      <w:r>
        <w:rPr>
          <w:rFonts w:hint="eastAsia"/>
          <w:color w:val="auto"/>
          <w:highlight w:val="none"/>
        </w:rPr>
        <w:t>3.5.6  承包商违规事项进行记分考核的同时，还应当按照《中国石化建设工程市场诚信体系管理办法》进行处理。</w:t>
      </w:r>
    </w:p>
    <w:p w14:paraId="3426B815">
      <w:pPr>
        <w:snapToGrid w:val="0"/>
        <w:ind w:firstLine="480" w:firstLineChars="200"/>
        <w:rPr>
          <w:color w:val="auto"/>
          <w:highlight w:val="none"/>
        </w:rPr>
      </w:pPr>
      <w:r>
        <w:rPr>
          <w:rFonts w:hint="eastAsia"/>
          <w:color w:val="auto"/>
          <w:highlight w:val="none"/>
        </w:rPr>
        <w:t>3.5.7  对承包商的限制投标、限制承揽工程建设任务及分包任务、列入黑名单等限制性处理，以及对从业人员的清出现场、限制进入建设项目现场、列入黑名单等限制性处理，均应当在管理平台统一进行。</w:t>
      </w:r>
    </w:p>
    <w:p w14:paraId="5325926B">
      <w:pPr>
        <w:snapToGrid w:val="0"/>
        <w:ind w:firstLine="480" w:firstLineChars="200"/>
        <w:rPr>
          <w:color w:val="auto"/>
          <w:highlight w:val="none"/>
        </w:rPr>
      </w:pPr>
      <w:r>
        <w:rPr>
          <w:rFonts w:hint="eastAsia"/>
          <w:color w:val="auto"/>
          <w:highlight w:val="none"/>
        </w:rPr>
        <w:t>3.6  总体评价汇总计算及发布展示</w:t>
      </w:r>
    </w:p>
    <w:p w14:paraId="24048872">
      <w:pPr>
        <w:snapToGrid w:val="0"/>
        <w:ind w:firstLine="480" w:firstLineChars="200"/>
        <w:rPr>
          <w:color w:val="auto"/>
          <w:highlight w:val="none"/>
        </w:rPr>
      </w:pPr>
      <w:r>
        <w:rPr>
          <w:rFonts w:hint="eastAsia"/>
          <w:color w:val="auto"/>
          <w:highlight w:val="none"/>
        </w:rPr>
        <w:t>3.6.1  合同履约（个人履职）评价部分各项评价均设立基准分，基准分指评价基础分数，如承包商未获某项考核内容的评价分数，则该项评价分数按基准分计算。基准分以中国石化建设项目承包商管理信息平台发布为准。</w:t>
      </w:r>
    </w:p>
    <w:p w14:paraId="576E9F33">
      <w:pPr>
        <w:snapToGrid w:val="0"/>
        <w:ind w:firstLine="480" w:firstLineChars="200"/>
        <w:rPr>
          <w:color w:val="auto"/>
          <w:highlight w:val="none"/>
        </w:rPr>
      </w:pPr>
      <w:r>
        <w:rPr>
          <w:rFonts w:hint="eastAsia"/>
          <w:color w:val="auto"/>
          <w:highlight w:val="none"/>
        </w:rPr>
        <w:t>3.6.2  中国石化建设项目承包商管理信息平台，按照考核模型在每日换算汇总各考核对象的翌日总体评价总分，在中国石化建设项目承包商管理信息平台和中国石化电子招标投标交易网公布。</w:t>
      </w:r>
    </w:p>
    <w:p w14:paraId="0B6FD801">
      <w:pPr>
        <w:snapToGrid w:val="0"/>
        <w:ind w:firstLine="480" w:firstLineChars="200"/>
        <w:rPr>
          <w:color w:val="auto"/>
          <w:highlight w:val="none"/>
        </w:rPr>
      </w:pPr>
      <w:r>
        <w:rPr>
          <w:rFonts w:hint="eastAsia"/>
          <w:color w:val="auto"/>
          <w:highlight w:val="none"/>
        </w:rPr>
        <w:t>3.6.3  中国石化集团招标有限公司负责中国石化建设项目承包商管理信息平台建设、运行维护、用户支持等工作。</w:t>
      </w:r>
    </w:p>
    <w:p w14:paraId="64F34788">
      <w:pPr>
        <w:snapToGrid w:val="0"/>
        <w:ind w:firstLine="480" w:firstLineChars="200"/>
        <w:rPr>
          <w:color w:val="auto"/>
          <w:highlight w:val="none"/>
        </w:rPr>
      </w:pPr>
      <w:r>
        <w:rPr>
          <w:rFonts w:hint="eastAsia"/>
          <w:color w:val="auto"/>
          <w:highlight w:val="none"/>
        </w:rPr>
        <w:t>3.6.4  承包商考核结果可按照承包商资质类别、承揽项目类别、项目所属企业及板块等多种维度进行展示。</w:t>
      </w:r>
    </w:p>
    <w:p w14:paraId="5209A3BC">
      <w:pPr>
        <w:snapToGrid w:val="0"/>
        <w:ind w:firstLine="480" w:firstLineChars="200"/>
        <w:rPr>
          <w:color w:val="auto"/>
          <w:highlight w:val="none"/>
        </w:rPr>
      </w:pPr>
      <w:r>
        <w:rPr>
          <w:rFonts w:hint="eastAsia"/>
          <w:color w:val="auto"/>
          <w:highlight w:val="none"/>
        </w:rPr>
        <w:t>4.  管理程序</w:t>
      </w:r>
    </w:p>
    <w:p w14:paraId="726CF6B4">
      <w:pPr>
        <w:snapToGrid w:val="0"/>
        <w:ind w:firstLine="480" w:firstLineChars="200"/>
        <w:rPr>
          <w:color w:val="auto"/>
          <w:highlight w:val="none"/>
        </w:rPr>
      </w:pPr>
      <w:r>
        <w:rPr>
          <w:rFonts w:hint="eastAsia"/>
          <w:color w:val="auto"/>
          <w:highlight w:val="none"/>
        </w:rPr>
        <w:t>4.1  考核管理基本程序</w:t>
      </w:r>
    </w:p>
    <w:p w14:paraId="2295D6A6">
      <w:pPr>
        <w:snapToGrid w:val="0"/>
        <w:ind w:firstLine="480" w:firstLineChars="200"/>
        <w:rPr>
          <w:color w:val="auto"/>
          <w:highlight w:val="none"/>
        </w:rPr>
      </w:pPr>
      <w:r>
        <w:rPr>
          <w:rFonts w:hint="eastAsia"/>
          <w:color w:val="auto"/>
          <w:highlight w:val="none"/>
        </w:rPr>
        <w:t>（1）建设单位应当按照《中国石化建设工程招标投标管理规定》及相关制度规定，依法依规开展工程采购工作。</w:t>
      </w:r>
    </w:p>
    <w:p w14:paraId="3AE909CB">
      <w:pPr>
        <w:snapToGrid w:val="0"/>
        <w:ind w:firstLine="480" w:firstLineChars="200"/>
        <w:rPr>
          <w:color w:val="auto"/>
          <w:highlight w:val="none"/>
        </w:rPr>
      </w:pPr>
      <w:r>
        <w:rPr>
          <w:rFonts w:hint="eastAsia"/>
          <w:color w:val="auto"/>
          <w:highlight w:val="none"/>
        </w:rPr>
        <w:t>（2）承包商应当在获得中标通知书或成交通知书后，按照中国石化有关规定进行分包发包，督促、指导分包人及时在管理平台填报有关信息。</w:t>
      </w:r>
    </w:p>
    <w:p w14:paraId="02DA6ABE">
      <w:pPr>
        <w:snapToGrid w:val="0"/>
        <w:ind w:firstLine="480" w:firstLineChars="200"/>
        <w:rPr>
          <w:color w:val="auto"/>
          <w:highlight w:val="none"/>
        </w:rPr>
      </w:pPr>
      <w:r>
        <w:rPr>
          <w:rFonts w:hint="eastAsia"/>
          <w:color w:val="auto"/>
          <w:highlight w:val="none"/>
        </w:rPr>
        <w:t>（3）考核主体各类管理人员、检查人员（统称检查人员）现场发现问题事项后，应当做好问题事项记录和证据留存。</w:t>
      </w:r>
    </w:p>
    <w:p w14:paraId="67E33D73">
      <w:pPr>
        <w:snapToGrid w:val="0"/>
        <w:ind w:firstLine="480" w:firstLineChars="200"/>
        <w:rPr>
          <w:color w:val="auto"/>
          <w:highlight w:val="none"/>
        </w:rPr>
      </w:pPr>
      <w:r>
        <w:rPr>
          <w:rFonts w:hint="eastAsia"/>
          <w:color w:val="auto"/>
          <w:highlight w:val="none"/>
        </w:rPr>
        <w:t>（4）检查人员在管理平台记录问题事项，全面、准确描述问题事项背景信息，包括不限于问题事项具体情况、位置、时间、直接责任承包商、直接责任人等；问题事项需要整改的，应当明确整改时限等信息。</w:t>
      </w:r>
    </w:p>
    <w:p w14:paraId="1FDB117B">
      <w:pPr>
        <w:snapToGrid w:val="0"/>
        <w:ind w:firstLine="480" w:firstLineChars="200"/>
        <w:rPr>
          <w:color w:val="auto"/>
          <w:highlight w:val="none"/>
        </w:rPr>
      </w:pPr>
      <w:r>
        <w:rPr>
          <w:rFonts w:hint="eastAsia"/>
          <w:color w:val="auto"/>
          <w:highlight w:val="none"/>
        </w:rPr>
        <w:t>（5）确认问题事项记录准确无误，检查人员在管理平台提交问题事项，管理平台通过邮件、短信等方式通知承包商。</w:t>
      </w:r>
    </w:p>
    <w:p w14:paraId="0E4B5A56">
      <w:pPr>
        <w:snapToGrid w:val="0"/>
        <w:ind w:firstLine="480" w:firstLineChars="200"/>
        <w:rPr>
          <w:color w:val="auto"/>
          <w:highlight w:val="none"/>
        </w:rPr>
      </w:pPr>
      <w:r>
        <w:rPr>
          <w:rFonts w:hint="eastAsia"/>
          <w:color w:val="auto"/>
          <w:highlight w:val="none"/>
        </w:rPr>
        <w:t>（6）承包商收到事件记录通知后，可登陆管理平台查看新增问题事项。针对问题事项描述正确性、准确性存在异议的，应当在24小时内提出。逾期记分考核自动生效。</w:t>
      </w:r>
    </w:p>
    <w:p w14:paraId="3922E7C1">
      <w:pPr>
        <w:snapToGrid w:val="0"/>
        <w:ind w:firstLine="480" w:firstLineChars="200"/>
        <w:rPr>
          <w:color w:val="auto"/>
          <w:highlight w:val="none"/>
        </w:rPr>
      </w:pPr>
      <w:r>
        <w:rPr>
          <w:rFonts w:hint="eastAsia"/>
          <w:color w:val="auto"/>
          <w:highlight w:val="none"/>
        </w:rPr>
        <w:t>（7）检查人员应当按照实事求是、客观公正的原则，受理承包商提出的记分考核异议，及时调查确认有关情况，及时回复异议。</w:t>
      </w:r>
    </w:p>
    <w:p w14:paraId="7D22082A">
      <w:pPr>
        <w:snapToGrid w:val="0"/>
        <w:ind w:firstLine="480" w:firstLineChars="200"/>
        <w:rPr>
          <w:color w:val="auto"/>
          <w:highlight w:val="none"/>
        </w:rPr>
      </w:pPr>
      <w:r>
        <w:rPr>
          <w:rFonts w:hint="eastAsia"/>
          <w:color w:val="auto"/>
          <w:highlight w:val="none"/>
        </w:rPr>
        <w:t>（8）针对需整改问题事项，承包商应当按照检查人员下达的整改期限完成整改工作，并在管理平台提交问题事项整改情况，根据要求提交有关证明文件。</w:t>
      </w:r>
    </w:p>
    <w:p w14:paraId="645B0EA8">
      <w:pPr>
        <w:snapToGrid w:val="0"/>
        <w:ind w:firstLine="480" w:firstLineChars="200"/>
        <w:rPr>
          <w:color w:val="auto"/>
          <w:highlight w:val="none"/>
        </w:rPr>
      </w:pPr>
      <w:r>
        <w:rPr>
          <w:rFonts w:hint="eastAsia"/>
          <w:color w:val="auto"/>
          <w:highlight w:val="none"/>
        </w:rPr>
        <w:t>（9）检查人员应当跟踪、落实问题整改完成情况，及时关闭问题事项。</w:t>
      </w:r>
    </w:p>
    <w:p w14:paraId="6C05E1D8">
      <w:pPr>
        <w:snapToGrid w:val="0"/>
        <w:ind w:firstLine="480" w:firstLineChars="200"/>
        <w:rPr>
          <w:color w:val="auto"/>
          <w:highlight w:val="none"/>
        </w:rPr>
      </w:pPr>
      <w:r>
        <w:rPr>
          <w:rFonts w:hint="eastAsia"/>
          <w:color w:val="auto"/>
          <w:highlight w:val="none"/>
        </w:rPr>
        <w:t>4.2  建设单位应当定期在建设项目工作例会、HSE例会等会议通报、讲评承包商记分及量化考核管理工作情况。</w:t>
      </w:r>
    </w:p>
    <w:p w14:paraId="1F465BE1">
      <w:pPr>
        <w:snapToGrid w:val="0"/>
        <w:ind w:firstLine="480" w:firstLineChars="200"/>
        <w:rPr>
          <w:color w:val="auto"/>
          <w:highlight w:val="none"/>
        </w:rPr>
      </w:pPr>
      <w:r>
        <w:rPr>
          <w:rFonts w:hint="eastAsia"/>
          <w:color w:val="auto"/>
          <w:highlight w:val="none"/>
        </w:rPr>
        <w:t>4.3  总部职能部门组织的各类专项检查发现问题的，将问题清单交建设单位，由建设单位及时将问题事件录入管理平台，建设单位应当督促承包商做好有关整改工作。</w:t>
      </w:r>
    </w:p>
    <w:p w14:paraId="32FAD032">
      <w:pPr>
        <w:snapToGrid w:val="0"/>
        <w:ind w:firstLine="480" w:firstLineChars="200"/>
        <w:rPr>
          <w:color w:val="auto"/>
          <w:highlight w:val="none"/>
        </w:rPr>
      </w:pPr>
      <w:r>
        <w:rPr>
          <w:rFonts w:hint="eastAsia"/>
          <w:color w:val="auto"/>
          <w:highlight w:val="none"/>
        </w:rPr>
        <w:t>5.  检查与考核</w:t>
      </w:r>
    </w:p>
    <w:p w14:paraId="6205BB96">
      <w:pPr>
        <w:snapToGrid w:val="0"/>
        <w:ind w:firstLine="480" w:firstLineChars="200"/>
        <w:rPr>
          <w:color w:val="auto"/>
          <w:highlight w:val="none"/>
        </w:rPr>
      </w:pPr>
      <w:r>
        <w:rPr>
          <w:rFonts w:hint="eastAsia"/>
          <w:color w:val="auto"/>
          <w:highlight w:val="none"/>
        </w:rPr>
        <w:t>5.1  总部工程部会同总部有关职能部门对建设项目承包商及从业人员记分及量化考核实施情况进行监督检查，并对监督检查中发现的问题，依照国家法律法规和中国石化有关制度及时进行处理。</w:t>
      </w:r>
    </w:p>
    <w:p w14:paraId="1642E132">
      <w:pPr>
        <w:snapToGrid w:val="0"/>
        <w:ind w:firstLine="480" w:firstLineChars="200"/>
        <w:rPr>
          <w:color w:val="auto"/>
          <w:highlight w:val="none"/>
        </w:rPr>
      </w:pPr>
      <w:r>
        <w:rPr>
          <w:rFonts w:hint="eastAsia"/>
          <w:color w:val="auto"/>
          <w:highlight w:val="none"/>
        </w:rPr>
        <w:t>6.  附件</w:t>
      </w:r>
    </w:p>
    <w:p w14:paraId="4601F6E0">
      <w:pPr>
        <w:snapToGrid w:val="0"/>
        <w:ind w:firstLine="480" w:firstLineChars="200"/>
        <w:rPr>
          <w:color w:val="auto"/>
          <w:highlight w:val="none"/>
        </w:rPr>
      </w:pPr>
      <w:r>
        <w:rPr>
          <w:rFonts w:hint="eastAsia"/>
          <w:color w:val="auto"/>
          <w:highlight w:val="none"/>
        </w:rPr>
        <w:t>6.1  承包商主要管理人员清单</w:t>
      </w:r>
    </w:p>
    <w:p w14:paraId="4F4D1E5C">
      <w:pPr>
        <w:snapToGrid w:val="0"/>
        <w:ind w:firstLine="480" w:firstLineChars="200"/>
        <w:rPr>
          <w:color w:val="auto"/>
          <w:highlight w:val="none"/>
        </w:rPr>
      </w:pPr>
      <w:r>
        <w:rPr>
          <w:rFonts w:hint="eastAsia"/>
          <w:color w:val="auto"/>
          <w:highlight w:val="none"/>
        </w:rPr>
        <w:t>6.2  事故级事件记分规则及处罚清单</w:t>
      </w:r>
    </w:p>
    <w:p w14:paraId="081E4D84">
      <w:pPr>
        <w:snapToGrid w:val="0"/>
        <w:ind w:firstLine="480" w:firstLineChars="200"/>
        <w:rPr>
          <w:color w:val="auto"/>
          <w:highlight w:val="none"/>
        </w:rPr>
      </w:pPr>
      <w:r>
        <w:rPr>
          <w:rFonts w:hint="eastAsia"/>
          <w:color w:val="auto"/>
          <w:highlight w:val="none"/>
        </w:rPr>
        <w:t>6.3  一级、二级、三级事件记分规则清单</w:t>
      </w:r>
    </w:p>
    <w:p w14:paraId="7D739780">
      <w:pPr>
        <w:snapToGrid w:val="0"/>
        <w:ind w:firstLine="480" w:firstLineChars="200"/>
        <w:rPr>
          <w:color w:val="auto"/>
          <w:highlight w:val="none"/>
        </w:rPr>
      </w:pPr>
      <w:r>
        <w:rPr>
          <w:rFonts w:hint="eastAsia"/>
          <w:color w:val="auto"/>
          <w:highlight w:val="none"/>
        </w:rPr>
        <w:t>6.4  记分事件清单</w:t>
      </w:r>
    </w:p>
    <w:p w14:paraId="5C2D55BF">
      <w:pPr>
        <w:snapToGrid w:val="0"/>
        <w:ind w:firstLine="480" w:firstLineChars="200"/>
        <w:rPr>
          <w:color w:val="auto"/>
          <w:highlight w:val="none"/>
        </w:rPr>
      </w:pPr>
      <w:r>
        <w:rPr>
          <w:rFonts w:hint="eastAsia"/>
          <w:color w:val="auto"/>
          <w:highlight w:val="none"/>
        </w:rPr>
        <w:t>6.5  业务职责分工表</w:t>
      </w:r>
    </w:p>
    <w:p w14:paraId="1A5FE2D2">
      <w:pPr>
        <w:widowControl/>
        <w:jc w:val="left"/>
        <w:rPr>
          <w:color w:val="auto"/>
          <w:highlight w:val="none"/>
        </w:rPr>
        <w:sectPr>
          <w:pgSz w:w="11906" w:h="16838"/>
          <w:pgMar w:top="1440" w:right="1800" w:bottom="1440" w:left="1800" w:header="851" w:footer="992" w:gutter="0"/>
          <w:cols w:space="720" w:num="1"/>
          <w:docGrid w:linePitch="312" w:charSpace="0"/>
        </w:sectPr>
      </w:pPr>
    </w:p>
    <w:bookmarkEnd w:id="1256"/>
    <w:bookmarkEnd w:id="1257"/>
    <w:p w14:paraId="4C085CAD">
      <w:pPr>
        <w:keepNext/>
        <w:keepLines/>
        <w:outlineLvl w:val="1"/>
        <w:rPr>
          <w:bCs/>
          <w:color w:val="auto"/>
          <w:szCs w:val="32"/>
          <w:highlight w:val="none"/>
        </w:rPr>
      </w:pPr>
      <w:bookmarkStart w:id="1258" w:name="_Toc64904384"/>
      <w:bookmarkStart w:id="1259" w:name="_Toc256000151"/>
      <w:bookmarkStart w:id="1260" w:name="_Toc256000209"/>
      <w:bookmarkStart w:id="1261" w:name="_Toc99782870"/>
      <w:bookmarkStart w:id="1262" w:name="_Toc91660663"/>
      <w:bookmarkStart w:id="1263" w:name="_Toc81225330"/>
      <w:bookmarkStart w:id="1264" w:name="_Toc47447609"/>
      <w:bookmarkStart w:id="1265" w:name="_Toc119953785"/>
      <w:bookmarkStart w:id="1266" w:name="_Toc256000130"/>
      <w:bookmarkStart w:id="1267" w:name="_Toc117018848"/>
      <w:bookmarkStart w:id="1268" w:name="_Toc6654"/>
      <w:r>
        <w:rPr>
          <w:rFonts w:hint="eastAsia"/>
          <w:bCs/>
          <w:color w:val="auto"/>
          <w:szCs w:val="32"/>
          <w:highlight w:val="none"/>
        </w:rPr>
        <w:t>附件1</w:t>
      </w:r>
      <w:r>
        <w:rPr>
          <w:rFonts w:hint="eastAsia"/>
          <w:bCs/>
          <w:color w:val="auto"/>
          <w:szCs w:val="32"/>
          <w:highlight w:val="none"/>
          <w:lang w:val="en-US" w:eastAsia="zh-CN"/>
        </w:rPr>
        <w:t>7</w:t>
      </w:r>
      <w:r>
        <w:rPr>
          <w:rFonts w:hint="eastAsia"/>
          <w:bCs/>
          <w:color w:val="auto"/>
          <w:szCs w:val="32"/>
          <w:highlight w:val="none"/>
        </w:rPr>
        <w:t>：</w:t>
      </w:r>
      <w:bookmarkEnd w:id="1258"/>
      <w:bookmarkEnd w:id="1259"/>
      <w:bookmarkEnd w:id="1260"/>
      <w:bookmarkEnd w:id="1261"/>
      <w:bookmarkEnd w:id="1262"/>
      <w:bookmarkEnd w:id="1263"/>
      <w:bookmarkEnd w:id="1264"/>
      <w:r>
        <w:rPr>
          <w:rFonts w:hint="eastAsia"/>
          <w:bCs/>
          <w:color w:val="auto"/>
          <w:szCs w:val="32"/>
          <w:highlight w:val="none"/>
        </w:rPr>
        <w:t>中国石化建设项目环境保护管理办法</w:t>
      </w:r>
      <w:bookmarkEnd w:id="1265"/>
      <w:bookmarkEnd w:id="1266"/>
      <w:bookmarkEnd w:id="1267"/>
      <w:bookmarkEnd w:id="1268"/>
    </w:p>
    <w:p w14:paraId="450C4FA2">
      <w:pPr>
        <w:spacing w:line="240" w:lineRule="auto"/>
        <w:ind w:firstLine="480"/>
        <w:rPr>
          <w:rFonts w:ascii="Calibri" w:hAnsi="Calibri"/>
          <w:color w:val="auto"/>
          <w:sz w:val="21"/>
          <w:szCs w:val="22"/>
          <w:highlight w:val="none"/>
        </w:rPr>
      </w:pPr>
    </w:p>
    <w:p w14:paraId="4FC25662">
      <w:pPr>
        <w:ind w:firstLine="640"/>
        <w:jc w:val="center"/>
        <w:rPr>
          <w:rFonts w:cs="Arial"/>
          <w:bCs/>
          <w:color w:val="auto"/>
          <w:sz w:val="32"/>
          <w:szCs w:val="32"/>
          <w:highlight w:val="none"/>
        </w:rPr>
      </w:pPr>
      <w:r>
        <w:rPr>
          <w:rFonts w:hint="eastAsia" w:cs="Arial"/>
          <w:bCs/>
          <w:color w:val="auto"/>
          <w:sz w:val="32"/>
          <w:szCs w:val="32"/>
          <w:highlight w:val="none"/>
        </w:rPr>
        <w:t>中国石化建设项目环境保护管理办法</w:t>
      </w:r>
    </w:p>
    <w:p w14:paraId="048D519A">
      <w:pPr>
        <w:ind w:firstLine="640"/>
        <w:jc w:val="center"/>
        <w:rPr>
          <w:rFonts w:hAnsi="Calibri"/>
          <w:color w:val="auto"/>
          <w:szCs w:val="22"/>
          <w:highlight w:val="none"/>
        </w:rPr>
      </w:pPr>
      <w:r>
        <w:rPr>
          <w:rFonts w:hint="eastAsia" w:hAnsi="Calibri"/>
          <w:color w:val="auto"/>
          <w:szCs w:val="22"/>
          <w:highlight w:val="none"/>
        </w:rPr>
        <w:t>中国石化制〔2021〕285号</w:t>
      </w:r>
    </w:p>
    <w:p w14:paraId="64228D7A">
      <w:pPr>
        <w:tabs>
          <w:tab w:val="left" w:pos="1220"/>
        </w:tabs>
        <w:kinsoku w:val="0"/>
        <w:overflowPunct w:val="0"/>
        <w:autoSpaceDE w:val="0"/>
        <w:autoSpaceDN w:val="0"/>
        <w:adjustRightInd w:val="0"/>
        <w:spacing w:before="137"/>
        <w:ind w:firstLine="462" w:firstLineChars="200"/>
        <w:jc w:val="left"/>
        <w:rPr>
          <w:rFonts w:cs="黑体"/>
          <w:b/>
          <w:color w:val="auto"/>
          <w:spacing w:val="-5"/>
          <w:highlight w:val="none"/>
        </w:rPr>
      </w:pPr>
      <w:r>
        <w:rPr>
          <w:rFonts w:hint="eastAsia" w:cs="黑体"/>
          <w:b/>
          <w:color w:val="auto"/>
          <w:spacing w:val="-5"/>
          <w:highlight w:val="none"/>
        </w:rPr>
        <w:t>1</w:t>
      </w:r>
      <w:r>
        <w:rPr>
          <w:rFonts w:cs="黑体"/>
          <w:b/>
          <w:color w:val="auto"/>
          <w:spacing w:val="-5"/>
          <w:highlight w:val="none"/>
        </w:rPr>
        <w:t xml:space="preserve"> </w:t>
      </w:r>
      <w:r>
        <w:rPr>
          <w:rFonts w:hint="eastAsia" w:cs="黑体"/>
          <w:b/>
          <w:color w:val="auto"/>
          <w:spacing w:val="-5"/>
          <w:highlight w:val="none"/>
        </w:rPr>
        <w:t>总则</w:t>
      </w:r>
    </w:p>
    <w:p w14:paraId="65EE7CE4">
      <w:pPr>
        <w:snapToGrid w:val="0"/>
        <w:ind w:firstLine="480" w:firstLineChars="200"/>
        <w:rPr>
          <w:color w:val="auto"/>
          <w:highlight w:val="none"/>
        </w:rPr>
      </w:pPr>
      <w:r>
        <w:rPr>
          <w:color w:val="auto"/>
          <w:highlight w:val="none"/>
        </w:rPr>
        <w:t xml:space="preserve">1.1 </w:t>
      </w:r>
      <w:r>
        <w:rPr>
          <w:rFonts w:hint="eastAsia"/>
          <w:color w:val="auto"/>
          <w:highlight w:val="none"/>
        </w:rPr>
        <w:t>为贯彻落实《中华人民共和国环境影响评价法》《建设项目环境保护管理条例》《中国石化环境保护管理规定》等相关要求，加强和规范集团公司境内建设项目环境保护管理，提高集团公司本质环保水平和管理能力，制定本办法。</w:t>
      </w:r>
    </w:p>
    <w:p w14:paraId="4630F21D">
      <w:pPr>
        <w:snapToGrid w:val="0"/>
        <w:ind w:firstLine="480" w:firstLineChars="200"/>
        <w:rPr>
          <w:color w:val="auto"/>
          <w:highlight w:val="none"/>
        </w:rPr>
      </w:pPr>
      <w:r>
        <w:rPr>
          <w:rFonts w:hint="eastAsia"/>
          <w:color w:val="auto"/>
          <w:highlight w:val="none"/>
        </w:rPr>
        <w:t>1</w:t>
      </w:r>
      <w:r>
        <w:rPr>
          <w:color w:val="auto"/>
          <w:highlight w:val="none"/>
        </w:rPr>
        <w:t xml:space="preserve">.2 </w:t>
      </w:r>
      <w:r>
        <w:rPr>
          <w:rFonts w:hint="eastAsia"/>
          <w:color w:val="auto"/>
          <w:highlight w:val="none"/>
        </w:rPr>
        <w:t>本办法适用于集团公司境内建设项目全过程环境保护管理。</w:t>
      </w:r>
    </w:p>
    <w:p w14:paraId="49EA8CF2">
      <w:pPr>
        <w:snapToGrid w:val="0"/>
        <w:ind w:firstLine="480" w:firstLineChars="200"/>
        <w:rPr>
          <w:color w:val="auto"/>
          <w:highlight w:val="none"/>
        </w:rPr>
      </w:pPr>
      <w:r>
        <w:rPr>
          <w:color w:val="auto"/>
          <w:highlight w:val="none"/>
        </w:rPr>
        <w:t xml:space="preserve">1.3 </w:t>
      </w:r>
      <w:r>
        <w:rPr>
          <w:rFonts w:hint="eastAsia"/>
          <w:color w:val="auto"/>
          <w:highlight w:val="none"/>
        </w:rPr>
        <w:t>本办法所称建设项目环境保护管理，包括环境影响评价、环境监理、环境影响后评价，以及项目可行性研究、设计、施工、试生产、竣工验收、退役等全过程的环境保护管理。</w:t>
      </w:r>
    </w:p>
    <w:p w14:paraId="15452A21">
      <w:pPr>
        <w:snapToGrid w:val="0"/>
        <w:ind w:firstLine="480" w:firstLineChars="200"/>
        <w:rPr>
          <w:color w:val="auto"/>
          <w:highlight w:val="none"/>
        </w:rPr>
      </w:pPr>
      <w:r>
        <w:rPr>
          <w:rFonts w:hint="eastAsia"/>
          <w:color w:val="auto"/>
          <w:highlight w:val="none"/>
        </w:rPr>
        <w:t>本办法所称国家级项目，是指由生态环境部审批环境影响评价的建设项目。</w:t>
      </w:r>
    </w:p>
    <w:p w14:paraId="2A2255B6">
      <w:pPr>
        <w:snapToGrid w:val="0"/>
        <w:ind w:firstLine="480" w:firstLineChars="200"/>
        <w:rPr>
          <w:color w:val="auto"/>
          <w:highlight w:val="none"/>
        </w:rPr>
      </w:pPr>
      <w:r>
        <w:rPr>
          <w:rFonts w:hint="eastAsia"/>
          <w:color w:val="auto"/>
          <w:highlight w:val="none"/>
        </w:rPr>
        <w:t>本办法所称一类、二类、三类项目，是指根据各业务板块特点，按照投资额大小划分的固定资产投资项目类别，具体分类按照中国石化投资管理办法有关规定确定。</w:t>
      </w:r>
    </w:p>
    <w:p w14:paraId="42C7FC93">
      <w:pPr>
        <w:snapToGrid w:val="0"/>
        <w:ind w:firstLine="480" w:firstLineChars="200"/>
        <w:rPr>
          <w:color w:val="auto"/>
          <w:highlight w:val="none"/>
        </w:rPr>
      </w:pPr>
      <w:r>
        <w:rPr>
          <w:rFonts w:hint="eastAsia"/>
          <w:color w:val="auto"/>
          <w:highlight w:val="none"/>
        </w:rPr>
        <w:t>本办法所称试生产是指建设项目生产调试的过程，试生产时间自生产调试开始之日起，至通过竣工环境保护验收之日止。</w:t>
      </w:r>
    </w:p>
    <w:p w14:paraId="2B8D89E1">
      <w:pPr>
        <w:snapToGrid w:val="0"/>
        <w:ind w:firstLine="480" w:firstLineChars="200"/>
        <w:rPr>
          <w:color w:val="auto"/>
          <w:highlight w:val="none"/>
        </w:rPr>
      </w:pPr>
      <w:r>
        <w:rPr>
          <w:rFonts w:hint="eastAsia"/>
          <w:color w:val="auto"/>
          <w:highlight w:val="none"/>
        </w:rPr>
        <w:t>1</w:t>
      </w:r>
      <w:r>
        <w:rPr>
          <w:color w:val="auto"/>
          <w:highlight w:val="none"/>
        </w:rPr>
        <w:t xml:space="preserve">.4 </w:t>
      </w:r>
      <w:r>
        <w:rPr>
          <w:rFonts w:hint="eastAsia"/>
          <w:color w:val="auto"/>
          <w:highlight w:val="none"/>
        </w:rPr>
        <w:t>集团公司实行建设项目环境保护统一管理、分级负责制。</w:t>
      </w:r>
    </w:p>
    <w:p w14:paraId="793E073C">
      <w:pPr>
        <w:snapToGrid w:val="0"/>
        <w:ind w:firstLine="480" w:firstLineChars="200"/>
        <w:rPr>
          <w:color w:val="auto"/>
          <w:highlight w:val="none"/>
        </w:rPr>
      </w:pPr>
      <w:r>
        <w:rPr>
          <w:color w:val="auto"/>
          <w:highlight w:val="none"/>
        </w:rPr>
        <w:t xml:space="preserve">1.5 </w:t>
      </w:r>
      <w:r>
        <w:rPr>
          <w:rFonts w:hint="eastAsia"/>
          <w:color w:val="auto"/>
          <w:highlight w:val="none"/>
        </w:rPr>
        <w:t>集团公司在建设项目环境保护方面应当遵循“保护优先、源头防控、以新带老、增产减污、本质环保”的原则，做到环境保护设施与主体工程同时设计、同时施工、同时投产使用，强化建设项目前期内控管理和事中事后监管，确保项目建设和</w:t>
      </w:r>
      <w:r>
        <w:rPr>
          <w:color w:val="auto"/>
          <w:highlight w:val="none"/>
        </w:rPr>
        <w:t>运</w:t>
      </w:r>
      <w:r>
        <w:rPr>
          <w:rFonts w:hint="eastAsia"/>
          <w:color w:val="auto"/>
          <w:highlight w:val="none"/>
        </w:rPr>
        <w:t>营合法守规。</w:t>
      </w:r>
    </w:p>
    <w:p w14:paraId="6B9D30F6">
      <w:pPr>
        <w:snapToGrid w:val="0"/>
        <w:ind w:firstLine="480" w:firstLineChars="200"/>
        <w:rPr>
          <w:color w:val="auto"/>
          <w:highlight w:val="none"/>
        </w:rPr>
      </w:pPr>
      <w:r>
        <w:rPr>
          <w:color w:val="auto"/>
          <w:highlight w:val="none"/>
        </w:rPr>
        <w:t xml:space="preserve">1.6 </w:t>
      </w:r>
      <w:r>
        <w:rPr>
          <w:rFonts w:hint="eastAsia"/>
          <w:color w:val="auto"/>
          <w:highlight w:val="none"/>
        </w:rPr>
        <w:t>集团公司建设项目必须遵守国家和地方的法律、法规、政策、标准及规范要求。建设项目的选址（线）、布局和规模，必须遵守“三线一单”（生态保护红线、环境质量底线、资源利用上线、生态环境准入清单）和相关规划及规划环境影响评价总体要求。</w:t>
      </w:r>
    </w:p>
    <w:p w14:paraId="0DB64D3B">
      <w:pPr>
        <w:snapToGrid w:val="0"/>
        <w:ind w:firstLine="480" w:firstLineChars="200"/>
        <w:rPr>
          <w:color w:val="auto"/>
          <w:highlight w:val="none"/>
        </w:rPr>
      </w:pPr>
      <w:r>
        <w:rPr>
          <w:rFonts w:hint="eastAsia"/>
          <w:color w:val="auto"/>
          <w:highlight w:val="none"/>
        </w:rPr>
        <w:t>1</w:t>
      </w:r>
      <w:r>
        <w:rPr>
          <w:color w:val="auto"/>
          <w:highlight w:val="none"/>
        </w:rPr>
        <w:t xml:space="preserve">.7 </w:t>
      </w:r>
      <w:r>
        <w:rPr>
          <w:rFonts w:hint="eastAsia"/>
          <w:color w:val="auto"/>
          <w:highlight w:val="none"/>
        </w:rPr>
        <w:t>集团公司建设项目应落实能源环境总量和强度双控要求，立足于企业内部挖潜，建设项目实施后力争全厂“不增能、不增水、不增污、不增碳”。</w:t>
      </w:r>
    </w:p>
    <w:p w14:paraId="1974E87B">
      <w:pPr>
        <w:numPr>
          <w:ilvl w:val="0"/>
          <w:numId w:val="10"/>
        </w:numPr>
        <w:snapToGrid w:val="0"/>
        <w:rPr>
          <w:b/>
          <w:color w:val="auto"/>
          <w:highlight w:val="none"/>
        </w:rPr>
      </w:pPr>
      <w:r>
        <w:rPr>
          <w:rFonts w:hint="eastAsia" w:cs="黑体"/>
          <w:b/>
          <w:color w:val="auto"/>
          <w:spacing w:val="-5"/>
          <w:highlight w:val="none"/>
        </w:rPr>
        <w:t>组织管理与职责</w:t>
      </w:r>
    </w:p>
    <w:p w14:paraId="213408CF">
      <w:pPr>
        <w:snapToGrid w:val="0"/>
        <w:ind w:firstLine="480" w:firstLineChars="200"/>
        <w:rPr>
          <w:color w:val="auto"/>
          <w:highlight w:val="none"/>
        </w:rPr>
      </w:pPr>
      <w:r>
        <w:rPr>
          <w:color w:val="auto"/>
          <w:highlight w:val="none"/>
        </w:rPr>
        <w:t xml:space="preserve">2.1 </w:t>
      </w:r>
      <w:r>
        <w:rPr>
          <w:rFonts w:hint="eastAsia"/>
          <w:color w:val="auto"/>
          <w:highlight w:val="none"/>
        </w:rPr>
        <w:t>能源管理与环境保护部（以下简称能源环境部）负责制修订集团公司建设项目环境保护管理规章制度，对集团公司建设项目环境保护管理工作进行指导、监督和考核。</w:t>
      </w:r>
    </w:p>
    <w:p w14:paraId="596F35B9">
      <w:pPr>
        <w:snapToGrid w:val="0"/>
        <w:ind w:firstLine="480" w:firstLineChars="200"/>
        <w:rPr>
          <w:color w:val="auto"/>
          <w:highlight w:val="none"/>
        </w:rPr>
      </w:pPr>
      <w:r>
        <w:rPr>
          <w:rFonts w:hint="eastAsia"/>
          <w:color w:val="auto"/>
          <w:highlight w:val="none"/>
        </w:rPr>
        <w:t>2</w:t>
      </w:r>
      <w:r>
        <w:rPr>
          <w:color w:val="auto"/>
          <w:highlight w:val="none"/>
        </w:rPr>
        <w:t xml:space="preserve">.2 </w:t>
      </w:r>
      <w:r>
        <w:rPr>
          <w:rFonts w:hint="eastAsia"/>
          <w:color w:val="auto"/>
          <w:highlight w:val="none"/>
        </w:rPr>
        <w:t>总部各部门按照本部门环保职责履行建设项目环保管理相应责任。</w:t>
      </w:r>
    </w:p>
    <w:p w14:paraId="65EA0DC2">
      <w:pPr>
        <w:snapToGrid w:val="0"/>
        <w:ind w:firstLine="480" w:firstLineChars="200"/>
        <w:rPr>
          <w:color w:val="auto"/>
          <w:highlight w:val="none"/>
        </w:rPr>
      </w:pPr>
      <w:r>
        <w:rPr>
          <w:color w:val="auto"/>
          <w:highlight w:val="none"/>
        </w:rPr>
        <w:t>2.3</w:t>
      </w:r>
      <w:r>
        <w:rPr>
          <w:rFonts w:hint="eastAsia"/>
          <w:color w:val="auto"/>
          <w:highlight w:val="none"/>
        </w:rPr>
        <w:t>事业部、专业公司负责所属企业建设项目环境保护管理工作的监督管理。</w:t>
      </w:r>
    </w:p>
    <w:p w14:paraId="6B5E4724">
      <w:pPr>
        <w:snapToGrid w:val="0"/>
        <w:ind w:firstLine="480" w:firstLineChars="200"/>
        <w:rPr>
          <w:color w:val="auto"/>
          <w:highlight w:val="none"/>
        </w:rPr>
      </w:pPr>
      <w:r>
        <w:rPr>
          <w:rFonts w:hint="eastAsia"/>
          <w:color w:val="auto"/>
          <w:highlight w:val="none"/>
        </w:rPr>
        <w:t>2</w:t>
      </w:r>
      <w:r>
        <w:rPr>
          <w:color w:val="auto"/>
          <w:highlight w:val="none"/>
        </w:rPr>
        <w:t xml:space="preserve">.4 </w:t>
      </w:r>
      <w:r>
        <w:rPr>
          <w:rFonts w:hint="eastAsia"/>
          <w:color w:val="auto"/>
          <w:highlight w:val="none"/>
        </w:rPr>
        <w:t>企业是建设项目环境保护管理工作的责任主体，负责落实建设项目全过程环境保护管理工作。实行委托代建管理模式的</w:t>
      </w:r>
      <w:r>
        <w:rPr>
          <w:color w:val="auto"/>
          <w:highlight w:val="none"/>
        </w:rPr>
        <w:t>,</w:t>
      </w:r>
      <w:r>
        <w:rPr>
          <w:rFonts w:hint="eastAsia"/>
          <w:color w:val="auto"/>
          <w:highlight w:val="none"/>
        </w:rPr>
        <w:t>依据相关法律法规和合同约定履行各方职责。</w:t>
      </w:r>
    </w:p>
    <w:p w14:paraId="37D757AE">
      <w:pPr>
        <w:numPr>
          <w:ilvl w:val="0"/>
          <w:numId w:val="10"/>
        </w:numPr>
        <w:snapToGrid w:val="0"/>
        <w:rPr>
          <w:b/>
          <w:color w:val="auto"/>
          <w:highlight w:val="none"/>
        </w:rPr>
      </w:pPr>
      <w:r>
        <w:rPr>
          <w:rFonts w:hint="eastAsia"/>
          <w:b/>
          <w:color w:val="auto"/>
          <w:highlight w:val="none"/>
        </w:rPr>
        <w:t>工作内容与要求</w:t>
      </w:r>
    </w:p>
    <w:p w14:paraId="4F1D17CC">
      <w:pPr>
        <w:snapToGrid w:val="0"/>
        <w:ind w:firstLine="480" w:firstLineChars="200"/>
        <w:rPr>
          <w:color w:val="auto"/>
          <w:highlight w:val="none"/>
        </w:rPr>
      </w:pPr>
      <w:r>
        <w:rPr>
          <w:color w:val="auto"/>
          <w:highlight w:val="none"/>
        </w:rPr>
        <w:t xml:space="preserve">3.1 </w:t>
      </w:r>
      <w:r>
        <w:rPr>
          <w:rFonts w:hint="eastAsia"/>
          <w:color w:val="auto"/>
          <w:highlight w:val="none"/>
        </w:rPr>
        <w:t>总体要求</w:t>
      </w:r>
    </w:p>
    <w:p w14:paraId="0E8514DD">
      <w:pPr>
        <w:snapToGrid w:val="0"/>
        <w:ind w:firstLine="480" w:firstLineChars="200"/>
        <w:rPr>
          <w:color w:val="auto"/>
          <w:highlight w:val="none"/>
        </w:rPr>
      </w:pPr>
      <w:r>
        <w:rPr>
          <w:color w:val="auto"/>
          <w:highlight w:val="none"/>
        </w:rPr>
        <w:t xml:space="preserve">3.1.1 </w:t>
      </w:r>
      <w:r>
        <w:rPr>
          <w:rFonts w:hint="eastAsia"/>
          <w:color w:val="auto"/>
          <w:highlight w:val="none"/>
        </w:rPr>
        <w:t>集团公司建立建设项目环保合规性分级督查机制，对企业建设项目环境影响评价、可行性研究、基础设计、施工建设、试生产、竣工环境保护验收、环境影响后评价等环保合规性进行监督检查，对存在的问题督办整改和追究责任。</w:t>
      </w:r>
    </w:p>
    <w:p w14:paraId="72666AB7">
      <w:pPr>
        <w:snapToGrid w:val="0"/>
        <w:ind w:firstLine="480" w:firstLineChars="200"/>
        <w:rPr>
          <w:color w:val="auto"/>
          <w:highlight w:val="none"/>
        </w:rPr>
      </w:pPr>
      <w:r>
        <w:rPr>
          <w:color w:val="auto"/>
          <w:highlight w:val="none"/>
        </w:rPr>
        <w:t xml:space="preserve">3.1.2 </w:t>
      </w:r>
      <w:r>
        <w:rPr>
          <w:rFonts w:hint="eastAsia"/>
          <w:color w:val="auto"/>
          <w:highlight w:val="none"/>
        </w:rPr>
        <w:t>企业环保管理部门应全过程参与建设项目环保管理，在可行性研究、基础设计、施工建设、试生产等各阶段把关环保手续合规性以及环保措施可行性。企业其他部门按照“管业务管环保”的原则，履行建设项目环保管理相应责任。</w:t>
      </w:r>
    </w:p>
    <w:p w14:paraId="36406E5E">
      <w:pPr>
        <w:snapToGrid w:val="0"/>
        <w:ind w:firstLine="480" w:firstLineChars="200"/>
        <w:rPr>
          <w:color w:val="auto"/>
          <w:highlight w:val="none"/>
        </w:rPr>
      </w:pPr>
      <w:r>
        <w:rPr>
          <w:color w:val="auto"/>
          <w:highlight w:val="none"/>
        </w:rPr>
        <w:t xml:space="preserve">3.1.3 </w:t>
      </w:r>
      <w:r>
        <w:rPr>
          <w:rFonts w:hint="eastAsia"/>
          <w:color w:val="auto"/>
          <w:highlight w:val="none"/>
        </w:rPr>
        <w:t>企业应该严格审查工程总承包、勘察、设计、施工、监理、检测等承包商的环保业绩，三年内发生一般</w:t>
      </w:r>
      <w:r>
        <w:rPr>
          <w:color w:val="auto"/>
          <w:highlight w:val="none"/>
        </w:rPr>
        <w:t xml:space="preserve"> C </w:t>
      </w:r>
      <w:r>
        <w:rPr>
          <w:rFonts w:hint="eastAsia"/>
          <w:color w:val="auto"/>
          <w:highlight w:val="none"/>
        </w:rPr>
        <w:t>级及以上级突发环境事件的承包商，因环境违法违规行为造成较大社会影响或被政府部门列入“黑名单”，禁止承揽集团公司有关业务。企业应当对承包商进行环保交底或培训，督促承包商严格落实环境影响报告书（表）及其批复要求，并将承包商环保绩效纳入承包商绩效考核。</w:t>
      </w:r>
    </w:p>
    <w:p w14:paraId="162C5956">
      <w:pPr>
        <w:snapToGrid w:val="0"/>
        <w:ind w:firstLine="480" w:firstLineChars="200"/>
        <w:rPr>
          <w:color w:val="auto"/>
          <w:highlight w:val="none"/>
        </w:rPr>
      </w:pPr>
      <w:r>
        <w:rPr>
          <w:rFonts w:hint="eastAsia"/>
          <w:color w:val="auto"/>
          <w:highlight w:val="none"/>
        </w:rPr>
        <w:t>3</w:t>
      </w:r>
      <w:r>
        <w:rPr>
          <w:color w:val="auto"/>
          <w:highlight w:val="none"/>
        </w:rPr>
        <w:t xml:space="preserve">.1.4 </w:t>
      </w:r>
      <w:r>
        <w:rPr>
          <w:rFonts w:hint="eastAsia"/>
          <w:color w:val="auto"/>
          <w:highlight w:val="none"/>
        </w:rPr>
        <w:t>企业应选择业绩优良的环保技术咨询单位承揽环保技术咨询业务。列入生态环境主管部门限期整改名单或存在质量问题被多次通报的单位，禁止承揽集团公司环境影响评价、竣工环境保护验收、环境监理、环境影响后评价等环保技术咨询业务。</w:t>
      </w:r>
    </w:p>
    <w:p w14:paraId="050D349C">
      <w:pPr>
        <w:snapToGrid w:val="0"/>
        <w:ind w:firstLine="480" w:firstLineChars="200"/>
        <w:rPr>
          <w:color w:val="auto"/>
          <w:highlight w:val="none"/>
        </w:rPr>
      </w:pPr>
      <w:r>
        <w:rPr>
          <w:rFonts w:hint="eastAsia"/>
          <w:color w:val="auto"/>
          <w:highlight w:val="none"/>
        </w:rPr>
        <w:t>3</w:t>
      </w:r>
      <w:r>
        <w:rPr>
          <w:color w:val="auto"/>
          <w:highlight w:val="none"/>
        </w:rPr>
        <w:t xml:space="preserve">.2 </w:t>
      </w:r>
      <w:r>
        <w:rPr>
          <w:rFonts w:hint="eastAsia"/>
          <w:color w:val="auto"/>
          <w:highlight w:val="none"/>
        </w:rPr>
        <w:t>环境影响评价要求</w:t>
      </w:r>
    </w:p>
    <w:p w14:paraId="23C83F22">
      <w:pPr>
        <w:snapToGrid w:val="0"/>
        <w:ind w:firstLine="480" w:firstLineChars="200"/>
        <w:rPr>
          <w:color w:val="auto"/>
          <w:highlight w:val="none"/>
        </w:rPr>
      </w:pPr>
      <w:r>
        <w:rPr>
          <w:rFonts w:hint="eastAsia"/>
          <w:color w:val="auto"/>
          <w:highlight w:val="none"/>
        </w:rPr>
        <w:t>3</w:t>
      </w:r>
      <w:r>
        <w:rPr>
          <w:color w:val="auto"/>
          <w:highlight w:val="none"/>
        </w:rPr>
        <w:t xml:space="preserve">.2.1 </w:t>
      </w:r>
      <w:r>
        <w:rPr>
          <w:rFonts w:hint="eastAsia"/>
          <w:color w:val="auto"/>
          <w:highlight w:val="none"/>
        </w:rPr>
        <w:t>进入产业园区的项目</w:t>
      </w:r>
      <w:r>
        <w:rPr>
          <w:color w:val="auto"/>
          <w:highlight w:val="none"/>
        </w:rPr>
        <w:t>,</w:t>
      </w:r>
      <w:r>
        <w:rPr>
          <w:rFonts w:hint="eastAsia"/>
          <w:color w:val="auto"/>
          <w:highlight w:val="none"/>
        </w:rPr>
        <w:t>应符合园区入园条件</w:t>
      </w:r>
      <w:r>
        <w:rPr>
          <w:color w:val="auto"/>
          <w:highlight w:val="none"/>
        </w:rPr>
        <w:t>,</w:t>
      </w:r>
      <w:r>
        <w:rPr>
          <w:rFonts w:hint="eastAsia"/>
          <w:color w:val="auto"/>
          <w:highlight w:val="none"/>
        </w:rPr>
        <w:t>满足依法开展的园区规划环评的要求。建设项目环境影响评价应以园区规划环评为依据，重点分析项目环评与规划环评结论和审查意见的符合性。规划环评内包括的建设项目，项目环评可按生态环境主管部门要求进行简化。</w:t>
      </w:r>
    </w:p>
    <w:p w14:paraId="1EB91585">
      <w:pPr>
        <w:snapToGrid w:val="0"/>
        <w:ind w:firstLine="480" w:firstLineChars="200"/>
        <w:rPr>
          <w:color w:val="auto"/>
          <w:highlight w:val="none"/>
        </w:rPr>
      </w:pPr>
      <w:r>
        <w:rPr>
          <w:rFonts w:hint="eastAsia"/>
          <w:color w:val="auto"/>
          <w:highlight w:val="none"/>
        </w:rPr>
        <w:t>3</w:t>
      </w:r>
      <w:r>
        <w:rPr>
          <w:color w:val="auto"/>
          <w:highlight w:val="none"/>
        </w:rPr>
        <w:t xml:space="preserve">.2.2 </w:t>
      </w:r>
      <w:r>
        <w:rPr>
          <w:rFonts w:hint="eastAsia"/>
          <w:color w:val="auto"/>
          <w:highlight w:val="none"/>
        </w:rPr>
        <w:t>企业在开展项目可行性研究的同时，同步开展环境影响评价工作，并对环境影响报告书（表）的真实性、准确性负责。企业应对环境影响评价文件进行内审把关，并按照环境影响评价文件分级审批的有关规定，将环境影响评价文件报有审批权的生态环境主管部门审批或备案。国家级项目的环境影响报告书在送审前应由能源环境部组织内审，事业部、专业公司参加。</w:t>
      </w:r>
    </w:p>
    <w:p w14:paraId="723E233E">
      <w:pPr>
        <w:snapToGrid w:val="0"/>
        <w:ind w:firstLine="480" w:firstLineChars="200"/>
        <w:rPr>
          <w:color w:val="auto"/>
          <w:highlight w:val="none"/>
        </w:rPr>
      </w:pPr>
      <w:r>
        <w:rPr>
          <w:rFonts w:hint="eastAsia"/>
          <w:color w:val="auto"/>
          <w:highlight w:val="none"/>
        </w:rPr>
        <w:t>3</w:t>
      </w:r>
      <w:r>
        <w:rPr>
          <w:color w:val="auto"/>
          <w:highlight w:val="none"/>
        </w:rPr>
        <w:t xml:space="preserve">.2.3 </w:t>
      </w:r>
      <w:r>
        <w:rPr>
          <w:rFonts w:hint="eastAsia"/>
          <w:color w:val="auto"/>
          <w:highlight w:val="none"/>
        </w:rPr>
        <w:t>需开展碳排放环境影响评价的，应对建设项目进行全过程分析，识别碳排放节点，预测碳排放水平，提出碳减排措施，并将以上内容纳入项目整体环境影响评价中。</w:t>
      </w:r>
    </w:p>
    <w:p w14:paraId="1290466C">
      <w:pPr>
        <w:snapToGrid w:val="0"/>
        <w:ind w:firstLine="480" w:firstLineChars="200"/>
        <w:rPr>
          <w:color w:val="auto"/>
          <w:highlight w:val="none"/>
        </w:rPr>
      </w:pPr>
      <w:r>
        <w:rPr>
          <w:rFonts w:hint="eastAsia"/>
          <w:color w:val="auto"/>
          <w:highlight w:val="none"/>
        </w:rPr>
        <w:t>3</w:t>
      </w:r>
      <w:r>
        <w:rPr>
          <w:color w:val="auto"/>
          <w:highlight w:val="none"/>
        </w:rPr>
        <w:t xml:space="preserve">.2.4 </w:t>
      </w:r>
      <w:r>
        <w:rPr>
          <w:rFonts w:hint="eastAsia"/>
          <w:color w:val="auto"/>
          <w:highlight w:val="none"/>
        </w:rPr>
        <w:t>建设项目环境影响报告书（表）经批准后，建设项目的性质、规模、地点、采用的生产工艺或者防治污染、防止生态破坏的措施发生变更的，企业应开展变更环境影响分析；经分析属于环保重大变动的，企业应当在变动内容实施前，重新报批建设项目环境影响报告书（表）。</w:t>
      </w:r>
    </w:p>
    <w:p w14:paraId="47180EB6">
      <w:pPr>
        <w:snapToGrid w:val="0"/>
        <w:ind w:firstLine="480" w:firstLineChars="200"/>
        <w:rPr>
          <w:color w:val="auto"/>
          <w:highlight w:val="none"/>
        </w:rPr>
      </w:pPr>
      <w:r>
        <w:rPr>
          <w:color w:val="auto"/>
          <w:highlight w:val="none"/>
        </w:rPr>
        <w:t xml:space="preserve">3.2.5 </w:t>
      </w:r>
      <w:r>
        <w:rPr>
          <w:rFonts w:hint="eastAsia"/>
          <w:color w:val="auto"/>
          <w:highlight w:val="none"/>
        </w:rPr>
        <w:t>企业应在基础设计（初步设计）批复前，取得建设项目环境影响报告书（表）批复；不开展基础设计（初步设计）的建设项目，可在开工前取得环境影响报告书（表）批复。填报环境影响登记表的建设项目，应在建成并投入生产运营前依法备案环境影响登记表。</w:t>
      </w:r>
    </w:p>
    <w:p w14:paraId="28EBF48D">
      <w:pPr>
        <w:snapToGrid w:val="0"/>
        <w:ind w:firstLine="480" w:firstLineChars="200"/>
        <w:rPr>
          <w:color w:val="auto"/>
          <w:highlight w:val="none"/>
        </w:rPr>
      </w:pPr>
      <w:r>
        <w:rPr>
          <w:rFonts w:hint="eastAsia"/>
          <w:color w:val="auto"/>
          <w:highlight w:val="none"/>
        </w:rPr>
        <w:t>对编制环境影响报告书（表）的以下类别项目，在可行性研究报告和基础设计（初步设计）环保篇章论证充分、环保措施可行、对环境影响可接受的前提下，经同级环保管理部门研究同意，可在开工报告批复前取得环境影响报告书（表）批复：</w:t>
      </w:r>
    </w:p>
    <w:p w14:paraId="23B380B2">
      <w:pPr>
        <w:snapToGrid w:val="0"/>
        <w:ind w:firstLine="48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）技术成熟的安全环保隐患治理类项目；</w:t>
      </w:r>
    </w:p>
    <w:p w14:paraId="3587E72D">
      <w:pPr>
        <w:snapToGrid w:val="0"/>
        <w:ind w:firstLine="480" w:firstLineChars="200"/>
        <w:rPr>
          <w:color w:val="auto"/>
          <w:highlight w:val="none"/>
        </w:rPr>
      </w:pPr>
      <w:r>
        <w:rPr>
          <w:rFonts w:hint="eastAsia"/>
          <w:color w:val="auto"/>
          <w:highlight w:val="none"/>
        </w:rPr>
        <w:t>关系国计民生和国家重大能源安全且对时效要求高的项目。</w:t>
      </w:r>
    </w:p>
    <w:p w14:paraId="4E384485">
      <w:pPr>
        <w:snapToGrid w:val="0"/>
        <w:ind w:firstLine="480" w:firstLineChars="200"/>
        <w:rPr>
          <w:color w:val="auto"/>
          <w:highlight w:val="none"/>
        </w:rPr>
      </w:pPr>
      <w:r>
        <w:rPr>
          <w:color w:val="auto"/>
          <w:highlight w:val="none"/>
        </w:rPr>
        <w:t xml:space="preserve">3.2.6 </w:t>
      </w:r>
      <w:r>
        <w:rPr>
          <w:rFonts w:hint="eastAsia"/>
          <w:color w:val="auto"/>
          <w:highlight w:val="none"/>
        </w:rPr>
        <w:t>建设项目环境影响报告书（表）自批准之日起超过五年，方决定该项目开工建设的，企业应当报原审批部门重新审核环境影响报告书（表）。</w:t>
      </w:r>
    </w:p>
    <w:p w14:paraId="0D903C1F">
      <w:pPr>
        <w:snapToGrid w:val="0"/>
        <w:ind w:firstLine="480" w:firstLineChars="200"/>
        <w:rPr>
          <w:color w:val="auto"/>
          <w:highlight w:val="none"/>
        </w:rPr>
      </w:pPr>
      <w:r>
        <w:rPr>
          <w:rFonts w:hint="eastAsia"/>
          <w:color w:val="auto"/>
          <w:highlight w:val="none"/>
        </w:rPr>
        <w:t>3</w:t>
      </w:r>
      <w:r>
        <w:rPr>
          <w:color w:val="auto"/>
          <w:highlight w:val="none"/>
        </w:rPr>
        <w:t xml:space="preserve">.2.7 </w:t>
      </w:r>
      <w:r>
        <w:rPr>
          <w:rFonts w:hint="eastAsia"/>
          <w:color w:val="auto"/>
          <w:highlight w:val="none"/>
        </w:rPr>
        <w:t>环境影响报告书（表）未获得批复或者未经重新审核同意的，不得批复开工报告。</w:t>
      </w:r>
    </w:p>
    <w:p w14:paraId="1C16F14D">
      <w:pPr>
        <w:snapToGrid w:val="0"/>
        <w:ind w:firstLine="480" w:firstLineChars="200"/>
        <w:rPr>
          <w:color w:val="auto"/>
          <w:highlight w:val="none"/>
        </w:rPr>
      </w:pPr>
      <w:r>
        <w:rPr>
          <w:rFonts w:hint="eastAsia"/>
          <w:color w:val="auto"/>
          <w:highlight w:val="none"/>
        </w:rPr>
        <w:t>3</w:t>
      </w:r>
      <w:r>
        <w:rPr>
          <w:color w:val="auto"/>
          <w:highlight w:val="none"/>
        </w:rPr>
        <w:t xml:space="preserve">.3 </w:t>
      </w:r>
      <w:r>
        <w:rPr>
          <w:rFonts w:hint="eastAsia"/>
          <w:color w:val="auto"/>
          <w:highlight w:val="none"/>
        </w:rPr>
        <w:t>可研和设计阶段环境保护要求</w:t>
      </w:r>
    </w:p>
    <w:p w14:paraId="63874C18">
      <w:pPr>
        <w:snapToGrid w:val="0"/>
        <w:ind w:firstLine="480" w:firstLineChars="200"/>
        <w:rPr>
          <w:color w:val="auto"/>
          <w:highlight w:val="none"/>
        </w:rPr>
      </w:pPr>
      <w:r>
        <w:rPr>
          <w:rFonts w:hint="eastAsia"/>
          <w:color w:val="auto"/>
          <w:highlight w:val="none"/>
        </w:rPr>
        <w:t>3</w:t>
      </w:r>
      <w:r>
        <w:rPr>
          <w:color w:val="auto"/>
          <w:highlight w:val="none"/>
        </w:rPr>
        <w:t xml:space="preserve">.3.1 </w:t>
      </w:r>
      <w:r>
        <w:rPr>
          <w:rFonts w:hint="eastAsia"/>
          <w:color w:val="auto"/>
          <w:highlight w:val="none"/>
        </w:rPr>
        <w:t>企业组织编制的可行性研究报告应当设置环境保护专章，落实能源环境总量和强度双控要求，论证建设项目环境可行性，可行性研究报告编制单位对项目环境可行性结论负责。</w:t>
      </w:r>
    </w:p>
    <w:p w14:paraId="521BF586">
      <w:pPr>
        <w:snapToGrid w:val="0"/>
        <w:ind w:firstLine="480" w:firstLineChars="200"/>
        <w:rPr>
          <w:color w:val="auto"/>
          <w:highlight w:val="none"/>
        </w:rPr>
      </w:pPr>
      <w:r>
        <w:rPr>
          <w:rFonts w:hint="eastAsia"/>
          <w:color w:val="auto"/>
          <w:highlight w:val="none"/>
        </w:rPr>
        <w:t>3</w:t>
      </w:r>
      <w:r>
        <w:rPr>
          <w:color w:val="auto"/>
          <w:highlight w:val="none"/>
        </w:rPr>
        <w:t xml:space="preserve">.3.2 </w:t>
      </w:r>
      <w:r>
        <w:rPr>
          <w:rFonts w:hint="eastAsia"/>
          <w:color w:val="auto"/>
          <w:highlight w:val="none"/>
        </w:rPr>
        <w:t>建设项目的总体设计、基础设计（初步设计），应当按照环境保护设计规范的要求，编制环境保护专篇。总体设计、基础设计（初步设计）文件应落实环境影响报告书（表）及其批复要求。</w:t>
      </w:r>
    </w:p>
    <w:p w14:paraId="7AAB6161">
      <w:pPr>
        <w:snapToGrid w:val="0"/>
        <w:ind w:firstLine="480" w:firstLineChars="200"/>
        <w:rPr>
          <w:color w:val="auto"/>
          <w:highlight w:val="none"/>
        </w:rPr>
      </w:pPr>
      <w:r>
        <w:rPr>
          <w:rFonts w:hint="eastAsia"/>
          <w:color w:val="auto"/>
          <w:highlight w:val="none"/>
        </w:rPr>
        <w:t>企业应当委托具有相应资质的单位开展设计、总承包、专项承包等环境保护项目业务。设计单位承揽的业务范围必须满足环境保护资质等级和专业类别的规定以及集团公司行业业绩的要求。</w:t>
      </w:r>
    </w:p>
    <w:p w14:paraId="14F02D87">
      <w:pPr>
        <w:snapToGrid w:val="0"/>
        <w:ind w:firstLine="480" w:firstLineChars="200"/>
        <w:rPr>
          <w:color w:val="auto"/>
          <w:highlight w:val="none"/>
        </w:rPr>
      </w:pPr>
      <w:r>
        <w:rPr>
          <w:rFonts w:hint="eastAsia"/>
          <w:color w:val="auto"/>
          <w:highlight w:val="none"/>
        </w:rPr>
        <w:t>3</w:t>
      </w:r>
      <w:r>
        <w:rPr>
          <w:color w:val="auto"/>
          <w:highlight w:val="none"/>
        </w:rPr>
        <w:t xml:space="preserve">.3.3 </w:t>
      </w:r>
      <w:r>
        <w:rPr>
          <w:rFonts w:hint="eastAsia"/>
          <w:color w:val="auto"/>
          <w:highlight w:val="none"/>
        </w:rPr>
        <w:t>企业应当督促设计单位按照环境影响报告书（表）及其批复要求开展项目工程设计，落实关于项目选址（线）和穿跨越方式，以及污染防治、能源环境总量和强度双控、生态保护、环境风险防范等有关要求，选择先进设计指标，提升环保设施智能化、自动化水平，保证环保投资，设计单位应当对设计文件的真实性、可靠性、完整性、合规性负责。</w:t>
      </w:r>
    </w:p>
    <w:p w14:paraId="593923D8">
      <w:pPr>
        <w:snapToGrid w:val="0"/>
        <w:ind w:firstLine="480" w:firstLineChars="200"/>
        <w:rPr>
          <w:color w:val="auto"/>
          <w:highlight w:val="none"/>
        </w:rPr>
      </w:pPr>
      <w:r>
        <w:rPr>
          <w:rFonts w:hint="eastAsia"/>
          <w:color w:val="auto"/>
          <w:highlight w:val="none"/>
        </w:rPr>
        <w:t>设计单位不得擅自变更环境影响报告书（表）及其批复规定的建设内容和要求，不得降低环境影响报告书（表）及其批复的标准和要求，企业也不得强行要求工程设计单位变更。</w:t>
      </w:r>
    </w:p>
    <w:p w14:paraId="349AC93F">
      <w:pPr>
        <w:snapToGrid w:val="0"/>
        <w:ind w:firstLine="480" w:firstLineChars="200"/>
        <w:rPr>
          <w:color w:val="auto"/>
          <w:highlight w:val="none"/>
        </w:rPr>
      </w:pPr>
      <w:r>
        <w:rPr>
          <w:rFonts w:hint="eastAsia"/>
          <w:color w:val="auto"/>
          <w:highlight w:val="none"/>
        </w:rPr>
        <w:t>3</w:t>
      </w:r>
      <w:r>
        <w:rPr>
          <w:color w:val="auto"/>
          <w:highlight w:val="none"/>
        </w:rPr>
        <w:t xml:space="preserve">.3.4 </w:t>
      </w:r>
      <w:r>
        <w:rPr>
          <w:rFonts w:hint="eastAsia"/>
          <w:color w:val="auto"/>
          <w:highlight w:val="none"/>
        </w:rPr>
        <w:t>一类项目可行性研究报告环境可行性论证，由能源环境部根据需要组织审查，事业部、专业公司参加，出具环境保护专项论证意见；企业应当在论证会结束后</w:t>
      </w:r>
      <w:r>
        <w:rPr>
          <w:color w:val="auto"/>
          <w:highlight w:val="none"/>
        </w:rPr>
        <w:t xml:space="preserve"> 10 </w:t>
      </w:r>
      <w:r>
        <w:rPr>
          <w:rFonts w:hint="eastAsia"/>
          <w:color w:val="auto"/>
          <w:highlight w:val="none"/>
        </w:rPr>
        <w:t>个工作日内组织修改完善环境保护专章；咨询公司组织项目可行性研究报告综合论证时，应包括环境可行性论证内容。事业部、专业公司、企业按照管理权限分别组织二类、三类项目可行性研究报告综合论证时，应包含能源环境总量和强度双控要求符合性，及环境可行性论证相关内容。可行性研究报告批复时，应由同级环保管理部门会签。批复合资合作项目可行性研究报告时，对应开展环境尽职调查的项目，应以环境尽职调查报告结论作为依据。</w:t>
      </w:r>
    </w:p>
    <w:p w14:paraId="0D0DC471">
      <w:pPr>
        <w:snapToGrid w:val="0"/>
        <w:ind w:firstLine="480" w:firstLineChars="200"/>
        <w:rPr>
          <w:color w:val="auto"/>
          <w:highlight w:val="none"/>
        </w:rPr>
      </w:pPr>
      <w:r>
        <w:rPr>
          <w:rFonts w:hint="eastAsia"/>
          <w:color w:val="auto"/>
          <w:highlight w:val="none"/>
        </w:rPr>
        <w:t>3</w:t>
      </w:r>
      <w:r>
        <w:rPr>
          <w:color w:val="auto"/>
          <w:highlight w:val="none"/>
        </w:rPr>
        <w:t xml:space="preserve">.3.5 </w:t>
      </w:r>
      <w:r>
        <w:rPr>
          <w:rFonts w:hint="eastAsia"/>
          <w:color w:val="auto"/>
          <w:highlight w:val="none"/>
        </w:rPr>
        <w:t>发展计划部、国际合作部、事业部、专业公司、企业按照管理权限分别组织一类、二类、三类项目总体设计、基础</w:t>
      </w:r>
    </w:p>
    <w:p w14:paraId="7FCBF29D">
      <w:pPr>
        <w:snapToGrid w:val="0"/>
        <w:ind w:firstLine="480" w:firstLineChars="200"/>
        <w:rPr>
          <w:color w:val="auto"/>
          <w:highlight w:val="none"/>
        </w:rPr>
      </w:pPr>
      <w:r>
        <w:rPr>
          <w:rFonts w:hint="eastAsia"/>
          <w:color w:val="auto"/>
          <w:highlight w:val="none"/>
        </w:rPr>
        <w:t>设计（初步设计）审查时，应同步审查环境保护专篇，并将专家意见纳入总体审查意见。环境保护专篇审查时应由同级环保管理部门参加，总体设计、基础设计（初步设计）批复时应由同级环保管理部门会签。</w:t>
      </w:r>
    </w:p>
    <w:p w14:paraId="0A8BC924">
      <w:pPr>
        <w:snapToGrid w:val="0"/>
        <w:ind w:firstLine="480" w:firstLineChars="200"/>
        <w:rPr>
          <w:color w:val="auto"/>
          <w:highlight w:val="none"/>
        </w:rPr>
      </w:pPr>
      <w:r>
        <w:rPr>
          <w:color w:val="auto"/>
          <w:highlight w:val="none"/>
        </w:rPr>
        <w:t xml:space="preserve">3.3.6 </w:t>
      </w:r>
      <w:r>
        <w:rPr>
          <w:rFonts w:hint="eastAsia"/>
          <w:color w:val="auto"/>
          <w:highlight w:val="none"/>
        </w:rPr>
        <w:t>总体设计、基础设计（初步设计）文件审查和批复时，应落实环境保护投资，将各项环境保护技术咨询费用、施工期环保措施费用、环境保护设施费用纳入总体投资概算。</w:t>
      </w:r>
    </w:p>
    <w:p w14:paraId="1BDC80C5">
      <w:pPr>
        <w:snapToGrid w:val="0"/>
        <w:ind w:firstLine="480" w:firstLineChars="200"/>
        <w:rPr>
          <w:color w:val="auto"/>
          <w:highlight w:val="none"/>
        </w:rPr>
      </w:pPr>
      <w:r>
        <w:rPr>
          <w:rFonts w:hint="eastAsia"/>
          <w:color w:val="auto"/>
          <w:highlight w:val="none"/>
        </w:rPr>
        <w:t>3</w:t>
      </w:r>
      <w:r>
        <w:rPr>
          <w:color w:val="auto"/>
          <w:highlight w:val="none"/>
        </w:rPr>
        <w:t xml:space="preserve">.4 </w:t>
      </w:r>
      <w:r>
        <w:rPr>
          <w:rFonts w:hint="eastAsia"/>
          <w:color w:val="auto"/>
          <w:highlight w:val="none"/>
        </w:rPr>
        <w:t>建设阶段环境保护要求</w:t>
      </w:r>
    </w:p>
    <w:p w14:paraId="49E154DB">
      <w:pPr>
        <w:snapToGrid w:val="0"/>
        <w:ind w:firstLine="480" w:firstLineChars="200"/>
        <w:rPr>
          <w:color w:val="auto"/>
          <w:highlight w:val="none"/>
        </w:rPr>
      </w:pPr>
      <w:r>
        <w:rPr>
          <w:rFonts w:hint="eastAsia"/>
          <w:color w:val="auto"/>
          <w:highlight w:val="none"/>
        </w:rPr>
        <w:t>3</w:t>
      </w:r>
      <w:r>
        <w:rPr>
          <w:color w:val="auto"/>
          <w:highlight w:val="none"/>
        </w:rPr>
        <w:t xml:space="preserve">.4.1 </w:t>
      </w:r>
      <w:r>
        <w:rPr>
          <w:rFonts w:hint="eastAsia"/>
          <w:color w:val="auto"/>
          <w:highlight w:val="none"/>
        </w:rPr>
        <w:t>企业应将环境保护设施建设纳入施工合同，建设项目配套的环境保护设施必须与主体工程同时施工、同时建成。企业应当按照项目环境影响报告书（表）及其批复要求，同步落实各项“以新带老”措施。</w:t>
      </w:r>
    </w:p>
    <w:p w14:paraId="4253D52B">
      <w:pPr>
        <w:snapToGrid w:val="0"/>
        <w:ind w:firstLine="480" w:firstLineChars="200"/>
        <w:rPr>
          <w:color w:val="auto"/>
          <w:highlight w:val="none"/>
        </w:rPr>
      </w:pPr>
      <w:r>
        <w:rPr>
          <w:rFonts w:hint="eastAsia"/>
          <w:color w:val="auto"/>
          <w:highlight w:val="none"/>
        </w:rPr>
        <w:t>3</w:t>
      </w:r>
      <w:r>
        <w:rPr>
          <w:color w:val="auto"/>
          <w:highlight w:val="none"/>
        </w:rPr>
        <w:t xml:space="preserve">.4.2 </w:t>
      </w:r>
      <w:r>
        <w:rPr>
          <w:rFonts w:hint="eastAsia"/>
          <w:color w:val="auto"/>
          <w:highlight w:val="none"/>
        </w:rPr>
        <w:t>企业应当按照基础设计（初步设计）文件、环境影响报告书（表）及其批复要求，制定项目施工期环境保护方案、细化环保措施。</w:t>
      </w:r>
    </w:p>
    <w:p w14:paraId="639B6EE3">
      <w:pPr>
        <w:snapToGrid w:val="0"/>
        <w:ind w:firstLine="480" w:firstLineChars="200"/>
        <w:rPr>
          <w:color w:val="auto"/>
          <w:highlight w:val="none"/>
        </w:rPr>
      </w:pPr>
      <w:r>
        <w:rPr>
          <w:rFonts w:hint="eastAsia"/>
          <w:color w:val="auto"/>
          <w:highlight w:val="none"/>
        </w:rPr>
        <w:t>企业应当在施工合同中明确各方环境保护责任，并组织落实各项环保措施，选取有利于生态保护的施工工期、区域和方式，依法合规处理处置废水、废气和固体废物，采取有效措施防止环境污染和生态破坏。</w:t>
      </w:r>
    </w:p>
    <w:p w14:paraId="415FA8A4">
      <w:pPr>
        <w:snapToGrid w:val="0"/>
        <w:ind w:firstLine="480" w:firstLineChars="200"/>
        <w:rPr>
          <w:color w:val="auto"/>
          <w:highlight w:val="none"/>
        </w:rPr>
      </w:pPr>
      <w:r>
        <w:rPr>
          <w:rFonts w:hint="eastAsia"/>
          <w:color w:val="auto"/>
          <w:highlight w:val="none"/>
        </w:rPr>
        <w:t>3</w:t>
      </w:r>
      <w:r>
        <w:rPr>
          <w:color w:val="auto"/>
          <w:highlight w:val="none"/>
        </w:rPr>
        <w:t xml:space="preserve">.4.3 </w:t>
      </w:r>
      <w:r>
        <w:rPr>
          <w:rFonts w:hint="eastAsia"/>
          <w:color w:val="auto"/>
          <w:highlight w:val="none"/>
        </w:rPr>
        <w:t>项目总体统筹控制计划应包含环保内容，编制时应考虑环境制约因素，审查时应由同级环保管理部门参加。</w:t>
      </w:r>
    </w:p>
    <w:p w14:paraId="0DCAC710">
      <w:pPr>
        <w:snapToGrid w:val="0"/>
        <w:ind w:firstLine="480" w:firstLineChars="200"/>
        <w:rPr>
          <w:color w:val="auto"/>
          <w:highlight w:val="none"/>
        </w:rPr>
      </w:pPr>
      <w:r>
        <w:rPr>
          <w:rFonts w:hint="eastAsia"/>
          <w:color w:val="auto"/>
          <w:highlight w:val="none"/>
        </w:rPr>
        <w:t>3</w:t>
      </w:r>
      <w:r>
        <w:rPr>
          <w:color w:val="auto"/>
          <w:highlight w:val="none"/>
        </w:rPr>
        <w:t xml:space="preserve">.4.4 </w:t>
      </w:r>
      <w:r>
        <w:rPr>
          <w:rFonts w:hint="eastAsia"/>
          <w:color w:val="auto"/>
          <w:highlight w:val="none"/>
        </w:rPr>
        <w:t>企业应当组织按照基础设计（初步设计）文件、环境影响报告书（表）及其批复要求，选择、采购符合环保要求的工艺设备、材料，优先采购本质环保、环境友好型物资装备。</w:t>
      </w:r>
    </w:p>
    <w:p w14:paraId="7D84DFEE">
      <w:pPr>
        <w:snapToGrid w:val="0"/>
        <w:ind w:firstLine="480" w:firstLineChars="200"/>
        <w:rPr>
          <w:color w:val="auto"/>
          <w:highlight w:val="none"/>
        </w:rPr>
      </w:pPr>
      <w:r>
        <w:rPr>
          <w:rFonts w:hint="eastAsia"/>
          <w:color w:val="auto"/>
          <w:highlight w:val="none"/>
        </w:rPr>
        <w:t>3</w:t>
      </w:r>
      <w:r>
        <w:rPr>
          <w:color w:val="auto"/>
          <w:highlight w:val="none"/>
        </w:rPr>
        <w:t xml:space="preserve">.4.5 </w:t>
      </w:r>
      <w:r>
        <w:rPr>
          <w:rFonts w:hint="eastAsia"/>
          <w:color w:val="auto"/>
          <w:highlight w:val="none"/>
        </w:rPr>
        <w:t>企业应按要求，组织开展环境监理工作；未开展环境监理的，应在工程监理中包含环境监理内容。环境监理单位应当监督建设项目环保措施落实情况及环保合规性，按期编制、报送环境监理总结报告。企业应及时组织对环境监理过程中发现的问题进行整改。</w:t>
      </w:r>
    </w:p>
    <w:p w14:paraId="17FFD374">
      <w:pPr>
        <w:snapToGrid w:val="0"/>
        <w:ind w:firstLine="480" w:firstLineChars="200"/>
        <w:rPr>
          <w:color w:val="auto"/>
          <w:highlight w:val="none"/>
        </w:rPr>
      </w:pPr>
      <w:r>
        <w:rPr>
          <w:rFonts w:hint="eastAsia"/>
          <w:color w:val="auto"/>
          <w:highlight w:val="none"/>
        </w:rPr>
        <w:t>3</w:t>
      </w:r>
      <w:r>
        <w:rPr>
          <w:color w:val="auto"/>
          <w:highlight w:val="none"/>
        </w:rPr>
        <w:t xml:space="preserve">.4.6 </w:t>
      </w:r>
      <w:r>
        <w:rPr>
          <w:rFonts w:hint="eastAsia"/>
          <w:color w:val="auto"/>
          <w:highlight w:val="none"/>
        </w:rPr>
        <w:t>企业应当根据环境影响报告书（表）及其批复的要求，组织开展施工期生态环境监测。</w:t>
      </w:r>
    </w:p>
    <w:p w14:paraId="18A086E6">
      <w:pPr>
        <w:snapToGrid w:val="0"/>
        <w:ind w:firstLine="480" w:firstLineChars="200"/>
        <w:rPr>
          <w:color w:val="auto"/>
          <w:highlight w:val="none"/>
        </w:rPr>
      </w:pPr>
      <w:r>
        <w:rPr>
          <w:rFonts w:hint="eastAsia"/>
          <w:color w:val="auto"/>
          <w:highlight w:val="none"/>
        </w:rPr>
        <w:t>3</w:t>
      </w:r>
      <w:r>
        <w:rPr>
          <w:color w:val="auto"/>
          <w:highlight w:val="none"/>
        </w:rPr>
        <w:t xml:space="preserve">.5 </w:t>
      </w:r>
      <w:r>
        <w:rPr>
          <w:rFonts w:hint="eastAsia"/>
          <w:color w:val="auto"/>
          <w:highlight w:val="none"/>
        </w:rPr>
        <w:t>试生产阶段环境保护要求</w:t>
      </w:r>
    </w:p>
    <w:p w14:paraId="542F629A">
      <w:pPr>
        <w:snapToGrid w:val="0"/>
        <w:ind w:firstLine="480" w:firstLineChars="200"/>
        <w:rPr>
          <w:color w:val="auto"/>
          <w:highlight w:val="none"/>
        </w:rPr>
      </w:pPr>
      <w:r>
        <w:rPr>
          <w:color w:val="auto"/>
          <w:highlight w:val="none"/>
        </w:rPr>
        <w:t xml:space="preserve">3.5.1 </w:t>
      </w:r>
      <w:r>
        <w:rPr>
          <w:rFonts w:hint="eastAsia"/>
          <w:color w:val="auto"/>
          <w:highlight w:val="none"/>
        </w:rPr>
        <w:t>纳入排污许可管理的建设项目，企业应当在项目产生实际污染物排放之前，按照国家排污许可有关管理规定要求，申请或重新申请取得排污许可证，不得无证排污或不按证排污。建设项目验收报告中与污染物排放相关的主要内容，应当纳入该项目完成验收当年的排污许可证执行年报。</w:t>
      </w:r>
    </w:p>
    <w:p w14:paraId="609E34E2">
      <w:pPr>
        <w:snapToGrid w:val="0"/>
        <w:ind w:firstLine="480" w:firstLineChars="200"/>
        <w:rPr>
          <w:color w:val="auto"/>
          <w:highlight w:val="none"/>
        </w:rPr>
      </w:pPr>
      <w:r>
        <w:rPr>
          <w:rFonts w:hint="eastAsia"/>
          <w:color w:val="auto"/>
          <w:highlight w:val="none"/>
        </w:rPr>
        <w:t>3</w:t>
      </w:r>
      <w:r>
        <w:rPr>
          <w:color w:val="auto"/>
          <w:highlight w:val="none"/>
        </w:rPr>
        <w:t xml:space="preserve">.5.2 </w:t>
      </w:r>
      <w:r>
        <w:rPr>
          <w:rFonts w:hint="eastAsia"/>
          <w:color w:val="auto"/>
          <w:highlight w:val="none"/>
        </w:rPr>
        <w:t>企业应当制定环境风险防范与应急处置措施，按照国家及地方规定自行或者委托相应技术机构编制突发环境事件应急预案，并开展演练，在建设项目投入试生产前，按要求向项目所在地生态环境主管部门备案。</w:t>
      </w:r>
    </w:p>
    <w:p w14:paraId="0DDB1710">
      <w:pPr>
        <w:snapToGrid w:val="0"/>
        <w:ind w:firstLine="480" w:firstLineChars="200"/>
        <w:rPr>
          <w:color w:val="auto"/>
          <w:highlight w:val="none"/>
        </w:rPr>
      </w:pPr>
      <w:r>
        <w:rPr>
          <w:rFonts w:hint="eastAsia"/>
          <w:color w:val="auto"/>
          <w:highlight w:val="none"/>
        </w:rPr>
        <w:t>3</w:t>
      </w:r>
      <w:r>
        <w:rPr>
          <w:color w:val="auto"/>
          <w:highlight w:val="none"/>
        </w:rPr>
        <w:t xml:space="preserve">.5.3 </w:t>
      </w:r>
      <w:r>
        <w:rPr>
          <w:rFonts w:hint="eastAsia"/>
          <w:color w:val="auto"/>
          <w:highlight w:val="none"/>
        </w:rPr>
        <w:t>企业编制总体试车方案时，应包括环境保护专题内容，总体试车方案审查时，要同时审查和确认试生产方案的环境保护内容。项目试生产条件检查确认时，应有同级环保管理部门参加，检查项目环境影响报告书（表）及批复意见落实情况，确保与主体工程配套的环境保护设施具备投用条件。</w:t>
      </w:r>
    </w:p>
    <w:p w14:paraId="24A0F2F3">
      <w:pPr>
        <w:snapToGrid w:val="0"/>
        <w:ind w:firstLine="480" w:firstLineChars="200"/>
        <w:rPr>
          <w:color w:val="auto"/>
          <w:highlight w:val="none"/>
        </w:rPr>
      </w:pPr>
      <w:r>
        <w:rPr>
          <w:rFonts w:hint="eastAsia"/>
          <w:color w:val="auto"/>
          <w:highlight w:val="none"/>
        </w:rPr>
        <w:t>3</w:t>
      </w:r>
      <w:r>
        <w:rPr>
          <w:color w:val="auto"/>
          <w:highlight w:val="none"/>
        </w:rPr>
        <w:t xml:space="preserve">.5.4 </w:t>
      </w:r>
      <w:r>
        <w:rPr>
          <w:rFonts w:hint="eastAsia"/>
          <w:color w:val="auto"/>
          <w:highlight w:val="none"/>
        </w:rPr>
        <w:t>需要进行调试的建设项目，其配套建设的环境保护设施，必须先于主体工程投入调试，保证污染物达标排放。</w:t>
      </w:r>
    </w:p>
    <w:p w14:paraId="62CD9E77">
      <w:pPr>
        <w:snapToGrid w:val="0"/>
        <w:ind w:firstLine="480" w:firstLineChars="200"/>
        <w:rPr>
          <w:color w:val="auto"/>
          <w:highlight w:val="none"/>
        </w:rPr>
      </w:pPr>
      <w:r>
        <w:rPr>
          <w:rFonts w:hint="eastAsia"/>
          <w:color w:val="auto"/>
          <w:highlight w:val="none"/>
        </w:rPr>
        <w:t>3</w:t>
      </w:r>
      <w:r>
        <w:rPr>
          <w:color w:val="auto"/>
          <w:highlight w:val="none"/>
        </w:rPr>
        <w:t xml:space="preserve">.6 </w:t>
      </w:r>
      <w:r>
        <w:rPr>
          <w:rFonts w:hint="eastAsia"/>
          <w:color w:val="auto"/>
          <w:highlight w:val="none"/>
        </w:rPr>
        <w:t>竣工环境保护验收要求</w:t>
      </w:r>
    </w:p>
    <w:p w14:paraId="08529AEA">
      <w:pPr>
        <w:snapToGrid w:val="0"/>
        <w:ind w:firstLine="480" w:firstLineChars="200"/>
        <w:rPr>
          <w:color w:val="auto"/>
          <w:highlight w:val="none"/>
        </w:rPr>
      </w:pPr>
      <w:r>
        <w:rPr>
          <w:rFonts w:hint="eastAsia"/>
          <w:color w:val="auto"/>
          <w:highlight w:val="none"/>
        </w:rPr>
        <w:t>3</w:t>
      </w:r>
      <w:r>
        <w:rPr>
          <w:color w:val="auto"/>
          <w:highlight w:val="none"/>
        </w:rPr>
        <w:t xml:space="preserve">.6.1 </w:t>
      </w:r>
      <w:r>
        <w:rPr>
          <w:rFonts w:hint="eastAsia"/>
          <w:color w:val="auto"/>
          <w:highlight w:val="none"/>
        </w:rPr>
        <w:t>编制环境影响报告书（表）的建设项目竣工后，企业应当按要求，组织编制竣工环境保护验收监测（调查）报告。</w:t>
      </w:r>
    </w:p>
    <w:p w14:paraId="71954DAF">
      <w:pPr>
        <w:snapToGrid w:val="0"/>
        <w:ind w:firstLine="480" w:firstLineChars="200"/>
        <w:rPr>
          <w:color w:val="auto"/>
          <w:highlight w:val="none"/>
        </w:rPr>
      </w:pPr>
      <w:r>
        <w:rPr>
          <w:rFonts w:hint="eastAsia"/>
          <w:color w:val="auto"/>
          <w:highlight w:val="none"/>
        </w:rPr>
        <w:t>3</w:t>
      </w:r>
      <w:r>
        <w:rPr>
          <w:color w:val="auto"/>
          <w:highlight w:val="none"/>
        </w:rPr>
        <w:t xml:space="preserve">.6.2 </w:t>
      </w:r>
      <w:r>
        <w:rPr>
          <w:rFonts w:hint="eastAsia"/>
          <w:color w:val="auto"/>
          <w:highlight w:val="none"/>
        </w:rPr>
        <w:t>建设项目竣工环境保护验收监测（调查）报告完成后，企业应按照分级验收的要求，向验收审查单位提出验收申请，验收审查单位应及时组织审查并出具验收意见。除需要取得排污许可证的项目外，验收期限一般不超过</w:t>
      </w:r>
      <w:r>
        <w:rPr>
          <w:color w:val="auto"/>
          <w:highlight w:val="none"/>
        </w:rPr>
        <w:t xml:space="preserve"> 3 </w:t>
      </w:r>
      <w:r>
        <w:rPr>
          <w:rFonts w:hint="eastAsia"/>
          <w:color w:val="auto"/>
          <w:highlight w:val="none"/>
        </w:rPr>
        <w:t>个月；环境保护设施需要调试或者整改的，验收期限可适当延期，但最长不得超过1</w:t>
      </w:r>
      <w:r>
        <w:rPr>
          <w:color w:val="auto"/>
          <w:highlight w:val="none"/>
        </w:rPr>
        <w:t>2</w:t>
      </w:r>
      <w:r>
        <w:rPr>
          <w:rFonts w:hint="eastAsia"/>
          <w:color w:val="auto"/>
          <w:highlight w:val="none"/>
        </w:rPr>
        <w:t>个月。</w:t>
      </w:r>
    </w:p>
    <w:p w14:paraId="4765BB7E">
      <w:pPr>
        <w:snapToGrid w:val="0"/>
        <w:ind w:firstLine="480" w:firstLineChars="200"/>
        <w:rPr>
          <w:color w:val="auto"/>
          <w:highlight w:val="none"/>
        </w:rPr>
      </w:pPr>
      <w:r>
        <w:rPr>
          <w:rFonts w:hint="eastAsia"/>
          <w:color w:val="auto"/>
          <w:highlight w:val="none"/>
        </w:rPr>
        <w:t>3</w:t>
      </w:r>
      <w:r>
        <w:rPr>
          <w:color w:val="auto"/>
          <w:highlight w:val="none"/>
        </w:rPr>
        <w:t xml:space="preserve">.6.3 </w:t>
      </w:r>
      <w:r>
        <w:rPr>
          <w:rFonts w:hint="eastAsia"/>
          <w:color w:val="auto"/>
          <w:highlight w:val="none"/>
        </w:rPr>
        <w:t>对于未通过竣工环境保护验收的建设项目，企业应按照验收意见进行整改，整改完成后重新开展竣工环境保护验收。竣工环境保护验收通过前，主体工程不得投入正式生产或使用。</w:t>
      </w:r>
    </w:p>
    <w:p w14:paraId="246518D3">
      <w:pPr>
        <w:snapToGrid w:val="0"/>
        <w:ind w:firstLine="480" w:firstLineChars="200"/>
        <w:rPr>
          <w:color w:val="auto"/>
          <w:highlight w:val="none"/>
        </w:rPr>
      </w:pPr>
      <w:r>
        <w:rPr>
          <w:rFonts w:hint="eastAsia"/>
          <w:color w:val="auto"/>
          <w:highlight w:val="none"/>
        </w:rPr>
        <w:t>3</w:t>
      </w:r>
      <w:r>
        <w:rPr>
          <w:color w:val="auto"/>
          <w:highlight w:val="none"/>
        </w:rPr>
        <w:t xml:space="preserve">.6.4 </w:t>
      </w:r>
      <w:r>
        <w:rPr>
          <w:rFonts w:hint="eastAsia"/>
          <w:color w:val="auto"/>
          <w:highlight w:val="none"/>
        </w:rPr>
        <w:t>分期建设、分期投入生产或者使用的建设项目，应依法分期开展竣工环境保护验收。</w:t>
      </w:r>
    </w:p>
    <w:p w14:paraId="518AB9BD">
      <w:pPr>
        <w:snapToGrid w:val="0"/>
        <w:ind w:firstLine="480" w:firstLineChars="200"/>
        <w:rPr>
          <w:color w:val="auto"/>
          <w:highlight w:val="none"/>
        </w:rPr>
      </w:pPr>
      <w:r>
        <w:rPr>
          <w:rFonts w:hint="eastAsia"/>
          <w:color w:val="auto"/>
          <w:highlight w:val="none"/>
        </w:rPr>
        <w:t>3</w:t>
      </w:r>
      <w:r>
        <w:rPr>
          <w:color w:val="auto"/>
          <w:highlight w:val="none"/>
        </w:rPr>
        <w:t xml:space="preserve">.7 </w:t>
      </w:r>
      <w:r>
        <w:rPr>
          <w:rFonts w:hint="eastAsia"/>
          <w:color w:val="auto"/>
          <w:highlight w:val="none"/>
        </w:rPr>
        <w:t>环境影响后评价要求</w:t>
      </w:r>
    </w:p>
    <w:p w14:paraId="07844FD1">
      <w:pPr>
        <w:snapToGrid w:val="0"/>
        <w:ind w:firstLine="480" w:firstLineChars="200"/>
        <w:rPr>
          <w:color w:val="auto"/>
          <w:highlight w:val="none"/>
        </w:rPr>
      </w:pPr>
      <w:r>
        <w:rPr>
          <w:rFonts w:hint="eastAsia"/>
          <w:color w:val="auto"/>
          <w:highlight w:val="none"/>
        </w:rPr>
        <w:t>3</w:t>
      </w:r>
      <w:r>
        <w:rPr>
          <w:color w:val="auto"/>
          <w:highlight w:val="none"/>
        </w:rPr>
        <w:t xml:space="preserve">.7.1 </w:t>
      </w:r>
      <w:r>
        <w:rPr>
          <w:rFonts w:hint="eastAsia"/>
          <w:color w:val="auto"/>
          <w:highlight w:val="none"/>
        </w:rPr>
        <w:t>建设项目投入正式生产或者使用后，企业应当按照生态环境主管部门的规定组织开展环境影响后评价，并对环境影响后评价结论负责。</w:t>
      </w:r>
    </w:p>
    <w:p w14:paraId="34F73547">
      <w:pPr>
        <w:snapToGrid w:val="0"/>
        <w:ind w:firstLine="480" w:firstLineChars="200"/>
        <w:rPr>
          <w:color w:val="auto"/>
          <w:highlight w:val="none"/>
        </w:rPr>
      </w:pPr>
      <w:r>
        <w:rPr>
          <w:color w:val="auto"/>
          <w:highlight w:val="none"/>
        </w:rPr>
        <w:t xml:space="preserve">3.7.2 </w:t>
      </w:r>
      <w:r>
        <w:rPr>
          <w:rFonts w:hint="eastAsia"/>
          <w:color w:val="auto"/>
          <w:highlight w:val="none"/>
        </w:rPr>
        <w:t>国家级项目环境影响后评价文件由能源环境部组织或委托企业组织审查，事业部、专业公司参加，出具审查意见；其余项目环境影响后评价文件由企业组织审查，出具审查意见。环境影响后评价文件通过审查后，企业应当按照要求报原审批该建设项目环境影响报告书的生态环境主管部门备案，并认真落实环境影响后评价文件中提出的补救方案和改进措施，接受生态环境主管部门的监督检查。</w:t>
      </w:r>
    </w:p>
    <w:p w14:paraId="5889B427">
      <w:pPr>
        <w:snapToGrid w:val="0"/>
        <w:ind w:firstLine="480" w:firstLineChars="200"/>
        <w:rPr>
          <w:color w:val="auto"/>
          <w:highlight w:val="none"/>
        </w:rPr>
      </w:pPr>
      <w:r>
        <w:rPr>
          <w:rFonts w:hint="eastAsia"/>
          <w:color w:val="auto"/>
          <w:highlight w:val="none"/>
        </w:rPr>
        <w:t>3</w:t>
      </w:r>
      <w:r>
        <w:rPr>
          <w:color w:val="auto"/>
          <w:highlight w:val="none"/>
        </w:rPr>
        <w:t xml:space="preserve">.8 </w:t>
      </w:r>
      <w:r>
        <w:rPr>
          <w:rFonts w:hint="eastAsia"/>
          <w:color w:val="auto"/>
          <w:highlight w:val="none"/>
        </w:rPr>
        <w:t>退役期环境保护要求</w:t>
      </w:r>
    </w:p>
    <w:p w14:paraId="6E4D6CED">
      <w:pPr>
        <w:snapToGrid w:val="0"/>
        <w:ind w:firstLine="480" w:firstLineChars="200"/>
        <w:rPr>
          <w:color w:val="auto"/>
          <w:highlight w:val="none"/>
        </w:rPr>
      </w:pPr>
      <w:r>
        <w:rPr>
          <w:rFonts w:hint="eastAsia"/>
          <w:color w:val="auto"/>
          <w:highlight w:val="none"/>
        </w:rPr>
        <w:t>3</w:t>
      </w:r>
      <w:r>
        <w:rPr>
          <w:color w:val="auto"/>
          <w:highlight w:val="none"/>
        </w:rPr>
        <w:t xml:space="preserve">.8.1 </w:t>
      </w:r>
      <w:r>
        <w:rPr>
          <w:rFonts w:hint="eastAsia"/>
          <w:color w:val="auto"/>
          <w:highlight w:val="none"/>
        </w:rPr>
        <w:t>油气田产能建设及油气长输管道项目在退役期后，企业应当按照环境影响报告书（表）及其批复的要求，组织开展生态修复（恢复）。</w:t>
      </w:r>
    </w:p>
    <w:p w14:paraId="2A380AA4">
      <w:pPr>
        <w:snapToGrid w:val="0"/>
        <w:ind w:firstLine="480" w:firstLineChars="200"/>
        <w:rPr>
          <w:color w:val="auto"/>
          <w:highlight w:val="none"/>
        </w:rPr>
      </w:pPr>
      <w:r>
        <w:rPr>
          <w:color w:val="auto"/>
          <w:highlight w:val="none"/>
        </w:rPr>
        <w:t xml:space="preserve">3.8.2 </w:t>
      </w:r>
      <w:r>
        <w:rPr>
          <w:rFonts w:hint="eastAsia"/>
          <w:color w:val="auto"/>
          <w:highlight w:val="none"/>
        </w:rPr>
        <w:t>排放重金属、持久性有机污染物的项目关停、异地改造和搬迁的，企业应当按照政府要求，根据需要组织对原有场地开展环境状况调查和评估，进行污染治理和生态修复</w:t>
      </w:r>
      <w:r>
        <w:rPr>
          <w:rFonts w:hint="eastAsia"/>
          <w:color w:val="auto"/>
          <w:spacing w:val="3"/>
          <w:highlight w:val="none"/>
        </w:rPr>
        <w:t>（恢复）。</w:t>
      </w:r>
    </w:p>
    <w:p w14:paraId="46BCA00C">
      <w:pPr>
        <w:snapToGrid w:val="0"/>
        <w:ind w:firstLine="480" w:firstLineChars="200"/>
        <w:rPr>
          <w:color w:val="auto"/>
          <w:highlight w:val="none"/>
        </w:rPr>
      </w:pPr>
      <w:r>
        <w:rPr>
          <w:rFonts w:hint="eastAsia"/>
          <w:color w:val="auto"/>
          <w:highlight w:val="none"/>
        </w:rPr>
        <w:t>3</w:t>
      </w:r>
      <w:r>
        <w:rPr>
          <w:color w:val="auto"/>
          <w:highlight w:val="none"/>
        </w:rPr>
        <w:t xml:space="preserve">.9 </w:t>
      </w:r>
      <w:r>
        <w:rPr>
          <w:rFonts w:hint="eastAsia"/>
          <w:color w:val="auto"/>
          <w:highlight w:val="none"/>
        </w:rPr>
        <w:t>信息公开及上报要求</w:t>
      </w:r>
    </w:p>
    <w:p w14:paraId="40A75E23">
      <w:pPr>
        <w:snapToGrid w:val="0"/>
        <w:ind w:firstLine="480" w:firstLineChars="200"/>
        <w:rPr>
          <w:color w:val="auto"/>
          <w:highlight w:val="none"/>
        </w:rPr>
      </w:pPr>
      <w:r>
        <w:rPr>
          <w:rFonts w:hint="eastAsia"/>
          <w:color w:val="auto"/>
          <w:highlight w:val="none"/>
        </w:rPr>
        <w:t>3</w:t>
      </w:r>
      <w:r>
        <w:rPr>
          <w:color w:val="auto"/>
          <w:highlight w:val="none"/>
        </w:rPr>
        <w:t xml:space="preserve">.9.1 </w:t>
      </w:r>
      <w:r>
        <w:rPr>
          <w:rFonts w:hint="eastAsia"/>
          <w:color w:val="auto"/>
          <w:highlight w:val="none"/>
        </w:rPr>
        <w:t>企业应按照国家及地方政府要求，组织开展建设项目信息公开工作：</w:t>
      </w:r>
    </w:p>
    <w:p w14:paraId="57A6274B">
      <w:pPr>
        <w:snapToGrid w:val="0"/>
        <w:ind w:firstLine="48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）企业应依法对编制环境影响报告书的项目开展公众参与，听取环境影响评价范围内的公民、法人和其他组织的意见。除涉及国家秘密、商业秘密、个人隐私的，企业应按要求在确定环境影响报告书编制单位后</w:t>
      </w:r>
      <w:r>
        <w:rPr>
          <w:color w:val="auto"/>
          <w:highlight w:val="none"/>
        </w:rPr>
        <w:t xml:space="preserve"> 7 </w:t>
      </w:r>
      <w:r>
        <w:rPr>
          <w:rFonts w:hint="eastAsia"/>
          <w:color w:val="auto"/>
          <w:highlight w:val="none"/>
        </w:rPr>
        <w:t>个工作日内、环境影响报告书征求意见稿形成后、向生态环境主管部门报批环境影响报告书前公开公众参与相关信息；</w:t>
      </w:r>
    </w:p>
    <w:p w14:paraId="615EA9FC">
      <w:pPr>
        <w:snapToGrid w:val="0"/>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）除按照国家规定需要保密的情形外，企业应当通过网站或者其他便于公众知悉的方式，在建设项目配套建设的环境保护设施竣工后、调试前公开竣工日期、调试起止日期；在出具验收意见后</w:t>
      </w:r>
      <w:r>
        <w:rPr>
          <w:color w:val="auto"/>
          <w:highlight w:val="none"/>
        </w:rPr>
        <w:t xml:space="preserve"> 5 </w:t>
      </w:r>
      <w:r>
        <w:rPr>
          <w:rFonts w:hint="eastAsia"/>
          <w:color w:val="auto"/>
          <w:highlight w:val="none"/>
        </w:rPr>
        <w:t>个工作日内，公开验收报告，公开的期限不得少于2</w:t>
      </w:r>
      <w:r>
        <w:rPr>
          <w:color w:val="auto"/>
          <w:highlight w:val="none"/>
        </w:rPr>
        <w:t>0</w:t>
      </w:r>
      <w:r>
        <w:rPr>
          <w:rFonts w:hint="eastAsia"/>
          <w:color w:val="auto"/>
          <w:highlight w:val="none"/>
        </w:rPr>
        <w:t>个工作日。</w:t>
      </w:r>
    </w:p>
    <w:p w14:paraId="2108ED0C">
      <w:pPr>
        <w:snapToGrid w:val="0"/>
        <w:ind w:firstLine="480" w:firstLineChars="200"/>
        <w:rPr>
          <w:color w:val="auto"/>
          <w:highlight w:val="none"/>
        </w:rPr>
      </w:pPr>
      <w:r>
        <w:rPr>
          <w:rFonts w:hint="eastAsia"/>
          <w:color w:val="auto"/>
          <w:highlight w:val="none"/>
        </w:rPr>
        <w:t>3</w:t>
      </w:r>
      <w:r>
        <w:rPr>
          <w:color w:val="auto"/>
          <w:highlight w:val="none"/>
        </w:rPr>
        <w:t xml:space="preserve">.9.2 </w:t>
      </w:r>
      <w:r>
        <w:rPr>
          <w:rFonts w:hint="eastAsia"/>
          <w:color w:val="auto"/>
          <w:highlight w:val="none"/>
        </w:rPr>
        <w:t>企业应及时通过集团公司建设项目环境保护管理信息系统上报以下信息：</w:t>
      </w:r>
    </w:p>
    <w:p w14:paraId="2386A5E2">
      <w:pPr>
        <w:snapToGrid w:val="0"/>
        <w:ind w:firstLine="48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）可行性研究报告会签前，上报建设项目有关基础信息；</w:t>
      </w:r>
    </w:p>
    <w:p w14:paraId="2700369D">
      <w:pPr>
        <w:snapToGrid w:val="0"/>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）在确定环境影响评价单位</w:t>
      </w:r>
      <w:r>
        <w:rPr>
          <w:color w:val="auto"/>
          <w:highlight w:val="none"/>
        </w:rPr>
        <w:t xml:space="preserve"> 5 </w:t>
      </w:r>
      <w:r>
        <w:rPr>
          <w:rFonts w:hint="eastAsia"/>
          <w:color w:val="auto"/>
          <w:highlight w:val="none"/>
        </w:rPr>
        <w:t>个工作日内，上报环境影响评价单位情况；</w:t>
      </w:r>
    </w:p>
    <w:p w14:paraId="72A70934">
      <w:pPr>
        <w:snapToGrid w:val="0"/>
        <w:ind w:firstLine="48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）在取得环境影响报告书（表）批复</w:t>
      </w:r>
      <w:r>
        <w:rPr>
          <w:color w:val="auto"/>
          <w:highlight w:val="none"/>
        </w:rPr>
        <w:t xml:space="preserve"> 5 </w:t>
      </w:r>
      <w:r>
        <w:rPr>
          <w:rFonts w:hint="eastAsia"/>
          <w:color w:val="auto"/>
          <w:highlight w:val="none"/>
        </w:rPr>
        <w:t>个工作日内，上报环境影响报告书（表）和批复；</w:t>
      </w:r>
    </w:p>
    <w:p w14:paraId="0CF556F5">
      <w:pPr>
        <w:snapToGrid w:val="0"/>
        <w:ind w:firstLine="48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）在取得可行性研究报告和基础设计（初步设计）批复</w:t>
      </w:r>
      <w:r>
        <w:rPr>
          <w:color w:val="auto"/>
          <w:highlight w:val="none"/>
        </w:rPr>
        <w:t xml:space="preserve">5 </w:t>
      </w:r>
      <w:r>
        <w:rPr>
          <w:rFonts w:hint="eastAsia"/>
          <w:color w:val="auto"/>
          <w:highlight w:val="none"/>
        </w:rPr>
        <w:t>个工作日内，上报环境保护专篇（专章）和批复文件；</w:t>
      </w:r>
    </w:p>
    <w:p w14:paraId="0BAC4F0E">
      <w:pPr>
        <w:snapToGrid w:val="0"/>
        <w:ind w:firstLine="48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）开展环境监理的，按要求上报环境监理月报（周报）、年报和总报告；</w:t>
      </w:r>
    </w:p>
    <w:p w14:paraId="7F4136EE">
      <w:pPr>
        <w:snapToGrid w:val="0"/>
        <w:ind w:firstLine="480" w:firstLineChars="200"/>
        <w:rPr>
          <w:color w:val="auto"/>
          <w:highlight w:val="none"/>
        </w:rPr>
      </w:pPr>
      <w:r>
        <w:rPr>
          <w:rFonts w:hint="eastAsia"/>
          <w:color w:val="auto"/>
          <w:highlight w:val="none"/>
        </w:rPr>
        <w:t>（</w:t>
      </w:r>
      <w:r>
        <w:rPr>
          <w:color w:val="auto"/>
          <w:highlight w:val="none"/>
        </w:rPr>
        <w:t>6</w:t>
      </w:r>
      <w:r>
        <w:rPr>
          <w:rFonts w:hint="eastAsia"/>
          <w:color w:val="auto"/>
          <w:highlight w:val="none"/>
        </w:rPr>
        <w:t>）验收报告公开结束</w:t>
      </w:r>
      <w:r>
        <w:rPr>
          <w:color w:val="auto"/>
          <w:highlight w:val="none"/>
        </w:rPr>
        <w:t xml:space="preserve"> 5 </w:t>
      </w:r>
      <w:r>
        <w:rPr>
          <w:rFonts w:hint="eastAsia"/>
          <w:color w:val="auto"/>
          <w:highlight w:val="none"/>
        </w:rPr>
        <w:t>个工作日内，上报竣工环境保护验收相关信息。</w:t>
      </w:r>
    </w:p>
    <w:p w14:paraId="3974516A">
      <w:pPr>
        <w:snapToGrid w:val="0"/>
        <w:ind w:firstLine="480" w:firstLineChars="200"/>
        <w:rPr>
          <w:color w:val="auto"/>
          <w:highlight w:val="none"/>
        </w:rPr>
      </w:pPr>
      <w:r>
        <w:rPr>
          <w:rFonts w:hint="eastAsia"/>
          <w:color w:val="auto"/>
          <w:highlight w:val="none"/>
        </w:rPr>
        <w:t>（</w:t>
      </w:r>
      <w:r>
        <w:rPr>
          <w:color w:val="auto"/>
          <w:highlight w:val="none"/>
        </w:rPr>
        <w:t>7</w:t>
      </w:r>
      <w:r>
        <w:rPr>
          <w:rFonts w:hint="eastAsia"/>
          <w:color w:val="auto"/>
          <w:highlight w:val="none"/>
        </w:rPr>
        <w:t>）在环境影响后评价文件通过审查后</w:t>
      </w:r>
      <w:r>
        <w:rPr>
          <w:color w:val="auto"/>
          <w:highlight w:val="none"/>
        </w:rPr>
        <w:t xml:space="preserve"> 5 </w:t>
      </w:r>
      <w:r>
        <w:rPr>
          <w:rFonts w:hint="eastAsia"/>
          <w:color w:val="auto"/>
          <w:highlight w:val="none"/>
        </w:rPr>
        <w:t>个工作日内，上报环境影响后评价文件及审查意见。</w:t>
      </w:r>
    </w:p>
    <w:p w14:paraId="0F92134C">
      <w:pPr>
        <w:snapToGrid w:val="0"/>
        <w:ind w:firstLine="482" w:firstLineChars="200"/>
        <w:rPr>
          <w:b/>
          <w:color w:val="auto"/>
          <w:highlight w:val="none"/>
        </w:rPr>
      </w:pPr>
      <w:r>
        <w:rPr>
          <w:rFonts w:hint="eastAsia"/>
          <w:b/>
          <w:color w:val="auto"/>
          <w:highlight w:val="none"/>
        </w:rPr>
        <w:t>4</w:t>
      </w:r>
      <w:r>
        <w:rPr>
          <w:b/>
          <w:color w:val="auto"/>
          <w:highlight w:val="none"/>
        </w:rPr>
        <w:t xml:space="preserve"> </w:t>
      </w:r>
      <w:r>
        <w:rPr>
          <w:rFonts w:hint="eastAsia"/>
          <w:b/>
          <w:color w:val="auto"/>
          <w:highlight w:val="none"/>
        </w:rPr>
        <w:t>检查与监督</w:t>
      </w:r>
    </w:p>
    <w:p w14:paraId="06BA0E8F">
      <w:pPr>
        <w:snapToGrid w:val="0"/>
        <w:ind w:firstLine="480" w:firstLineChars="200"/>
        <w:rPr>
          <w:color w:val="auto"/>
          <w:highlight w:val="none"/>
        </w:rPr>
      </w:pPr>
      <w:r>
        <w:rPr>
          <w:color w:val="auto"/>
          <w:highlight w:val="none"/>
        </w:rPr>
        <w:t xml:space="preserve">4.1 </w:t>
      </w:r>
      <w:r>
        <w:rPr>
          <w:rFonts w:hint="eastAsia"/>
          <w:color w:val="auto"/>
          <w:highlight w:val="none"/>
        </w:rPr>
        <w:t>能源环境部会同发展计划部、国际合作部、工程部、事业部、专业公司对建设项目环境保护管理执行情况，进行监督检查。</w:t>
      </w:r>
    </w:p>
    <w:p w14:paraId="4B11B380">
      <w:pPr>
        <w:snapToGrid w:val="0"/>
        <w:ind w:firstLine="480" w:firstLineChars="200"/>
        <w:rPr>
          <w:color w:val="auto"/>
          <w:highlight w:val="none"/>
        </w:rPr>
      </w:pPr>
      <w:r>
        <w:rPr>
          <w:rFonts w:hint="eastAsia"/>
          <w:color w:val="auto"/>
          <w:highlight w:val="none"/>
        </w:rPr>
        <w:t>4</w:t>
      </w:r>
      <w:r>
        <w:rPr>
          <w:color w:val="auto"/>
          <w:highlight w:val="none"/>
        </w:rPr>
        <w:t xml:space="preserve">.2 </w:t>
      </w:r>
      <w:r>
        <w:rPr>
          <w:rFonts w:hint="eastAsia"/>
          <w:color w:val="auto"/>
          <w:highlight w:val="none"/>
        </w:rPr>
        <w:t>企业违反建设项目环境保护法律法规和有关规定，出现违规建设或受到生态环境主管部门行政处罚的，根据“谁主管谁负责、谁审批谁负责、谁建设谁负责”的原则，按照总部有关规定进行责任追究。</w:t>
      </w:r>
    </w:p>
    <w:p w14:paraId="31DEE83D">
      <w:pPr>
        <w:snapToGrid w:val="0"/>
        <w:ind w:firstLine="482" w:firstLineChars="200"/>
        <w:rPr>
          <w:b/>
          <w:color w:val="auto"/>
          <w:highlight w:val="none"/>
        </w:rPr>
      </w:pPr>
      <w:r>
        <w:rPr>
          <w:rFonts w:hint="eastAsia"/>
          <w:b/>
          <w:color w:val="auto"/>
          <w:highlight w:val="none"/>
        </w:rPr>
        <w:t>5</w:t>
      </w:r>
      <w:r>
        <w:rPr>
          <w:b/>
          <w:color w:val="auto"/>
          <w:highlight w:val="none"/>
        </w:rPr>
        <w:t xml:space="preserve"> </w:t>
      </w:r>
      <w:r>
        <w:rPr>
          <w:rFonts w:hint="eastAsia"/>
          <w:b/>
          <w:color w:val="auto"/>
          <w:highlight w:val="none"/>
        </w:rPr>
        <w:t>附件</w:t>
      </w:r>
    </w:p>
    <w:p w14:paraId="3F69D119">
      <w:pPr>
        <w:snapToGrid w:val="0"/>
        <w:ind w:firstLine="480" w:firstLineChars="200"/>
        <w:rPr>
          <w:color w:val="auto"/>
          <w:highlight w:val="none"/>
        </w:rPr>
      </w:pPr>
      <w:r>
        <w:rPr>
          <w:color w:val="auto"/>
          <w:highlight w:val="none"/>
        </w:rPr>
        <w:t>5.1</w:t>
      </w:r>
      <w:r>
        <w:rPr>
          <w:rFonts w:hint="eastAsia"/>
          <w:color w:val="auto"/>
          <w:highlight w:val="none"/>
        </w:rPr>
        <w:t xml:space="preserve"> 业务流程图</w:t>
      </w:r>
    </w:p>
    <w:p w14:paraId="40ECAE1D">
      <w:pPr>
        <w:snapToGrid w:val="0"/>
        <w:ind w:firstLine="420" w:firstLineChars="200"/>
        <w:jc w:val="left"/>
        <w:rPr>
          <w:color w:val="auto"/>
          <w:highlight w:val="none"/>
        </w:rPr>
      </w:pPr>
      <w:r>
        <w:rPr>
          <w:rFonts w:hint="eastAsia"/>
          <w:color w:val="auto"/>
          <w:sz w:val="21"/>
          <w:szCs w:val="22"/>
          <w:highlight w:val="none"/>
        </w:rPr>
        <w:t>5</w:t>
      </w:r>
      <w:r>
        <w:rPr>
          <w:color w:val="auto"/>
          <w:sz w:val="21"/>
          <w:szCs w:val="22"/>
          <w:highlight w:val="none"/>
        </w:rPr>
        <w:t xml:space="preserve">.2 </w:t>
      </w:r>
      <w:r>
        <w:rPr>
          <w:rFonts w:hint="eastAsia"/>
          <w:color w:val="auto"/>
          <w:sz w:val="21"/>
          <w:szCs w:val="22"/>
          <w:highlight w:val="none"/>
        </w:rPr>
        <w:t>业务职责分工表</w:t>
      </w:r>
    </w:p>
    <w:p w14:paraId="0375514E">
      <w:pPr>
        <w:widowControl/>
        <w:spacing w:line="240" w:lineRule="auto"/>
        <w:jc w:val="left"/>
        <w:rPr>
          <w:color w:val="auto"/>
          <w:highlight w:val="none"/>
        </w:rPr>
      </w:pPr>
    </w:p>
    <w:p w14:paraId="646E143B">
      <w:pPr>
        <w:ind w:right="51" w:firstLine="117" w:firstLineChars="49"/>
        <w:rPr>
          <w:color w:val="auto"/>
          <w:highlight w:val="none"/>
        </w:rPr>
      </w:pPr>
    </w:p>
    <w:p w14:paraId="485E75D5">
      <w:pPr>
        <w:snapToGrid w:val="0"/>
        <w:ind w:firstLine="480" w:firstLineChars="200"/>
        <w:rPr>
          <w:rFonts w:cs="Arial"/>
          <w:color w:val="auto"/>
          <w:highlight w:val="none"/>
        </w:rPr>
      </w:pPr>
    </w:p>
    <w:p w14:paraId="38672496">
      <w:pPr>
        <w:ind w:firstLine="316" w:firstLineChars="88"/>
        <w:rPr>
          <w:color w:val="auto"/>
          <w:sz w:val="36"/>
          <w:szCs w:val="36"/>
          <w:highlight w:val="none"/>
        </w:rPr>
      </w:pPr>
    </w:p>
    <w:p w14:paraId="04D5CF97">
      <w:pPr>
        <w:ind w:firstLine="316" w:firstLineChars="88"/>
        <w:rPr>
          <w:color w:val="auto"/>
          <w:sz w:val="36"/>
          <w:szCs w:val="36"/>
          <w:highlight w:val="none"/>
        </w:rPr>
      </w:pPr>
    </w:p>
    <w:p w14:paraId="16880576">
      <w:pPr>
        <w:ind w:firstLine="316" w:firstLineChars="88"/>
        <w:rPr>
          <w:color w:val="auto"/>
          <w:sz w:val="36"/>
          <w:szCs w:val="36"/>
          <w:highlight w:val="none"/>
        </w:rPr>
      </w:pPr>
    </w:p>
    <w:p w14:paraId="38B6D79A">
      <w:pPr>
        <w:keepNext/>
        <w:keepLines/>
        <w:outlineLvl w:val="1"/>
        <w:rPr>
          <w:bCs/>
          <w:color w:val="auto"/>
          <w:szCs w:val="32"/>
          <w:highlight w:val="none"/>
        </w:rPr>
      </w:pPr>
      <w:r>
        <w:rPr>
          <w:color w:val="auto"/>
          <w:sz w:val="36"/>
          <w:szCs w:val="36"/>
          <w:highlight w:val="none"/>
        </w:rPr>
        <w:br w:type="page"/>
      </w:r>
      <w:bookmarkStart w:id="1269" w:name="_Toc97883434"/>
      <w:bookmarkStart w:id="1270" w:name="_Toc256000301"/>
      <w:bookmarkStart w:id="1271" w:name="_Toc86998953"/>
      <w:bookmarkStart w:id="1272" w:name="_Toc95224333"/>
      <w:bookmarkStart w:id="1273" w:name="_Toc85403320"/>
      <w:bookmarkStart w:id="1274" w:name="_Toc256000131"/>
      <w:bookmarkStart w:id="1275" w:name="_Toc99782871"/>
      <w:bookmarkStart w:id="1276" w:name="_Toc119953786"/>
      <w:bookmarkStart w:id="1277" w:name="_Toc117018849"/>
      <w:bookmarkStart w:id="1278" w:name="_Toc256000210"/>
      <w:bookmarkStart w:id="1279" w:name="_Toc31941"/>
      <w:r>
        <w:rPr>
          <w:rFonts w:hint="eastAsia"/>
          <w:bCs/>
          <w:color w:val="auto"/>
          <w:szCs w:val="32"/>
          <w:highlight w:val="none"/>
        </w:rPr>
        <w:t>附件1</w:t>
      </w:r>
      <w:r>
        <w:rPr>
          <w:rFonts w:hint="eastAsia"/>
          <w:bCs/>
          <w:color w:val="auto"/>
          <w:szCs w:val="32"/>
          <w:highlight w:val="none"/>
          <w:lang w:val="en-US" w:eastAsia="zh-CN"/>
        </w:rPr>
        <w:t>8</w:t>
      </w:r>
      <w:r>
        <w:rPr>
          <w:rFonts w:hint="eastAsia"/>
          <w:bCs/>
          <w:color w:val="auto"/>
          <w:szCs w:val="32"/>
          <w:highlight w:val="none"/>
        </w:rPr>
        <w:t>：</w:t>
      </w:r>
      <w:bookmarkEnd w:id="1269"/>
      <w:bookmarkEnd w:id="1270"/>
      <w:bookmarkEnd w:id="1271"/>
      <w:bookmarkEnd w:id="1272"/>
      <w:bookmarkEnd w:id="1273"/>
      <w:r>
        <w:rPr>
          <w:rFonts w:hint="eastAsia" w:cs="Arial"/>
          <w:color w:val="auto"/>
          <w:highlight w:val="none"/>
        </w:rPr>
        <w:t>承</w:t>
      </w:r>
      <w:r>
        <w:rPr>
          <w:rFonts w:cs="Arial"/>
          <w:color w:val="auto"/>
          <w:highlight w:val="none"/>
        </w:rPr>
        <w:t>包</w:t>
      </w:r>
      <w:r>
        <w:rPr>
          <w:rFonts w:hint="eastAsia" w:cs="Arial"/>
          <w:color w:val="auto"/>
          <w:highlight w:val="none"/>
        </w:rPr>
        <w:t>人环境保护管理职责及</w:t>
      </w:r>
      <w:r>
        <w:rPr>
          <w:rFonts w:cs="Arial"/>
          <w:color w:val="auto"/>
          <w:highlight w:val="none"/>
        </w:rPr>
        <w:t>措施</w:t>
      </w:r>
      <w:bookmarkEnd w:id="1274"/>
      <w:bookmarkEnd w:id="1275"/>
      <w:bookmarkEnd w:id="1276"/>
      <w:bookmarkEnd w:id="1277"/>
      <w:bookmarkEnd w:id="1278"/>
      <w:bookmarkEnd w:id="1279"/>
    </w:p>
    <w:p w14:paraId="1478F607">
      <w:pPr>
        <w:spacing w:line="240" w:lineRule="auto"/>
        <w:ind w:firstLine="420" w:firstLineChars="200"/>
        <w:jc w:val="center"/>
        <w:rPr>
          <w:b/>
          <w:bCs/>
          <w:color w:val="auto"/>
          <w:sz w:val="30"/>
          <w:szCs w:val="30"/>
          <w:highlight w:val="none"/>
        </w:rPr>
      </w:pPr>
      <w:r>
        <w:rPr>
          <w:color w:val="auto"/>
          <w:sz w:val="21"/>
          <w:highlight w:val="none"/>
        </w:rPr>
        <w:tab/>
      </w:r>
      <w:r>
        <w:rPr>
          <w:rFonts w:hint="eastAsia"/>
          <w:b/>
          <w:bCs/>
          <w:color w:val="auto"/>
          <w:sz w:val="30"/>
          <w:szCs w:val="30"/>
          <w:highlight w:val="none"/>
        </w:rPr>
        <w:t>承包人环境保护管理职责及措施</w:t>
      </w:r>
    </w:p>
    <w:p w14:paraId="3CA49720">
      <w:pPr>
        <w:ind w:firstLine="480" w:firstLineChars="200"/>
        <w:rPr>
          <w:color w:val="auto"/>
          <w:highlight w:val="none"/>
        </w:rPr>
      </w:pPr>
      <w:r>
        <w:rPr>
          <w:color w:val="auto"/>
          <w:highlight w:val="none"/>
        </w:rPr>
        <w:t>1.</w:t>
      </w:r>
      <w:r>
        <w:rPr>
          <w:rFonts w:hint="eastAsia"/>
          <w:color w:val="auto"/>
          <w:highlight w:val="none"/>
        </w:rPr>
        <w:t>承包人</w:t>
      </w:r>
      <w:r>
        <w:rPr>
          <w:color w:val="auto"/>
          <w:highlight w:val="none"/>
        </w:rPr>
        <w:t>主要职责如下：</w:t>
      </w:r>
    </w:p>
    <w:p w14:paraId="7D88E360">
      <w:pPr>
        <w:ind w:firstLine="480" w:firstLineChars="200"/>
        <w:rPr>
          <w:color w:val="auto"/>
          <w:highlight w:val="none"/>
        </w:rPr>
      </w:pPr>
      <w:r>
        <w:rPr>
          <w:color w:val="auto"/>
          <w:highlight w:val="none"/>
        </w:rPr>
        <w:t>（1）设置专人负责项目环保管理工作。</w:t>
      </w:r>
    </w:p>
    <w:p w14:paraId="69AD2D12">
      <w:pPr>
        <w:ind w:firstLine="480" w:firstLineChars="200"/>
        <w:rPr>
          <w:color w:val="auto"/>
          <w:highlight w:val="none"/>
        </w:rPr>
      </w:pPr>
      <w:r>
        <w:rPr>
          <w:color w:val="auto"/>
          <w:highlight w:val="none"/>
        </w:rPr>
        <w:t>（2）定期开展环保自查，及时整改施工现场环保隐患和问题。</w:t>
      </w:r>
    </w:p>
    <w:p w14:paraId="670C06D5">
      <w:pPr>
        <w:ind w:firstLine="480" w:firstLineChars="200"/>
        <w:rPr>
          <w:color w:val="auto"/>
          <w:highlight w:val="none"/>
        </w:rPr>
      </w:pPr>
      <w:r>
        <w:rPr>
          <w:color w:val="auto"/>
          <w:highlight w:val="none"/>
        </w:rPr>
        <w:t>（3）参加施工期环保会议，落实施工期环保工作，解决环保隐患和问题。</w:t>
      </w:r>
    </w:p>
    <w:p w14:paraId="7DA7E75E">
      <w:pPr>
        <w:ind w:firstLine="480" w:firstLineChars="200"/>
        <w:rPr>
          <w:color w:val="auto"/>
          <w:highlight w:val="none"/>
        </w:rPr>
      </w:pPr>
      <w:r>
        <w:rPr>
          <w:color w:val="auto"/>
          <w:highlight w:val="none"/>
        </w:rPr>
        <w:t>（4）施工承包人编制施工方案时，应包含环保内容，开展环境因素识别与评价，制定有针对性的环保措施和环境应急措施。</w:t>
      </w:r>
      <w:r>
        <w:rPr>
          <w:rFonts w:hint="eastAsia"/>
          <w:color w:val="auto"/>
          <w:highlight w:val="none"/>
        </w:rPr>
        <w:t>环境影响大、危险性较大的分部分项工程应编制专项施工方案，并组织审查。</w:t>
      </w:r>
    </w:p>
    <w:p w14:paraId="4A268B67">
      <w:pPr>
        <w:ind w:firstLine="480" w:firstLineChars="200"/>
        <w:rPr>
          <w:color w:val="auto"/>
          <w:highlight w:val="none"/>
        </w:rPr>
      </w:pPr>
      <w:r>
        <w:rPr>
          <w:color w:val="auto"/>
          <w:highlight w:val="none"/>
        </w:rPr>
        <w:t>（5）新入场人员应参加环保培训或交底，经考核合格后方可上岗。</w:t>
      </w:r>
    </w:p>
    <w:p w14:paraId="2D93DFC7">
      <w:pPr>
        <w:ind w:firstLine="480" w:firstLineChars="200"/>
        <w:rPr>
          <w:color w:val="auto"/>
          <w:highlight w:val="none"/>
        </w:rPr>
      </w:pPr>
      <w:r>
        <w:rPr>
          <w:color w:val="auto"/>
          <w:highlight w:val="none"/>
        </w:rPr>
        <w:t>（6）建立环保检查、会议、培训等环保台账。</w:t>
      </w:r>
    </w:p>
    <w:p w14:paraId="06BF1048">
      <w:pPr>
        <w:ind w:firstLine="480" w:firstLineChars="200"/>
        <w:rPr>
          <w:color w:val="auto"/>
          <w:highlight w:val="none"/>
        </w:rPr>
      </w:pPr>
      <w:r>
        <w:rPr>
          <w:color w:val="auto"/>
          <w:highlight w:val="none"/>
        </w:rPr>
        <w:t>2.施工期环保措施费用应专款专用。</w:t>
      </w:r>
    </w:p>
    <w:p w14:paraId="245D5BEB">
      <w:pPr>
        <w:ind w:firstLine="480" w:firstLineChars="200"/>
        <w:rPr>
          <w:color w:val="auto"/>
          <w:highlight w:val="none"/>
        </w:rPr>
      </w:pPr>
      <w:r>
        <w:rPr>
          <w:color w:val="auto"/>
          <w:highlight w:val="none"/>
        </w:rPr>
        <w:t>3.水污染防治</w:t>
      </w:r>
    </w:p>
    <w:p w14:paraId="58DAEBA3">
      <w:pPr>
        <w:ind w:firstLine="480" w:firstLineChars="200"/>
        <w:rPr>
          <w:color w:val="auto"/>
          <w:highlight w:val="none"/>
        </w:rPr>
      </w:pPr>
      <w:r>
        <w:rPr>
          <w:rFonts w:hint="eastAsia"/>
          <w:color w:val="auto"/>
          <w:highlight w:val="none"/>
        </w:rPr>
        <w:t>（1）</w:t>
      </w:r>
      <w:r>
        <w:rPr>
          <w:color w:val="auto"/>
          <w:highlight w:val="none"/>
        </w:rPr>
        <w:t>施工现场生活污水应集中收集，处理达标后回用或达标排放，或者达到接纳标准后排入城市污水管网。不具备处理条件的，应集中收集后委托处理。</w:t>
      </w:r>
    </w:p>
    <w:p w14:paraId="6C3BC2E2">
      <w:pPr>
        <w:ind w:firstLine="480" w:firstLineChars="200"/>
        <w:rPr>
          <w:color w:val="auto"/>
          <w:highlight w:val="none"/>
        </w:rPr>
      </w:pPr>
      <w:r>
        <w:rPr>
          <w:rFonts w:hint="eastAsia"/>
          <w:color w:val="auto"/>
          <w:highlight w:val="none"/>
        </w:rPr>
        <w:t>（2）</w:t>
      </w:r>
      <w:r>
        <w:rPr>
          <w:color w:val="auto"/>
          <w:highlight w:val="none"/>
        </w:rPr>
        <w:t>基坑排水、隧道施工废水、场地冲洗水、试压废水等施工过程废水应经沉淀等处理后回用于道路洒水或合规排放。化学清洗水应处理达标后排放或回用。</w:t>
      </w:r>
    </w:p>
    <w:p w14:paraId="69880F05">
      <w:pPr>
        <w:ind w:firstLine="480" w:firstLineChars="200"/>
        <w:rPr>
          <w:color w:val="auto"/>
          <w:highlight w:val="none"/>
        </w:rPr>
      </w:pPr>
      <w:r>
        <w:rPr>
          <w:rFonts w:hint="eastAsia"/>
          <w:color w:val="auto"/>
          <w:highlight w:val="none"/>
        </w:rPr>
        <w:t>（3）</w:t>
      </w:r>
      <w:r>
        <w:rPr>
          <w:color w:val="auto"/>
          <w:highlight w:val="none"/>
        </w:rPr>
        <w:t>施工车辆、设备清洗水应设置独立沉砂池，经沉淀后排放或回用。</w:t>
      </w:r>
    </w:p>
    <w:p w14:paraId="53EBA365">
      <w:pPr>
        <w:ind w:firstLine="480" w:firstLineChars="200"/>
        <w:rPr>
          <w:color w:val="auto"/>
          <w:highlight w:val="none"/>
        </w:rPr>
      </w:pPr>
      <w:r>
        <w:rPr>
          <w:rFonts w:hint="eastAsia"/>
          <w:color w:val="auto"/>
          <w:highlight w:val="none"/>
        </w:rPr>
        <w:t>（4）</w:t>
      </w:r>
      <w:r>
        <w:rPr>
          <w:color w:val="auto"/>
          <w:highlight w:val="none"/>
        </w:rPr>
        <w:t>施工船舶废水应集中收集、处理后达标排放，或收集后委托有资质单位处理，不得直接排入水体。</w:t>
      </w:r>
    </w:p>
    <w:p w14:paraId="764BB7E1">
      <w:pPr>
        <w:ind w:firstLine="480" w:firstLineChars="200"/>
        <w:rPr>
          <w:color w:val="auto"/>
          <w:highlight w:val="none"/>
        </w:rPr>
      </w:pPr>
      <w:r>
        <w:rPr>
          <w:rFonts w:hint="eastAsia"/>
          <w:color w:val="auto"/>
          <w:highlight w:val="none"/>
        </w:rPr>
        <w:t>（5）</w:t>
      </w:r>
      <w:r>
        <w:rPr>
          <w:color w:val="auto"/>
          <w:highlight w:val="none"/>
        </w:rPr>
        <w:t>施工现场应设置完善的雨水排放系统，并定期清理雨水排放渠、沉砂池，保持雨排系统通畅。</w:t>
      </w:r>
    </w:p>
    <w:p w14:paraId="284E9D3B">
      <w:pPr>
        <w:ind w:firstLine="480" w:firstLineChars="200"/>
        <w:rPr>
          <w:color w:val="auto"/>
          <w:highlight w:val="none"/>
        </w:rPr>
      </w:pPr>
      <w:r>
        <w:rPr>
          <w:rFonts w:hint="eastAsia"/>
          <w:color w:val="auto"/>
          <w:highlight w:val="none"/>
        </w:rPr>
        <w:t>（6）</w:t>
      </w:r>
      <w:r>
        <w:rPr>
          <w:color w:val="auto"/>
          <w:highlight w:val="none"/>
        </w:rPr>
        <w:t>钻井污水、酸化压裂废水应进行集中处理后，优先回用作生产用水，不具备回用条件的应处理达标后回注或排放。</w:t>
      </w:r>
    </w:p>
    <w:p w14:paraId="58D0086A">
      <w:pPr>
        <w:ind w:firstLine="480" w:firstLineChars="200"/>
        <w:rPr>
          <w:color w:val="auto"/>
          <w:highlight w:val="none"/>
        </w:rPr>
      </w:pPr>
      <w:r>
        <w:rPr>
          <w:rFonts w:hint="eastAsia"/>
          <w:color w:val="auto"/>
          <w:highlight w:val="none"/>
        </w:rPr>
        <w:t>（7）</w:t>
      </w:r>
      <w:r>
        <w:rPr>
          <w:color w:val="auto"/>
          <w:highlight w:val="none"/>
        </w:rPr>
        <w:t>施工废（污）水集中处理点应按要求设置相关标识和废（污）水处理流程图。</w:t>
      </w:r>
    </w:p>
    <w:p w14:paraId="02971607">
      <w:pPr>
        <w:ind w:firstLine="480" w:firstLineChars="200"/>
        <w:rPr>
          <w:color w:val="auto"/>
          <w:highlight w:val="none"/>
        </w:rPr>
      </w:pPr>
      <w:r>
        <w:rPr>
          <w:color w:val="auto"/>
          <w:highlight w:val="none"/>
        </w:rPr>
        <w:t>4.大气</w:t>
      </w:r>
      <w:r>
        <w:rPr>
          <w:rFonts w:hint="eastAsia"/>
          <w:color w:val="auto"/>
          <w:highlight w:val="none"/>
        </w:rPr>
        <w:t>及</w:t>
      </w:r>
      <w:r>
        <w:rPr>
          <w:color w:val="auto"/>
          <w:highlight w:val="none"/>
        </w:rPr>
        <w:t>噪声污染防治</w:t>
      </w:r>
    </w:p>
    <w:p w14:paraId="66CC225F">
      <w:pPr>
        <w:ind w:firstLine="480" w:firstLineChars="200"/>
        <w:rPr>
          <w:color w:val="auto"/>
          <w:highlight w:val="none"/>
        </w:rPr>
      </w:pPr>
      <w:r>
        <w:rPr>
          <w:rFonts w:hint="eastAsia"/>
          <w:color w:val="auto"/>
          <w:highlight w:val="none"/>
        </w:rPr>
        <w:t>（1）施工过程中应落实防扬尘、噪声等污染防治和生态保护措施，按发包人要求由</w:t>
      </w:r>
      <w:r>
        <w:rPr>
          <w:color w:val="auto"/>
          <w:highlight w:val="none"/>
        </w:rPr>
        <w:t>承包人</w:t>
      </w:r>
      <w:r>
        <w:rPr>
          <w:rFonts w:hint="eastAsia"/>
          <w:color w:val="auto"/>
          <w:highlight w:val="none"/>
        </w:rPr>
        <w:t>或</w:t>
      </w:r>
      <w:r>
        <w:rPr>
          <w:color w:val="auto"/>
          <w:highlight w:val="none"/>
        </w:rPr>
        <w:t>由承包人委托的第三方</w:t>
      </w:r>
      <w:r>
        <w:rPr>
          <w:rFonts w:hint="eastAsia"/>
          <w:color w:val="auto"/>
          <w:highlight w:val="none"/>
        </w:rPr>
        <w:t>专业</w:t>
      </w:r>
      <w:r>
        <w:rPr>
          <w:color w:val="auto"/>
          <w:highlight w:val="none"/>
        </w:rPr>
        <w:t>机构</w:t>
      </w:r>
      <w:r>
        <w:rPr>
          <w:rFonts w:hint="eastAsia"/>
          <w:color w:val="auto"/>
          <w:highlight w:val="none"/>
        </w:rPr>
        <w:t>或</w:t>
      </w:r>
      <w:r>
        <w:rPr>
          <w:color w:val="auto"/>
          <w:highlight w:val="none"/>
        </w:rPr>
        <w:t>由发包人委托的第三方</w:t>
      </w:r>
      <w:r>
        <w:rPr>
          <w:rFonts w:hint="eastAsia"/>
          <w:color w:val="auto"/>
          <w:highlight w:val="none"/>
        </w:rPr>
        <w:t>专业</w:t>
      </w:r>
      <w:r>
        <w:rPr>
          <w:color w:val="auto"/>
          <w:highlight w:val="none"/>
        </w:rPr>
        <w:t>机构开展</w:t>
      </w:r>
      <w:r>
        <w:rPr>
          <w:rFonts w:hint="eastAsia"/>
          <w:color w:val="auto"/>
          <w:highlight w:val="none"/>
        </w:rPr>
        <w:t>环境监测。</w:t>
      </w:r>
    </w:p>
    <w:p w14:paraId="231F254D">
      <w:pPr>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施工现场应公示扬尘污染防治措施、负责人、扬尘监督管理主管部门等信息。</w:t>
      </w:r>
    </w:p>
    <w:p w14:paraId="3B54BD5D">
      <w:pPr>
        <w:ind w:firstLine="48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场站工程施工现场应按要求，设置封闭围挡、围墙，主要道路硬化处理，出口处应设置车辆冲洗设施，对驶出的车辆进行清洗。</w:t>
      </w:r>
    </w:p>
    <w:p w14:paraId="7268D3B0">
      <w:pPr>
        <w:ind w:firstLine="48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w:t>
      </w:r>
      <w:r>
        <w:rPr>
          <w:color w:val="auto"/>
          <w:highlight w:val="none"/>
        </w:rPr>
        <w:t>应根据地区气候、土壤特点，采取分段作业、择时施工等方式，合理组织施工，有效防尘降尘。</w:t>
      </w:r>
    </w:p>
    <w:p w14:paraId="23E3CCE2">
      <w:pPr>
        <w:ind w:firstLine="48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w:t>
      </w:r>
      <w:r>
        <w:rPr>
          <w:color w:val="auto"/>
          <w:highlight w:val="none"/>
        </w:rPr>
        <w:t>施工现场应配备洒水设施，定期对施工道路进行清扫、洒水。</w:t>
      </w:r>
    </w:p>
    <w:p w14:paraId="6C867EE7">
      <w:pPr>
        <w:ind w:firstLine="480" w:firstLineChars="200"/>
        <w:rPr>
          <w:color w:val="auto"/>
          <w:highlight w:val="none"/>
        </w:rPr>
      </w:pPr>
      <w:r>
        <w:rPr>
          <w:rFonts w:hint="eastAsia"/>
          <w:color w:val="auto"/>
          <w:highlight w:val="none"/>
        </w:rPr>
        <w:t>（</w:t>
      </w:r>
      <w:r>
        <w:rPr>
          <w:color w:val="auto"/>
          <w:highlight w:val="none"/>
        </w:rPr>
        <w:t>6</w:t>
      </w:r>
      <w:r>
        <w:rPr>
          <w:rFonts w:hint="eastAsia"/>
          <w:color w:val="auto"/>
          <w:highlight w:val="none"/>
        </w:rPr>
        <w:t>）</w:t>
      </w:r>
      <w:r>
        <w:rPr>
          <w:color w:val="auto"/>
          <w:highlight w:val="none"/>
        </w:rPr>
        <w:t>建筑土方、工程渣土、建筑垃圾应当及时清运，运输过程中，必须全程采用封闭式运输车辆或采取覆盖措施。</w:t>
      </w:r>
    </w:p>
    <w:p w14:paraId="05F8705F">
      <w:pPr>
        <w:ind w:firstLine="480" w:firstLineChars="200"/>
        <w:rPr>
          <w:color w:val="auto"/>
          <w:highlight w:val="none"/>
        </w:rPr>
      </w:pPr>
      <w:r>
        <w:rPr>
          <w:rFonts w:hint="eastAsia"/>
          <w:color w:val="auto"/>
          <w:highlight w:val="none"/>
        </w:rPr>
        <w:t>（</w:t>
      </w:r>
      <w:r>
        <w:rPr>
          <w:color w:val="auto"/>
          <w:highlight w:val="none"/>
        </w:rPr>
        <w:t>7</w:t>
      </w:r>
      <w:r>
        <w:rPr>
          <w:rFonts w:hint="eastAsia"/>
          <w:color w:val="auto"/>
          <w:highlight w:val="none"/>
        </w:rPr>
        <w:t>）</w:t>
      </w:r>
      <w:r>
        <w:rPr>
          <w:color w:val="auto"/>
          <w:highlight w:val="none"/>
        </w:rPr>
        <w:t>裸置的土方、场地，应当采取压实、洒水、覆盖或临时绿化等防尘措施。</w:t>
      </w:r>
    </w:p>
    <w:p w14:paraId="6E989DA0">
      <w:pPr>
        <w:ind w:firstLine="480" w:firstLineChars="200"/>
        <w:rPr>
          <w:color w:val="auto"/>
          <w:highlight w:val="none"/>
        </w:rPr>
      </w:pPr>
      <w:r>
        <w:rPr>
          <w:rFonts w:hint="eastAsia"/>
          <w:color w:val="auto"/>
          <w:highlight w:val="none"/>
        </w:rPr>
        <w:t>（</w:t>
      </w:r>
      <w:r>
        <w:rPr>
          <w:color w:val="auto"/>
          <w:highlight w:val="none"/>
        </w:rPr>
        <w:t>8</w:t>
      </w:r>
      <w:r>
        <w:rPr>
          <w:rFonts w:hint="eastAsia"/>
          <w:color w:val="auto"/>
          <w:highlight w:val="none"/>
        </w:rPr>
        <w:t>）</w:t>
      </w:r>
      <w:r>
        <w:rPr>
          <w:color w:val="auto"/>
          <w:highlight w:val="none"/>
        </w:rPr>
        <w:t>施工现场应优先使用预拌制混凝土及预拌砂浆。现场搅拌混凝土或砂浆的场所应采取有效降尘措施。水泥和其他易飞扬的细颗粒建筑材料应密闭存放或采取覆盖等抑尘措施。</w:t>
      </w:r>
    </w:p>
    <w:p w14:paraId="2B24582D">
      <w:pPr>
        <w:ind w:firstLine="480" w:firstLineChars="200"/>
        <w:rPr>
          <w:color w:val="auto"/>
          <w:highlight w:val="none"/>
        </w:rPr>
      </w:pPr>
      <w:r>
        <w:rPr>
          <w:rFonts w:hint="eastAsia"/>
          <w:color w:val="auto"/>
          <w:highlight w:val="none"/>
        </w:rPr>
        <w:t>（</w:t>
      </w:r>
      <w:r>
        <w:rPr>
          <w:color w:val="auto"/>
          <w:highlight w:val="none"/>
        </w:rPr>
        <w:t>9</w:t>
      </w:r>
      <w:r>
        <w:rPr>
          <w:rFonts w:hint="eastAsia"/>
          <w:color w:val="auto"/>
          <w:highlight w:val="none"/>
        </w:rPr>
        <w:t>）</w:t>
      </w:r>
      <w:r>
        <w:rPr>
          <w:color w:val="auto"/>
          <w:highlight w:val="none"/>
        </w:rPr>
        <w:t>施工承包人应按要求，收集、处理除锈粉尘、焊接烟尘及喷涂 VOCs；优先采用符合环保要求的预制厂预制、场内安装的方式，减少现场除锈焊接、喷涂工作量。</w:t>
      </w:r>
    </w:p>
    <w:p w14:paraId="162CFBDF">
      <w:pPr>
        <w:ind w:firstLine="480" w:firstLineChars="200"/>
        <w:rPr>
          <w:color w:val="auto"/>
          <w:highlight w:val="none"/>
        </w:rPr>
      </w:pPr>
      <w:r>
        <w:rPr>
          <w:rFonts w:hint="eastAsia"/>
          <w:color w:val="auto"/>
          <w:highlight w:val="none"/>
        </w:rPr>
        <w:t>（</w:t>
      </w:r>
      <w:r>
        <w:rPr>
          <w:color w:val="auto"/>
          <w:highlight w:val="none"/>
        </w:rPr>
        <w:t>10</w:t>
      </w:r>
      <w:r>
        <w:rPr>
          <w:rFonts w:hint="eastAsia"/>
          <w:color w:val="auto"/>
          <w:highlight w:val="none"/>
        </w:rPr>
        <w:t>）</w:t>
      </w:r>
      <w:r>
        <w:rPr>
          <w:color w:val="auto"/>
          <w:highlight w:val="none"/>
        </w:rPr>
        <w:t>施工现场严禁焚烧各类废弃物。</w:t>
      </w:r>
    </w:p>
    <w:p w14:paraId="7FF47677">
      <w:pPr>
        <w:ind w:firstLine="480" w:firstLineChars="200"/>
        <w:rPr>
          <w:color w:val="auto"/>
          <w:highlight w:val="none"/>
        </w:rPr>
      </w:pPr>
      <w:r>
        <w:rPr>
          <w:rFonts w:hint="eastAsia"/>
          <w:color w:val="auto"/>
          <w:highlight w:val="none"/>
        </w:rPr>
        <w:t>（1</w:t>
      </w:r>
      <w:r>
        <w:rPr>
          <w:color w:val="auto"/>
          <w:highlight w:val="none"/>
        </w:rPr>
        <w:t>1</w:t>
      </w:r>
      <w:r>
        <w:rPr>
          <w:rFonts w:hint="eastAsia"/>
          <w:color w:val="auto"/>
          <w:highlight w:val="none"/>
        </w:rPr>
        <w:t>）</w:t>
      </w:r>
      <w:r>
        <w:rPr>
          <w:color w:val="auto"/>
          <w:highlight w:val="none"/>
        </w:rPr>
        <w:t>施工机具、非道路移动机械等尾气应达到国家有关排放标准要求。</w:t>
      </w:r>
    </w:p>
    <w:p w14:paraId="7936A37E">
      <w:pPr>
        <w:ind w:firstLine="480" w:firstLineChars="200"/>
        <w:rPr>
          <w:color w:val="auto"/>
          <w:highlight w:val="none"/>
        </w:rPr>
      </w:pPr>
      <w:r>
        <w:rPr>
          <w:color w:val="auto"/>
          <w:highlight w:val="none"/>
        </w:rPr>
        <w:t>4.固体废物污染防治</w:t>
      </w:r>
    </w:p>
    <w:p w14:paraId="0CD8D320">
      <w:pPr>
        <w:ind w:firstLine="480" w:firstLineChars="200"/>
        <w:rPr>
          <w:color w:val="auto"/>
          <w:highlight w:val="none"/>
        </w:rPr>
      </w:pPr>
      <w:r>
        <w:rPr>
          <w:rFonts w:hint="eastAsia"/>
          <w:color w:val="auto"/>
          <w:highlight w:val="none"/>
        </w:rPr>
        <w:t>（1）</w:t>
      </w:r>
      <w:r>
        <w:rPr>
          <w:color w:val="auto"/>
          <w:highlight w:val="none"/>
        </w:rPr>
        <w:t>施工现场应设置施工废弃物分类收集区及收集区分布图，施工废弃物分类收集后按有关要求处理。发包人应建立工业固体废物、建筑垃圾和危险废物管理台账，并督促产生固体废物的施工承包人建立相应管理台账。</w:t>
      </w:r>
    </w:p>
    <w:p w14:paraId="3BDDB76C">
      <w:pPr>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建筑垃圾应及时清运，并按照环境卫生主管部门的规定进行利用或者处置，不得擅自倾倒、抛撒和堆放。</w:t>
      </w:r>
    </w:p>
    <w:p w14:paraId="0929A4DD">
      <w:pPr>
        <w:ind w:firstLine="48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施工现场生活垃圾应分类收集，按照地方环境卫生行政主管部门有关规定集中处理。</w:t>
      </w:r>
    </w:p>
    <w:p w14:paraId="6979C6CD">
      <w:pPr>
        <w:ind w:firstLine="48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w:t>
      </w:r>
      <w:r>
        <w:rPr>
          <w:color w:val="auto"/>
          <w:highlight w:val="none"/>
        </w:rPr>
        <w:t>危险废物应按照性质分类收集、贮存和处置，严禁混合收集、贮存、运输、处置性质不相容而未经安全性处置的危险废物；严禁将危险废物混入非危险废物中贮存。</w:t>
      </w:r>
    </w:p>
    <w:p w14:paraId="04DB4F9D">
      <w:pPr>
        <w:ind w:firstLine="48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w:t>
      </w:r>
      <w:r>
        <w:rPr>
          <w:color w:val="auto"/>
          <w:highlight w:val="none"/>
        </w:rPr>
        <w:t>危险废物收集容器、贮存设施和场所，应符合有关标准要求，容器应详细标明危险废物的名称、重量、成分、特性以及发生泄漏、扩散污染事故时的应急措施和补救方法，贮存设施和场所应设置危险废物识别标志。发包人、施工承包人应加强日常检查、维护，保持容器、设施、场所完好，避免造成环境污染。</w:t>
      </w:r>
    </w:p>
    <w:p w14:paraId="76D48A2A">
      <w:pPr>
        <w:ind w:firstLine="480" w:firstLineChars="200"/>
        <w:rPr>
          <w:color w:val="auto"/>
          <w:highlight w:val="none"/>
        </w:rPr>
      </w:pPr>
      <w:r>
        <w:rPr>
          <w:rFonts w:hint="eastAsia"/>
          <w:color w:val="auto"/>
          <w:highlight w:val="none"/>
        </w:rPr>
        <w:t>（</w:t>
      </w:r>
      <w:r>
        <w:rPr>
          <w:color w:val="auto"/>
          <w:highlight w:val="none"/>
        </w:rPr>
        <w:t>6</w:t>
      </w:r>
      <w:r>
        <w:rPr>
          <w:rFonts w:hint="eastAsia"/>
          <w:color w:val="auto"/>
          <w:highlight w:val="none"/>
        </w:rPr>
        <w:t>）</w:t>
      </w:r>
      <w:r>
        <w:rPr>
          <w:color w:val="auto"/>
          <w:highlight w:val="none"/>
        </w:rPr>
        <w:t>在施工现场内转移危险废物，应综合考虑施工现场布局，制定转运路线，尽量避开施工密集区、办公生活区。转运作业应采用专用工具并填写详细的转运记录，采取相应的安全防护和污染防治措施。</w:t>
      </w:r>
    </w:p>
    <w:p w14:paraId="47452446">
      <w:pPr>
        <w:ind w:firstLine="480" w:firstLineChars="200"/>
        <w:rPr>
          <w:color w:val="auto"/>
          <w:highlight w:val="none"/>
        </w:rPr>
      </w:pPr>
      <w:r>
        <w:rPr>
          <w:rFonts w:hint="eastAsia"/>
          <w:color w:val="auto"/>
          <w:highlight w:val="none"/>
        </w:rPr>
        <w:t>（</w:t>
      </w:r>
      <w:r>
        <w:rPr>
          <w:color w:val="auto"/>
          <w:highlight w:val="none"/>
        </w:rPr>
        <w:t>7</w:t>
      </w:r>
      <w:r>
        <w:rPr>
          <w:rFonts w:hint="eastAsia"/>
          <w:color w:val="auto"/>
          <w:highlight w:val="none"/>
        </w:rPr>
        <w:t>）</w:t>
      </w:r>
      <w:r>
        <w:rPr>
          <w:color w:val="auto"/>
          <w:highlight w:val="none"/>
        </w:rPr>
        <w:t>危险废物贮存不得超过 1 年，确需延长期限的，发包人应报请当地生态环境主管部门批准。</w:t>
      </w:r>
    </w:p>
    <w:p w14:paraId="2DD5FC56">
      <w:pPr>
        <w:ind w:firstLine="480" w:firstLineChars="200"/>
        <w:rPr>
          <w:color w:val="auto"/>
          <w:highlight w:val="none"/>
        </w:rPr>
      </w:pPr>
      <w:r>
        <w:rPr>
          <w:color w:val="auto"/>
          <w:highlight w:val="none"/>
        </w:rPr>
        <w:t>5.生态保护</w:t>
      </w:r>
    </w:p>
    <w:p w14:paraId="6A31D76C">
      <w:pPr>
        <w:ind w:firstLine="480" w:firstLineChars="200"/>
        <w:rPr>
          <w:color w:val="auto"/>
          <w:highlight w:val="none"/>
        </w:rPr>
      </w:pPr>
      <w:r>
        <w:rPr>
          <w:rFonts w:hint="eastAsia"/>
          <w:color w:val="auto"/>
          <w:highlight w:val="none"/>
        </w:rPr>
        <w:t>（1）</w:t>
      </w:r>
      <w:r>
        <w:rPr>
          <w:color w:val="auto"/>
          <w:highlight w:val="none"/>
        </w:rPr>
        <w:t>临时占用耕地、草地、林地等区域施工，应分层取土，保留表层土，用于临时性占地地表植被恢复，或用于永久性占地厂区绿化。</w:t>
      </w:r>
    </w:p>
    <w:p w14:paraId="26E61E55">
      <w:pPr>
        <w:ind w:firstLine="480" w:firstLineChars="200"/>
        <w:rPr>
          <w:color w:val="auto"/>
          <w:highlight w:val="none"/>
        </w:rPr>
      </w:pPr>
      <w:r>
        <w:rPr>
          <w:rFonts w:hint="eastAsia"/>
          <w:color w:val="auto"/>
          <w:highlight w:val="none"/>
        </w:rPr>
        <w:t>（2）</w:t>
      </w:r>
      <w:r>
        <w:rPr>
          <w:color w:val="auto"/>
          <w:highlight w:val="none"/>
        </w:rPr>
        <w:t>禁止砍伐、破坏施工作业区域以外的植被，严格控制施工范围，施工便道、进场道路尽量避开植被密集区、动物活动路线。</w:t>
      </w:r>
    </w:p>
    <w:p w14:paraId="6AB4EA85">
      <w:pPr>
        <w:ind w:firstLine="480" w:firstLineChars="200"/>
        <w:rPr>
          <w:color w:val="auto"/>
          <w:highlight w:val="none"/>
        </w:rPr>
      </w:pPr>
      <w:r>
        <w:rPr>
          <w:rFonts w:hint="eastAsia"/>
          <w:color w:val="auto"/>
          <w:highlight w:val="none"/>
        </w:rPr>
        <w:t>（3）</w:t>
      </w:r>
      <w:r>
        <w:rPr>
          <w:color w:val="auto"/>
          <w:highlight w:val="none"/>
        </w:rPr>
        <w:t>材料堆场、施工营地、取弃土场等临时设施，应避开一级水源地保护区、自然保护区等生态敏感区域。</w:t>
      </w:r>
    </w:p>
    <w:p w14:paraId="5D28974B">
      <w:pPr>
        <w:ind w:firstLine="480" w:firstLineChars="200"/>
        <w:rPr>
          <w:color w:val="auto"/>
          <w:highlight w:val="none"/>
        </w:rPr>
      </w:pPr>
      <w:r>
        <w:rPr>
          <w:rFonts w:hint="eastAsia"/>
          <w:color w:val="auto"/>
          <w:highlight w:val="none"/>
        </w:rPr>
        <w:t>（4）</w:t>
      </w:r>
      <w:r>
        <w:rPr>
          <w:color w:val="auto"/>
          <w:highlight w:val="none"/>
        </w:rPr>
        <w:t>穿（跨）越生态敏感区施工，施工承包人应根据项目环评报告及批复要求，制定专项施工方案，合理安排施工，尽量减少施工作业对生态敏感区影响。</w:t>
      </w:r>
    </w:p>
    <w:p w14:paraId="5C567235">
      <w:pPr>
        <w:ind w:firstLine="480" w:firstLineChars="200"/>
        <w:rPr>
          <w:color w:val="auto"/>
          <w:highlight w:val="none"/>
        </w:rPr>
      </w:pPr>
      <w:r>
        <w:rPr>
          <w:rFonts w:hint="eastAsia"/>
          <w:color w:val="auto"/>
          <w:highlight w:val="none"/>
        </w:rPr>
        <w:t>（5）</w:t>
      </w:r>
      <w:r>
        <w:rPr>
          <w:color w:val="auto"/>
          <w:highlight w:val="none"/>
        </w:rPr>
        <w:t>采用大开挖等方式穿（跨）越河流时，应选择枯水期施工，避开穿（跨）越河流鱼类繁殖期、产卵期、洄游期。严格控制作业带宽度，禁止在河道内设置材料堆场、施工营地等临时设施，施工废弃物不得弃置河道。</w:t>
      </w:r>
    </w:p>
    <w:p w14:paraId="35FEAA5E">
      <w:pPr>
        <w:ind w:firstLine="480" w:firstLineChars="200"/>
        <w:rPr>
          <w:color w:val="auto"/>
          <w:highlight w:val="none"/>
        </w:rPr>
      </w:pPr>
      <w:r>
        <w:rPr>
          <w:rFonts w:hint="eastAsia"/>
          <w:color w:val="auto"/>
          <w:highlight w:val="none"/>
        </w:rPr>
        <w:t>（6）</w:t>
      </w:r>
      <w:r>
        <w:rPr>
          <w:color w:val="auto"/>
          <w:highlight w:val="none"/>
        </w:rPr>
        <w:t>爆破作业应避开动物繁殖、迁徙等生态敏感时期，合理选择爆破方式或采取降震措施，减小爆破震动或者爆破冲击波对周围生物的影响。</w:t>
      </w:r>
    </w:p>
    <w:p w14:paraId="3DB85DE2">
      <w:pPr>
        <w:ind w:firstLine="480" w:firstLineChars="200"/>
        <w:rPr>
          <w:color w:val="auto"/>
          <w:highlight w:val="none"/>
        </w:rPr>
      </w:pPr>
      <w:r>
        <w:rPr>
          <w:rFonts w:hint="eastAsia"/>
          <w:color w:val="auto"/>
          <w:highlight w:val="none"/>
        </w:rPr>
        <w:t>（7）</w:t>
      </w:r>
      <w:r>
        <w:rPr>
          <w:color w:val="auto"/>
          <w:highlight w:val="none"/>
        </w:rPr>
        <w:t>围填海工程使用的填充材料应当符合有关环保标准，严禁使用可能损害海洋生态的材料。</w:t>
      </w:r>
    </w:p>
    <w:p w14:paraId="2B4A56B0">
      <w:pPr>
        <w:ind w:firstLine="480" w:firstLineChars="200"/>
        <w:rPr>
          <w:color w:val="auto"/>
          <w:highlight w:val="none"/>
        </w:rPr>
      </w:pPr>
      <w:r>
        <w:rPr>
          <w:rFonts w:hint="eastAsia"/>
          <w:color w:val="auto"/>
          <w:highlight w:val="none"/>
        </w:rPr>
        <w:t>（8）</w:t>
      </w:r>
      <w:r>
        <w:rPr>
          <w:color w:val="auto"/>
          <w:highlight w:val="none"/>
        </w:rPr>
        <w:t>港池、航道疏浚应合理选择施工时间、施工方法及施工机具，避免破坏生态。疏浚物应抛填至已批准的位置，不得随意弃置。</w:t>
      </w:r>
    </w:p>
    <w:p w14:paraId="498ABEDF">
      <w:pPr>
        <w:ind w:firstLine="480" w:firstLineChars="200"/>
        <w:rPr>
          <w:color w:val="auto"/>
          <w:highlight w:val="none"/>
        </w:rPr>
      </w:pPr>
      <w:r>
        <w:rPr>
          <w:rFonts w:hint="eastAsia"/>
          <w:color w:val="auto"/>
          <w:highlight w:val="none"/>
        </w:rPr>
        <w:t>（9）</w:t>
      </w:r>
      <w:r>
        <w:rPr>
          <w:color w:val="auto"/>
          <w:highlight w:val="none"/>
        </w:rPr>
        <w:t>施工作业可能造成生态损失的，发包人应按有关要求制定并落实生态补偿措施， 对生态补偿效果进行跟踪监测。</w:t>
      </w:r>
    </w:p>
    <w:p w14:paraId="466A3CD8">
      <w:pPr>
        <w:ind w:firstLine="480" w:firstLineChars="200"/>
        <w:rPr>
          <w:color w:val="auto"/>
          <w:highlight w:val="none"/>
        </w:rPr>
      </w:pPr>
      <w:r>
        <w:rPr>
          <w:color w:val="auto"/>
          <w:highlight w:val="none"/>
        </w:rPr>
        <w:t>6.其他污染防治要求</w:t>
      </w:r>
    </w:p>
    <w:p w14:paraId="347C2B69">
      <w:pPr>
        <w:ind w:firstLine="480" w:firstLineChars="200"/>
        <w:rPr>
          <w:color w:val="auto"/>
          <w:highlight w:val="none"/>
        </w:rPr>
      </w:pPr>
      <w:r>
        <w:rPr>
          <w:rFonts w:hint="eastAsia"/>
          <w:color w:val="auto"/>
          <w:highlight w:val="none"/>
        </w:rPr>
        <w:t>（1）</w:t>
      </w:r>
      <w:r>
        <w:rPr>
          <w:color w:val="auto"/>
          <w:highlight w:val="none"/>
        </w:rPr>
        <w:t>合理安排施工时序，避免夜间进行高噪声作业，优先选用低噪声施工设备，按要求采取必要的降噪措施，施工现场场界噪声应达到国家有关标准要求。</w:t>
      </w:r>
    </w:p>
    <w:p w14:paraId="1D800B6E">
      <w:pPr>
        <w:ind w:firstLine="480" w:firstLineChars="200"/>
        <w:rPr>
          <w:color w:val="auto"/>
          <w:highlight w:val="none"/>
        </w:rPr>
      </w:pPr>
      <w:r>
        <w:rPr>
          <w:rFonts w:hint="eastAsia"/>
          <w:color w:val="auto"/>
          <w:highlight w:val="none"/>
        </w:rPr>
        <w:t>（2）</w:t>
      </w:r>
      <w:r>
        <w:rPr>
          <w:color w:val="auto"/>
          <w:highlight w:val="none"/>
        </w:rPr>
        <w:t>预制及施工作业可能造成土壤、地下水污染的，应设置必要的防雨、防渗措施，防止造成土壤和地下水污染。</w:t>
      </w:r>
    </w:p>
    <w:p w14:paraId="4BA3EE51">
      <w:pPr>
        <w:ind w:firstLine="480" w:firstLineChars="200"/>
        <w:rPr>
          <w:color w:val="auto"/>
          <w:highlight w:val="none"/>
        </w:rPr>
      </w:pPr>
      <w:r>
        <w:rPr>
          <w:rFonts w:hint="eastAsia"/>
          <w:color w:val="auto"/>
          <w:highlight w:val="none"/>
        </w:rPr>
        <w:t>（3）</w:t>
      </w:r>
      <w:r>
        <w:rPr>
          <w:color w:val="auto"/>
          <w:highlight w:val="none"/>
        </w:rPr>
        <w:t>严格落实放射源购置和运输、贮存和使用过程中的各项防护措施，规范做好放射性废物贮存与处置，防止发生放射性污染。</w:t>
      </w:r>
    </w:p>
    <w:p w14:paraId="795AE36A">
      <w:pPr>
        <w:ind w:firstLine="480" w:firstLineChars="200"/>
        <w:rPr>
          <w:color w:val="auto"/>
          <w:highlight w:val="none"/>
        </w:rPr>
      </w:pPr>
      <w:r>
        <w:rPr>
          <w:rFonts w:hint="eastAsia"/>
          <w:color w:val="auto"/>
          <w:highlight w:val="none"/>
        </w:rPr>
        <w:t>施工</w:t>
      </w:r>
      <w:r>
        <w:rPr>
          <w:color w:val="auto"/>
          <w:highlight w:val="none"/>
        </w:rPr>
        <w:t>承包人的其他责任义务，以及发包人的责任义务详见</w:t>
      </w:r>
      <w:r>
        <w:rPr>
          <w:rFonts w:hint="eastAsia"/>
          <w:color w:val="auto"/>
          <w:highlight w:val="none"/>
        </w:rPr>
        <w:t>《中国石化建设项目环境保护管理办法》（中国石化制〔2021〕285号）等。</w:t>
      </w:r>
    </w:p>
    <w:p w14:paraId="1C7C99C8">
      <w:pPr>
        <w:spacing w:line="240" w:lineRule="auto"/>
        <w:rPr>
          <w:color w:val="auto"/>
          <w:sz w:val="21"/>
          <w:highlight w:val="none"/>
        </w:rPr>
      </w:pPr>
    </w:p>
    <w:p w14:paraId="30B8C14F">
      <w:pPr>
        <w:keepNext/>
        <w:keepLines/>
        <w:outlineLvl w:val="1"/>
        <w:rPr>
          <w:bCs/>
          <w:color w:val="auto"/>
          <w:highlight w:val="none"/>
        </w:rPr>
      </w:pPr>
      <w:r>
        <w:rPr>
          <w:rFonts w:ascii="Arial" w:hAnsi="Arial"/>
          <w:b/>
          <w:bCs/>
          <w:color w:val="auto"/>
          <w:szCs w:val="32"/>
          <w:highlight w:val="none"/>
        </w:rPr>
        <w:br w:type="page"/>
      </w:r>
      <w:bookmarkStart w:id="1280" w:name="_Toc99782872"/>
      <w:bookmarkStart w:id="1281" w:name="_Toc119953787"/>
      <w:bookmarkStart w:id="1282" w:name="_Toc11056"/>
      <w:bookmarkStart w:id="1283" w:name="_Toc256000139"/>
      <w:bookmarkStart w:id="1284" w:name="_Toc117018850"/>
      <w:bookmarkStart w:id="1285" w:name="_Toc256000211"/>
      <w:r>
        <w:rPr>
          <w:rFonts w:hint="eastAsia" w:cs="Arial"/>
          <w:bCs/>
          <w:color w:val="auto"/>
          <w:highlight w:val="none"/>
        </w:rPr>
        <w:t>附件</w:t>
      </w:r>
      <w:r>
        <w:rPr>
          <w:rFonts w:hint="eastAsia" w:cs="Arial"/>
          <w:bCs/>
          <w:color w:val="auto"/>
          <w:highlight w:val="none"/>
          <w:lang w:val="en-US" w:eastAsia="zh-CN"/>
        </w:rPr>
        <w:t>19</w:t>
      </w:r>
      <w:r>
        <w:rPr>
          <w:rFonts w:hint="eastAsia" w:cs="Arial"/>
          <w:bCs/>
          <w:color w:val="auto"/>
          <w:highlight w:val="none"/>
        </w:rPr>
        <w:t>：承发包</w:t>
      </w:r>
      <w:r>
        <w:rPr>
          <w:rFonts w:cs="Arial"/>
          <w:bCs/>
          <w:color w:val="auto"/>
          <w:highlight w:val="none"/>
        </w:rPr>
        <w:t>双方安全管理职责</w:t>
      </w:r>
      <w:bookmarkEnd w:id="1280"/>
      <w:bookmarkEnd w:id="1281"/>
      <w:bookmarkEnd w:id="1282"/>
      <w:bookmarkEnd w:id="1283"/>
      <w:bookmarkEnd w:id="1284"/>
      <w:bookmarkEnd w:id="1285"/>
    </w:p>
    <w:p w14:paraId="73B7CBF6">
      <w:pPr>
        <w:snapToGrid w:val="0"/>
        <w:spacing w:before="156" w:beforeLines="50" w:after="156" w:afterLines="50"/>
        <w:ind w:firstLine="602" w:firstLineChars="200"/>
        <w:jc w:val="center"/>
        <w:rPr>
          <w:b/>
          <w:bCs/>
          <w:color w:val="auto"/>
          <w:sz w:val="30"/>
          <w:szCs w:val="30"/>
          <w:highlight w:val="none"/>
        </w:rPr>
      </w:pPr>
      <w:r>
        <w:rPr>
          <w:rFonts w:hint="eastAsia"/>
          <w:b/>
          <w:bCs/>
          <w:color w:val="auto"/>
          <w:sz w:val="30"/>
          <w:szCs w:val="30"/>
          <w:highlight w:val="none"/>
        </w:rPr>
        <w:t>承发包双方安全管理职责</w:t>
      </w:r>
    </w:p>
    <w:p w14:paraId="35A70BBA">
      <w:pPr>
        <w:snapToGrid w:val="0"/>
        <w:ind w:firstLine="480" w:firstLineChars="200"/>
        <w:rPr>
          <w:color w:val="auto"/>
          <w:highlight w:val="none"/>
        </w:rPr>
      </w:pPr>
      <w:r>
        <w:rPr>
          <w:color w:val="auto"/>
          <w:highlight w:val="none"/>
        </w:rPr>
        <w:t>1.</w:t>
      </w:r>
      <w:r>
        <w:rPr>
          <w:rFonts w:hint="eastAsia"/>
          <w:color w:val="auto"/>
          <w:highlight w:val="none"/>
        </w:rPr>
        <w:t>开工前，承包人必须根据工程项目安全施工的需要，对参加项目的所有员工进行安全培训，并将培训和考试记录报送发包人备查。</w:t>
      </w:r>
    </w:p>
    <w:p w14:paraId="241A56F7">
      <w:pPr>
        <w:snapToGrid w:val="0"/>
        <w:ind w:firstLine="480" w:firstLineChars="200"/>
        <w:rPr>
          <w:color w:val="auto"/>
          <w:highlight w:val="none"/>
        </w:rPr>
      </w:pPr>
      <w:r>
        <w:rPr>
          <w:color w:val="auto"/>
          <w:highlight w:val="none"/>
        </w:rPr>
        <w:t>2.</w:t>
      </w:r>
      <w:r>
        <w:rPr>
          <w:rFonts w:hint="eastAsia"/>
          <w:color w:val="auto"/>
          <w:highlight w:val="none"/>
        </w:rPr>
        <w:t>开工前，承包人必须向发包人、监理人提交工程现场的危险性较大的分部分项和超过一定规模的危险性较大的分部分项工程清单。</w:t>
      </w:r>
    </w:p>
    <w:p w14:paraId="1884482A">
      <w:pPr>
        <w:snapToGrid w:val="0"/>
        <w:ind w:firstLine="480" w:firstLineChars="200"/>
        <w:rPr>
          <w:color w:val="auto"/>
          <w:highlight w:val="none"/>
        </w:rPr>
      </w:pPr>
      <w:r>
        <w:rPr>
          <w:color w:val="auto"/>
          <w:highlight w:val="none"/>
        </w:rPr>
        <w:t>3.</w:t>
      </w:r>
      <w:r>
        <w:rPr>
          <w:rFonts w:hint="eastAsia"/>
          <w:color w:val="auto"/>
          <w:highlight w:val="none"/>
        </w:rPr>
        <w:t>对参与施工人员工种及技能的要求：</w:t>
      </w:r>
    </w:p>
    <w:p w14:paraId="43FE898B">
      <w:pPr>
        <w:snapToGrid w:val="0"/>
        <w:ind w:firstLine="480" w:firstLineChars="200"/>
        <w:rPr>
          <w:color w:val="auto"/>
          <w:highlight w:val="none"/>
        </w:rPr>
      </w:pPr>
      <w:r>
        <w:rPr>
          <w:rFonts w:hint="eastAsia"/>
          <w:color w:val="auto"/>
          <w:highlight w:val="none"/>
        </w:rPr>
        <w:t>承包人应根据工程特点，应明确对参与施工人员工种及技能的要求，主要包括不限于的普通工种为普工、抹灰工、油漆工、架子工、电工、焊工、仪表工、管工、铆工等。</w:t>
      </w:r>
    </w:p>
    <w:p w14:paraId="722CF03B">
      <w:pPr>
        <w:snapToGrid w:val="0"/>
        <w:ind w:firstLine="480" w:firstLineChars="200"/>
        <w:rPr>
          <w:color w:val="auto"/>
          <w:highlight w:val="none"/>
        </w:rPr>
      </w:pPr>
      <w:r>
        <w:rPr>
          <w:rFonts w:hint="eastAsia"/>
          <w:color w:val="auto"/>
          <w:highlight w:val="none"/>
        </w:rPr>
        <w:t>普工：一般生产性技能、无特殊要求。</w:t>
      </w:r>
    </w:p>
    <w:p w14:paraId="3187B5DA">
      <w:pPr>
        <w:snapToGrid w:val="0"/>
        <w:ind w:firstLine="480" w:firstLineChars="200"/>
        <w:rPr>
          <w:color w:val="auto"/>
          <w:highlight w:val="none"/>
        </w:rPr>
      </w:pPr>
      <w:r>
        <w:rPr>
          <w:rFonts w:hint="eastAsia"/>
          <w:color w:val="auto"/>
          <w:highlight w:val="none"/>
        </w:rPr>
        <w:t>抹灰工：保证表面光洁、接搓平整、线脚和灰线顺直、方正、清晰，美观、无抹纹。各抹灰层之间与机体之间必须粘接牢固、无脱层、空鼓，面层无爆灰和裂纹等缺陷。</w:t>
      </w:r>
    </w:p>
    <w:p w14:paraId="59A949FF">
      <w:pPr>
        <w:snapToGrid w:val="0"/>
        <w:ind w:firstLine="480" w:firstLineChars="200"/>
        <w:rPr>
          <w:color w:val="auto"/>
          <w:highlight w:val="none"/>
        </w:rPr>
      </w:pPr>
      <w:r>
        <w:rPr>
          <w:rFonts w:hint="eastAsia"/>
          <w:color w:val="auto"/>
          <w:highlight w:val="none"/>
        </w:rPr>
        <w:t>油漆工：要求表面光滑平整、色泽一致、达到一定的厚度。</w:t>
      </w:r>
    </w:p>
    <w:p w14:paraId="627F6B7C">
      <w:pPr>
        <w:snapToGrid w:val="0"/>
        <w:ind w:firstLine="480" w:firstLineChars="200"/>
        <w:rPr>
          <w:color w:val="auto"/>
          <w:highlight w:val="none"/>
        </w:rPr>
      </w:pPr>
      <w:r>
        <w:rPr>
          <w:rFonts w:hint="eastAsia"/>
          <w:color w:val="auto"/>
          <w:highlight w:val="none"/>
        </w:rPr>
        <w:t>架子工：熟悉碗扣式脚手架的搭设规范、能熟练的进行立杆、大横杆、小横杆、扣件、剪刀撑、横向斜撑、连墙杆、扫地杆的正确搭设和扣接。</w:t>
      </w:r>
    </w:p>
    <w:p w14:paraId="3595A86F">
      <w:pPr>
        <w:snapToGrid w:val="0"/>
        <w:ind w:firstLine="480" w:firstLineChars="200"/>
        <w:rPr>
          <w:color w:val="auto"/>
          <w:highlight w:val="none"/>
        </w:rPr>
      </w:pPr>
      <w:r>
        <w:rPr>
          <w:rFonts w:hint="eastAsia"/>
          <w:color w:val="auto"/>
          <w:highlight w:val="none"/>
        </w:rPr>
        <w:t>电工：（1）能看懂图纸，知道线路图的基本功能，能识别开关、继电器等各种电工元器件；（2）能根据用户和图纸要求计算各种电气参数；（3）选择合适的电工元器件，以满足施工的实际需要；（4）能实际动手操作接线、调整线路，并能排除电路故障。</w:t>
      </w:r>
    </w:p>
    <w:p w14:paraId="781D0E7C">
      <w:pPr>
        <w:snapToGrid w:val="0"/>
        <w:ind w:firstLine="480" w:firstLineChars="200"/>
        <w:rPr>
          <w:color w:val="auto"/>
          <w:highlight w:val="none"/>
        </w:rPr>
      </w:pPr>
      <w:r>
        <w:rPr>
          <w:rFonts w:hint="eastAsia"/>
          <w:color w:val="auto"/>
          <w:highlight w:val="none"/>
        </w:rPr>
        <w:t>焊工：有电焊工职业操作资格证和电焊工操作证，能熟练使用电焊，气割等。</w:t>
      </w:r>
    </w:p>
    <w:p w14:paraId="33F55563">
      <w:pPr>
        <w:snapToGrid w:val="0"/>
        <w:ind w:firstLine="480" w:firstLineChars="200"/>
        <w:rPr>
          <w:color w:val="auto"/>
          <w:highlight w:val="none"/>
        </w:rPr>
      </w:pPr>
      <w:r>
        <w:rPr>
          <w:rFonts w:hint="eastAsia"/>
          <w:color w:val="auto"/>
          <w:highlight w:val="none"/>
        </w:rPr>
        <w:t xml:space="preserve">实际参与施工人员工种及技能要求在进场前报监理审核，发包人项目部备案。 </w:t>
      </w:r>
    </w:p>
    <w:p w14:paraId="503A7008">
      <w:pPr>
        <w:snapToGrid w:val="0"/>
        <w:ind w:firstLine="480" w:firstLineChars="200"/>
        <w:rPr>
          <w:color w:val="auto"/>
          <w:highlight w:val="none"/>
        </w:rPr>
      </w:pPr>
      <w:r>
        <w:rPr>
          <w:color w:val="auto"/>
          <w:highlight w:val="none"/>
        </w:rPr>
        <w:t>4.</w:t>
      </w:r>
      <w:r>
        <w:rPr>
          <w:rFonts w:hint="eastAsia"/>
          <w:color w:val="auto"/>
          <w:highlight w:val="none"/>
        </w:rPr>
        <w:t>特种作业人员和关键工种人员的资格要求、报审程序：</w:t>
      </w:r>
    </w:p>
    <w:p w14:paraId="4377A5DD">
      <w:pPr>
        <w:snapToGrid w:val="0"/>
        <w:ind w:firstLine="480" w:firstLineChars="200"/>
        <w:rPr>
          <w:color w:val="auto"/>
          <w:highlight w:val="none"/>
        </w:rPr>
      </w:pPr>
      <w:r>
        <w:rPr>
          <w:rFonts w:hint="eastAsia"/>
          <w:color w:val="auto"/>
          <w:highlight w:val="none"/>
        </w:rPr>
        <w:t>（1）包含焊工、电工（含电气校验人员）、架子工、起重工、仪表校验人员、无损检测人员、现场检试验及桩基检测人员等，必须取得国家、地方或行业有关部门岗位资格证书后，承包人应使用标准审查表格，附上有效的人员操作资格证书的复印件，到监理单位办理入场前的资质报验，审查合格后，报审单位、监理单位各留存一份。</w:t>
      </w:r>
    </w:p>
    <w:p w14:paraId="5DAAFD94">
      <w:pPr>
        <w:snapToGrid w:val="0"/>
        <w:ind w:firstLine="480" w:firstLineChars="200"/>
        <w:rPr>
          <w:color w:val="auto"/>
          <w:highlight w:val="none"/>
        </w:rPr>
      </w:pPr>
      <w:r>
        <w:rPr>
          <w:rFonts w:hint="eastAsia"/>
          <w:color w:val="auto"/>
          <w:highlight w:val="none"/>
        </w:rPr>
        <w:t>（2）承包人要确保本单位的特殊工种人员100%持证上岗，在特殊工种进场前向监理报审，负责特殊工种进场前技能考试的组织报名、技能培训等工作，负责建立特殊工种人员档案并保持更新，建立特殊工种管理制度。接受监督检查，对发包人管理部门提出的要求认真整改落实。</w:t>
      </w:r>
    </w:p>
    <w:p w14:paraId="18F22F42">
      <w:pPr>
        <w:snapToGrid w:val="0"/>
        <w:ind w:firstLine="480" w:firstLineChars="200"/>
        <w:rPr>
          <w:color w:val="auto"/>
          <w:highlight w:val="none"/>
        </w:rPr>
      </w:pPr>
      <w:r>
        <w:rPr>
          <w:rFonts w:hint="eastAsia"/>
          <w:color w:val="auto"/>
          <w:highlight w:val="none"/>
        </w:rPr>
        <w:t>（3）监理单位负责对上述人员的资格进行预审，预审合格后报发包人审核备案，并统一办理进入施工现场的《特种作业上岗证》。</w:t>
      </w:r>
    </w:p>
    <w:p w14:paraId="767EDBB9">
      <w:pPr>
        <w:snapToGrid w:val="0"/>
        <w:ind w:firstLine="480" w:firstLineChars="200"/>
        <w:rPr>
          <w:color w:val="auto"/>
          <w:highlight w:val="none"/>
        </w:rPr>
      </w:pPr>
      <w:r>
        <w:rPr>
          <w:rFonts w:hint="eastAsia"/>
          <w:color w:val="auto"/>
          <w:highlight w:val="none"/>
        </w:rPr>
        <w:t>（4）进入施工现场前，承包人应提供特种作业人员名单及相应资格证书复印件，监理单位预审，并在施工现场保留其资格证书复印件。开工后，施工承包商如需要补充或调换人员，其特种作业的人员名单和相应资格证书复印件应提前提供给监理单位预审。</w:t>
      </w:r>
    </w:p>
    <w:p w14:paraId="08ED618F">
      <w:pPr>
        <w:snapToGrid w:val="0"/>
        <w:ind w:firstLine="480" w:firstLineChars="200"/>
        <w:rPr>
          <w:color w:val="auto"/>
          <w:highlight w:val="none"/>
        </w:rPr>
      </w:pPr>
      <w:r>
        <w:rPr>
          <w:rFonts w:hint="eastAsia"/>
          <w:color w:val="auto"/>
          <w:highlight w:val="none"/>
        </w:rPr>
        <w:t>（5）未办理《特种作业上岗证》的人员不得从事相关作业。</w:t>
      </w:r>
    </w:p>
    <w:p w14:paraId="3C37A42E">
      <w:pPr>
        <w:snapToGrid w:val="0"/>
        <w:ind w:firstLine="480" w:firstLineChars="200"/>
        <w:rPr>
          <w:color w:val="auto"/>
          <w:highlight w:val="none"/>
        </w:rPr>
      </w:pPr>
      <w:r>
        <w:rPr>
          <w:rFonts w:hint="eastAsia"/>
          <w:color w:val="auto"/>
          <w:highlight w:val="none"/>
        </w:rPr>
        <w:t>（6）施工承包商对经监理审查的特殊工种资料统一编号归档，随时接受现场查验。</w:t>
      </w:r>
    </w:p>
    <w:p w14:paraId="7C88C1F6">
      <w:pPr>
        <w:snapToGrid w:val="0"/>
        <w:ind w:firstLine="480" w:firstLineChars="200"/>
        <w:rPr>
          <w:color w:val="auto"/>
          <w:highlight w:val="none"/>
        </w:rPr>
      </w:pPr>
      <w:r>
        <w:rPr>
          <w:rFonts w:hint="eastAsia"/>
          <w:color w:val="auto"/>
          <w:highlight w:val="none"/>
        </w:rPr>
        <w:t>（7）特殊工种上岗前需要进行安全、技术、质量交底，未交底或本人未在交底记录上签字不得进行施工。</w:t>
      </w:r>
    </w:p>
    <w:p w14:paraId="2F5ACD10">
      <w:pPr>
        <w:snapToGrid w:val="0"/>
        <w:ind w:firstLine="480" w:firstLineChars="200"/>
        <w:rPr>
          <w:color w:val="auto"/>
          <w:highlight w:val="none"/>
        </w:rPr>
      </w:pPr>
      <w:r>
        <w:rPr>
          <w:rFonts w:hint="eastAsia"/>
          <w:color w:val="auto"/>
          <w:highlight w:val="none"/>
        </w:rPr>
        <w:t>（8）承包人必须做好持证焊工的档案管理，制定有效的管理措施。</w:t>
      </w:r>
    </w:p>
    <w:p w14:paraId="7CAE6489">
      <w:pPr>
        <w:snapToGrid w:val="0"/>
        <w:ind w:firstLine="480" w:firstLineChars="200"/>
        <w:rPr>
          <w:color w:val="auto"/>
          <w:highlight w:val="none"/>
        </w:rPr>
      </w:pPr>
      <w:r>
        <w:rPr>
          <w:rFonts w:hint="eastAsia"/>
          <w:color w:val="auto"/>
          <w:highlight w:val="none"/>
        </w:rPr>
        <w:t>（9）具体证件颜色为：经考试合格的《焊工上岗证》为绿色、未经考试的一般焊工的《焊工上岗证》为浅绿色、《电工上岗证》为桔黄色、《仪表工上岗证》为淡紫色、《无损检测上岗证》为白色、《材料检试验上岗证》为蓝色、《桩基检测上岗证》为黄色。对于已按照《中国石化建设项目焊工入场考试管理办法》（中国石化建【2017】468号）文件取得上岗证的焊工予以承认，但需要更换为本文件规定的式样。</w:t>
      </w:r>
    </w:p>
    <w:p w14:paraId="75B32F8B">
      <w:pPr>
        <w:snapToGrid w:val="0"/>
        <w:ind w:firstLine="480" w:firstLineChars="200"/>
        <w:rPr>
          <w:color w:val="auto"/>
          <w:highlight w:val="none"/>
        </w:rPr>
      </w:pPr>
      <w:r>
        <w:rPr>
          <w:color w:val="auto"/>
          <w:highlight w:val="none"/>
        </w:rPr>
        <w:t>5.</w:t>
      </w:r>
      <w:r>
        <w:rPr>
          <w:rFonts w:hint="eastAsia"/>
          <w:color w:val="auto"/>
          <w:highlight w:val="none"/>
        </w:rPr>
        <w:t>主要施工机具设备的种类、规格、性能要求：</w:t>
      </w:r>
    </w:p>
    <w:p w14:paraId="2C2A1B9D">
      <w:pPr>
        <w:snapToGrid w:val="0"/>
        <w:ind w:firstLine="480" w:firstLineChars="200"/>
        <w:rPr>
          <w:color w:val="auto"/>
          <w:highlight w:val="none"/>
        </w:rPr>
      </w:pPr>
      <w:r>
        <w:rPr>
          <w:rFonts w:hint="eastAsia"/>
          <w:color w:val="auto"/>
          <w:highlight w:val="none"/>
        </w:rPr>
        <w:t>（1）指在施工中使用的机械设备、车辆及其它工、机（器）具，含达到设备标准及属于周转使用的工、机（器）具，施工机具包括现场施工用的车辆(如：卡车、自动装卸车、吊车、叉车、挖掘机、推土机等)、机械设备和工具（电焊设备、气焊设备、探伤设备、热处理机、换热器抽芯机、试压机具、定位仪、经纬仪、卷扬机、砂轮机等）。</w:t>
      </w:r>
    </w:p>
    <w:p w14:paraId="40B873A6">
      <w:pPr>
        <w:snapToGrid w:val="0"/>
        <w:ind w:firstLine="480" w:firstLineChars="200"/>
        <w:rPr>
          <w:color w:val="auto"/>
          <w:highlight w:val="none"/>
        </w:rPr>
      </w:pPr>
      <w:r>
        <w:rPr>
          <w:rFonts w:hint="eastAsia"/>
          <w:color w:val="auto"/>
          <w:highlight w:val="none"/>
        </w:rPr>
        <w:t>（2）施工机具和设备只有检查合格，并粘贴项目检查合格标签，才能使用。</w:t>
      </w:r>
    </w:p>
    <w:p w14:paraId="334D31A5">
      <w:pPr>
        <w:snapToGrid w:val="0"/>
        <w:ind w:firstLine="480" w:firstLineChars="200"/>
        <w:rPr>
          <w:color w:val="auto"/>
          <w:highlight w:val="none"/>
        </w:rPr>
      </w:pPr>
      <w:r>
        <w:rPr>
          <w:rFonts w:hint="eastAsia"/>
          <w:color w:val="auto"/>
          <w:highlight w:val="none"/>
        </w:rPr>
        <w:t>（3）监理单位和承包商应对设备检查标签实行专人管理，指定具有一定专业知识的人员负责设备检查，签发设备标签。</w:t>
      </w:r>
    </w:p>
    <w:p w14:paraId="527ECD71">
      <w:pPr>
        <w:snapToGrid w:val="0"/>
        <w:ind w:firstLine="480" w:firstLineChars="200"/>
        <w:rPr>
          <w:color w:val="auto"/>
          <w:highlight w:val="none"/>
        </w:rPr>
      </w:pPr>
      <w:r>
        <w:rPr>
          <w:rFonts w:hint="eastAsia"/>
          <w:color w:val="auto"/>
          <w:highlight w:val="none"/>
        </w:rPr>
        <w:t>（4）施工机具和设备的操作人员，必须具有相应的资质证书和安全操作证，当进入新的工作环境时，施工管理人员应对操作人员进行安全技术交底。</w:t>
      </w:r>
    </w:p>
    <w:p w14:paraId="6CB41785">
      <w:pPr>
        <w:snapToGrid w:val="0"/>
        <w:ind w:firstLine="480" w:firstLineChars="200"/>
        <w:rPr>
          <w:color w:val="auto"/>
          <w:highlight w:val="none"/>
        </w:rPr>
      </w:pPr>
      <w:r>
        <w:rPr>
          <w:rFonts w:hint="eastAsia"/>
          <w:color w:val="auto"/>
          <w:highlight w:val="none"/>
        </w:rPr>
        <w:t>（5）对于现场使用的特种设备，还应严格执行国家的法律、法规、条例和标准，必须确保在政府行政主管部门检验的有效期内。</w:t>
      </w:r>
    </w:p>
    <w:p w14:paraId="28915BF3">
      <w:pPr>
        <w:snapToGrid w:val="0"/>
        <w:ind w:firstLine="480" w:firstLineChars="200"/>
        <w:rPr>
          <w:color w:val="auto"/>
          <w:highlight w:val="none"/>
        </w:rPr>
      </w:pPr>
      <w:r>
        <w:rPr>
          <w:rFonts w:hint="eastAsia"/>
          <w:color w:val="auto"/>
          <w:highlight w:val="none"/>
        </w:rPr>
        <w:t>（6）</w:t>
      </w:r>
      <w:r>
        <w:rPr>
          <w:rFonts w:hint="eastAsia"/>
          <w:color w:val="auto"/>
          <w:highlight w:val="none"/>
        </w:rPr>
        <w:tab/>
      </w:r>
      <w:r>
        <w:rPr>
          <w:rFonts w:hint="eastAsia"/>
          <w:color w:val="auto"/>
          <w:highlight w:val="none"/>
        </w:rPr>
        <w:t>施工机具的配备</w:t>
      </w:r>
    </w:p>
    <w:p w14:paraId="04E4210C">
      <w:pPr>
        <w:snapToGrid w:val="0"/>
        <w:ind w:firstLine="480" w:firstLineChars="200"/>
        <w:rPr>
          <w:color w:val="auto"/>
          <w:highlight w:val="none"/>
        </w:rPr>
      </w:pPr>
      <w:r>
        <w:rPr>
          <w:rFonts w:hint="eastAsia"/>
          <w:color w:val="auto"/>
          <w:highlight w:val="none"/>
        </w:rPr>
        <w:t>a.承包商应根据施工需要配备施工机具，配备计划按规定经审批后实施。</w:t>
      </w:r>
    </w:p>
    <w:p w14:paraId="088918CB">
      <w:pPr>
        <w:snapToGrid w:val="0"/>
        <w:ind w:firstLine="480" w:firstLineChars="200"/>
        <w:rPr>
          <w:color w:val="auto"/>
          <w:highlight w:val="none"/>
        </w:rPr>
      </w:pPr>
      <w:r>
        <w:rPr>
          <w:rFonts w:hint="eastAsia"/>
          <w:color w:val="auto"/>
          <w:highlight w:val="none"/>
        </w:rPr>
        <w:t>b.承包商应明确施工机具供应方的评价方法，在采购或租赁前进行评价，并收集相应的证明资料和保存评价记录，评价的内容包括：经营资格和信誉；产品和服务质量；供货能力；风险因素。</w:t>
      </w:r>
    </w:p>
    <w:p w14:paraId="668D95C5">
      <w:pPr>
        <w:snapToGrid w:val="0"/>
        <w:ind w:firstLine="480" w:firstLineChars="200"/>
        <w:rPr>
          <w:color w:val="auto"/>
          <w:highlight w:val="none"/>
        </w:rPr>
      </w:pPr>
      <w:r>
        <w:rPr>
          <w:rFonts w:hint="eastAsia"/>
          <w:color w:val="auto"/>
          <w:highlight w:val="none"/>
        </w:rPr>
        <w:t>（7）承包商依法与施工机具供应方订立合同，明确对施工机具服务要求。</w:t>
      </w:r>
    </w:p>
    <w:p w14:paraId="3E052FB7">
      <w:pPr>
        <w:snapToGrid w:val="0"/>
        <w:ind w:firstLine="480" w:firstLineChars="200"/>
        <w:rPr>
          <w:color w:val="auto"/>
          <w:highlight w:val="none"/>
        </w:rPr>
      </w:pPr>
      <w:r>
        <w:rPr>
          <w:rFonts w:hint="eastAsia"/>
          <w:color w:val="auto"/>
          <w:highlight w:val="none"/>
        </w:rPr>
        <w:t>（8）承包商应对施工机具进行验收，并保存验收记录，安装后的施工机具经监理验收合格方可使用。</w:t>
      </w:r>
    </w:p>
    <w:p w14:paraId="09296635">
      <w:pPr>
        <w:snapToGrid w:val="0"/>
        <w:ind w:firstLine="480" w:firstLineChars="200"/>
        <w:rPr>
          <w:color w:val="auto"/>
          <w:highlight w:val="none"/>
        </w:rPr>
      </w:pPr>
      <w:r>
        <w:rPr>
          <w:rFonts w:hint="eastAsia"/>
          <w:color w:val="auto"/>
          <w:highlight w:val="none"/>
        </w:rPr>
        <w:t>（9）</w:t>
      </w:r>
      <w:r>
        <w:rPr>
          <w:rFonts w:hint="eastAsia"/>
          <w:color w:val="auto"/>
          <w:highlight w:val="none"/>
        </w:rPr>
        <w:tab/>
      </w:r>
      <w:r>
        <w:rPr>
          <w:rFonts w:hint="eastAsia"/>
          <w:color w:val="auto"/>
          <w:highlight w:val="none"/>
        </w:rPr>
        <w:t>施工机具进出场管理</w:t>
      </w:r>
    </w:p>
    <w:p w14:paraId="70DF1310">
      <w:pPr>
        <w:snapToGrid w:val="0"/>
        <w:ind w:firstLine="480" w:firstLineChars="200"/>
        <w:rPr>
          <w:color w:val="auto"/>
          <w:highlight w:val="none"/>
        </w:rPr>
      </w:pPr>
      <w:r>
        <w:rPr>
          <w:rFonts w:hint="eastAsia"/>
          <w:color w:val="auto"/>
          <w:highlight w:val="none"/>
        </w:rPr>
        <w:t>1) 机具入厂前，承包商应向监理提出检查申请，填写机械设备（入场）状况检查记录和机具设备清单资料，并递交所要求的相关证件原件和其他资料。</w:t>
      </w:r>
    </w:p>
    <w:p w14:paraId="564C231B">
      <w:pPr>
        <w:snapToGrid w:val="0"/>
        <w:ind w:firstLine="480" w:firstLineChars="200"/>
        <w:rPr>
          <w:color w:val="auto"/>
          <w:highlight w:val="none"/>
        </w:rPr>
      </w:pPr>
      <w:r>
        <w:rPr>
          <w:rFonts w:hint="eastAsia"/>
          <w:color w:val="auto"/>
          <w:highlight w:val="none"/>
        </w:rPr>
        <w:t>2) 监理单位核查证件资料后对机具的运行状况、安全防护装置等进行检查，填写设备检查清单。</w:t>
      </w:r>
    </w:p>
    <w:p w14:paraId="798574CA">
      <w:pPr>
        <w:snapToGrid w:val="0"/>
        <w:ind w:firstLine="480" w:firstLineChars="200"/>
        <w:rPr>
          <w:color w:val="auto"/>
          <w:highlight w:val="none"/>
        </w:rPr>
      </w:pPr>
      <w:r>
        <w:rPr>
          <w:rFonts w:hint="eastAsia"/>
          <w:color w:val="auto"/>
          <w:highlight w:val="none"/>
        </w:rPr>
        <w:t>3) 进入现场的所有施工设备、工具必须处于安全操作状态，且必须具备检验合格证、使用许可证。</w:t>
      </w:r>
    </w:p>
    <w:p w14:paraId="72404015">
      <w:pPr>
        <w:snapToGrid w:val="0"/>
        <w:ind w:firstLine="480" w:firstLineChars="200"/>
        <w:rPr>
          <w:color w:val="auto"/>
          <w:highlight w:val="none"/>
        </w:rPr>
      </w:pPr>
      <w:r>
        <w:rPr>
          <w:rFonts w:hint="eastAsia"/>
          <w:color w:val="auto"/>
          <w:highlight w:val="none"/>
        </w:rPr>
        <w:t>4) 监理单位审查复印件或扫描件的完整性。</w:t>
      </w:r>
    </w:p>
    <w:p w14:paraId="6F310676">
      <w:pPr>
        <w:snapToGrid w:val="0"/>
        <w:ind w:firstLine="480" w:firstLineChars="200"/>
        <w:rPr>
          <w:color w:val="auto"/>
          <w:highlight w:val="none"/>
        </w:rPr>
      </w:pPr>
      <w:r>
        <w:rPr>
          <w:rFonts w:hint="eastAsia"/>
          <w:color w:val="auto"/>
          <w:highlight w:val="none"/>
        </w:rPr>
        <w:t>5) 监理单位根据审查合格、备案后的设备材料，现场检查设备的整体完好性。</w:t>
      </w:r>
    </w:p>
    <w:p w14:paraId="34F8BC9C">
      <w:pPr>
        <w:snapToGrid w:val="0"/>
        <w:ind w:firstLine="480" w:firstLineChars="200"/>
        <w:rPr>
          <w:color w:val="auto"/>
          <w:highlight w:val="none"/>
        </w:rPr>
      </w:pPr>
      <w:r>
        <w:rPr>
          <w:rFonts w:hint="eastAsia"/>
          <w:color w:val="auto"/>
          <w:highlight w:val="none"/>
        </w:rPr>
        <w:t>6) 现场检验合格后，给该设备编号、填表，发给《设备使用许可证》。</w:t>
      </w:r>
    </w:p>
    <w:p w14:paraId="444B2B5B">
      <w:pPr>
        <w:snapToGrid w:val="0"/>
        <w:ind w:firstLine="480" w:firstLineChars="200"/>
        <w:rPr>
          <w:color w:val="auto"/>
          <w:highlight w:val="none"/>
        </w:rPr>
      </w:pPr>
      <w:r>
        <w:rPr>
          <w:rFonts w:hint="eastAsia"/>
          <w:color w:val="auto"/>
          <w:highlight w:val="none"/>
        </w:rPr>
        <w:t>7) 项目部、监理单位、承包商对该设备持续跟踪，如发现、抽查出的不合格设备，要求限期整改或取消该设备《设备使用许可证》。</w:t>
      </w:r>
    </w:p>
    <w:p w14:paraId="78BC479C">
      <w:pPr>
        <w:snapToGrid w:val="0"/>
        <w:ind w:firstLine="480" w:firstLineChars="200"/>
        <w:rPr>
          <w:color w:val="auto"/>
          <w:highlight w:val="none"/>
        </w:rPr>
      </w:pPr>
      <w:r>
        <w:rPr>
          <w:rFonts w:hint="eastAsia"/>
          <w:color w:val="auto"/>
          <w:highlight w:val="none"/>
        </w:rPr>
        <w:t>施工设备、工具使用完后需外运出厂时，由承包商向发包人提出申请，经批准后方可出厂，当班门卫按批准清单查验后放行。</w:t>
      </w:r>
    </w:p>
    <w:p w14:paraId="2B7EED30">
      <w:pPr>
        <w:snapToGrid w:val="0"/>
        <w:ind w:firstLine="480" w:firstLineChars="200"/>
        <w:rPr>
          <w:color w:val="auto"/>
          <w:highlight w:val="none"/>
        </w:rPr>
      </w:pPr>
      <w:r>
        <w:rPr>
          <w:rFonts w:hint="eastAsia"/>
          <w:color w:val="auto"/>
          <w:highlight w:val="none"/>
        </w:rPr>
        <w:t>主要施工机具设备的种类、规格、性能要求在进场前报监理检验。</w:t>
      </w:r>
    </w:p>
    <w:p w14:paraId="71319C6B">
      <w:pPr>
        <w:snapToGrid w:val="0"/>
        <w:ind w:firstLine="480" w:firstLineChars="200"/>
        <w:rPr>
          <w:color w:val="auto"/>
          <w:highlight w:val="none"/>
        </w:rPr>
      </w:pPr>
      <w:r>
        <w:rPr>
          <w:color w:val="auto"/>
          <w:highlight w:val="none"/>
        </w:rPr>
        <w:t>6.</w:t>
      </w:r>
      <w:r>
        <w:rPr>
          <w:rFonts w:hint="eastAsia"/>
          <w:color w:val="auto"/>
          <w:highlight w:val="none"/>
        </w:rPr>
        <w:t>发包人安全管理部门（以下简称安全管理部门）是承包人安全监督归口管理部门。承包人应接受安全管理部门的管理、监督、培训、考核等。安全管理部门职责如下</w:t>
      </w:r>
    </w:p>
    <w:p w14:paraId="1890E945">
      <w:pPr>
        <w:snapToGrid w:val="0"/>
        <w:ind w:firstLine="480" w:firstLineChars="200"/>
        <w:rPr>
          <w:color w:val="auto"/>
          <w:highlight w:val="none"/>
        </w:rPr>
      </w:pPr>
      <w:r>
        <w:rPr>
          <w:rFonts w:hint="eastAsia"/>
          <w:color w:val="auto"/>
          <w:highlight w:val="none"/>
        </w:rPr>
        <w:t>（1）负责制定承包人安全监督管理制度，并监督检查承包人等相关各方落实情况。</w:t>
      </w:r>
    </w:p>
    <w:p w14:paraId="02CDD314">
      <w:pPr>
        <w:snapToGrid w:val="0"/>
        <w:ind w:firstLine="480" w:firstLineChars="200"/>
        <w:rPr>
          <w:color w:val="auto"/>
          <w:highlight w:val="none"/>
        </w:rPr>
      </w:pPr>
      <w:r>
        <w:rPr>
          <w:rFonts w:hint="eastAsia"/>
          <w:color w:val="auto"/>
          <w:highlight w:val="none"/>
        </w:rPr>
        <w:t>（2）参加承包人安全资质审查。</w:t>
      </w:r>
    </w:p>
    <w:p w14:paraId="1DC6A0AF">
      <w:pPr>
        <w:snapToGrid w:val="0"/>
        <w:ind w:firstLine="480" w:firstLineChars="200"/>
        <w:rPr>
          <w:color w:val="auto"/>
          <w:highlight w:val="none"/>
        </w:rPr>
      </w:pPr>
      <w:r>
        <w:rPr>
          <w:rFonts w:hint="eastAsia"/>
          <w:color w:val="auto"/>
          <w:highlight w:val="none"/>
        </w:rPr>
        <w:t>（3）参加工程项目安全技术措施或专项施工方案的审查。</w:t>
      </w:r>
    </w:p>
    <w:p w14:paraId="296F4713">
      <w:pPr>
        <w:snapToGrid w:val="0"/>
        <w:ind w:firstLine="480" w:firstLineChars="200"/>
        <w:rPr>
          <w:color w:val="auto"/>
          <w:highlight w:val="none"/>
        </w:rPr>
      </w:pPr>
      <w:r>
        <w:rPr>
          <w:rFonts w:hint="eastAsia"/>
          <w:color w:val="auto"/>
          <w:highlight w:val="none"/>
        </w:rPr>
        <w:t>（4）招标文件和合同会审时，负责审核安全保证措施和安全生产管理协议。</w:t>
      </w:r>
    </w:p>
    <w:p w14:paraId="3DA1C509">
      <w:pPr>
        <w:snapToGrid w:val="0"/>
        <w:ind w:firstLine="480" w:firstLineChars="200"/>
        <w:rPr>
          <w:color w:val="auto"/>
          <w:highlight w:val="none"/>
        </w:rPr>
      </w:pPr>
      <w:r>
        <w:rPr>
          <w:rFonts w:hint="eastAsia"/>
          <w:color w:val="auto"/>
          <w:highlight w:val="none"/>
        </w:rPr>
        <w:t>（5）参与承包人安全防护措施费用和脚手架费用拨付的会签。</w:t>
      </w:r>
    </w:p>
    <w:p w14:paraId="2F486011">
      <w:pPr>
        <w:snapToGrid w:val="0"/>
        <w:ind w:firstLine="480" w:firstLineChars="200"/>
        <w:rPr>
          <w:color w:val="auto"/>
          <w:highlight w:val="none"/>
        </w:rPr>
      </w:pPr>
      <w:r>
        <w:rPr>
          <w:rFonts w:hint="eastAsia"/>
          <w:color w:val="auto"/>
          <w:highlight w:val="none"/>
        </w:rPr>
        <w:t>（6）参与重大设计变更（设计变更主体是设计单位。故对设计变更的安全监管不属于对施工项目承包人的安全监管）、工期调整等重要影响因素的论证和评估。</w:t>
      </w:r>
    </w:p>
    <w:p w14:paraId="23A4E58F">
      <w:pPr>
        <w:snapToGrid w:val="0"/>
        <w:ind w:firstLine="480" w:firstLineChars="200"/>
        <w:rPr>
          <w:color w:val="auto"/>
          <w:highlight w:val="none"/>
        </w:rPr>
      </w:pPr>
      <w:r>
        <w:rPr>
          <w:rFonts w:hint="eastAsia"/>
          <w:color w:val="auto"/>
          <w:highlight w:val="none"/>
        </w:rPr>
        <w:t>（7）组织承包人员工入厂（场）安全教育、管理人员专项安全培训考核。</w:t>
      </w:r>
    </w:p>
    <w:p w14:paraId="1358A7C9">
      <w:pPr>
        <w:snapToGrid w:val="0"/>
        <w:ind w:firstLine="480" w:firstLineChars="200"/>
        <w:rPr>
          <w:color w:val="auto"/>
          <w:highlight w:val="none"/>
        </w:rPr>
      </w:pPr>
      <w:r>
        <w:rPr>
          <w:rFonts w:hint="eastAsia"/>
          <w:color w:val="auto"/>
          <w:highlight w:val="none"/>
        </w:rPr>
        <w:t>（8）负责特殊作业许可申请人、签发人、监护人、接收人的资格培训和认定。</w:t>
      </w:r>
    </w:p>
    <w:p w14:paraId="2299D320">
      <w:pPr>
        <w:snapToGrid w:val="0"/>
        <w:ind w:firstLine="480" w:firstLineChars="200"/>
        <w:rPr>
          <w:color w:val="auto"/>
          <w:highlight w:val="none"/>
        </w:rPr>
      </w:pPr>
      <w:r>
        <w:rPr>
          <w:rFonts w:hint="eastAsia"/>
          <w:color w:val="auto"/>
          <w:highlight w:val="none"/>
        </w:rPr>
        <w:t>（9）参加承包人生产安全事故应急预案的评审，指导承包商开展应急演练。</w:t>
      </w:r>
    </w:p>
    <w:p w14:paraId="595BF2D8">
      <w:pPr>
        <w:snapToGrid w:val="0"/>
        <w:ind w:firstLine="480" w:firstLineChars="200"/>
        <w:rPr>
          <w:color w:val="auto"/>
          <w:highlight w:val="none"/>
        </w:rPr>
      </w:pPr>
      <w:r>
        <w:rPr>
          <w:rFonts w:hint="eastAsia"/>
          <w:color w:val="auto"/>
          <w:highlight w:val="none"/>
        </w:rPr>
        <w:t>（10）组织承包人生产安全事故的调查与处理。</w:t>
      </w:r>
    </w:p>
    <w:p w14:paraId="52AECF95">
      <w:pPr>
        <w:snapToGrid w:val="0"/>
        <w:ind w:firstLine="480" w:firstLineChars="200"/>
        <w:rPr>
          <w:color w:val="auto"/>
          <w:highlight w:val="none"/>
        </w:rPr>
      </w:pPr>
      <w:r>
        <w:rPr>
          <w:rFonts w:hint="eastAsia"/>
          <w:color w:val="auto"/>
          <w:highlight w:val="none"/>
        </w:rPr>
        <w:t>（11）组织安全督查大队，按程序与要求对施工现场开展全方位安全督查工作。</w:t>
      </w:r>
    </w:p>
    <w:p w14:paraId="4D5FDA5E">
      <w:pPr>
        <w:snapToGrid w:val="0"/>
        <w:ind w:firstLine="480" w:firstLineChars="200"/>
        <w:rPr>
          <w:color w:val="auto"/>
          <w:highlight w:val="none"/>
        </w:rPr>
      </w:pPr>
      <w:r>
        <w:rPr>
          <w:rFonts w:hint="eastAsia"/>
          <w:color w:val="auto"/>
          <w:highlight w:val="none"/>
        </w:rPr>
        <w:t>（12）负责对承包人进行安全绩效考核。</w:t>
      </w:r>
    </w:p>
    <w:p w14:paraId="26B9C3C5">
      <w:pPr>
        <w:snapToGrid w:val="0"/>
        <w:ind w:firstLine="480" w:firstLineChars="200"/>
        <w:rPr>
          <w:color w:val="auto"/>
          <w:highlight w:val="none"/>
        </w:rPr>
      </w:pPr>
      <w:r>
        <w:rPr>
          <w:color w:val="auto"/>
          <w:highlight w:val="none"/>
        </w:rPr>
        <w:t>7.</w:t>
      </w:r>
      <w:r>
        <w:rPr>
          <w:rFonts w:hint="eastAsia"/>
          <w:color w:val="auto"/>
          <w:highlight w:val="none"/>
        </w:rPr>
        <w:t>任何单位不得擅自压缩合同约定的工期，如压缩工期，应按重大变更实施管理。因不可抗力或发包人原因影响工期的，应按照合同约定执行。如工期确需调整或优化，发包人应组织专家对安全的影响或带来相关的风险进行论证和评估，制定相应的施工组织措施和安全保障措施，由发包人项目负责人签发后执行。</w:t>
      </w:r>
    </w:p>
    <w:p w14:paraId="421CB266">
      <w:pPr>
        <w:snapToGrid w:val="0"/>
        <w:ind w:firstLine="480" w:firstLineChars="200"/>
        <w:rPr>
          <w:color w:val="auto"/>
          <w:highlight w:val="none"/>
        </w:rPr>
      </w:pPr>
      <w:r>
        <w:rPr>
          <w:color w:val="auto"/>
          <w:highlight w:val="none"/>
        </w:rPr>
        <w:t>8.</w:t>
      </w:r>
      <w:r>
        <w:rPr>
          <w:rFonts w:hint="eastAsia"/>
          <w:color w:val="auto"/>
          <w:highlight w:val="none"/>
        </w:rPr>
        <w:t>关于分包项目内容与管理的要求。包括但不限于以下内容：</w:t>
      </w:r>
    </w:p>
    <w:p w14:paraId="20FCF96F">
      <w:pPr>
        <w:snapToGrid w:val="0"/>
        <w:ind w:firstLine="480" w:firstLineChars="200"/>
        <w:rPr>
          <w:color w:val="auto"/>
          <w:highlight w:val="none"/>
        </w:rPr>
      </w:pPr>
      <w:r>
        <w:rPr>
          <w:rFonts w:hint="eastAsia"/>
          <w:color w:val="auto"/>
          <w:highlight w:val="none"/>
        </w:rPr>
        <w:t>（1）实施分包的工程，安全责任不能分包。总承包人、分包人应按照分包合同中的安全管理要求实施管理，若变更安全管理职责、界面，应重新签订分包合同。</w:t>
      </w:r>
    </w:p>
    <w:p w14:paraId="6E6AF345">
      <w:pPr>
        <w:snapToGrid w:val="0"/>
        <w:ind w:firstLine="480" w:firstLineChars="200"/>
        <w:rPr>
          <w:color w:val="auto"/>
          <w:highlight w:val="none"/>
        </w:rPr>
      </w:pPr>
      <w:r>
        <w:rPr>
          <w:rFonts w:hint="eastAsia"/>
          <w:color w:val="auto"/>
          <w:highlight w:val="none"/>
        </w:rPr>
        <w:t xml:space="preserve">（2）分包项目内容：见专用合同条款3.6.9。   </w:t>
      </w:r>
    </w:p>
    <w:p w14:paraId="51177D72">
      <w:pPr>
        <w:snapToGrid w:val="0"/>
        <w:ind w:firstLine="480" w:firstLineChars="200"/>
        <w:rPr>
          <w:color w:val="auto"/>
          <w:highlight w:val="none"/>
        </w:rPr>
      </w:pPr>
      <w:r>
        <w:rPr>
          <w:rFonts w:hint="eastAsia"/>
          <w:color w:val="auto"/>
          <w:highlight w:val="none"/>
        </w:rPr>
        <w:t>（3）脚手架工程和大型特殊设备吊装工程的管理或分包的方式：（合同签订时明确）。</w:t>
      </w:r>
    </w:p>
    <w:p w14:paraId="3B574CF6">
      <w:pPr>
        <w:snapToGrid w:val="0"/>
        <w:ind w:firstLine="480" w:firstLineChars="200"/>
        <w:rPr>
          <w:color w:val="auto"/>
          <w:highlight w:val="none"/>
        </w:rPr>
      </w:pPr>
      <w:r>
        <w:rPr>
          <w:rFonts w:hint="eastAsia"/>
          <w:color w:val="auto"/>
          <w:highlight w:val="none"/>
        </w:rPr>
        <w:t>（4）安全防护措施和脚手架计费标准及费用使用审批方式（确保专款专用）：安全防护措施措施计费标准及费用使用审批方式：见专用合同条款6.1.6 安全生产、文明施工费（3）。</w:t>
      </w:r>
    </w:p>
    <w:p w14:paraId="77564C31">
      <w:pPr>
        <w:snapToGrid w:val="0"/>
        <w:ind w:firstLine="480" w:firstLineChars="200"/>
        <w:rPr>
          <w:color w:val="auto"/>
          <w:highlight w:val="none"/>
        </w:rPr>
      </w:pPr>
      <w:r>
        <w:rPr>
          <w:rFonts w:hint="eastAsia"/>
          <w:color w:val="auto"/>
          <w:highlight w:val="none"/>
        </w:rPr>
        <w:t>（5）施工总承包人进行专业分包时，不得扣减脚手架费用和安全防护措施费用；EPC/BEPC总承包人对脚手架工程单独分包时，不得以管理费名义扣减任何费用。</w:t>
      </w:r>
    </w:p>
    <w:p w14:paraId="34278BA7">
      <w:pPr>
        <w:snapToGrid w:val="0"/>
        <w:ind w:firstLine="480" w:firstLineChars="200"/>
        <w:rPr>
          <w:color w:val="auto"/>
          <w:highlight w:val="none"/>
        </w:rPr>
      </w:pPr>
      <w:r>
        <w:rPr>
          <w:rFonts w:hint="eastAsia"/>
          <w:color w:val="auto"/>
          <w:highlight w:val="none"/>
        </w:rPr>
        <w:t>（6）劳务分包</w:t>
      </w:r>
    </w:p>
    <w:p w14:paraId="6CB333A6">
      <w:pPr>
        <w:snapToGrid w:val="0"/>
        <w:ind w:firstLine="480" w:firstLineChars="200"/>
        <w:rPr>
          <w:color w:val="auto"/>
          <w:highlight w:val="none"/>
        </w:rPr>
      </w:pPr>
      <w:r>
        <w:rPr>
          <w:rFonts w:hint="eastAsia"/>
          <w:color w:val="auto"/>
          <w:highlight w:val="none"/>
        </w:rPr>
        <w:t>1）不得以劳务分包的名义进行专业分包。</w:t>
      </w:r>
    </w:p>
    <w:p w14:paraId="61F4DE3B">
      <w:pPr>
        <w:snapToGrid w:val="0"/>
        <w:ind w:firstLine="480" w:firstLineChars="200"/>
        <w:rPr>
          <w:color w:val="auto"/>
          <w:highlight w:val="none"/>
        </w:rPr>
      </w:pPr>
      <w:r>
        <w:rPr>
          <w:rFonts w:hint="eastAsia"/>
          <w:color w:val="auto"/>
          <w:highlight w:val="none"/>
        </w:rPr>
        <w:t>2）进行劳务分包时，施工现场管理机构应由劳务分包的发包单位组建，技术文件由劳务分包的发包单位负责编制，安全劳动保护用品等均应由劳务分包的发包单位负责提供。</w:t>
      </w:r>
    </w:p>
    <w:p w14:paraId="7B18413B">
      <w:pPr>
        <w:snapToGrid w:val="0"/>
        <w:ind w:firstLine="480" w:firstLineChars="200"/>
        <w:rPr>
          <w:color w:val="auto"/>
          <w:highlight w:val="none"/>
        </w:rPr>
      </w:pPr>
      <w:r>
        <w:rPr>
          <w:rFonts w:hint="eastAsia"/>
          <w:color w:val="auto"/>
          <w:highlight w:val="none"/>
        </w:rPr>
        <w:t>3）劳务人员应有相应的资质，业务技能与应满足其所从事的施工项目相适应工作要求。</w:t>
      </w:r>
    </w:p>
    <w:p w14:paraId="42B86B80">
      <w:pPr>
        <w:snapToGrid w:val="0"/>
        <w:ind w:firstLine="480" w:firstLineChars="200"/>
        <w:rPr>
          <w:color w:val="auto"/>
          <w:highlight w:val="none"/>
        </w:rPr>
      </w:pPr>
      <w:r>
        <w:rPr>
          <w:rFonts w:hint="eastAsia"/>
          <w:color w:val="auto"/>
          <w:highlight w:val="none"/>
        </w:rPr>
        <w:t>4）劳务分包项目中的关键工种应杜绝临时零星用工。</w:t>
      </w:r>
    </w:p>
    <w:p w14:paraId="5EDBA731">
      <w:pPr>
        <w:snapToGrid w:val="0"/>
        <w:ind w:firstLine="480" w:firstLineChars="200"/>
        <w:rPr>
          <w:color w:val="auto"/>
          <w:highlight w:val="none"/>
        </w:rPr>
      </w:pPr>
      <w:r>
        <w:rPr>
          <w:rFonts w:hint="eastAsia"/>
          <w:color w:val="auto"/>
          <w:highlight w:val="none"/>
        </w:rPr>
        <w:t>5）承包人应对劳务人员中的特种作业人员、特种设备作业人员工程需要的其他人员进行业务技能的培训、考评，完善班组建设，并报送发包人备查。</w:t>
      </w:r>
    </w:p>
    <w:p w14:paraId="6A8430DB">
      <w:pPr>
        <w:snapToGrid w:val="0"/>
        <w:ind w:firstLine="480" w:firstLineChars="200"/>
        <w:rPr>
          <w:color w:val="auto"/>
          <w:highlight w:val="none"/>
        </w:rPr>
      </w:pPr>
      <w:r>
        <w:rPr>
          <w:rFonts w:hint="eastAsia"/>
          <w:color w:val="auto"/>
          <w:highlight w:val="none"/>
        </w:rPr>
        <w:t>6）分包单位应对劳务人员的身份证复印件、特种作业操作证、特种设备作业人员证或上岗证复印件进行建档保存，并报送发包人备查。</w:t>
      </w:r>
    </w:p>
    <w:p w14:paraId="01804B66">
      <w:pPr>
        <w:snapToGrid w:val="0"/>
        <w:ind w:firstLine="480" w:firstLineChars="200"/>
        <w:rPr>
          <w:color w:val="auto"/>
          <w:highlight w:val="none"/>
        </w:rPr>
      </w:pPr>
    </w:p>
    <w:p w14:paraId="6883C5ED">
      <w:pPr>
        <w:snapToGrid w:val="0"/>
        <w:ind w:firstLine="480" w:firstLineChars="200"/>
        <w:rPr>
          <w:color w:val="auto"/>
          <w:highlight w:val="none"/>
        </w:rPr>
      </w:pPr>
    </w:p>
    <w:p w14:paraId="236EE63A">
      <w:pPr>
        <w:snapToGrid w:val="0"/>
        <w:rPr>
          <w:rFonts w:cs="Arial"/>
          <w:color w:val="auto"/>
          <w:highlight w:val="none"/>
        </w:rPr>
        <w:sectPr>
          <w:pgSz w:w="11906" w:h="16838"/>
          <w:pgMar w:top="1440" w:right="1800" w:bottom="1440" w:left="1800" w:header="851" w:footer="992" w:gutter="0"/>
          <w:cols w:space="720" w:num="1"/>
          <w:docGrid w:type="lines" w:linePitch="312" w:charSpace="0"/>
        </w:sectPr>
      </w:pPr>
    </w:p>
    <w:p w14:paraId="02F79840">
      <w:pPr>
        <w:keepNext/>
        <w:keepLines/>
        <w:outlineLvl w:val="1"/>
        <w:rPr>
          <w:rFonts w:cs="Arial"/>
          <w:color w:val="auto"/>
          <w:szCs w:val="32"/>
          <w:highlight w:val="none"/>
        </w:rPr>
      </w:pPr>
      <w:bookmarkStart w:id="1286" w:name="_Toc117018851"/>
      <w:bookmarkStart w:id="1287" w:name="_Toc96767507"/>
      <w:bookmarkStart w:id="1288" w:name="_Toc15130"/>
      <w:bookmarkStart w:id="1289" w:name="_Toc119953788"/>
      <w:bookmarkStart w:id="1290" w:name="_Toc99782873"/>
      <w:bookmarkStart w:id="1291" w:name="_Toc256000144"/>
      <w:bookmarkStart w:id="1292" w:name="_Toc256000212"/>
      <w:r>
        <w:rPr>
          <w:rFonts w:hint="eastAsia" w:cs="Arial"/>
          <w:color w:val="auto"/>
          <w:szCs w:val="32"/>
          <w:highlight w:val="none"/>
        </w:rPr>
        <w:t>附件</w:t>
      </w:r>
      <w:r>
        <w:rPr>
          <w:rFonts w:cs="Arial"/>
          <w:color w:val="auto"/>
          <w:szCs w:val="32"/>
          <w:highlight w:val="none"/>
        </w:rPr>
        <w:t>2</w:t>
      </w:r>
      <w:r>
        <w:rPr>
          <w:rFonts w:hint="eastAsia" w:cs="Arial"/>
          <w:color w:val="auto"/>
          <w:szCs w:val="32"/>
          <w:highlight w:val="none"/>
          <w:lang w:val="en-US" w:eastAsia="zh-CN"/>
        </w:rPr>
        <w:t>0</w:t>
      </w:r>
      <w:r>
        <w:rPr>
          <w:rFonts w:cs="Arial"/>
          <w:color w:val="auto"/>
          <w:szCs w:val="32"/>
          <w:highlight w:val="none"/>
        </w:rPr>
        <w:t>：</w:t>
      </w:r>
      <w:r>
        <w:rPr>
          <w:rFonts w:hint="eastAsia" w:cs="Arial"/>
          <w:color w:val="auto"/>
          <w:szCs w:val="32"/>
          <w:highlight w:val="none"/>
        </w:rPr>
        <w:t>《中国石化建设工程分包管理办法》（中国石化制〔2020〕285号）</w:t>
      </w:r>
      <w:bookmarkEnd w:id="1286"/>
      <w:bookmarkEnd w:id="1287"/>
      <w:bookmarkEnd w:id="1288"/>
      <w:bookmarkEnd w:id="1289"/>
      <w:bookmarkEnd w:id="1290"/>
      <w:bookmarkEnd w:id="1291"/>
      <w:bookmarkEnd w:id="1292"/>
    </w:p>
    <w:p w14:paraId="1F7E7A75">
      <w:pPr>
        <w:adjustRightInd w:val="0"/>
        <w:snapToGrid w:val="0"/>
        <w:spacing w:line="240" w:lineRule="auto"/>
        <w:ind w:firstLine="640" w:firstLineChars="200"/>
        <w:jc w:val="center"/>
        <w:rPr>
          <w:rFonts w:cs="Arial"/>
          <w:bCs/>
          <w:color w:val="auto"/>
          <w:sz w:val="32"/>
          <w:szCs w:val="32"/>
          <w:highlight w:val="none"/>
        </w:rPr>
      </w:pPr>
      <w:r>
        <w:rPr>
          <w:rFonts w:hint="eastAsia" w:cs="Arial"/>
          <w:bCs/>
          <w:color w:val="auto"/>
          <w:sz w:val="32"/>
          <w:szCs w:val="32"/>
          <w:highlight w:val="none"/>
        </w:rPr>
        <w:t>中国石化建设工程分包管理办法</w:t>
      </w:r>
    </w:p>
    <w:p w14:paraId="01824170">
      <w:pPr>
        <w:adjustRightInd w:val="0"/>
        <w:snapToGrid w:val="0"/>
        <w:spacing w:line="240" w:lineRule="auto"/>
        <w:ind w:firstLine="420" w:firstLineChars="200"/>
        <w:jc w:val="center"/>
        <w:rPr>
          <w:rFonts w:hAnsi="Calibri"/>
          <w:color w:val="auto"/>
          <w:sz w:val="21"/>
          <w:szCs w:val="22"/>
          <w:highlight w:val="none"/>
        </w:rPr>
      </w:pPr>
      <w:r>
        <w:rPr>
          <w:rFonts w:hint="eastAsia" w:hAnsi="Calibri"/>
          <w:color w:val="auto"/>
          <w:sz w:val="21"/>
          <w:szCs w:val="22"/>
          <w:highlight w:val="none"/>
        </w:rPr>
        <w:t>（中国石化制〔2020〕285号）</w:t>
      </w:r>
    </w:p>
    <w:p w14:paraId="3DD9F080">
      <w:pPr>
        <w:adjustRightInd w:val="0"/>
        <w:snapToGrid w:val="0"/>
        <w:ind w:firstLine="480" w:firstLineChars="200"/>
        <w:rPr>
          <w:rFonts w:hAnsi="Calibri"/>
          <w:color w:val="auto"/>
          <w:highlight w:val="none"/>
        </w:rPr>
      </w:pPr>
      <w:r>
        <w:rPr>
          <w:rFonts w:hint="eastAsia" w:hAnsi="Calibri"/>
          <w:color w:val="auto"/>
          <w:highlight w:val="none"/>
        </w:rPr>
        <w:t>1总则</w:t>
      </w:r>
    </w:p>
    <w:p w14:paraId="5DA176C4">
      <w:pPr>
        <w:adjustRightInd w:val="0"/>
        <w:snapToGrid w:val="0"/>
        <w:ind w:firstLine="480" w:firstLineChars="200"/>
        <w:rPr>
          <w:rFonts w:hAnsi="Calibri"/>
          <w:color w:val="auto"/>
          <w:highlight w:val="none"/>
        </w:rPr>
      </w:pPr>
      <w:r>
        <w:rPr>
          <w:rFonts w:hint="eastAsia" w:hAnsi="Calibri"/>
          <w:color w:val="auto"/>
          <w:highlight w:val="none"/>
        </w:rPr>
        <w:t>1.1目的依据</w:t>
      </w:r>
    </w:p>
    <w:p w14:paraId="45502234">
      <w:pPr>
        <w:adjustRightInd w:val="0"/>
        <w:snapToGrid w:val="0"/>
        <w:ind w:firstLine="480" w:firstLineChars="200"/>
        <w:rPr>
          <w:rFonts w:hAnsi="Calibri"/>
          <w:color w:val="auto"/>
          <w:highlight w:val="none"/>
        </w:rPr>
      </w:pPr>
      <w:r>
        <w:rPr>
          <w:rFonts w:hint="eastAsia" w:hAnsi="Calibri"/>
          <w:color w:val="auto"/>
          <w:highlight w:val="none"/>
        </w:rPr>
        <w:t>为规范中国石油化工集团有限公司、中国石油化工股份有限公司（以下统称中国石化）建设工程分包活动，依据国家法律法规以及中国石化相关制度，制定本办法。</w:t>
      </w:r>
    </w:p>
    <w:p w14:paraId="5F8E4FBB">
      <w:pPr>
        <w:adjustRightInd w:val="0"/>
        <w:snapToGrid w:val="0"/>
        <w:ind w:firstLine="480" w:firstLineChars="200"/>
        <w:rPr>
          <w:rFonts w:hAnsi="Calibri"/>
          <w:color w:val="auto"/>
          <w:highlight w:val="none"/>
        </w:rPr>
      </w:pPr>
      <w:r>
        <w:rPr>
          <w:rFonts w:hint="eastAsia" w:hAnsi="Calibri"/>
          <w:color w:val="auto"/>
          <w:highlight w:val="none"/>
        </w:rPr>
        <w:t>1.2适用范围</w:t>
      </w:r>
    </w:p>
    <w:p w14:paraId="182E30B6">
      <w:pPr>
        <w:adjustRightInd w:val="0"/>
        <w:snapToGrid w:val="0"/>
        <w:ind w:firstLine="480" w:firstLineChars="200"/>
        <w:rPr>
          <w:rFonts w:hAnsi="Calibri"/>
          <w:color w:val="auto"/>
          <w:highlight w:val="none"/>
        </w:rPr>
      </w:pPr>
      <w:r>
        <w:rPr>
          <w:rFonts w:hint="eastAsia" w:hAnsi="Calibri"/>
          <w:color w:val="auto"/>
          <w:highlight w:val="none"/>
        </w:rPr>
        <w:t>1.2.1本办法适用于中国石化在中国境内独资、合资控股、合作主导的石油化工建设项目（包含石油化工工程建设项目和大检修项目）。</w:t>
      </w:r>
    </w:p>
    <w:p w14:paraId="1FD254FC">
      <w:pPr>
        <w:adjustRightInd w:val="0"/>
        <w:snapToGrid w:val="0"/>
        <w:ind w:firstLine="480" w:firstLineChars="200"/>
        <w:rPr>
          <w:rFonts w:hAnsi="Calibri"/>
          <w:color w:val="auto"/>
          <w:highlight w:val="none"/>
        </w:rPr>
      </w:pPr>
      <w:r>
        <w:rPr>
          <w:rFonts w:hint="eastAsia" w:hAnsi="Calibri"/>
          <w:color w:val="auto"/>
          <w:highlight w:val="none"/>
        </w:rPr>
        <w:t>1.2.2石油化工工程建设项目包括油气田地面、炼油化工、天然气与煤化工、油气储运以及新能源、科研辅助设施等工程建设项目，包括工程的新建、改建、扩建及其相关的装修、拆除等。</w:t>
      </w:r>
    </w:p>
    <w:p w14:paraId="63C0E113">
      <w:pPr>
        <w:adjustRightInd w:val="0"/>
        <w:snapToGrid w:val="0"/>
        <w:ind w:firstLine="480" w:firstLineChars="200"/>
        <w:rPr>
          <w:rFonts w:hAnsi="Calibri"/>
          <w:color w:val="auto"/>
          <w:highlight w:val="none"/>
        </w:rPr>
      </w:pPr>
      <w:r>
        <w:rPr>
          <w:rFonts w:hint="eastAsia" w:hAnsi="Calibri"/>
          <w:color w:val="auto"/>
          <w:highlight w:val="none"/>
        </w:rPr>
        <w:t>1.2.3房屋建筑和市政基础设施工程分包活动，执行国家和地方政府的有关规定。</w:t>
      </w:r>
    </w:p>
    <w:p w14:paraId="353C0B77">
      <w:pPr>
        <w:adjustRightInd w:val="0"/>
        <w:snapToGrid w:val="0"/>
        <w:ind w:firstLine="480" w:firstLineChars="200"/>
        <w:rPr>
          <w:rFonts w:hAnsi="Calibri"/>
          <w:color w:val="auto"/>
          <w:highlight w:val="none"/>
        </w:rPr>
      </w:pPr>
      <w:r>
        <w:rPr>
          <w:rFonts w:hint="eastAsia" w:hAnsi="Calibri"/>
          <w:color w:val="auto"/>
          <w:highlight w:val="none"/>
        </w:rPr>
        <w:t>1.3内容界定</w:t>
      </w:r>
    </w:p>
    <w:p w14:paraId="5A1FCF7D">
      <w:pPr>
        <w:adjustRightInd w:val="0"/>
        <w:snapToGrid w:val="0"/>
        <w:ind w:firstLine="480" w:firstLineChars="200"/>
        <w:rPr>
          <w:rFonts w:hAnsi="Calibri"/>
          <w:color w:val="auto"/>
          <w:highlight w:val="none"/>
        </w:rPr>
      </w:pPr>
      <w:r>
        <w:rPr>
          <w:rFonts w:hint="eastAsia" w:hAnsi="Calibri"/>
          <w:color w:val="auto"/>
          <w:highlight w:val="none"/>
        </w:rPr>
        <w:t>1.3.1本办法所称工程分包活动，是指承包单位按照国家有关法律法规、本办法规定及承包合同约定，将其承包的部分非主体工程、非关键工作，发包给具有相应资格条件分包单位，以及对分包单位的HSSE、质量、进度等方面进行全面管理的一系列行为。</w:t>
      </w:r>
    </w:p>
    <w:p w14:paraId="68B6D7FE">
      <w:pPr>
        <w:adjustRightInd w:val="0"/>
        <w:snapToGrid w:val="0"/>
        <w:ind w:firstLine="480" w:firstLineChars="200"/>
        <w:rPr>
          <w:rFonts w:hAnsi="Calibri"/>
          <w:color w:val="auto"/>
          <w:highlight w:val="none"/>
        </w:rPr>
      </w:pPr>
      <w:r>
        <w:rPr>
          <w:rFonts w:hint="eastAsia" w:hAnsi="Calibri"/>
          <w:color w:val="auto"/>
          <w:highlight w:val="none"/>
        </w:rPr>
        <w:t>1.3.2本办法所称承包单位，也称承包商，是指参与建设项目的工程总承包、勘察、设计、施工、监理、检测等有关的法人或其他组织。按照承包、分包相对关系，承包单位可进一步分为承包人、分包发包单位、分包单位、再发包单位、再发包承包单位等单位。</w:t>
      </w:r>
    </w:p>
    <w:p w14:paraId="098BA389">
      <w:pPr>
        <w:adjustRightInd w:val="0"/>
        <w:snapToGrid w:val="0"/>
        <w:ind w:firstLine="480" w:firstLineChars="200"/>
        <w:rPr>
          <w:rFonts w:hAnsi="Calibri"/>
          <w:color w:val="auto"/>
          <w:highlight w:val="none"/>
        </w:rPr>
      </w:pPr>
      <w:r>
        <w:rPr>
          <w:rFonts w:hint="eastAsia" w:hAnsi="Calibri"/>
          <w:color w:val="auto"/>
          <w:highlight w:val="none"/>
        </w:rPr>
        <w:t>（1）所称承包人，是指与建设单位有合同关系的承包单位。（2）所称分包发包单位，是指存在分包行为的承包单位。（3）所称分包单位，是指承接分包发包单位发包工程的承包单位。（4）所称再发包单位，是指存在发包行为工程总承包单位，其发包行为称为再发包。所称再发包承包单位，是指承接工程总承包单位发包工程的承包单位。</w:t>
      </w:r>
    </w:p>
    <w:p w14:paraId="04ED50B2">
      <w:pPr>
        <w:adjustRightInd w:val="0"/>
        <w:snapToGrid w:val="0"/>
        <w:ind w:firstLine="480" w:firstLineChars="200"/>
        <w:rPr>
          <w:rFonts w:hAnsi="Calibri"/>
          <w:color w:val="auto"/>
          <w:highlight w:val="none"/>
        </w:rPr>
      </w:pPr>
      <w:r>
        <w:rPr>
          <w:rFonts w:hint="eastAsia" w:hAnsi="Calibri"/>
          <w:color w:val="auto"/>
          <w:highlight w:val="none"/>
        </w:rPr>
        <w:t>1.3.3本办法所称施工总承包单位、施工专业承包单位，均指直接承接建设单位或工程总承包单位发包工程的施工单位。所称施工专业分包单位，是指承接施工总承包单位分包专业工程的施工单位。</w:t>
      </w:r>
    </w:p>
    <w:p w14:paraId="504DBB66">
      <w:pPr>
        <w:adjustRightInd w:val="0"/>
        <w:snapToGrid w:val="0"/>
        <w:ind w:firstLine="480" w:firstLineChars="200"/>
        <w:rPr>
          <w:rFonts w:hAnsi="Calibri"/>
          <w:color w:val="auto"/>
          <w:highlight w:val="none"/>
        </w:rPr>
      </w:pPr>
      <w:r>
        <w:rPr>
          <w:rFonts w:hint="eastAsia" w:hAnsi="Calibri"/>
          <w:color w:val="auto"/>
          <w:highlight w:val="none"/>
        </w:rPr>
        <w:t>1.4管理原则</w:t>
      </w:r>
    </w:p>
    <w:p w14:paraId="26696C5E">
      <w:pPr>
        <w:adjustRightInd w:val="0"/>
        <w:snapToGrid w:val="0"/>
        <w:ind w:firstLine="480" w:firstLineChars="200"/>
        <w:rPr>
          <w:rFonts w:hAnsi="Calibri"/>
          <w:color w:val="auto"/>
          <w:highlight w:val="none"/>
        </w:rPr>
      </w:pPr>
      <w:r>
        <w:rPr>
          <w:rFonts w:hint="eastAsia" w:hAnsi="Calibri"/>
          <w:color w:val="auto"/>
          <w:highlight w:val="none"/>
        </w:rPr>
        <w:t>中国石化建设工程分包管理遵循“谁发包谁管理”“谁实施谁负责”，以及“依法合规、诚实守信”的原则。</w:t>
      </w:r>
    </w:p>
    <w:p w14:paraId="08303A79">
      <w:pPr>
        <w:adjustRightInd w:val="0"/>
        <w:snapToGrid w:val="0"/>
        <w:ind w:firstLine="480" w:firstLineChars="200"/>
        <w:rPr>
          <w:rFonts w:hAnsi="Calibri"/>
          <w:color w:val="auto"/>
          <w:highlight w:val="none"/>
        </w:rPr>
      </w:pPr>
      <w:r>
        <w:rPr>
          <w:rFonts w:hint="eastAsia" w:hAnsi="Calibri"/>
          <w:color w:val="auto"/>
          <w:highlight w:val="none"/>
        </w:rPr>
        <w:t>2管理机构与职责</w:t>
      </w:r>
    </w:p>
    <w:p w14:paraId="0DCF24BE">
      <w:pPr>
        <w:adjustRightInd w:val="0"/>
        <w:snapToGrid w:val="0"/>
        <w:ind w:firstLine="480" w:firstLineChars="200"/>
        <w:rPr>
          <w:rFonts w:hAnsi="Calibri"/>
          <w:color w:val="auto"/>
          <w:highlight w:val="none"/>
        </w:rPr>
      </w:pPr>
      <w:r>
        <w:rPr>
          <w:rFonts w:hint="eastAsia" w:hAnsi="Calibri"/>
          <w:color w:val="auto"/>
          <w:highlight w:val="none"/>
        </w:rPr>
        <w:t>2.1工程部</w:t>
      </w:r>
    </w:p>
    <w:p w14:paraId="70B44E39">
      <w:pPr>
        <w:adjustRightInd w:val="0"/>
        <w:snapToGrid w:val="0"/>
        <w:ind w:firstLine="480" w:firstLineChars="200"/>
        <w:rPr>
          <w:rFonts w:hAnsi="Calibri"/>
          <w:color w:val="auto"/>
          <w:highlight w:val="none"/>
        </w:rPr>
      </w:pPr>
      <w:r>
        <w:rPr>
          <w:rFonts w:hint="eastAsia" w:hAnsi="Calibri"/>
          <w:color w:val="auto"/>
          <w:highlight w:val="none"/>
        </w:rPr>
        <w:t>2.1.1负责贯彻执行国家有关法律法规，负责建设工程分包管理办法的拟定、修订并组织宣贯。</w:t>
      </w:r>
    </w:p>
    <w:p w14:paraId="14C0A730">
      <w:pPr>
        <w:adjustRightInd w:val="0"/>
        <w:snapToGrid w:val="0"/>
        <w:ind w:firstLine="480" w:firstLineChars="200"/>
        <w:rPr>
          <w:rFonts w:hAnsi="Calibri"/>
          <w:color w:val="auto"/>
          <w:highlight w:val="none"/>
        </w:rPr>
      </w:pPr>
      <w:r>
        <w:rPr>
          <w:rFonts w:hint="eastAsia" w:hAnsi="Calibri"/>
          <w:color w:val="auto"/>
          <w:highlight w:val="none"/>
        </w:rPr>
        <w:t>2.1.2负责统筹协调资源配置，规范中国石化工程建设市场秩序，对违法违规责任主体进行处理。</w:t>
      </w:r>
    </w:p>
    <w:p w14:paraId="261F6C62">
      <w:pPr>
        <w:adjustRightInd w:val="0"/>
        <w:snapToGrid w:val="0"/>
        <w:ind w:firstLine="480" w:firstLineChars="200"/>
        <w:rPr>
          <w:rFonts w:hAnsi="Calibri"/>
          <w:color w:val="auto"/>
          <w:highlight w:val="none"/>
        </w:rPr>
      </w:pPr>
      <w:r>
        <w:rPr>
          <w:rFonts w:hint="eastAsia" w:hAnsi="Calibri"/>
          <w:color w:val="auto"/>
          <w:highlight w:val="none"/>
        </w:rPr>
        <w:t>2.1.3负责组织落实承包商管理平台建设，监督、检查、考核承包商记分及量化考核工作，汇总和发布承包商考核结果。</w:t>
      </w:r>
    </w:p>
    <w:p w14:paraId="337E91EB">
      <w:pPr>
        <w:adjustRightInd w:val="0"/>
        <w:snapToGrid w:val="0"/>
        <w:ind w:firstLine="480" w:firstLineChars="200"/>
        <w:rPr>
          <w:rFonts w:hAnsi="Calibri"/>
          <w:color w:val="auto"/>
          <w:highlight w:val="none"/>
        </w:rPr>
      </w:pPr>
      <w:r>
        <w:rPr>
          <w:rFonts w:hint="eastAsia" w:hAnsi="Calibri"/>
          <w:color w:val="auto"/>
          <w:highlight w:val="none"/>
        </w:rPr>
        <w:t>2.1.4研究协调解决工程分包管理工作中出现的问题。</w:t>
      </w:r>
    </w:p>
    <w:p w14:paraId="4041B765">
      <w:pPr>
        <w:adjustRightInd w:val="0"/>
        <w:snapToGrid w:val="0"/>
        <w:ind w:firstLine="480" w:firstLineChars="200"/>
        <w:rPr>
          <w:rFonts w:hAnsi="Calibri"/>
          <w:color w:val="auto"/>
          <w:highlight w:val="none"/>
        </w:rPr>
      </w:pPr>
      <w:r>
        <w:rPr>
          <w:rFonts w:hint="eastAsia" w:hAnsi="Calibri"/>
          <w:color w:val="auto"/>
          <w:highlight w:val="none"/>
        </w:rPr>
        <w:t>2.2安全监管部</w:t>
      </w:r>
    </w:p>
    <w:p w14:paraId="5FB1A983">
      <w:pPr>
        <w:adjustRightInd w:val="0"/>
        <w:snapToGrid w:val="0"/>
        <w:ind w:firstLine="480" w:firstLineChars="200"/>
        <w:rPr>
          <w:rFonts w:hAnsi="Calibri"/>
          <w:color w:val="auto"/>
          <w:highlight w:val="none"/>
        </w:rPr>
      </w:pPr>
      <w:r>
        <w:rPr>
          <w:rFonts w:hint="eastAsia" w:hAnsi="Calibri"/>
          <w:color w:val="auto"/>
          <w:highlight w:val="none"/>
        </w:rPr>
        <w:t>2.2.1负责承包单位安全监督管理工作。</w:t>
      </w:r>
    </w:p>
    <w:p w14:paraId="286E2DC3">
      <w:pPr>
        <w:adjustRightInd w:val="0"/>
        <w:snapToGrid w:val="0"/>
        <w:ind w:firstLine="480" w:firstLineChars="200"/>
        <w:rPr>
          <w:rFonts w:hAnsi="Calibri"/>
          <w:color w:val="auto"/>
          <w:highlight w:val="none"/>
        </w:rPr>
      </w:pPr>
      <w:r>
        <w:rPr>
          <w:rFonts w:hint="eastAsia" w:hAnsi="Calibri"/>
          <w:color w:val="auto"/>
          <w:highlight w:val="none"/>
        </w:rPr>
        <w:t>2.2.2负责协调、指导建设单位安全监管部门开展建设项目承包单位记分及量化考核工作。</w:t>
      </w:r>
    </w:p>
    <w:p w14:paraId="4008D639">
      <w:pPr>
        <w:adjustRightInd w:val="0"/>
        <w:snapToGrid w:val="0"/>
        <w:ind w:firstLine="480" w:firstLineChars="200"/>
        <w:rPr>
          <w:rFonts w:hAnsi="Calibri"/>
          <w:color w:val="auto"/>
          <w:highlight w:val="none"/>
        </w:rPr>
      </w:pPr>
      <w:r>
        <w:rPr>
          <w:rFonts w:hint="eastAsia" w:hAnsi="Calibri"/>
          <w:color w:val="auto"/>
          <w:highlight w:val="none"/>
        </w:rPr>
        <w:t>2.3能源管理与环境保护部</w:t>
      </w:r>
    </w:p>
    <w:p w14:paraId="59946E33">
      <w:pPr>
        <w:adjustRightInd w:val="0"/>
        <w:snapToGrid w:val="0"/>
        <w:ind w:firstLine="480" w:firstLineChars="200"/>
        <w:rPr>
          <w:rFonts w:hAnsi="Calibri"/>
          <w:color w:val="auto"/>
          <w:highlight w:val="none"/>
        </w:rPr>
      </w:pPr>
      <w:r>
        <w:rPr>
          <w:rFonts w:hint="eastAsia" w:hAnsi="Calibri"/>
          <w:color w:val="auto"/>
          <w:highlight w:val="none"/>
        </w:rPr>
        <w:t>2.3.1负责建设项目环境保护管理工作的监督、指导。</w:t>
      </w:r>
    </w:p>
    <w:p w14:paraId="4EB9C845">
      <w:pPr>
        <w:adjustRightInd w:val="0"/>
        <w:snapToGrid w:val="0"/>
        <w:ind w:firstLine="480" w:firstLineChars="200"/>
        <w:rPr>
          <w:rFonts w:hAnsi="Calibri"/>
          <w:color w:val="auto"/>
          <w:highlight w:val="none"/>
        </w:rPr>
      </w:pPr>
      <w:r>
        <w:rPr>
          <w:rFonts w:hint="eastAsia" w:hAnsi="Calibri"/>
          <w:color w:val="auto"/>
          <w:highlight w:val="none"/>
        </w:rPr>
        <w:t>2.3.2负责协调、指导建设单位环境保护部门开展承包单位记分及量化考核工作。</w:t>
      </w:r>
    </w:p>
    <w:p w14:paraId="19507D42">
      <w:pPr>
        <w:adjustRightInd w:val="0"/>
        <w:snapToGrid w:val="0"/>
        <w:ind w:firstLine="480" w:firstLineChars="200"/>
        <w:rPr>
          <w:rFonts w:hAnsi="Calibri"/>
          <w:color w:val="auto"/>
          <w:highlight w:val="none"/>
        </w:rPr>
      </w:pPr>
      <w:r>
        <w:rPr>
          <w:rFonts w:hint="eastAsia" w:hAnsi="Calibri"/>
          <w:color w:val="auto"/>
          <w:highlight w:val="none"/>
        </w:rPr>
        <w:t>2.4事业部</w:t>
      </w:r>
    </w:p>
    <w:p w14:paraId="08EC272A">
      <w:pPr>
        <w:adjustRightInd w:val="0"/>
        <w:snapToGrid w:val="0"/>
        <w:ind w:firstLine="480" w:firstLineChars="200"/>
        <w:rPr>
          <w:rFonts w:hAnsi="Calibri"/>
          <w:color w:val="auto"/>
          <w:highlight w:val="none"/>
        </w:rPr>
      </w:pPr>
      <w:r>
        <w:rPr>
          <w:rFonts w:hint="eastAsia" w:hAnsi="Calibri"/>
          <w:color w:val="auto"/>
          <w:highlight w:val="none"/>
        </w:rPr>
        <w:t>2.4.1负责对其直接管理的建设单位的建设项目的工程分包活动进行监督检查。</w:t>
      </w:r>
    </w:p>
    <w:p w14:paraId="54E81A49">
      <w:pPr>
        <w:adjustRightInd w:val="0"/>
        <w:snapToGrid w:val="0"/>
        <w:ind w:firstLine="480" w:firstLineChars="200"/>
        <w:rPr>
          <w:rFonts w:hAnsi="Calibri"/>
          <w:color w:val="auto"/>
          <w:highlight w:val="none"/>
        </w:rPr>
      </w:pPr>
      <w:r>
        <w:rPr>
          <w:rFonts w:hint="eastAsia" w:hAnsi="Calibri"/>
          <w:color w:val="auto"/>
          <w:highlight w:val="none"/>
        </w:rPr>
        <w:t>2.4.2负责监督、指导其直接管理的建设单位开展承包单位记分及量化考核工作。</w:t>
      </w:r>
    </w:p>
    <w:p w14:paraId="72810FE4">
      <w:pPr>
        <w:adjustRightInd w:val="0"/>
        <w:snapToGrid w:val="0"/>
        <w:ind w:firstLine="480" w:firstLineChars="200"/>
        <w:rPr>
          <w:rFonts w:hAnsi="Calibri"/>
          <w:color w:val="auto"/>
          <w:highlight w:val="none"/>
        </w:rPr>
      </w:pPr>
      <w:r>
        <w:rPr>
          <w:rFonts w:hint="eastAsia" w:hAnsi="Calibri"/>
          <w:color w:val="auto"/>
          <w:highlight w:val="none"/>
        </w:rPr>
        <w:t>2.5建设单位</w:t>
      </w:r>
    </w:p>
    <w:p w14:paraId="0C2DF339">
      <w:pPr>
        <w:adjustRightInd w:val="0"/>
        <w:snapToGrid w:val="0"/>
        <w:ind w:firstLine="480" w:firstLineChars="200"/>
        <w:rPr>
          <w:rFonts w:hAnsi="Calibri"/>
          <w:color w:val="auto"/>
          <w:highlight w:val="none"/>
        </w:rPr>
      </w:pPr>
      <w:r>
        <w:rPr>
          <w:rFonts w:hint="eastAsia" w:hAnsi="Calibri"/>
          <w:color w:val="auto"/>
          <w:highlight w:val="none"/>
        </w:rPr>
        <w:t>2.5.1贯彻落实国家法律、法规和政策要求，严格执行本办法及中国石化其他相关制度。</w:t>
      </w:r>
    </w:p>
    <w:p w14:paraId="1C227F5E">
      <w:pPr>
        <w:adjustRightInd w:val="0"/>
        <w:snapToGrid w:val="0"/>
        <w:ind w:firstLine="480" w:firstLineChars="200"/>
        <w:rPr>
          <w:rFonts w:hAnsi="Calibri"/>
          <w:color w:val="auto"/>
          <w:highlight w:val="none"/>
        </w:rPr>
      </w:pPr>
      <w:r>
        <w:rPr>
          <w:rFonts w:hint="eastAsia" w:hAnsi="Calibri"/>
          <w:color w:val="auto"/>
          <w:highlight w:val="none"/>
        </w:rPr>
        <w:t>2.5.2制定工程分包风险管理措施，对分包工作实施全过程监管。督促承包人做好分包工程HSSE、质量、进度、现场人员实名制管理以及农民工工资专项管理等工作，对承包人的人员、设备机具、HSSE、质量、进度等要素实施全过程的管理和检查。</w:t>
      </w:r>
    </w:p>
    <w:p w14:paraId="2048B160">
      <w:pPr>
        <w:adjustRightInd w:val="0"/>
        <w:snapToGrid w:val="0"/>
        <w:ind w:firstLine="480" w:firstLineChars="200"/>
        <w:rPr>
          <w:rFonts w:hAnsi="Calibri"/>
          <w:color w:val="auto"/>
          <w:highlight w:val="none"/>
        </w:rPr>
      </w:pPr>
      <w:r>
        <w:rPr>
          <w:rFonts w:hint="eastAsia" w:hAnsi="Calibri"/>
          <w:color w:val="auto"/>
          <w:highlight w:val="none"/>
        </w:rPr>
        <w:t>2.5.3按合同约定及时向承包人支付合同款。对承包人的分包合同款（劳务费）支付、农民工工资支付以及安全生产费、脚手架费用使用情况进行监管。</w:t>
      </w:r>
    </w:p>
    <w:p w14:paraId="1A3FFD55">
      <w:pPr>
        <w:adjustRightInd w:val="0"/>
        <w:snapToGrid w:val="0"/>
        <w:ind w:firstLine="480" w:firstLineChars="200"/>
        <w:rPr>
          <w:rFonts w:hAnsi="Calibri"/>
          <w:color w:val="auto"/>
          <w:highlight w:val="none"/>
        </w:rPr>
      </w:pPr>
      <w:r>
        <w:rPr>
          <w:rFonts w:hint="eastAsia" w:hAnsi="Calibri"/>
          <w:color w:val="auto"/>
          <w:highlight w:val="none"/>
        </w:rPr>
        <w:t>2.5.4负责对承包单位及从业人员进行记分及量化考核。</w:t>
      </w:r>
    </w:p>
    <w:p w14:paraId="544A6E39">
      <w:pPr>
        <w:adjustRightInd w:val="0"/>
        <w:snapToGrid w:val="0"/>
        <w:ind w:firstLine="480" w:firstLineChars="200"/>
        <w:rPr>
          <w:rFonts w:hAnsi="Calibri"/>
          <w:color w:val="auto"/>
          <w:highlight w:val="none"/>
        </w:rPr>
      </w:pPr>
      <w:r>
        <w:rPr>
          <w:rFonts w:hint="eastAsia" w:hAnsi="Calibri"/>
          <w:color w:val="auto"/>
          <w:highlight w:val="none"/>
        </w:rPr>
        <w:t>2.5.5负责及时向工程部报告工程分包监督管理过程中发现的各类违法违规违纪行为，配合有关部门对违法违规工程分包进行调查处理。</w:t>
      </w:r>
    </w:p>
    <w:p w14:paraId="7FE14342">
      <w:pPr>
        <w:adjustRightInd w:val="0"/>
        <w:snapToGrid w:val="0"/>
        <w:ind w:firstLine="480" w:firstLineChars="200"/>
        <w:rPr>
          <w:rFonts w:hAnsi="Calibri"/>
          <w:color w:val="auto"/>
          <w:highlight w:val="none"/>
        </w:rPr>
      </w:pPr>
      <w:r>
        <w:rPr>
          <w:rFonts w:hint="eastAsia" w:hAnsi="Calibri"/>
          <w:color w:val="auto"/>
          <w:highlight w:val="none"/>
        </w:rPr>
        <w:t>2.6工程分包发包单位、再发包单位</w:t>
      </w:r>
    </w:p>
    <w:p w14:paraId="36F5D3C6">
      <w:pPr>
        <w:adjustRightInd w:val="0"/>
        <w:snapToGrid w:val="0"/>
        <w:ind w:firstLine="480" w:firstLineChars="200"/>
        <w:rPr>
          <w:rFonts w:hAnsi="Calibri"/>
          <w:color w:val="auto"/>
          <w:highlight w:val="none"/>
        </w:rPr>
      </w:pPr>
      <w:r>
        <w:rPr>
          <w:rFonts w:hint="eastAsia" w:hAnsi="Calibri"/>
          <w:color w:val="auto"/>
          <w:highlight w:val="none"/>
        </w:rPr>
        <w:t>2.6.1依据国家法律法规、中国石化相关制度和合同约定，负责实施其合同范围内工程分包发包和对分包单位的管理工作，并接受建设单位的检查和监督。</w:t>
      </w:r>
    </w:p>
    <w:p w14:paraId="2DFF2CA6">
      <w:pPr>
        <w:adjustRightInd w:val="0"/>
        <w:snapToGrid w:val="0"/>
        <w:ind w:firstLine="480" w:firstLineChars="200"/>
        <w:rPr>
          <w:rFonts w:hAnsi="Calibri"/>
          <w:color w:val="auto"/>
          <w:highlight w:val="none"/>
        </w:rPr>
      </w:pPr>
      <w:r>
        <w:rPr>
          <w:rFonts w:hint="eastAsia" w:hAnsi="Calibri"/>
          <w:color w:val="auto"/>
          <w:highlight w:val="none"/>
        </w:rPr>
        <w:t>2.6.2及时与其分包单位签订合同，切实履行合同。负责按合同约定及时向分包单位足额支付工程款，并对分包单位的农民工工资支付以及安全生产费、脚手架费用的使用情况进行监督和检查</w:t>
      </w:r>
    </w:p>
    <w:p w14:paraId="7FAEF053">
      <w:pPr>
        <w:adjustRightInd w:val="0"/>
        <w:snapToGrid w:val="0"/>
        <w:ind w:firstLine="480" w:firstLineChars="200"/>
        <w:rPr>
          <w:rFonts w:hAnsi="Calibri"/>
          <w:color w:val="auto"/>
          <w:highlight w:val="none"/>
        </w:rPr>
      </w:pPr>
      <w:r>
        <w:rPr>
          <w:rFonts w:hint="eastAsia" w:hAnsi="Calibri"/>
          <w:color w:val="auto"/>
          <w:highlight w:val="none"/>
        </w:rPr>
        <w:t>2.6.3制定工程分包工程风险管理措施，负责对分包单位现场人员实名制管理进行监督，对分包单位人员、设备机具、HSSE、质量、进度等要素实施全过程的管理和检查，不得以包代管。</w:t>
      </w:r>
    </w:p>
    <w:p w14:paraId="497E32F6">
      <w:pPr>
        <w:adjustRightInd w:val="0"/>
        <w:snapToGrid w:val="0"/>
        <w:ind w:firstLine="480" w:firstLineChars="200"/>
        <w:rPr>
          <w:rFonts w:hAnsi="Calibri"/>
          <w:color w:val="auto"/>
          <w:highlight w:val="none"/>
        </w:rPr>
      </w:pPr>
      <w:r>
        <w:rPr>
          <w:rFonts w:hint="eastAsia" w:hAnsi="Calibri"/>
          <w:color w:val="auto"/>
          <w:highlight w:val="none"/>
        </w:rPr>
        <w:t>2.6.4负责对分包单位及从业人员进行记分及量化考核。</w:t>
      </w:r>
    </w:p>
    <w:p w14:paraId="260394DE">
      <w:pPr>
        <w:adjustRightInd w:val="0"/>
        <w:snapToGrid w:val="0"/>
        <w:ind w:firstLine="480" w:firstLineChars="200"/>
        <w:rPr>
          <w:rFonts w:hAnsi="Calibri"/>
          <w:color w:val="auto"/>
          <w:highlight w:val="none"/>
        </w:rPr>
      </w:pPr>
      <w:r>
        <w:rPr>
          <w:rFonts w:hint="eastAsia" w:hAnsi="Calibri"/>
          <w:color w:val="auto"/>
          <w:highlight w:val="none"/>
        </w:rPr>
        <w:t>2.6.5负责对分包单位物资采购活动实施进行管理和检查，确保符合中国石化物资采购管理有关规定。</w:t>
      </w:r>
    </w:p>
    <w:p w14:paraId="13F3609F">
      <w:pPr>
        <w:adjustRightInd w:val="0"/>
        <w:snapToGrid w:val="0"/>
        <w:ind w:firstLine="480" w:firstLineChars="200"/>
        <w:rPr>
          <w:rFonts w:hAnsi="Calibri"/>
          <w:color w:val="auto"/>
          <w:highlight w:val="none"/>
        </w:rPr>
      </w:pPr>
      <w:r>
        <w:rPr>
          <w:rFonts w:hint="eastAsia" w:hAnsi="Calibri"/>
          <w:color w:val="auto"/>
          <w:highlight w:val="none"/>
        </w:rPr>
        <w:t>2.6.6协助有关部门对违法违规工程分包进行调查处理。</w:t>
      </w:r>
    </w:p>
    <w:p w14:paraId="31E30966">
      <w:pPr>
        <w:adjustRightInd w:val="0"/>
        <w:snapToGrid w:val="0"/>
        <w:ind w:firstLine="480" w:firstLineChars="200"/>
        <w:rPr>
          <w:rFonts w:hAnsi="Calibri"/>
          <w:color w:val="auto"/>
          <w:highlight w:val="none"/>
        </w:rPr>
      </w:pPr>
      <w:r>
        <w:rPr>
          <w:rFonts w:hint="eastAsia" w:hAnsi="Calibri"/>
          <w:color w:val="auto"/>
          <w:highlight w:val="none"/>
        </w:rPr>
        <w:t>2.7分包单位、再发包承包单位</w:t>
      </w:r>
    </w:p>
    <w:p w14:paraId="1898F6C7">
      <w:pPr>
        <w:adjustRightInd w:val="0"/>
        <w:snapToGrid w:val="0"/>
        <w:ind w:firstLine="480" w:firstLineChars="200"/>
        <w:rPr>
          <w:rFonts w:hAnsi="Calibri"/>
          <w:color w:val="auto"/>
          <w:highlight w:val="none"/>
        </w:rPr>
      </w:pPr>
      <w:r>
        <w:rPr>
          <w:rFonts w:hint="eastAsia" w:hAnsi="Calibri"/>
          <w:color w:val="auto"/>
          <w:highlight w:val="none"/>
        </w:rPr>
        <w:t>2.7.1按照国家法律法规、中国石化相关制度和合同约定，承担工程分包工作。</w:t>
      </w:r>
    </w:p>
    <w:p w14:paraId="0EA9D44F">
      <w:pPr>
        <w:adjustRightInd w:val="0"/>
        <w:snapToGrid w:val="0"/>
        <w:ind w:firstLine="480" w:firstLineChars="200"/>
        <w:rPr>
          <w:rFonts w:hAnsi="Calibri"/>
          <w:color w:val="auto"/>
          <w:highlight w:val="none"/>
        </w:rPr>
      </w:pPr>
      <w:r>
        <w:rPr>
          <w:rFonts w:hint="eastAsia" w:hAnsi="Calibri"/>
          <w:color w:val="auto"/>
          <w:highlight w:val="none"/>
        </w:rPr>
        <w:t>2.7.2负责及时与其工程分包发包单位签订合同，切实履行合同，对其现场人员实行实名制管理，及时支付农民工工资，就分包工作的HSSE、质量、进度、文明施工等对工程分包发包单位和建设单位负责。</w:t>
      </w:r>
    </w:p>
    <w:p w14:paraId="6EC0B4A0">
      <w:pPr>
        <w:adjustRightInd w:val="0"/>
        <w:snapToGrid w:val="0"/>
        <w:ind w:firstLine="480" w:firstLineChars="200"/>
        <w:rPr>
          <w:rFonts w:hAnsi="Calibri"/>
          <w:color w:val="auto"/>
          <w:highlight w:val="none"/>
        </w:rPr>
      </w:pPr>
      <w:r>
        <w:rPr>
          <w:rFonts w:hint="eastAsia" w:hAnsi="Calibri"/>
          <w:color w:val="auto"/>
          <w:highlight w:val="none"/>
        </w:rPr>
        <w:t>2.7.3接受各相关主体对其进行的记分及量化考核管理。</w:t>
      </w:r>
    </w:p>
    <w:p w14:paraId="549E8073">
      <w:pPr>
        <w:adjustRightInd w:val="0"/>
        <w:snapToGrid w:val="0"/>
        <w:ind w:firstLine="480" w:firstLineChars="200"/>
        <w:rPr>
          <w:rFonts w:hAnsi="Calibri"/>
          <w:color w:val="auto"/>
          <w:highlight w:val="none"/>
        </w:rPr>
      </w:pPr>
      <w:r>
        <w:rPr>
          <w:rFonts w:hint="eastAsia" w:hAnsi="Calibri"/>
          <w:color w:val="auto"/>
          <w:highlight w:val="none"/>
        </w:rPr>
        <w:t>2.7.4协助有关部门对违法违规工程分包进行调查处理。</w:t>
      </w:r>
    </w:p>
    <w:p w14:paraId="6DFE5B4D">
      <w:pPr>
        <w:adjustRightInd w:val="0"/>
        <w:snapToGrid w:val="0"/>
        <w:ind w:firstLine="480" w:firstLineChars="200"/>
        <w:rPr>
          <w:rFonts w:hAnsi="Calibri"/>
          <w:color w:val="auto"/>
          <w:highlight w:val="none"/>
        </w:rPr>
      </w:pPr>
      <w:r>
        <w:rPr>
          <w:rFonts w:hint="eastAsia" w:hAnsi="Calibri"/>
          <w:color w:val="auto"/>
          <w:highlight w:val="none"/>
        </w:rPr>
        <w:t>3管理要求</w:t>
      </w:r>
    </w:p>
    <w:p w14:paraId="5FB00223">
      <w:pPr>
        <w:adjustRightInd w:val="0"/>
        <w:snapToGrid w:val="0"/>
        <w:ind w:firstLine="480" w:firstLineChars="200"/>
        <w:rPr>
          <w:rFonts w:hAnsi="Calibri"/>
          <w:color w:val="auto"/>
          <w:highlight w:val="none"/>
        </w:rPr>
      </w:pPr>
      <w:r>
        <w:rPr>
          <w:rFonts w:hint="eastAsia" w:hAnsi="Calibri"/>
          <w:color w:val="auto"/>
          <w:highlight w:val="none"/>
        </w:rPr>
        <w:t>3.1工程分包发包管理要求</w:t>
      </w:r>
    </w:p>
    <w:p w14:paraId="33D90293">
      <w:pPr>
        <w:adjustRightInd w:val="0"/>
        <w:snapToGrid w:val="0"/>
        <w:ind w:firstLine="480" w:firstLineChars="200"/>
        <w:rPr>
          <w:rFonts w:hAnsi="Calibri"/>
          <w:color w:val="auto"/>
          <w:highlight w:val="none"/>
        </w:rPr>
      </w:pPr>
      <w:r>
        <w:rPr>
          <w:rFonts w:hint="eastAsia" w:hAnsi="Calibri"/>
          <w:color w:val="auto"/>
          <w:highlight w:val="none"/>
        </w:rPr>
        <w:t>3.1.1一般规定</w:t>
      </w:r>
    </w:p>
    <w:p w14:paraId="3A36EE2F">
      <w:pPr>
        <w:adjustRightInd w:val="0"/>
        <w:snapToGrid w:val="0"/>
        <w:ind w:firstLine="480" w:firstLineChars="200"/>
        <w:rPr>
          <w:rFonts w:hAnsi="Calibri"/>
          <w:color w:val="auto"/>
          <w:highlight w:val="none"/>
        </w:rPr>
      </w:pPr>
      <w:r>
        <w:rPr>
          <w:rFonts w:hint="eastAsia" w:hAnsi="Calibri"/>
          <w:color w:val="auto"/>
          <w:highlight w:val="none"/>
        </w:rPr>
        <w:t>（1）建设单位、分包发包单位、再发包单位应当规范工程分包方案、分包结果和分包合同审批、备案工作程序，依法依规进行分包管理。</w:t>
      </w:r>
    </w:p>
    <w:p w14:paraId="3BCF5C1E">
      <w:pPr>
        <w:adjustRightInd w:val="0"/>
        <w:snapToGrid w:val="0"/>
        <w:ind w:firstLine="480" w:firstLineChars="200"/>
        <w:rPr>
          <w:rFonts w:hAnsi="Calibri"/>
          <w:color w:val="auto"/>
          <w:highlight w:val="none"/>
        </w:rPr>
      </w:pPr>
      <w:r>
        <w:rPr>
          <w:rFonts w:hint="eastAsia" w:hAnsi="Calibri"/>
          <w:color w:val="auto"/>
          <w:highlight w:val="none"/>
        </w:rPr>
        <w:t>（2）参与建设项目建设活动的承包单位、分包单位应当是中国石化建设工程市场诚信体系合格成员。</w:t>
      </w:r>
    </w:p>
    <w:p w14:paraId="6A8D42CA">
      <w:pPr>
        <w:adjustRightInd w:val="0"/>
        <w:snapToGrid w:val="0"/>
        <w:ind w:firstLine="480" w:firstLineChars="200"/>
        <w:rPr>
          <w:rFonts w:hAnsi="Calibri"/>
          <w:color w:val="auto"/>
          <w:highlight w:val="none"/>
        </w:rPr>
      </w:pPr>
      <w:r>
        <w:rPr>
          <w:rFonts w:hint="eastAsia" w:hAnsi="Calibri"/>
          <w:color w:val="auto"/>
          <w:highlight w:val="none"/>
        </w:rPr>
        <w:t>（3）承包单位分包发包活动的监督管理与组织实施，应当在中国石化建设工程招标投标管理信息系统（以下简称为招投标信息系统）中进行。其中工程总承包单位再发包活动应当在招投标信息系统履行全流程工程采购程序，其他分包活动可以以备案方式进行。</w:t>
      </w:r>
    </w:p>
    <w:p w14:paraId="0042FE34">
      <w:pPr>
        <w:adjustRightInd w:val="0"/>
        <w:snapToGrid w:val="0"/>
        <w:ind w:firstLine="480" w:firstLineChars="200"/>
        <w:rPr>
          <w:rFonts w:hAnsi="Calibri"/>
          <w:color w:val="auto"/>
          <w:highlight w:val="none"/>
        </w:rPr>
      </w:pPr>
      <w:r>
        <w:rPr>
          <w:rFonts w:hint="eastAsia" w:hAnsi="Calibri"/>
          <w:color w:val="auto"/>
          <w:highlight w:val="none"/>
        </w:rPr>
        <w:t>（4）承包人按照合同约定或者经建设单位同意，可以将承包项目的部分非主体工程、非关键工作分包给具备相应资质条件的单位完成。</w:t>
      </w:r>
    </w:p>
    <w:p w14:paraId="29B7D9A8">
      <w:pPr>
        <w:adjustRightInd w:val="0"/>
        <w:snapToGrid w:val="0"/>
        <w:ind w:firstLine="480" w:firstLineChars="200"/>
        <w:rPr>
          <w:rFonts w:hAnsi="Calibri"/>
          <w:color w:val="auto"/>
          <w:highlight w:val="none"/>
        </w:rPr>
      </w:pPr>
      <w:r>
        <w:rPr>
          <w:rFonts w:hint="eastAsia" w:hAnsi="Calibri"/>
          <w:color w:val="auto"/>
          <w:highlight w:val="none"/>
        </w:rPr>
        <w:t>（5）建设单位、分包发包单位、再发包单位应当依据国家法律法规和本办法规定，在招标文件、采购文件及合同中明确主体工程、关键工作和分包、再发包要求。</w:t>
      </w:r>
    </w:p>
    <w:p w14:paraId="0450582A">
      <w:pPr>
        <w:adjustRightInd w:val="0"/>
        <w:snapToGrid w:val="0"/>
        <w:ind w:firstLine="480" w:firstLineChars="200"/>
        <w:rPr>
          <w:rFonts w:hAnsi="Calibri"/>
          <w:color w:val="auto"/>
          <w:highlight w:val="none"/>
        </w:rPr>
      </w:pPr>
      <w:r>
        <w:rPr>
          <w:rFonts w:hint="eastAsia" w:hAnsi="Calibri"/>
          <w:color w:val="auto"/>
          <w:highlight w:val="none"/>
        </w:rPr>
        <w:t>（6）承包人按照承包合同约定对建设单位负责；分包单位按照分包合同的约定对分包发包单位负责；分包发包单位与分包单位就分包工程对建设单位承担连带责任。</w:t>
      </w:r>
    </w:p>
    <w:p w14:paraId="00171F38">
      <w:pPr>
        <w:adjustRightInd w:val="0"/>
        <w:snapToGrid w:val="0"/>
        <w:ind w:firstLine="480" w:firstLineChars="200"/>
        <w:rPr>
          <w:rFonts w:hAnsi="Calibri"/>
          <w:color w:val="auto"/>
          <w:highlight w:val="none"/>
        </w:rPr>
      </w:pPr>
      <w:r>
        <w:rPr>
          <w:rFonts w:hint="eastAsia" w:hAnsi="Calibri"/>
          <w:color w:val="auto"/>
          <w:highlight w:val="none"/>
        </w:rPr>
        <w:t>（7）建设单位依据《中国石化建设工程招标投标管理规定》终止招标程序转为非招标程序选定承包人，并且未在合同中约定分包单位的，该承包人进行工程分包发包时，分包项目属于必须进行招标的范围且达到规定规模标准，应当进行招标并且可以采取邀请招标方式确定分包单位。</w:t>
      </w:r>
    </w:p>
    <w:p w14:paraId="553B78FA">
      <w:pPr>
        <w:adjustRightInd w:val="0"/>
        <w:snapToGrid w:val="0"/>
        <w:ind w:firstLine="480" w:firstLineChars="200"/>
        <w:rPr>
          <w:rFonts w:hAnsi="Calibri"/>
          <w:color w:val="auto"/>
          <w:highlight w:val="none"/>
        </w:rPr>
      </w:pPr>
      <w:r>
        <w:rPr>
          <w:rFonts w:hint="eastAsia" w:hAnsi="Calibri"/>
          <w:color w:val="auto"/>
          <w:highlight w:val="none"/>
        </w:rPr>
        <w:t>3.1.2工程总承包再发包</w:t>
      </w:r>
    </w:p>
    <w:p w14:paraId="666B50C0">
      <w:pPr>
        <w:adjustRightInd w:val="0"/>
        <w:snapToGrid w:val="0"/>
        <w:ind w:firstLine="480" w:firstLineChars="200"/>
        <w:rPr>
          <w:rFonts w:hAnsi="Calibri"/>
          <w:color w:val="auto"/>
          <w:highlight w:val="none"/>
        </w:rPr>
      </w:pPr>
      <w:r>
        <w:rPr>
          <w:rFonts w:hint="eastAsia" w:hAnsi="Calibri"/>
          <w:color w:val="auto"/>
          <w:highlight w:val="none"/>
        </w:rPr>
        <w:t>（1）工程总承包单位具备相应的设计和施工资质的，可以自行实施工程的设计和施工业务，也可以将工程的全部设计或者全部施工工作再发包给具备相应资质条件的设计单位或者施工承包单位。</w:t>
      </w:r>
    </w:p>
    <w:p w14:paraId="0B0D9C7E">
      <w:pPr>
        <w:adjustRightInd w:val="0"/>
        <w:snapToGrid w:val="0"/>
        <w:ind w:firstLine="480" w:firstLineChars="200"/>
        <w:rPr>
          <w:rFonts w:hAnsi="Calibri"/>
          <w:color w:val="auto"/>
          <w:highlight w:val="none"/>
        </w:rPr>
      </w:pPr>
      <w:r>
        <w:rPr>
          <w:rFonts w:hint="eastAsia" w:hAnsi="Calibri"/>
          <w:color w:val="auto"/>
          <w:highlight w:val="none"/>
        </w:rPr>
        <w:t>（2）工程总承包单位仅具备相应的设计或者施工资质的，应当自行实施其资质承揽范围内的设计或者施工业务，并将其资质承揽范围外的全部施工或者全部设计业务再发包给具备相应资质条件的施工单位或者设计单位。</w:t>
      </w:r>
    </w:p>
    <w:p w14:paraId="6FF483FD">
      <w:pPr>
        <w:adjustRightInd w:val="0"/>
        <w:snapToGrid w:val="0"/>
        <w:ind w:firstLine="480" w:firstLineChars="200"/>
        <w:rPr>
          <w:rFonts w:hAnsi="Calibri"/>
          <w:color w:val="auto"/>
          <w:highlight w:val="none"/>
        </w:rPr>
      </w:pPr>
      <w:r>
        <w:rPr>
          <w:rFonts w:hint="eastAsia" w:hAnsi="Calibri"/>
          <w:color w:val="auto"/>
          <w:highlight w:val="none"/>
        </w:rPr>
        <w:t>（3）工程总承包单位可以将工程的全部勘察业务再发包给具备相应资质条件的勘察单位。</w:t>
      </w:r>
    </w:p>
    <w:p w14:paraId="23A04C70">
      <w:pPr>
        <w:adjustRightInd w:val="0"/>
        <w:snapToGrid w:val="0"/>
        <w:ind w:firstLine="480" w:firstLineChars="200"/>
        <w:rPr>
          <w:rFonts w:hAnsi="Calibri"/>
          <w:color w:val="auto"/>
          <w:highlight w:val="none"/>
        </w:rPr>
      </w:pPr>
      <w:r>
        <w:rPr>
          <w:rFonts w:hint="eastAsia" w:hAnsi="Calibri"/>
          <w:color w:val="auto"/>
          <w:highlight w:val="none"/>
        </w:rPr>
        <w:t>（4）工程总承包单位不得将工程总承包项目进行转包，不得将工程总承包项目中设计和施工全部业务一并或者分别再发包给其他单位。</w:t>
      </w:r>
    </w:p>
    <w:p w14:paraId="2ABA8805">
      <w:pPr>
        <w:adjustRightInd w:val="0"/>
        <w:snapToGrid w:val="0"/>
        <w:ind w:firstLine="480" w:firstLineChars="200"/>
        <w:rPr>
          <w:rFonts w:hAnsi="Calibri"/>
          <w:color w:val="auto"/>
          <w:highlight w:val="none"/>
        </w:rPr>
      </w:pPr>
      <w:r>
        <w:rPr>
          <w:rFonts w:hint="eastAsia" w:hAnsi="Calibri"/>
          <w:color w:val="auto"/>
          <w:highlight w:val="none"/>
        </w:rPr>
        <w:t>（5）除优先执行针对性条款外，再发包活动也应当执行本办法中对工程分包的有关规定。再发包承包单位的分包活动按照本力寸去执行。</w:t>
      </w:r>
    </w:p>
    <w:p w14:paraId="20163D7C">
      <w:pPr>
        <w:adjustRightInd w:val="0"/>
        <w:snapToGrid w:val="0"/>
        <w:ind w:firstLine="480" w:firstLineChars="200"/>
        <w:rPr>
          <w:rFonts w:hAnsi="Calibri"/>
          <w:color w:val="auto"/>
          <w:highlight w:val="none"/>
        </w:rPr>
      </w:pPr>
      <w:r>
        <w:rPr>
          <w:rFonts w:hint="eastAsia" w:hAnsi="Calibri"/>
          <w:color w:val="auto"/>
          <w:highlight w:val="none"/>
        </w:rPr>
        <w:t>3.1.3勘察、设计分包</w:t>
      </w:r>
    </w:p>
    <w:p w14:paraId="0F93AED3">
      <w:pPr>
        <w:adjustRightInd w:val="0"/>
        <w:snapToGrid w:val="0"/>
        <w:ind w:firstLine="480" w:firstLineChars="200"/>
        <w:rPr>
          <w:rFonts w:hAnsi="Calibri"/>
          <w:color w:val="auto"/>
          <w:highlight w:val="none"/>
        </w:rPr>
      </w:pPr>
      <w:r>
        <w:rPr>
          <w:rFonts w:hint="eastAsia" w:hAnsi="Calibri"/>
          <w:color w:val="auto"/>
          <w:highlight w:val="none"/>
        </w:rPr>
        <w:t>（1）工程设计中的关键工作是指工艺生产装置、热电中心、火炬系统、灶类罐区等设施的设计工作；不涉及以上工作内容的建设项目，工程设计关键工作以合同约定为准。</w:t>
      </w:r>
    </w:p>
    <w:p w14:paraId="672FA4E9">
      <w:pPr>
        <w:adjustRightInd w:val="0"/>
        <w:snapToGrid w:val="0"/>
        <w:ind w:firstLine="480" w:firstLineChars="200"/>
        <w:rPr>
          <w:rFonts w:hAnsi="Calibri"/>
          <w:color w:val="auto"/>
          <w:highlight w:val="none"/>
        </w:rPr>
      </w:pPr>
      <w:r>
        <w:rPr>
          <w:rFonts w:hint="eastAsia" w:hAnsi="Calibri"/>
          <w:color w:val="auto"/>
          <w:highlight w:val="none"/>
        </w:rPr>
        <w:t>（2）勘察设计承包单位可以将工程的全部勘察工作分包给具备相应资质条件的勘察单位。</w:t>
      </w:r>
    </w:p>
    <w:p w14:paraId="5B1C72B6">
      <w:pPr>
        <w:adjustRightInd w:val="0"/>
        <w:snapToGrid w:val="0"/>
        <w:ind w:firstLine="480" w:firstLineChars="200"/>
        <w:rPr>
          <w:rFonts w:hAnsi="Calibri"/>
          <w:color w:val="auto"/>
          <w:highlight w:val="none"/>
        </w:rPr>
      </w:pPr>
      <w:r>
        <w:rPr>
          <w:rFonts w:hint="eastAsia" w:hAnsi="Calibri"/>
          <w:color w:val="auto"/>
          <w:highlight w:val="none"/>
        </w:rPr>
        <w:t>（3）设计分包单位的设计成果文件应采用其设计图签。</w:t>
      </w:r>
    </w:p>
    <w:p w14:paraId="2C1E17A3">
      <w:pPr>
        <w:adjustRightInd w:val="0"/>
        <w:snapToGrid w:val="0"/>
        <w:ind w:firstLine="480" w:firstLineChars="200"/>
        <w:rPr>
          <w:rFonts w:hAnsi="Calibri"/>
          <w:color w:val="auto"/>
          <w:highlight w:val="none"/>
        </w:rPr>
      </w:pPr>
      <w:r>
        <w:rPr>
          <w:rFonts w:hint="eastAsia" w:hAnsi="Calibri"/>
          <w:color w:val="auto"/>
          <w:highlight w:val="none"/>
        </w:rPr>
        <w:t>（4）设计单位应对其设计分包单位的设计过程进行监督管理，并对设计成果关键内容进行审核。设计单位项目各级审核人员应当按照本企业规定的设计文件审核内容对设计分包单位的设计文件进行审核，审核范围包括但不限于设计方案、应力计算、设备选型、材料选择、桩位图、大型构（框）架设计、机组土建设计、关键计算数据等。</w:t>
      </w:r>
    </w:p>
    <w:p w14:paraId="74A12C66">
      <w:pPr>
        <w:adjustRightInd w:val="0"/>
        <w:snapToGrid w:val="0"/>
        <w:ind w:firstLine="480" w:firstLineChars="200"/>
        <w:rPr>
          <w:rFonts w:hAnsi="Calibri"/>
          <w:color w:val="auto"/>
          <w:highlight w:val="none"/>
        </w:rPr>
      </w:pPr>
      <w:r>
        <w:rPr>
          <w:rFonts w:hint="eastAsia" w:hAnsi="Calibri"/>
          <w:color w:val="auto"/>
          <w:highlight w:val="none"/>
        </w:rPr>
        <w:t>3.1.4施工分包</w:t>
      </w:r>
    </w:p>
    <w:p w14:paraId="64FB6FDE">
      <w:pPr>
        <w:adjustRightInd w:val="0"/>
        <w:snapToGrid w:val="0"/>
        <w:ind w:firstLine="480" w:firstLineChars="200"/>
        <w:rPr>
          <w:rFonts w:hAnsi="Calibri"/>
          <w:color w:val="auto"/>
          <w:highlight w:val="none"/>
        </w:rPr>
      </w:pPr>
      <w:r>
        <w:rPr>
          <w:rFonts w:hint="eastAsia" w:hAnsi="Calibri"/>
          <w:color w:val="auto"/>
          <w:highlight w:val="none"/>
        </w:rPr>
        <w:t>（1）工程施工中的主体工程、关键工作包括：功率500KW及以上或吨位80吨及以上的大型机组安装；单件吊装重量100吨及以上的大型吊装工作；石油化工生产装置的DCS调试工作（不含组态工作）；III类压力容器、GC2级管道的焊接工作。不涉及以上工作内容的建设项目，主体工程和关键工作以合同约定为准。</w:t>
      </w:r>
    </w:p>
    <w:p w14:paraId="7A947246">
      <w:pPr>
        <w:adjustRightInd w:val="0"/>
        <w:snapToGrid w:val="0"/>
        <w:ind w:firstLine="480" w:firstLineChars="200"/>
        <w:rPr>
          <w:rFonts w:hAnsi="Calibri"/>
          <w:color w:val="auto"/>
          <w:highlight w:val="none"/>
        </w:rPr>
      </w:pPr>
      <w:r>
        <w:rPr>
          <w:rFonts w:hint="eastAsia" w:hAnsi="Calibri"/>
          <w:color w:val="auto"/>
          <w:highlight w:val="none"/>
        </w:rPr>
        <w:t>（2）施工总承包单位可以按照国家法律法规、本办法及合同约定，将其承包的部分非主体工程、非关键工作，进行专业工程分包。施工专业分包单位不得将其承包的工程再进行专业工程分包。</w:t>
      </w:r>
    </w:p>
    <w:p w14:paraId="47C54939">
      <w:pPr>
        <w:adjustRightInd w:val="0"/>
        <w:snapToGrid w:val="0"/>
        <w:ind w:firstLine="480" w:firstLineChars="200"/>
        <w:rPr>
          <w:rFonts w:hAnsi="Calibri"/>
          <w:color w:val="auto"/>
          <w:highlight w:val="none"/>
        </w:rPr>
      </w:pPr>
      <w:r>
        <w:rPr>
          <w:rFonts w:hint="eastAsia" w:hAnsi="Calibri"/>
          <w:color w:val="auto"/>
          <w:highlight w:val="none"/>
        </w:rPr>
        <w:t>（3）施工承包单位可以将劳务作业进行劳务分包（专业作业分包）。</w:t>
      </w:r>
    </w:p>
    <w:p w14:paraId="255F91DD">
      <w:pPr>
        <w:adjustRightInd w:val="0"/>
        <w:snapToGrid w:val="0"/>
        <w:ind w:firstLine="480" w:firstLineChars="200"/>
        <w:rPr>
          <w:rFonts w:hAnsi="Calibri"/>
          <w:color w:val="auto"/>
          <w:highlight w:val="none"/>
        </w:rPr>
      </w:pPr>
      <w:r>
        <w:rPr>
          <w:rFonts w:hint="eastAsia" w:hAnsi="Calibri"/>
          <w:color w:val="auto"/>
          <w:highlight w:val="none"/>
        </w:rPr>
        <w:t>（4）施工单位可通过自有劳务人员或劳务分包、劳务派遣等多种方式完成劳务作业。</w:t>
      </w:r>
    </w:p>
    <w:p w14:paraId="301DC2D9">
      <w:pPr>
        <w:adjustRightInd w:val="0"/>
        <w:snapToGrid w:val="0"/>
        <w:ind w:firstLine="480" w:firstLineChars="200"/>
        <w:rPr>
          <w:rFonts w:hAnsi="Calibri"/>
          <w:color w:val="auto"/>
          <w:highlight w:val="none"/>
        </w:rPr>
      </w:pPr>
      <w:r>
        <w:rPr>
          <w:rFonts w:hint="eastAsia" w:hAnsi="Calibri"/>
          <w:color w:val="auto"/>
          <w:highlight w:val="none"/>
        </w:rPr>
        <w:t>（5）进行劳务分包时，施工现场管理机构应当由施工分包发包单位组建，技术文件由施工分包发包单位负责编制，构成实体工程的主要材料、主要周转材料、大中型施工机械设备、安全劳动保护用品等均应由施工分包发包单位负责提供。</w:t>
      </w:r>
    </w:p>
    <w:p w14:paraId="251DAA0D">
      <w:pPr>
        <w:adjustRightInd w:val="0"/>
        <w:snapToGrid w:val="0"/>
        <w:ind w:firstLine="480" w:firstLineChars="200"/>
        <w:rPr>
          <w:rFonts w:hAnsi="Calibri"/>
          <w:color w:val="auto"/>
          <w:highlight w:val="none"/>
        </w:rPr>
      </w:pPr>
      <w:r>
        <w:rPr>
          <w:rFonts w:hint="eastAsia" w:hAnsi="Calibri"/>
          <w:color w:val="auto"/>
          <w:highlight w:val="none"/>
        </w:rPr>
        <w:t>（6）劳务分包合同的内容应当至少包括约定劳务分包发包单</w:t>
      </w:r>
    </w:p>
    <w:p w14:paraId="6E37DEE8">
      <w:pPr>
        <w:adjustRightInd w:val="0"/>
        <w:snapToGrid w:val="0"/>
        <w:ind w:firstLine="480" w:firstLineChars="200"/>
        <w:rPr>
          <w:rFonts w:hAnsi="Calibri"/>
          <w:color w:val="auto"/>
          <w:highlight w:val="none"/>
        </w:rPr>
      </w:pPr>
      <w:r>
        <w:rPr>
          <w:rFonts w:hint="eastAsia" w:hAnsi="Calibri"/>
          <w:color w:val="auto"/>
          <w:highlight w:val="none"/>
        </w:rPr>
        <w:t>位的主要材料、施工机械设备供应方式，劳务单位提供的技术工人的工种、数量以及报酬和相关费用的计取方式。</w:t>
      </w:r>
    </w:p>
    <w:p w14:paraId="35947DB2">
      <w:pPr>
        <w:adjustRightInd w:val="0"/>
        <w:snapToGrid w:val="0"/>
        <w:ind w:firstLine="480" w:firstLineChars="200"/>
        <w:rPr>
          <w:rFonts w:hAnsi="Calibri"/>
          <w:color w:val="auto"/>
          <w:highlight w:val="none"/>
        </w:rPr>
      </w:pPr>
      <w:r>
        <w:rPr>
          <w:rFonts w:hint="eastAsia" w:hAnsi="Calibri"/>
          <w:color w:val="auto"/>
          <w:highlight w:val="none"/>
        </w:rPr>
        <w:t>（7）劳务作业人员在施工劳务作业（专业作业）分包发包单位的管理下开展作业工作。</w:t>
      </w:r>
    </w:p>
    <w:p w14:paraId="57F40152">
      <w:pPr>
        <w:adjustRightInd w:val="0"/>
        <w:snapToGrid w:val="0"/>
        <w:ind w:firstLine="480" w:firstLineChars="200"/>
        <w:rPr>
          <w:rFonts w:hAnsi="Calibri"/>
          <w:color w:val="auto"/>
          <w:highlight w:val="none"/>
        </w:rPr>
      </w:pPr>
      <w:r>
        <w:rPr>
          <w:rFonts w:hint="eastAsia" w:hAnsi="Calibri"/>
          <w:color w:val="auto"/>
          <w:highlight w:val="none"/>
        </w:rPr>
        <w:t>3.1.5监理不得进行分包。</w:t>
      </w:r>
    </w:p>
    <w:p w14:paraId="355C6CCF">
      <w:pPr>
        <w:adjustRightInd w:val="0"/>
        <w:snapToGrid w:val="0"/>
        <w:ind w:firstLine="480" w:firstLineChars="200"/>
        <w:rPr>
          <w:rFonts w:hAnsi="Calibri"/>
          <w:color w:val="auto"/>
          <w:highlight w:val="none"/>
        </w:rPr>
      </w:pPr>
      <w:r>
        <w:rPr>
          <w:rFonts w:hint="eastAsia" w:hAnsi="Calibri"/>
          <w:color w:val="auto"/>
          <w:highlight w:val="none"/>
        </w:rPr>
        <w:t>3.2工程分包现场管理要求</w:t>
      </w:r>
    </w:p>
    <w:p w14:paraId="59332D7C">
      <w:pPr>
        <w:adjustRightInd w:val="0"/>
        <w:snapToGrid w:val="0"/>
        <w:ind w:firstLine="480" w:firstLineChars="200"/>
        <w:rPr>
          <w:rFonts w:hAnsi="Calibri"/>
          <w:color w:val="auto"/>
          <w:highlight w:val="none"/>
        </w:rPr>
      </w:pPr>
      <w:r>
        <w:rPr>
          <w:rFonts w:hint="eastAsia" w:hAnsi="Calibri"/>
          <w:color w:val="auto"/>
          <w:highlight w:val="none"/>
        </w:rPr>
        <w:t>3.2.1分包单位进场核查</w:t>
      </w:r>
    </w:p>
    <w:p w14:paraId="698E6604">
      <w:pPr>
        <w:adjustRightInd w:val="0"/>
        <w:snapToGrid w:val="0"/>
        <w:ind w:firstLine="480" w:firstLineChars="200"/>
        <w:rPr>
          <w:rFonts w:hAnsi="Calibri"/>
          <w:color w:val="auto"/>
          <w:highlight w:val="none"/>
        </w:rPr>
      </w:pPr>
      <w:r>
        <w:rPr>
          <w:rFonts w:hint="eastAsia" w:hAnsi="Calibri"/>
          <w:color w:val="auto"/>
          <w:highlight w:val="none"/>
        </w:rPr>
        <w:t>（1）分包单位现场的组织机构和管理体系应当与分包工程的规模和其分包发包单位的管理要求相一致。</w:t>
      </w:r>
    </w:p>
    <w:p w14:paraId="61817309">
      <w:pPr>
        <w:adjustRightInd w:val="0"/>
        <w:snapToGrid w:val="0"/>
        <w:ind w:firstLine="480" w:firstLineChars="200"/>
        <w:rPr>
          <w:rFonts w:hAnsi="Calibri"/>
          <w:color w:val="auto"/>
          <w:highlight w:val="none"/>
        </w:rPr>
      </w:pPr>
      <w:r>
        <w:rPr>
          <w:rFonts w:hint="eastAsia" w:hAnsi="Calibri"/>
          <w:color w:val="auto"/>
          <w:highlight w:val="none"/>
        </w:rPr>
        <w:t>（2）现场分包工程开工前，工程分包发包单位应当将其分包单位现场项目组织机构和管理人员名单（包括简历）及其资质证书复印件，逐级报送建设单位（监理单位）核查。</w:t>
      </w:r>
    </w:p>
    <w:p w14:paraId="74ADE20B">
      <w:pPr>
        <w:adjustRightInd w:val="0"/>
        <w:snapToGrid w:val="0"/>
        <w:ind w:firstLine="480" w:firstLineChars="200"/>
        <w:rPr>
          <w:rFonts w:hAnsi="Calibri"/>
          <w:color w:val="auto"/>
          <w:highlight w:val="none"/>
        </w:rPr>
      </w:pPr>
      <w:r>
        <w:rPr>
          <w:rFonts w:hint="eastAsia" w:hAnsi="Calibri"/>
          <w:color w:val="auto"/>
          <w:highlight w:val="none"/>
        </w:rPr>
        <w:t>（3）分包单位通过建设单位（监理单位）的合法性核查后，方可办理相关入场手续。</w:t>
      </w:r>
    </w:p>
    <w:p w14:paraId="13C504B3">
      <w:pPr>
        <w:adjustRightInd w:val="0"/>
        <w:snapToGrid w:val="0"/>
        <w:ind w:firstLine="480" w:firstLineChars="200"/>
        <w:rPr>
          <w:rFonts w:hAnsi="Calibri"/>
          <w:color w:val="auto"/>
          <w:highlight w:val="none"/>
        </w:rPr>
      </w:pPr>
      <w:r>
        <w:rPr>
          <w:rFonts w:hint="eastAsia" w:hAnsi="Calibri"/>
          <w:color w:val="auto"/>
          <w:highlight w:val="none"/>
        </w:rPr>
        <w:t>3.2.2分包单位人员与设备机具管理</w:t>
      </w:r>
    </w:p>
    <w:p w14:paraId="6F8CD7FA">
      <w:pPr>
        <w:adjustRightInd w:val="0"/>
        <w:snapToGrid w:val="0"/>
        <w:ind w:firstLine="480" w:firstLineChars="200"/>
        <w:rPr>
          <w:rFonts w:hAnsi="Calibri"/>
          <w:color w:val="auto"/>
          <w:highlight w:val="none"/>
        </w:rPr>
      </w:pPr>
      <w:r>
        <w:rPr>
          <w:rFonts w:hint="eastAsia" w:hAnsi="Calibri"/>
          <w:color w:val="auto"/>
          <w:highlight w:val="none"/>
        </w:rPr>
        <w:t>（1）工程分包发包单位对分包单位的人员、设备机具应当建立管理制度，确保其人员、设备机具符合项目要求。</w:t>
      </w:r>
    </w:p>
    <w:p w14:paraId="1B91F828">
      <w:pPr>
        <w:adjustRightInd w:val="0"/>
        <w:snapToGrid w:val="0"/>
        <w:ind w:firstLine="480" w:firstLineChars="200"/>
        <w:rPr>
          <w:rFonts w:hAnsi="Calibri"/>
          <w:color w:val="auto"/>
          <w:highlight w:val="none"/>
        </w:rPr>
      </w:pPr>
      <w:r>
        <w:rPr>
          <w:rFonts w:hint="eastAsia" w:hAnsi="Calibri"/>
          <w:color w:val="auto"/>
          <w:highlight w:val="none"/>
        </w:rPr>
        <w:t>（2）建设单位应对分包单位项目负责人、项目HSSE管理人员、质量管理人员及现场技术负责人进行HSSE培训，对参加项目的所有人员进行入厂（场）前的HSSE教育。分包发包单位应当对分包单位参加项目的所有员工进行HSSE培训，培训和考试记录由工程分包发包单位逐级报送建设单位备查。</w:t>
      </w:r>
    </w:p>
    <w:p w14:paraId="613F7919">
      <w:pPr>
        <w:adjustRightInd w:val="0"/>
        <w:snapToGrid w:val="0"/>
        <w:ind w:firstLine="480" w:firstLineChars="200"/>
        <w:rPr>
          <w:rFonts w:hAnsi="Calibri"/>
          <w:color w:val="auto"/>
          <w:highlight w:val="none"/>
        </w:rPr>
      </w:pPr>
      <w:r>
        <w:rPr>
          <w:rFonts w:hint="eastAsia" w:hAnsi="Calibri"/>
          <w:color w:val="auto"/>
          <w:highlight w:val="none"/>
        </w:rPr>
        <w:t>（3）分包单位特种作业人员职业资格证经工程分包发包单位逐级报送建设单位（监理单位）审核。</w:t>
      </w:r>
    </w:p>
    <w:p w14:paraId="7E0AAED7">
      <w:pPr>
        <w:adjustRightInd w:val="0"/>
        <w:snapToGrid w:val="0"/>
        <w:ind w:firstLine="480" w:firstLineChars="200"/>
        <w:rPr>
          <w:rFonts w:hAnsi="Calibri"/>
          <w:color w:val="auto"/>
          <w:highlight w:val="none"/>
        </w:rPr>
      </w:pPr>
      <w:r>
        <w:rPr>
          <w:rFonts w:hint="eastAsia" w:hAnsi="Calibri"/>
          <w:color w:val="auto"/>
          <w:highlight w:val="none"/>
        </w:rPr>
        <w:t>（4）分包单位从事设备、管道焊接的特种作业人员，除了审核其职业资格证书外，还应当按《中国石化建设项目焊工入场考试管理办法》相关规定通过焊工入场考试后才能上岗作业。</w:t>
      </w:r>
    </w:p>
    <w:p w14:paraId="74E9A33F">
      <w:pPr>
        <w:adjustRightInd w:val="0"/>
        <w:snapToGrid w:val="0"/>
        <w:ind w:firstLine="480" w:firstLineChars="200"/>
        <w:rPr>
          <w:rFonts w:hAnsi="Calibri"/>
          <w:color w:val="auto"/>
          <w:highlight w:val="none"/>
        </w:rPr>
      </w:pPr>
      <w:r>
        <w:rPr>
          <w:rFonts w:hint="eastAsia" w:hAnsi="Calibri"/>
          <w:color w:val="auto"/>
          <w:highlight w:val="none"/>
        </w:rPr>
        <w:t>（5）分包单位实施用火、进入受限空间、高处作业等特殊作业，作业许可申请人、签发人、接收人、监护人资格，执行中国石化相关制度和合同约定。</w:t>
      </w:r>
    </w:p>
    <w:p w14:paraId="69C45122">
      <w:pPr>
        <w:adjustRightInd w:val="0"/>
        <w:snapToGrid w:val="0"/>
        <w:ind w:firstLine="480" w:firstLineChars="200"/>
        <w:rPr>
          <w:rFonts w:hAnsi="Calibri"/>
          <w:color w:val="auto"/>
          <w:highlight w:val="none"/>
        </w:rPr>
      </w:pPr>
      <w:r>
        <w:rPr>
          <w:rFonts w:hint="eastAsia" w:hAnsi="Calibri"/>
          <w:color w:val="auto"/>
          <w:highlight w:val="none"/>
        </w:rPr>
        <w:t>（6）分包单位项目负责人、技术负责人、质量负责人、施工负责人、安全负责人等关键岗位管理人员离开施工现场或更换的，应当征得工程分包发包单位及监理单位的同意，并报建设单位备案。离开施工现场前应当按合同约定指定具备相应履职能力的人员临时代行其职责。</w:t>
      </w:r>
    </w:p>
    <w:p w14:paraId="3AA6A8A5">
      <w:pPr>
        <w:adjustRightInd w:val="0"/>
        <w:snapToGrid w:val="0"/>
        <w:ind w:firstLine="480" w:firstLineChars="200"/>
        <w:rPr>
          <w:rFonts w:hAnsi="Calibri"/>
          <w:color w:val="auto"/>
          <w:highlight w:val="none"/>
        </w:rPr>
      </w:pPr>
      <w:r>
        <w:rPr>
          <w:rFonts w:hint="eastAsia" w:hAnsi="Calibri"/>
          <w:color w:val="auto"/>
          <w:highlight w:val="none"/>
        </w:rPr>
        <w:t>（7）分包单位的设备、机具在进场前，应当通过工程分包发包单位的检查，并逐级报送建设单位（监理单位）报验，报验通过后方可进场作业。</w:t>
      </w:r>
    </w:p>
    <w:p w14:paraId="36B84729">
      <w:pPr>
        <w:adjustRightInd w:val="0"/>
        <w:snapToGrid w:val="0"/>
        <w:ind w:firstLine="480" w:firstLineChars="200"/>
        <w:rPr>
          <w:rFonts w:hAnsi="Calibri"/>
          <w:color w:val="auto"/>
          <w:highlight w:val="none"/>
        </w:rPr>
      </w:pPr>
      <w:r>
        <w:rPr>
          <w:rFonts w:hint="eastAsia" w:hAnsi="Calibri"/>
          <w:color w:val="auto"/>
          <w:highlight w:val="none"/>
        </w:rPr>
        <w:t>（8）分包单位应当对现场人员实行实名制管理，制定本单位人员现场实名制管理制度，配备专（兼）职现场实名制管理人员，对其现场人员实名制管理负直接责任，配合工程分包发包单位做好相关工作。</w:t>
      </w:r>
    </w:p>
    <w:p w14:paraId="092D504E">
      <w:pPr>
        <w:adjustRightInd w:val="0"/>
        <w:snapToGrid w:val="0"/>
        <w:ind w:firstLine="480" w:firstLineChars="200"/>
        <w:rPr>
          <w:rFonts w:hAnsi="Calibri"/>
          <w:color w:val="auto"/>
          <w:highlight w:val="none"/>
        </w:rPr>
      </w:pPr>
      <w:r>
        <w:rPr>
          <w:rFonts w:hint="eastAsia" w:hAnsi="Calibri"/>
          <w:color w:val="auto"/>
          <w:highlight w:val="none"/>
        </w:rPr>
        <w:t>3.2.3分包单位施工技术管理</w:t>
      </w:r>
    </w:p>
    <w:p w14:paraId="451F170A">
      <w:pPr>
        <w:adjustRightInd w:val="0"/>
        <w:snapToGrid w:val="0"/>
        <w:ind w:firstLine="480" w:firstLineChars="200"/>
        <w:rPr>
          <w:rFonts w:hAnsi="Calibri"/>
          <w:color w:val="auto"/>
          <w:highlight w:val="none"/>
        </w:rPr>
      </w:pPr>
      <w:r>
        <w:rPr>
          <w:rFonts w:hint="eastAsia" w:hAnsi="Calibri"/>
          <w:color w:val="auto"/>
          <w:highlight w:val="none"/>
        </w:rPr>
        <w:t>（1）工程分包发包单位应当将分包单位施工技术管理工作纳入本单位的管理体系。</w:t>
      </w:r>
    </w:p>
    <w:p w14:paraId="6DBD656D">
      <w:pPr>
        <w:adjustRightInd w:val="0"/>
        <w:snapToGrid w:val="0"/>
        <w:ind w:firstLine="480" w:firstLineChars="200"/>
        <w:rPr>
          <w:rFonts w:hAnsi="Calibri"/>
          <w:color w:val="auto"/>
          <w:highlight w:val="none"/>
        </w:rPr>
      </w:pPr>
      <w:r>
        <w:rPr>
          <w:rFonts w:hint="eastAsia" w:hAnsi="Calibri"/>
          <w:color w:val="auto"/>
          <w:highlight w:val="none"/>
        </w:rPr>
        <w:t>（2）分包单位应建立施工技术方案专项管理制度，明确方案编制类别、管理程序、编制要点、修订验证管理等要求。</w:t>
      </w:r>
    </w:p>
    <w:p w14:paraId="22FA3E07">
      <w:pPr>
        <w:adjustRightInd w:val="0"/>
        <w:snapToGrid w:val="0"/>
        <w:ind w:firstLine="480" w:firstLineChars="200"/>
        <w:rPr>
          <w:rFonts w:hAnsi="Calibri"/>
          <w:color w:val="auto"/>
          <w:highlight w:val="none"/>
        </w:rPr>
      </w:pPr>
      <w:r>
        <w:rPr>
          <w:rFonts w:hint="eastAsia" w:hAnsi="Calibri"/>
          <w:color w:val="auto"/>
          <w:highlight w:val="none"/>
        </w:rPr>
        <w:t>（3）分包单位的施工组织设计、施工技术方案等施工技术文件，应当满足合同约定要求。当合同未约定时，应当满足国家有关技术规范的要求。</w:t>
      </w:r>
    </w:p>
    <w:p w14:paraId="76D6D82E">
      <w:pPr>
        <w:adjustRightInd w:val="0"/>
        <w:snapToGrid w:val="0"/>
        <w:ind w:firstLine="480" w:firstLineChars="200"/>
        <w:rPr>
          <w:rFonts w:hAnsi="Calibri"/>
          <w:color w:val="auto"/>
          <w:highlight w:val="none"/>
        </w:rPr>
      </w:pPr>
      <w:r>
        <w:rPr>
          <w:rFonts w:hint="eastAsia" w:hAnsi="Calibri"/>
          <w:color w:val="auto"/>
          <w:highlight w:val="none"/>
        </w:rPr>
        <w:t>（4）分包单位的施工技术文件在完成其内部的编审流程后，应当由工程分包发包单位审核（签字盖章），并向监理单位报审，经过监理单位审核后方可实施。施工组织设计（方案）需要调整时，应当按原审批流程重新组织审查。实施工程总承包的，应当依次报施工总承包单位、工程总承包单位审核（签字盖章），并以工程总承包单位的名义向监理单位报审。</w:t>
      </w:r>
    </w:p>
    <w:p w14:paraId="556AC29A">
      <w:pPr>
        <w:adjustRightInd w:val="0"/>
        <w:snapToGrid w:val="0"/>
        <w:ind w:firstLine="480" w:firstLineChars="200"/>
        <w:rPr>
          <w:rFonts w:hAnsi="Calibri"/>
          <w:color w:val="auto"/>
          <w:highlight w:val="none"/>
        </w:rPr>
      </w:pPr>
      <w:r>
        <w:rPr>
          <w:rFonts w:hint="eastAsia" w:hAnsi="Calibri"/>
          <w:color w:val="auto"/>
          <w:highlight w:val="none"/>
        </w:rPr>
        <w:t>（5）危险性较大的分部分项工程（简称危大工程）实行分包并由分包单位编制专项施工方案的，专项施工方案应当由工程分包发包单位和工程总承包单位（如有）的技术负责人，会同分包单位技术负责人共同审核签字并加盖单位公章。</w:t>
      </w:r>
    </w:p>
    <w:p w14:paraId="202B3EE0">
      <w:pPr>
        <w:adjustRightInd w:val="0"/>
        <w:snapToGrid w:val="0"/>
        <w:ind w:firstLine="480" w:firstLineChars="200"/>
        <w:rPr>
          <w:rFonts w:hAnsi="Calibri"/>
          <w:color w:val="auto"/>
          <w:highlight w:val="none"/>
        </w:rPr>
      </w:pPr>
      <w:r>
        <w:rPr>
          <w:rFonts w:hint="eastAsia" w:hAnsi="Calibri"/>
          <w:color w:val="auto"/>
          <w:highlight w:val="none"/>
        </w:rPr>
        <w:t>3.2.4分包单位HSSE管理</w:t>
      </w:r>
    </w:p>
    <w:p w14:paraId="42AE98B0">
      <w:pPr>
        <w:adjustRightInd w:val="0"/>
        <w:snapToGrid w:val="0"/>
        <w:ind w:firstLine="480" w:firstLineChars="200"/>
        <w:rPr>
          <w:rFonts w:hAnsi="Calibri"/>
          <w:color w:val="auto"/>
          <w:highlight w:val="none"/>
        </w:rPr>
      </w:pPr>
      <w:r>
        <w:rPr>
          <w:rFonts w:hint="eastAsia" w:hAnsi="Calibri"/>
          <w:color w:val="auto"/>
          <w:highlight w:val="none"/>
        </w:rPr>
        <w:t>（1）工程分包发包单位应当将分包单位的HSSE管理工作纳入本单位管理体系，认真履行HSSE管理职责。</w:t>
      </w:r>
    </w:p>
    <w:p w14:paraId="7C995A9A">
      <w:pPr>
        <w:adjustRightInd w:val="0"/>
        <w:snapToGrid w:val="0"/>
        <w:ind w:firstLine="480" w:firstLineChars="200"/>
        <w:rPr>
          <w:rFonts w:hAnsi="Calibri"/>
          <w:color w:val="auto"/>
          <w:highlight w:val="none"/>
        </w:rPr>
      </w:pPr>
      <w:r>
        <w:rPr>
          <w:rFonts w:hint="eastAsia" w:hAnsi="Calibri"/>
          <w:color w:val="auto"/>
          <w:highlight w:val="none"/>
        </w:rPr>
        <w:t>（2）分包单位应建立健全HSSE管理体系，现场专职HSSE</w:t>
      </w:r>
    </w:p>
    <w:p w14:paraId="7B58AB14">
      <w:pPr>
        <w:adjustRightInd w:val="0"/>
        <w:snapToGrid w:val="0"/>
        <w:ind w:firstLine="480" w:firstLineChars="200"/>
        <w:rPr>
          <w:rFonts w:hAnsi="Calibri"/>
          <w:color w:val="auto"/>
          <w:highlight w:val="none"/>
        </w:rPr>
      </w:pPr>
      <w:r>
        <w:rPr>
          <w:rFonts w:hint="eastAsia" w:hAnsi="Calibri"/>
          <w:color w:val="auto"/>
          <w:highlight w:val="none"/>
        </w:rPr>
        <w:t>监督管理人员按中国石化HSSE相关管理规定足额配备。</w:t>
      </w:r>
    </w:p>
    <w:p w14:paraId="451CDFF2">
      <w:pPr>
        <w:adjustRightInd w:val="0"/>
        <w:snapToGrid w:val="0"/>
        <w:ind w:firstLine="480" w:firstLineChars="200"/>
        <w:rPr>
          <w:rFonts w:hAnsi="Calibri"/>
          <w:color w:val="auto"/>
          <w:highlight w:val="none"/>
        </w:rPr>
      </w:pPr>
      <w:r>
        <w:rPr>
          <w:rFonts w:hint="eastAsia" w:hAnsi="Calibri"/>
          <w:color w:val="auto"/>
          <w:highlight w:val="none"/>
        </w:rPr>
        <w:t>（3）分包单位负责落实施工期间环保方案及措施。</w:t>
      </w:r>
    </w:p>
    <w:p w14:paraId="4E550CB8">
      <w:pPr>
        <w:adjustRightInd w:val="0"/>
        <w:snapToGrid w:val="0"/>
        <w:ind w:firstLine="480" w:firstLineChars="200"/>
        <w:rPr>
          <w:rFonts w:hAnsi="Calibri"/>
          <w:color w:val="auto"/>
          <w:highlight w:val="none"/>
        </w:rPr>
      </w:pPr>
      <w:r>
        <w:rPr>
          <w:rFonts w:hint="eastAsia" w:hAnsi="Calibri"/>
          <w:color w:val="auto"/>
          <w:highlight w:val="none"/>
        </w:rPr>
        <w:t>（4）建设单位、监理单位及分包发包单位按照中国石化相关制度和合同约定对分包工程HSSE进行管理。</w:t>
      </w:r>
    </w:p>
    <w:p w14:paraId="266A3BFB">
      <w:pPr>
        <w:adjustRightInd w:val="0"/>
        <w:snapToGrid w:val="0"/>
        <w:ind w:firstLine="480" w:firstLineChars="200"/>
        <w:rPr>
          <w:rFonts w:hAnsi="Calibri"/>
          <w:color w:val="auto"/>
          <w:highlight w:val="none"/>
        </w:rPr>
      </w:pPr>
      <w:r>
        <w:rPr>
          <w:rFonts w:hint="eastAsia" w:hAnsi="Calibri"/>
          <w:color w:val="auto"/>
          <w:highlight w:val="none"/>
        </w:rPr>
        <w:t>3.2.5分包单位质量管理</w:t>
      </w:r>
    </w:p>
    <w:p w14:paraId="2B380508">
      <w:pPr>
        <w:adjustRightInd w:val="0"/>
        <w:snapToGrid w:val="0"/>
        <w:ind w:firstLine="480" w:firstLineChars="200"/>
        <w:rPr>
          <w:rFonts w:hAnsi="Calibri"/>
          <w:color w:val="auto"/>
          <w:highlight w:val="none"/>
        </w:rPr>
      </w:pPr>
      <w:r>
        <w:rPr>
          <w:rFonts w:hint="eastAsia" w:hAnsi="Calibri"/>
          <w:color w:val="auto"/>
          <w:highlight w:val="none"/>
        </w:rPr>
        <w:t>（1）工程分包发包单位应当将分包单位的质量管理工作纳入本单位管理体系，认真履行管理职责。</w:t>
      </w:r>
    </w:p>
    <w:p w14:paraId="535A0B7B">
      <w:pPr>
        <w:adjustRightInd w:val="0"/>
        <w:snapToGrid w:val="0"/>
        <w:ind w:firstLine="480" w:firstLineChars="200"/>
        <w:rPr>
          <w:rFonts w:hAnsi="Calibri"/>
          <w:color w:val="auto"/>
          <w:highlight w:val="none"/>
        </w:rPr>
      </w:pPr>
      <w:r>
        <w:rPr>
          <w:rFonts w:hint="eastAsia" w:hAnsi="Calibri"/>
          <w:color w:val="auto"/>
          <w:highlight w:val="none"/>
        </w:rPr>
        <w:t>（2）分包单位应建立健全质量管理体系，专职质量检查人员按中国石化工程质量管理规定足额配备。</w:t>
      </w:r>
    </w:p>
    <w:p w14:paraId="29D6A99F">
      <w:pPr>
        <w:adjustRightInd w:val="0"/>
        <w:snapToGrid w:val="0"/>
        <w:ind w:firstLine="480" w:firstLineChars="200"/>
        <w:rPr>
          <w:rFonts w:hAnsi="Calibri"/>
          <w:color w:val="auto"/>
          <w:highlight w:val="none"/>
        </w:rPr>
      </w:pPr>
      <w:r>
        <w:rPr>
          <w:rFonts w:hint="eastAsia" w:hAnsi="Calibri"/>
          <w:color w:val="auto"/>
          <w:highlight w:val="none"/>
        </w:rPr>
        <w:t>（3）建设单位、监理单位及分包发包单位按照中国石化制度和合同约定对分包工程质量进行管理。</w:t>
      </w:r>
    </w:p>
    <w:p w14:paraId="711E94F4">
      <w:pPr>
        <w:adjustRightInd w:val="0"/>
        <w:snapToGrid w:val="0"/>
        <w:ind w:firstLine="480" w:firstLineChars="200"/>
        <w:rPr>
          <w:rFonts w:hAnsi="Calibri"/>
          <w:color w:val="auto"/>
          <w:highlight w:val="none"/>
        </w:rPr>
      </w:pPr>
      <w:r>
        <w:rPr>
          <w:rFonts w:hint="eastAsia" w:hAnsi="Calibri"/>
          <w:color w:val="auto"/>
          <w:highlight w:val="none"/>
        </w:rPr>
        <w:t>3.2.6分包单位进度管理</w:t>
      </w:r>
    </w:p>
    <w:p w14:paraId="348752D3">
      <w:pPr>
        <w:adjustRightInd w:val="0"/>
        <w:snapToGrid w:val="0"/>
        <w:ind w:firstLine="480" w:firstLineChars="200"/>
        <w:rPr>
          <w:rFonts w:hAnsi="Calibri"/>
          <w:color w:val="auto"/>
          <w:highlight w:val="none"/>
        </w:rPr>
      </w:pPr>
      <w:r>
        <w:rPr>
          <w:rFonts w:hint="eastAsia" w:hAnsi="Calibri"/>
          <w:color w:val="auto"/>
          <w:highlight w:val="none"/>
        </w:rPr>
        <w:t>（1）开工前，分包单位应就其承担的工程内容，制定满足工程总体进度要求的工程进度计划，报工程分包发包单位批准，批准后的进度计划，应逐级报送建设单位（监理单位）备案。</w:t>
      </w:r>
    </w:p>
    <w:p w14:paraId="7638CA7E">
      <w:pPr>
        <w:adjustRightInd w:val="0"/>
        <w:snapToGrid w:val="0"/>
        <w:ind w:firstLine="480" w:firstLineChars="200"/>
        <w:rPr>
          <w:rFonts w:hAnsi="Calibri"/>
          <w:color w:val="auto"/>
          <w:highlight w:val="none"/>
        </w:rPr>
      </w:pPr>
      <w:r>
        <w:rPr>
          <w:rFonts w:hint="eastAsia" w:hAnsi="Calibri"/>
          <w:color w:val="auto"/>
          <w:highlight w:val="none"/>
        </w:rPr>
        <w:t>（2）分包单位应编制与工程进度计划相对应的人力、机具、资金等计划，经工程分包发包单位批准后随工程进度计划一并逐级报送建设单位（监理单位）备案。分包单位要确保相应的各种资源落实到位。</w:t>
      </w:r>
    </w:p>
    <w:p w14:paraId="3D12DDAC">
      <w:pPr>
        <w:adjustRightInd w:val="0"/>
        <w:snapToGrid w:val="0"/>
        <w:ind w:firstLine="480" w:firstLineChars="200"/>
        <w:rPr>
          <w:rFonts w:hAnsi="Calibri"/>
          <w:color w:val="auto"/>
          <w:highlight w:val="none"/>
        </w:rPr>
      </w:pPr>
      <w:r>
        <w:rPr>
          <w:rFonts w:hint="eastAsia" w:hAnsi="Calibri"/>
          <w:color w:val="auto"/>
          <w:highlight w:val="none"/>
        </w:rPr>
        <w:t>（3）工程分包发包单位应建立分包单位人力资源及机具配置计划实施动态管理机制，对分包单位现场实施进展及人力机具安排进行动态监控，并按周、月逐级报送建设单位（监理单位）备案</w:t>
      </w:r>
    </w:p>
    <w:p w14:paraId="30C7F510">
      <w:pPr>
        <w:adjustRightInd w:val="0"/>
        <w:snapToGrid w:val="0"/>
        <w:ind w:firstLine="480" w:firstLineChars="200"/>
        <w:rPr>
          <w:rFonts w:hAnsi="Calibri"/>
          <w:color w:val="auto"/>
          <w:highlight w:val="none"/>
        </w:rPr>
      </w:pPr>
      <w:r>
        <w:rPr>
          <w:rFonts w:hint="eastAsia" w:hAnsi="Calibri"/>
          <w:color w:val="auto"/>
          <w:highlight w:val="none"/>
        </w:rPr>
        <w:t>（4）建设单位应督促和指导承包人建立进度检、测分级预警和纠偏机制，并定期开展进度检测活动。检测发现的进度偏差，应及时组织承包单位、分包单位采取纠偏措施，并对纠偏措施的落实情况进行检查和评估。</w:t>
      </w:r>
    </w:p>
    <w:p w14:paraId="1F266EBF">
      <w:pPr>
        <w:adjustRightInd w:val="0"/>
        <w:snapToGrid w:val="0"/>
        <w:ind w:firstLine="480" w:firstLineChars="200"/>
        <w:rPr>
          <w:rFonts w:hAnsi="Calibri"/>
          <w:color w:val="auto"/>
          <w:highlight w:val="none"/>
        </w:rPr>
      </w:pPr>
      <w:r>
        <w:rPr>
          <w:rFonts w:hint="eastAsia" w:hAnsi="Calibri"/>
          <w:color w:val="auto"/>
          <w:highlight w:val="none"/>
        </w:rPr>
        <w:t>（5）工程分包发包单位应将分包单位的进度纳入到本单位的进度控制计划进行实时监控，并协助分包单位对偏差进行分析，制定纠偏措施，并将相关情况定期逐级报送建设单位（监理单位）备案</w:t>
      </w:r>
    </w:p>
    <w:p w14:paraId="09EE61B3">
      <w:pPr>
        <w:adjustRightInd w:val="0"/>
        <w:snapToGrid w:val="0"/>
        <w:ind w:firstLine="480" w:firstLineChars="200"/>
        <w:rPr>
          <w:rFonts w:hAnsi="Calibri"/>
          <w:color w:val="auto"/>
          <w:highlight w:val="none"/>
        </w:rPr>
      </w:pPr>
      <w:r>
        <w:rPr>
          <w:rFonts w:hint="eastAsia" w:hAnsi="Calibri"/>
          <w:color w:val="auto"/>
          <w:highlight w:val="none"/>
        </w:rPr>
        <w:t>（6）当分包单位纠偏不力，将影响项目里程碑计划完成的，工程分包发包单位应采取措施，直接投入资源，确保进度目标的实现。</w:t>
      </w:r>
    </w:p>
    <w:p w14:paraId="1FFE7628">
      <w:pPr>
        <w:adjustRightInd w:val="0"/>
        <w:snapToGrid w:val="0"/>
        <w:ind w:firstLine="480" w:firstLineChars="200"/>
        <w:rPr>
          <w:rFonts w:hAnsi="Calibri"/>
          <w:color w:val="auto"/>
          <w:highlight w:val="none"/>
        </w:rPr>
      </w:pPr>
      <w:r>
        <w:rPr>
          <w:rFonts w:hint="eastAsia" w:hAnsi="Calibri"/>
          <w:color w:val="auto"/>
          <w:highlight w:val="none"/>
        </w:rPr>
        <w:t>3.2.7分包单位物资采购管理</w:t>
      </w:r>
    </w:p>
    <w:p w14:paraId="3A66566B">
      <w:pPr>
        <w:adjustRightInd w:val="0"/>
        <w:snapToGrid w:val="0"/>
        <w:ind w:firstLine="480" w:firstLineChars="200"/>
        <w:rPr>
          <w:rFonts w:hAnsi="Calibri"/>
          <w:color w:val="auto"/>
          <w:highlight w:val="none"/>
        </w:rPr>
      </w:pPr>
      <w:r>
        <w:rPr>
          <w:rFonts w:hint="eastAsia" w:hAnsi="Calibri"/>
          <w:color w:val="auto"/>
          <w:highlight w:val="none"/>
        </w:rPr>
        <w:t>（1）工程再发包及专业工程分包，应当在合同内约定物资采购管理分工，其分工不得违背建设单位与承包人，再发包单位与再发包承包单位签订的合同。</w:t>
      </w:r>
    </w:p>
    <w:p w14:paraId="159DA795">
      <w:pPr>
        <w:adjustRightInd w:val="0"/>
        <w:snapToGrid w:val="0"/>
        <w:ind w:firstLine="480" w:firstLineChars="200"/>
        <w:rPr>
          <w:rFonts w:hAnsi="Calibri"/>
          <w:color w:val="auto"/>
          <w:highlight w:val="none"/>
        </w:rPr>
      </w:pPr>
      <w:r>
        <w:rPr>
          <w:rFonts w:hint="eastAsia" w:hAnsi="Calibri"/>
          <w:color w:val="auto"/>
          <w:highlight w:val="none"/>
        </w:rPr>
        <w:t>（2）建设单位和监理单位按照中国石化物资采购管理相关制度和合同约定对承包单位、分包单位的物资采购活动进行管理。</w:t>
      </w:r>
    </w:p>
    <w:p w14:paraId="43D87356">
      <w:pPr>
        <w:adjustRightInd w:val="0"/>
        <w:snapToGrid w:val="0"/>
        <w:ind w:firstLine="480" w:firstLineChars="200"/>
        <w:rPr>
          <w:rFonts w:hAnsi="Calibri"/>
          <w:color w:val="auto"/>
          <w:highlight w:val="none"/>
        </w:rPr>
      </w:pPr>
      <w:r>
        <w:rPr>
          <w:rFonts w:hint="eastAsia" w:hAnsi="Calibri"/>
          <w:color w:val="auto"/>
          <w:highlight w:val="none"/>
        </w:rPr>
        <w:t>3.2.8分包工程款管理</w:t>
      </w:r>
    </w:p>
    <w:p w14:paraId="7FDFF213">
      <w:pPr>
        <w:adjustRightInd w:val="0"/>
        <w:snapToGrid w:val="0"/>
        <w:ind w:firstLine="480" w:firstLineChars="200"/>
        <w:rPr>
          <w:rFonts w:hAnsi="Calibri"/>
          <w:color w:val="auto"/>
          <w:highlight w:val="none"/>
        </w:rPr>
      </w:pPr>
      <w:r>
        <w:rPr>
          <w:rFonts w:hint="eastAsia" w:hAnsi="Calibri"/>
          <w:color w:val="auto"/>
          <w:highlight w:val="none"/>
        </w:rPr>
        <w:t>（1）分包单位应按照分包合同条款，及时提报满足合同要求的工程款支付申请和工程结算书。对所得工程款项，应首先满足工人工资、物资采购等工程需要。</w:t>
      </w:r>
    </w:p>
    <w:p w14:paraId="1713A377">
      <w:pPr>
        <w:adjustRightInd w:val="0"/>
        <w:snapToGrid w:val="0"/>
        <w:ind w:firstLine="480" w:firstLineChars="200"/>
        <w:rPr>
          <w:rFonts w:hAnsi="Calibri"/>
          <w:color w:val="auto"/>
          <w:highlight w:val="none"/>
        </w:rPr>
      </w:pPr>
      <w:r>
        <w:rPr>
          <w:rFonts w:hint="eastAsia" w:hAnsi="Calibri"/>
          <w:color w:val="auto"/>
          <w:highlight w:val="none"/>
        </w:rPr>
        <w:t>（2）分包单位应对与安全生产相关的费用、脚手架费用，编制使用计划，做到专款专用。</w:t>
      </w:r>
    </w:p>
    <w:p w14:paraId="3FA37928">
      <w:pPr>
        <w:adjustRightInd w:val="0"/>
        <w:snapToGrid w:val="0"/>
        <w:ind w:firstLine="480" w:firstLineChars="200"/>
        <w:rPr>
          <w:rFonts w:hAnsi="Calibri"/>
          <w:color w:val="auto"/>
          <w:highlight w:val="none"/>
        </w:rPr>
      </w:pPr>
      <w:r>
        <w:rPr>
          <w:rFonts w:hint="eastAsia" w:hAnsi="Calibri"/>
          <w:color w:val="auto"/>
          <w:highlight w:val="none"/>
        </w:rPr>
        <w:t>（3）工程分包发包单位应及时审批分包单位提报的工程款支付申请和工程结算书等与费用相关的申请文件，及时办理工程结算，支付工程款项。</w:t>
      </w:r>
    </w:p>
    <w:p w14:paraId="60BF425F">
      <w:pPr>
        <w:adjustRightInd w:val="0"/>
        <w:snapToGrid w:val="0"/>
        <w:ind w:firstLine="480" w:firstLineChars="200"/>
        <w:rPr>
          <w:rFonts w:hAnsi="Calibri"/>
          <w:color w:val="auto"/>
          <w:highlight w:val="none"/>
        </w:rPr>
      </w:pPr>
      <w:r>
        <w:rPr>
          <w:rFonts w:hint="eastAsia" w:hAnsi="Calibri"/>
          <w:color w:val="auto"/>
          <w:highlight w:val="none"/>
        </w:rPr>
        <w:t>（4）工程分包发包单位应对分包单位的费用使用以及劳务用工的工资发放情况进行监管。</w:t>
      </w:r>
    </w:p>
    <w:p w14:paraId="143CCE34">
      <w:pPr>
        <w:adjustRightInd w:val="0"/>
        <w:snapToGrid w:val="0"/>
        <w:ind w:firstLine="480" w:firstLineChars="200"/>
        <w:rPr>
          <w:rFonts w:hAnsi="Calibri"/>
          <w:color w:val="auto"/>
          <w:highlight w:val="none"/>
        </w:rPr>
      </w:pPr>
      <w:r>
        <w:rPr>
          <w:rFonts w:hint="eastAsia" w:hAnsi="Calibri"/>
          <w:color w:val="auto"/>
          <w:highlight w:val="none"/>
        </w:rPr>
        <w:t>（5）施工总承包单位应当按照有关规定开设农民工工资专用账户，专项用于支付该工程建设项目农民工工资。</w:t>
      </w:r>
    </w:p>
    <w:p w14:paraId="57C062E6">
      <w:pPr>
        <w:adjustRightInd w:val="0"/>
        <w:snapToGrid w:val="0"/>
        <w:ind w:firstLine="480" w:firstLineChars="200"/>
        <w:rPr>
          <w:rFonts w:hAnsi="Calibri"/>
          <w:color w:val="auto"/>
          <w:highlight w:val="none"/>
        </w:rPr>
      </w:pPr>
      <w:r>
        <w:rPr>
          <w:rFonts w:hint="eastAsia" w:hAnsi="Calibri"/>
          <w:color w:val="auto"/>
          <w:highlight w:val="none"/>
        </w:rPr>
        <w:t>（6）施工总承包单位或者分包单位应当依法与所招用的农民工订立劳动合同并进行用工实名登记。施工总承包单位、分包单位应当建立用工管理台账，并保存至工程完工且工资全部结清后至少3年。</w:t>
      </w:r>
    </w:p>
    <w:p w14:paraId="6E940D6B">
      <w:pPr>
        <w:adjustRightInd w:val="0"/>
        <w:snapToGrid w:val="0"/>
        <w:ind w:firstLine="480" w:firstLineChars="200"/>
        <w:rPr>
          <w:rFonts w:hAnsi="Calibri"/>
          <w:color w:val="auto"/>
          <w:highlight w:val="none"/>
        </w:rPr>
      </w:pPr>
      <w:r>
        <w:rPr>
          <w:rFonts w:hint="eastAsia" w:hAnsi="Calibri"/>
          <w:color w:val="auto"/>
          <w:highlight w:val="none"/>
        </w:rPr>
        <w:t>（7）施工总承包单位对分包单位劳动用工和工资发放等情况进行监督。分包单位拖欠农民工工资的，由施工总承包单位先行清偿，再依法进行追偿。工程建设项目转包，拖欠农民工工资的，由施工总承包单位先行清偿，再依法进行追偿。</w:t>
      </w:r>
    </w:p>
    <w:p w14:paraId="1851D9A8">
      <w:pPr>
        <w:adjustRightInd w:val="0"/>
        <w:snapToGrid w:val="0"/>
        <w:ind w:firstLine="480" w:firstLineChars="200"/>
        <w:rPr>
          <w:rFonts w:hAnsi="Calibri"/>
          <w:color w:val="auto"/>
          <w:highlight w:val="none"/>
        </w:rPr>
      </w:pPr>
      <w:r>
        <w:rPr>
          <w:rFonts w:hint="eastAsia" w:hAnsi="Calibri"/>
          <w:color w:val="auto"/>
          <w:highlight w:val="none"/>
        </w:rPr>
        <w:t>3.2.9分包合同监管</w:t>
      </w:r>
    </w:p>
    <w:p w14:paraId="72BB000B">
      <w:pPr>
        <w:adjustRightInd w:val="0"/>
        <w:snapToGrid w:val="0"/>
        <w:ind w:firstLine="480" w:firstLineChars="200"/>
        <w:rPr>
          <w:rFonts w:hAnsi="Calibri"/>
          <w:color w:val="auto"/>
          <w:highlight w:val="none"/>
        </w:rPr>
      </w:pPr>
      <w:r>
        <w:rPr>
          <w:rFonts w:hint="eastAsia" w:hAnsi="Calibri"/>
          <w:color w:val="auto"/>
          <w:highlight w:val="none"/>
        </w:rPr>
        <w:t>（1）工程分包发包单位应当按中国石化合同管理规定与分包单位签订分包合同，分包合同条款不能和工程承包合同相抵触或矛盾。</w:t>
      </w:r>
    </w:p>
    <w:p w14:paraId="1BF35D29">
      <w:pPr>
        <w:adjustRightInd w:val="0"/>
        <w:snapToGrid w:val="0"/>
        <w:ind w:firstLine="480" w:firstLineChars="200"/>
        <w:rPr>
          <w:rFonts w:hAnsi="Calibri"/>
          <w:color w:val="auto"/>
          <w:highlight w:val="none"/>
        </w:rPr>
      </w:pPr>
      <w:r>
        <w:rPr>
          <w:rFonts w:hint="eastAsia" w:hAnsi="Calibri"/>
          <w:color w:val="auto"/>
          <w:highlight w:val="none"/>
        </w:rPr>
        <w:t>（2）工程分包发包单位应当对分包合同的履行、变更、违约、索赔、争议处理、终止或收尾结束的全部活动实施监督和控制，并将分包合同与工程承包合同建立对应管理进行管理。</w:t>
      </w:r>
    </w:p>
    <w:p w14:paraId="7A2F85ED">
      <w:pPr>
        <w:adjustRightInd w:val="0"/>
        <w:snapToGrid w:val="0"/>
        <w:ind w:firstLine="480" w:firstLineChars="200"/>
        <w:rPr>
          <w:rFonts w:hAnsi="Calibri"/>
          <w:color w:val="auto"/>
          <w:highlight w:val="none"/>
        </w:rPr>
      </w:pPr>
      <w:r>
        <w:rPr>
          <w:rFonts w:hint="eastAsia" w:hAnsi="Calibri"/>
          <w:color w:val="auto"/>
          <w:highlight w:val="none"/>
        </w:rPr>
        <w:t>（3）承包人不能按合同约定正常支付分包工程款，并影响分包工作正常实施，建设单位协调后仍未解决，视同承包人对建设单位违约。</w:t>
      </w:r>
    </w:p>
    <w:p w14:paraId="25F06793">
      <w:pPr>
        <w:adjustRightInd w:val="0"/>
        <w:snapToGrid w:val="0"/>
        <w:ind w:firstLine="480" w:firstLineChars="200"/>
        <w:rPr>
          <w:rFonts w:hAnsi="Calibri"/>
          <w:color w:val="auto"/>
          <w:highlight w:val="none"/>
        </w:rPr>
      </w:pPr>
      <w:r>
        <w:rPr>
          <w:rFonts w:hint="eastAsia" w:hAnsi="Calibri"/>
          <w:color w:val="auto"/>
          <w:highlight w:val="none"/>
        </w:rPr>
        <w:t>3.2.10分包单位风险管理</w:t>
      </w:r>
    </w:p>
    <w:p w14:paraId="0BFA1DDB">
      <w:pPr>
        <w:adjustRightInd w:val="0"/>
        <w:snapToGrid w:val="0"/>
        <w:ind w:firstLine="480" w:firstLineChars="200"/>
        <w:rPr>
          <w:rFonts w:hAnsi="Calibri"/>
          <w:color w:val="auto"/>
          <w:highlight w:val="none"/>
        </w:rPr>
      </w:pPr>
      <w:r>
        <w:rPr>
          <w:rFonts w:hint="eastAsia" w:hAnsi="Calibri"/>
          <w:color w:val="auto"/>
          <w:highlight w:val="none"/>
        </w:rPr>
        <w:t>（1）分包单位应建立风险管理机制，在施工技术文件中对分包工程实施中潜在的风险进行识别和分析、评价，报工程分包发包单位审核后逐级报至建设单位（监理单位）备案。</w:t>
      </w:r>
    </w:p>
    <w:p w14:paraId="0BE10836">
      <w:pPr>
        <w:adjustRightInd w:val="0"/>
        <w:snapToGrid w:val="0"/>
        <w:ind w:firstLine="480" w:firstLineChars="200"/>
        <w:rPr>
          <w:rFonts w:hAnsi="Calibri"/>
          <w:color w:val="auto"/>
          <w:highlight w:val="none"/>
        </w:rPr>
      </w:pPr>
      <w:r>
        <w:rPr>
          <w:rFonts w:hint="eastAsia" w:hAnsi="Calibri"/>
          <w:color w:val="auto"/>
          <w:highlight w:val="none"/>
        </w:rPr>
        <w:t>（2）分包工程实施过程中，分包单位应针对风险管控要点及时进行风险分析，采取纠偏措施，降低和消除各项风险因素给分包工程带来的影响。工程分包发包单位应加强对分包单位风险管理的监督检查和指导。</w:t>
      </w:r>
    </w:p>
    <w:p w14:paraId="202FAFAB">
      <w:pPr>
        <w:adjustRightInd w:val="0"/>
        <w:snapToGrid w:val="0"/>
        <w:ind w:firstLine="480" w:firstLineChars="200"/>
        <w:rPr>
          <w:rFonts w:hAnsi="Calibri"/>
          <w:color w:val="auto"/>
          <w:highlight w:val="none"/>
        </w:rPr>
      </w:pPr>
      <w:r>
        <w:rPr>
          <w:rFonts w:hint="eastAsia" w:hAnsi="Calibri"/>
          <w:color w:val="auto"/>
          <w:highlight w:val="none"/>
        </w:rPr>
        <w:t>3.3转包、违法分包、挂靠行为界定</w:t>
      </w:r>
    </w:p>
    <w:p w14:paraId="77DE0AEA">
      <w:pPr>
        <w:adjustRightInd w:val="0"/>
        <w:snapToGrid w:val="0"/>
        <w:ind w:firstLine="480" w:firstLineChars="200"/>
        <w:rPr>
          <w:rFonts w:hAnsi="Calibri"/>
          <w:color w:val="auto"/>
          <w:highlight w:val="none"/>
        </w:rPr>
      </w:pPr>
      <w:r>
        <w:rPr>
          <w:rFonts w:hint="eastAsia" w:hAnsi="Calibri"/>
          <w:color w:val="auto"/>
          <w:highlight w:val="none"/>
        </w:rPr>
        <w:t>3.3.1严禁承包单位不履行合同约定的责任和义务，将其承包的全部工程或者将其承包的全部工程支解后以分包的名义分别转给其他单位或个人的行为。存在下列情形之一的，应当认定为转包，但有证据证明属于挂靠或者其他违法行为的除外：</w:t>
      </w:r>
    </w:p>
    <w:p w14:paraId="41D8ACD4">
      <w:pPr>
        <w:adjustRightInd w:val="0"/>
        <w:snapToGrid w:val="0"/>
        <w:ind w:firstLine="480" w:firstLineChars="200"/>
        <w:rPr>
          <w:rFonts w:hAnsi="Calibri"/>
          <w:color w:val="auto"/>
          <w:highlight w:val="none"/>
        </w:rPr>
      </w:pPr>
      <w:r>
        <w:rPr>
          <w:rFonts w:hint="eastAsia" w:hAnsi="Calibri"/>
          <w:color w:val="auto"/>
          <w:highlight w:val="none"/>
        </w:rPr>
        <w:t>（1）承包单位将其承包的全部工程转给其他单位（包括母公司承接工程后将所承接工程交由具有独立法人资格的子公司实施的情形）或个人的。</w:t>
      </w:r>
    </w:p>
    <w:p w14:paraId="1FEFA1F3">
      <w:pPr>
        <w:adjustRightInd w:val="0"/>
        <w:snapToGrid w:val="0"/>
        <w:ind w:firstLine="480" w:firstLineChars="200"/>
        <w:rPr>
          <w:rFonts w:hAnsi="Calibri"/>
          <w:color w:val="auto"/>
          <w:highlight w:val="none"/>
        </w:rPr>
      </w:pPr>
      <w:r>
        <w:rPr>
          <w:rFonts w:hint="eastAsia" w:hAnsi="Calibri"/>
          <w:color w:val="auto"/>
          <w:highlight w:val="none"/>
        </w:rPr>
        <w:t>（2）承包单位将其承包的全部工程支解以后，以分包或再发包的名义分别转给其他单位或个人的。</w:t>
      </w:r>
    </w:p>
    <w:p w14:paraId="27076B90">
      <w:pPr>
        <w:adjustRightInd w:val="0"/>
        <w:snapToGrid w:val="0"/>
        <w:ind w:firstLine="480" w:firstLineChars="200"/>
        <w:rPr>
          <w:rFonts w:hAnsi="Calibri"/>
          <w:color w:val="auto"/>
          <w:highlight w:val="none"/>
        </w:rPr>
      </w:pPr>
      <w:r>
        <w:rPr>
          <w:rFonts w:hint="eastAsia" w:hAnsi="Calibri"/>
          <w:color w:val="auto"/>
          <w:highlight w:val="none"/>
        </w:rPr>
        <w:t>（3）工程总承包单位、施工总承包单位或施工专业承包单位未派驻项目负责人、技术负责人、质量负责人、安全负责人等主要管理人员，或派驻的主要管理人员中有一人及以上不是本单位自有人员，或派驻的项目负责人未对该工程的实施进行组织管理，又不能进行合理解释并提供相应证明的。</w:t>
      </w:r>
    </w:p>
    <w:p w14:paraId="722AC8B9">
      <w:pPr>
        <w:adjustRightInd w:val="0"/>
        <w:snapToGrid w:val="0"/>
        <w:ind w:firstLine="480" w:firstLineChars="200"/>
        <w:rPr>
          <w:rFonts w:hAnsi="Calibri"/>
          <w:color w:val="auto"/>
          <w:highlight w:val="none"/>
        </w:rPr>
      </w:pPr>
      <w:r>
        <w:rPr>
          <w:rFonts w:hint="eastAsia" w:hAnsi="Calibri"/>
          <w:color w:val="auto"/>
          <w:highlight w:val="none"/>
        </w:rPr>
        <w:t>（4）合同约定由承包单位负责采购的主要材料、构配件及工程设备或租赁的施工机械设备，由其他单位或个人采购、租赁，或者承包单位不能提供有关采购、租赁合同及发票等证明，又不能进行合理解释并提供相应证明的。</w:t>
      </w:r>
    </w:p>
    <w:p w14:paraId="014FA5B5">
      <w:pPr>
        <w:adjustRightInd w:val="0"/>
        <w:snapToGrid w:val="0"/>
        <w:ind w:firstLine="480" w:firstLineChars="200"/>
        <w:rPr>
          <w:rFonts w:hAnsi="Calibri"/>
          <w:color w:val="auto"/>
          <w:highlight w:val="none"/>
        </w:rPr>
      </w:pPr>
      <w:r>
        <w:rPr>
          <w:rFonts w:hint="eastAsia" w:hAnsi="Calibri"/>
          <w:color w:val="auto"/>
          <w:highlight w:val="none"/>
        </w:rPr>
        <w:t>（5）劳务单位（专业作业单位）承包的范围是承包单位承包的全部工程，计取的是除上缴给承包单位“管理费”之外的全部工程价款的。</w:t>
      </w:r>
    </w:p>
    <w:p w14:paraId="36FD2137">
      <w:pPr>
        <w:adjustRightInd w:val="0"/>
        <w:snapToGrid w:val="0"/>
        <w:ind w:firstLine="480" w:firstLineChars="200"/>
        <w:rPr>
          <w:rFonts w:hAnsi="Calibri"/>
          <w:color w:val="auto"/>
          <w:highlight w:val="none"/>
        </w:rPr>
      </w:pPr>
      <w:r>
        <w:rPr>
          <w:rFonts w:hint="eastAsia" w:hAnsi="Calibri"/>
          <w:color w:val="auto"/>
          <w:highlight w:val="none"/>
        </w:rPr>
        <w:t>（6）承包单位通过采取合作、联营、个人承包等形式或名义，直接或变相的将其承包的全部工程转给其他单位或个人实施的。</w:t>
      </w:r>
    </w:p>
    <w:p w14:paraId="45CDECF3">
      <w:pPr>
        <w:adjustRightInd w:val="0"/>
        <w:snapToGrid w:val="0"/>
        <w:ind w:firstLine="480" w:firstLineChars="200"/>
        <w:rPr>
          <w:rFonts w:hAnsi="Calibri"/>
          <w:color w:val="auto"/>
          <w:highlight w:val="none"/>
        </w:rPr>
      </w:pPr>
      <w:r>
        <w:rPr>
          <w:rFonts w:hint="eastAsia" w:hAnsi="Calibri"/>
          <w:color w:val="auto"/>
          <w:highlight w:val="none"/>
        </w:rPr>
        <w:t>（7）专业工程的发包单位不是该工程的工程总承包单位或施工总承包单位，但建设单位依约作为发包单位的除外。</w:t>
      </w:r>
    </w:p>
    <w:p w14:paraId="2B40FCBB">
      <w:pPr>
        <w:adjustRightInd w:val="0"/>
        <w:snapToGrid w:val="0"/>
        <w:ind w:firstLine="480" w:firstLineChars="200"/>
        <w:rPr>
          <w:rFonts w:hAnsi="Calibri"/>
          <w:color w:val="auto"/>
          <w:highlight w:val="none"/>
        </w:rPr>
      </w:pPr>
      <w:r>
        <w:rPr>
          <w:rFonts w:hint="eastAsia" w:hAnsi="Calibri"/>
          <w:color w:val="auto"/>
          <w:highlight w:val="none"/>
        </w:rPr>
        <w:t>（8）劳务（专业作业）工作的发包单位不是该工程承包单位的。</w:t>
      </w:r>
    </w:p>
    <w:p w14:paraId="26C1E36B">
      <w:pPr>
        <w:adjustRightInd w:val="0"/>
        <w:snapToGrid w:val="0"/>
        <w:ind w:firstLine="480" w:firstLineChars="200"/>
        <w:rPr>
          <w:rFonts w:hAnsi="Calibri"/>
          <w:color w:val="auto"/>
          <w:highlight w:val="none"/>
        </w:rPr>
      </w:pPr>
      <w:r>
        <w:rPr>
          <w:rFonts w:hint="eastAsia" w:hAnsi="Calibri"/>
          <w:color w:val="auto"/>
          <w:highlight w:val="none"/>
        </w:rPr>
        <w:t>（9）合同主体之间没有工程款收付关系，或者承包单位收到款项后又将款项转拨给其他单位和个人，又不能进行合理解释并提供材料证明的。</w:t>
      </w:r>
    </w:p>
    <w:p w14:paraId="5AFCD74C">
      <w:pPr>
        <w:adjustRightInd w:val="0"/>
        <w:snapToGrid w:val="0"/>
        <w:ind w:firstLine="480" w:firstLineChars="200"/>
        <w:rPr>
          <w:rFonts w:hAnsi="Calibri"/>
          <w:color w:val="auto"/>
          <w:highlight w:val="none"/>
        </w:rPr>
      </w:pPr>
      <w:r>
        <w:rPr>
          <w:rFonts w:hint="eastAsia" w:hAnsi="Calibri"/>
          <w:color w:val="auto"/>
          <w:highlight w:val="none"/>
        </w:rPr>
        <w:t>两个以上的施工单位组成联合体承包工程，在联合体分工协议中约定或者在项目实际实施过程中，联合体一方不实施相关工作也未对相关工作实施活动进行组织管理的，并且向联合体其他方收取管理费或者其他类似费用的，视为联合体一方将承包的工程转包给联合体其他方。</w:t>
      </w:r>
    </w:p>
    <w:p w14:paraId="2A1444BA">
      <w:pPr>
        <w:adjustRightInd w:val="0"/>
        <w:snapToGrid w:val="0"/>
        <w:ind w:firstLine="480" w:firstLineChars="200"/>
        <w:rPr>
          <w:rFonts w:hAnsi="Calibri"/>
          <w:color w:val="auto"/>
          <w:highlight w:val="none"/>
        </w:rPr>
      </w:pPr>
      <w:r>
        <w:rPr>
          <w:rFonts w:hint="eastAsia" w:hAnsi="Calibri"/>
          <w:color w:val="auto"/>
          <w:highlight w:val="none"/>
        </w:rPr>
        <w:t>3.3.2存在下列情形之一的，属于违法分包：</w:t>
      </w:r>
    </w:p>
    <w:p w14:paraId="2C08580E">
      <w:pPr>
        <w:adjustRightInd w:val="0"/>
        <w:snapToGrid w:val="0"/>
        <w:ind w:firstLine="480" w:firstLineChars="200"/>
        <w:rPr>
          <w:rFonts w:hAnsi="Calibri"/>
          <w:color w:val="auto"/>
          <w:highlight w:val="none"/>
        </w:rPr>
      </w:pPr>
      <w:r>
        <w:rPr>
          <w:rFonts w:hint="eastAsia" w:hAnsi="Calibri"/>
          <w:color w:val="auto"/>
          <w:highlight w:val="none"/>
        </w:rPr>
        <w:t>（1）承包单位将其承包的工程分包给个人的。</w:t>
      </w:r>
    </w:p>
    <w:p w14:paraId="324D965C">
      <w:pPr>
        <w:adjustRightInd w:val="0"/>
        <w:snapToGrid w:val="0"/>
        <w:ind w:firstLine="480" w:firstLineChars="200"/>
        <w:rPr>
          <w:rFonts w:hAnsi="Calibri"/>
          <w:color w:val="auto"/>
          <w:highlight w:val="none"/>
        </w:rPr>
      </w:pPr>
      <w:r>
        <w:rPr>
          <w:rFonts w:hint="eastAsia" w:hAnsi="Calibri"/>
          <w:color w:val="auto"/>
          <w:highlight w:val="none"/>
        </w:rPr>
        <w:t>（2）承包单位将工程分包给不具备相应资质单位的。</w:t>
      </w:r>
    </w:p>
    <w:p w14:paraId="7C05A9B5">
      <w:pPr>
        <w:adjustRightInd w:val="0"/>
        <w:snapToGrid w:val="0"/>
        <w:ind w:firstLine="480" w:firstLineChars="200"/>
        <w:rPr>
          <w:rFonts w:hAnsi="Calibri"/>
          <w:color w:val="auto"/>
          <w:highlight w:val="none"/>
        </w:rPr>
      </w:pPr>
      <w:r>
        <w:rPr>
          <w:rFonts w:hint="eastAsia" w:hAnsi="Calibri"/>
          <w:color w:val="auto"/>
          <w:highlight w:val="none"/>
        </w:rPr>
        <w:t>（3）合同未约定或未经建设单位同意，或合同已约定但未履行合同约定，承包人擅自进行分包的。</w:t>
      </w:r>
    </w:p>
    <w:p w14:paraId="0E4D5E47">
      <w:pPr>
        <w:adjustRightInd w:val="0"/>
        <w:snapToGrid w:val="0"/>
        <w:ind w:firstLine="480" w:firstLineChars="200"/>
        <w:rPr>
          <w:rFonts w:hAnsi="Calibri"/>
          <w:color w:val="auto"/>
          <w:highlight w:val="none"/>
        </w:rPr>
      </w:pPr>
      <w:r>
        <w:rPr>
          <w:rFonts w:hint="eastAsia" w:hAnsi="Calibri"/>
          <w:color w:val="auto"/>
          <w:highlight w:val="none"/>
        </w:rPr>
        <w:t>（4）承包单位将主体和关键工作进行分包的，劳务（专业作业）分包除外。</w:t>
      </w:r>
    </w:p>
    <w:p w14:paraId="717ACF9E">
      <w:pPr>
        <w:adjustRightInd w:val="0"/>
        <w:snapToGrid w:val="0"/>
        <w:ind w:firstLine="480" w:firstLineChars="200"/>
        <w:rPr>
          <w:rFonts w:hAnsi="Calibri"/>
          <w:color w:val="auto"/>
          <w:highlight w:val="none"/>
        </w:rPr>
      </w:pPr>
      <w:r>
        <w:rPr>
          <w:rFonts w:hint="eastAsia" w:hAnsi="Calibri"/>
          <w:color w:val="auto"/>
          <w:highlight w:val="none"/>
        </w:rPr>
        <w:t>（5）施工专业分包单位将其承包的专业工程中非劳务作业部分再分包的。</w:t>
      </w:r>
    </w:p>
    <w:p w14:paraId="5EB0DCA5">
      <w:pPr>
        <w:adjustRightInd w:val="0"/>
        <w:snapToGrid w:val="0"/>
        <w:ind w:firstLine="480" w:firstLineChars="200"/>
        <w:rPr>
          <w:rFonts w:hAnsi="Calibri"/>
          <w:color w:val="auto"/>
          <w:highlight w:val="none"/>
        </w:rPr>
      </w:pPr>
      <w:r>
        <w:rPr>
          <w:rFonts w:hint="eastAsia" w:hAnsi="Calibri"/>
          <w:color w:val="auto"/>
          <w:highlight w:val="none"/>
        </w:rPr>
        <w:t>（6）劳务（专业作业）单位将其承包的劳务再分包的。</w:t>
      </w:r>
    </w:p>
    <w:p w14:paraId="02A7AE86">
      <w:pPr>
        <w:adjustRightInd w:val="0"/>
        <w:snapToGrid w:val="0"/>
        <w:ind w:firstLine="480" w:firstLineChars="200"/>
        <w:rPr>
          <w:rFonts w:hAnsi="Calibri"/>
          <w:color w:val="auto"/>
          <w:highlight w:val="none"/>
        </w:rPr>
      </w:pPr>
      <w:r>
        <w:rPr>
          <w:rFonts w:hint="eastAsia" w:hAnsi="Calibri"/>
          <w:color w:val="auto"/>
          <w:highlight w:val="none"/>
        </w:rPr>
        <w:t>（7）劳务（专业作业）单位除计取劳务作业费用外，还计取主要材料款和大中型施工机械设备、主要周转材料费用的。</w:t>
      </w:r>
    </w:p>
    <w:p w14:paraId="5693A268">
      <w:pPr>
        <w:adjustRightInd w:val="0"/>
        <w:snapToGrid w:val="0"/>
        <w:ind w:firstLine="480" w:firstLineChars="200"/>
        <w:rPr>
          <w:rFonts w:hAnsi="Calibri"/>
          <w:color w:val="auto"/>
          <w:highlight w:val="none"/>
        </w:rPr>
      </w:pPr>
      <w:r>
        <w:rPr>
          <w:rFonts w:hint="eastAsia" w:hAnsi="Calibri"/>
          <w:color w:val="auto"/>
          <w:highlight w:val="none"/>
        </w:rPr>
        <w:t>（8）不具备施工资质的设计企业承揽工程总承包业务，直接进行施工劳务（专业作业）分包的。</w:t>
      </w:r>
    </w:p>
    <w:p w14:paraId="1F4D190F">
      <w:pPr>
        <w:adjustRightInd w:val="0"/>
        <w:snapToGrid w:val="0"/>
        <w:ind w:firstLine="480" w:firstLineChars="200"/>
        <w:rPr>
          <w:rFonts w:hAnsi="Calibri"/>
          <w:color w:val="auto"/>
          <w:highlight w:val="none"/>
        </w:rPr>
      </w:pPr>
      <w:r>
        <w:rPr>
          <w:rFonts w:hint="eastAsia" w:hAnsi="Calibri"/>
          <w:color w:val="auto"/>
          <w:highlight w:val="none"/>
        </w:rPr>
        <w:t>3.3.3严禁分包单位以其他有资质的单位的名义承揽工程，实施挂靠行为。存在下列情形之一的，属于挂靠：</w:t>
      </w:r>
    </w:p>
    <w:p w14:paraId="726E60FB">
      <w:pPr>
        <w:adjustRightInd w:val="0"/>
        <w:snapToGrid w:val="0"/>
        <w:ind w:firstLine="480" w:firstLineChars="200"/>
        <w:rPr>
          <w:rFonts w:hAnsi="Calibri"/>
          <w:color w:val="auto"/>
          <w:highlight w:val="none"/>
        </w:rPr>
      </w:pPr>
      <w:r>
        <w:rPr>
          <w:rFonts w:hint="eastAsia" w:hAnsi="Calibri"/>
          <w:color w:val="auto"/>
          <w:highlight w:val="none"/>
        </w:rPr>
        <w:t>（1）没有资质的单位或个人借用其他单位的资质承揽工程的。</w:t>
      </w:r>
    </w:p>
    <w:p w14:paraId="5B54A64A">
      <w:pPr>
        <w:adjustRightInd w:val="0"/>
        <w:snapToGrid w:val="0"/>
        <w:ind w:firstLine="480" w:firstLineChars="200"/>
        <w:rPr>
          <w:rFonts w:hAnsi="Calibri"/>
          <w:color w:val="auto"/>
          <w:highlight w:val="none"/>
        </w:rPr>
      </w:pPr>
      <w:r>
        <w:rPr>
          <w:rFonts w:hint="eastAsia" w:hAnsi="Calibri"/>
          <w:color w:val="auto"/>
          <w:highlight w:val="none"/>
        </w:rPr>
        <w:t>（2）有资质的单位相互借用资质承揽工程的，包括资质等级低的借用资质等级高的，资质等级高的借用资质等级低的，相同资质等级相互借用的。</w:t>
      </w:r>
    </w:p>
    <w:p w14:paraId="6888B51C">
      <w:pPr>
        <w:adjustRightInd w:val="0"/>
        <w:snapToGrid w:val="0"/>
        <w:ind w:firstLine="480" w:firstLineChars="200"/>
        <w:rPr>
          <w:rFonts w:hAnsi="Calibri"/>
          <w:color w:val="auto"/>
          <w:highlight w:val="none"/>
        </w:rPr>
      </w:pPr>
      <w:r>
        <w:rPr>
          <w:rFonts w:hint="eastAsia" w:hAnsi="Calibri"/>
          <w:color w:val="auto"/>
          <w:highlight w:val="none"/>
        </w:rPr>
        <w:t>（3）本办法第3.3.1条第（3）到（9）项规定的情形，有证据证明属于挂靠的。</w:t>
      </w:r>
    </w:p>
    <w:p w14:paraId="756DD0CF">
      <w:pPr>
        <w:adjustRightInd w:val="0"/>
        <w:snapToGrid w:val="0"/>
        <w:ind w:firstLine="480" w:firstLineChars="200"/>
        <w:rPr>
          <w:rFonts w:hAnsi="Calibri"/>
          <w:color w:val="auto"/>
          <w:highlight w:val="none"/>
        </w:rPr>
      </w:pPr>
      <w:r>
        <w:rPr>
          <w:rFonts w:hint="eastAsia" w:hAnsi="Calibri"/>
          <w:color w:val="auto"/>
          <w:highlight w:val="none"/>
        </w:rPr>
        <w:t>3.3.4石油化工建设项目承包单位除项目负责人、安全负责人、质量负责人以外，自有人员界定要求如下：</w:t>
      </w:r>
    </w:p>
    <w:p w14:paraId="11DAAC51">
      <w:pPr>
        <w:adjustRightInd w:val="0"/>
        <w:snapToGrid w:val="0"/>
        <w:ind w:firstLine="480" w:firstLineChars="200"/>
        <w:rPr>
          <w:rFonts w:hAnsi="Calibri"/>
          <w:color w:val="auto"/>
          <w:highlight w:val="none"/>
        </w:rPr>
      </w:pPr>
      <w:r>
        <w:rPr>
          <w:rFonts w:hint="eastAsia" w:hAnsi="Calibri"/>
          <w:color w:val="auto"/>
          <w:highlight w:val="none"/>
        </w:rPr>
        <w:t>（1）承包单位可以通过与第三方公司签订劳务派遣或岗位服务合同方式，补充劳务作业和管理人员。</w:t>
      </w:r>
    </w:p>
    <w:p w14:paraId="14FC125F">
      <w:pPr>
        <w:adjustRightInd w:val="0"/>
        <w:snapToGrid w:val="0"/>
        <w:ind w:firstLine="480" w:firstLineChars="200"/>
        <w:rPr>
          <w:rFonts w:hAnsi="Calibri"/>
          <w:color w:val="auto"/>
          <w:highlight w:val="none"/>
        </w:rPr>
      </w:pPr>
      <w:r>
        <w:rPr>
          <w:rFonts w:hint="eastAsia" w:hAnsi="Calibri"/>
          <w:color w:val="auto"/>
          <w:highlight w:val="none"/>
        </w:rPr>
        <w:t>（2）承包单位应将第三方公司人员纳入本单位管理体系，进行岗位培训，考核合格后方可补充进入自身的劳务作业和项目管理团队。</w:t>
      </w:r>
    </w:p>
    <w:p w14:paraId="5F7E47ED">
      <w:pPr>
        <w:adjustRightInd w:val="0"/>
        <w:snapToGrid w:val="0"/>
        <w:ind w:firstLine="480" w:firstLineChars="200"/>
        <w:rPr>
          <w:rFonts w:hAnsi="Calibri"/>
          <w:color w:val="auto"/>
          <w:highlight w:val="none"/>
        </w:rPr>
      </w:pPr>
      <w:r>
        <w:rPr>
          <w:rFonts w:hint="eastAsia" w:hAnsi="Calibri"/>
          <w:color w:val="auto"/>
          <w:highlight w:val="none"/>
        </w:rPr>
        <w:t>（3）第三方公司的劳务作业和管理人员应当与第三方公司签订劳动合同并办理社保手续。</w:t>
      </w:r>
    </w:p>
    <w:p w14:paraId="48A73896">
      <w:pPr>
        <w:adjustRightInd w:val="0"/>
        <w:snapToGrid w:val="0"/>
        <w:ind w:firstLine="480" w:firstLineChars="200"/>
        <w:rPr>
          <w:rFonts w:hAnsi="Calibri"/>
          <w:color w:val="auto"/>
          <w:highlight w:val="none"/>
        </w:rPr>
      </w:pPr>
      <w:r>
        <w:rPr>
          <w:rFonts w:hint="eastAsia" w:hAnsi="Calibri"/>
          <w:color w:val="auto"/>
          <w:highlight w:val="none"/>
        </w:rPr>
        <w:t>（4）符合上述情形第三方公司人员可视同为承包单位自有人员。</w:t>
      </w:r>
    </w:p>
    <w:p w14:paraId="68E508FF">
      <w:pPr>
        <w:adjustRightInd w:val="0"/>
        <w:snapToGrid w:val="0"/>
        <w:ind w:firstLine="480" w:firstLineChars="200"/>
        <w:rPr>
          <w:rFonts w:hAnsi="Calibri"/>
          <w:color w:val="auto"/>
          <w:highlight w:val="none"/>
        </w:rPr>
      </w:pPr>
      <w:r>
        <w:rPr>
          <w:rFonts w:hint="eastAsia" w:hAnsi="Calibri"/>
          <w:color w:val="auto"/>
          <w:highlight w:val="none"/>
        </w:rPr>
        <w:t>（5）承包单位组建项目部使用分包单位人员的，不视为承包单位自有人员。</w:t>
      </w:r>
    </w:p>
    <w:p w14:paraId="5938686D">
      <w:pPr>
        <w:adjustRightInd w:val="0"/>
        <w:snapToGrid w:val="0"/>
        <w:ind w:firstLine="480" w:firstLineChars="200"/>
        <w:rPr>
          <w:rFonts w:hAnsi="Calibri"/>
          <w:color w:val="auto"/>
          <w:highlight w:val="none"/>
        </w:rPr>
      </w:pPr>
      <w:r>
        <w:rPr>
          <w:rFonts w:hint="eastAsia" w:hAnsi="Calibri"/>
          <w:color w:val="auto"/>
          <w:highlight w:val="none"/>
        </w:rPr>
        <w:t>4重点业务管控</w:t>
      </w:r>
    </w:p>
    <w:p w14:paraId="4F1CF103">
      <w:pPr>
        <w:adjustRightInd w:val="0"/>
        <w:snapToGrid w:val="0"/>
        <w:ind w:firstLine="480" w:firstLineChars="200"/>
        <w:rPr>
          <w:rFonts w:hAnsi="Calibri"/>
          <w:color w:val="auto"/>
          <w:highlight w:val="none"/>
        </w:rPr>
      </w:pPr>
      <w:r>
        <w:rPr>
          <w:rFonts w:hint="eastAsia" w:hAnsi="Calibri"/>
          <w:color w:val="auto"/>
          <w:highlight w:val="none"/>
        </w:rPr>
        <w:t>4.1工程分包方案管理</w:t>
      </w:r>
    </w:p>
    <w:p w14:paraId="055B1C75">
      <w:pPr>
        <w:adjustRightInd w:val="0"/>
        <w:snapToGrid w:val="0"/>
        <w:ind w:firstLine="480" w:firstLineChars="200"/>
        <w:rPr>
          <w:rFonts w:hAnsi="Calibri"/>
          <w:color w:val="auto"/>
          <w:highlight w:val="none"/>
        </w:rPr>
      </w:pPr>
      <w:r>
        <w:rPr>
          <w:rFonts w:hint="eastAsia" w:hAnsi="Calibri"/>
          <w:color w:val="auto"/>
          <w:highlight w:val="none"/>
        </w:rPr>
        <w:t>4.1.1工程分包方案实行审批制。分包工程实施前，工程分包发包单位应及时编制工程分包方案，报上一级发包单位审批；承包人的工程分包方案应由建设单位审批。工程分包方案批准后，方可实施分包工程采购。</w:t>
      </w:r>
    </w:p>
    <w:p w14:paraId="189E003B">
      <w:pPr>
        <w:adjustRightInd w:val="0"/>
        <w:snapToGrid w:val="0"/>
        <w:ind w:firstLine="480" w:firstLineChars="200"/>
        <w:rPr>
          <w:rFonts w:hAnsi="Calibri"/>
          <w:color w:val="auto"/>
          <w:highlight w:val="none"/>
        </w:rPr>
      </w:pPr>
      <w:r>
        <w:rPr>
          <w:rFonts w:hint="eastAsia" w:hAnsi="Calibri"/>
          <w:color w:val="auto"/>
          <w:highlight w:val="none"/>
        </w:rPr>
        <w:t>4.1.2已审批的工程分包方案，如其分包范围和内容、分包发包方式、组织形式或分包单位资格要求等发生变化，或者合同约定的分包单位发生变更，工程分包发包单位应当重新编制工程分包方案，按照前款的程序报原批准单位审批。</w:t>
      </w:r>
    </w:p>
    <w:p w14:paraId="24A34B12">
      <w:pPr>
        <w:adjustRightInd w:val="0"/>
        <w:snapToGrid w:val="0"/>
        <w:ind w:firstLine="480" w:firstLineChars="200"/>
        <w:rPr>
          <w:rFonts w:hAnsi="Calibri"/>
          <w:color w:val="auto"/>
          <w:highlight w:val="none"/>
        </w:rPr>
      </w:pPr>
      <w:r>
        <w:rPr>
          <w:rFonts w:hint="eastAsia" w:hAnsi="Calibri"/>
          <w:color w:val="auto"/>
          <w:highlight w:val="none"/>
        </w:rPr>
        <w:t>4.1.3工程分包方案应当在中国石化建设工程招标投标管理信息系统（简称招投标信息系统）上进行审批。</w:t>
      </w:r>
    </w:p>
    <w:p w14:paraId="26DCFD66">
      <w:pPr>
        <w:adjustRightInd w:val="0"/>
        <w:snapToGrid w:val="0"/>
        <w:ind w:firstLine="480" w:firstLineChars="200"/>
        <w:rPr>
          <w:rFonts w:hAnsi="Calibri"/>
          <w:color w:val="auto"/>
          <w:highlight w:val="none"/>
        </w:rPr>
      </w:pPr>
      <w:r>
        <w:rPr>
          <w:rFonts w:hint="eastAsia" w:hAnsi="Calibri"/>
          <w:color w:val="auto"/>
          <w:highlight w:val="none"/>
        </w:rPr>
        <w:t>4.1.4工程分包方案包括拟分包范围和内容、分包工作性质、估算合同金额、分包发包方式、分包发包组织形式、分包单位资格要求、分包计划以及响应上一级发包单位或建设单位招标文件或采购文件要求的相关工程分包发包体系文件等内容。</w:t>
      </w:r>
    </w:p>
    <w:p w14:paraId="31A2028B">
      <w:pPr>
        <w:adjustRightInd w:val="0"/>
        <w:snapToGrid w:val="0"/>
        <w:ind w:firstLine="480" w:firstLineChars="200"/>
        <w:rPr>
          <w:rFonts w:hAnsi="Calibri"/>
          <w:color w:val="auto"/>
          <w:highlight w:val="none"/>
        </w:rPr>
      </w:pPr>
      <w:r>
        <w:rPr>
          <w:rFonts w:hint="eastAsia" w:hAnsi="Calibri"/>
          <w:color w:val="auto"/>
          <w:highlight w:val="none"/>
        </w:rPr>
        <w:t>4.1.5如分包方案规定的内容已在合同中约定，可不再履行分包方案审批程序。</w:t>
      </w:r>
    </w:p>
    <w:p w14:paraId="1AC0961A">
      <w:pPr>
        <w:adjustRightInd w:val="0"/>
        <w:snapToGrid w:val="0"/>
        <w:ind w:firstLine="480" w:firstLineChars="200"/>
        <w:rPr>
          <w:rFonts w:hAnsi="Calibri"/>
          <w:color w:val="auto"/>
          <w:highlight w:val="none"/>
        </w:rPr>
      </w:pPr>
      <w:r>
        <w:rPr>
          <w:rFonts w:hint="eastAsia" w:hAnsi="Calibri"/>
          <w:color w:val="auto"/>
          <w:highlight w:val="none"/>
        </w:rPr>
        <w:t>4.2分包结果备案管理</w:t>
      </w:r>
    </w:p>
    <w:p w14:paraId="13DA6A29">
      <w:pPr>
        <w:adjustRightInd w:val="0"/>
        <w:snapToGrid w:val="0"/>
        <w:ind w:firstLine="480" w:firstLineChars="200"/>
        <w:rPr>
          <w:rFonts w:hAnsi="Calibri"/>
          <w:color w:val="auto"/>
          <w:highlight w:val="none"/>
        </w:rPr>
      </w:pPr>
      <w:r>
        <w:rPr>
          <w:rFonts w:hint="eastAsia" w:hAnsi="Calibri"/>
          <w:color w:val="auto"/>
          <w:highlight w:val="none"/>
        </w:rPr>
        <w:t>4.2.1在招投标信息系统上以全流程采购方式完成分包工程采购的，即视为工程分包发包单位完成分包结果备案。</w:t>
      </w:r>
    </w:p>
    <w:p w14:paraId="64F5303C">
      <w:pPr>
        <w:adjustRightInd w:val="0"/>
        <w:snapToGrid w:val="0"/>
        <w:ind w:firstLine="480" w:firstLineChars="200"/>
        <w:rPr>
          <w:rFonts w:hAnsi="Calibri"/>
          <w:color w:val="auto"/>
          <w:highlight w:val="none"/>
        </w:rPr>
      </w:pPr>
      <w:r>
        <w:rPr>
          <w:rFonts w:hint="eastAsia" w:hAnsi="Calibri"/>
          <w:color w:val="auto"/>
          <w:highlight w:val="none"/>
        </w:rPr>
        <w:t>4.2.2未在招投标信息系统上以全流程采购方式完成分包工程采购的，工程分包发包单位应当在确定分包单位后7日内，在招投标信息系统上填报分包结果完成备案。</w:t>
      </w:r>
    </w:p>
    <w:p w14:paraId="3C802382">
      <w:pPr>
        <w:adjustRightInd w:val="0"/>
        <w:snapToGrid w:val="0"/>
        <w:ind w:firstLine="480" w:firstLineChars="200"/>
        <w:rPr>
          <w:rFonts w:hAnsi="Calibri"/>
          <w:color w:val="auto"/>
          <w:highlight w:val="none"/>
        </w:rPr>
      </w:pPr>
      <w:r>
        <w:rPr>
          <w:rFonts w:hint="eastAsia" w:hAnsi="Calibri"/>
          <w:color w:val="auto"/>
          <w:highlight w:val="none"/>
        </w:rPr>
        <w:t>4.2.3工程分包发包单位与建设单位或再发包单位签订的合同中已明确分包单位的，不再进行分包结果备案，应当督促其分包单位在招投标信息系统中完成入库注册，并在中国石化承包商管理平台中提报分包单位相关信息。</w:t>
      </w:r>
    </w:p>
    <w:p w14:paraId="4DFCC960">
      <w:pPr>
        <w:adjustRightInd w:val="0"/>
        <w:snapToGrid w:val="0"/>
        <w:ind w:firstLine="480" w:firstLineChars="200"/>
        <w:rPr>
          <w:rFonts w:hAnsi="Calibri"/>
          <w:color w:val="auto"/>
          <w:highlight w:val="none"/>
        </w:rPr>
      </w:pPr>
      <w:r>
        <w:rPr>
          <w:rFonts w:hint="eastAsia" w:hAnsi="Calibri"/>
          <w:color w:val="auto"/>
          <w:highlight w:val="none"/>
        </w:rPr>
        <w:t>4.3工程分包合同备案</w:t>
      </w:r>
    </w:p>
    <w:p w14:paraId="195002A5">
      <w:pPr>
        <w:adjustRightInd w:val="0"/>
        <w:snapToGrid w:val="0"/>
        <w:ind w:firstLine="480" w:firstLineChars="200"/>
        <w:rPr>
          <w:rFonts w:hAnsi="Calibri"/>
          <w:color w:val="auto"/>
          <w:highlight w:val="none"/>
        </w:rPr>
      </w:pPr>
      <w:r>
        <w:rPr>
          <w:rFonts w:hint="eastAsia" w:hAnsi="Calibri"/>
          <w:color w:val="auto"/>
          <w:highlight w:val="none"/>
        </w:rPr>
        <w:t>4.3.1在招投标信息系统上完成分包工程采购且在中国石化合同管理信息系统上签订分包合同的，即视为工程分包发包单位完成分包合同备案。</w:t>
      </w:r>
    </w:p>
    <w:p w14:paraId="6B564566">
      <w:pPr>
        <w:adjustRightInd w:val="0"/>
        <w:snapToGrid w:val="0"/>
        <w:ind w:firstLine="480" w:firstLineChars="200"/>
        <w:rPr>
          <w:rFonts w:hAnsi="Calibri"/>
          <w:color w:val="auto"/>
          <w:highlight w:val="none"/>
        </w:rPr>
      </w:pPr>
      <w:r>
        <w:rPr>
          <w:rFonts w:hint="eastAsia" w:hAnsi="Calibri"/>
          <w:color w:val="auto"/>
          <w:highlight w:val="none"/>
        </w:rPr>
        <w:t>4.3.2非中国石化下属承包单位，应当在分包合同签订后7日内，在招投标信息系统上传分包合同完成备案。</w:t>
      </w:r>
    </w:p>
    <w:p w14:paraId="4E5A9EFF">
      <w:pPr>
        <w:adjustRightInd w:val="0"/>
        <w:snapToGrid w:val="0"/>
        <w:ind w:firstLine="480" w:firstLineChars="200"/>
        <w:rPr>
          <w:rFonts w:hAnsi="Calibri"/>
          <w:color w:val="auto"/>
          <w:highlight w:val="none"/>
        </w:rPr>
      </w:pPr>
      <w:r>
        <w:rPr>
          <w:rFonts w:hint="eastAsia" w:hAnsi="Calibri"/>
          <w:color w:val="auto"/>
          <w:highlight w:val="none"/>
        </w:rPr>
        <w:t>5检查与监督</w:t>
      </w:r>
    </w:p>
    <w:p w14:paraId="336C4476">
      <w:pPr>
        <w:adjustRightInd w:val="0"/>
        <w:snapToGrid w:val="0"/>
        <w:ind w:firstLine="480" w:firstLineChars="200"/>
        <w:rPr>
          <w:rFonts w:hAnsi="Calibri"/>
          <w:color w:val="auto"/>
          <w:highlight w:val="none"/>
        </w:rPr>
      </w:pPr>
      <w:r>
        <w:rPr>
          <w:rFonts w:hint="eastAsia" w:hAnsi="Calibri"/>
          <w:color w:val="auto"/>
          <w:highlight w:val="none"/>
        </w:rPr>
        <w:t>5.1检查与监督主体和对象</w:t>
      </w:r>
    </w:p>
    <w:p w14:paraId="1356ACE1">
      <w:pPr>
        <w:adjustRightInd w:val="0"/>
        <w:snapToGrid w:val="0"/>
        <w:ind w:firstLine="480" w:firstLineChars="200"/>
        <w:rPr>
          <w:rFonts w:hAnsi="Calibri"/>
          <w:color w:val="auto"/>
          <w:highlight w:val="none"/>
        </w:rPr>
      </w:pPr>
      <w:r>
        <w:rPr>
          <w:rFonts w:hint="eastAsia" w:hAnsi="Calibri"/>
          <w:color w:val="auto"/>
          <w:highlight w:val="none"/>
        </w:rPr>
        <w:t>5.1.1工程部是检查与监督主体，各级有关职能部门可依据国家法律法规和中国石化有关规定，对建设工程分包管理进行监督检查。</w:t>
      </w:r>
    </w:p>
    <w:p w14:paraId="52C0D123">
      <w:pPr>
        <w:adjustRightInd w:val="0"/>
        <w:snapToGrid w:val="0"/>
        <w:ind w:firstLine="480" w:firstLineChars="200"/>
        <w:rPr>
          <w:rFonts w:hAnsi="Calibri"/>
          <w:color w:val="auto"/>
          <w:highlight w:val="none"/>
        </w:rPr>
      </w:pPr>
      <w:r>
        <w:rPr>
          <w:rFonts w:hint="eastAsia" w:hAnsi="Calibri"/>
          <w:color w:val="auto"/>
          <w:highlight w:val="none"/>
        </w:rPr>
        <w:t>5.1.2建设单位、承包单位是检查与监督对象，接受工程部及各级有关职能部门的监督检查。</w:t>
      </w:r>
    </w:p>
    <w:p w14:paraId="1D9BE812">
      <w:pPr>
        <w:adjustRightInd w:val="0"/>
        <w:snapToGrid w:val="0"/>
        <w:ind w:firstLine="480" w:firstLineChars="200"/>
        <w:rPr>
          <w:rFonts w:hAnsi="Calibri"/>
          <w:color w:val="auto"/>
          <w:highlight w:val="none"/>
        </w:rPr>
      </w:pPr>
      <w:r>
        <w:rPr>
          <w:rFonts w:hint="eastAsia" w:hAnsi="Calibri"/>
          <w:color w:val="auto"/>
          <w:highlight w:val="none"/>
        </w:rPr>
        <w:t>5.2检查与监督内容</w:t>
      </w:r>
    </w:p>
    <w:p w14:paraId="64BA3F57">
      <w:pPr>
        <w:adjustRightInd w:val="0"/>
        <w:snapToGrid w:val="0"/>
        <w:ind w:firstLine="480" w:firstLineChars="200"/>
        <w:rPr>
          <w:rFonts w:hAnsi="Calibri"/>
          <w:color w:val="auto"/>
          <w:highlight w:val="none"/>
        </w:rPr>
      </w:pPr>
      <w:r>
        <w:rPr>
          <w:rFonts w:hint="eastAsia" w:hAnsi="Calibri"/>
          <w:color w:val="auto"/>
          <w:highlight w:val="none"/>
        </w:rPr>
        <w:t>5.2.1工程部采取抽查、网上监督、专项检查和组织、参与多部门联合检查等方式，对建设单位分包管理和相关制度的执行情况进行检查与监督，并通过对建设单位的检查与监督，延伸和覆盖对中国石化工程分包市场各主体的履约监管。</w:t>
      </w:r>
    </w:p>
    <w:p w14:paraId="5A11DE68">
      <w:pPr>
        <w:adjustRightInd w:val="0"/>
        <w:snapToGrid w:val="0"/>
        <w:ind w:firstLine="480" w:firstLineChars="200"/>
        <w:rPr>
          <w:rFonts w:hAnsi="Calibri"/>
          <w:color w:val="auto"/>
          <w:highlight w:val="none"/>
        </w:rPr>
      </w:pPr>
      <w:r>
        <w:rPr>
          <w:rFonts w:hint="eastAsia" w:hAnsi="Calibri"/>
          <w:color w:val="auto"/>
          <w:highlight w:val="none"/>
        </w:rPr>
        <w:t>5.2.2建设单位、工程分包发包单位应当切实履行对分包单位的监督管理责任，一级对一级负责，发现违法违规行为应当及时制止并书面向建设单位和工程部报告。</w:t>
      </w:r>
    </w:p>
    <w:p w14:paraId="1656FFEE">
      <w:pPr>
        <w:adjustRightInd w:val="0"/>
        <w:snapToGrid w:val="0"/>
        <w:ind w:firstLine="480" w:firstLineChars="200"/>
        <w:rPr>
          <w:rFonts w:hAnsi="Calibri"/>
          <w:color w:val="auto"/>
          <w:highlight w:val="none"/>
        </w:rPr>
      </w:pPr>
      <w:r>
        <w:rPr>
          <w:rFonts w:hint="eastAsia" w:hAnsi="Calibri"/>
          <w:color w:val="auto"/>
          <w:highlight w:val="none"/>
        </w:rPr>
        <w:t>5.3检查考核方法</w:t>
      </w:r>
    </w:p>
    <w:p w14:paraId="5B8C3E55">
      <w:pPr>
        <w:adjustRightInd w:val="0"/>
        <w:snapToGrid w:val="0"/>
        <w:ind w:firstLine="480" w:firstLineChars="200"/>
        <w:rPr>
          <w:rFonts w:hAnsi="Calibri"/>
          <w:color w:val="auto"/>
          <w:highlight w:val="none"/>
        </w:rPr>
      </w:pPr>
      <w:r>
        <w:rPr>
          <w:rFonts w:hint="eastAsia" w:hAnsi="Calibri"/>
          <w:color w:val="auto"/>
          <w:highlight w:val="none"/>
        </w:rPr>
        <w:t>5.3.1建设单位和工程分包发包单位应按《中国石化建设工程市场诚信体系管理办法》和《中国石化建设项目承包商记分量化考核管理办法（试行）》，及时对承包单位和分包单位进行考核。</w:t>
      </w:r>
    </w:p>
    <w:p w14:paraId="63942FB5">
      <w:pPr>
        <w:adjustRightInd w:val="0"/>
        <w:snapToGrid w:val="0"/>
        <w:ind w:firstLine="480" w:firstLineChars="200"/>
        <w:rPr>
          <w:rFonts w:hAnsi="Calibri"/>
          <w:color w:val="auto"/>
          <w:highlight w:val="none"/>
        </w:rPr>
      </w:pPr>
      <w:r>
        <w:rPr>
          <w:rFonts w:hint="eastAsia" w:hAnsi="Calibri"/>
          <w:color w:val="auto"/>
          <w:highlight w:val="none"/>
        </w:rPr>
        <w:t>5.3.2工程部对考核情况进行监督检查。</w:t>
      </w:r>
    </w:p>
    <w:p w14:paraId="36E4F470">
      <w:pPr>
        <w:adjustRightInd w:val="0"/>
        <w:snapToGrid w:val="0"/>
        <w:ind w:firstLine="480" w:firstLineChars="200"/>
        <w:rPr>
          <w:rFonts w:hAnsi="Calibri"/>
          <w:color w:val="auto"/>
          <w:highlight w:val="none"/>
        </w:rPr>
      </w:pPr>
      <w:r>
        <w:rPr>
          <w:rFonts w:hint="eastAsia" w:hAnsi="Calibri"/>
          <w:color w:val="auto"/>
          <w:highlight w:val="none"/>
        </w:rPr>
        <w:t>6处理</w:t>
      </w:r>
    </w:p>
    <w:p w14:paraId="6B536451">
      <w:pPr>
        <w:adjustRightInd w:val="0"/>
        <w:snapToGrid w:val="0"/>
        <w:ind w:firstLine="480" w:firstLineChars="200"/>
        <w:rPr>
          <w:rFonts w:hAnsi="Calibri"/>
          <w:color w:val="auto"/>
          <w:highlight w:val="none"/>
        </w:rPr>
      </w:pPr>
      <w:r>
        <w:rPr>
          <w:rFonts w:hint="eastAsia" w:hAnsi="Calibri"/>
          <w:color w:val="auto"/>
          <w:highlight w:val="none"/>
        </w:rPr>
        <w:t>6.1对承包单位未能按照本办法规定履行职责，或在工程分包活动中出现违规违纪违法行为，除追究其合同约定责任外，将按照《中国石化建设工程招标投标管理规定》、《中国石化建设工程市场诚信体系管理办法》和《中国石化建设项目承包商记分量化考核管理办法（试行）》予以处理。</w:t>
      </w:r>
    </w:p>
    <w:p w14:paraId="518947B6">
      <w:pPr>
        <w:adjustRightInd w:val="0"/>
        <w:snapToGrid w:val="0"/>
        <w:ind w:firstLine="480" w:firstLineChars="200"/>
        <w:rPr>
          <w:rFonts w:hAnsi="Calibri"/>
          <w:color w:val="auto"/>
          <w:highlight w:val="none"/>
        </w:rPr>
      </w:pPr>
      <w:r>
        <w:rPr>
          <w:rFonts w:hint="eastAsia" w:hAnsi="Calibri"/>
          <w:color w:val="auto"/>
          <w:highlight w:val="none"/>
        </w:rPr>
        <w:t>6.2对建设单位未能按照本办法规定履行职责，涉嫌指定分包及非法干涉工程分包发包等违规违纪违法行为的，一经查实，将按照《中国石化建设工程招标投标管理规定》予以处理。</w:t>
      </w:r>
    </w:p>
    <w:p w14:paraId="521B4B38">
      <w:pPr>
        <w:snapToGrid w:val="0"/>
        <w:ind w:firstLine="480" w:firstLineChars="200"/>
        <w:rPr>
          <w:rFonts w:cs="Arial"/>
          <w:color w:val="auto"/>
          <w:highlight w:val="none"/>
        </w:rPr>
      </w:pPr>
      <w:r>
        <w:rPr>
          <w:rFonts w:hint="eastAsia" w:hAnsi="Calibri"/>
          <w:color w:val="auto"/>
          <w:highlight w:val="none"/>
        </w:rPr>
        <w:t>6.3对监管检查中发现的涉嫌严重违规违纪或职务违法职务犯罪的问题线索，按规定程序移交纪检监察组处置；其他问题按规定移交有关部门整改、处理。</w:t>
      </w:r>
    </w:p>
    <w:p w14:paraId="2D67C539">
      <w:pPr>
        <w:snapToGrid w:val="0"/>
        <w:ind w:firstLine="480" w:firstLineChars="200"/>
        <w:rPr>
          <w:rFonts w:hAnsi="Calibri"/>
          <w:color w:val="auto"/>
          <w:highlight w:val="none"/>
        </w:rPr>
      </w:pPr>
      <w:r>
        <w:rPr>
          <w:rFonts w:hint="eastAsia" w:hAnsi="Calibri"/>
          <w:color w:val="auto"/>
          <w:highlight w:val="none"/>
        </w:rPr>
        <w:t>7附件</w:t>
      </w:r>
    </w:p>
    <w:p w14:paraId="3DC26C26">
      <w:pPr>
        <w:snapToGrid w:val="0"/>
        <w:ind w:firstLine="480" w:firstLineChars="200"/>
        <w:rPr>
          <w:rFonts w:hAnsi="Calibri"/>
          <w:color w:val="auto"/>
          <w:highlight w:val="none"/>
        </w:rPr>
      </w:pPr>
      <w:r>
        <w:rPr>
          <w:rFonts w:hint="eastAsia" w:hAnsi="Calibri"/>
          <w:color w:val="auto"/>
          <w:highlight w:val="none"/>
        </w:rPr>
        <w:t>业务职责分工表</w:t>
      </w:r>
    </w:p>
    <w:p w14:paraId="13D640B6">
      <w:pPr>
        <w:snapToGrid w:val="0"/>
        <w:jc w:val="left"/>
        <w:rPr>
          <w:color w:val="auto"/>
          <w:highlight w:val="none"/>
        </w:rPr>
        <w:sectPr>
          <w:pgSz w:w="11906" w:h="16838"/>
          <w:pgMar w:top="1440" w:right="1800" w:bottom="1440" w:left="1800" w:header="851" w:footer="992" w:gutter="0"/>
          <w:cols w:space="720" w:num="1"/>
          <w:docGrid w:type="lines" w:linePitch="312" w:charSpace="0"/>
        </w:sectPr>
      </w:pPr>
    </w:p>
    <w:p w14:paraId="124E8B6D">
      <w:pPr>
        <w:keepNext/>
        <w:keepLines/>
        <w:widowControl/>
        <w:adjustRightInd/>
        <w:snapToGrid/>
        <w:spacing w:line="240" w:lineRule="auto"/>
        <w:ind w:firstLine="0" w:firstLineChars="0"/>
        <w:jc w:val="left"/>
        <w:outlineLvl w:val="1"/>
        <w:rPr>
          <w:rFonts w:ascii="Times New Roman" w:hAnsi="Times New Roman" w:cs="Arial"/>
          <w:color w:val="auto"/>
          <w:szCs w:val="32"/>
          <w:highlight w:val="none"/>
        </w:rPr>
      </w:pPr>
      <w:bookmarkStart w:id="1293" w:name="_Toc256000145"/>
      <w:bookmarkStart w:id="1294" w:name="_Toc1000016217"/>
      <w:bookmarkStart w:id="1295" w:name="_Toc119953790"/>
      <w:bookmarkStart w:id="1296" w:name="_Toc25778"/>
      <w:bookmarkStart w:id="1297" w:name="_Toc1660796194"/>
      <w:r>
        <w:rPr>
          <w:rFonts w:hint="eastAsia" w:ascii="Times New Roman" w:hAnsi="Times New Roman" w:cs="Arial"/>
          <w:color w:val="auto"/>
          <w:szCs w:val="32"/>
          <w:highlight w:val="none"/>
        </w:rPr>
        <w:t>附件2</w:t>
      </w:r>
      <w:r>
        <w:rPr>
          <w:rFonts w:hint="eastAsia" w:cs="Arial"/>
          <w:color w:val="auto"/>
          <w:szCs w:val="32"/>
          <w:highlight w:val="none"/>
          <w:lang w:val="en-US" w:eastAsia="zh-CN"/>
        </w:rPr>
        <w:t>1</w:t>
      </w:r>
      <w:r>
        <w:rPr>
          <w:rFonts w:hint="eastAsia" w:ascii="Times New Roman" w:hAnsi="Times New Roman" w:cs="Arial"/>
          <w:color w:val="auto"/>
          <w:szCs w:val="32"/>
          <w:highlight w:val="none"/>
        </w:rPr>
        <w:t>：《中国石化承包商安全监督管理办法》</w:t>
      </w:r>
      <w:bookmarkEnd w:id="1293"/>
    </w:p>
    <w:p w14:paraId="4436C488">
      <w:pPr>
        <w:adjustRightInd w:val="0"/>
        <w:snapToGrid w:val="0"/>
        <w:ind w:firstLine="480" w:firstLineChars="200"/>
        <w:jc w:val="left"/>
        <w:rPr>
          <w:rFonts w:ascii="Times New Roman" w:hAnsi="Times New Roman"/>
          <w:color w:val="auto"/>
          <w:highlight w:val="none"/>
        </w:rPr>
      </w:pPr>
      <w:r>
        <w:rPr>
          <w:rFonts w:hint="eastAsia" w:ascii="Times New Roman" w:hAnsi="Times New Roman"/>
          <w:color w:val="auto"/>
          <w:highlight w:val="none"/>
        </w:rPr>
        <w:t>中国石化承包商安全监督管理办法</w:t>
      </w:r>
    </w:p>
    <w:p w14:paraId="558E845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1总则</w:t>
      </w:r>
    </w:p>
    <w:p w14:paraId="320D3EBB">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1.1为加强中国石化承包商安全监督管理工作，防止生产安全事故发生，保障人身和财产安全，依据国家相关法律法规，制定本办法。</w:t>
      </w:r>
    </w:p>
    <w:p w14:paraId="4F3CA75B">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1.2规范内容界定</w:t>
      </w:r>
    </w:p>
    <w:p w14:paraId="41B6FCD2">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1.2.1本办法适用于中国石化各企事业单位、股份公司各分（子）公司、控股和负责管理的合资公司。</w:t>
      </w:r>
    </w:p>
    <w:p w14:paraId="4502C4B8">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1.2.2本办法所称承包商是指承担工程建设、检维修、现场技术服务、生产经营过程中涉及安全生产外包业务（以下简称外包业务）的单位，包括项目管理、项目监理、项目总承包、施工总承包、分包以及勘察、设计、检验检测等单位。</w:t>
      </w:r>
    </w:p>
    <w:p w14:paraId="23928679">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1.2.3本办法所称业主是指项目投资方、资产所有方或委托管理方。</w:t>
      </w:r>
    </w:p>
    <w:p w14:paraId="2B115FE7">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1.2.4本办法明确了招投标、资质审查、合同签订、分包、开工准备、施工作业现场、监理、安全生产费用、检查与监督考核等安全管理要求。</w:t>
      </w:r>
    </w:p>
    <w:p w14:paraId="6DA1E90C">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1.3管理原则承包商安全监督管理工作遵循“谁发包谁负责”“谁用工谁负责”“谁的属地谁负责”的原则。</w:t>
      </w:r>
    </w:p>
    <w:p w14:paraId="58D0D90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2组织管理与职责</w:t>
      </w:r>
    </w:p>
    <w:p w14:paraId="7EEBED95">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2.1企业安全管理部门是承包商安全监督归口管理部门，应设置承包商安全监督管理专（兼）职岗位。主要职责包括：</w:t>
      </w:r>
    </w:p>
    <w:p w14:paraId="112DE023">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2.1.1负责制定承包商安全监督管理制度，并监督检查落实情况，组织开展承包商安全绩效考核；</w:t>
      </w:r>
    </w:p>
    <w:p w14:paraId="503425C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2.1.2参加承包商安全资质、招投标文件及合同的审查，审核相关安全保障措施和安全生产管理协议；</w:t>
      </w:r>
    </w:p>
    <w:p w14:paraId="12BAD3A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2.1.3负责承包商各类人员的安全教育培训；</w:t>
      </w:r>
    </w:p>
    <w:p w14:paraId="675D0F5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2.1.4组织开展承包商安全督查；</w:t>
      </w:r>
    </w:p>
    <w:p w14:paraId="13A228E5">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2.1.5参加项目安全生产费用拨付的会签，对各类项目安全生产费用的管理进行监督检查；</w:t>
      </w:r>
    </w:p>
    <w:p w14:paraId="2AF4E469">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2.1.6参加承包商生产安全事故应急预案的评审，指导承包商开展应急演练。负责承包商生产安全事故调查和处理。</w:t>
      </w:r>
    </w:p>
    <w:p w14:paraId="1F37B37A">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2.2企业生产、技术、设备、工程、经营等其他职能部门（以下统称项目实施主管部门）是业务范围内承包商安全管理的责任主体。主要职责包括：</w:t>
      </w:r>
    </w:p>
    <w:p w14:paraId="35F498AA">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2.2.1负责项目招投标、合同签订、分包、开工准备、施工作业组织及承包商班组建设等业务的安全管理；</w:t>
      </w:r>
    </w:p>
    <w:p w14:paraId="58EB24F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2.2.2负责组织承包商及人员安全资质和能力审查；</w:t>
      </w:r>
    </w:p>
    <w:p w14:paraId="238CE45D">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2.2.3负责组织签订安全生产管理协议；</w:t>
      </w:r>
    </w:p>
    <w:p w14:paraId="0D77563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2.2.4负责项目安全生产费用使用的监督管理，做到专款专用；</w:t>
      </w:r>
    </w:p>
    <w:p w14:paraId="420028A7">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2.2.5负责监理业务的安全管理，明确项目监理单位安全职责和工作任务并组织落实；</w:t>
      </w:r>
    </w:p>
    <w:p w14:paraId="69F4D382">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2.2.6负责对承包商安全责任落实情况开展日常监督检查，并将安全绩效纳入综合考核；</w:t>
      </w:r>
    </w:p>
    <w:p w14:paraId="30F1598A">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2.2.7负责组织承包商生产安全事故应急预案评审，组织承包商开展应急演练。参与本专业领域内承包商生产安全事故的调查和处理。</w:t>
      </w:r>
    </w:p>
    <w:p w14:paraId="5A3E4A46">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2.3企业属地单位职责</w:t>
      </w:r>
    </w:p>
    <w:p w14:paraId="7CB6C4CE">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2.3.1对进入所辖区域的承包商履行属地安全管理责任；</w:t>
      </w:r>
    </w:p>
    <w:p w14:paraId="4802840E">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2.3.2对承包商落实相关标准规范、作业许可管理等制度情况进行日常监督检查；</w:t>
      </w:r>
    </w:p>
    <w:p w14:paraId="350B283B">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2.3.3负责外包业务班组管理、“双边”作业及现场的安全风险管控和承包商人员属地安全教育；</w:t>
      </w:r>
    </w:p>
    <w:p w14:paraId="3FAD4F0B">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2.3.4负责向承包商提供满足安全要求的施工作业环境。</w:t>
      </w:r>
    </w:p>
    <w:p w14:paraId="45BA93D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3管理内容及要求</w:t>
      </w:r>
    </w:p>
    <w:p w14:paraId="3A8F7AB3">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3.1总体要求</w:t>
      </w:r>
    </w:p>
    <w:p w14:paraId="1BBE010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3.1.1企业应当加强承包商安全管理，严格准入资质管理，把承包商和劳务派遣人员统一纳入企业HSE管理体系。项目发包人应将分包商纳入统一管理。</w:t>
      </w:r>
    </w:p>
    <w:p w14:paraId="2194D4E2">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3.1.2企业应对承包商安全资质、专业资质和QHSE管理体系运行情况进行审查确认。重点做好承包商能力、资源（人、机具）与其承接项目的匹配性评估，科学选商，从源头上控制风险。禁止使用不具备国家规定资质和安全生产保障能力的承包商。</w:t>
      </w:r>
    </w:p>
    <w:p w14:paraId="5B7F8EA8">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3.1.3企业应要求承揽外包业务的承包商建立健全与企业协调一致的HSE管理体系，动态监测其绩效。</w:t>
      </w:r>
    </w:p>
    <w:p w14:paraId="06F05C7C">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3.1.4企业应定期召开承包商安全会议，开展承包商安全检查，组织整改发现的问题。</w:t>
      </w:r>
    </w:p>
    <w:p w14:paraId="28FEB587">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3.1.5企业应将承包商纳入基层安全管理网格化范围。</w:t>
      </w:r>
    </w:p>
    <w:p w14:paraId="75D7BD8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3.2招投标过程安全管理</w:t>
      </w:r>
    </w:p>
    <w:p w14:paraId="335ACC1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3.2.1招标文件应明确以下内容及要求：</w:t>
      </w:r>
    </w:p>
    <w:p w14:paraId="15283C0E">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3.2.1.1项目实施过程中的主要危险源和危害因素；</w:t>
      </w:r>
    </w:p>
    <w:p w14:paraId="33196A4D">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3.2.1.2项目施工作业管理及安全管理总体要求；</w:t>
      </w:r>
    </w:p>
    <w:p w14:paraId="413EE57E">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3.2.1.3承包商项目经理和施工、技术、质量、安全等负责人（以下统称承包商关键管理人员），主要工种的配备和培训教育要求，以及班组建设要求；</w:t>
      </w:r>
    </w:p>
    <w:p w14:paraId="09E97645">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3.2.1.4项目安全生产费用管理和使用要求，以及费率、支付计划、调整方式等；</w:t>
      </w:r>
    </w:p>
    <w:p w14:paraId="260E8ECC">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3.2.1.5项目实施过程中应执行的安全管理规范、制度以及安全文明施工作业、劳动保护标准；</w:t>
      </w:r>
    </w:p>
    <w:p w14:paraId="446C9513">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3.2.1.6承包商安全管理违约赔偿与处罚标准。</w:t>
      </w:r>
    </w:p>
    <w:p w14:paraId="2E614E8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3.2.2投标文件应明确以下内容及要求：</w:t>
      </w:r>
    </w:p>
    <w:p w14:paraId="5E29B8DD">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3.2.2.1投标人应提交项目安全管理方案，并对招标文件提出的安全管理要求进行针对性响应；</w:t>
      </w:r>
    </w:p>
    <w:p w14:paraId="0BE54633">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3.2.2.2项目分包方式及控制措施；</w:t>
      </w:r>
    </w:p>
    <w:p w14:paraId="6463F320">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3.2.2.3安全生产费用管理、使用方案，投标报价应当包含并单列安全生产费用，竞标时不得删减。</w:t>
      </w:r>
    </w:p>
    <w:p w14:paraId="7074C02C">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3.2.3评标时，技术标中的安全保证措施内容所占分值不得低于技术标总分值的25%，安全风险较大的项目应提高比例。</w:t>
      </w:r>
    </w:p>
    <w:p w14:paraId="60E8A3FE">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3.3资质审查过程安全管理</w:t>
      </w:r>
    </w:p>
    <w:p w14:paraId="7520FB2C">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3.3.1企业项目实施主管部门应明确所辖业务领域内承包商及人员选用条件、各类资质和安全能力要求，并动态管理。</w:t>
      </w:r>
    </w:p>
    <w:p w14:paraId="23819E19">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3.3.2企业应对投标人及中标人的施工、安全等资质进行审查。项目分包发包人负责分包商各类资质审查，并报业主批准、备案。</w:t>
      </w:r>
    </w:p>
    <w:p w14:paraId="61F2252B">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3.3.3审查内容：</w:t>
      </w:r>
    </w:p>
    <w:p w14:paraId="4E130BC7">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3.3.3.1政府要求具备的施工、安全资质；</w:t>
      </w:r>
    </w:p>
    <w:p w14:paraId="46A8C2BA">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3.3.3.2QHSE管理体系或安全管理体系的建立情况，以及近三年安全业绩；</w:t>
      </w:r>
    </w:p>
    <w:p w14:paraId="61BA2C18">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3.3.3.3项目经理和施工、技术、质量、安全等管理人员取得政府颁发的职业（执业）资格、安全资格，以及特种作业人员和特种设备作业人员资格证书；</w:t>
      </w:r>
    </w:p>
    <w:p w14:paraId="393248B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3.3.3.4是否被列入政府部门发布的安全生产领域失信惩戒或限制性名单。</w:t>
      </w:r>
    </w:p>
    <w:p w14:paraId="50E977C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3.4合同签订过程安全管理</w:t>
      </w:r>
    </w:p>
    <w:p w14:paraId="02D0705A">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3.4.1合同中施工作业、技术、安全等各项条款内容应与招标文件要求及投标文件承诺相一致。</w:t>
      </w:r>
    </w:p>
    <w:p w14:paraId="086A1E1A">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3.4.2合同中应约定承包商关键管理人员名单，不得擅自更换。</w:t>
      </w:r>
    </w:p>
    <w:p w14:paraId="7090A4AC">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3.4.3签订合同时应同时签订安全生产管理协议，明确各方的工作界面、安全及职业病防治责任，约定各方在施工作业安全条件、隐患排查与治理、安全教育与培训、事故应急救援、安全检查与考核等方面的管理内容。</w:t>
      </w:r>
    </w:p>
    <w:p w14:paraId="3FA3952A">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3.5分包过程安全管理</w:t>
      </w:r>
    </w:p>
    <w:p w14:paraId="3FC5AB5D">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3.5.1禁止项目转包、违法分包；专业分包商不得将项目进行专业再分包；禁止以劳务名义进行专业分包。</w:t>
      </w:r>
    </w:p>
    <w:p w14:paraId="4FD51E5B">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3.5.2实施分包的项目，安全责任不能分包。分包合同签</w:t>
      </w:r>
    </w:p>
    <w:p w14:paraId="6D850A7D">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订时，应按照本办法第3.4条要求执行。</w:t>
      </w:r>
    </w:p>
    <w:p w14:paraId="025D562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3.5.3发包人应明确劳务分包商可实施的施工作业类别，严禁劳务分包商超范围实施作业。</w:t>
      </w:r>
    </w:p>
    <w:p w14:paraId="12370479">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3.5.4劳务分包时，发包人应负责组建相应的施工现场管理机构，编制技术文件，提供个体劳动防护用品等。</w:t>
      </w:r>
    </w:p>
    <w:p w14:paraId="5588F94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3.5.5发包人应将劳务人员的身份证、特种作业操作证、特种设备作业人员证以及上岗证等进行电子化建档保存，并报业主备案。</w:t>
      </w:r>
    </w:p>
    <w:p w14:paraId="3E66EEA6">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3.5.6总承包单位进行项目分包时，不得扣减脚手架、基坑支护等安全防护措施费用；总承包单位对脚手架工程单独分包时，不得以管理费名义扣减任何费用。</w:t>
      </w:r>
    </w:p>
    <w:p w14:paraId="6DAECF8F">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3.6开工前安全管理</w:t>
      </w:r>
    </w:p>
    <w:p w14:paraId="165A1DB8">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3.6.1人员要求</w:t>
      </w:r>
    </w:p>
    <w:p w14:paraId="40FF357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3.6.1.1承包商涉及职业病危害的所有人员应有职业健康体检合格证明，无从事作业所涉及的职业禁忌证，现场作业人员的年龄不应超过法定退休年龄。</w:t>
      </w:r>
    </w:p>
    <w:p w14:paraId="14750D49">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3.6.1.2承包商所有人员已通过当地公安系统进行身份信息采集、比对。禁止非法人员进入现场。</w:t>
      </w:r>
    </w:p>
    <w:p w14:paraId="2503725F">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3.6.2教育培训要求</w:t>
      </w:r>
    </w:p>
    <w:p w14:paraId="2EA43159">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3.6.2.1项目实施主管部门应组织对承包商特种作业人员、特种设备作业人员进行实操技能验证；发包人应对劳务人员进行业务技能考评、验证。</w:t>
      </w:r>
    </w:p>
    <w:p w14:paraId="21E705BC">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3.6.2.2安全管理部门应组织开展承包商人员入厂（场）安全教育、承包商管理人员专项安全培训，承包商作业许可开票人、监护人、审批人的资格认定。</w:t>
      </w:r>
    </w:p>
    <w:p w14:paraId="4B7AD71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3.6.2.3外包业务的承包商人员安全教育培训参照企业内部员工进行管理。</w:t>
      </w:r>
    </w:p>
    <w:p w14:paraId="76AAF386">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3.6.3安全技术交底</w:t>
      </w:r>
    </w:p>
    <w:p w14:paraId="63E40B5E">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3.6.3.1项目实施主管部门应对承包商进行安全技术交底，明确项目内容、危害因素及风险防控措施等；施工作业单位应向企业详细说明施工作业方案及安全技术措施。</w:t>
      </w:r>
    </w:p>
    <w:p w14:paraId="4765708C">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3.6.3.2施工作业单位技术人员应将相关安全技术措施要求向施工作业班组人员详细交底，并由相关方签字确认。</w:t>
      </w:r>
    </w:p>
    <w:p w14:paraId="78055EDF">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3.6.4安全条件确认</w:t>
      </w:r>
    </w:p>
    <w:p w14:paraId="3ABEE266">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3.6.4.1现场安全风险识别有效。</w:t>
      </w:r>
    </w:p>
    <w:p w14:paraId="7DEED1C7">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3.6.4.2施工作业技术措施及安全防护措施等条件符合要求。</w:t>
      </w:r>
    </w:p>
    <w:p w14:paraId="51054CB9">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3.6.4.3施工作业机器具安全技术性能完好。</w:t>
      </w:r>
    </w:p>
    <w:p w14:paraId="1D5EDDA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3.6.4.4承包商关键管理人员配备到位。</w:t>
      </w:r>
    </w:p>
    <w:p w14:paraId="031551A0">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3.6.4.5现场安全标准化建设工作符合合同约定。</w:t>
      </w:r>
    </w:p>
    <w:p w14:paraId="181EC869">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3.7现场安全管理</w:t>
      </w:r>
    </w:p>
    <w:p w14:paraId="19E330D9">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3.7.1施工作业现场应实行封闭化管理。野外施工作业现场无法做到封闭管理的，应设置警示带，划定警戒区，杜绝无关人员和车辆进出。</w:t>
      </w:r>
    </w:p>
    <w:p w14:paraId="336C288A">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3.7.2除长期在固定时间、固定区域、固定路线进行日常巡检的承包商人员，无业主相关人员带领，承包商人员不得进入生产区域。进入生产区域的承包商人员，不得擅动生产设备设施，未经许可不得擅自进入其他区域和场所。</w:t>
      </w:r>
    </w:p>
    <w:p w14:paraId="4D4C50D5">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3.7.3两个及以上承包商在同一区域内施工作业时，项目实施主管部门应组织相关方签订施工作业安全管理协议，并指定专人进行现场协调、管理。</w:t>
      </w:r>
    </w:p>
    <w:p w14:paraId="302DCBEF">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3.7.4承包商关键管理人员应按要求在场履职，未经业主允许不得擅自离场和更换。现场未成立作业班组的不得施工。</w:t>
      </w:r>
    </w:p>
    <w:p w14:paraId="291A159A">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3.7.5特殊作业以及危险性较大的施工作业现场必须实施全程视频监控。</w:t>
      </w:r>
    </w:p>
    <w:p w14:paraId="60F69DE5">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3.7.6企业应明确承包商借工管理程序、职责及权限，未经属地单位和项目实施主管部门审批同意，不得擅自借工。</w:t>
      </w:r>
    </w:p>
    <w:p w14:paraId="42443398">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3.7.7鼓励重点工程及装置大检修项目实施第三方安全监督。</w:t>
      </w:r>
    </w:p>
    <w:p w14:paraId="17A56D52">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3.8监理安全管理</w:t>
      </w:r>
    </w:p>
    <w:p w14:paraId="13A941BC">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3.8.1监理单位应具有建议、审查、指令、检查监督和停工等权限。</w:t>
      </w:r>
    </w:p>
    <w:p w14:paraId="1149B97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3.8.2监理单位应按要求配备总监理工程师、总监理工程师安全代表，按比例配足专业监理工程师，将安全责任落实到人。</w:t>
      </w:r>
    </w:p>
    <w:p w14:paraId="6E2E2840">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3.8.3监理单位应按要求编制安全监理工作方案，明确工作范围、内容、方法和措施等，报业主批准后实施。</w:t>
      </w:r>
    </w:p>
    <w:p w14:paraId="76E28A72">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3.8.4监理单位应组织审查施工组织设计、施工作业方案，编制项目安全旁站计划并实施。</w:t>
      </w:r>
    </w:p>
    <w:p w14:paraId="64847A12">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3.8.5监理单位应组织重大设计变更、工期调整等重要影响因素的论证和评估，监督相应安全保障措施的落实。</w:t>
      </w:r>
    </w:p>
    <w:p w14:paraId="661E81E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3.8.6监理单位应对承包商进场施工作业机器具进行检查、验收。项目实施过程中应定期核查日常检查记录及完好情况。</w:t>
      </w:r>
    </w:p>
    <w:p w14:paraId="327181D9">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3.8.7监理单位应对施工作业现场开展安全检查，监督各项安全技术措施及防护措施的落实。</w:t>
      </w:r>
    </w:p>
    <w:p w14:paraId="637B929A">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3.8.8监理单位应编制安全监理日志和月报，记录有关安全监理检查情况，并及时报送业主。</w:t>
      </w:r>
    </w:p>
    <w:p w14:paraId="6FA718BB">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3.9安全生产费用监督管理</w:t>
      </w:r>
    </w:p>
    <w:p w14:paraId="6E48BA5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3.9.1企业及承包商均应建立各类项目安全生产费用管理、提取和使用制度，明确管理程序、职责及权限。</w:t>
      </w:r>
    </w:p>
    <w:p w14:paraId="3156E240">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3.9.2建设项目发包人应按有关规定足额并及时将安全生产费用拨付给承包商。</w:t>
      </w:r>
    </w:p>
    <w:p w14:paraId="6D33DADD">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3.9.3承包商应合规使用安全生产费用，严禁虚报、套取、挪用安全生产费用；每月编制安全生产费用使用和财务核算情况报告，报发包人审核。</w:t>
      </w:r>
    </w:p>
    <w:p w14:paraId="56E2D9A2">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3.9.4除劳务分包形式外，项目总承包单位应将安全生产费用按比例直接支付给分包单位，并定期检查分包项目安全生产费用的使用情况，分包单位不再重复提取。</w:t>
      </w:r>
    </w:p>
    <w:p w14:paraId="6F83686D">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3.9.5日常检修、维保及外包业务等项目，企业应按规定足额拨付安全生产费用，并监督使用。</w:t>
      </w:r>
    </w:p>
    <w:p w14:paraId="171130D6">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4检查与监督考核</w:t>
      </w:r>
    </w:p>
    <w:p w14:paraId="7CE52AC2">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4.1检查</w:t>
      </w:r>
    </w:p>
    <w:p w14:paraId="0DAE6BA0">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4.1.1企业应建立承包商安全检查计划，及时开展安全检查。存在严重违章、重大隐患时，及时责令停工整改，将违章人员清除出施工作业现场。</w:t>
      </w:r>
    </w:p>
    <w:p w14:paraId="10EE88C2">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4.1.2承包商的上级单位应制定安全检查方案，定期对所承包项目的施工作业现场开展安全检查，并将检查情况和问题整改结果及时向业主进行书面报告。</w:t>
      </w:r>
    </w:p>
    <w:p w14:paraId="2C8299C7">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4.2监督考核</w:t>
      </w:r>
    </w:p>
    <w:p w14:paraId="17D04C4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4.2.1企业应制定承包商安全考核细则，明确违章处罚要求。对发生一般A级生产安全事故且负主要责任的承包商、多次出现严重违章行为的承包商，视情节给予清退、限制投标或列入“黑名单”的处罚。中国石化实行承包商“黑名单”共享机制。任何一家企业将有关承包商或承包商人员列入“黑名单”后，其他企业应同时适用。</w:t>
      </w:r>
    </w:p>
    <w:p w14:paraId="457B9023">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4.2.2企业应建立承包商安全双向考评机制，明确内容、管理程序及标准。</w:t>
      </w:r>
    </w:p>
    <w:p w14:paraId="28A2D62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4.2.3企业应建立健全承包商资质及施工作业人员数据库，动态完善承包商资质信息。定期发布承包商及人员违约处理情况，及时将承包商安全绩效考核结果录入集团公司相关信息系统。</w:t>
      </w:r>
    </w:p>
    <w:p w14:paraId="451DF994">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5附则</w:t>
      </w:r>
    </w:p>
    <w:p w14:paraId="0BBBEA0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5.1承包商在合同履行过程中，出现违约行为、发生人为破坏案（事）件和上访事件的，应按中国石化有关规定执行。</w:t>
      </w:r>
    </w:p>
    <w:p w14:paraId="6883FB71">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5.2各企业应结合本单位实际，制定承包商安全管理实施细则。</w:t>
      </w:r>
    </w:p>
    <w:p w14:paraId="2217D412">
      <w:pPr>
        <w:adjustRightInd w:val="0"/>
        <w:snapToGrid w:val="0"/>
        <w:spacing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5.3企业应建立承包商QHSE管理体系审核机制，对承包商QHSE管理体系与中国石化管理体系的符合性进行审核。</w:t>
      </w:r>
    </w:p>
    <w:p w14:paraId="279924E3">
      <w:pPr>
        <w:pStyle w:val="4"/>
        <w:ind w:left="480" w:firstLine="400"/>
        <w:rPr>
          <w:color w:val="auto"/>
          <w:highlight w:val="none"/>
        </w:rPr>
      </w:pPr>
    </w:p>
    <w:p w14:paraId="7BA5F7E2">
      <w:pPr>
        <w:spacing w:after="312" w:afterLines="0"/>
        <w:outlineLvl w:val="9"/>
        <w:rPr>
          <w:color w:val="auto"/>
          <w:highlight w:val="none"/>
        </w:rPr>
      </w:pPr>
      <w:r>
        <w:rPr>
          <w:rFonts w:hint="eastAsia"/>
          <w:color w:val="auto"/>
          <w:highlight w:val="none"/>
        </w:rPr>
        <w:br w:type="page"/>
      </w:r>
    </w:p>
    <w:p w14:paraId="0AE94C9F">
      <w:pPr>
        <w:spacing w:after="312" w:afterLines="100"/>
        <w:outlineLvl w:val="1"/>
        <w:rPr>
          <w:color w:val="auto"/>
          <w:highlight w:val="none"/>
        </w:rPr>
      </w:pPr>
      <w:bookmarkStart w:id="1298" w:name="_Toc256000146"/>
      <w:r>
        <w:rPr>
          <w:rFonts w:hint="eastAsia"/>
          <w:color w:val="auto"/>
          <w:highlight w:val="none"/>
        </w:rPr>
        <w:t>附件2</w:t>
      </w:r>
      <w:r>
        <w:rPr>
          <w:rFonts w:hint="eastAsia"/>
          <w:color w:val="auto"/>
          <w:highlight w:val="none"/>
          <w:lang w:val="en-US" w:eastAsia="zh-CN"/>
        </w:rPr>
        <w:t>2</w:t>
      </w:r>
      <w:r>
        <w:rPr>
          <w:rFonts w:hint="eastAsia"/>
          <w:color w:val="auto"/>
          <w:highlight w:val="none"/>
        </w:rPr>
        <w:t>：茂名石化安全生产“第1号”工作令</w:t>
      </w:r>
      <w:bookmarkEnd w:id="1294"/>
      <w:bookmarkEnd w:id="1295"/>
      <w:bookmarkEnd w:id="1296"/>
      <w:bookmarkEnd w:id="1297"/>
      <w:bookmarkEnd w:id="1298"/>
    </w:p>
    <w:p w14:paraId="5A57942A">
      <w:pPr>
        <w:widowControl/>
        <w:spacing w:line="240" w:lineRule="auto"/>
        <w:jc w:val="center"/>
        <w:rPr>
          <w:color w:val="auto"/>
          <w:highlight w:val="none"/>
        </w:rPr>
      </w:pPr>
      <w:r>
        <w:rPr>
          <w:rFonts w:hint="eastAsia"/>
          <w:color w:val="auto"/>
          <w:highlight w:val="none"/>
        </w:rPr>
        <w:t>茂名石化安全生产“第1号”工作令</w:t>
      </w:r>
    </w:p>
    <w:p w14:paraId="424469A4">
      <w:pPr>
        <w:widowControl/>
        <w:spacing w:line="240" w:lineRule="auto"/>
        <w:jc w:val="center"/>
        <w:rPr>
          <w:color w:val="auto"/>
          <w:highlight w:val="none"/>
        </w:rPr>
      </w:pPr>
      <w:r>
        <w:rPr>
          <w:rFonts w:hint="eastAsia"/>
          <w:color w:val="auto"/>
          <w:highlight w:val="none"/>
        </w:rPr>
        <w:t>茂名石化令【2021】1号</w:t>
      </w:r>
    </w:p>
    <w:p w14:paraId="21797AE7">
      <w:pPr>
        <w:widowControl/>
        <w:spacing w:line="240" w:lineRule="auto"/>
        <w:jc w:val="left"/>
        <w:rPr>
          <w:color w:val="auto"/>
          <w:sz w:val="21"/>
          <w:highlight w:val="none"/>
        </w:rPr>
      </w:pPr>
    </w:p>
    <w:p w14:paraId="340CA94F">
      <w:pPr>
        <w:widowControl/>
        <w:jc w:val="left"/>
        <w:rPr>
          <w:color w:val="auto"/>
          <w:highlight w:val="none"/>
        </w:rPr>
      </w:pPr>
      <w:r>
        <w:rPr>
          <w:rFonts w:hint="eastAsia"/>
          <w:color w:val="auto"/>
          <w:highlight w:val="none"/>
        </w:rPr>
        <w:t xml:space="preserve">    一、在未严格执行《茂名石化施工作业安全管理程序》的情况下，禁止一切施工作业，尤其是在有物料或公用介质的设备本体（包括管道）及附件上进行的作业，如拆卸螺栓、法兰、盲盖、堵头、盘根压盖等。</w:t>
      </w:r>
    </w:p>
    <w:p w14:paraId="592F56E9">
      <w:pPr>
        <w:rPr>
          <w:color w:val="auto"/>
          <w:highlight w:val="none"/>
        </w:rPr>
      </w:pPr>
      <w:r>
        <w:rPr>
          <w:rFonts w:hint="eastAsia"/>
          <w:color w:val="auto"/>
          <w:highlight w:val="none"/>
        </w:rPr>
        <w:t xml:space="preserve">    二、严格禁止使用阀门作为施工作业的隔断措施。在无法加装盲板的情况下，必须按照《茂名石化重大作业安全技术要求》组织实施。</w:t>
      </w:r>
    </w:p>
    <w:p w14:paraId="004EBF61">
      <w:pPr>
        <w:rPr>
          <w:b/>
          <w:bCs/>
          <w:color w:val="auto"/>
          <w:sz w:val="44"/>
          <w:szCs w:val="44"/>
          <w:highlight w:val="none"/>
        </w:rPr>
      </w:pPr>
      <w:r>
        <w:rPr>
          <w:b/>
          <w:bCs/>
          <w:color w:val="auto"/>
          <w:sz w:val="44"/>
          <w:szCs w:val="44"/>
          <w:highlight w:val="none"/>
        </w:rPr>
        <w:br w:type="page"/>
      </w:r>
    </w:p>
    <w:p w14:paraId="1DDEDAF8">
      <w:pPr>
        <w:spacing w:after="312" w:afterLines="100"/>
        <w:outlineLvl w:val="1"/>
        <w:rPr>
          <w:rFonts w:ascii="宋体" w:hAnsi="宋体" w:cs="宋体"/>
          <w:color w:val="auto"/>
          <w:highlight w:val="none"/>
        </w:rPr>
      </w:pPr>
      <w:bookmarkStart w:id="1299" w:name="_Toc256000147"/>
      <w:bookmarkStart w:id="1300" w:name="_Toc17329"/>
      <w:r>
        <w:rPr>
          <w:rFonts w:hint="eastAsia" w:ascii="宋体" w:hAnsi="宋体" w:cs="宋体"/>
          <w:color w:val="auto"/>
          <w:highlight w:val="none"/>
        </w:rPr>
        <w:t>附件2</w:t>
      </w:r>
      <w:r>
        <w:rPr>
          <w:rFonts w:hint="eastAsia" w:ascii="宋体" w:hAnsi="宋体" w:cs="宋体"/>
          <w:color w:val="auto"/>
          <w:highlight w:val="none"/>
          <w:lang w:val="en-US" w:eastAsia="zh-CN"/>
        </w:rPr>
        <w:t>2</w:t>
      </w:r>
      <w:r>
        <w:rPr>
          <w:rFonts w:hint="eastAsia" w:ascii="宋体" w:hAnsi="宋体" w:cs="宋体"/>
          <w:color w:val="auto"/>
          <w:highlight w:val="none"/>
        </w:rPr>
        <w:t>：茂名石化相关管理规定</w:t>
      </w:r>
      <w:bookmarkEnd w:id="1299"/>
      <w:bookmarkEnd w:id="1300"/>
    </w:p>
    <w:tbl>
      <w:tblPr>
        <w:tblStyle w:val="8"/>
        <w:tblW w:w="8347" w:type="dxa"/>
        <w:tblInd w:w="115" w:type="dxa"/>
        <w:tblLayout w:type="fixed"/>
        <w:tblCellMar>
          <w:top w:w="0" w:type="dxa"/>
          <w:left w:w="108" w:type="dxa"/>
          <w:bottom w:w="0" w:type="dxa"/>
          <w:right w:w="108" w:type="dxa"/>
        </w:tblCellMar>
      </w:tblPr>
      <w:tblGrid>
        <w:gridCol w:w="746"/>
        <w:gridCol w:w="3430"/>
        <w:gridCol w:w="4001"/>
        <w:gridCol w:w="170"/>
      </w:tblGrid>
      <w:tr w14:paraId="5EEB6EC4">
        <w:tblPrEx>
          <w:tblCellMar>
            <w:top w:w="0" w:type="dxa"/>
            <w:left w:w="108" w:type="dxa"/>
            <w:bottom w:w="0" w:type="dxa"/>
            <w:right w:w="108" w:type="dxa"/>
          </w:tblCellMar>
        </w:tblPrEx>
        <w:trPr>
          <w:gridAfter w:val="1"/>
          <w:wAfter w:w="170" w:type="dxa"/>
          <w:trHeight w:val="1205" w:hRule="atLeast"/>
        </w:trPr>
        <w:tc>
          <w:tcPr>
            <w:tcW w:w="8177" w:type="dxa"/>
            <w:gridSpan w:val="3"/>
            <w:tcBorders>
              <w:top w:val="nil"/>
              <w:left w:val="nil"/>
              <w:bottom w:val="single" w:color="auto" w:sz="4" w:space="0"/>
              <w:right w:val="nil"/>
            </w:tcBorders>
            <w:noWrap w:val="0"/>
            <w:vAlign w:val="center"/>
          </w:tcPr>
          <w:p w14:paraId="6BC83BBC">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b/>
                <w:bCs/>
                <w:color w:val="auto"/>
                <w:kern w:val="0"/>
                <w:highlight w:val="none"/>
              </w:rPr>
              <w:t>茂名石化相关管理规定</w:t>
            </w:r>
          </w:p>
        </w:tc>
      </w:tr>
      <w:tr w14:paraId="421F99AC">
        <w:tblPrEx>
          <w:tblCellMar>
            <w:top w:w="0" w:type="dxa"/>
            <w:left w:w="108" w:type="dxa"/>
            <w:bottom w:w="0" w:type="dxa"/>
            <w:right w:w="108" w:type="dxa"/>
          </w:tblCellMar>
        </w:tblPrEx>
        <w:trPr>
          <w:trHeight w:val="375" w:hRule="atLeast"/>
        </w:trPr>
        <w:tc>
          <w:tcPr>
            <w:tcW w:w="746" w:type="dxa"/>
            <w:tcBorders>
              <w:top w:val="nil"/>
              <w:left w:val="single" w:color="auto" w:sz="4" w:space="0"/>
              <w:bottom w:val="single" w:color="auto" w:sz="4" w:space="0"/>
              <w:right w:val="single" w:color="auto" w:sz="4" w:space="0"/>
            </w:tcBorders>
            <w:noWrap w:val="0"/>
            <w:vAlign w:val="center"/>
          </w:tcPr>
          <w:p w14:paraId="48F00368">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3430" w:type="dxa"/>
            <w:tcBorders>
              <w:top w:val="nil"/>
              <w:left w:val="nil"/>
              <w:bottom w:val="single" w:color="auto" w:sz="4" w:space="0"/>
              <w:right w:val="single" w:color="auto" w:sz="4" w:space="0"/>
            </w:tcBorders>
            <w:noWrap w:val="0"/>
            <w:vAlign w:val="center"/>
          </w:tcPr>
          <w:p w14:paraId="6719552B">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制度名称</w:t>
            </w:r>
          </w:p>
        </w:tc>
        <w:tc>
          <w:tcPr>
            <w:tcW w:w="4171" w:type="dxa"/>
            <w:gridSpan w:val="2"/>
            <w:tcBorders>
              <w:top w:val="nil"/>
              <w:left w:val="nil"/>
              <w:bottom w:val="single" w:color="auto" w:sz="4" w:space="0"/>
              <w:right w:val="single" w:color="auto" w:sz="4" w:space="0"/>
            </w:tcBorders>
            <w:noWrap w:val="0"/>
            <w:vAlign w:val="center"/>
          </w:tcPr>
          <w:p w14:paraId="1F55C114">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文号</w:t>
            </w:r>
          </w:p>
        </w:tc>
      </w:tr>
      <w:tr w14:paraId="31844330">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45036C22">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w:t>
            </w:r>
          </w:p>
        </w:tc>
        <w:tc>
          <w:tcPr>
            <w:tcW w:w="3430" w:type="dxa"/>
            <w:tcBorders>
              <w:top w:val="nil"/>
              <w:left w:val="nil"/>
              <w:bottom w:val="single" w:color="auto" w:sz="4" w:space="0"/>
              <w:right w:val="single" w:color="auto" w:sz="4" w:space="0"/>
            </w:tcBorders>
            <w:noWrap w:val="0"/>
            <w:vAlign w:val="center"/>
          </w:tcPr>
          <w:p w14:paraId="4E4ED939">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茂名石化施工作业安全管理程序</w:t>
            </w:r>
          </w:p>
        </w:tc>
        <w:tc>
          <w:tcPr>
            <w:tcW w:w="4171" w:type="dxa"/>
            <w:gridSpan w:val="2"/>
            <w:tcBorders>
              <w:top w:val="nil"/>
              <w:left w:val="nil"/>
              <w:bottom w:val="single" w:color="auto" w:sz="4" w:space="0"/>
              <w:right w:val="single" w:color="auto" w:sz="4" w:space="0"/>
            </w:tcBorders>
            <w:noWrap w:val="0"/>
            <w:vAlign w:val="center"/>
          </w:tcPr>
          <w:p w14:paraId="401179D9">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 xml:space="preserve">JMMSH-B0803-43-008-2022-7-M2.06.006 </w:t>
            </w:r>
          </w:p>
        </w:tc>
      </w:tr>
      <w:tr w14:paraId="204421C9">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19D9C11C">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2</w:t>
            </w:r>
          </w:p>
        </w:tc>
        <w:tc>
          <w:tcPr>
            <w:tcW w:w="3430" w:type="dxa"/>
            <w:tcBorders>
              <w:top w:val="nil"/>
              <w:left w:val="nil"/>
              <w:bottom w:val="single" w:color="auto" w:sz="4" w:space="0"/>
              <w:right w:val="single" w:color="auto" w:sz="4" w:space="0"/>
            </w:tcBorders>
            <w:noWrap w:val="0"/>
            <w:vAlign w:val="center"/>
          </w:tcPr>
          <w:p w14:paraId="759D209C">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茂名石化承包商管理程序</w:t>
            </w:r>
          </w:p>
        </w:tc>
        <w:tc>
          <w:tcPr>
            <w:tcW w:w="4171" w:type="dxa"/>
            <w:gridSpan w:val="2"/>
            <w:tcBorders>
              <w:top w:val="nil"/>
              <w:left w:val="nil"/>
              <w:bottom w:val="single" w:color="auto" w:sz="4" w:space="0"/>
              <w:right w:val="single" w:color="auto" w:sz="4" w:space="0"/>
            </w:tcBorders>
            <w:noWrap w:val="0"/>
            <w:vAlign w:val="center"/>
          </w:tcPr>
          <w:p w14:paraId="080E2AA3">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JMMSH-B0602-43-006-2022-9-M2.07.008</w:t>
            </w:r>
          </w:p>
        </w:tc>
      </w:tr>
      <w:tr w14:paraId="2F18214D">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03A7044C">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3</w:t>
            </w:r>
          </w:p>
        </w:tc>
        <w:tc>
          <w:tcPr>
            <w:tcW w:w="3430" w:type="dxa"/>
            <w:tcBorders>
              <w:top w:val="nil"/>
              <w:left w:val="nil"/>
              <w:bottom w:val="single" w:color="auto" w:sz="4" w:space="0"/>
              <w:right w:val="single" w:color="auto" w:sz="4" w:space="0"/>
            </w:tcBorders>
            <w:noWrap w:val="0"/>
            <w:vAlign w:val="center"/>
          </w:tcPr>
          <w:p w14:paraId="138A7F86">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茂名石化工程预（结）算管理细则</w:t>
            </w:r>
          </w:p>
        </w:tc>
        <w:tc>
          <w:tcPr>
            <w:tcW w:w="4171" w:type="dxa"/>
            <w:gridSpan w:val="2"/>
            <w:tcBorders>
              <w:top w:val="nil"/>
              <w:left w:val="nil"/>
              <w:bottom w:val="single" w:color="auto" w:sz="4" w:space="0"/>
              <w:right w:val="single" w:color="auto" w:sz="4" w:space="0"/>
            </w:tcBorders>
            <w:noWrap w:val="0"/>
            <w:vAlign w:val="center"/>
          </w:tcPr>
          <w:p w14:paraId="58B40F7A">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 xml:space="preserve">JMMSH-B1705-43-005-2023-3-M3.08.009 </w:t>
            </w:r>
          </w:p>
        </w:tc>
      </w:tr>
      <w:tr w14:paraId="4A15FF8A">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7EEF0145">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4</w:t>
            </w:r>
          </w:p>
        </w:tc>
        <w:tc>
          <w:tcPr>
            <w:tcW w:w="3430" w:type="dxa"/>
            <w:tcBorders>
              <w:top w:val="nil"/>
              <w:left w:val="nil"/>
              <w:bottom w:val="single" w:color="auto" w:sz="4" w:space="0"/>
              <w:right w:val="single" w:color="auto" w:sz="4" w:space="0"/>
            </w:tcBorders>
            <w:noWrap w:val="0"/>
            <w:vAlign w:val="center"/>
          </w:tcPr>
          <w:p w14:paraId="68B54935">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茂名石化建设项目</w:t>
            </w:r>
            <w:r>
              <w:rPr>
                <w:rFonts w:hint="default" w:ascii="宋体" w:hAnsi="宋体" w:cs="宋体"/>
                <w:color w:val="auto"/>
                <w:kern w:val="0"/>
                <w:sz w:val="21"/>
                <w:szCs w:val="21"/>
                <w:highlight w:val="none"/>
              </w:rPr>
              <w:t>HSE设施“三同时”管理细则</w:t>
            </w:r>
          </w:p>
        </w:tc>
        <w:tc>
          <w:tcPr>
            <w:tcW w:w="4171" w:type="dxa"/>
            <w:gridSpan w:val="2"/>
            <w:tcBorders>
              <w:top w:val="nil"/>
              <w:left w:val="nil"/>
              <w:bottom w:val="single" w:color="auto" w:sz="4" w:space="0"/>
              <w:right w:val="single" w:color="auto" w:sz="4" w:space="0"/>
            </w:tcBorders>
            <w:noWrap w:val="0"/>
            <w:vAlign w:val="center"/>
          </w:tcPr>
          <w:p w14:paraId="3DCEF570">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JMMSH-B0801-43-044-2022-5-M3.06.008</w:t>
            </w:r>
          </w:p>
        </w:tc>
      </w:tr>
      <w:tr w14:paraId="255E3973">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6BEB5B0C">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5</w:t>
            </w:r>
          </w:p>
        </w:tc>
        <w:tc>
          <w:tcPr>
            <w:tcW w:w="3430" w:type="dxa"/>
            <w:tcBorders>
              <w:top w:val="nil"/>
              <w:left w:val="nil"/>
              <w:bottom w:val="single" w:color="auto" w:sz="4" w:space="0"/>
              <w:right w:val="single" w:color="auto" w:sz="4" w:space="0"/>
            </w:tcBorders>
            <w:noWrap w:val="0"/>
            <w:vAlign w:val="center"/>
          </w:tcPr>
          <w:p w14:paraId="09F4DA56">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w:t>
            </w:r>
            <w:r>
              <w:rPr>
                <w:rFonts w:hint="default" w:ascii="宋体" w:hAnsi="宋体" w:cs="宋体"/>
                <w:color w:val="auto"/>
                <w:kern w:val="0"/>
                <w:sz w:val="21"/>
                <w:szCs w:val="21"/>
                <w:highlight w:val="none"/>
              </w:rPr>
              <w:t>HSE管理体系手册</w:t>
            </w:r>
          </w:p>
        </w:tc>
        <w:tc>
          <w:tcPr>
            <w:tcW w:w="4171" w:type="dxa"/>
            <w:gridSpan w:val="2"/>
            <w:tcBorders>
              <w:top w:val="nil"/>
              <w:left w:val="nil"/>
              <w:bottom w:val="single" w:color="auto" w:sz="4" w:space="0"/>
              <w:right w:val="single" w:color="auto" w:sz="4" w:space="0"/>
            </w:tcBorders>
            <w:noWrap w:val="0"/>
            <w:vAlign w:val="center"/>
          </w:tcPr>
          <w:p w14:paraId="27C25B72">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JMMSH-B0801-42-001-2022-B/1-M1.06.001</w:t>
            </w:r>
          </w:p>
        </w:tc>
      </w:tr>
      <w:tr w14:paraId="7C21522A">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14E0CAAB">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6</w:t>
            </w:r>
          </w:p>
        </w:tc>
        <w:tc>
          <w:tcPr>
            <w:tcW w:w="3430" w:type="dxa"/>
            <w:tcBorders>
              <w:top w:val="nil"/>
              <w:left w:val="nil"/>
              <w:bottom w:val="single" w:color="auto" w:sz="4" w:space="0"/>
              <w:right w:val="single" w:color="auto" w:sz="4" w:space="0"/>
            </w:tcBorders>
            <w:noWrap w:val="0"/>
            <w:vAlign w:val="center"/>
          </w:tcPr>
          <w:p w14:paraId="5F82D9A3">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w:t>
            </w:r>
            <w:r>
              <w:rPr>
                <w:rFonts w:hint="default" w:ascii="宋体" w:hAnsi="宋体" w:cs="宋体"/>
                <w:color w:val="auto"/>
                <w:kern w:val="0"/>
                <w:sz w:val="21"/>
                <w:szCs w:val="21"/>
                <w:highlight w:val="none"/>
              </w:rPr>
              <w:t>HSE培训与能力提升管理细则</w:t>
            </w:r>
          </w:p>
        </w:tc>
        <w:tc>
          <w:tcPr>
            <w:tcW w:w="4171" w:type="dxa"/>
            <w:gridSpan w:val="2"/>
            <w:tcBorders>
              <w:top w:val="nil"/>
              <w:left w:val="nil"/>
              <w:bottom w:val="single" w:color="auto" w:sz="4" w:space="0"/>
              <w:right w:val="single" w:color="auto" w:sz="4" w:space="0"/>
            </w:tcBorders>
            <w:noWrap w:val="0"/>
            <w:vAlign w:val="center"/>
          </w:tcPr>
          <w:p w14:paraId="4B5424F8">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JMMSH-B0801-43-049-2022-7-M3.06.006</w:t>
            </w:r>
          </w:p>
        </w:tc>
      </w:tr>
      <w:tr w14:paraId="2D7DE7ED">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2400F2CE">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7</w:t>
            </w:r>
          </w:p>
        </w:tc>
        <w:tc>
          <w:tcPr>
            <w:tcW w:w="3430" w:type="dxa"/>
            <w:tcBorders>
              <w:top w:val="nil"/>
              <w:left w:val="nil"/>
              <w:bottom w:val="single" w:color="auto" w:sz="4" w:space="0"/>
              <w:right w:val="single" w:color="auto" w:sz="4" w:space="0"/>
            </w:tcBorders>
            <w:noWrap w:val="0"/>
            <w:vAlign w:val="center"/>
          </w:tcPr>
          <w:p w14:paraId="5660AAAE">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w:t>
            </w:r>
            <w:r>
              <w:rPr>
                <w:rFonts w:hint="default" w:ascii="宋体" w:hAnsi="宋体" w:cs="宋体"/>
                <w:color w:val="auto"/>
                <w:kern w:val="0"/>
                <w:sz w:val="21"/>
                <w:szCs w:val="21"/>
                <w:highlight w:val="none"/>
              </w:rPr>
              <w:t>HSE风险分级管控和隐患排查治理双重预防机制管理程序</w:t>
            </w:r>
          </w:p>
        </w:tc>
        <w:tc>
          <w:tcPr>
            <w:tcW w:w="4171" w:type="dxa"/>
            <w:gridSpan w:val="2"/>
            <w:tcBorders>
              <w:top w:val="nil"/>
              <w:left w:val="nil"/>
              <w:bottom w:val="single" w:color="auto" w:sz="4" w:space="0"/>
              <w:right w:val="single" w:color="auto" w:sz="4" w:space="0"/>
            </w:tcBorders>
            <w:noWrap w:val="0"/>
            <w:vAlign w:val="center"/>
          </w:tcPr>
          <w:p w14:paraId="421D6E0A">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JMMSH-B0802-43-023-2022-6-M2.06.001</w:t>
            </w:r>
          </w:p>
        </w:tc>
      </w:tr>
      <w:tr w14:paraId="27101870">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4F148242">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8</w:t>
            </w:r>
          </w:p>
        </w:tc>
        <w:tc>
          <w:tcPr>
            <w:tcW w:w="3430" w:type="dxa"/>
            <w:tcBorders>
              <w:top w:val="nil"/>
              <w:left w:val="nil"/>
              <w:bottom w:val="single" w:color="auto" w:sz="4" w:space="0"/>
              <w:right w:val="single" w:color="auto" w:sz="4" w:space="0"/>
            </w:tcBorders>
            <w:noWrap w:val="0"/>
            <w:vAlign w:val="center"/>
          </w:tcPr>
          <w:p w14:paraId="4F6DFBE0">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茂名石化环境因素识别与评价管理程序</w:t>
            </w:r>
          </w:p>
        </w:tc>
        <w:tc>
          <w:tcPr>
            <w:tcW w:w="4171" w:type="dxa"/>
            <w:gridSpan w:val="2"/>
            <w:tcBorders>
              <w:top w:val="nil"/>
              <w:left w:val="nil"/>
              <w:bottom w:val="single" w:color="auto" w:sz="4" w:space="0"/>
              <w:right w:val="single" w:color="auto" w:sz="4" w:space="0"/>
            </w:tcBorders>
            <w:noWrap w:val="0"/>
            <w:vAlign w:val="center"/>
          </w:tcPr>
          <w:p w14:paraId="10DA86B0">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JMMSH-B0906-43-025-2021-4-M2.06.002</w:t>
            </w:r>
          </w:p>
        </w:tc>
      </w:tr>
      <w:tr w14:paraId="1B44D7D5">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666C2FD1">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9</w:t>
            </w:r>
          </w:p>
        </w:tc>
        <w:tc>
          <w:tcPr>
            <w:tcW w:w="3430" w:type="dxa"/>
            <w:tcBorders>
              <w:top w:val="nil"/>
              <w:left w:val="nil"/>
              <w:bottom w:val="single" w:color="auto" w:sz="4" w:space="0"/>
              <w:right w:val="single" w:color="auto" w:sz="4" w:space="0"/>
            </w:tcBorders>
            <w:noWrap w:val="0"/>
            <w:vAlign w:val="center"/>
          </w:tcPr>
          <w:p w14:paraId="2AB6E9F1">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茂名石化设计变更管理细则</w:t>
            </w:r>
          </w:p>
        </w:tc>
        <w:tc>
          <w:tcPr>
            <w:tcW w:w="4171" w:type="dxa"/>
            <w:gridSpan w:val="2"/>
            <w:tcBorders>
              <w:top w:val="nil"/>
              <w:left w:val="nil"/>
              <w:bottom w:val="single" w:color="auto" w:sz="4" w:space="0"/>
              <w:right w:val="single" w:color="auto" w:sz="4" w:space="0"/>
            </w:tcBorders>
            <w:noWrap w:val="0"/>
            <w:vAlign w:val="center"/>
          </w:tcPr>
          <w:p w14:paraId="670A2996">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JMMSH-B1701-43-086-2022-4-M3.21.004</w:t>
            </w:r>
          </w:p>
        </w:tc>
      </w:tr>
      <w:tr w14:paraId="270921B4">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1952BDC3">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10</w:t>
            </w:r>
          </w:p>
        </w:tc>
        <w:tc>
          <w:tcPr>
            <w:tcW w:w="3430" w:type="dxa"/>
            <w:tcBorders>
              <w:top w:val="nil"/>
              <w:left w:val="nil"/>
              <w:bottom w:val="single" w:color="auto" w:sz="4" w:space="0"/>
              <w:right w:val="single" w:color="auto" w:sz="4" w:space="0"/>
            </w:tcBorders>
            <w:noWrap w:val="0"/>
            <w:vAlign w:val="center"/>
          </w:tcPr>
          <w:p w14:paraId="0BC59542">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茂名石化生产区域及作业工地封闭化管理细则</w:t>
            </w:r>
          </w:p>
        </w:tc>
        <w:tc>
          <w:tcPr>
            <w:tcW w:w="4171" w:type="dxa"/>
            <w:gridSpan w:val="2"/>
            <w:tcBorders>
              <w:top w:val="nil"/>
              <w:left w:val="nil"/>
              <w:bottom w:val="single" w:color="auto" w:sz="4" w:space="0"/>
              <w:right w:val="single" w:color="auto" w:sz="4" w:space="0"/>
            </w:tcBorders>
            <w:noWrap w:val="0"/>
            <w:vAlign w:val="center"/>
          </w:tcPr>
          <w:p w14:paraId="3FA902B0">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JMMSH-B0807-43-119-2020-6-M3.17.039</w:t>
            </w:r>
          </w:p>
        </w:tc>
      </w:tr>
      <w:tr w14:paraId="03006605">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13C2D13C">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11</w:t>
            </w:r>
          </w:p>
        </w:tc>
        <w:tc>
          <w:tcPr>
            <w:tcW w:w="3430" w:type="dxa"/>
            <w:tcBorders>
              <w:top w:val="nil"/>
              <w:left w:val="nil"/>
              <w:bottom w:val="single" w:color="auto" w:sz="4" w:space="0"/>
              <w:right w:val="single" w:color="auto" w:sz="4" w:space="0"/>
            </w:tcBorders>
            <w:noWrap w:val="0"/>
            <w:vAlign w:val="center"/>
          </w:tcPr>
          <w:p w14:paraId="7EC47250">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茂名石化交通安全管理细则</w:t>
            </w:r>
          </w:p>
        </w:tc>
        <w:tc>
          <w:tcPr>
            <w:tcW w:w="4171" w:type="dxa"/>
            <w:gridSpan w:val="2"/>
            <w:tcBorders>
              <w:top w:val="nil"/>
              <w:left w:val="nil"/>
              <w:bottom w:val="single" w:color="auto" w:sz="4" w:space="0"/>
              <w:right w:val="single" w:color="auto" w:sz="4" w:space="0"/>
            </w:tcBorders>
            <w:noWrap w:val="0"/>
            <w:vAlign w:val="center"/>
          </w:tcPr>
          <w:p w14:paraId="0CE4ECC0">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JMMSH-B0807-43-127-2020-7-M3.17.003</w:t>
            </w:r>
          </w:p>
        </w:tc>
      </w:tr>
      <w:tr w14:paraId="01AE8D18">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6782FED5">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12</w:t>
            </w:r>
          </w:p>
        </w:tc>
        <w:tc>
          <w:tcPr>
            <w:tcW w:w="3430" w:type="dxa"/>
            <w:tcBorders>
              <w:top w:val="nil"/>
              <w:left w:val="nil"/>
              <w:bottom w:val="single" w:color="auto" w:sz="4" w:space="0"/>
              <w:right w:val="single" w:color="auto" w:sz="4" w:space="0"/>
            </w:tcBorders>
            <w:noWrap w:val="0"/>
            <w:vAlign w:val="center"/>
          </w:tcPr>
          <w:p w14:paraId="4F1223A9">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茂名石化工程建设项目工程签证管理细则</w:t>
            </w:r>
          </w:p>
        </w:tc>
        <w:tc>
          <w:tcPr>
            <w:tcW w:w="4171" w:type="dxa"/>
            <w:gridSpan w:val="2"/>
            <w:tcBorders>
              <w:top w:val="nil"/>
              <w:left w:val="nil"/>
              <w:bottom w:val="single" w:color="auto" w:sz="4" w:space="0"/>
              <w:right w:val="single" w:color="auto" w:sz="4" w:space="0"/>
            </w:tcBorders>
            <w:noWrap w:val="0"/>
            <w:vAlign w:val="center"/>
          </w:tcPr>
          <w:p w14:paraId="65E377CA">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JMMSH-B1701-43-101-2022-3-M3.21.001</w:t>
            </w:r>
          </w:p>
        </w:tc>
      </w:tr>
      <w:tr w14:paraId="2F53FE2F">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0DD46B17">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13</w:t>
            </w:r>
          </w:p>
        </w:tc>
        <w:tc>
          <w:tcPr>
            <w:tcW w:w="3430" w:type="dxa"/>
            <w:tcBorders>
              <w:top w:val="nil"/>
              <w:left w:val="nil"/>
              <w:bottom w:val="single" w:color="auto" w:sz="4" w:space="0"/>
              <w:right w:val="single" w:color="auto" w:sz="4" w:space="0"/>
            </w:tcBorders>
            <w:noWrap w:val="0"/>
            <w:vAlign w:val="center"/>
          </w:tcPr>
          <w:p w14:paraId="76C7178A">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茂名石化工程建设施工作业</w:t>
            </w:r>
            <w:r>
              <w:rPr>
                <w:rFonts w:hint="default" w:ascii="宋体" w:hAnsi="宋体" w:cs="宋体"/>
                <w:color w:val="auto"/>
                <w:kern w:val="0"/>
                <w:sz w:val="21"/>
                <w:szCs w:val="21"/>
                <w:highlight w:val="none"/>
              </w:rPr>
              <w:t>HSE管理实施细则</w:t>
            </w:r>
          </w:p>
        </w:tc>
        <w:tc>
          <w:tcPr>
            <w:tcW w:w="4171" w:type="dxa"/>
            <w:gridSpan w:val="2"/>
            <w:tcBorders>
              <w:top w:val="nil"/>
              <w:left w:val="nil"/>
              <w:bottom w:val="single" w:color="auto" w:sz="4" w:space="0"/>
              <w:right w:val="single" w:color="auto" w:sz="4" w:space="0"/>
            </w:tcBorders>
            <w:noWrap w:val="0"/>
            <w:vAlign w:val="center"/>
          </w:tcPr>
          <w:p w14:paraId="57A14B5E">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JMMSH-B0803-43-060-2022-4-M3.21.00</w:t>
            </w:r>
          </w:p>
        </w:tc>
      </w:tr>
      <w:tr w14:paraId="43A768E5">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5B626BF9">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14</w:t>
            </w:r>
          </w:p>
        </w:tc>
        <w:tc>
          <w:tcPr>
            <w:tcW w:w="3430" w:type="dxa"/>
            <w:tcBorders>
              <w:top w:val="nil"/>
              <w:left w:val="nil"/>
              <w:bottom w:val="single" w:color="auto" w:sz="4" w:space="0"/>
              <w:right w:val="single" w:color="auto" w:sz="4" w:space="0"/>
            </w:tcBorders>
            <w:noWrap w:val="0"/>
            <w:vAlign w:val="center"/>
          </w:tcPr>
          <w:p w14:paraId="4AA2C24B">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茂名石化工程建设承包商项目人员培训考核管理细则</w:t>
            </w:r>
          </w:p>
        </w:tc>
        <w:tc>
          <w:tcPr>
            <w:tcW w:w="4171" w:type="dxa"/>
            <w:gridSpan w:val="2"/>
            <w:tcBorders>
              <w:top w:val="nil"/>
              <w:left w:val="nil"/>
              <w:bottom w:val="single" w:color="auto" w:sz="4" w:space="0"/>
              <w:right w:val="single" w:color="auto" w:sz="4" w:space="0"/>
            </w:tcBorders>
            <w:noWrap w:val="0"/>
            <w:vAlign w:val="center"/>
          </w:tcPr>
          <w:p w14:paraId="2AB2D8F0">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JMMSH-A06-43-028-2022-1-M3.21.007</w:t>
            </w:r>
          </w:p>
        </w:tc>
      </w:tr>
      <w:tr w14:paraId="2B166976">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50778EC5">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15</w:t>
            </w:r>
          </w:p>
        </w:tc>
        <w:tc>
          <w:tcPr>
            <w:tcW w:w="3430" w:type="dxa"/>
            <w:tcBorders>
              <w:top w:val="nil"/>
              <w:left w:val="nil"/>
              <w:bottom w:val="single" w:color="auto" w:sz="4" w:space="0"/>
              <w:right w:val="single" w:color="auto" w:sz="4" w:space="0"/>
            </w:tcBorders>
            <w:noWrap w:val="0"/>
            <w:vAlign w:val="center"/>
          </w:tcPr>
          <w:p w14:paraId="15CDDE94">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茂名石化工程建设质量管理细则</w:t>
            </w:r>
          </w:p>
        </w:tc>
        <w:tc>
          <w:tcPr>
            <w:tcW w:w="4171" w:type="dxa"/>
            <w:gridSpan w:val="2"/>
            <w:tcBorders>
              <w:top w:val="nil"/>
              <w:left w:val="nil"/>
              <w:bottom w:val="single" w:color="auto" w:sz="4" w:space="0"/>
              <w:right w:val="single" w:color="auto" w:sz="4" w:space="0"/>
            </w:tcBorders>
            <w:noWrap w:val="0"/>
            <w:vAlign w:val="center"/>
          </w:tcPr>
          <w:p w14:paraId="4F31796C">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JMMSH-B1703-43-129-2021-4-M3.21.005</w:t>
            </w:r>
          </w:p>
        </w:tc>
      </w:tr>
      <w:tr w14:paraId="0ABA4E7E">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1AD8C544">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16</w:t>
            </w:r>
          </w:p>
        </w:tc>
        <w:tc>
          <w:tcPr>
            <w:tcW w:w="3430" w:type="dxa"/>
            <w:tcBorders>
              <w:top w:val="nil"/>
              <w:left w:val="nil"/>
              <w:bottom w:val="single" w:color="auto" w:sz="4" w:space="0"/>
              <w:right w:val="single" w:color="auto" w:sz="4" w:space="0"/>
            </w:tcBorders>
            <w:noWrap w:val="0"/>
            <w:vAlign w:val="center"/>
          </w:tcPr>
          <w:p w14:paraId="1B072CE5">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茂名石化工程余料管理细则</w:t>
            </w:r>
          </w:p>
        </w:tc>
        <w:tc>
          <w:tcPr>
            <w:tcW w:w="4171" w:type="dxa"/>
            <w:gridSpan w:val="2"/>
            <w:tcBorders>
              <w:top w:val="nil"/>
              <w:left w:val="nil"/>
              <w:bottom w:val="single" w:color="auto" w:sz="4" w:space="0"/>
              <w:right w:val="single" w:color="auto" w:sz="4" w:space="0"/>
            </w:tcBorders>
            <w:noWrap w:val="0"/>
            <w:vAlign w:val="center"/>
          </w:tcPr>
          <w:p w14:paraId="0020CBB7">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JMMSH-B17-43-071-2023-5-M3.21.003</w:t>
            </w:r>
          </w:p>
        </w:tc>
      </w:tr>
      <w:tr w14:paraId="61C6157F">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04ACA9EF">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17</w:t>
            </w:r>
          </w:p>
        </w:tc>
        <w:tc>
          <w:tcPr>
            <w:tcW w:w="3430" w:type="dxa"/>
            <w:tcBorders>
              <w:top w:val="nil"/>
              <w:left w:val="nil"/>
              <w:bottom w:val="nil"/>
              <w:right w:val="single" w:color="auto" w:sz="4" w:space="0"/>
            </w:tcBorders>
            <w:noWrap w:val="0"/>
            <w:vAlign w:val="center"/>
          </w:tcPr>
          <w:p w14:paraId="69326C57">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茂名石化工程建设项目中间交接管理细则</w:t>
            </w:r>
          </w:p>
        </w:tc>
        <w:tc>
          <w:tcPr>
            <w:tcW w:w="4171" w:type="dxa"/>
            <w:gridSpan w:val="2"/>
            <w:tcBorders>
              <w:top w:val="nil"/>
              <w:left w:val="nil"/>
              <w:bottom w:val="nil"/>
              <w:right w:val="single" w:color="auto" w:sz="4" w:space="0"/>
            </w:tcBorders>
            <w:noWrap w:val="0"/>
            <w:vAlign w:val="center"/>
          </w:tcPr>
          <w:p w14:paraId="001FBE58">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JMMSH-B1701-43-125-2020-2-M3.21.015</w:t>
            </w:r>
          </w:p>
        </w:tc>
      </w:tr>
      <w:tr w14:paraId="0120CB24">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11C59962">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18</w:t>
            </w:r>
          </w:p>
        </w:tc>
        <w:tc>
          <w:tcPr>
            <w:tcW w:w="3430" w:type="dxa"/>
            <w:tcBorders>
              <w:top w:val="single" w:color="auto" w:sz="4" w:space="0"/>
              <w:left w:val="nil"/>
              <w:bottom w:val="single" w:color="auto" w:sz="4" w:space="0"/>
              <w:right w:val="single" w:color="auto" w:sz="4" w:space="0"/>
            </w:tcBorders>
            <w:noWrap w:val="0"/>
            <w:vAlign w:val="center"/>
          </w:tcPr>
          <w:p w14:paraId="531C602C">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茂名石化投资</w:t>
            </w:r>
            <w:r>
              <w:rPr>
                <w:rFonts w:hint="default" w:ascii="宋体" w:hAnsi="宋体" w:cs="宋体"/>
                <w:color w:val="auto"/>
                <w:kern w:val="0"/>
                <w:sz w:val="21"/>
                <w:szCs w:val="21"/>
                <w:highlight w:val="none"/>
              </w:rPr>
              <w:t>100万及以上工程项目施工变更管理细则</w:t>
            </w:r>
          </w:p>
        </w:tc>
        <w:tc>
          <w:tcPr>
            <w:tcW w:w="4171" w:type="dxa"/>
            <w:gridSpan w:val="2"/>
            <w:tcBorders>
              <w:top w:val="single" w:color="auto" w:sz="4" w:space="0"/>
              <w:left w:val="nil"/>
              <w:bottom w:val="single" w:color="auto" w:sz="4" w:space="0"/>
              <w:right w:val="single" w:color="auto" w:sz="4" w:space="0"/>
            </w:tcBorders>
            <w:noWrap w:val="0"/>
            <w:vAlign w:val="center"/>
          </w:tcPr>
          <w:p w14:paraId="2E40FA6B">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JMMSH-B100104-43-011-2020-2-M3.21.006</w:t>
            </w:r>
          </w:p>
        </w:tc>
      </w:tr>
      <w:tr w14:paraId="47E2A810">
        <w:tblPrEx>
          <w:tblCellMar>
            <w:top w:w="0" w:type="dxa"/>
            <w:left w:w="108" w:type="dxa"/>
            <w:bottom w:w="0" w:type="dxa"/>
            <w:right w:w="108" w:type="dxa"/>
          </w:tblCellMar>
        </w:tblPrEx>
        <w:trPr>
          <w:trHeight w:val="375" w:hRule="atLeast"/>
        </w:trPr>
        <w:tc>
          <w:tcPr>
            <w:tcW w:w="746" w:type="dxa"/>
            <w:tcBorders>
              <w:top w:val="nil"/>
              <w:left w:val="single" w:color="auto" w:sz="4" w:space="0"/>
              <w:bottom w:val="single" w:color="auto" w:sz="4" w:space="0"/>
              <w:right w:val="single" w:color="auto" w:sz="4" w:space="0"/>
            </w:tcBorders>
            <w:noWrap w:val="0"/>
            <w:vAlign w:val="center"/>
          </w:tcPr>
          <w:p w14:paraId="19735549">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19</w:t>
            </w:r>
          </w:p>
        </w:tc>
        <w:tc>
          <w:tcPr>
            <w:tcW w:w="3430" w:type="dxa"/>
            <w:tcBorders>
              <w:top w:val="nil"/>
              <w:left w:val="nil"/>
              <w:bottom w:val="single" w:color="auto" w:sz="4" w:space="0"/>
              <w:right w:val="single" w:color="auto" w:sz="4" w:space="0"/>
            </w:tcBorders>
            <w:noWrap w:val="0"/>
            <w:vAlign w:val="center"/>
          </w:tcPr>
          <w:p w14:paraId="438421AF">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茂名石化安全生产“第</w:t>
            </w:r>
            <w:r>
              <w:rPr>
                <w:rFonts w:hint="default" w:ascii="宋体" w:hAnsi="宋体" w:cs="宋体"/>
                <w:color w:val="auto"/>
                <w:kern w:val="0"/>
                <w:sz w:val="21"/>
                <w:szCs w:val="21"/>
                <w:highlight w:val="none"/>
              </w:rPr>
              <w:t>1号”工作令</w:t>
            </w:r>
          </w:p>
        </w:tc>
        <w:tc>
          <w:tcPr>
            <w:tcW w:w="4171" w:type="dxa"/>
            <w:gridSpan w:val="2"/>
            <w:tcBorders>
              <w:top w:val="nil"/>
              <w:left w:val="nil"/>
              <w:bottom w:val="single" w:color="auto" w:sz="4" w:space="0"/>
              <w:right w:val="single" w:color="auto" w:sz="4" w:space="0"/>
            </w:tcBorders>
            <w:noWrap w:val="0"/>
            <w:vAlign w:val="center"/>
          </w:tcPr>
          <w:p w14:paraId="49F78759">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茂名石化令</w:t>
            </w:r>
            <w:r>
              <w:rPr>
                <w:rFonts w:hint="default" w:ascii="宋体" w:hAnsi="宋体" w:cs="宋体"/>
                <w:color w:val="auto"/>
                <w:kern w:val="0"/>
                <w:sz w:val="21"/>
                <w:szCs w:val="21"/>
                <w:highlight w:val="none"/>
              </w:rPr>
              <w:t>[2021]1号</w:t>
            </w:r>
          </w:p>
        </w:tc>
      </w:tr>
      <w:tr w14:paraId="6CEE4071">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558EDEC5">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20</w:t>
            </w:r>
          </w:p>
        </w:tc>
        <w:tc>
          <w:tcPr>
            <w:tcW w:w="3430" w:type="dxa"/>
            <w:tcBorders>
              <w:top w:val="nil"/>
              <w:left w:val="nil"/>
              <w:bottom w:val="single" w:color="auto" w:sz="4" w:space="0"/>
              <w:right w:val="single" w:color="auto" w:sz="4" w:space="0"/>
            </w:tcBorders>
            <w:noWrap w:val="0"/>
            <w:vAlign w:val="center"/>
          </w:tcPr>
          <w:p w14:paraId="1BBBD68E">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茂名石化安全生产“第</w:t>
            </w:r>
            <w:r>
              <w:rPr>
                <w:rFonts w:hint="default" w:ascii="宋体" w:hAnsi="宋体" w:cs="宋体"/>
                <w:color w:val="auto"/>
                <w:kern w:val="0"/>
                <w:sz w:val="21"/>
                <w:szCs w:val="21"/>
                <w:highlight w:val="none"/>
              </w:rPr>
              <w:t>1号”工作令专项考核办法</w:t>
            </w:r>
          </w:p>
        </w:tc>
        <w:tc>
          <w:tcPr>
            <w:tcW w:w="4171" w:type="dxa"/>
            <w:gridSpan w:val="2"/>
            <w:tcBorders>
              <w:top w:val="nil"/>
              <w:left w:val="nil"/>
              <w:bottom w:val="single" w:color="auto" w:sz="4" w:space="0"/>
              <w:right w:val="single" w:color="auto" w:sz="4" w:space="0"/>
            </w:tcBorders>
            <w:noWrap w:val="0"/>
            <w:vAlign w:val="center"/>
          </w:tcPr>
          <w:p w14:paraId="387B9354">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w:t>
            </w:r>
            <w:r>
              <w:rPr>
                <w:rFonts w:hint="default" w:ascii="宋体" w:hAnsi="宋体" w:cs="宋体"/>
                <w:color w:val="auto"/>
                <w:kern w:val="0"/>
                <w:sz w:val="21"/>
                <w:szCs w:val="21"/>
                <w:highlight w:val="none"/>
              </w:rPr>
              <w:t>[2021]9号</w:t>
            </w:r>
          </w:p>
        </w:tc>
      </w:tr>
      <w:tr w14:paraId="62B42B32">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2ABD1B58">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21</w:t>
            </w:r>
          </w:p>
        </w:tc>
        <w:tc>
          <w:tcPr>
            <w:tcW w:w="3430" w:type="dxa"/>
            <w:tcBorders>
              <w:top w:val="nil"/>
              <w:left w:val="nil"/>
              <w:bottom w:val="single" w:color="auto" w:sz="4" w:space="0"/>
              <w:right w:val="single" w:color="auto" w:sz="4" w:space="0"/>
            </w:tcBorders>
            <w:noWrap w:val="0"/>
            <w:vAlign w:val="center"/>
          </w:tcPr>
          <w:p w14:paraId="4D20100D">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茂名石化保障工人工资支付</w:t>
            </w:r>
            <w:r>
              <w:rPr>
                <w:rFonts w:hint="default" w:ascii="宋体" w:hAnsi="宋体" w:cs="宋体"/>
                <w:color w:val="auto"/>
                <w:kern w:val="0"/>
                <w:sz w:val="21"/>
                <w:szCs w:val="21"/>
                <w:highlight w:val="none"/>
              </w:rPr>
              <w:br w:type="textWrapping"/>
            </w:r>
            <w:r>
              <w:rPr>
                <w:rFonts w:hint="eastAsia" w:ascii="宋体" w:hAnsi="宋体" w:cs="宋体"/>
                <w:color w:val="auto"/>
                <w:kern w:val="0"/>
                <w:sz w:val="21"/>
                <w:szCs w:val="21"/>
                <w:highlight w:val="none"/>
              </w:rPr>
              <w:t>实施方案</w:t>
            </w:r>
          </w:p>
        </w:tc>
        <w:tc>
          <w:tcPr>
            <w:tcW w:w="4171" w:type="dxa"/>
            <w:gridSpan w:val="2"/>
            <w:tcBorders>
              <w:top w:val="nil"/>
              <w:left w:val="nil"/>
              <w:bottom w:val="single" w:color="auto" w:sz="4" w:space="0"/>
              <w:right w:val="single" w:color="auto" w:sz="4" w:space="0"/>
            </w:tcBorders>
            <w:noWrap w:val="0"/>
            <w:vAlign w:val="center"/>
          </w:tcPr>
          <w:p w14:paraId="0D4C9C3E">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茂名石化工单〔</w:t>
            </w:r>
            <w:r>
              <w:rPr>
                <w:rFonts w:hint="default" w:ascii="宋体" w:hAnsi="宋体" w:cs="宋体"/>
                <w:color w:val="auto"/>
                <w:kern w:val="0"/>
                <w:sz w:val="21"/>
                <w:szCs w:val="21"/>
                <w:highlight w:val="none"/>
              </w:rPr>
              <w:t xml:space="preserve">2021〕23 </w:t>
            </w:r>
            <w:r>
              <w:rPr>
                <w:rFonts w:hint="eastAsia" w:ascii="宋体" w:hAnsi="宋体" w:cs="宋体"/>
                <w:color w:val="auto"/>
                <w:kern w:val="0"/>
                <w:sz w:val="21"/>
                <w:szCs w:val="21"/>
                <w:highlight w:val="none"/>
              </w:rPr>
              <w:t>号</w:t>
            </w:r>
          </w:p>
        </w:tc>
      </w:tr>
      <w:tr w14:paraId="133571C1">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auto" w:sz="4" w:space="0"/>
              <w:right w:val="single" w:color="auto" w:sz="4" w:space="0"/>
            </w:tcBorders>
            <w:noWrap w:val="0"/>
            <w:vAlign w:val="center"/>
          </w:tcPr>
          <w:p w14:paraId="00C69568">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22</w:t>
            </w:r>
          </w:p>
        </w:tc>
        <w:tc>
          <w:tcPr>
            <w:tcW w:w="3430" w:type="dxa"/>
            <w:tcBorders>
              <w:top w:val="nil"/>
              <w:left w:val="nil"/>
              <w:bottom w:val="single" w:color="000000" w:sz="4" w:space="0"/>
              <w:right w:val="single" w:color="000000" w:sz="4" w:space="0"/>
            </w:tcBorders>
            <w:noWrap w:val="0"/>
            <w:vAlign w:val="center"/>
          </w:tcPr>
          <w:p w14:paraId="01C7808F">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茂名石化关于加强工程建设工人工资支付管理的通知</w:t>
            </w:r>
          </w:p>
        </w:tc>
        <w:tc>
          <w:tcPr>
            <w:tcW w:w="4171" w:type="dxa"/>
            <w:gridSpan w:val="2"/>
            <w:tcBorders>
              <w:top w:val="nil"/>
              <w:left w:val="nil"/>
              <w:bottom w:val="single" w:color="000000" w:sz="4" w:space="0"/>
              <w:right w:val="single" w:color="000000" w:sz="4" w:space="0"/>
            </w:tcBorders>
            <w:noWrap w:val="0"/>
            <w:vAlign w:val="center"/>
          </w:tcPr>
          <w:p w14:paraId="143D6B84">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茂名石化工程工单〔</w:t>
            </w:r>
            <w:r>
              <w:rPr>
                <w:rFonts w:hint="default" w:ascii="宋体" w:hAnsi="宋体" w:cs="宋体"/>
                <w:color w:val="auto"/>
                <w:kern w:val="0"/>
                <w:sz w:val="21"/>
                <w:szCs w:val="21"/>
                <w:highlight w:val="none"/>
              </w:rPr>
              <w:t xml:space="preserve">2022〕59 </w:t>
            </w:r>
            <w:r>
              <w:rPr>
                <w:rFonts w:hint="eastAsia" w:ascii="宋体" w:hAnsi="宋体" w:cs="宋体"/>
                <w:color w:val="auto"/>
                <w:kern w:val="0"/>
                <w:sz w:val="21"/>
                <w:szCs w:val="21"/>
                <w:highlight w:val="none"/>
              </w:rPr>
              <w:t>号</w:t>
            </w:r>
          </w:p>
        </w:tc>
      </w:tr>
      <w:tr w14:paraId="5D49DA45">
        <w:tblPrEx>
          <w:tblCellMar>
            <w:top w:w="0" w:type="dxa"/>
            <w:left w:w="108" w:type="dxa"/>
            <w:bottom w:w="0" w:type="dxa"/>
            <w:right w:w="108" w:type="dxa"/>
          </w:tblCellMar>
        </w:tblPrEx>
        <w:trPr>
          <w:trHeight w:val="750" w:hRule="atLeast"/>
        </w:trPr>
        <w:tc>
          <w:tcPr>
            <w:tcW w:w="746" w:type="dxa"/>
            <w:tcBorders>
              <w:top w:val="nil"/>
              <w:left w:val="single" w:color="auto" w:sz="4" w:space="0"/>
              <w:bottom w:val="single" w:color="000000" w:sz="4" w:space="0"/>
              <w:right w:val="single" w:color="auto" w:sz="4" w:space="0"/>
            </w:tcBorders>
            <w:noWrap w:val="0"/>
            <w:vAlign w:val="center"/>
          </w:tcPr>
          <w:p w14:paraId="533CD859">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23</w:t>
            </w:r>
          </w:p>
        </w:tc>
        <w:tc>
          <w:tcPr>
            <w:tcW w:w="3430" w:type="dxa"/>
            <w:tcBorders>
              <w:top w:val="nil"/>
              <w:left w:val="nil"/>
              <w:bottom w:val="single" w:color="000000" w:sz="4" w:space="0"/>
              <w:right w:val="single" w:color="000000" w:sz="4" w:space="0"/>
            </w:tcBorders>
            <w:noWrap w:val="0"/>
            <w:vAlign w:val="center"/>
          </w:tcPr>
          <w:p w14:paraId="072CEB8E">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茂名石化工程建设项目月度计划管理办法</w:t>
            </w:r>
          </w:p>
        </w:tc>
        <w:tc>
          <w:tcPr>
            <w:tcW w:w="4171" w:type="dxa"/>
            <w:gridSpan w:val="2"/>
            <w:tcBorders>
              <w:top w:val="nil"/>
              <w:left w:val="nil"/>
              <w:bottom w:val="single" w:color="000000" w:sz="4" w:space="0"/>
              <w:right w:val="single" w:color="000000" w:sz="4" w:space="0"/>
            </w:tcBorders>
            <w:noWrap w:val="0"/>
            <w:vAlign w:val="center"/>
          </w:tcPr>
          <w:p w14:paraId="5AFC206E">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茂名石化工单</w:t>
            </w:r>
            <w:r>
              <w:rPr>
                <w:rFonts w:hint="default" w:ascii="宋体" w:hAnsi="宋体" w:cs="宋体"/>
                <w:color w:val="auto"/>
                <w:kern w:val="0"/>
                <w:sz w:val="21"/>
                <w:szCs w:val="21"/>
                <w:highlight w:val="none"/>
              </w:rPr>
              <w:t>[2022] 4号</w:t>
            </w:r>
          </w:p>
        </w:tc>
      </w:tr>
      <w:tr w14:paraId="04395ADF">
        <w:tblPrEx>
          <w:tblCellMar>
            <w:top w:w="0" w:type="dxa"/>
            <w:left w:w="108" w:type="dxa"/>
            <w:bottom w:w="0" w:type="dxa"/>
            <w:right w:w="108" w:type="dxa"/>
          </w:tblCellMar>
        </w:tblPrEx>
        <w:trPr>
          <w:trHeight w:val="750" w:hRule="atLeast"/>
        </w:trPr>
        <w:tc>
          <w:tcPr>
            <w:tcW w:w="746" w:type="dxa"/>
            <w:tcBorders>
              <w:top w:val="single" w:color="000000" w:sz="4" w:space="0"/>
              <w:left w:val="single" w:color="000000" w:sz="4" w:space="0"/>
              <w:bottom w:val="single" w:color="000000" w:sz="4" w:space="0"/>
              <w:right w:val="single" w:color="000000" w:sz="4" w:space="0"/>
            </w:tcBorders>
            <w:noWrap w:val="0"/>
            <w:vAlign w:val="center"/>
          </w:tcPr>
          <w:p w14:paraId="441B6852">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24</w:t>
            </w:r>
          </w:p>
        </w:tc>
        <w:tc>
          <w:tcPr>
            <w:tcW w:w="3430" w:type="dxa"/>
            <w:tcBorders>
              <w:top w:val="single" w:color="000000" w:sz="4" w:space="0"/>
              <w:left w:val="single" w:color="000000" w:sz="4" w:space="0"/>
              <w:bottom w:val="single" w:color="000000" w:sz="4" w:space="0"/>
              <w:right w:val="single" w:color="000000" w:sz="4" w:space="0"/>
            </w:tcBorders>
            <w:noWrap w:val="0"/>
            <w:vAlign w:val="center"/>
          </w:tcPr>
          <w:p w14:paraId="2736AC3A">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茂名石化检维修工程管理细则</w:t>
            </w:r>
          </w:p>
        </w:tc>
        <w:tc>
          <w:tcPr>
            <w:tcW w:w="4171" w:type="dxa"/>
            <w:gridSpan w:val="2"/>
            <w:tcBorders>
              <w:top w:val="single" w:color="000000" w:sz="4" w:space="0"/>
              <w:left w:val="single" w:color="000000" w:sz="4" w:space="0"/>
              <w:bottom w:val="single" w:color="000000" w:sz="4" w:space="0"/>
              <w:right w:val="single" w:color="000000" w:sz="4" w:space="0"/>
            </w:tcBorders>
            <w:noWrap w:val="0"/>
            <w:vAlign w:val="center"/>
          </w:tcPr>
          <w:p w14:paraId="36BBC9A9">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JMMSH-B1701-43-073-2022-8-M3.05.025</w:t>
            </w:r>
          </w:p>
        </w:tc>
      </w:tr>
      <w:tr w14:paraId="24F9E097">
        <w:tblPrEx>
          <w:tblCellMar>
            <w:top w:w="0" w:type="dxa"/>
            <w:left w:w="108" w:type="dxa"/>
            <w:bottom w:w="0" w:type="dxa"/>
            <w:right w:w="108" w:type="dxa"/>
          </w:tblCellMar>
        </w:tblPrEx>
        <w:trPr>
          <w:trHeight w:val="75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ECBC9">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25</w:t>
            </w:r>
          </w:p>
        </w:tc>
        <w:tc>
          <w:tcPr>
            <w:tcW w:w="34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EDCB62">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茂名石化工程建设项目实施投资控制管理细则</w:t>
            </w:r>
          </w:p>
        </w:tc>
        <w:tc>
          <w:tcPr>
            <w:tcW w:w="4171" w:type="dxa"/>
            <w:gridSpan w:val="2"/>
            <w:tcBorders>
              <w:top w:val="single" w:color="000000" w:sz="4" w:space="0"/>
              <w:left w:val="single" w:color="000000" w:sz="4" w:space="0"/>
              <w:bottom w:val="single" w:color="000000" w:sz="4" w:space="0"/>
              <w:right w:val="single" w:color="000000" w:sz="4" w:space="0"/>
            </w:tcBorders>
            <w:noWrap w:val="0"/>
            <w:vAlign w:val="center"/>
          </w:tcPr>
          <w:p w14:paraId="108BF7B4">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JMMSH-B1701-43-070-2022-1-M3.21.009</w:t>
            </w:r>
          </w:p>
        </w:tc>
      </w:tr>
      <w:tr w14:paraId="75A71868">
        <w:tblPrEx>
          <w:tblCellMar>
            <w:top w:w="0" w:type="dxa"/>
            <w:left w:w="108" w:type="dxa"/>
            <w:bottom w:w="0" w:type="dxa"/>
            <w:right w:w="108" w:type="dxa"/>
          </w:tblCellMar>
        </w:tblPrEx>
        <w:trPr>
          <w:trHeight w:val="75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A52C5">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26</w:t>
            </w:r>
          </w:p>
        </w:tc>
        <w:tc>
          <w:tcPr>
            <w:tcW w:w="34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5869F">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茂名石化固定资产投资项目实施控制程序</w:t>
            </w:r>
          </w:p>
        </w:tc>
        <w:tc>
          <w:tcPr>
            <w:tcW w:w="4171" w:type="dxa"/>
            <w:gridSpan w:val="2"/>
            <w:tcBorders>
              <w:top w:val="single" w:color="000000" w:sz="4" w:space="0"/>
              <w:left w:val="single" w:color="000000" w:sz="4" w:space="0"/>
              <w:bottom w:val="single" w:color="000000" w:sz="4" w:space="0"/>
              <w:right w:val="single" w:color="000000" w:sz="4" w:space="0"/>
            </w:tcBorders>
            <w:noWrap w:val="0"/>
            <w:vAlign w:val="center"/>
          </w:tcPr>
          <w:p w14:paraId="2484AE1A">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JMMSH-A07-43-004-2022-6-M2.21.001</w:t>
            </w:r>
          </w:p>
        </w:tc>
      </w:tr>
      <w:tr w14:paraId="28B51179">
        <w:tblPrEx>
          <w:tblCellMar>
            <w:top w:w="0" w:type="dxa"/>
            <w:left w:w="108" w:type="dxa"/>
            <w:bottom w:w="0" w:type="dxa"/>
            <w:right w:w="108" w:type="dxa"/>
          </w:tblCellMar>
        </w:tblPrEx>
        <w:trPr>
          <w:trHeight w:val="75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AB3FC">
            <w:pPr>
              <w:pStyle w:val="14"/>
              <w:keepNext w:val="0"/>
              <w:keepLines w:val="0"/>
              <w:widowControl/>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27</w:t>
            </w:r>
          </w:p>
        </w:tc>
        <w:tc>
          <w:tcPr>
            <w:tcW w:w="34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81AE3">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茂名石化一般技术改造及隐患项目实施管理细则</w:t>
            </w:r>
          </w:p>
        </w:tc>
        <w:tc>
          <w:tcPr>
            <w:tcW w:w="4171" w:type="dxa"/>
            <w:gridSpan w:val="2"/>
            <w:tcBorders>
              <w:top w:val="single" w:color="000000" w:sz="4" w:space="0"/>
              <w:left w:val="single" w:color="000000" w:sz="4" w:space="0"/>
              <w:bottom w:val="single" w:color="000000" w:sz="4" w:space="0"/>
              <w:right w:val="single" w:color="000000" w:sz="4" w:space="0"/>
            </w:tcBorders>
            <w:noWrap w:val="0"/>
            <w:vAlign w:val="center"/>
          </w:tcPr>
          <w:p w14:paraId="6331CB4D">
            <w:pPr>
              <w:pStyle w:val="14"/>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JMMSH-B10-43-008-2020-3-M3.21.014</w:t>
            </w:r>
          </w:p>
        </w:tc>
      </w:tr>
      <w:tr w14:paraId="3DA00865">
        <w:tblPrEx>
          <w:tblCellMar>
            <w:top w:w="0" w:type="dxa"/>
            <w:left w:w="108" w:type="dxa"/>
            <w:bottom w:w="0" w:type="dxa"/>
            <w:right w:w="108" w:type="dxa"/>
          </w:tblCellMar>
        </w:tblPrEx>
        <w:trPr>
          <w:trHeight w:val="75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6CCD1">
            <w:pPr>
              <w:pStyle w:val="14"/>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28</w:t>
            </w:r>
          </w:p>
        </w:tc>
        <w:tc>
          <w:tcPr>
            <w:tcW w:w="34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6F6B1">
            <w:pPr>
              <w:pStyle w:val="14"/>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施工作业“零容忍条款”</w:t>
            </w:r>
          </w:p>
        </w:tc>
        <w:tc>
          <w:tcPr>
            <w:tcW w:w="4171" w:type="dxa"/>
            <w:gridSpan w:val="2"/>
            <w:tcBorders>
              <w:top w:val="single" w:color="000000" w:sz="4" w:space="0"/>
              <w:left w:val="single" w:color="000000" w:sz="4" w:space="0"/>
              <w:bottom w:val="single" w:color="000000" w:sz="4" w:space="0"/>
              <w:right w:val="single" w:color="000000" w:sz="4" w:space="0"/>
            </w:tcBorders>
            <w:noWrap w:val="0"/>
            <w:vAlign w:val="center"/>
          </w:tcPr>
          <w:p w14:paraId="0C3D5354">
            <w:pPr>
              <w:pStyle w:val="14"/>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茂名石化工单〔2021〕16 号</w:t>
            </w:r>
          </w:p>
        </w:tc>
      </w:tr>
      <w:tr w14:paraId="1AB84B7D">
        <w:tblPrEx>
          <w:tblCellMar>
            <w:top w:w="0" w:type="dxa"/>
            <w:left w:w="108" w:type="dxa"/>
            <w:bottom w:w="0" w:type="dxa"/>
            <w:right w:w="108" w:type="dxa"/>
          </w:tblCellMar>
        </w:tblPrEx>
        <w:trPr>
          <w:trHeight w:val="75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B3EE0">
            <w:pPr>
              <w:pStyle w:val="14"/>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29</w:t>
            </w:r>
          </w:p>
        </w:tc>
        <w:tc>
          <w:tcPr>
            <w:tcW w:w="34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9180F">
            <w:pPr>
              <w:pStyle w:val="14"/>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茂名石化员工救命法则</w:t>
            </w:r>
          </w:p>
        </w:tc>
        <w:tc>
          <w:tcPr>
            <w:tcW w:w="4171" w:type="dxa"/>
            <w:gridSpan w:val="2"/>
            <w:tcBorders>
              <w:top w:val="single" w:color="000000" w:sz="4" w:space="0"/>
              <w:left w:val="single" w:color="000000" w:sz="4" w:space="0"/>
              <w:bottom w:val="single" w:color="000000" w:sz="4" w:space="0"/>
              <w:right w:val="single" w:color="000000" w:sz="4" w:space="0"/>
            </w:tcBorders>
            <w:noWrap w:val="0"/>
            <w:vAlign w:val="center"/>
          </w:tcPr>
          <w:p w14:paraId="6D6CA8DA">
            <w:pPr>
              <w:pStyle w:val="14"/>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茂名石化工单〔2016〕17 号</w:t>
            </w:r>
          </w:p>
        </w:tc>
      </w:tr>
      <w:tr w14:paraId="7F3F1A4C">
        <w:tblPrEx>
          <w:tblCellMar>
            <w:top w:w="0" w:type="dxa"/>
            <w:left w:w="108" w:type="dxa"/>
            <w:bottom w:w="0" w:type="dxa"/>
            <w:right w:w="108" w:type="dxa"/>
          </w:tblCellMar>
        </w:tblPrEx>
        <w:trPr>
          <w:trHeight w:val="750" w:hRule="atLeast"/>
        </w:trPr>
        <w:tc>
          <w:tcPr>
            <w:tcW w:w="7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32670">
            <w:pPr>
              <w:pStyle w:val="14"/>
              <w:keepNext w:val="0"/>
              <w:keepLines w:val="0"/>
              <w:suppressLineNumbers w:val="0"/>
              <w:spacing w:before="0" w:beforeAutospacing="0" w:after="0" w:afterAutospacing="0"/>
              <w:ind w:left="0" w:right="0"/>
              <w:jc w:val="center"/>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30</w:t>
            </w:r>
          </w:p>
        </w:tc>
        <w:tc>
          <w:tcPr>
            <w:tcW w:w="343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FC565">
            <w:pPr>
              <w:pStyle w:val="14"/>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茂名石化工程建设质量红线清单</w:t>
            </w:r>
          </w:p>
        </w:tc>
        <w:tc>
          <w:tcPr>
            <w:tcW w:w="4171" w:type="dxa"/>
            <w:gridSpan w:val="2"/>
            <w:tcBorders>
              <w:top w:val="single" w:color="000000" w:sz="4" w:space="0"/>
              <w:left w:val="single" w:color="000000" w:sz="4" w:space="0"/>
              <w:bottom w:val="single" w:color="000000" w:sz="4" w:space="0"/>
              <w:right w:val="single" w:color="000000" w:sz="4" w:space="0"/>
            </w:tcBorders>
            <w:noWrap w:val="0"/>
            <w:vAlign w:val="center"/>
          </w:tcPr>
          <w:p w14:paraId="46EA8977">
            <w:pPr>
              <w:pStyle w:val="14"/>
              <w:keepNext w:val="0"/>
              <w:keepLines w:val="0"/>
              <w:suppressLineNumbers w:val="0"/>
              <w:spacing w:before="0" w:beforeAutospacing="0" w:after="0" w:afterAutospacing="0"/>
              <w:ind w:left="0" w:right="0"/>
              <w:rPr>
                <w:rFonts w:hint="default" w:ascii="宋体" w:hAnsi="宋体" w:cs="宋体"/>
                <w:color w:val="auto"/>
                <w:kern w:val="0"/>
                <w:sz w:val="21"/>
                <w:szCs w:val="21"/>
                <w:highlight w:val="none"/>
              </w:rPr>
            </w:pPr>
            <w:r>
              <w:rPr>
                <w:rFonts w:hint="eastAsia" w:ascii="宋体" w:hAnsi="宋体" w:cs="宋体"/>
                <w:color w:val="auto"/>
                <w:kern w:val="0"/>
                <w:sz w:val="21"/>
                <w:szCs w:val="21"/>
                <w:highlight w:val="none"/>
              </w:rPr>
              <w:t>茂名石化工程工单〔2023〕51 号</w:t>
            </w:r>
          </w:p>
        </w:tc>
      </w:tr>
    </w:tbl>
    <w:p w14:paraId="255DA5EA">
      <w:pPr>
        <w:adjustRightInd w:val="0"/>
        <w:snapToGrid w:val="0"/>
        <w:jc w:val="center"/>
        <w:rPr>
          <w:rFonts w:hint="eastAsia" w:hAnsi="Calibri"/>
          <w:b/>
          <w:color w:val="auto"/>
          <w:spacing w:val="4"/>
          <w:kern w:val="13"/>
          <w:position w:val="2"/>
          <w:sz w:val="44"/>
          <w:szCs w:val="44"/>
          <w:highlight w:val="none"/>
          <w:lang w:val="zh-CN"/>
        </w:rPr>
      </w:pPr>
    </w:p>
    <w:p w14:paraId="7D4343A5">
      <w:pPr>
        <w:spacing w:line="540" w:lineRule="exact"/>
        <w:rPr>
          <w:rFonts w:ascii="仿宋" w:hAnsi="仿宋"/>
          <w:b/>
          <w:color w:val="auto"/>
          <w:sz w:val="28"/>
          <w:szCs w:val="28"/>
          <w:highlight w:val="none"/>
        </w:rPr>
      </w:pPr>
    </w:p>
    <w:p w14:paraId="03A494A2">
      <w:pPr>
        <w:rPr>
          <w:color w:val="auto"/>
          <w:highlight w:val="none"/>
        </w:rPr>
      </w:pPr>
    </w:p>
    <w:p w14:paraId="49311CD2">
      <w:pPr>
        <w:rPr>
          <w:color w:val="auto"/>
          <w:highlight w:val="none"/>
        </w:rPr>
      </w:pPr>
    </w:p>
    <w:p w14:paraId="0EBB3D0B">
      <w:pPr>
        <w:rPr>
          <w:color w:val="auto"/>
          <w:highlight w:val="none"/>
        </w:rPr>
      </w:pPr>
    </w:p>
    <w:p w14:paraId="443FC3EE">
      <w:pPr>
        <w:rPr>
          <w:color w:val="auto"/>
          <w:highlight w:val="none"/>
        </w:rPr>
      </w:pPr>
    </w:p>
    <w:p w14:paraId="25770109">
      <w:pPr>
        <w:rPr>
          <w:color w:val="auto"/>
          <w:highlight w:val="none"/>
        </w:rPr>
      </w:pPr>
    </w:p>
    <w:p w14:paraId="1FED0077">
      <w:pPr>
        <w:rPr>
          <w:color w:val="auto"/>
          <w:highlight w:val="none"/>
        </w:rPr>
      </w:pPr>
    </w:p>
    <w:p w14:paraId="24DB056C">
      <w:pPr>
        <w:rPr>
          <w:color w:val="auto"/>
          <w:highlight w:val="none"/>
        </w:rPr>
      </w:pPr>
    </w:p>
    <w:p w14:paraId="3FE4DF4B">
      <w:pPr>
        <w:rPr>
          <w:color w:val="auto"/>
          <w:highlight w:val="none"/>
        </w:rPr>
      </w:pPr>
    </w:p>
    <w:p w14:paraId="739F69E5">
      <w:pPr>
        <w:rPr>
          <w:color w:val="auto"/>
          <w:highlight w:val="none"/>
        </w:rPr>
      </w:pPr>
    </w:p>
    <w:p w14:paraId="4631CF38">
      <w:pPr>
        <w:rPr>
          <w:color w:val="auto"/>
          <w:highlight w:val="none"/>
        </w:rPr>
      </w:pPr>
    </w:p>
    <w:p w14:paraId="1DEEF37B">
      <w:pPr>
        <w:rPr>
          <w:color w:val="auto"/>
          <w:highlight w:val="none"/>
        </w:rPr>
      </w:pPr>
    </w:p>
    <w:p w14:paraId="07759B59">
      <w:pPr>
        <w:rPr>
          <w:color w:val="auto"/>
          <w:highlight w:val="none"/>
        </w:rPr>
      </w:pPr>
    </w:p>
    <w:p w14:paraId="6CD2C47B">
      <w:pPr>
        <w:rPr>
          <w:color w:val="auto"/>
          <w:highlight w:val="none"/>
        </w:rPr>
      </w:pPr>
    </w:p>
    <w:p w14:paraId="5E4B91C9">
      <w:pPr>
        <w:rPr>
          <w:color w:val="auto"/>
          <w:highlight w:val="none"/>
        </w:rPr>
      </w:pPr>
    </w:p>
    <w:p w14:paraId="48FB30C9">
      <w:pPr>
        <w:rPr>
          <w:color w:val="auto"/>
          <w:highlight w:val="none"/>
        </w:rPr>
      </w:pPr>
    </w:p>
    <w:p w14:paraId="447F4DC4">
      <w:pPr>
        <w:rPr>
          <w:color w:val="auto"/>
          <w:highlight w:val="none"/>
        </w:rPr>
      </w:pPr>
    </w:p>
    <w:p w14:paraId="4B3A28F8">
      <w:pPr>
        <w:rPr>
          <w:color w:val="auto"/>
          <w:highlight w:val="none"/>
        </w:rPr>
      </w:pPr>
    </w:p>
    <w:p w14:paraId="2C8AAE8D">
      <w:pPr>
        <w:rPr>
          <w:color w:val="auto"/>
          <w:highlight w:val="none"/>
        </w:rPr>
      </w:pPr>
    </w:p>
    <w:p w14:paraId="072144AC">
      <w:pPr>
        <w:rPr>
          <w:color w:val="auto"/>
          <w:highlight w:val="none"/>
        </w:rPr>
      </w:pPr>
    </w:p>
    <w:p w14:paraId="499B0D4D">
      <w:pPr>
        <w:rPr>
          <w:color w:val="auto"/>
          <w:highlight w:val="none"/>
        </w:rPr>
      </w:pPr>
    </w:p>
    <w:p w14:paraId="72216567">
      <w:pPr>
        <w:rPr>
          <w:color w:val="auto"/>
          <w:highlight w:val="none"/>
        </w:rPr>
      </w:pPr>
    </w:p>
    <w:p w14:paraId="6A22C73C">
      <w:pPr>
        <w:rPr>
          <w:color w:val="auto"/>
          <w:highlight w:val="none"/>
        </w:rPr>
      </w:pPr>
    </w:p>
    <w:p w14:paraId="5134CF1B">
      <w:pPr>
        <w:rPr>
          <w:color w:val="auto"/>
          <w:highlight w:val="none"/>
        </w:rPr>
      </w:pPr>
    </w:p>
    <w:p w14:paraId="5920BE49">
      <w:pPr>
        <w:rPr>
          <w:rFonts w:hint="eastAsia" w:ascii="宋体" w:hAnsi="宋体" w:cs="Arial"/>
          <w:b/>
          <w:bCs/>
          <w:i w:val="0"/>
          <w:iCs w:val="0"/>
          <w:strike w:val="0"/>
          <w:dstrike w:val="0"/>
          <w:color w:val="auto"/>
          <w:kern w:val="2"/>
          <w:sz w:val="24"/>
          <w:szCs w:val="24"/>
          <w:highlight w:val="none"/>
          <w:lang w:val="en-US" w:eastAsia="zh-CN"/>
        </w:rPr>
      </w:pPr>
      <w:r>
        <w:rPr>
          <w:rFonts w:hint="eastAsia" w:cs="Arial"/>
          <w:b/>
          <w:bCs/>
          <w:color w:val="auto"/>
          <w:highlight w:val="none"/>
        </w:rPr>
        <w:t>附件2</w:t>
      </w:r>
      <w:r>
        <w:rPr>
          <w:rFonts w:hint="eastAsia" w:cs="Arial"/>
          <w:b/>
          <w:bCs/>
          <w:color w:val="auto"/>
          <w:highlight w:val="none"/>
          <w:lang w:val="en-US" w:eastAsia="zh-CN"/>
        </w:rPr>
        <w:t>4</w:t>
      </w:r>
      <w:r>
        <w:rPr>
          <w:rFonts w:hint="eastAsia" w:cs="Arial"/>
          <w:b/>
          <w:bCs/>
          <w:color w:val="auto"/>
          <w:highlight w:val="none"/>
        </w:rPr>
        <w:t>：</w:t>
      </w:r>
      <w:r>
        <w:rPr>
          <w:rFonts w:hint="eastAsia" w:ascii="宋体" w:hAnsi="宋体" w:cs="Arial"/>
          <w:b/>
          <w:bCs/>
          <w:i w:val="0"/>
          <w:iCs w:val="0"/>
          <w:strike w:val="0"/>
          <w:dstrike w:val="0"/>
          <w:color w:val="auto"/>
          <w:kern w:val="2"/>
          <w:sz w:val="24"/>
          <w:szCs w:val="24"/>
          <w:highlight w:val="none"/>
          <w:lang w:val="en-US" w:eastAsia="zh-CN"/>
        </w:rPr>
        <w:t>签证及结算管理要求</w:t>
      </w:r>
    </w:p>
    <w:p w14:paraId="2FC0E703">
      <w:pPr>
        <w:ind w:firstLine="482" w:firstLineChars="200"/>
        <w:rPr>
          <w:rFonts w:ascii="宋体" w:hAnsi="宋体" w:cs="宋体"/>
          <w:b/>
          <w:i w:val="0"/>
          <w:iCs w:val="0"/>
          <w:strike w:val="0"/>
          <w:dstrike w:val="0"/>
          <w:color w:val="auto"/>
          <w:sz w:val="24"/>
          <w:szCs w:val="24"/>
          <w:highlight w:val="none"/>
        </w:rPr>
      </w:pPr>
      <w:r>
        <w:rPr>
          <w:rFonts w:hint="eastAsia" w:ascii="宋体" w:hAnsi="宋体" w:cs="宋体"/>
          <w:b/>
          <w:i w:val="0"/>
          <w:iCs w:val="0"/>
          <w:strike w:val="0"/>
          <w:dstrike w:val="0"/>
          <w:color w:val="auto"/>
          <w:sz w:val="24"/>
          <w:szCs w:val="24"/>
          <w:highlight w:val="none"/>
          <w:lang w:val="en-US" w:eastAsia="zh-CN"/>
        </w:rPr>
        <w:t>一</w:t>
      </w:r>
      <w:r>
        <w:rPr>
          <w:rFonts w:hint="eastAsia" w:ascii="宋体" w:hAnsi="宋体" w:cs="宋体"/>
          <w:b/>
          <w:i w:val="0"/>
          <w:iCs w:val="0"/>
          <w:strike w:val="0"/>
          <w:dstrike w:val="0"/>
          <w:color w:val="auto"/>
          <w:sz w:val="24"/>
          <w:szCs w:val="24"/>
          <w:highlight w:val="none"/>
        </w:rPr>
        <w:t>、签证管理要求</w:t>
      </w:r>
    </w:p>
    <w:p w14:paraId="7F30CBFA">
      <w:pPr>
        <w:ind w:firstLine="480" w:firstLineChars="200"/>
        <w:rPr>
          <w:rFonts w:hint="eastAsia" w:ascii="宋体" w:hAnsi="宋体" w:cs="宋体"/>
          <w:i w:val="0"/>
          <w:iCs w:val="0"/>
          <w:strike w:val="0"/>
          <w:dstrike w:val="0"/>
          <w:color w:val="auto"/>
          <w:sz w:val="24"/>
          <w:szCs w:val="24"/>
          <w:highlight w:val="none"/>
        </w:rPr>
      </w:pPr>
      <w:r>
        <w:rPr>
          <w:rFonts w:hint="eastAsia" w:ascii="宋体" w:hAnsi="宋体" w:cs="宋体"/>
          <w:i w:val="0"/>
          <w:iCs w:val="0"/>
          <w:strike w:val="0"/>
          <w:dstrike w:val="0"/>
          <w:color w:val="auto"/>
          <w:sz w:val="24"/>
          <w:szCs w:val="24"/>
          <w:highlight w:val="none"/>
        </w:rPr>
        <w:t>1.关于签证及时性的要求</w:t>
      </w:r>
    </w:p>
    <w:p w14:paraId="2AB1CA20">
      <w:pPr>
        <w:ind w:firstLine="480" w:firstLineChars="200"/>
        <w:rPr>
          <w:rFonts w:hint="eastAsia" w:ascii="宋体" w:hAnsi="宋体" w:cs="宋体"/>
          <w:i w:val="0"/>
          <w:iCs w:val="0"/>
          <w:strike w:val="0"/>
          <w:dstrike w:val="0"/>
          <w:color w:val="auto"/>
          <w:sz w:val="24"/>
          <w:szCs w:val="24"/>
          <w:highlight w:val="none"/>
        </w:rPr>
      </w:pPr>
      <w:r>
        <w:rPr>
          <w:rFonts w:hint="eastAsia" w:ascii="宋体" w:hAnsi="宋体" w:cs="宋体"/>
          <w:i w:val="0"/>
          <w:iCs w:val="0"/>
          <w:strike w:val="0"/>
          <w:dstrike w:val="0"/>
          <w:color w:val="auto"/>
          <w:sz w:val="24"/>
          <w:szCs w:val="24"/>
          <w:highlight w:val="none"/>
        </w:rPr>
        <w:t>（1）承包人在发生工程签证前、或发生工程签证24小时内上投资管理系统签证平台申请打印《工程签证现场记录单》，并通知监理组织现场确认，在《工程签证现场记录单》签证并拍照留下图像资料。</w:t>
      </w:r>
    </w:p>
    <w:p w14:paraId="3EF06EF7">
      <w:pPr>
        <w:ind w:firstLine="480" w:firstLineChars="200"/>
        <w:rPr>
          <w:rFonts w:hint="eastAsia" w:ascii="宋体" w:hAnsi="宋体" w:cs="宋体"/>
          <w:i w:val="0"/>
          <w:iCs w:val="0"/>
          <w:strike w:val="0"/>
          <w:dstrike w:val="0"/>
          <w:color w:val="auto"/>
          <w:sz w:val="24"/>
          <w:szCs w:val="24"/>
          <w:highlight w:val="none"/>
        </w:rPr>
      </w:pPr>
      <w:r>
        <w:rPr>
          <w:rFonts w:hint="eastAsia" w:ascii="宋体" w:hAnsi="宋体" w:cs="宋体"/>
          <w:i w:val="0"/>
          <w:iCs w:val="0"/>
          <w:strike w:val="0"/>
          <w:dstrike w:val="0"/>
          <w:color w:val="auto"/>
          <w:sz w:val="24"/>
          <w:szCs w:val="24"/>
          <w:highlight w:val="none"/>
        </w:rPr>
        <w:t>（2）承包人在《工程签证现场记录单》申请打印后28天内上系统提交签证记录单及图像资料。</w:t>
      </w:r>
    </w:p>
    <w:p w14:paraId="316A6D05">
      <w:pPr>
        <w:ind w:firstLine="480" w:firstLineChars="200"/>
        <w:rPr>
          <w:rFonts w:hint="eastAsia" w:ascii="宋体" w:hAnsi="宋体" w:cs="宋体"/>
          <w:i w:val="0"/>
          <w:iCs w:val="0"/>
          <w:strike w:val="0"/>
          <w:dstrike w:val="0"/>
          <w:color w:val="auto"/>
          <w:sz w:val="24"/>
          <w:szCs w:val="24"/>
          <w:highlight w:val="none"/>
        </w:rPr>
      </w:pPr>
      <w:r>
        <w:rPr>
          <w:rFonts w:hint="eastAsia" w:ascii="宋体" w:hAnsi="宋体" w:cs="宋体"/>
          <w:i w:val="0"/>
          <w:iCs w:val="0"/>
          <w:strike w:val="0"/>
          <w:dstrike w:val="0"/>
          <w:color w:val="auto"/>
          <w:sz w:val="24"/>
          <w:szCs w:val="24"/>
          <w:highlight w:val="none"/>
        </w:rPr>
        <w:t>（3）监理单位（外聘项目管理单位）、公司相关部门各环节线上审核、签署意见时间不超过7天。</w:t>
      </w:r>
    </w:p>
    <w:p w14:paraId="63389396">
      <w:pPr>
        <w:ind w:firstLine="480" w:firstLineChars="200"/>
        <w:rPr>
          <w:rFonts w:hint="eastAsia" w:ascii="宋体" w:hAnsi="宋体" w:cs="宋体"/>
          <w:i w:val="0"/>
          <w:iCs w:val="0"/>
          <w:strike w:val="0"/>
          <w:dstrike w:val="0"/>
          <w:color w:val="auto"/>
          <w:sz w:val="24"/>
          <w:szCs w:val="24"/>
          <w:highlight w:val="none"/>
        </w:rPr>
      </w:pPr>
      <w:r>
        <w:rPr>
          <w:rFonts w:hint="eastAsia" w:ascii="宋体" w:hAnsi="宋体" w:cs="宋体"/>
          <w:i w:val="0"/>
          <w:iCs w:val="0"/>
          <w:strike w:val="0"/>
          <w:dstrike w:val="0"/>
          <w:color w:val="auto"/>
          <w:sz w:val="24"/>
          <w:szCs w:val="24"/>
          <w:highlight w:val="none"/>
        </w:rPr>
        <w:t>（4）专监、总监、工程管理部项目经理对线下《工程签证现场记录单》及线上提交的及时性审核把关，工程管理部投资管理岗在线上对签证及时性检查并签署意见。</w:t>
      </w:r>
    </w:p>
    <w:p w14:paraId="4D7645C9">
      <w:pPr>
        <w:ind w:firstLine="480" w:firstLineChars="200"/>
        <w:rPr>
          <w:rFonts w:hint="eastAsia" w:ascii="宋体" w:hAnsi="宋体" w:cs="宋体"/>
          <w:i w:val="0"/>
          <w:iCs w:val="0"/>
          <w:strike w:val="0"/>
          <w:dstrike w:val="0"/>
          <w:color w:val="auto"/>
          <w:sz w:val="24"/>
          <w:szCs w:val="24"/>
          <w:highlight w:val="none"/>
        </w:rPr>
      </w:pPr>
      <w:r>
        <w:rPr>
          <w:rFonts w:hint="eastAsia" w:ascii="宋体" w:hAnsi="宋体" w:cs="宋体"/>
          <w:i w:val="0"/>
          <w:iCs w:val="0"/>
          <w:strike w:val="0"/>
          <w:dstrike w:val="0"/>
          <w:color w:val="auto"/>
          <w:sz w:val="24"/>
          <w:szCs w:val="24"/>
          <w:highlight w:val="none"/>
        </w:rPr>
        <w:t>（5）对于签证逾期的按《茂名石化工程建设项目工程签证管理细则》1.4.2“六不签证：...提报不及时导致无法确认工程量的不签证”处理。</w:t>
      </w:r>
    </w:p>
    <w:p w14:paraId="0AC8DDDA">
      <w:pPr>
        <w:ind w:firstLine="480" w:firstLineChars="200"/>
        <w:rPr>
          <w:rFonts w:hint="eastAsia" w:ascii="宋体" w:hAnsi="宋体" w:cs="宋体"/>
          <w:i w:val="0"/>
          <w:iCs w:val="0"/>
          <w:strike w:val="0"/>
          <w:dstrike w:val="0"/>
          <w:color w:val="auto"/>
          <w:sz w:val="24"/>
          <w:szCs w:val="24"/>
          <w:highlight w:val="none"/>
        </w:rPr>
      </w:pPr>
      <w:r>
        <w:rPr>
          <w:rFonts w:hint="eastAsia" w:ascii="宋体" w:hAnsi="宋体" w:cs="宋体"/>
          <w:i w:val="0"/>
          <w:iCs w:val="0"/>
          <w:strike w:val="0"/>
          <w:dstrike w:val="0"/>
          <w:color w:val="auto"/>
          <w:sz w:val="24"/>
          <w:szCs w:val="24"/>
          <w:highlight w:val="none"/>
        </w:rPr>
        <w:t>2.关于签证系统及时性限制功能说明</w:t>
      </w:r>
    </w:p>
    <w:p w14:paraId="39039A9F">
      <w:pPr>
        <w:ind w:firstLine="480" w:firstLineChars="200"/>
        <w:rPr>
          <w:rFonts w:hint="eastAsia" w:ascii="宋体" w:hAnsi="宋体" w:cs="宋体"/>
          <w:i w:val="0"/>
          <w:iCs w:val="0"/>
          <w:strike w:val="0"/>
          <w:dstrike w:val="0"/>
          <w:color w:val="auto"/>
          <w:sz w:val="24"/>
          <w:szCs w:val="24"/>
          <w:highlight w:val="none"/>
        </w:rPr>
      </w:pPr>
      <w:r>
        <w:rPr>
          <w:rFonts w:hint="eastAsia" w:ascii="宋体" w:hAnsi="宋体" w:cs="宋体"/>
          <w:i w:val="0"/>
          <w:iCs w:val="0"/>
          <w:strike w:val="0"/>
          <w:dstrike w:val="0"/>
          <w:color w:val="auto"/>
          <w:sz w:val="24"/>
          <w:szCs w:val="24"/>
          <w:highlight w:val="none"/>
        </w:rPr>
        <w:t>（1）线上签证发起后，可以不限次数打印该签证的工程签证现场记录单，签证记录单需要在28天内上传并提交审核，否则该条签证被锁定。</w:t>
      </w:r>
    </w:p>
    <w:p w14:paraId="00E45E14">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rPr>
        <w:t>（2）项目投产后1个月该项目签证功能被锁定，无法发起新签证。如有特殊情况，投产后一个月内要发起签证的，需申请</w:t>
      </w:r>
      <w:r>
        <w:rPr>
          <w:rFonts w:hint="eastAsia" w:ascii="宋体" w:hAnsi="宋体" w:cs="宋体"/>
          <w:i w:val="0"/>
          <w:iCs w:val="0"/>
          <w:strike w:val="0"/>
          <w:dstrike w:val="0"/>
          <w:color w:val="auto"/>
          <w:sz w:val="24"/>
          <w:szCs w:val="24"/>
          <w:highlight w:val="none"/>
          <w:u w:val="none"/>
        </w:rPr>
        <w:t>项目经理同意解锁；投产后一个月以上三个月内要发起签证的，需申请投资费控分管领导解锁；投产后三个月以上要发起签证的，需申请工程管理部主要领导解锁。</w:t>
      </w:r>
    </w:p>
    <w:p w14:paraId="7A44BF34">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3）关于脚手架、保镖类存在持续时间，且持续时间、最终工程量未确定的签证，要求该工程措施内容达到使用条件后28天内办理签证上线，不得在措施结束后才上线。线上申请时选择持续选项，此类签证可以多次上传线下签证记录单，持续补充签证内容。</w:t>
      </w:r>
    </w:p>
    <w:p w14:paraId="3E05E603">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3.关于签证未及时提报，按每条签证单进行考核。依据《茂名石化承包商管理程序》有关考评细则对承包人进行考核。考核规定：《茂名石化工程建设承包商考评细则》三、费用控制考核标准：3.4签证不及时，日期造假申报，或线下签证记录不按规定办理，影响投资测算，每次考核；签证规范及时的，周期奖励；奖扣2</w:t>
      </w:r>
      <w:r>
        <w:rPr>
          <w:rFonts w:hint="eastAsia" w:ascii="宋体" w:hAnsi="宋体" w:cs="宋体"/>
          <w:i w:val="0"/>
          <w:iCs w:val="0"/>
          <w:strike w:val="0"/>
          <w:dstrike w:val="0"/>
          <w:color w:val="auto"/>
          <w:sz w:val="24"/>
          <w:szCs w:val="24"/>
          <w:highlight w:val="none"/>
          <w:u w:val="none"/>
          <w:lang w:val="en-US" w:eastAsia="zh-CN"/>
        </w:rPr>
        <w:t>～</w:t>
      </w:r>
      <w:r>
        <w:rPr>
          <w:rFonts w:hint="eastAsia" w:ascii="宋体" w:hAnsi="宋体" w:cs="宋体"/>
          <w:i w:val="0"/>
          <w:iCs w:val="0"/>
          <w:strike w:val="0"/>
          <w:dstrike w:val="0"/>
          <w:color w:val="auto"/>
          <w:sz w:val="24"/>
          <w:szCs w:val="24"/>
          <w:highlight w:val="none"/>
          <w:u w:val="none"/>
        </w:rPr>
        <w:t>5，奖扣2000</w:t>
      </w:r>
      <w:r>
        <w:rPr>
          <w:rFonts w:hint="eastAsia" w:ascii="宋体" w:hAnsi="宋体" w:cs="宋体"/>
          <w:i w:val="0"/>
          <w:iCs w:val="0"/>
          <w:strike w:val="0"/>
          <w:dstrike w:val="0"/>
          <w:color w:val="auto"/>
          <w:sz w:val="24"/>
          <w:szCs w:val="24"/>
          <w:highlight w:val="none"/>
          <w:u w:val="none"/>
          <w:lang w:val="en-US" w:eastAsia="zh-CN"/>
        </w:rPr>
        <w:t>～</w:t>
      </w:r>
      <w:r>
        <w:rPr>
          <w:rFonts w:hint="eastAsia" w:ascii="宋体" w:hAnsi="宋体" w:cs="宋体"/>
          <w:i w:val="0"/>
          <w:iCs w:val="0"/>
          <w:strike w:val="0"/>
          <w:dstrike w:val="0"/>
          <w:color w:val="auto"/>
          <w:sz w:val="24"/>
          <w:szCs w:val="24"/>
          <w:highlight w:val="none"/>
          <w:u w:val="none"/>
        </w:rPr>
        <w:t>5000元。</w:t>
      </w:r>
    </w:p>
    <w:p w14:paraId="30315205">
      <w:pPr>
        <w:pStyle w:val="6"/>
        <w:ind w:firstLine="420"/>
        <w:rPr>
          <w:rFonts w:hint="eastAsia" w:ascii="宋体" w:hAnsi="宋体" w:eastAsia="宋体" w:cs="宋体"/>
          <w:i w:val="0"/>
          <w:iCs w:val="0"/>
          <w:strike w:val="0"/>
          <w:dstrike w:val="0"/>
          <w:color w:val="auto"/>
          <w:sz w:val="24"/>
          <w:szCs w:val="24"/>
          <w:highlight w:val="none"/>
          <w:u w:val="none"/>
          <w:lang w:eastAsia="zh-CN"/>
        </w:rPr>
      </w:pPr>
      <w:r>
        <w:rPr>
          <w:rFonts w:hint="eastAsia" w:ascii="宋体" w:hAnsi="宋体" w:cs="宋体"/>
          <w:i w:val="0"/>
          <w:iCs w:val="0"/>
          <w:strike w:val="0"/>
          <w:dstrike w:val="0"/>
          <w:color w:val="auto"/>
          <w:sz w:val="24"/>
          <w:szCs w:val="24"/>
          <w:highlight w:val="none"/>
          <w:u w:val="none"/>
        </w:rPr>
        <w:t>4.承包人应严格按照发包人工程建设项目最新的现场签证管理规定办理签证。提出工程签证事项的申请时，需写明依据、理由、事项内容、工程量及工程费用估价，经监理或外聘项目管理单位、发包人审批后，发包人、监理或外聘项目管理单位等有关单位组织现场确认，承包人根据现场确认情况提交签证申请，每份签证单须附上工程费用估算或预算、影像等资料，按程序报监理、发包人有关单位进行审核。承包人在工程签证事项发生时，需提报签证记录，经过现场确认和审批后，方可做为结算凭证。承包人或监理单位刻意篡改、作假、捏造现场记录的，工程签证不予确认，依据《茂名石化承包商管理程序》有关考评细则对承包人进行考核。考核规定：《茂名石化工程建设承包商考评细则》六、合同控制考核标准6.14未按规定办理变更、签证，或变更、签证手续不全、不及时、弄虚作假或审核不严；扣罚3</w:t>
      </w:r>
      <w:r>
        <w:rPr>
          <w:rFonts w:hint="eastAsia" w:ascii="宋体" w:hAnsi="宋体" w:cs="宋体"/>
          <w:i w:val="0"/>
          <w:iCs w:val="0"/>
          <w:strike w:val="0"/>
          <w:dstrike w:val="0"/>
          <w:color w:val="auto"/>
          <w:sz w:val="24"/>
          <w:szCs w:val="24"/>
          <w:highlight w:val="none"/>
          <w:u w:val="none"/>
          <w:lang w:val="en-US" w:eastAsia="zh-CN"/>
        </w:rPr>
        <w:t>～</w:t>
      </w:r>
      <w:r>
        <w:rPr>
          <w:rFonts w:hint="eastAsia" w:ascii="宋体" w:hAnsi="宋体" w:cs="宋体"/>
          <w:i w:val="0"/>
          <w:iCs w:val="0"/>
          <w:strike w:val="0"/>
          <w:dstrike w:val="0"/>
          <w:color w:val="auto"/>
          <w:sz w:val="24"/>
          <w:szCs w:val="24"/>
          <w:highlight w:val="none"/>
          <w:u w:val="none"/>
        </w:rPr>
        <w:t>10扣罚5000</w:t>
      </w:r>
      <w:r>
        <w:rPr>
          <w:rFonts w:hint="eastAsia" w:ascii="宋体" w:hAnsi="宋体" w:cs="宋体"/>
          <w:i w:val="0"/>
          <w:iCs w:val="0"/>
          <w:strike w:val="0"/>
          <w:dstrike w:val="0"/>
          <w:color w:val="auto"/>
          <w:sz w:val="24"/>
          <w:szCs w:val="24"/>
          <w:highlight w:val="none"/>
          <w:u w:val="none"/>
          <w:lang w:val="en-US" w:eastAsia="zh-CN"/>
        </w:rPr>
        <w:t>～</w:t>
      </w:r>
      <w:r>
        <w:rPr>
          <w:rFonts w:hint="eastAsia" w:ascii="宋体" w:hAnsi="宋体" w:cs="宋体"/>
          <w:i w:val="0"/>
          <w:iCs w:val="0"/>
          <w:strike w:val="0"/>
          <w:dstrike w:val="0"/>
          <w:color w:val="auto"/>
          <w:sz w:val="24"/>
          <w:szCs w:val="24"/>
          <w:highlight w:val="none"/>
          <w:u w:val="none"/>
        </w:rPr>
        <w:t>100000元</w:t>
      </w:r>
      <w:r>
        <w:rPr>
          <w:rFonts w:hint="eastAsia" w:ascii="宋体" w:hAnsi="宋体" w:cs="宋体"/>
          <w:i w:val="0"/>
          <w:iCs w:val="0"/>
          <w:strike w:val="0"/>
          <w:dstrike w:val="0"/>
          <w:color w:val="auto"/>
          <w:sz w:val="24"/>
          <w:szCs w:val="24"/>
          <w:highlight w:val="none"/>
          <w:u w:val="none"/>
          <w:lang w:eastAsia="zh-CN"/>
        </w:rPr>
        <w:t>。</w:t>
      </w:r>
    </w:p>
    <w:p w14:paraId="061B3F23">
      <w:pPr>
        <w:ind w:firstLine="482" w:firstLineChars="200"/>
        <w:rPr>
          <w:rFonts w:hint="eastAsia" w:ascii="宋体" w:hAnsi="宋体" w:cs="宋体"/>
          <w:b/>
          <w:i w:val="0"/>
          <w:iCs w:val="0"/>
          <w:strike w:val="0"/>
          <w:dstrike w:val="0"/>
          <w:color w:val="auto"/>
          <w:sz w:val="24"/>
          <w:szCs w:val="24"/>
          <w:highlight w:val="none"/>
          <w:u w:val="none"/>
        </w:rPr>
      </w:pPr>
      <w:r>
        <w:rPr>
          <w:rFonts w:hint="eastAsia" w:ascii="宋体" w:hAnsi="宋体" w:cs="宋体"/>
          <w:b/>
          <w:i w:val="0"/>
          <w:iCs w:val="0"/>
          <w:strike w:val="0"/>
          <w:dstrike w:val="0"/>
          <w:color w:val="auto"/>
          <w:sz w:val="24"/>
          <w:szCs w:val="24"/>
          <w:highlight w:val="none"/>
          <w:u w:val="none"/>
          <w:lang w:val="en-US" w:eastAsia="zh-CN"/>
        </w:rPr>
        <w:t>二</w:t>
      </w:r>
      <w:r>
        <w:rPr>
          <w:rFonts w:hint="eastAsia" w:ascii="宋体" w:hAnsi="宋体" w:cs="宋体"/>
          <w:b/>
          <w:i w:val="0"/>
          <w:iCs w:val="0"/>
          <w:strike w:val="0"/>
          <w:dstrike w:val="0"/>
          <w:color w:val="auto"/>
          <w:sz w:val="24"/>
          <w:szCs w:val="24"/>
          <w:highlight w:val="none"/>
          <w:u w:val="none"/>
        </w:rPr>
        <w:t>、结算管理要求</w:t>
      </w:r>
    </w:p>
    <w:p w14:paraId="4CAD5842">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1.工程（过程）结算编制要求</w:t>
      </w:r>
    </w:p>
    <w:p w14:paraId="17F26EDA">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1）承包商施工过程中收到设计蓝图须及时编制施工图预算，上报工程管理部预审。原则上承包商收到设计蓝图一个月内完成施工图预算编制、提报，特殊或较大项目按批准的工程（过程）结算编制计划时间执行。</w:t>
      </w:r>
    </w:p>
    <w:p w14:paraId="2A1DB142">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（2）过程结算是分阶段、分专业对施工完且质量合格的部分结算，考虑图纸、设计变更、签证一并办理过程结算。</w:t>
      </w:r>
    </w:p>
    <w:p w14:paraId="345B2BD2">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3）工程（过程）结算节点的划分原则：现有设施拆除施工完成交出施工时办理拆除过程结算，桩基工程完成交土建施工时办理桩基过程结算，土建交安时办理土建过程结算，机械完工时办理安装过程结算，中间交工验收时办理最终工程结算。详细设计完成后，施工单位按设计蓝图上报施工图预算交工程管理部审核，在施工完成后将签证等编制预算上报工程管理部审核。</w:t>
      </w:r>
    </w:p>
    <w:p w14:paraId="642FF134">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lang w:val="en-US" w:eastAsia="zh-CN"/>
        </w:rPr>
        <w:t>2.</w:t>
      </w:r>
      <w:r>
        <w:rPr>
          <w:rFonts w:hint="eastAsia" w:ascii="宋体" w:hAnsi="宋体" w:cs="宋体"/>
          <w:i w:val="0"/>
          <w:iCs w:val="0"/>
          <w:strike w:val="0"/>
          <w:dstrike w:val="0"/>
          <w:color w:val="auto"/>
          <w:sz w:val="24"/>
          <w:szCs w:val="24"/>
          <w:highlight w:val="none"/>
          <w:u w:val="none"/>
        </w:rPr>
        <w:t>工程（过程）结算编制时间要求：</w:t>
      </w:r>
    </w:p>
    <w:p w14:paraId="46B07E03">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A.结算报审价2000万元以下的从工程质量验收合格之日起45日内；</w:t>
      </w:r>
    </w:p>
    <w:p w14:paraId="353B5508">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B.结算报审价2000万元至1亿以下的从工程质量验收合格之日起60日内；</w:t>
      </w:r>
    </w:p>
    <w:p w14:paraId="77037AF9">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C.结算报审价1亿以上的从工程质量验收合格之日起90日内。</w:t>
      </w:r>
    </w:p>
    <w:p w14:paraId="22AE070A">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如项目存在尾项工程等特殊情况，需延迟编制及递交结算，承包人应提前30天报发包人批准，说明延期编报的原因及提交结算资料的计划。</w:t>
      </w:r>
    </w:p>
    <w:p w14:paraId="7EB70F46">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lang w:val="en-US" w:eastAsia="zh-CN"/>
        </w:rPr>
        <w:t>3</w:t>
      </w:r>
      <w:r>
        <w:rPr>
          <w:rFonts w:hint="eastAsia" w:ascii="宋体" w:hAnsi="宋体" w:cs="宋体"/>
          <w:i w:val="0"/>
          <w:iCs w:val="0"/>
          <w:strike w:val="0"/>
          <w:dstrike w:val="0"/>
          <w:color w:val="auto"/>
          <w:sz w:val="24"/>
          <w:szCs w:val="24"/>
          <w:highlight w:val="none"/>
          <w:u w:val="none"/>
        </w:rPr>
        <w:t>.监理审核结算时限要求：</w:t>
      </w:r>
    </w:p>
    <w:p w14:paraId="29290BB6">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监理单位接收承包人结算申请书后</w:t>
      </w:r>
      <w:r>
        <w:rPr>
          <w:rFonts w:hint="eastAsia" w:ascii="宋体" w:hAnsi="宋体" w:cs="宋体"/>
          <w:i w:val="0"/>
          <w:iCs w:val="0"/>
          <w:strike w:val="0"/>
          <w:dstrike w:val="0"/>
          <w:color w:val="auto"/>
          <w:sz w:val="24"/>
          <w:szCs w:val="24"/>
          <w:highlight w:val="none"/>
          <w:u w:val="none"/>
          <w:lang w:val="en-US" w:eastAsia="zh-CN"/>
        </w:rPr>
        <w:t>7日内</w:t>
      </w:r>
      <w:r>
        <w:rPr>
          <w:rFonts w:hint="eastAsia" w:ascii="宋体" w:hAnsi="宋体" w:cs="宋体"/>
          <w:i w:val="0"/>
          <w:iCs w:val="0"/>
          <w:strike w:val="0"/>
          <w:dstrike w:val="0"/>
          <w:color w:val="auto"/>
          <w:sz w:val="24"/>
          <w:szCs w:val="24"/>
          <w:highlight w:val="none"/>
          <w:u w:val="none"/>
        </w:rPr>
        <w:t>预审。</w:t>
      </w:r>
    </w:p>
    <w:p w14:paraId="1622892A">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lang w:val="en-US" w:eastAsia="zh-CN"/>
        </w:rPr>
        <w:t>4</w:t>
      </w:r>
      <w:r>
        <w:rPr>
          <w:rFonts w:hint="eastAsia" w:ascii="宋体" w:hAnsi="宋体" w:cs="宋体"/>
          <w:i w:val="0"/>
          <w:iCs w:val="0"/>
          <w:strike w:val="0"/>
          <w:dstrike w:val="0"/>
          <w:color w:val="auto"/>
          <w:sz w:val="24"/>
          <w:szCs w:val="24"/>
          <w:highlight w:val="none"/>
          <w:u w:val="none"/>
        </w:rPr>
        <w:t>.结算资料</w:t>
      </w:r>
      <w:r>
        <w:rPr>
          <w:rFonts w:hint="eastAsia" w:ascii="宋体" w:hAnsi="宋体" w:cs="宋体"/>
          <w:i w:val="0"/>
          <w:iCs w:val="0"/>
          <w:strike w:val="0"/>
          <w:dstrike w:val="0"/>
          <w:color w:val="auto"/>
          <w:sz w:val="24"/>
          <w:szCs w:val="24"/>
          <w:highlight w:val="none"/>
          <w:u w:val="none"/>
          <w:lang w:val="en-US" w:eastAsia="zh-CN"/>
        </w:rPr>
        <w:t>提报</w:t>
      </w:r>
      <w:r>
        <w:rPr>
          <w:rFonts w:hint="eastAsia" w:ascii="宋体" w:hAnsi="宋体" w:cs="宋体"/>
          <w:i w:val="0"/>
          <w:iCs w:val="0"/>
          <w:strike w:val="0"/>
          <w:dstrike w:val="0"/>
          <w:color w:val="auto"/>
          <w:sz w:val="24"/>
          <w:szCs w:val="24"/>
          <w:highlight w:val="none"/>
          <w:u w:val="none"/>
        </w:rPr>
        <w:t>要求：</w:t>
      </w:r>
    </w:p>
    <w:p w14:paraId="693F9C66">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（1）结算资料需线下书面提报，并在茂名石化生产装置检维修费用管理系统线上提报有关电子资料，资料目录及要求详见结算资料清单（附表1）。线下书面提报的工程结算书，要装订成册，内容确保真实准确。</w:t>
      </w:r>
    </w:p>
    <w:p w14:paraId="0A85D8C2">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2）结算资料如涉及设计变更单、施工变更单、签证单，需提供相关台账，所涉及发包人确认人、发包人预结算中心现场确认人（10万元及以上）、监理现场确认人、总包现场确认人均需相关人员手写确认，并加盖总包单位公章或项目章。</w:t>
      </w:r>
    </w:p>
    <w:p w14:paraId="029215F0">
      <w:pPr>
        <w:ind w:firstLine="480" w:firstLineChars="200"/>
        <w:rPr>
          <w:rFonts w:hint="eastAsia" w:ascii="宋体" w:hAnsi="宋体" w:eastAsia="宋体" w:cs="宋体"/>
          <w:i w:val="0"/>
          <w:iCs w:val="0"/>
          <w:strike w:val="0"/>
          <w:dstrike w:val="0"/>
          <w:color w:val="auto"/>
          <w:sz w:val="24"/>
          <w:szCs w:val="24"/>
          <w:highlight w:val="none"/>
          <w:u w:val="none"/>
          <w:lang w:val="en-US" w:eastAsia="zh-CN"/>
        </w:rPr>
      </w:pPr>
      <w:r>
        <w:rPr>
          <w:rFonts w:hint="eastAsia" w:ascii="宋体" w:hAnsi="宋体" w:cs="宋体"/>
          <w:i w:val="0"/>
          <w:iCs w:val="0"/>
          <w:strike w:val="0"/>
          <w:dstrike w:val="0"/>
          <w:color w:val="auto"/>
          <w:sz w:val="24"/>
          <w:szCs w:val="24"/>
          <w:highlight w:val="none"/>
          <w:u w:val="none"/>
          <w:lang w:eastAsia="zh-CN"/>
        </w:rPr>
        <w:t>（</w:t>
      </w:r>
      <w:r>
        <w:rPr>
          <w:rFonts w:hint="eastAsia" w:ascii="宋体" w:hAnsi="宋体" w:cs="宋体"/>
          <w:i w:val="0"/>
          <w:iCs w:val="0"/>
          <w:strike w:val="0"/>
          <w:dstrike w:val="0"/>
          <w:color w:val="auto"/>
          <w:sz w:val="24"/>
          <w:szCs w:val="24"/>
          <w:highlight w:val="none"/>
          <w:u w:val="none"/>
          <w:lang w:val="en-US" w:eastAsia="zh-CN"/>
        </w:rPr>
        <w:t>3</w:t>
      </w:r>
      <w:r>
        <w:rPr>
          <w:rFonts w:hint="eastAsia" w:ascii="宋体" w:hAnsi="宋体" w:cs="宋体"/>
          <w:i w:val="0"/>
          <w:iCs w:val="0"/>
          <w:strike w:val="0"/>
          <w:dstrike w:val="0"/>
          <w:color w:val="auto"/>
          <w:sz w:val="24"/>
          <w:szCs w:val="24"/>
          <w:highlight w:val="none"/>
          <w:u w:val="none"/>
          <w:lang w:eastAsia="zh-CN"/>
        </w:rPr>
        <w:t>）</w:t>
      </w:r>
      <w:r>
        <w:rPr>
          <w:rFonts w:hint="eastAsia" w:ascii="宋体" w:hAnsi="宋体" w:cs="宋体"/>
          <w:i w:val="0"/>
          <w:iCs w:val="0"/>
          <w:strike w:val="0"/>
          <w:dstrike w:val="0"/>
          <w:color w:val="auto"/>
          <w:sz w:val="24"/>
          <w:szCs w:val="24"/>
          <w:highlight w:val="none"/>
          <w:u w:val="none"/>
          <w:lang w:val="en-US" w:eastAsia="zh-CN"/>
        </w:rPr>
        <w:t>开展过程结算后，每份结算书要按顺序编号，</w:t>
      </w:r>
      <w:r>
        <w:rPr>
          <w:rFonts w:hint="eastAsia" w:ascii="宋体" w:hAnsi="宋体" w:cs="宋体"/>
          <w:i w:val="0"/>
          <w:iCs w:val="0"/>
          <w:strike w:val="0"/>
          <w:dstrike w:val="0"/>
          <w:color w:val="auto"/>
          <w:sz w:val="24"/>
          <w:szCs w:val="24"/>
          <w:highlight w:val="none"/>
          <w:u w:val="none"/>
        </w:rPr>
        <w:t>奖扣证明、材料核销书、ERP转帐证明</w:t>
      </w:r>
      <w:r>
        <w:rPr>
          <w:rFonts w:hint="eastAsia" w:ascii="宋体" w:hAnsi="宋体" w:cs="宋体"/>
          <w:i w:val="0"/>
          <w:iCs w:val="0"/>
          <w:strike w:val="0"/>
          <w:dstrike w:val="0"/>
          <w:color w:val="auto"/>
          <w:sz w:val="24"/>
          <w:szCs w:val="24"/>
          <w:highlight w:val="none"/>
          <w:u w:val="none"/>
          <w:lang w:val="en-US" w:eastAsia="zh-CN"/>
        </w:rPr>
        <w:t>在最后一版结算书提供。</w:t>
      </w:r>
    </w:p>
    <w:p w14:paraId="528FC4D6">
      <w:pPr>
        <w:ind w:firstLine="480" w:firstLineChars="20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lang w:val="en-US" w:eastAsia="zh-CN"/>
        </w:rPr>
        <w:t>5</w:t>
      </w:r>
      <w:r>
        <w:rPr>
          <w:rFonts w:hint="eastAsia" w:ascii="宋体" w:hAnsi="宋体" w:cs="宋体"/>
          <w:i w:val="0"/>
          <w:iCs w:val="0"/>
          <w:strike w:val="0"/>
          <w:dstrike w:val="0"/>
          <w:color w:val="auto"/>
          <w:sz w:val="24"/>
          <w:szCs w:val="24"/>
          <w:highlight w:val="none"/>
          <w:u w:val="none"/>
        </w:rPr>
        <w:t>.其他结算管理要求</w:t>
      </w:r>
    </w:p>
    <w:p w14:paraId="17EC9BEC">
      <w:pPr>
        <w:widowControl/>
        <w:ind w:firstLine="480" w:firstLineChars="200"/>
        <w:jc w:val="left"/>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lang w:val="en-US" w:eastAsia="zh-CN"/>
        </w:rPr>
        <w:t>承包人需</w:t>
      </w:r>
      <w:r>
        <w:rPr>
          <w:rFonts w:hint="eastAsia" w:ascii="宋体" w:hAnsi="宋体" w:cs="宋体"/>
          <w:i w:val="0"/>
          <w:iCs w:val="0"/>
          <w:strike w:val="0"/>
          <w:dstrike w:val="0"/>
          <w:color w:val="auto"/>
          <w:sz w:val="24"/>
          <w:szCs w:val="24"/>
          <w:highlight w:val="none"/>
          <w:u w:val="none"/>
        </w:rPr>
        <w:t>根据</w:t>
      </w:r>
      <w:r>
        <w:rPr>
          <w:rFonts w:hint="eastAsia" w:ascii="宋体" w:hAnsi="宋体" w:cs="宋体"/>
          <w:i w:val="0"/>
          <w:iCs w:val="0"/>
          <w:strike w:val="0"/>
          <w:dstrike w:val="0"/>
          <w:color w:val="auto"/>
          <w:sz w:val="24"/>
          <w:szCs w:val="24"/>
          <w:highlight w:val="none"/>
          <w:u w:val="none"/>
          <w:lang w:val="en-US" w:eastAsia="zh-CN"/>
        </w:rPr>
        <w:t>发包人管理</w:t>
      </w:r>
      <w:r>
        <w:rPr>
          <w:rFonts w:hint="eastAsia" w:ascii="宋体" w:hAnsi="宋体" w:cs="宋体"/>
          <w:i w:val="0"/>
          <w:iCs w:val="0"/>
          <w:strike w:val="0"/>
          <w:dstrike w:val="0"/>
          <w:color w:val="auto"/>
          <w:sz w:val="24"/>
          <w:szCs w:val="24"/>
          <w:highlight w:val="none"/>
          <w:u w:val="none"/>
        </w:rPr>
        <w:t>要求按时提供签证预算、蓝图预算、（过程）过程结算等资料。具体如下：</w:t>
      </w:r>
    </w:p>
    <w:p w14:paraId="374619E8">
      <w:pPr>
        <w:widowControl/>
        <w:ind w:firstLine="480" w:firstLineChars="200"/>
        <w:jc w:val="left"/>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1）负责在项目（主项）开工后一个月内制定、上报工程（过程）结算计划，各项目（主项）工程（过程）结算计划要分片区、分主项、分专业进行编制，经工程管理部审核、批准后实施，并按批准后的计划报送相关资料。</w:t>
      </w:r>
    </w:p>
    <w:p w14:paraId="0D91B0DC">
      <w:pPr>
        <w:widowControl/>
        <w:ind w:firstLine="480" w:firstLineChars="200"/>
        <w:jc w:val="left"/>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（2）负责建立、定期上报蓝图预算、签证预算、工程（过程）结算台账，及时根据项目进展更新台账。</w:t>
      </w:r>
    </w:p>
    <w:p w14:paraId="31ADAB83">
      <w:pPr>
        <w:widowControl/>
        <w:ind w:firstLine="480" w:firstLineChars="200"/>
        <w:jc w:val="left"/>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3）负责向监理（或外聘项目管理单位）和项目实施主管单位提出工程签证申请。所有签证提交工程签证现场记录、图像资料等审批的同时，必须提交签证预算。无合规性理由，结算期间补办的签证将不再予以确认。</w:t>
      </w:r>
    </w:p>
    <w:p w14:paraId="48E3BD5A">
      <w:pPr>
        <w:widowControl/>
        <w:ind w:firstLine="480" w:firstLineChars="200"/>
        <w:jc w:val="left"/>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（4）负责按要求提交完整的（过程）结算资料。</w:t>
      </w:r>
    </w:p>
    <w:p w14:paraId="6A0B4978">
      <w:pPr>
        <w:widowControl/>
        <w:ind w:firstLine="480" w:firstLineChars="200"/>
        <w:jc w:val="left"/>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rPr>
        <w:t>（5）根据项目情况制定费控人员配备计划，按计划配备费控人员确保满足过程结算顺利进行，人员变更严格按照变更程序办理。</w:t>
      </w:r>
    </w:p>
    <w:p w14:paraId="72DF2D50">
      <w:pPr>
        <w:ind w:firstLine="600" w:firstLineChars="250"/>
        <w:rPr>
          <w:rFonts w:hint="eastAsia" w:ascii="宋体" w:hAnsi="宋体" w:cs="宋体"/>
          <w:i w:val="0"/>
          <w:iCs w:val="0"/>
          <w:strike w:val="0"/>
          <w:dstrike w:val="0"/>
          <w:color w:val="auto"/>
          <w:sz w:val="24"/>
          <w:szCs w:val="24"/>
          <w:highlight w:val="none"/>
          <w:u w:val="none"/>
        </w:rPr>
      </w:pPr>
      <w:r>
        <w:rPr>
          <w:rFonts w:hint="eastAsia" w:ascii="宋体" w:hAnsi="宋体" w:cs="宋体"/>
          <w:i w:val="0"/>
          <w:iCs w:val="0"/>
          <w:strike w:val="0"/>
          <w:dstrike w:val="0"/>
          <w:color w:val="auto"/>
          <w:sz w:val="24"/>
          <w:szCs w:val="24"/>
          <w:highlight w:val="none"/>
          <w:u w:val="none"/>
          <w:lang w:val="en-US" w:eastAsia="zh-CN"/>
        </w:rPr>
        <w:t>6</w:t>
      </w:r>
      <w:r>
        <w:rPr>
          <w:rFonts w:hint="eastAsia" w:ascii="宋体" w:hAnsi="宋体" w:cs="宋体"/>
          <w:i w:val="0"/>
          <w:iCs w:val="0"/>
          <w:strike w:val="0"/>
          <w:dstrike w:val="0"/>
          <w:color w:val="auto"/>
          <w:sz w:val="24"/>
          <w:szCs w:val="24"/>
          <w:highlight w:val="none"/>
          <w:u w:val="none"/>
        </w:rPr>
        <w:t>.对于不及时编报结算资料、结算资料质量差（关键资料不完整、明显错漏等）或审核不及时，导致结算上报超时，影响了结算审核及竣工验收等工作的，依据合同约定及《茂名石化承包商管理程序》有关考评细则对承包人进行考核。考核规定：《茂名石化工程建设承包商考评细则》六、合同控制考核标准：6.11结算上报不及时，资料不完整、不准确、弄虚作假，或者结算审减率超过5%（重大争议除外），或者乙方原因导致结算超过批复概算的。扣罚1</w:t>
      </w:r>
      <w:r>
        <w:rPr>
          <w:rFonts w:hint="eastAsia" w:ascii="宋体" w:hAnsi="宋体" w:cs="宋体"/>
          <w:i w:val="0"/>
          <w:iCs w:val="0"/>
          <w:strike w:val="0"/>
          <w:dstrike w:val="0"/>
          <w:color w:val="auto"/>
          <w:sz w:val="24"/>
          <w:szCs w:val="24"/>
          <w:highlight w:val="none"/>
          <w:u w:val="none"/>
          <w:lang w:val="en-US" w:eastAsia="zh-CN"/>
        </w:rPr>
        <w:t>～</w:t>
      </w:r>
      <w:r>
        <w:rPr>
          <w:rFonts w:hint="eastAsia" w:ascii="宋体" w:hAnsi="宋体" w:cs="宋体"/>
          <w:i w:val="0"/>
          <w:iCs w:val="0"/>
          <w:strike w:val="0"/>
          <w:dstrike w:val="0"/>
          <w:color w:val="auto"/>
          <w:sz w:val="24"/>
          <w:szCs w:val="24"/>
          <w:highlight w:val="none"/>
          <w:u w:val="none"/>
        </w:rPr>
        <w:t>3分，扣罚1000</w:t>
      </w:r>
      <w:r>
        <w:rPr>
          <w:rFonts w:hint="eastAsia" w:ascii="宋体" w:hAnsi="宋体" w:cs="宋体"/>
          <w:i w:val="0"/>
          <w:iCs w:val="0"/>
          <w:strike w:val="0"/>
          <w:dstrike w:val="0"/>
          <w:color w:val="auto"/>
          <w:sz w:val="24"/>
          <w:szCs w:val="24"/>
          <w:highlight w:val="none"/>
          <w:u w:val="none"/>
          <w:lang w:val="en-US" w:eastAsia="zh-CN"/>
        </w:rPr>
        <w:t>～</w:t>
      </w:r>
      <w:r>
        <w:rPr>
          <w:rFonts w:hint="eastAsia" w:ascii="宋体" w:hAnsi="宋体" w:cs="宋体"/>
          <w:i w:val="0"/>
          <w:iCs w:val="0"/>
          <w:strike w:val="0"/>
          <w:dstrike w:val="0"/>
          <w:color w:val="auto"/>
          <w:sz w:val="24"/>
          <w:szCs w:val="24"/>
          <w:highlight w:val="none"/>
          <w:u w:val="none"/>
        </w:rPr>
        <w:t>100000元，并按合同约定审减率进行扣违约金。</w:t>
      </w:r>
    </w:p>
    <w:p w14:paraId="67445B56">
      <w:pPr>
        <w:ind w:firstLine="600" w:firstLineChars="250"/>
        <w:rPr>
          <w:rFonts w:hint="eastAsia" w:ascii="宋体" w:hAnsi="宋体" w:cs="宋体"/>
          <w:i w:val="0"/>
          <w:iCs w:val="0"/>
          <w:strike w:val="0"/>
          <w:dstrike w:val="0"/>
          <w:color w:val="auto"/>
          <w:sz w:val="24"/>
          <w:szCs w:val="24"/>
          <w:highlight w:val="none"/>
          <w:u w:val="none"/>
        </w:rPr>
      </w:pPr>
      <w:r>
        <w:rPr>
          <w:rFonts w:hint="eastAsia" w:ascii="宋体" w:hAnsi="宋体" w:eastAsia="宋体" w:cs="宋体"/>
          <w:bCs w:val="0"/>
          <w:i w:val="0"/>
          <w:iCs w:val="0"/>
          <w:strike w:val="0"/>
          <w:dstrike w:val="0"/>
          <w:color w:val="auto"/>
          <w:sz w:val="24"/>
          <w:szCs w:val="24"/>
          <w:highlight w:val="none"/>
          <w:u w:val="none"/>
          <w:lang w:val="en-US" w:eastAsia="zh-CN"/>
        </w:rPr>
        <w:t>7.其他详见《工程管理部工程（过程）结算实施方案》</w:t>
      </w:r>
      <w:r>
        <w:rPr>
          <w:rFonts w:hint="eastAsia" w:ascii="宋体" w:hAnsi="宋体" w:eastAsia="宋体" w:cs="宋体"/>
          <w:bCs/>
          <w:i w:val="0"/>
          <w:iCs w:val="0"/>
          <w:strike w:val="0"/>
          <w:dstrike w:val="0"/>
          <w:color w:val="auto"/>
          <w:sz w:val="24"/>
          <w:szCs w:val="24"/>
          <w:highlight w:val="none"/>
          <w:u w:val="none"/>
          <w:lang w:val="en-US" w:eastAsia="zh-CN"/>
        </w:rPr>
        <w:t>。</w:t>
      </w:r>
    </w:p>
    <w:p w14:paraId="2AA51A91">
      <w:pPr>
        <w:rPr>
          <w:rFonts w:hint="eastAsia" w:ascii="宋体" w:hAnsi="宋体" w:cs="Arial"/>
          <w:b/>
          <w:bCs/>
          <w:i w:val="0"/>
          <w:iCs w:val="0"/>
          <w:strike w:val="0"/>
          <w:dstrike w:val="0"/>
          <w:color w:val="auto"/>
          <w:kern w:val="2"/>
          <w:sz w:val="24"/>
          <w:szCs w:val="24"/>
          <w:highlight w:val="none"/>
          <w:lang w:val="en-US" w:eastAsia="zh-CN"/>
        </w:rPr>
      </w:pPr>
    </w:p>
    <w:sectPr>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66D56">
    <w:pPr>
      <w:tabs>
        <w:tab w:val="center" w:pos="4153"/>
        <w:tab w:val="right" w:pos="8306"/>
      </w:tabs>
      <w:snapToGrid w:val="0"/>
      <w:jc w:val="center"/>
      <w:rPr>
        <w:sz w:val="21"/>
      </w:rPr>
    </w:pPr>
    <w:r>
      <w:rPr>
        <w:sz w:val="21"/>
      </w:rPr>
      <w:fldChar w:fldCharType="begin"/>
    </w:r>
    <w:r>
      <w:rPr>
        <w:sz w:val="21"/>
      </w:rPr>
      <w:instrText xml:space="preserve"> PAGE </w:instrText>
    </w:r>
    <w:r>
      <w:rPr>
        <w:sz w:val="21"/>
      </w:rPr>
      <w:fldChar w:fldCharType="separate"/>
    </w:r>
    <w:r>
      <w:rPr>
        <w:sz w:val="21"/>
      </w:rPr>
      <w:t>695</w:t>
    </w:r>
    <w:r>
      <w:rPr>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A4D06">
    <w:pPr>
      <w:tabs>
        <w:tab w:val="center" w:pos="4153"/>
        <w:tab w:val="right" w:pos="8306"/>
      </w:tabs>
      <w:snapToGrid w:val="0"/>
      <w:jc w:val="center"/>
      <w:rPr>
        <w:sz w:val="21"/>
      </w:rPr>
    </w:pPr>
    <w:r>
      <w:rPr>
        <w:sz w:val="21"/>
      </w:rPr>
      <w:fldChar w:fldCharType="begin"/>
    </w:r>
    <w:r>
      <w:rPr>
        <w:sz w:val="21"/>
      </w:rPr>
      <w:instrText xml:space="preserve"> PAGE </w:instrText>
    </w:r>
    <w:r>
      <w:rPr>
        <w:sz w:val="21"/>
      </w:rPr>
      <w:fldChar w:fldCharType="separate"/>
    </w:r>
    <w:r>
      <w:rPr>
        <w:sz w:val="21"/>
      </w:rPr>
      <w:t>695</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B9C3B"/>
    <w:multiLevelType w:val="singleLevel"/>
    <w:tmpl w:val="E26B9C3B"/>
    <w:lvl w:ilvl="0" w:tentative="0">
      <w:start w:val="1"/>
      <w:numFmt w:val="decimal"/>
      <w:suff w:val="nothing"/>
      <w:lvlText w:val="（%1）"/>
      <w:lvlJc w:val="left"/>
    </w:lvl>
  </w:abstractNum>
  <w:abstractNum w:abstractNumId="1">
    <w:nsid w:val="EEEC2E1B"/>
    <w:multiLevelType w:val="singleLevel"/>
    <w:tmpl w:val="EEEC2E1B"/>
    <w:lvl w:ilvl="0" w:tentative="0">
      <w:start w:val="1"/>
      <w:numFmt w:val="decimal"/>
      <w:suff w:val="nothing"/>
      <w:lvlText w:val="（%1）"/>
      <w:lvlJc w:val="left"/>
    </w:lvl>
  </w:abstractNum>
  <w:abstractNum w:abstractNumId="2">
    <w:nsid w:val="00000003"/>
    <w:multiLevelType w:val="multilevel"/>
    <w:tmpl w:val="00000003"/>
    <w:lvl w:ilvl="0" w:tentative="0">
      <w:start w:val="2"/>
      <w:numFmt w:val="decimal"/>
      <w:lvlText w:val="%1"/>
      <w:lvlJc w:val="left"/>
      <w:pPr>
        <w:ind w:left="842" w:hanging="360"/>
      </w:pPr>
      <w:rPr>
        <w:rFonts w:hint="default"/>
      </w:rPr>
    </w:lvl>
    <w:lvl w:ilvl="1" w:tentative="0">
      <w:start w:val="2"/>
      <w:numFmt w:val="decimal"/>
      <w:isLgl/>
      <w:lvlText w:val="%1.%2"/>
      <w:lvlJc w:val="left"/>
      <w:pPr>
        <w:ind w:left="842" w:hanging="360"/>
      </w:pPr>
      <w:rPr>
        <w:rFonts w:hint="default"/>
      </w:rPr>
    </w:lvl>
    <w:lvl w:ilvl="2" w:tentative="0">
      <w:start w:val="1"/>
      <w:numFmt w:val="decimal"/>
      <w:isLgl/>
      <w:lvlText w:val="%1.%2.%3"/>
      <w:lvlJc w:val="left"/>
      <w:pPr>
        <w:ind w:left="1202" w:hanging="720"/>
      </w:pPr>
      <w:rPr>
        <w:rFonts w:hint="default"/>
      </w:rPr>
    </w:lvl>
    <w:lvl w:ilvl="3" w:tentative="0">
      <w:start w:val="1"/>
      <w:numFmt w:val="decimal"/>
      <w:isLgl/>
      <w:lvlText w:val="%1.%2.%3.%4"/>
      <w:lvlJc w:val="left"/>
      <w:pPr>
        <w:ind w:left="1562" w:hanging="1080"/>
      </w:pPr>
      <w:rPr>
        <w:rFonts w:hint="default"/>
      </w:rPr>
    </w:lvl>
    <w:lvl w:ilvl="4" w:tentative="0">
      <w:start w:val="1"/>
      <w:numFmt w:val="decimal"/>
      <w:isLgl/>
      <w:lvlText w:val="%1.%2.%3.%4.%5"/>
      <w:lvlJc w:val="left"/>
      <w:pPr>
        <w:ind w:left="1562" w:hanging="1080"/>
      </w:pPr>
      <w:rPr>
        <w:rFonts w:hint="default"/>
      </w:rPr>
    </w:lvl>
    <w:lvl w:ilvl="5" w:tentative="0">
      <w:start w:val="1"/>
      <w:numFmt w:val="decimal"/>
      <w:isLgl/>
      <w:lvlText w:val="%1.%2.%3.%4.%5.%6"/>
      <w:lvlJc w:val="left"/>
      <w:pPr>
        <w:ind w:left="1922" w:hanging="1440"/>
      </w:pPr>
      <w:rPr>
        <w:rFonts w:hint="default"/>
      </w:rPr>
    </w:lvl>
    <w:lvl w:ilvl="6" w:tentative="0">
      <w:start w:val="1"/>
      <w:numFmt w:val="decimal"/>
      <w:isLgl/>
      <w:lvlText w:val="%1.%2.%3.%4.%5.%6.%7"/>
      <w:lvlJc w:val="left"/>
      <w:pPr>
        <w:ind w:left="2282" w:hanging="1800"/>
      </w:pPr>
      <w:rPr>
        <w:rFonts w:hint="default"/>
      </w:rPr>
    </w:lvl>
    <w:lvl w:ilvl="7" w:tentative="0">
      <w:start w:val="1"/>
      <w:numFmt w:val="decimal"/>
      <w:isLgl/>
      <w:lvlText w:val="%1.%2.%3.%4.%5.%6.%7.%8"/>
      <w:lvlJc w:val="left"/>
      <w:pPr>
        <w:ind w:left="2282" w:hanging="1800"/>
      </w:pPr>
      <w:rPr>
        <w:rFonts w:hint="default"/>
      </w:rPr>
    </w:lvl>
    <w:lvl w:ilvl="8" w:tentative="0">
      <w:start w:val="1"/>
      <w:numFmt w:val="decimal"/>
      <w:isLgl/>
      <w:lvlText w:val="%1.%2.%3.%4.%5.%6.%7.%8.%9"/>
      <w:lvlJc w:val="left"/>
      <w:pPr>
        <w:ind w:left="2642" w:hanging="2160"/>
      </w:pPr>
      <w:rPr>
        <w:rFonts w:hint="default"/>
      </w:rPr>
    </w:lvl>
  </w:abstractNum>
  <w:abstractNum w:abstractNumId="3">
    <w:nsid w:val="0000003A"/>
    <w:multiLevelType w:val="multilevel"/>
    <w:tmpl w:val="0000003A"/>
    <w:lvl w:ilvl="0" w:tentative="0">
      <w:start w:val="1"/>
      <w:numFmt w:val="decimal"/>
      <w:lvlText w:val="%1）"/>
      <w:lvlJc w:val="left"/>
      <w:pPr>
        <w:tabs>
          <w:tab w:val="left" w:pos="360"/>
        </w:tabs>
        <w:ind w:left="0" w:firstLine="0"/>
      </w:pPr>
    </w:lvl>
    <w:lvl w:ilvl="1" w:tentative="0">
      <w:start w:val="1"/>
      <w:numFmt w:val="bullet"/>
      <w:lvlText w:val=""/>
      <w:lvlJc w:val="left"/>
      <w:pPr>
        <w:tabs>
          <w:tab w:val="left" w:pos="360"/>
        </w:tabs>
        <w:ind w:left="0" w:firstLine="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5126248"/>
    <w:multiLevelType w:val="multilevel"/>
    <w:tmpl w:val="2512624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27EBF1F1"/>
    <w:multiLevelType w:val="singleLevel"/>
    <w:tmpl w:val="27EBF1F1"/>
    <w:lvl w:ilvl="0" w:tentative="0">
      <w:start w:val="1"/>
      <w:numFmt w:val="chineseCounting"/>
      <w:suff w:val="space"/>
      <w:lvlText w:val="第%1部分"/>
      <w:lvlJc w:val="left"/>
      <w:rPr>
        <w:rFonts w:hint="eastAsia"/>
      </w:rPr>
    </w:lvl>
  </w:abstractNum>
  <w:abstractNum w:abstractNumId="6">
    <w:nsid w:val="3B7D5D6B"/>
    <w:multiLevelType w:val="multilevel"/>
    <w:tmpl w:val="3B7D5D6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76CF5F32"/>
    <w:multiLevelType w:val="singleLevel"/>
    <w:tmpl w:val="76CF5F32"/>
    <w:lvl w:ilvl="0" w:tentative="0">
      <w:start w:val="2"/>
      <w:numFmt w:val="chineseCounting"/>
      <w:suff w:val="nothing"/>
      <w:lvlText w:val="%1、"/>
      <w:lvlJc w:val="left"/>
      <w:rPr>
        <w:rFonts w:hint="eastAsia"/>
      </w:rPr>
    </w:lvl>
  </w:abstractNum>
  <w:abstractNum w:abstractNumId="8">
    <w:nsid w:val="77FA2354"/>
    <w:multiLevelType w:val="singleLevel"/>
    <w:tmpl w:val="77FA2354"/>
    <w:lvl w:ilvl="0" w:tentative="0">
      <w:start w:val="1"/>
      <w:numFmt w:val="chineseCounting"/>
      <w:suff w:val="nothing"/>
      <w:lvlText w:val="%1、"/>
      <w:lvlJc w:val="left"/>
      <w:rPr>
        <w:rFonts w:hint="eastAsia"/>
      </w:rPr>
    </w:lvl>
  </w:abstractNum>
  <w:abstractNum w:abstractNumId="9">
    <w:nsid w:val="7F7EECF1"/>
    <w:multiLevelType w:val="singleLevel"/>
    <w:tmpl w:val="7F7EECF1"/>
    <w:lvl w:ilvl="0" w:tentative="0">
      <w:start w:val="1"/>
      <w:numFmt w:val="decimal"/>
      <w:suff w:val="nothing"/>
      <w:lvlText w:val="（%1）"/>
      <w:lvlJc w:val="left"/>
    </w:lvl>
  </w:abstractNum>
  <w:num w:numId="1">
    <w:abstractNumId w:val="5"/>
  </w:num>
  <w:num w:numId="2">
    <w:abstractNumId w:val="7"/>
  </w:num>
  <w:num w:numId="3">
    <w:abstractNumId w:val="1"/>
  </w:num>
  <w:num w:numId="4">
    <w:abstractNumId w:val="0"/>
  </w:num>
  <w:num w:numId="5">
    <w:abstractNumId w:val="9"/>
  </w:num>
  <w:num w:numId="6">
    <w:abstractNumId w:val="8"/>
  </w:num>
  <w:num w:numId="7">
    <w:abstractNumId w:val="3"/>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9A0C47"/>
    <w:rsid w:val="002802D2"/>
    <w:rsid w:val="00353AD2"/>
    <w:rsid w:val="00AA6F1A"/>
    <w:rsid w:val="00BB559B"/>
    <w:rsid w:val="01350C9C"/>
    <w:rsid w:val="025A6260"/>
    <w:rsid w:val="0376513B"/>
    <w:rsid w:val="037A58E8"/>
    <w:rsid w:val="03A54DF0"/>
    <w:rsid w:val="046604FD"/>
    <w:rsid w:val="05F54255"/>
    <w:rsid w:val="06AC5F82"/>
    <w:rsid w:val="06B15962"/>
    <w:rsid w:val="06D275A5"/>
    <w:rsid w:val="06E51E4D"/>
    <w:rsid w:val="07DA59B3"/>
    <w:rsid w:val="085914C1"/>
    <w:rsid w:val="09157DC7"/>
    <w:rsid w:val="099E26EF"/>
    <w:rsid w:val="09D40192"/>
    <w:rsid w:val="09ED3AD6"/>
    <w:rsid w:val="0A8F6265"/>
    <w:rsid w:val="0AC53B39"/>
    <w:rsid w:val="0C0C155E"/>
    <w:rsid w:val="0CC72716"/>
    <w:rsid w:val="0D426BB1"/>
    <w:rsid w:val="0DD80C4E"/>
    <w:rsid w:val="0DE7243D"/>
    <w:rsid w:val="0EE834FC"/>
    <w:rsid w:val="0F0547E3"/>
    <w:rsid w:val="0FF72944"/>
    <w:rsid w:val="10091997"/>
    <w:rsid w:val="101C13DC"/>
    <w:rsid w:val="103F02A2"/>
    <w:rsid w:val="10F25231"/>
    <w:rsid w:val="13841114"/>
    <w:rsid w:val="13E107F8"/>
    <w:rsid w:val="141728D4"/>
    <w:rsid w:val="16A016CE"/>
    <w:rsid w:val="17693507"/>
    <w:rsid w:val="17A9055F"/>
    <w:rsid w:val="1AA1351D"/>
    <w:rsid w:val="1AE560C0"/>
    <w:rsid w:val="1B3204E9"/>
    <w:rsid w:val="1B71725A"/>
    <w:rsid w:val="1B753A98"/>
    <w:rsid w:val="1BBB2DB2"/>
    <w:rsid w:val="1BE64DE8"/>
    <w:rsid w:val="1BFD04F9"/>
    <w:rsid w:val="1C1C08A6"/>
    <w:rsid w:val="1C527C03"/>
    <w:rsid w:val="1CA506E6"/>
    <w:rsid w:val="1D0A51B3"/>
    <w:rsid w:val="1D197C0E"/>
    <w:rsid w:val="1D7D3594"/>
    <w:rsid w:val="1DA3391D"/>
    <w:rsid w:val="1DF660B5"/>
    <w:rsid w:val="1EB203CF"/>
    <w:rsid w:val="1F9A1920"/>
    <w:rsid w:val="204F25FE"/>
    <w:rsid w:val="20530B1E"/>
    <w:rsid w:val="20660914"/>
    <w:rsid w:val="206D67DC"/>
    <w:rsid w:val="20CF0D61"/>
    <w:rsid w:val="20EC65CF"/>
    <w:rsid w:val="219717B2"/>
    <w:rsid w:val="23BA3FEF"/>
    <w:rsid w:val="23ED548E"/>
    <w:rsid w:val="23EE58DB"/>
    <w:rsid w:val="242E16E8"/>
    <w:rsid w:val="24607358"/>
    <w:rsid w:val="2494428D"/>
    <w:rsid w:val="251F2E04"/>
    <w:rsid w:val="25476A33"/>
    <w:rsid w:val="25A831CE"/>
    <w:rsid w:val="25B444CC"/>
    <w:rsid w:val="266D329C"/>
    <w:rsid w:val="2677168A"/>
    <w:rsid w:val="27752D87"/>
    <w:rsid w:val="280833BE"/>
    <w:rsid w:val="29023C25"/>
    <w:rsid w:val="297354C4"/>
    <w:rsid w:val="29C8077F"/>
    <w:rsid w:val="2A303947"/>
    <w:rsid w:val="2A4C528E"/>
    <w:rsid w:val="2A7B6732"/>
    <w:rsid w:val="2A9268E9"/>
    <w:rsid w:val="2AA30402"/>
    <w:rsid w:val="2AE94CE4"/>
    <w:rsid w:val="2BEB38A3"/>
    <w:rsid w:val="2C6E7A39"/>
    <w:rsid w:val="2C852B03"/>
    <w:rsid w:val="2C9B6CEB"/>
    <w:rsid w:val="2D963440"/>
    <w:rsid w:val="2E0750C2"/>
    <w:rsid w:val="2E132B5C"/>
    <w:rsid w:val="2E366CCB"/>
    <w:rsid w:val="2EC56362"/>
    <w:rsid w:val="2F0363AD"/>
    <w:rsid w:val="2F18013B"/>
    <w:rsid w:val="2FB60F44"/>
    <w:rsid w:val="30BC5A0C"/>
    <w:rsid w:val="30C10112"/>
    <w:rsid w:val="30D4151C"/>
    <w:rsid w:val="317F12ED"/>
    <w:rsid w:val="31DB5EA9"/>
    <w:rsid w:val="32C50EEA"/>
    <w:rsid w:val="3309404A"/>
    <w:rsid w:val="330B754D"/>
    <w:rsid w:val="34371578"/>
    <w:rsid w:val="34580D8D"/>
    <w:rsid w:val="369B27C2"/>
    <w:rsid w:val="37AE313B"/>
    <w:rsid w:val="380A4A95"/>
    <w:rsid w:val="390603F9"/>
    <w:rsid w:val="39357CB5"/>
    <w:rsid w:val="3AB3217D"/>
    <w:rsid w:val="3ABE6841"/>
    <w:rsid w:val="3AC7018D"/>
    <w:rsid w:val="3AD26B0E"/>
    <w:rsid w:val="3C7B10AF"/>
    <w:rsid w:val="3D042D6E"/>
    <w:rsid w:val="3DF918B9"/>
    <w:rsid w:val="3E581FE4"/>
    <w:rsid w:val="3EA1684F"/>
    <w:rsid w:val="3F11115A"/>
    <w:rsid w:val="3F6C6DAC"/>
    <w:rsid w:val="402D6EBB"/>
    <w:rsid w:val="41A24FCE"/>
    <w:rsid w:val="42105D6D"/>
    <w:rsid w:val="422C0DF6"/>
    <w:rsid w:val="42795726"/>
    <w:rsid w:val="42B30C3A"/>
    <w:rsid w:val="439972F7"/>
    <w:rsid w:val="45B66C2E"/>
    <w:rsid w:val="465D6271"/>
    <w:rsid w:val="469943E1"/>
    <w:rsid w:val="46EB3205"/>
    <w:rsid w:val="47B16013"/>
    <w:rsid w:val="47F50C02"/>
    <w:rsid w:val="48E04A06"/>
    <w:rsid w:val="49464F44"/>
    <w:rsid w:val="4D571D08"/>
    <w:rsid w:val="4D583A78"/>
    <w:rsid w:val="4D5E081B"/>
    <w:rsid w:val="4E6D1162"/>
    <w:rsid w:val="4E920D45"/>
    <w:rsid w:val="4EE47996"/>
    <w:rsid w:val="50422E9D"/>
    <w:rsid w:val="508B3032"/>
    <w:rsid w:val="50DA1118"/>
    <w:rsid w:val="51072846"/>
    <w:rsid w:val="51413A5A"/>
    <w:rsid w:val="522257C6"/>
    <w:rsid w:val="52353D5F"/>
    <w:rsid w:val="52416BDC"/>
    <w:rsid w:val="537D4134"/>
    <w:rsid w:val="53E43B36"/>
    <w:rsid w:val="54D14328"/>
    <w:rsid w:val="54D8352B"/>
    <w:rsid w:val="54E81487"/>
    <w:rsid w:val="54E838DC"/>
    <w:rsid w:val="55675BC4"/>
    <w:rsid w:val="55DA3469"/>
    <w:rsid w:val="56362708"/>
    <w:rsid w:val="56CE49F6"/>
    <w:rsid w:val="57DF0B24"/>
    <w:rsid w:val="57EF41EF"/>
    <w:rsid w:val="5810452B"/>
    <w:rsid w:val="58A65901"/>
    <w:rsid w:val="59064122"/>
    <w:rsid w:val="596646BA"/>
    <w:rsid w:val="59810AE7"/>
    <w:rsid w:val="59FE3CC9"/>
    <w:rsid w:val="5AD2138E"/>
    <w:rsid w:val="5B1500BB"/>
    <w:rsid w:val="5B343F38"/>
    <w:rsid w:val="5B545DA7"/>
    <w:rsid w:val="5BB1759F"/>
    <w:rsid w:val="5BF0749C"/>
    <w:rsid w:val="5BFB20F5"/>
    <w:rsid w:val="5C0F426D"/>
    <w:rsid w:val="5C7A6246"/>
    <w:rsid w:val="5D023BAF"/>
    <w:rsid w:val="5D7774DB"/>
    <w:rsid w:val="5D7B4CA5"/>
    <w:rsid w:val="5D8C0823"/>
    <w:rsid w:val="5DB86C6F"/>
    <w:rsid w:val="5DDD1B3D"/>
    <w:rsid w:val="5E83409D"/>
    <w:rsid w:val="5EA62002"/>
    <w:rsid w:val="5EE952DF"/>
    <w:rsid w:val="5F056BF5"/>
    <w:rsid w:val="5F0E0E85"/>
    <w:rsid w:val="5F8149EE"/>
    <w:rsid w:val="5FEE44BD"/>
    <w:rsid w:val="606A6D9C"/>
    <w:rsid w:val="610B0243"/>
    <w:rsid w:val="610B3267"/>
    <w:rsid w:val="616805DD"/>
    <w:rsid w:val="618B1F5D"/>
    <w:rsid w:val="619523A6"/>
    <w:rsid w:val="61B628DB"/>
    <w:rsid w:val="61E0328D"/>
    <w:rsid w:val="6219297F"/>
    <w:rsid w:val="625033DB"/>
    <w:rsid w:val="62807CCE"/>
    <w:rsid w:val="63064B86"/>
    <w:rsid w:val="6310516A"/>
    <w:rsid w:val="631A25E0"/>
    <w:rsid w:val="633A0922"/>
    <w:rsid w:val="633E1B7B"/>
    <w:rsid w:val="639D6FC9"/>
    <w:rsid w:val="64B300C5"/>
    <w:rsid w:val="64F64031"/>
    <w:rsid w:val="65270DF5"/>
    <w:rsid w:val="65A166C8"/>
    <w:rsid w:val="65BE7856"/>
    <w:rsid w:val="65CB530E"/>
    <w:rsid w:val="66F420A0"/>
    <w:rsid w:val="67616EA8"/>
    <w:rsid w:val="67AE67A9"/>
    <w:rsid w:val="68444E86"/>
    <w:rsid w:val="68825677"/>
    <w:rsid w:val="68C462F1"/>
    <w:rsid w:val="68E61D28"/>
    <w:rsid w:val="68FB1611"/>
    <w:rsid w:val="691309B8"/>
    <w:rsid w:val="6984557F"/>
    <w:rsid w:val="6A29365C"/>
    <w:rsid w:val="6B570828"/>
    <w:rsid w:val="6C37119B"/>
    <w:rsid w:val="6C614E67"/>
    <w:rsid w:val="6D7F36B1"/>
    <w:rsid w:val="6D8E0782"/>
    <w:rsid w:val="6E0E4F2D"/>
    <w:rsid w:val="6E1A6997"/>
    <w:rsid w:val="6E5E05E1"/>
    <w:rsid w:val="6F655B40"/>
    <w:rsid w:val="6F9B1B4F"/>
    <w:rsid w:val="70146E77"/>
    <w:rsid w:val="70BB47F1"/>
    <w:rsid w:val="71960F11"/>
    <w:rsid w:val="728E031F"/>
    <w:rsid w:val="730B464C"/>
    <w:rsid w:val="732B4F01"/>
    <w:rsid w:val="735B7922"/>
    <w:rsid w:val="747A2167"/>
    <w:rsid w:val="757D1B1F"/>
    <w:rsid w:val="759E3B76"/>
    <w:rsid w:val="768F5592"/>
    <w:rsid w:val="77A572D9"/>
    <w:rsid w:val="781D3294"/>
    <w:rsid w:val="78B37B63"/>
    <w:rsid w:val="79624B78"/>
    <w:rsid w:val="79F42021"/>
    <w:rsid w:val="7A6300D6"/>
    <w:rsid w:val="7A8C436C"/>
    <w:rsid w:val="7A8C6D1C"/>
    <w:rsid w:val="7ABD52ED"/>
    <w:rsid w:val="7B4C1826"/>
    <w:rsid w:val="7CEF566E"/>
    <w:rsid w:val="7D500A24"/>
    <w:rsid w:val="7DEB0413"/>
    <w:rsid w:val="7E9A0C47"/>
    <w:rsid w:val="7EBA5CF0"/>
    <w:rsid w:val="7EEA75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outlineLvl w:val="1"/>
    </w:pPr>
    <w:rPr>
      <w:rFonts w:ascii="Arial" w:hAnsi="Arial"/>
      <w:b/>
      <w:bCs/>
      <w:kern w:val="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rPr>
      <w:rFonts w:ascii="Calibri" w:hAnsi="Calibri"/>
      <w:sz w:val="21"/>
      <w:szCs w:val="21"/>
    </w:rPr>
  </w:style>
  <w:style w:type="paragraph" w:styleId="4">
    <w:name w:val="Body Text First Indent 2"/>
    <w:basedOn w:val="5"/>
    <w:next w:val="1"/>
    <w:qFormat/>
    <w:uiPriority w:val="0"/>
    <w:pPr>
      <w:spacing w:after="0"/>
      <w:ind w:firstLine="420" w:firstLineChars="200"/>
    </w:pPr>
  </w:style>
  <w:style w:type="paragraph" w:styleId="5">
    <w:name w:val="Body Text Indent"/>
    <w:basedOn w:val="1"/>
    <w:next w:val="3"/>
    <w:qFormat/>
    <w:uiPriority w:val="0"/>
    <w:pPr>
      <w:spacing w:after="120"/>
      <w:ind w:left="420" w:leftChars="200"/>
    </w:pPr>
    <w:rPr>
      <w:kern w:val="0"/>
      <w:sz w:val="20"/>
    </w:rPr>
  </w:style>
  <w:style w:type="paragraph" w:styleId="6">
    <w:name w:val="Body Text"/>
    <w:basedOn w:val="1"/>
    <w:qFormat/>
    <w:uiPriority w:val="99"/>
    <w:pPr>
      <w:spacing w:after="120"/>
    </w:pPr>
    <w:rPr>
      <w:kern w:val="0"/>
      <w:sz w:val="20"/>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_7"/>
    <w:basedOn w:val="1"/>
    <w:qFormat/>
    <w:uiPriority w:val="0"/>
    <w:pPr>
      <w:spacing w:line="240" w:lineRule="auto"/>
    </w:pPr>
    <w:rPr>
      <w:rFonts w:ascii="Calibri" w:hAnsi="Calibri"/>
      <w:sz w:val="21"/>
      <w:szCs w:val="21"/>
    </w:rPr>
  </w:style>
  <w:style w:type="character" w:customStyle="1" w:styleId="12">
    <w:name w:val="10"/>
    <w:basedOn w:val="10"/>
    <w:qFormat/>
    <w:uiPriority w:val="0"/>
    <w:rPr>
      <w:rFonts w:hint="default" w:ascii="Times New Roman" w:hAnsi="Times New Roman" w:cs="Times New Roman"/>
    </w:rPr>
  </w:style>
  <w:style w:type="paragraph" w:customStyle="1" w:styleId="13">
    <w:name w:val="正文_7_0"/>
    <w:basedOn w:val="1"/>
    <w:qFormat/>
    <w:uiPriority w:val="0"/>
    <w:pPr>
      <w:spacing w:line="240" w:lineRule="auto"/>
    </w:pPr>
    <w:rPr>
      <w:rFonts w:ascii="Calibri" w:hAnsi="Calibri"/>
      <w:sz w:val="21"/>
      <w:szCs w:val="21"/>
    </w:rPr>
  </w:style>
  <w:style w:type="paragraph" w:customStyle="1" w:styleId="14">
    <w:name w:val="正文_8_0"/>
    <w:basedOn w:val="1"/>
    <w:qFormat/>
    <w:uiPriority w:val="0"/>
  </w:style>
  <w:style w:type="paragraph" w:customStyle="1" w:styleId="15">
    <w:name w:val="正文_8"/>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customStyle="1" w:styleId="16">
    <w:name w:val="15"/>
    <w:basedOn w:val="10"/>
    <w:qFormat/>
    <w:uiPriority w:val="0"/>
    <w:rPr>
      <w:rFonts w:hint="default" w:ascii="Calibri" w:hAnsi="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077410F3627212498C98DAFCA2F0F519" ma:contentTypeVersion="" ma:contentTypeDescription="新建文档。" ma:contentTypeScope="" ma:versionID="7cff6f24df09ddb5a2b95493e9dca8ff">
  <xsd:schema xmlns:xsd="http://www.w3.org/2001/XMLSchema" xmlns:xs="http://www.w3.org/2001/XMLSchema" xmlns:p="http://schemas.microsoft.com/office/2006/metadata/properties" xmlns:ns2="7ac12551-7753-4487-b4a6-41e20c097a92" xmlns:ns3="fe36820c-3f91-4c1d-9dc7-0cfefe5138dc" xmlns:ns4="ebe9f755-53f9-4989-af4e-09df8b795e42" targetNamespace="http://schemas.microsoft.com/office/2006/metadata/properties" ma:root="true" ma:fieldsID="12e432b7373d7f4b0126f3db1135e875" ns2:_="" ns3:_="" ns4:_="">
    <xsd:import namespace="7ac12551-7753-4487-b4a6-41e20c097a92"/>
    <xsd:import namespace="fe36820c-3f91-4c1d-9dc7-0cfefe5138dc"/>
    <xsd:import namespace="ebe9f755-53f9-4989-af4e-09df8b795e42"/>
    <xsd:element name="properties">
      <xsd:complexType>
        <xsd:sequence>
          <xsd:element name="documentManagement">
            <xsd:complexType>
              <xsd:all>
                <xsd:element ref="ns2:ContractID" minOccurs="0"/>
                <xsd:element ref="ns3:ApprovalDesc" minOccurs="0"/>
                <xsd:element ref="ns3:VersionLabel" minOccurs="0"/>
                <xsd:element ref="ns4:ContractName" minOccurs="0"/>
                <xsd:element ref="ns4:Class01" minOccurs="0"/>
                <xsd:element ref="ns4:Class02" minOccurs="0"/>
                <xsd:element ref="ns4:Class03" minOccurs="0"/>
                <xsd:element ref="ns4:Class04" minOccurs="0"/>
                <xsd:element ref="ns4:ContractMoney" minOccurs="0"/>
                <xsd:element ref="ns4:CorpAsset" minOccurs="0"/>
                <xsd:element ref="ns4:InOut" minOccurs="0"/>
                <xsd:element ref="ns4:MainDeptID" minOccurs="0"/>
                <xsd:element ref="ns4:PlanMoney" minOccurs="0"/>
                <xsd:element ref="ns4:MoneyTo" minOccurs="0"/>
                <xsd:element ref="ns4:IsFrameContract" minOccurs="0"/>
                <xsd:element ref="ns4:OutContract" minOccurs="0"/>
                <xsd:element ref="ns4:Operator" minOccurs="0"/>
                <xsd:element ref="ns4:MoneyFrom" minOccurs="0"/>
                <xsd:element ref="ns4:MoneyFrom2" minOccurs="0"/>
                <xsd:element ref="ns4:ContractNo" minOccurs="0"/>
                <xsd:element ref="ns4:OperateType" minOccurs="0"/>
                <xsd:element ref="ns4:Memo" minOccurs="0"/>
                <xsd:element ref="ns4:FooterContent" minOccurs="0"/>
                <xsd:element ref="ns4:WaterMarkImg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12551-7753-4487-b4a6-41e20c097a92" elementFormDefault="qualified">
    <xsd:import namespace="http://schemas.microsoft.com/office/2006/documentManagement/types"/>
    <xsd:import namespace="http://schemas.microsoft.com/office/infopath/2007/PartnerControls"/>
    <xsd:element name="ContractID" ma:index="8" nillable="true" ma:displayName="合同ID" ma:internalName="Contra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6820c-3f91-4c1d-9dc7-0cfefe5138dc" elementFormDefault="qualified">
    <xsd:import namespace="http://schemas.microsoft.com/office/2006/documentManagement/types"/>
    <xsd:import namespace="http://schemas.microsoft.com/office/infopath/2007/PartnerControls"/>
    <xsd:element name="ApprovalDesc" ma:index="9" nillable="true" ma:displayName="送审描述" ma:internalName="ApprovalDesc">
      <xsd:simpleType>
        <xsd:restriction base="dms:Text">
          <xsd:maxLength value="255"/>
        </xsd:restriction>
      </xsd:simpleType>
    </xsd:element>
    <xsd:element name="VersionLabel" ma:index="10" nillable="true" ma:displayName="版本标签" ma:internalName="Version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9f755-53f9-4989-af4e-09df8b795e42" elementFormDefault="qualified">
    <xsd:import namespace="http://schemas.microsoft.com/office/2006/documentManagement/types"/>
    <xsd:import namespace="http://schemas.microsoft.com/office/infopath/2007/PartnerControls"/>
    <xsd:element name="ContractName" ma:index="11" nillable="true" ma:displayName="合同名称" ma:internalName="ContractName">
      <xsd:simpleType>
        <xsd:restriction base="dms:Text"/>
      </xsd:simpleType>
    </xsd:element>
    <xsd:element name="Class01" ma:index="12" nillable="true" ma:displayName="类别1" ma:internalName="Class01">
      <xsd:simpleType>
        <xsd:restriction base="dms:Unknown"/>
      </xsd:simpleType>
    </xsd:element>
    <xsd:element name="Class02" ma:index="13" nillable="true" ma:displayName="类别2" ma:internalName="Class02">
      <xsd:simpleType>
        <xsd:restriction base="dms:Unknown"/>
      </xsd:simpleType>
    </xsd:element>
    <xsd:element name="Class03" ma:index="14" nillable="true" ma:displayName="类别3" ma:internalName="Class03">
      <xsd:simpleType>
        <xsd:restriction base="dms:Unknown"/>
      </xsd:simpleType>
    </xsd:element>
    <xsd:element name="Class04" ma:index="15" nillable="true" ma:displayName="类别4" ma:internalName="Class04">
      <xsd:simpleType>
        <xsd:restriction base="dms:Unknown"/>
      </xsd:simpleType>
    </xsd:element>
    <xsd:element name="ContractMoney" ma:index="16" nillable="true" ma:displayName="合同金额" ma:internalName="ContractMoney">
      <xsd:simpleType>
        <xsd:restriction base="dms:Currency"/>
      </xsd:simpleType>
    </xsd:element>
    <xsd:element name="CorpAsset" ma:index="17" nillable="true" ma:displayName="股份集团资产" ma:internalName="CorpAsset">
      <xsd:simpleType>
        <xsd:restriction base="dms:Unknown"/>
      </xsd:simpleType>
    </xsd:element>
    <xsd:element name="InOut" ma:index="18" nillable="true" ma:displayName="内外部" ma:internalName="InOut">
      <xsd:simpleType>
        <xsd:restriction base="dms:Unknown"/>
      </xsd:simpleType>
    </xsd:element>
    <xsd:element name="MainDeptID" ma:index="19" nillable="true" ma:displayName="主办部门ID" ma:internalName="MainDeptID">
      <xsd:simpleType>
        <xsd:restriction base="dms:Unknown"/>
      </xsd:simpleType>
    </xsd:element>
    <xsd:element name="PlanMoney" ma:index="20" nillable="true" ma:displayName="计划金额" ma:internalName="PlanMoney">
      <xsd:simpleType>
        <xsd:restriction base="dms:Currency"/>
      </xsd:simpleType>
    </xsd:element>
    <xsd:element name="MoneyTo" ma:index="21" nillable="true" ma:displayName="资金流向" ma:internalName="MoneyTo">
      <xsd:simpleType>
        <xsd:restriction base="dms:Unknown"/>
      </xsd:simpleType>
    </xsd:element>
    <xsd:element name="IsFrameContract" ma:index="22" nillable="true" ma:displayName="是否框架合同" ma:internalName="IsFrameContract">
      <xsd:simpleType>
        <xsd:restriction base="dms:Unknown"/>
      </xsd:simpleType>
    </xsd:element>
    <xsd:element name="OutContract" ma:index="23" nillable="true" ma:displayName="涉外合同" ma:internalName="OutContract">
      <xsd:simpleType>
        <xsd:restriction base="dms:Unknown"/>
      </xsd:simpleType>
    </xsd:element>
    <xsd:element name="Operator" ma:index="24" nillable="true" ma:displayName="经办人" ma:internalName="Operator">
      <xsd:simpleType>
        <xsd:restriction base="dms:Text"/>
      </xsd:simpleType>
    </xsd:element>
    <xsd:element name="MoneyFrom" ma:index="25" nillable="true" ma:displayName="资金来源" ma:internalName="MoneyFrom">
      <xsd:simpleType>
        <xsd:restriction base="dms:Unknown"/>
      </xsd:simpleType>
    </xsd:element>
    <xsd:element name="MoneyFrom2" ma:index="26" nillable="true" ma:displayName="资金来源2" ma:internalName="MoneyFrom2">
      <xsd:simpleType>
        <xsd:restriction base="dms:Text"/>
      </xsd:simpleType>
    </xsd:element>
    <xsd:element name="ContractNo" ma:index="27" nillable="true" ma:displayName="合同编号" ma:internalName="ContractNo">
      <xsd:simpleType>
        <xsd:restriction base="dms:Text"/>
      </xsd:simpleType>
    </xsd:element>
    <xsd:element name="OperateType" ma:index="28" nillable="true" ma:displayName="操作类型" ma:internalName="OperateType">
      <xsd:simpleType>
        <xsd:restriction base="dms:Text"/>
      </xsd:simpleType>
    </xsd:element>
    <xsd:element name="Memo" ma:index="29" nillable="true" ma:displayName="Memo" ma:internalName="Memo">
      <xsd:simpleType>
        <xsd:restriction base="dms:Note">
          <xsd:maxLength value="255"/>
        </xsd:restriction>
      </xsd:simpleType>
    </xsd:element>
    <xsd:element name="FooterContent" ma:index="30" nillable="true" ma:displayName="文本页脚内容" ma:internalName="FooterContent">
      <xsd:simpleType>
        <xsd:restriction base="dms:Text"/>
      </xsd:simpleType>
    </xsd:element>
    <xsd:element name="WaterMarkImgName" ma:index="31" nillable="true" ma:displayName="水印图片名称" ma:internalName="WaterMarkImg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perator xmlns="ebe9f755-53f9-4989-af4e-09df8b795e42" xsi:nil="true"/>
    <MoneyTo xmlns="ebe9f755-53f9-4989-af4e-09df8b795e42" xsi:nil="true"/>
    <IsFrameContract xmlns="ebe9f755-53f9-4989-af4e-09df8b795e42" xsi:nil="true"/>
    <OperateType xmlns="ebe9f755-53f9-4989-af4e-09df8b795e42" xsi:nil="true"/>
    <VersionLabel xmlns="fe36820c-3f91-4c1d-9dc7-0cfefe5138dc" xsi:nil="true"/>
    <Memo xmlns="ebe9f755-53f9-4989-af4e-09df8b795e42" xsi:nil="true"/>
    <Class04 xmlns="ebe9f755-53f9-4989-af4e-09df8b795e42" xsi:nil="true"/>
    <ContractMoney xmlns="ebe9f755-53f9-4989-af4e-09df8b795e42" xsi:nil="true"/>
    <InOut xmlns="ebe9f755-53f9-4989-af4e-09df8b795e42" xsi:nil="true"/>
    <Class01 xmlns="ebe9f755-53f9-4989-af4e-09df8b795e42" xsi:nil="true"/>
    <ContractID xmlns="7ac12551-7753-4487-b4a6-41e20c097a92">ddaaaca0-160a-4e0d-8e25-bbbfad98b3a7</ContractID>
    <OutContract xmlns="ebe9f755-53f9-4989-af4e-09df8b795e42" xsi:nil="true"/>
    <MoneyFrom xmlns="ebe9f755-53f9-4989-af4e-09df8b795e42" xsi:nil="true"/>
    <WaterMarkImgName xmlns="ebe9f755-53f9-4989-af4e-09df8b795e42" xsi:nil="true"/>
    <Class03 xmlns="ebe9f755-53f9-4989-af4e-09df8b795e42" xsi:nil="true"/>
    <Class02 xmlns="ebe9f755-53f9-4989-af4e-09df8b795e42" xsi:nil="true"/>
    <CorpAsset xmlns="ebe9f755-53f9-4989-af4e-09df8b795e42" xsi:nil="true"/>
    <MainDeptID xmlns="ebe9f755-53f9-4989-af4e-09df8b795e42" xsi:nil="true"/>
    <PlanMoney xmlns="ebe9f755-53f9-4989-af4e-09df8b795e42" xsi:nil="true"/>
    <ApprovalDesc xmlns="fe36820c-3f91-4c1d-9dc7-0cfefe5138dc" xsi:nil="true"/>
    <FooterContent xmlns="ebe9f755-53f9-4989-af4e-09df8b795e42" xsi:nil="true"/>
    <MoneyFrom2 xmlns="ebe9f755-53f9-4989-af4e-09df8b795e42" xsi:nil="true"/>
    <ContractNo xmlns="ebe9f755-53f9-4989-af4e-09df8b795e42" xsi:nil="true"/>
    <ContractName xmlns="ebe9f755-53f9-4989-af4e-09df8b795e42" xsi:nil="true"/>
  </documentManagement>
</p:properties>
</file>

<file path=customXml/itemProps1.xml><?xml version="1.0" encoding="utf-8"?>
<ds:datastoreItem xmlns:ds="http://schemas.openxmlformats.org/officeDocument/2006/customXml" ds:itemID="{C12B3AD1-7489-45AD-AE62-350CEFB10CC9}">
  <ds:schemaRefs/>
</ds:datastoreItem>
</file>

<file path=customXml/itemProps2.xml><?xml version="1.0" encoding="utf-8"?>
<ds:datastoreItem xmlns:ds="http://schemas.openxmlformats.org/officeDocument/2006/customXml" ds:itemID="{5D524BC6-87DA-49A4-A444-50777A46A5D5}">
  <ds:schemaRefs/>
</ds:datastoreItem>
</file>

<file path=customXml/itemProps3.xml><?xml version="1.0" encoding="utf-8"?>
<ds:datastoreItem xmlns:ds="http://schemas.openxmlformats.org/officeDocument/2006/customXml" ds:itemID="{09FE26AD-4773-4126-962C-5709FC70CFBC}">
  <ds:schemaRefs/>
</ds:datastoreItem>
</file>

<file path=docProps/app.xml><?xml version="1.0" encoding="utf-8"?>
<Properties xmlns="http://schemas.openxmlformats.org/officeDocument/2006/extended-properties" xmlns:vt="http://schemas.openxmlformats.org/officeDocument/2006/docPropsVTypes">
  <Template>Normal.dotm</Template>
  <Pages>217</Pages>
  <Words>0</Words>
  <Characters>0</Characters>
  <Lines>0</Lines>
  <Paragraphs>0</Paragraphs>
  <TotalTime>71</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2024-07-26T10:34:00Z</dcterms:created>
  <dc:creator>郭几铭</dc:creator>
  <cp:lastModifiedBy>NTKO</cp:lastModifiedBy>
  <dcterms:modified xsi:type="dcterms:W3CDTF">2026-02-04T07:40:45Z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0x010100077410F3627212498C98DAFCA2F0F519</vt:lpwstr>
  </property>
  <property fmtid="{D5CDD505-2E9C-101B-9397-08002B2CF9AE}" pid="3" name="ICV">
    <vt:lpwstr>EFED5609AD5A46618C6F6961489DBE7F_13</vt:lpwstr>
  </property>
  <property fmtid="{D5CDD505-2E9C-101B-9397-08002B2CF9AE}" pid="4" name="KSOProductBuildVer">
    <vt:lpwstr>2052-12.8.2.18606</vt:lpwstr>
  </property>
</Properties>
</file>