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6D6D6">
      <w:pP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181F9E88">
      <w:pPr>
        <w:spacing w:line="560" w:lineRule="exact"/>
        <w:jc w:val="center"/>
        <w:rPr>
          <w:rFonts w:hint="eastAsia" w:asci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深圳交易集团2026年智能体开发研究技术服务项目</w:t>
      </w:r>
      <w:r>
        <w:rPr>
          <w:rFonts w:hint="eastAsia" w:asci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报价表</w:t>
      </w:r>
    </w:p>
    <w:tbl>
      <w:tblPr>
        <w:tblStyle w:val="4"/>
        <w:tblW w:w="13576" w:type="dxa"/>
        <w:tblInd w:w="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561"/>
        <w:gridCol w:w="5213"/>
        <w:gridCol w:w="631"/>
        <w:gridCol w:w="620"/>
        <w:gridCol w:w="1294"/>
        <w:gridCol w:w="1097"/>
        <w:gridCol w:w="2486"/>
      </w:tblGrid>
      <w:tr w14:paraId="1F21B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tblHeader/>
        </w:trPr>
        <w:tc>
          <w:tcPr>
            <w:tcW w:w="674" w:type="dxa"/>
            <w:vAlign w:val="center"/>
          </w:tcPr>
          <w:p w14:paraId="5659B7DC"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561" w:type="dxa"/>
            <w:vAlign w:val="center"/>
          </w:tcPr>
          <w:p w14:paraId="34835FEC">
            <w:pPr>
              <w:spacing w:line="560" w:lineRule="exact"/>
              <w:jc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>报价项</w:t>
            </w:r>
          </w:p>
        </w:tc>
        <w:tc>
          <w:tcPr>
            <w:tcW w:w="5213" w:type="dxa"/>
            <w:vAlign w:val="center"/>
          </w:tcPr>
          <w:p w14:paraId="72BA3C21"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产品描述</w:t>
            </w:r>
          </w:p>
        </w:tc>
        <w:tc>
          <w:tcPr>
            <w:tcW w:w="631" w:type="dxa"/>
            <w:vAlign w:val="center"/>
          </w:tcPr>
          <w:p w14:paraId="054BB3C0"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数量</w:t>
            </w:r>
          </w:p>
        </w:tc>
        <w:tc>
          <w:tcPr>
            <w:tcW w:w="620" w:type="dxa"/>
            <w:vAlign w:val="center"/>
          </w:tcPr>
          <w:p w14:paraId="546EF5A5"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单位</w:t>
            </w:r>
          </w:p>
        </w:tc>
        <w:tc>
          <w:tcPr>
            <w:tcW w:w="1294" w:type="dxa"/>
            <w:vAlign w:val="center"/>
          </w:tcPr>
          <w:p w14:paraId="63550D9A"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单价（元）</w:t>
            </w:r>
          </w:p>
        </w:tc>
        <w:tc>
          <w:tcPr>
            <w:tcW w:w="1097" w:type="dxa"/>
            <w:vAlign w:val="center"/>
          </w:tcPr>
          <w:p w14:paraId="304BB718"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总价（元）</w:t>
            </w:r>
          </w:p>
        </w:tc>
        <w:tc>
          <w:tcPr>
            <w:tcW w:w="2486" w:type="dxa"/>
            <w:vAlign w:val="center"/>
          </w:tcPr>
          <w:p w14:paraId="40F66BC9"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备注</w:t>
            </w:r>
          </w:p>
        </w:tc>
      </w:tr>
      <w:tr w14:paraId="2D53C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674" w:type="dxa"/>
            <w:vAlign w:val="center"/>
          </w:tcPr>
          <w:p w14:paraId="11D84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61" w:type="dxa"/>
            <w:vAlign w:val="center"/>
          </w:tcPr>
          <w:p w14:paraId="14192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智能体开发平台软件永久授权</w:t>
            </w:r>
          </w:p>
        </w:tc>
        <w:tc>
          <w:tcPr>
            <w:tcW w:w="5213" w:type="dxa"/>
            <w:vAlign w:val="center"/>
          </w:tcPr>
          <w:p w14:paraId="4E28D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仿宋_GB2312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智能体开发平台软件授权永久使用授权，功能要求详见附件《智能体开发平台技术需求说明书》</w:t>
            </w:r>
          </w:p>
        </w:tc>
        <w:tc>
          <w:tcPr>
            <w:tcW w:w="631" w:type="dxa"/>
            <w:vAlign w:val="center"/>
          </w:tcPr>
          <w:p w14:paraId="3CF69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0" w:type="dxa"/>
            <w:vAlign w:val="center"/>
          </w:tcPr>
          <w:p w14:paraId="5473E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294" w:type="dxa"/>
            <w:vAlign w:val="center"/>
          </w:tcPr>
          <w:p w14:paraId="33F82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vAlign w:val="center"/>
          </w:tcPr>
          <w:p w14:paraId="553EE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6" w:type="dxa"/>
            <w:vAlign w:val="center"/>
          </w:tcPr>
          <w:p w14:paraId="2E48B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含1年免费运维和运维期所有版本更新</w:t>
            </w: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若供应商报价按用户数计算的，开发者用户不少于800，使用者用户不低于2000人</w:t>
            </w:r>
          </w:p>
        </w:tc>
      </w:tr>
      <w:tr w14:paraId="4E3D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674" w:type="dxa"/>
            <w:vAlign w:val="center"/>
          </w:tcPr>
          <w:p w14:paraId="28ABC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61" w:type="dxa"/>
            <w:vMerge w:val="restart"/>
            <w:vAlign w:val="center"/>
          </w:tcPr>
          <w:p w14:paraId="2FF0C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对接实施服务</w:t>
            </w:r>
          </w:p>
        </w:tc>
        <w:tc>
          <w:tcPr>
            <w:tcW w:w="5213" w:type="dxa"/>
            <w:vAlign w:val="center"/>
          </w:tcPr>
          <w:p w14:paraId="1491C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</w:t>
            </w:r>
            <w:r>
              <w:rPr>
                <w:rFonts w:hint="default" w:ascii="仿宋_GB2312" w:hAnsi="仿宋_GB2312" w:eastAsia="仿宋_GB2312" w:cs="仿宋_GB2312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深圳交易集团统一身份认证平台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（竹云）对接，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支持用户、组织等权限信息自动同步，不同租户同步不同用户信息。</w:t>
            </w:r>
          </w:p>
        </w:tc>
        <w:tc>
          <w:tcPr>
            <w:tcW w:w="631" w:type="dxa"/>
            <w:vAlign w:val="center"/>
          </w:tcPr>
          <w:p w14:paraId="2B979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0" w:type="dxa"/>
            <w:vAlign w:val="center"/>
          </w:tcPr>
          <w:p w14:paraId="17752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294" w:type="dxa"/>
            <w:vAlign w:val="center"/>
          </w:tcPr>
          <w:p w14:paraId="3B268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vAlign w:val="center"/>
          </w:tcPr>
          <w:p w14:paraId="009A2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6" w:type="dxa"/>
            <w:vAlign w:val="center"/>
          </w:tcPr>
          <w:p w14:paraId="2B63A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6B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4" w:type="dxa"/>
            <w:vAlign w:val="center"/>
          </w:tcPr>
          <w:p w14:paraId="64D3D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61" w:type="dxa"/>
            <w:vMerge w:val="continue"/>
            <w:vAlign w:val="center"/>
          </w:tcPr>
          <w:p w14:paraId="10A71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3" w:type="dxa"/>
            <w:vAlign w:val="center"/>
          </w:tcPr>
          <w:p w14:paraId="002D6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2.2</w:t>
            </w:r>
            <w:r>
              <w:rPr>
                <w:rFonts w:hint="default" w:ascii="仿宋_GB2312" w:hAnsi="仿宋_GB2312" w:eastAsia="仿宋_GB2312" w:cs="仿宋_GB2312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企业微信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应用、机器人对接，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支持获取企微用户信息与统一身份认证平台用户信息匹配，支持不同租户配置不同企微应用信息。</w:t>
            </w:r>
          </w:p>
        </w:tc>
        <w:tc>
          <w:tcPr>
            <w:tcW w:w="631" w:type="dxa"/>
            <w:vAlign w:val="center"/>
          </w:tcPr>
          <w:p w14:paraId="6F0F9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0" w:type="dxa"/>
            <w:vAlign w:val="center"/>
          </w:tcPr>
          <w:p w14:paraId="69866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294" w:type="dxa"/>
            <w:vAlign w:val="center"/>
          </w:tcPr>
          <w:p w14:paraId="7C1D7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vAlign w:val="center"/>
          </w:tcPr>
          <w:p w14:paraId="5D5D5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6" w:type="dxa"/>
            <w:vAlign w:val="center"/>
          </w:tcPr>
          <w:p w14:paraId="663BA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6E7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4" w:type="dxa"/>
            <w:vAlign w:val="center"/>
          </w:tcPr>
          <w:p w14:paraId="0D023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61" w:type="dxa"/>
            <w:vMerge w:val="restart"/>
            <w:vAlign w:val="center"/>
          </w:tcPr>
          <w:p w14:paraId="329E7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培训和推广支持服务</w:t>
            </w:r>
          </w:p>
        </w:tc>
        <w:tc>
          <w:tcPr>
            <w:tcW w:w="5213" w:type="dxa"/>
            <w:vAlign w:val="center"/>
          </w:tcPr>
          <w:p w14:paraId="2CEB0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3.1培训服务：</w:t>
            </w: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提供包括智能体搭建方法论、典型案例分析、测评优化、运营推广等内容，面向不同类型用户开展培训不少于20场，覆盖人数不少于500人次。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74122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0" w:type="dxa"/>
            <w:shd w:val="clear" w:color="auto" w:fill="auto"/>
            <w:vAlign w:val="center"/>
          </w:tcPr>
          <w:p w14:paraId="05D95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294" w:type="dxa"/>
            <w:vAlign w:val="center"/>
          </w:tcPr>
          <w:p w14:paraId="0956B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vAlign w:val="center"/>
          </w:tcPr>
          <w:p w14:paraId="1648E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6" w:type="dxa"/>
            <w:vAlign w:val="center"/>
          </w:tcPr>
          <w:p w14:paraId="7FA6A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E3A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4" w:type="dxa"/>
            <w:vAlign w:val="center"/>
          </w:tcPr>
          <w:p w14:paraId="26D72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61" w:type="dxa"/>
            <w:vMerge w:val="continue"/>
            <w:vAlign w:val="center"/>
          </w:tcPr>
          <w:p w14:paraId="5BCAA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3" w:type="dxa"/>
            <w:vAlign w:val="center"/>
          </w:tcPr>
          <w:p w14:paraId="738A7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3.2制度建设支持</w:t>
            </w: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：配合采购人梳理智能体开发平台运营管理规范制度，具体包括但不限于平台使用管理办法、应用发布审核流程、安全保障机制等。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2DAA5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0" w:type="dxa"/>
            <w:shd w:val="clear" w:color="auto" w:fill="auto"/>
            <w:vAlign w:val="center"/>
          </w:tcPr>
          <w:p w14:paraId="089AB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294" w:type="dxa"/>
            <w:vAlign w:val="center"/>
          </w:tcPr>
          <w:p w14:paraId="098A9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vAlign w:val="center"/>
          </w:tcPr>
          <w:p w14:paraId="44021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6" w:type="dxa"/>
            <w:vAlign w:val="center"/>
          </w:tcPr>
          <w:p w14:paraId="19DD3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AD56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B5A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4" w:type="dxa"/>
            <w:vAlign w:val="center"/>
          </w:tcPr>
          <w:p w14:paraId="0E274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61" w:type="dxa"/>
            <w:vMerge w:val="continue"/>
            <w:vAlign w:val="center"/>
          </w:tcPr>
          <w:p w14:paraId="3AE64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3" w:type="dxa"/>
            <w:vAlign w:val="center"/>
          </w:tcPr>
          <w:p w14:paraId="658FA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3.3模型部署支持</w:t>
            </w: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：提供开源模型部署、更新及性能优化服务，全年支持不少于1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次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4389D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0" w:type="dxa"/>
            <w:shd w:val="clear" w:color="auto" w:fill="auto"/>
            <w:vAlign w:val="center"/>
          </w:tcPr>
          <w:p w14:paraId="5A5A1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294" w:type="dxa"/>
            <w:vAlign w:val="center"/>
          </w:tcPr>
          <w:p w14:paraId="150E9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vAlign w:val="center"/>
          </w:tcPr>
          <w:p w14:paraId="60B95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6" w:type="dxa"/>
            <w:vAlign w:val="center"/>
          </w:tcPr>
          <w:p w14:paraId="19D5B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368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4" w:type="dxa"/>
            <w:vAlign w:val="center"/>
          </w:tcPr>
          <w:p w14:paraId="16F47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561" w:type="dxa"/>
            <w:vMerge w:val="restart"/>
            <w:vAlign w:val="center"/>
          </w:tcPr>
          <w:p w14:paraId="5DA0A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配套AI模型资源服务</w:t>
            </w:r>
          </w:p>
        </w:tc>
        <w:tc>
          <w:tcPr>
            <w:tcW w:w="5213" w:type="dxa"/>
            <w:vAlign w:val="center"/>
          </w:tcPr>
          <w:p w14:paraId="4A853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4.1大语言模型Token包</w:t>
            </w: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：提供不少于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40亿token</w:t>
            </w: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的大语言模型调用Token，支持kimi、豆包、DeepSeek、GLM等国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</w:t>
            </w: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主流大模型</w:t>
            </w:r>
          </w:p>
        </w:tc>
        <w:tc>
          <w:tcPr>
            <w:tcW w:w="631" w:type="dxa"/>
            <w:vAlign w:val="center"/>
          </w:tcPr>
          <w:p w14:paraId="18312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0" w:type="dxa"/>
            <w:vAlign w:val="center"/>
          </w:tcPr>
          <w:p w14:paraId="085E5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294" w:type="dxa"/>
            <w:vAlign w:val="center"/>
          </w:tcPr>
          <w:p w14:paraId="024DF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vAlign w:val="center"/>
          </w:tcPr>
          <w:p w14:paraId="406FE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6" w:type="dxa"/>
            <w:vAlign w:val="center"/>
          </w:tcPr>
          <w:p w14:paraId="2636C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需支持自由调用国内头部主流大模型</w:t>
            </w:r>
          </w:p>
        </w:tc>
      </w:tr>
      <w:tr w14:paraId="3941A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674" w:type="dxa"/>
            <w:vAlign w:val="center"/>
          </w:tcPr>
          <w:p w14:paraId="0614A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61" w:type="dxa"/>
            <w:vMerge w:val="continue"/>
            <w:vAlign w:val="center"/>
          </w:tcPr>
          <w:p w14:paraId="20876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3" w:type="dxa"/>
            <w:vAlign w:val="center"/>
          </w:tcPr>
          <w:p w14:paraId="41E81C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4.2文生图模型Token包</w:t>
            </w: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：提供不少于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10万张图片生成</w:t>
            </w: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的文生图模型调用Token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包</w:t>
            </w: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包括不限于包括豆包、Seedance、元宝等国内主流大模型。</w:t>
            </w:r>
          </w:p>
        </w:tc>
        <w:tc>
          <w:tcPr>
            <w:tcW w:w="631" w:type="dxa"/>
            <w:vAlign w:val="center"/>
          </w:tcPr>
          <w:p w14:paraId="3D880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0" w:type="dxa"/>
            <w:vAlign w:val="center"/>
          </w:tcPr>
          <w:p w14:paraId="2299F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294" w:type="dxa"/>
            <w:vAlign w:val="center"/>
          </w:tcPr>
          <w:p w14:paraId="2E6CD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vAlign w:val="center"/>
          </w:tcPr>
          <w:p w14:paraId="51049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6" w:type="dxa"/>
            <w:vAlign w:val="center"/>
          </w:tcPr>
          <w:p w14:paraId="70270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需支持自由调用国内头部主流大模型</w:t>
            </w:r>
          </w:p>
        </w:tc>
      </w:tr>
      <w:tr w14:paraId="630AB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674" w:type="dxa"/>
            <w:vAlign w:val="center"/>
          </w:tcPr>
          <w:p w14:paraId="56C1F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561" w:type="dxa"/>
            <w:vMerge w:val="continue"/>
            <w:vAlign w:val="center"/>
          </w:tcPr>
          <w:p w14:paraId="22382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3" w:type="dxa"/>
            <w:vAlign w:val="center"/>
          </w:tcPr>
          <w:p w14:paraId="614517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4.3文生视频模型Token包</w:t>
            </w: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：通过SaaS形式提供接口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，服务期内</w:t>
            </w: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提供不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超过10亿token</w:t>
            </w: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的文生视频模型调用Token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包</w:t>
            </w: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包括豆包、Seedance、元宝等国内主流大模型</w:t>
            </w:r>
          </w:p>
        </w:tc>
        <w:tc>
          <w:tcPr>
            <w:tcW w:w="631" w:type="dxa"/>
            <w:vAlign w:val="center"/>
          </w:tcPr>
          <w:p w14:paraId="1B781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0" w:type="dxa"/>
            <w:vAlign w:val="center"/>
          </w:tcPr>
          <w:p w14:paraId="7AD0E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294" w:type="dxa"/>
            <w:vAlign w:val="center"/>
          </w:tcPr>
          <w:p w14:paraId="6424D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vAlign w:val="center"/>
          </w:tcPr>
          <w:p w14:paraId="38E35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6" w:type="dxa"/>
            <w:vAlign w:val="center"/>
          </w:tcPr>
          <w:p w14:paraId="571B9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需支持自由调用国内头部主流大模型</w:t>
            </w:r>
          </w:p>
        </w:tc>
      </w:tr>
      <w:tr w14:paraId="64FA7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674" w:type="dxa"/>
            <w:vAlign w:val="center"/>
          </w:tcPr>
          <w:p w14:paraId="356C4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61" w:type="dxa"/>
            <w:vMerge w:val="continue"/>
            <w:vAlign w:val="center"/>
          </w:tcPr>
          <w:p w14:paraId="3DDF7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3" w:type="dxa"/>
            <w:vAlign w:val="center"/>
          </w:tcPr>
          <w:p w14:paraId="614056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4.4联网检索服务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包</w:t>
            </w: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：通过SaaS形式提供接口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，服务期内</w:t>
            </w: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提供不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超过8</w:t>
            </w: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0万次的联网检索调用服务。</w:t>
            </w:r>
          </w:p>
        </w:tc>
        <w:tc>
          <w:tcPr>
            <w:tcW w:w="631" w:type="dxa"/>
            <w:vAlign w:val="center"/>
          </w:tcPr>
          <w:p w14:paraId="6F8A5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0" w:type="dxa"/>
            <w:vAlign w:val="center"/>
          </w:tcPr>
          <w:p w14:paraId="6391D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294" w:type="dxa"/>
            <w:vAlign w:val="center"/>
          </w:tcPr>
          <w:p w14:paraId="25096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vAlign w:val="center"/>
          </w:tcPr>
          <w:p w14:paraId="66E28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6" w:type="dxa"/>
            <w:vAlign w:val="center"/>
          </w:tcPr>
          <w:p w14:paraId="7F3F2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需支持自由调用国内头部主流大模型</w:t>
            </w:r>
          </w:p>
        </w:tc>
      </w:tr>
      <w:tr w14:paraId="45300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993" w:type="dxa"/>
            <w:gridSpan w:val="6"/>
            <w:vAlign w:val="center"/>
          </w:tcPr>
          <w:p w14:paraId="48F7274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097" w:type="dxa"/>
            <w:vAlign w:val="center"/>
          </w:tcPr>
          <w:p w14:paraId="0483828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6" w:type="dxa"/>
            <w:vAlign w:val="center"/>
          </w:tcPr>
          <w:p w14:paraId="15C0EC9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837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993" w:type="dxa"/>
            <w:gridSpan w:val="6"/>
            <w:vAlign w:val="center"/>
          </w:tcPr>
          <w:p w14:paraId="501D8822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后续年运维费（不含配套AI模型资源服务）</w:t>
            </w:r>
          </w:p>
        </w:tc>
        <w:tc>
          <w:tcPr>
            <w:tcW w:w="1097" w:type="dxa"/>
            <w:vAlign w:val="center"/>
          </w:tcPr>
          <w:p w14:paraId="547F39D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6" w:type="dxa"/>
            <w:vAlign w:val="center"/>
          </w:tcPr>
          <w:p w14:paraId="057A853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B6B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993" w:type="dxa"/>
            <w:gridSpan w:val="6"/>
            <w:vAlign w:val="center"/>
          </w:tcPr>
          <w:p w14:paraId="00521873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部署服务器资源需求（按满足1000个开发者/使用者使用评估，不含大模型GPU资源，仅考虑平台自身运行必须的资源需求）</w:t>
            </w:r>
          </w:p>
        </w:tc>
        <w:tc>
          <w:tcPr>
            <w:tcW w:w="3583" w:type="dxa"/>
            <w:gridSpan w:val="2"/>
            <w:vAlign w:val="center"/>
          </w:tcPr>
          <w:p w14:paraId="2CADECA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16341C0">
      <w:pPr>
        <w:rPr>
          <w:rFonts w:hint="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36D443B2">
      <w:pPr>
        <w:rPr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报价单位（盖章）：</w:t>
      </w:r>
    </w:p>
    <w:p w14:paraId="4CCEAD12">
      <w:pPr>
        <w:rPr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联系人及联系方式;</w:t>
      </w:r>
    </w:p>
    <w:p w14:paraId="05E5004D">
      <w:pPr>
        <w:rPr>
          <w:rFonts w:hint="eastAsia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报价日期：</w:t>
      </w:r>
      <w:bookmarkStart w:id="0" w:name="_GoBack"/>
      <w:bookmarkEnd w:id="0"/>
    </w:p>
    <w:p w14:paraId="162F7106">
      <w:pPr>
        <w:spacing w:line="560" w:lineRule="exact"/>
        <w:jc w:val="center"/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>报价须知</w:t>
      </w:r>
    </w:p>
    <w:p w14:paraId="038767A1">
      <w:pPr>
        <w:spacing w:line="560" w:lineRule="exact"/>
        <w:jc w:val="both"/>
        <w:rPr>
          <w:rFonts w:hint="default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1.报价范围：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本报价须为包含所有税费及第三方知识产权授权费用的，涵盖智能体开发平台软件永久授权、对接实施服务，培训和推广支持服务和配套AI模型资源服务等的软件授权、资源提供、部署、集成、培训及质保服务的最终完整费用。</w:t>
      </w:r>
    </w:p>
    <w:p w14:paraId="22829B66">
      <w:pPr>
        <w:spacing w:line="560" w:lineRule="exact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2.售后服务承诺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：提供自验收合格之日起1年的免费质保，期间提供5×8小时服务支持；普通问题2小时内响应，重大紧急缺陷30分钟内启动应急处理机制。</w:t>
      </w:r>
    </w:p>
    <w:p w14:paraId="6094779C">
      <w:pPr>
        <w:spacing w:line="560" w:lineRule="exact"/>
        <w:jc w:val="both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3.信创环境支持：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供应商所提的软件产品需在信创环境下运行。</w:t>
      </w:r>
    </w:p>
    <w:p w14:paraId="69249D23">
      <w:pPr>
        <w:spacing w:line="560" w:lineRule="exact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4.服务期限：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本项目建设期共4个月。具体安排如下：合同签订后1个月内，完成系统部署及对接联调，上线试运行。试运行期为3个月。试运行稳定后，组织项目验收。验收合格后，进入为期1年的免费运维服务期。</w:t>
      </w:r>
    </w:p>
    <w:p w14:paraId="50BD49D9">
      <w:pPr>
        <w:spacing w:line="560" w:lineRule="exact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5.知识产权约定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：本项目不引起双方已有知识产权的转移，基于本项目实施新增的知识产权归采购人所有。</w:t>
      </w:r>
    </w:p>
    <w:p w14:paraId="085576F9">
      <w:pPr>
        <w:spacing w:line="560" w:lineRule="exact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6.数据安全要求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：项目涉及的全部数据、标注资料及业务文档须在验收后15个工作日内彻底销毁，并出具由法定代表人或项目负责人签字的销毁证明。</w:t>
      </w:r>
    </w:p>
    <w:p w14:paraId="13A7B5A8">
      <w:pPr>
        <w:spacing w:line="560" w:lineRule="exact"/>
        <w:jc w:val="both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7.其他要求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：供应商需配合完成等保测评、按照数据中台对接要求提供系统数据字典，配合数据采集。</w:t>
      </w:r>
    </w:p>
    <w:sectPr>
      <w:pgSz w:w="16838" w:h="11906" w:orient="landscape"/>
      <w:pgMar w:top="960" w:right="1440" w:bottom="103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37A6E"/>
    <w:rsid w:val="01F539BE"/>
    <w:rsid w:val="02B41F0E"/>
    <w:rsid w:val="0B3B3792"/>
    <w:rsid w:val="11B50195"/>
    <w:rsid w:val="25572E21"/>
    <w:rsid w:val="2AA82E2B"/>
    <w:rsid w:val="2D3D4D5E"/>
    <w:rsid w:val="2EDA6C9B"/>
    <w:rsid w:val="368B2DA0"/>
    <w:rsid w:val="3D4451F7"/>
    <w:rsid w:val="40C569E3"/>
    <w:rsid w:val="474F7D27"/>
    <w:rsid w:val="4EAE67DC"/>
    <w:rsid w:val="5A3B65EF"/>
    <w:rsid w:val="624A069A"/>
    <w:rsid w:val="72BB1F0C"/>
    <w:rsid w:val="72F16DFC"/>
    <w:rsid w:val="740B28CC"/>
    <w:rsid w:val="769413F2"/>
    <w:rsid w:val="7A9F6C91"/>
    <w:rsid w:val="7C2149D9"/>
    <w:rsid w:val="7F67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b/>
      <w:bCs/>
      <w:color w:val="1A3FFC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1220</Words>
  <Characters>1330</Characters>
  <Lines>0</Lines>
  <Paragraphs>0</Paragraphs>
  <TotalTime>126</TotalTime>
  <ScaleCrop>false</ScaleCrop>
  <LinksUpToDate>false</LinksUpToDate>
  <CharactersWithSpaces>1330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2025-11-14T01:43:00Z</dcterms:created>
  <dc:creator>liaok</dc:creator>
  <cp:lastModifiedBy>廖开德</cp:lastModifiedBy>
  <dcterms:modified xsi:type="dcterms:W3CDTF">2026-07-24T10:32:38Z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eyJoZGlkIjoiZTZmYTY2MTEwOTdkNjE0ZmViNDAxYTY1MjBkYmRkYjMiLCJ1c2VySWQiOiIxNTIxNjY4NzQ4In0=</vt:lpwstr>
  </property>
  <property fmtid="{D5CDD505-2E9C-101B-9397-08002B2CF9AE}" pid="4" name="ICV">
    <vt:lpwstr>1A79277024184965A571C87987814CF2_13</vt:lpwstr>
  </property>
</Properties>
</file>