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603B9">
      <w:pPr>
        <w:spacing w:line="560" w:lineRule="exact"/>
        <w:ind w:right="560"/>
        <w:jc w:val="center"/>
        <w:rPr>
          <w:rFonts w:hint="eastAsia" w:ascii="仿宋_GB2312" w:hAnsi="仿宋_GB2312" w:eastAsia="仿宋_GB2312" w:cs="仿宋_GB2312"/>
          <w:b/>
          <w:sz w:val="32"/>
          <w:u w:val="single"/>
          <w:shd w:val="clear" w:color="050000" w:fill="auto"/>
        </w:rPr>
      </w:pPr>
      <w:r>
        <w:rPr>
          <w:rFonts w:hint="eastAsia" w:ascii="仿宋_GB2312" w:hAnsi="仿宋_GB2312" w:eastAsia="仿宋_GB2312" w:cs="仿宋_GB2312"/>
          <w:b/>
          <w:sz w:val="32"/>
          <w:u w:val="single"/>
          <w:shd w:val="clear" w:color="050000" w:fill="auto"/>
        </w:rPr>
        <w:t>创智云城二期、尚智科园、乐府广场、绿智创谷项目</w:t>
      </w:r>
    </w:p>
    <w:p w14:paraId="22959C74">
      <w:pPr>
        <w:spacing w:line="560" w:lineRule="exact"/>
        <w:ind w:right="560"/>
        <w:jc w:val="center"/>
        <w:rPr>
          <w:rFonts w:hint="eastAsia" w:ascii="仿宋_GB2312" w:hAnsi="仿宋_GB2312" w:eastAsia="仿宋_GB2312" w:cs="仿宋_GB2312"/>
          <w:b/>
          <w:sz w:val="32"/>
          <w:u w:val="single"/>
          <w:shd w:val="clear" w:color="050000" w:fill="auto"/>
        </w:rPr>
      </w:pPr>
      <w:r>
        <w:rPr>
          <w:rFonts w:hint="eastAsia" w:ascii="仿宋_GB2312" w:hAnsi="仿宋_GB2312" w:eastAsia="仿宋_GB2312" w:cs="仿宋_GB2312"/>
          <w:b/>
          <w:sz w:val="32"/>
          <w:u w:val="single"/>
          <w:shd w:val="clear" w:color="050000" w:fill="auto"/>
        </w:rPr>
        <w:t>建筑女儿墙安全检测</w:t>
      </w:r>
    </w:p>
    <w:p w14:paraId="4528AFD2">
      <w:pPr>
        <w:spacing w:line="560" w:lineRule="exact"/>
        <w:ind w:right="560"/>
        <w:jc w:val="center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招标公告</w:t>
      </w:r>
    </w:p>
    <w:p w14:paraId="7E533012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09710760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4A84FB8D">
      <w:pPr>
        <w:spacing w:line="560" w:lineRule="exact"/>
        <w:ind w:left="638" w:leftChars="304" w:firstLine="0" w:firstLineChars="0"/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一、招标项目名称：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 xml:space="preserve">创智云城二期、尚智科园、乐府广场、绿智创谷项目建筑女儿墙安全检测                      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           </w:t>
      </w:r>
    </w:p>
    <w:p w14:paraId="4EF0A64C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二、招标方式：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公开招标</w:t>
      </w:r>
    </w:p>
    <w:p w14:paraId="4A324BFF">
      <w:pPr>
        <w:spacing w:line="560" w:lineRule="exact"/>
        <w:ind w:firstLine="643" w:firstLineChars="200"/>
        <w:rPr>
          <w:rFonts w:hint="default" w:ascii="仿宋_GB2312" w:hAnsi="仿宋_GB2312" w:eastAsia="仿宋_GB2312" w:cs="仿宋_GB2312"/>
          <w:b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三、项目地点：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>创智云城二期、尚智科园、乐府广场、绿智创谷项目各园区楼栋现场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                                     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val="en-US" w:eastAsia="zh-CN"/>
        </w:rPr>
        <w:t xml:space="preserve">      </w:t>
      </w:r>
    </w:p>
    <w:p w14:paraId="00778F12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四、招标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上限价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>22.45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eastAsia="zh-CN"/>
        </w:rPr>
        <w:t>万元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                                  </w:t>
      </w:r>
    </w:p>
    <w:p w14:paraId="14900F11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五、招标范围及主要内容：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本次招标涉及4个项目共23栋建筑，女儿墙检测总面积约13002.6㎡，范围为按照国家、深圳市现行规范标准，完成4个项目合计23栋建筑女儿墙安全检测鉴定，出具5份具备法律效力、可用于住建备案的安全鉴定报告，并完成深圳房屋安全管理系统线上备案。</w:t>
      </w:r>
    </w:p>
    <w:p w14:paraId="15931FEF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ind w:firstLine="643" w:firstLineChars="200"/>
        <w:textAlignment w:val="auto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六、服务周期要求：</w:t>
      </w:r>
      <w:r>
        <w:rPr>
          <w:rFonts w:hint="eastAsia" w:ascii="仿宋_GB2312" w:hAnsi="Calibri" w:eastAsia="仿宋_GB2312"/>
          <w:sz w:val="32"/>
          <w:szCs w:val="32"/>
          <w:u w:val="single"/>
        </w:rPr>
        <w:t>本次服务期限共</w:t>
      </w:r>
      <w:r>
        <w:rPr>
          <w:rFonts w:hint="eastAsia" w:ascii="仿宋_GB2312" w:hAnsi="Calibri" w:eastAsia="仿宋_GB2312"/>
          <w:sz w:val="32"/>
          <w:szCs w:val="32"/>
          <w:u w:val="single"/>
          <w:lang w:val="en-US" w:eastAsia="zh-CN"/>
        </w:rPr>
        <w:t>30日历天</w:t>
      </w:r>
      <w:r>
        <w:rPr>
          <w:rFonts w:hint="eastAsia" w:ascii="仿宋_GB2312" w:hAnsi="Calibri" w:eastAsia="仿宋_GB2312"/>
          <w:sz w:val="32"/>
          <w:szCs w:val="32"/>
          <w:u w:val="single"/>
        </w:rPr>
        <w:t>，具体启动时间以招标人书面</w:t>
      </w:r>
      <w:r>
        <w:rPr>
          <w:rFonts w:hint="eastAsia" w:ascii="仿宋_GB2312" w:hAnsi="Calibri" w:eastAsia="仿宋_GB2312"/>
          <w:sz w:val="32"/>
          <w:szCs w:val="32"/>
          <w:u w:val="single"/>
          <w:lang w:eastAsia="zh-CN"/>
        </w:rPr>
        <w:t>（含电子邮件）</w:t>
      </w:r>
      <w:r>
        <w:rPr>
          <w:rFonts w:hint="eastAsia" w:ascii="仿宋_GB2312" w:hAnsi="Calibri" w:eastAsia="仿宋_GB2312"/>
          <w:sz w:val="32"/>
          <w:szCs w:val="32"/>
          <w:u w:val="single"/>
        </w:rPr>
        <w:t>通知为准。</w:t>
      </w:r>
    </w:p>
    <w:p w14:paraId="6FBDDAE3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七、评标方法：</w:t>
      </w:r>
      <w:r>
        <w:rPr>
          <w:rFonts w:hint="eastAsia" w:ascii="仿宋_GB2312" w:hAnsi="Calibri" w:eastAsia="仿宋_GB2312"/>
          <w:sz w:val="32"/>
          <w:szCs w:val="32"/>
          <w:u w:val="single"/>
        </w:rPr>
        <w:t>综合评审法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                                       </w:t>
      </w:r>
    </w:p>
    <w:p w14:paraId="2F097AA4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八、中标人的确定方式：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/>
        </w:rPr>
        <w:t>授权评标委员会直接确定中标人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>。</w:t>
      </w:r>
    </w:p>
    <w:p w14:paraId="2AFDF17F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九、投标申请人资格要求：</w:t>
      </w:r>
    </w:p>
    <w:p w14:paraId="2B285403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u w:val="single"/>
          <w:lang w:eastAsia="zh-Hans"/>
        </w:rPr>
      </w:pPr>
      <w:r>
        <w:rPr>
          <w:rFonts w:hint="eastAsia" w:ascii="仿宋_GB2312" w:hAnsi="仿宋" w:eastAsia="仿宋_GB2312"/>
          <w:sz w:val="32"/>
          <w:szCs w:val="32"/>
          <w:u w:val="single"/>
          <w:lang w:eastAsia="zh-Hans"/>
        </w:rPr>
        <w:t>（一）投标人是中华人民共和国境内依法注册、具有合法经营资格的独立法人或合伙制企业或其他组织；</w:t>
      </w:r>
    </w:p>
    <w:p w14:paraId="5A78A70D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u w:val="single"/>
          <w:lang w:eastAsia="zh-Hans"/>
        </w:rPr>
      </w:pPr>
      <w:r>
        <w:rPr>
          <w:rFonts w:hint="eastAsia" w:ascii="仿宋_GB2312" w:hAnsi="仿宋" w:eastAsia="仿宋_GB2312"/>
          <w:sz w:val="32"/>
          <w:szCs w:val="32"/>
          <w:u w:val="single"/>
          <w:lang w:eastAsia="zh-Hans"/>
        </w:rPr>
        <w:t>（二）投标人须具备建设行政主管部门颁发的《建设工程质量检测机构综合资质证书》或《建设工程质量检测机构专项资质证书》（资质证书检测范围必须含有主体结构及装饰装修）；</w:t>
      </w:r>
    </w:p>
    <w:p w14:paraId="4DC858D5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u w:val="single"/>
          <w:lang w:eastAsia="zh-Hans"/>
        </w:rPr>
      </w:pPr>
      <w:r>
        <w:rPr>
          <w:rFonts w:hint="eastAsia" w:ascii="仿宋_GB2312" w:hAnsi="仿宋" w:eastAsia="仿宋_GB2312"/>
          <w:sz w:val="32"/>
          <w:szCs w:val="32"/>
          <w:u w:val="single"/>
          <w:lang w:eastAsia="zh-Hans"/>
        </w:rPr>
        <w:t>（三）本项目不接受联合体投标。</w:t>
      </w:r>
    </w:p>
    <w:p w14:paraId="740FDD9E"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3" w:firstLineChars="200"/>
        <w:textAlignment w:val="auto"/>
        <w:rPr>
          <w:rFonts w:hint="eastAsia" w:ascii="仿宋_GB2312" w:hAnsi="仿宋" w:eastAsia="仿宋_GB2312" w:cs="Times New Roman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十、拟派项目负责人资格要求：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val="en-US" w:eastAsia="zh-CN"/>
        </w:rPr>
        <w:t>/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u w:val="single"/>
          <w:lang w:val="en-US"/>
        </w:rPr>
        <w:t>。</w:t>
      </w:r>
    </w:p>
    <w:p w14:paraId="11D61207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十一、招标文件的获取</w:t>
      </w:r>
    </w:p>
    <w:p w14:paraId="72A0860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（一）招标文件领取时间：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2026年7月24日15:30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</w:t>
      </w:r>
    </w:p>
    <w:p w14:paraId="5C166EC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）招标文件领取地点：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深圳市南山区西丽留仙大道与创科路交汇处创智云城项目一期A1栋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楼                                     </w:t>
      </w:r>
    </w:p>
    <w:p w14:paraId="4034F3D7">
      <w:pPr>
        <w:widowControl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）需携带资料：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营业执照副本复印件、法定代表人证明书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(含身份证复印件）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、授权委托书、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授权代表人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身份证复印件，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授权代表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个月社保缴纳信息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。</w:t>
      </w:r>
    </w:p>
    <w:p w14:paraId="2375B7AA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十二、投标文件的递交</w:t>
      </w:r>
    </w:p>
    <w:p w14:paraId="66514BB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（一）截标时间：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2026年8月5日9:30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</w:p>
    <w:p w14:paraId="300212E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（二）截标地点：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深圳市南山区西丽留仙大道与创科路交汇处创智云城项目一期A1栋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楼                            </w:t>
      </w:r>
    </w:p>
    <w:p w14:paraId="77EE59CA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十三、发布公告的媒介</w:t>
      </w:r>
    </w:p>
    <w:p w14:paraId="60A1DAE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本次招标公告同时在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https://ygcg.szexgrp.com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深圳阳光采购平台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及https://bidcenter.zbytb.com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国招标与采购网）</w:t>
      </w:r>
      <w:r>
        <w:rPr>
          <w:rFonts w:hint="eastAsia" w:ascii="仿宋_GB2312" w:hAnsi="仿宋_GB2312" w:eastAsia="仿宋_GB2312" w:cs="仿宋_GB2312"/>
          <w:sz w:val="32"/>
          <w:szCs w:val="32"/>
        </w:rPr>
        <w:t>上发布。</w:t>
      </w:r>
    </w:p>
    <w:p w14:paraId="31776456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十四、联系方式</w:t>
      </w:r>
    </w:p>
    <w:p w14:paraId="0BC2926F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（一）联系人：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>王焜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</w:p>
    <w:p w14:paraId="5C9BA7A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15218700831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</w:t>
      </w:r>
    </w:p>
    <w:p w14:paraId="303BA48F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）电子邮箱：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instrText xml:space="preserve"> HYPERLINK "mailto:wangkun1@sztqjf.com" </w:instrTex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wangkun1@sztqjf.com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</w:p>
    <w:p w14:paraId="1477505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）地址：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深圳市南山区西丽留仙大道与创科路交汇处创智云城项目一期A1栋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楼                                 </w:t>
      </w:r>
    </w:p>
    <w:p w14:paraId="5B9CA9E3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8D7ECF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招标人：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深圳市特区建发科技园区发展有限公司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</w:p>
    <w:p w14:paraId="03A9AA85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                               </w:t>
      </w:r>
    </w:p>
    <w:p w14:paraId="56F60FF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</w:p>
    <w:p w14:paraId="31A7EE61"/>
    <w:sectPr>
      <w:pgSz w:w="11906" w:h="16838"/>
      <w:pgMar w:top="1474" w:right="1587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821046"/>
    <w:rsid w:val="1A9324DF"/>
    <w:rsid w:val="35445FAE"/>
    <w:rsid w:val="4A821046"/>
    <w:rsid w:val="52CB180E"/>
    <w:rsid w:val="6221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859</Words>
  <Characters>960</Characters>
  <Lines>0</Lines>
  <Paragraphs>0</Paragraphs>
  <TotalTime>21</TotalTime>
  <ScaleCrop>false</ScaleCrop>
  <LinksUpToDate>false</LinksUpToDate>
  <CharactersWithSpaces>1474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2026-07-20T02:11:00Z</dcterms:created>
  <dc:creator>tiny sun~</dc:creator>
  <cp:lastModifiedBy>Esa</cp:lastModifiedBy>
  <dcterms:modified xsi:type="dcterms:W3CDTF">2026-07-24T06:39:36Z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014C819AFB9B46ED86F970FDFF6AE2B6_11</vt:lpwstr>
  </property>
  <property fmtid="{D5CDD505-2E9C-101B-9397-08002B2CF9AE}" pid="4" name="KSOTemplateDocerSaveRecord">
    <vt:lpwstr>eyJoZGlkIjoiNmU2NzNlMTk4ODk1NGU0M2EzYTQwM2NlN2JmM2I0MTkiLCJ1c2VySWQiOiIyMzE1NTAxNzYifQ==</vt:lpwstr>
  </property>
</Properties>
</file>