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09A2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沙头</w:t>
      </w:r>
      <w:r>
        <w:rPr>
          <w:rFonts w:hint="eastAsia" w:ascii="方正小标宋_GBK" w:hAnsi="方正小标宋_GBK" w:eastAsia="方正小标宋_GBK" w:cs="方正小标宋_GBK"/>
          <w:sz w:val="44"/>
          <w:szCs w:val="44"/>
        </w:rPr>
        <w:t>街道</w:t>
      </w:r>
      <w:r>
        <w:rPr>
          <w:rFonts w:hint="eastAsia" w:ascii="方正小标宋_GBK" w:hAnsi="方正小标宋_GBK" w:eastAsia="方正小标宋_GBK" w:cs="方正小标宋_GBK"/>
          <w:sz w:val="44"/>
          <w:szCs w:val="44"/>
          <w:lang w:eastAsia="zh-CN"/>
        </w:rPr>
        <w:t>机关</w:t>
      </w:r>
      <w:r>
        <w:rPr>
          <w:rFonts w:hint="eastAsia" w:ascii="方正小标宋_GBK" w:hAnsi="方正小标宋_GBK" w:eastAsia="方正小标宋_GBK" w:cs="方正小标宋_GBK"/>
          <w:sz w:val="44"/>
          <w:szCs w:val="44"/>
        </w:rPr>
        <w:t>工会202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年元旦、春节</w:t>
      </w:r>
    </w:p>
    <w:p w14:paraId="1FC15E0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节日</w:t>
      </w:r>
      <w:r>
        <w:rPr>
          <w:rFonts w:hint="eastAsia" w:ascii="方正小标宋_GBK" w:hAnsi="方正小标宋_GBK" w:eastAsia="方正小标宋_GBK" w:cs="方正小标宋_GBK"/>
          <w:sz w:val="44"/>
          <w:szCs w:val="44"/>
        </w:rPr>
        <w:t>慰问品采购项目需求</w:t>
      </w:r>
    </w:p>
    <w:p w14:paraId="344C9048">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color w:val="auto"/>
          <w:sz w:val="32"/>
          <w:szCs w:val="32"/>
        </w:rPr>
      </w:pPr>
    </w:p>
    <w:p w14:paraId="5BBC0B3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kern w:val="2"/>
          <w:sz w:val="32"/>
          <w:szCs w:val="32"/>
          <w:lang w:val="en-US" w:eastAsia="zh-CN" w:bidi="ar-SA"/>
        </w:rPr>
        <w:t>一、</w:t>
      </w:r>
      <w:r>
        <w:rPr>
          <w:rFonts w:hint="eastAsia" w:ascii="黑体" w:hAnsi="黑体" w:eastAsia="黑体" w:cs="黑体"/>
          <w:color w:val="auto"/>
          <w:sz w:val="32"/>
          <w:szCs w:val="32"/>
        </w:rPr>
        <w:t>采购项目概况</w:t>
      </w:r>
    </w:p>
    <w:p w14:paraId="563EF82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为充分体现街道党工委、办事处及工会组织对全体职工的关怀，传递节日温暖，增强队伍凝聚力和归属感，拟在202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年元旦、春节前夕，采购元旦、春节</w:t>
      </w:r>
      <w:r>
        <w:rPr>
          <w:rFonts w:hint="eastAsia" w:ascii="仿宋_GB2312" w:hAnsi="仿宋_GB2312" w:eastAsia="仿宋_GB2312" w:cs="仿宋_GB2312"/>
          <w:color w:val="auto"/>
          <w:sz w:val="32"/>
          <w:szCs w:val="32"/>
          <w:lang w:eastAsia="zh-CN"/>
        </w:rPr>
        <w:t>节日礼品</w:t>
      </w:r>
      <w:r>
        <w:rPr>
          <w:rFonts w:hint="eastAsia" w:ascii="仿宋_GB2312" w:hAnsi="仿宋_GB2312" w:eastAsia="仿宋_GB2312" w:cs="仿宋_GB2312"/>
          <w:color w:val="auto"/>
          <w:sz w:val="32"/>
          <w:szCs w:val="32"/>
        </w:rPr>
        <w:t>，用于向街道</w:t>
      </w:r>
      <w:r>
        <w:rPr>
          <w:rFonts w:hint="eastAsia" w:ascii="仿宋_GB2312" w:hAnsi="仿宋_GB2312" w:eastAsia="仿宋_GB2312" w:cs="仿宋_GB2312"/>
          <w:color w:val="auto"/>
          <w:sz w:val="32"/>
          <w:szCs w:val="32"/>
          <w:lang w:eastAsia="zh-CN"/>
        </w:rPr>
        <w:t>机关会员</w:t>
      </w:r>
      <w:r>
        <w:rPr>
          <w:rFonts w:hint="eastAsia" w:ascii="仿宋_GB2312" w:hAnsi="仿宋_GB2312" w:eastAsia="仿宋_GB2312" w:cs="仿宋_GB2312"/>
          <w:color w:val="auto"/>
          <w:sz w:val="32"/>
          <w:szCs w:val="32"/>
        </w:rPr>
        <w:t>发放节日慰问。</w:t>
      </w:r>
      <w:r>
        <w:rPr>
          <w:rFonts w:hint="eastAsia" w:ascii="仿宋_GB2312" w:hAnsi="仿宋_GB2312" w:eastAsia="仿宋_GB2312" w:cs="仿宋_GB2312"/>
          <w:color w:val="auto"/>
          <w:sz w:val="32"/>
          <w:szCs w:val="32"/>
          <w:lang w:val="en-US" w:eastAsia="zh-CN"/>
        </w:rPr>
        <w:t>现就该项目面向社会征集合格优质的供应商参与响应，并对响应服务供应商择优准入。</w:t>
      </w:r>
    </w:p>
    <w:p w14:paraId="2E9A888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二、项目服务（采购）内容及要求</w:t>
      </w:r>
    </w:p>
    <w:p w14:paraId="7BB6472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（一）采购内容</w:t>
      </w:r>
    </w:p>
    <w:p w14:paraId="232603B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采购一批用于202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年元旦、春节节日慰问的实物礼品，预算标准为人民币500元/人/份，总计</w:t>
      </w:r>
      <w:r>
        <w:rPr>
          <w:rFonts w:hint="eastAsia" w:ascii="仿宋_GB2312" w:hAnsi="仿宋_GB2312" w:eastAsia="仿宋_GB2312" w:cs="仿宋_GB2312"/>
          <w:color w:val="auto"/>
          <w:sz w:val="32"/>
          <w:szCs w:val="32"/>
          <w:lang w:val="en-US" w:eastAsia="zh-CN"/>
        </w:rPr>
        <w:t>942</w:t>
      </w:r>
      <w:r>
        <w:rPr>
          <w:rFonts w:hint="eastAsia" w:ascii="仿宋_GB2312" w:hAnsi="仿宋_GB2312" w:eastAsia="仿宋_GB2312" w:cs="仿宋_GB2312"/>
          <w:color w:val="auto"/>
          <w:sz w:val="32"/>
          <w:szCs w:val="32"/>
        </w:rPr>
        <w:t>份（以最终核定职工人数为准）。预算总金额为人民币</w:t>
      </w:r>
      <w:r>
        <w:rPr>
          <w:rFonts w:hint="eastAsia" w:ascii="仿宋_GB2312" w:hAnsi="仿宋_GB2312" w:eastAsia="仿宋_GB2312" w:cs="仿宋_GB2312"/>
          <w:color w:val="auto"/>
          <w:sz w:val="32"/>
          <w:szCs w:val="32"/>
          <w:lang w:val="en-US" w:eastAsia="zh-CN"/>
        </w:rPr>
        <w:t>471000</w:t>
      </w:r>
      <w:r>
        <w:rPr>
          <w:rFonts w:hint="eastAsia" w:ascii="仿宋_GB2312" w:hAnsi="仿宋_GB2312" w:eastAsia="仿宋_GB2312" w:cs="仿宋_GB2312"/>
          <w:color w:val="auto"/>
          <w:sz w:val="32"/>
          <w:szCs w:val="32"/>
        </w:rPr>
        <w:t>元。</w:t>
      </w:r>
    </w:p>
    <w:p w14:paraId="2D8826C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（二）产品具体要求</w:t>
      </w:r>
    </w:p>
    <w:p w14:paraId="0E21529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核心原则：</w:t>
      </w:r>
      <w:r>
        <w:rPr>
          <w:rFonts w:hint="eastAsia" w:ascii="仿宋_GB2312" w:hAnsi="仿宋_GB2312" w:eastAsia="仿宋_GB2312" w:cs="仿宋_GB2312"/>
          <w:color w:val="auto"/>
          <w:sz w:val="32"/>
          <w:szCs w:val="32"/>
        </w:rPr>
        <w:t>产品必须为实物，不得为购物卡、提货券、现金及充值类票证。要求品质可靠、实用性强、寓意吉祥。</w:t>
      </w:r>
    </w:p>
    <w:p w14:paraId="316D662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2.主题与季节要求：</w:t>
      </w:r>
      <w:r>
        <w:rPr>
          <w:rFonts w:hint="eastAsia" w:ascii="仿宋_GB2312" w:hAnsi="仿宋_GB2312" w:eastAsia="仿宋_GB2312" w:cs="仿宋_GB2312"/>
          <w:color w:val="auto"/>
          <w:sz w:val="32"/>
          <w:szCs w:val="32"/>
        </w:rPr>
        <w:t>慰问品组合应贴合元旦的“迎新”氛围与春节的“团圆”“吉庆”年味，并符合冬季生活需求，侧重</w:t>
      </w:r>
      <w:r>
        <w:rPr>
          <w:rFonts w:hint="eastAsia" w:ascii="仿宋_GB2312" w:hAnsi="仿宋_GB2312" w:eastAsia="仿宋_GB2312" w:cs="仿宋_GB2312"/>
          <w:color w:val="auto"/>
          <w:sz w:val="32"/>
          <w:szCs w:val="32"/>
          <w:lang w:eastAsia="zh-CN"/>
        </w:rPr>
        <w:t>食品、生活用品、</w:t>
      </w:r>
      <w:r>
        <w:rPr>
          <w:rFonts w:hint="eastAsia" w:ascii="仿宋_GB2312" w:hAnsi="仿宋_GB2312" w:eastAsia="仿宋_GB2312" w:cs="仿宋_GB2312"/>
          <w:color w:val="auto"/>
          <w:sz w:val="32"/>
          <w:szCs w:val="32"/>
        </w:rPr>
        <w:t>保暖、健康、家居实用等方向。</w:t>
      </w:r>
    </w:p>
    <w:p w14:paraId="0EAF21D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3"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b/>
          <w:bCs/>
          <w:color w:val="auto"/>
          <w:sz w:val="32"/>
          <w:szCs w:val="32"/>
          <w:lang w:val="en-US" w:eastAsia="zh-CN"/>
        </w:rPr>
        <w:t>3.套餐配置要求：</w:t>
      </w:r>
      <w:r>
        <w:rPr>
          <w:rFonts w:hint="eastAsia" w:ascii="仿宋_GB2312" w:hAnsi="仿宋_GB2312" w:eastAsia="仿宋_GB2312" w:cs="仿宋_GB2312"/>
          <w:color w:val="auto"/>
          <w:sz w:val="32"/>
          <w:szCs w:val="32"/>
        </w:rPr>
        <w:t>供应商须提供至少三种不同主题的套餐组合方案（例如：侧重家庭年货的“</w:t>
      </w:r>
      <w:r>
        <w:rPr>
          <w:rFonts w:hint="eastAsia" w:ascii="仿宋_GB2312" w:hAnsi="仿宋_GB2312" w:eastAsia="仿宋_GB2312" w:cs="仿宋_GB2312"/>
          <w:color w:val="auto"/>
          <w:sz w:val="32"/>
          <w:szCs w:val="32"/>
          <w:lang w:eastAsia="zh-CN"/>
        </w:rPr>
        <w:t>喜庆</w:t>
      </w:r>
      <w:r>
        <w:rPr>
          <w:rFonts w:hint="eastAsia" w:ascii="仿宋_GB2312" w:hAnsi="仿宋_GB2312" w:eastAsia="仿宋_GB2312" w:cs="仿宋_GB2312"/>
          <w:color w:val="auto"/>
          <w:sz w:val="32"/>
          <w:szCs w:val="32"/>
        </w:rPr>
        <w:t>套餐”、侧重健康生活的“活力套餐”、侧重</w:t>
      </w:r>
      <w:r>
        <w:rPr>
          <w:rFonts w:hint="eastAsia" w:ascii="仿宋_GB2312" w:hAnsi="仿宋_GB2312" w:eastAsia="仿宋_GB2312" w:cs="仿宋_GB2312"/>
          <w:color w:val="auto"/>
          <w:sz w:val="32"/>
          <w:szCs w:val="32"/>
          <w:lang w:eastAsia="zh-CN"/>
        </w:rPr>
        <w:t>家居实用</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家居</w:t>
      </w:r>
      <w:r>
        <w:rPr>
          <w:rFonts w:hint="eastAsia" w:ascii="仿宋_GB2312" w:hAnsi="仿宋_GB2312" w:eastAsia="仿宋_GB2312" w:cs="仿宋_GB2312"/>
          <w:color w:val="auto"/>
          <w:sz w:val="32"/>
          <w:szCs w:val="32"/>
        </w:rPr>
        <w:t>套餐”等）</w:t>
      </w:r>
      <w:r>
        <w:rPr>
          <w:rFonts w:hint="eastAsia" w:ascii="仿宋_GB2312" w:hAnsi="仿宋_GB2312" w:eastAsia="仿宋_GB2312" w:cs="仿宋_GB2312"/>
          <w:color w:val="auto"/>
          <w:sz w:val="32"/>
          <w:szCs w:val="32"/>
          <w:lang w:eastAsia="zh-CN"/>
        </w:rPr>
        <w:t>或综合套餐</w:t>
      </w:r>
      <w:r>
        <w:rPr>
          <w:rFonts w:hint="eastAsia" w:ascii="仿宋_GB2312" w:hAnsi="仿宋_GB2312" w:eastAsia="仿宋_GB2312" w:cs="仿宋_GB2312"/>
          <w:color w:val="auto"/>
          <w:sz w:val="32"/>
          <w:szCs w:val="32"/>
        </w:rPr>
        <w:t>组合方案</w:t>
      </w:r>
      <w:r>
        <w:rPr>
          <w:rFonts w:hint="eastAsia" w:ascii="仿宋_GB2312" w:hAnsi="仿宋_GB2312" w:eastAsia="仿宋_GB2312" w:cs="仿宋_GB2312"/>
          <w:color w:val="auto"/>
          <w:sz w:val="32"/>
          <w:szCs w:val="32"/>
          <w:lang w:eastAsia="zh-CN"/>
        </w:rPr>
        <w:t>（融合不同主题的套餐）</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0"/>
          <w:szCs w:val="30"/>
        </w:rPr>
        <w:t>供</w:t>
      </w:r>
      <w:r>
        <w:rPr>
          <w:rFonts w:hint="eastAsia" w:ascii="仿宋_GB2312" w:hAnsi="仿宋_GB2312" w:eastAsia="仿宋_GB2312" w:cs="仿宋_GB2312"/>
          <w:color w:val="auto"/>
          <w:sz w:val="30"/>
          <w:szCs w:val="30"/>
          <w:lang w:eastAsia="zh-CN"/>
        </w:rPr>
        <w:t>机关会员</w:t>
      </w:r>
      <w:r>
        <w:rPr>
          <w:rFonts w:hint="eastAsia" w:ascii="仿宋_GB2312" w:hAnsi="仿宋_GB2312" w:eastAsia="仿宋_GB2312" w:cs="仿宋_GB2312"/>
          <w:color w:val="auto"/>
          <w:sz w:val="30"/>
          <w:szCs w:val="30"/>
        </w:rPr>
        <w:t>选择。每种套餐内容应丰富多样，</w:t>
      </w:r>
      <w:r>
        <w:rPr>
          <w:rFonts w:hint="eastAsia" w:ascii="仿宋_GB2312" w:hAnsi="仿宋_GB2312" w:eastAsia="仿宋_GB2312" w:cs="仿宋_GB2312"/>
          <w:color w:val="auto"/>
          <w:sz w:val="30"/>
          <w:szCs w:val="30"/>
          <w:lang w:eastAsia="zh-CN"/>
        </w:rPr>
        <w:t>套餐内</w:t>
      </w:r>
      <w:r>
        <w:rPr>
          <w:rFonts w:hint="eastAsia" w:ascii="仿宋_GB2312" w:hAnsi="仿宋_GB2312" w:eastAsia="仿宋_GB2312" w:cs="仿宋_GB2312"/>
          <w:color w:val="auto"/>
          <w:sz w:val="30"/>
          <w:szCs w:val="30"/>
        </w:rPr>
        <w:t>单品</w:t>
      </w:r>
      <w:bookmarkStart w:id="0" w:name="_GoBack"/>
      <w:bookmarkEnd w:id="0"/>
      <w:r>
        <w:rPr>
          <w:rFonts w:hint="eastAsia" w:ascii="仿宋_GB2312" w:hAnsi="仿宋_GB2312" w:eastAsia="仿宋_GB2312" w:cs="仿宋_GB2312"/>
          <w:color w:val="auto"/>
          <w:sz w:val="30"/>
          <w:szCs w:val="30"/>
        </w:rPr>
        <w:t>建议不少于</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sz w:val="30"/>
          <w:szCs w:val="30"/>
        </w:rPr>
        <w:t>件。</w:t>
      </w:r>
    </w:p>
    <w:p w14:paraId="787AA81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4.质量标准：</w:t>
      </w:r>
      <w:r>
        <w:rPr>
          <w:rFonts w:hint="eastAsia" w:ascii="仿宋_GB2312" w:hAnsi="仿宋_GB2312" w:eastAsia="仿宋_GB2312" w:cs="仿宋_GB2312"/>
          <w:color w:val="auto"/>
          <w:sz w:val="32"/>
          <w:szCs w:val="32"/>
        </w:rPr>
        <w:t>所有产品须为全新正品，符合国家相关质量与安全标准。食品类需在保质期内且剩余保质期不少于三分之二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电器类须为国行正品，享受全国联保。</w:t>
      </w:r>
    </w:p>
    <w:p w14:paraId="39DCA22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5.包装与配送要求：</w:t>
      </w:r>
    </w:p>
    <w:p w14:paraId="69DB7E4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①包装：</w:t>
      </w:r>
      <w:r>
        <w:rPr>
          <w:rFonts w:hint="eastAsia" w:ascii="仿宋_GB2312" w:hAnsi="仿宋_GB2312" w:eastAsia="仿宋_GB2312" w:cs="仿宋_GB2312"/>
          <w:color w:val="auto"/>
          <w:sz w:val="32"/>
          <w:szCs w:val="32"/>
        </w:rPr>
        <w:t>慰问品需提供统一、美观、牢固的外包装（如礼盒、礼袋），体现节日元素和街道关怀主题。</w:t>
      </w:r>
    </w:p>
    <w:p w14:paraId="5563892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②配送：</w:t>
      </w:r>
      <w:r>
        <w:rPr>
          <w:rFonts w:hint="eastAsia" w:ascii="仿宋_GB2312" w:hAnsi="仿宋_GB2312" w:eastAsia="仿宋_GB2312" w:cs="仿宋_GB2312"/>
          <w:color w:val="auto"/>
          <w:sz w:val="32"/>
          <w:szCs w:val="32"/>
        </w:rPr>
        <w:t>供应商需负责将所有慰问品配送至</w:t>
      </w:r>
      <w:r>
        <w:rPr>
          <w:rFonts w:hint="eastAsia" w:ascii="仿宋_GB2312" w:hAnsi="仿宋_GB2312" w:eastAsia="仿宋_GB2312" w:cs="仿宋_GB2312"/>
          <w:color w:val="auto"/>
          <w:sz w:val="32"/>
          <w:szCs w:val="32"/>
          <w:lang w:eastAsia="zh-CN"/>
        </w:rPr>
        <w:t>采购人</w:t>
      </w:r>
      <w:r>
        <w:rPr>
          <w:rFonts w:hint="eastAsia" w:ascii="仿宋_GB2312" w:hAnsi="仿宋_GB2312" w:eastAsia="仿宋_GB2312" w:cs="仿宋_GB2312"/>
          <w:color w:val="auto"/>
          <w:sz w:val="32"/>
          <w:szCs w:val="32"/>
        </w:rPr>
        <w:t>指定的多个地点，配送过程需确保产品完好无损。</w:t>
      </w:r>
    </w:p>
    <w:p w14:paraId="26318F0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3" w:firstLineChars="200"/>
        <w:textAlignment w:val="auto"/>
        <w:rPr>
          <w:rFonts w:hint="eastAsia"/>
          <w:lang w:eastAsia="zh-CN"/>
        </w:rPr>
      </w:pPr>
      <w:r>
        <w:rPr>
          <w:rFonts w:hint="eastAsia" w:ascii="仿宋_GB2312" w:hAnsi="仿宋_GB2312" w:eastAsia="仿宋_GB2312" w:cs="仿宋_GB2312"/>
          <w:b/>
          <w:bCs/>
          <w:color w:val="auto"/>
          <w:kern w:val="2"/>
          <w:sz w:val="32"/>
          <w:szCs w:val="32"/>
          <w:lang w:val="en-US" w:eastAsia="zh-CN" w:bidi="ar-SA"/>
        </w:rPr>
        <w:t>6.样品提交</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为充分展示产品质量与方案优势，供应商可自愿从其投标方案所列慰问品中自行选取具有代表性的产品作为样品提交（若套餐中包含电器类产品，必须提交该电器样品供评审考核）。具体样品类别及数量应在投标时予以明确，并随投标文件一并提供样品清单及说明。所提交的样品将作为中标后供货产品质量、规格及外观的验收依据，供应商须保证最终产品与样品保持一致。</w:t>
      </w:r>
    </w:p>
    <w:p w14:paraId="67D74F7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三、商务需求</w:t>
      </w:r>
    </w:p>
    <w:p w14:paraId="79BEB78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（一）服务期（供货期）</w:t>
      </w:r>
    </w:p>
    <w:p w14:paraId="5DC9442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rPr>
        <w:t>合同签订后，于202</w:t>
      </w:r>
      <w:r>
        <w:rPr>
          <w:rFonts w:hint="eastAsia" w:ascii="楷体_GB2312" w:hAnsi="楷体_GB2312" w:eastAsia="楷体_GB2312" w:cs="楷体_GB2312"/>
          <w:color w:val="auto"/>
          <w:sz w:val="32"/>
          <w:szCs w:val="32"/>
          <w:lang w:val="en-US" w:eastAsia="zh-CN"/>
        </w:rPr>
        <w:t>6</w:t>
      </w:r>
      <w:r>
        <w:rPr>
          <w:rFonts w:hint="eastAsia" w:ascii="楷体_GB2312" w:hAnsi="楷体_GB2312" w:eastAsia="楷体_GB2312" w:cs="楷体_GB2312"/>
          <w:color w:val="auto"/>
          <w:sz w:val="32"/>
          <w:szCs w:val="32"/>
        </w:rPr>
        <w:t>年春节</w:t>
      </w:r>
      <w:r>
        <w:rPr>
          <w:rFonts w:hint="eastAsia" w:ascii="仿宋_GB2312" w:hAnsi="仿宋_GB2312" w:eastAsia="仿宋_GB2312" w:cs="仿宋_GB2312"/>
          <w:color w:val="auto"/>
          <w:sz w:val="32"/>
          <w:szCs w:val="32"/>
        </w:rPr>
        <w:t>前</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个自然日内完成全部产品的交付。</w:t>
      </w:r>
    </w:p>
    <w:p w14:paraId="352678F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rPr>
        <w:t>服务地点</w:t>
      </w:r>
    </w:p>
    <w:p w14:paraId="0DA6588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eastAsia="仿宋_GB2312"/>
          <w:bCs/>
          <w:color w:val="auto"/>
          <w:sz w:val="32"/>
          <w:szCs w:val="32"/>
          <w:highlight w:val="none"/>
        </w:rPr>
        <w:t>在采购人指定地点</w:t>
      </w:r>
      <w:r>
        <w:rPr>
          <w:rFonts w:hint="eastAsia" w:ascii="仿宋_GB2312" w:hAnsi="仿宋_GB2312" w:eastAsia="仿宋_GB2312" w:cs="仿宋_GB2312"/>
          <w:color w:val="auto"/>
          <w:sz w:val="32"/>
          <w:szCs w:val="32"/>
        </w:rPr>
        <w:t>。</w:t>
      </w:r>
    </w:p>
    <w:p w14:paraId="4C842B0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rPr>
        <w:t>报价</w:t>
      </w:r>
      <w:r>
        <w:rPr>
          <w:rFonts w:hint="eastAsia" w:ascii="楷体_GB2312" w:hAnsi="楷体_GB2312" w:eastAsia="楷体_GB2312" w:cs="楷体_GB2312"/>
          <w:color w:val="auto"/>
          <w:sz w:val="32"/>
          <w:szCs w:val="32"/>
          <w:lang w:eastAsia="zh-CN"/>
        </w:rPr>
        <w:t>要求</w:t>
      </w:r>
    </w:p>
    <w:p w14:paraId="671F358C">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eastAsia="仿宋_GB2312"/>
          <w:bCs/>
          <w:color w:val="auto"/>
          <w:sz w:val="32"/>
          <w:szCs w:val="32"/>
          <w:highlight w:val="none"/>
          <w:lang w:val="en-US" w:eastAsia="zh-CN"/>
        </w:rPr>
        <w:t>1.报价要求：</w:t>
      </w:r>
      <w:r>
        <w:rPr>
          <w:rFonts w:hint="eastAsia" w:ascii="仿宋_GB2312" w:eastAsia="仿宋_GB2312"/>
          <w:bCs/>
          <w:color w:val="auto"/>
          <w:sz w:val="32"/>
          <w:szCs w:val="32"/>
          <w:highlight w:val="none"/>
        </w:rPr>
        <w:t>本项目服务费采用包干制，应包括服务成本、法定税费和企业的利润。由响应人根据采购文件所提供的资料自行测算投标报价；一经中选，报价总价作为供应商与采购人</w:t>
      </w:r>
      <w:r>
        <w:rPr>
          <w:rFonts w:hint="eastAsia" w:ascii="仿宋_GB2312" w:eastAsia="仿宋_GB2312"/>
          <w:bCs/>
          <w:color w:val="auto"/>
          <w:sz w:val="32"/>
          <w:szCs w:val="32"/>
          <w:highlight w:val="none"/>
          <w:lang w:eastAsia="zh-CN"/>
        </w:rPr>
        <w:t>签订</w:t>
      </w:r>
      <w:r>
        <w:rPr>
          <w:rFonts w:hint="eastAsia" w:ascii="仿宋_GB2312" w:eastAsia="仿宋_GB2312"/>
          <w:bCs/>
          <w:color w:val="auto"/>
          <w:sz w:val="32"/>
          <w:szCs w:val="32"/>
          <w:highlight w:val="none"/>
        </w:rPr>
        <w:t>的合同金额</w:t>
      </w:r>
      <w:r>
        <w:rPr>
          <w:rFonts w:hint="eastAsia" w:ascii="仿宋_GB2312" w:eastAsia="仿宋_GB2312"/>
          <w:bCs/>
          <w:color w:val="auto"/>
          <w:sz w:val="32"/>
          <w:szCs w:val="32"/>
          <w:highlight w:val="none"/>
          <w:lang w:eastAsia="zh-CN"/>
        </w:rPr>
        <w:t>，</w:t>
      </w:r>
      <w:r>
        <w:rPr>
          <w:rFonts w:hint="eastAsia" w:ascii="仿宋_GB2312" w:eastAsia="仿宋_GB2312"/>
          <w:bCs/>
          <w:color w:val="auto"/>
          <w:sz w:val="32"/>
          <w:szCs w:val="32"/>
          <w:highlight w:val="none"/>
        </w:rPr>
        <w:t>合同期限内不</w:t>
      </w:r>
      <w:r>
        <w:rPr>
          <w:rFonts w:hint="eastAsia" w:ascii="仿宋_GB2312" w:eastAsia="仿宋_GB2312"/>
          <w:bCs/>
          <w:color w:val="auto"/>
          <w:sz w:val="32"/>
          <w:szCs w:val="32"/>
          <w:highlight w:val="none"/>
          <w:lang w:eastAsia="zh-CN"/>
        </w:rPr>
        <w:t>作</w:t>
      </w:r>
      <w:r>
        <w:rPr>
          <w:rFonts w:hint="eastAsia" w:ascii="仿宋_GB2312" w:eastAsia="仿宋_GB2312"/>
          <w:bCs/>
          <w:color w:val="auto"/>
          <w:sz w:val="32"/>
          <w:szCs w:val="32"/>
          <w:highlight w:val="none"/>
        </w:rPr>
        <w:t>调整</w:t>
      </w:r>
      <w:r>
        <w:rPr>
          <w:rFonts w:hint="eastAsia" w:ascii="仿宋_GB2312" w:eastAsia="仿宋_GB2312"/>
          <w:bCs/>
          <w:color w:val="auto"/>
          <w:sz w:val="32"/>
          <w:szCs w:val="32"/>
          <w:highlight w:val="none"/>
          <w:lang w:eastAsia="zh-CN"/>
        </w:rPr>
        <w:t>。</w:t>
      </w:r>
    </w:p>
    <w:p w14:paraId="67827BCD">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rPr>
          <w:rFonts w:hint="eastAsia" w:ascii="仿宋_GB2312" w:eastAsia="仿宋_GB2312"/>
          <w:bCs/>
          <w:color w:val="auto"/>
          <w:sz w:val="32"/>
          <w:szCs w:val="32"/>
          <w:highlight w:val="none"/>
          <w:lang w:eastAsia="zh-CN"/>
        </w:rPr>
      </w:pPr>
      <w:r>
        <w:rPr>
          <w:rFonts w:hint="eastAsia" w:ascii="仿宋_GB2312" w:eastAsia="仿宋_GB2312"/>
          <w:bCs/>
          <w:color w:val="auto"/>
          <w:sz w:val="32"/>
          <w:szCs w:val="32"/>
          <w:highlight w:val="none"/>
        </w:rPr>
        <w:t>2.响应人应根据本企业的成本自行决定报价，但不得以低于其企业成本的报价投标</w:t>
      </w:r>
      <w:r>
        <w:rPr>
          <w:rFonts w:hint="eastAsia" w:ascii="仿宋_GB2312" w:eastAsia="仿宋_GB2312"/>
          <w:bCs/>
          <w:color w:val="auto"/>
          <w:sz w:val="32"/>
          <w:szCs w:val="32"/>
          <w:highlight w:val="none"/>
          <w:lang w:eastAsia="zh-CN"/>
        </w:rPr>
        <w:t>。</w:t>
      </w:r>
    </w:p>
    <w:p w14:paraId="56E73E23">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rPr>
          <w:rFonts w:hint="eastAsia" w:ascii="仿宋_GB2312" w:eastAsia="仿宋_GB2312"/>
          <w:bCs/>
          <w:color w:val="auto"/>
          <w:sz w:val="32"/>
          <w:szCs w:val="32"/>
          <w:highlight w:val="none"/>
          <w:lang w:eastAsia="zh-CN"/>
        </w:rPr>
      </w:pPr>
      <w:r>
        <w:rPr>
          <w:rFonts w:hint="eastAsia" w:ascii="仿宋_GB2312" w:eastAsia="仿宋_GB2312"/>
          <w:bCs/>
          <w:color w:val="auto"/>
          <w:sz w:val="32"/>
          <w:szCs w:val="32"/>
          <w:highlight w:val="none"/>
        </w:rPr>
        <w:t>3.响应人的报价不得超过项目预算金额</w:t>
      </w:r>
      <w:r>
        <w:rPr>
          <w:rFonts w:hint="eastAsia" w:ascii="仿宋_GB2312" w:eastAsia="仿宋_GB2312"/>
          <w:bCs/>
          <w:color w:val="auto"/>
          <w:sz w:val="32"/>
          <w:szCs w:val="32"/>
          <w:highlight w:val="none"/>
          <w:lang w:eastAsia="zh-CN"/>
        </w:rPr>
        <w:t>。</w:t>
      </w:r>
    </w:p>
    <w:p w14:paraId="505DC2E9">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rPr>
          <w:rFonts w:hint="eastAsia" w:ascii="仿宋_GB2312" w:eastAsia="仿宋_GB2312"/>
          <w:bCs/>
          <w:color w:val="auto"/>
          <w:sz w:val="32"/>
          <w:szCs w:val="32"/>
          <w:highlight w:val="none"/>
          <w:lang w:eastAsia="zh-CN"/>
        </w:rPr>
      </w:pPr>
      <w:r>
        <w:rPr>
          <w:rFonts w:hint="eastAsia" w:ascii="仿宋_GB2312" w:eastAsia="仿宋_GB2312"/>
          <w:bCs/>
          <w:color w:val="auto"/>
          <w:sz w:val="32"/>
          <w:szCs w:val="32"/>
          <w:highlight w:val="none"/>
        </w:rPr>
        <w:t>4.响应人的报价，应是本项目采购范围和采购文件及合同条款上所列的各项内容中所述的全部，不得以任何理由予以重复，并以响应人最终提出的综合单价或者总价为依据</w:t>
      </w:r>
      <w:r>
        <w:rPr>
          <w:rFonts w:hint="eastAsia" w:ascii="仿宋_GB2312" w:eastAsia="仿宋_GB2312"/>
          <w:bCs/>
          <w:color w:val="auto"/>
          <w:sz w:val="32"/>
          <w:szCs w:val="32"/>
          <w:highlight w:val="none"/>
          <w:lang w:eastAsia="zh-CN"/>
        </w:rPr>
        <w:t>。</w:t>
      </w:r>
    </w:p>
    <w:p w14:paraId="5D2FC268">
      <w:pPr>
        <w:pStyle w:val="8"/>
        <w:keepNext w:val="0"/>
        <w:keepLines w:val="0"/>
        <w:pageBreakBefore w:val="0"/>
        <w:widowControl w:val="0"/>
        <w:kinsoku/>
        <w:wordWrap/>
        <w:overflowPunct/>
        <w:topLinePunct w:val="0"/>
        <w:autoSpaceDE/>
        <w:autoSpaceDN/>
        <w:bidi w:val="0"/>
        <w:adjustRightInd/>
        <w:snapToGrid/>
        <w:spacing w:beforeLines="0" w:afterLines="0" w:line="570" w:lineRule="exact"/>
        <w:ind w:firstLine="674"/>
        <w:textAlignment w:val="auto"/>
        <w:rPr>
          <w:rFonts w:hint="eastAsia" w:eastAsia="仿宋_GB2312"/>
          <w:color w:val="auto"/>
          <w:szCs w:val="32"/>
          <w:highlight w:val="none"/>
          <w:lang w:eastAsia="zh-CN"/>
        </w:rPr>
      </w:pPr>
      <w:r>
        <w:rPr>
          <w:rFonts w:hint="eastAsia"/>
          <w:bCs/>
          <w:color w:val="auto"/>
          <w:szCs w:val="32"/>
          <w:highlight w:val="none"/>
        </w:rPr>
        <w:t>5.除非采购人通过修改采购文件予以更正，否则，响应人应毫无例外地按响应文件所列的清单中项目和数量填报综合单价和合价</w:t>
      </w:r>
      <w:r>
        <w:rPr>
          <w:rFonts w:hint="eastAsia"/>
          <w:bCs/>
          <w:color w:val="auto"/>
          <w:szCs w:val="32"/>
          <w:highlight w:val="none"/>
          <w:lang w:eastAsia="zh-CN"/>
        </w:rPr>
        <w:t>。</w:t>
      </w:r>
    </w:p>
    <w:p w14:paraId="2F794D33">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6.响应人不得期望通过索赔等方式获取报价补偿，否则，除可能遭到拒绝外，还可能将被作为不良行为记录在案，并可能影响其以后参加政府采购的项目投标。各响应人在报价时，应充分考虑报价的风险。</w:t>
      </w:r>
    </w:p>
    <w:p w14:paraId="13691B0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（四）付款方式：</w:t>
      </w:r>
      <w:r>
        <w:rPr>
          <w:rFonts w:hint="eastAsia" w:ascii="仿宋_GB2312" w:hAnsi="仿宋_GB2312" w:eastAsia="仿宋_GB2312" w:cs="仿宋_GB2312"/>
          <w:color w:val="auto"/>
          <w:sz w:val="32"/>
          <w:szCs w:val="32"/>
          <w:lang w:val="en-US" w:eastAsia="zh-CN"/>
        </w:rPr>
        <w:t>本合同签订生效、验收合格后且乙方出具合法有效的等额发票10个工作日内，甲方向乙方一次性支付合同全额货款。</w:t>
      </w:r>
    </w:p>
    <w:p w14:paraId="0F0272F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（五）</w:t>
      </w:r>
      <w:r>
        <w:rPr>
          <w:rFonts w:hint="eastAsia" w:ascii="楷体_GB2312" w:hAnsi="楷体_GB2312" w:eastAsia="楷体_GB2312" w:cs="楷体_GB2312"/>
          <w:color w:val="auto"/>
          <w:sz w:val="32"/>
          <w:szCs w:val="32"/>
        </w:rPr>
        <w:t>验收要求</w:t>
      </w:r>
    </w:p>
    <w:p w14:paraId="6FADD2C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1.采购人将组织人员对送达的慰问品进行抽样验收。</w:t>
      </w:r>
    </w:p>
    <w:p w14:paraId="5741DBA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2.验收标准：按照本合同约定的产品清单、数量、规格、质</w:t>
      </w:r>
      <w:r>
        <w:rPr>
          <w:rFonts w:hint="eastAsia" w:ascii="仿宋_GB2312" w:hAnsi="仿宋_GB2312" w:eastAsia="仿宋_GB2312" w:cs="仿宋_GB2312"/>
          <w:color w:val="auto"/>
          <w:sz w:val="32"/>
          <w:szCs w:val="32"/>
          <w:lang w:eastAsia="zh-CN"/>
        </w:rPr>
        <w:t>量</w:t>
      </w:r>
      <w:r>
        <w:rPr>
          <w:rFonts w:hint="eastAsia" w:ascii="仿宋_GB2312" w:hAnsi="仿宋_GB2312" w:eastAsia="仿宋_GB2312" w:cs="仿宋_GB2312"/>
          <w:color w:val="auto"/>
          <w:sz w:val="32"/>
          <w:szCs w:val="32"/>
        </w:rPr>
        <w:t>、包装及配送要求进行。</w:t>
      </w:r>
    </w:p>
    <w:p w14:paraId="45168CB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3.验收合格后，</w:t>
      </w:r>
      <w:r>
        <w:rPr>
          <w:rFonts w:hint="eastAsia" w:ascii="仿宋_GB2312" w:hAnsi="仿宋_GB2312" w:eastAsia="仿宋_GB2312" w:cs="仿宋_GB2312"/>
          <w:color w:val="auto"/>
          <w:sz w:val="32"/>
          <w:szCs w:val="32"/>
        </w:rPr>
        <w:t>双方签署验收报告。验收报告作为</w:t>
      </w:r>
      <w:r>
        <w:rPr>
          <w:rFonts w:hint="eastAsia" w:ascii="仿宋_GB2312" w:hAnsi="仿宋_GB2312" w:eastAsia="仿宋_GB2312" w:cs="仿宋_GB2312"/>
          <w:color w:val="auto"/>
          <w:sz w:val="32"/>
          <w:szCs w:val="32"/>
          <w:lang w:eastAsia="zh-CN"/>
        </w:rPr>
        <w:t>付款</w:t>
      </w:r>
      <w:r>
        <w:rPr>
          <w:rFonts w:hint="eastAsia" w:ascii="仿宋_GB2312" w:hAnsi="仿宋_GB2312" w:eastAsia="仿宋_GB2312" w:cs="仿宋_GB2312"/>
          <w:color w:val="auto"/>
          <w:sz w:val="32"/>
          <w:szCs w:val="32"/>
        </w:rPr>
        <w:t>支付依据。如发现产品存在质量问题、数量短缺或与约定不符，供应商须无条件在</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日内更换、补足或退货，并承担相应费用。</w:t>
      </w:r>
    </w:p>
    <w:p w14:paraId="08E93D97">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lang w:eastAsia="zh-CN"/>
        </w:rPr>
        <w:t>四、</w:t>
      </w:r>
      <w:r>
        <w:rPr>
          <w:rFonts w:hint="eastAsia" w:ascii="黑体" w:hAnsi="黑体" w:eastAsia="黑体" w:cs="黑体"/>
          <w:bCs/>
          <w:color w:val="auto"/>
          <w:sz w:val="32"/>
          <w:szCs w:val="32"/>
          <w:highlight w:val="none"/>
        </w:rPr>
        <w:t>违约责任</w:t>
      </w:r>
    </w:p>
    <w:p w14:paraId="359C3BE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ascii="仿宋_GB2312" w:hAnsi="Times New Roman" w:eastAsia="仿宋_GB2312" w:cs="Times New Roman"/>
          <w:bCs/>
          <w:color w:val="auto"/>
          <w:sz w:val="32"/>
          <w:szCs w:val="32"/>
        </w:rPr>
      </w:pPr>
      <w:r>
        <w:rPr>
          <w:rFonts w:hint="default" w:ascii="仿宋_GB2312" w:hAnsi="Times New Roman" w:eastAsia="仿宋_GB2312" w:cs="Times New Roman"/>
          <w:bCs/>
          <w:color w:val="auto"/>
          <w:sz w:val="32"/>
          <w:szCs w:val="32"/>
          <w:lang w:val="en-US"/>
        </w:rPr>
        <w:t>1.</w:t>
      </w:r>
      <w:r>
        <w:rPr>
          <w:rFonts w:hint="eastAsia" w:ascii="仿宋_GB2312" w:hAnsi="Times New Roman" w:eastAsia="仿宋_GB2312" w:cs="Times New Roman"/>
          <w:bCs/>
          <w:color w:val="auto"/>
          <w:sz w:val="32"/>
          <w:szCs w:val="32"/>
        </w:rPr>
        <w:t>乙方若未按本合同约定履行义务，或如因乙方原因造成服务达不到甲方管理目标或直接造成甲方经济损失的，甲方有权要求乙方限期整改，在限期时间内没有整改，甲方有权解除合同。如造成经济损失，甲方有权向乙方索赔。</w:t>
      </w:r>
    </w:p>
    <w:p w14:paraId="7739F80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default" w:ascii="仿宋_GB2312" w:hAnsi="Times New Roman" w:eastAsia="仿宋_GB2312" w:cs="Times New Roman"/>
          <w:bCs/>
          <w:color w:val="auto"/>
          <w:sz w:val="32"/>
          <w:szCs w:val="32"/>
          <w:lang w:val="en-US"/>
        </w:rPr>
        <w:t>2.</w:t>
      </w:r>
      <w:r>
        <w:rPr>
          <w:rFonts w:hint="eastAsia" w:ascii="仿宋_GB2312" w:hAnsi="Times New Roman" w:eastAsia="仿宋_GB2312" w:cs="Times New Roman"/>
          <w:bCs/>
          <w:color w:val="auto"/>
          <w:sz w:val="32"/>
          <w:szCs w:val="32"/>
        </w:rPr>
        <w:t>若乙方履行本合同经甲方验收不合格的，甲方有权要求乙方进行整改，乙方应当积极整改，若乙方不整改或多次整改不到位的，甲方有权单方解除合同并要求乙方承担赔偿责任。</w:t>
      </w:r>
    </w:p>
    <w:p w14:paraId="7F77158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五、响应人（供应商）资格</w:t>
      </w:r>
    </w:p>
    <w:p w14:paraId="45E902E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1.响应供应商须为具有独立承担民事责任能力的法人或非法人组织（独立法人提供营业执照扫描件或复印件；非法人组织则提供主管部门颁发或批准成立的证书或其他证明文件扫描件或复印件）。</w:t>
      </w:r>
    </w:p>
    <w:p w14:paraId="6B43F1CB">
      <w:pPr>
        <w:pStyle w:val="7"/>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.满足《中华人民共和国政府采购法》第二十二条规定</w:t>
      </w:r>
      <w:r>
        <w:rPr>
          <w:rFonts w:hint="eastAsia" w:ascii="仿宋_GB2312" w:hAnsi="仿宋_GB2312" w:eastAsia="仿宋_GB2312" w:cs="仿宋_GB2312"/>
          <w:color w:val="auto"/>
          <w:sz w:val="32"/>
          <w:szCs w:val="32"/>
          <w:lang w:eastAsia="zh-CN"/>
        </w:rPr>
        <w:t>。</w:t>
      </w:r>
    </w:p>
    <w:p w14:paraId="150FF24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.单位负责人为同一人或者存在直接控股、管理关系的不同供应商，不得参加同一合同项下的政府采购活动。</w:t>
      </w:r>
    </w:p>
    <w:p w14:paraId="17B781F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供应商需具备有效的营业执照，经营范围需包含本项目相关的类目。</w:t>
      </w:r>
    </w:p>
    <w:p w14:paraId="665B9B9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供应商应具备良好的商业信誉和健全的财务会计制度，有依法缴纳税收和社会保障资金的良好记录。</w:t>
      </w:r>
    </w:p>
    <w:p w14:paraId="449EB7D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参加政府采购活动前三年内，在经营活动中没有重大违法记录。</w:t>
      </w:r>
    </w:p>
    <w:p w14:paraId="36CAEE9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供应商未被列入“信用中国”网站(www.creditchina.gov.cn)的失信被执行人、重大税收违法案件当事人名单，以及中国政府采购网(www.ccgp.gov.cn)的政府采购严重违法失信行为记录名单。</w:t>
      </w:r>
    </w:p>
    <w:p w14:paraId="08276AC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本项目不接受联合体投标，不接受进口产品投标。</w:t>
      </w:r>
    </w:p>
    <w:p w14:paraId="23A7F4C8">
      <w:pPr>
        <w:keepNext w:val="0"/>
        <w:keepLines w:val="0"/>
        <w:pageBreakBefore w:val="0"/>
        <w:widowControl w:val="0"/>
        <w:kinsoku/>
        <w:wordWrap/>
        <w:overflowPunct/>
        <w:topLinePunct w:val="0"/>
        <w:autoSpaceDE/>
        <w:autoSpaceDN/>
        <w:bidi w:val="0"/>
        <w:spacing w:line="570" w:lineRule="exact"/>
        <w:ind w:firstLine="640" w:firstLineChars="200"/>
        <w:textAlignment w:val="auto"/>
        <w:outlineLvl w:val="1"/>
        <w:rPr>
          <w:rFonts w:hint="eastAsia" w:ascii="黑体" w:hAnsi="黑体" w:eastAsia="黑体" w:cs="黑体"/>
          <w:bCs/>
          <w:color w:val="auto"/>
          <w:kern w:val="2"/>
          <w:sz w:val="32"/>
          <w:szCs w:val="32"/>
          <w:highlight w:val="none"/>
          <w:lang w:val="en-US" w:eastAsia="zh-CN" w:bidi="ar-SA"/>
        </w:rPr>
      </w:pPr>
      <w:r>
        <w:rPr>
          <w:rFonts w:hint="eastAsia" w:ascii="黑体" w:hAnsi="黑体" w:eastAsia="黑体" w:cs="黑体"/>
          <w:bCs/>
          <w:color w:val="auto"/>
          <w:sz w:val="32"/>
          <w:szCs w:val="32"/>
          <w:lang w:eastAsia="zh-CN"/>
        </w:rPr>
        <w:t>六、</w:t>
      </w:r>
      <w:r>
        <w:rPr>
          <w:rFonts w:hint="eastAsia" w:ascii="黑体" w:hAnsi="黑体" w:eastAsia="黑体" w:cs="黑体"/>
          <w:bCs/>
          <w:color w:val="auto"/>
          <w:kern w:val="2"/>
          <w:sz w:val="32"/>
          <w:szCs w:val="32"/>
          <w:highlight w:val="none"/>
          <w:lang w:val="en-US" w:eastAsia="zh-CN" w:bidi="ar-SA"/>
        </w:rPr>
        <w:t>评标信息</w:t>
      </w:r>
    </w:p>
    <w:p w14:paraId="098571B0">
      <w:pPr>
        <w:keepNext w:val="0"/>
        <w:keepLines w:val="0"/>
        <w:pageBreakBefore w:val="0"/>
        <w:widowControl w:val="0"/>
        <w:kinsoku/>
        <w:wordWrap/>
        <w:overflowPunct/>
        <w:topLinePunct w:val="0"/>
        <w:autoSpaceDE/>
        <w:autoSpaceDN/>
        <w:bidi w:val="0"/>
        <w:spacing w:line="57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本次评标采用综合评分法，按照招标文件中规定的各项因素进行量化打分，以评标总得分最高的供应商为中标候选供应商。</w:t>
      </w:r>
    </w:p>
    <w:p w14:paraId="4ABF20F2">
      <w:pPr>
        <w:keepNext w:val="0"/>
        <w:keepLines w:val="0"/>
        <w:pageBreakBefore w:val="0"/>
        <w:widowControl w:val="0"/>
        <w:kinsoku/>
        <w:wordWrap/>
        <w:overflowPunct/>
        <w:topLinePunct w:val="0"/>
        <w:autoSpaceDE/>
        <w:autoSpaceDN/>
        <w:bidi w:val="0"/>
        <w:spacing w:line="57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确定中标供应商按评审后得分由高到低顺序排序。得分排名前3名的供应商作为中标候选人。得分相同的，按投标报价由低到高排列。得分且投标报价相同的，按技术指标优劣顺序排列。综合得分、投标报价及技术得分均相同的，评标委员会成员通过表决以少数服从多数原则，决定列前中标候选人。</w:t>
      </w:r>
    </w:p>
    <w:p w14:paraId="573B4A09">
      <w:pPr>
        <w:keepNext w:val="0"/>
        <w:keepLines w:val="0"/>
        <w:pageBreakBefore w:val="0"/>
        <w:widowControl w:val="0"/>
        <w:tabs>
          <w:tab w:val="left" w:pos="562"/>
          <w:tab w:val="left" w:pos="3372"/>
          <w:tab w:val="left" w:pos="3653"/>
        </w:tabs>
        <w:kinsoku/>
        <w:wordWrap/>
        <w:overflowPunct/>
        <w:topLinePunct w:val="0"/>
        <w:autoSpaceDE/>
        <w:autoSpaceDN/>
        <w:bidi w:val="0"/>
        <w:spacing w:line="57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价格分应当采用低价优先法计算，即满足招标文件要求且投标价格最低的投标报价为评标基准价，其价格分为满分。其他投标人的价格分统一按照下列公式计算：</w:t>
      </w:r>
      <w:r>
        <w:rPr>
          <w:rFonts w:hint="eastAsia" w:ascii="仿宋_GB2312" w:hAnsi="仿宋_GB2312" w:eastAsia="仿宋_GB2312" w:cs="仿宋_GB2312"/>
          <w:color w:val="auto"/>
          <w:kern w:val="2"/>
          <w:sz w:val="32"/>
          <w:szCs w:val="32"/>
          <w:lang w:val="en-US" w:eastAsia="zh-CN" w:bidi="ar-SA"/>
        </w:rPr>
        <w:br w:type="textWrapping"/>
      </w:r>
      <w:r>
        <w:rPr>
          <w:rFonts w:hint="eastAsia" w:ascii="仿宋_GB2312" w:hAnsi="仿宋_GB2312" w:eastAsia="仿宋_GB2312" w:cs="仿宋_GB2312"/>
          <w:color w:val="auto"/>
          <w:kern w:val="2"/>
          <w:sz w:val="32"/>
          <w:szCs w:val="32"/>
          <w:lang w:val="en-US" w:eastAsia="zh-CN" w:bidi="ar-SA"/>
        </w:rPr>
        <w:t xml:space="preserve">    投标报价得分=(评标基准价/投标报价)×10</w:t>
      </w:r>
      <w:r>
        <w:rPr>
          <w:rFonts w:hint="eastAsia" w:ascii="仿宋_GB2312" w:hAnsi="仿宋_GB2312" w:eastAsia="仿宋_GB2312" w:cs="仿宋_GB2312"/>
          <w:color w:val="auto"/>
          <w:kern w:val="2"/>
          <w:sz w:val="32"/>
          <w:szCs w:val="32"/>
          <w:lang w:val="en-US" w:eastAsia="zh-CN" w:bidi="ar-SA"/>
        </w:rPr>
        <w:br w:type="textWrapping"/>
      </w:r>
      <w:r>
        <w:rPr>
          <w:rFonts w:hint="eastAsia" w:ascii="仿宋_GB2312" w:hAnsi="仿宋_GB2312" w:eastAsia="仿宋_GB2312" w:cs="仿宋_GB2312"/>
          <w:color w:val="auto"/>
          <w:kern w:val="2"/>
          <w:sz w:val="32"/>
          <w:szCs w:val="32"/>
          <w:lang w:val="en-US" w:eastAsia="zh-CN" w:bidi="ar-SA"/>
        </w:rPr>
        <w:t xml:space="preserve">    评标总得分=F1×A1+F2×A2+……+Fn×An</w:t>
      </w:r>
      <w:r>
        <w:rPr>
          <w:rFonts w:hint="eastAsia" w:ascii="仿宋_GB2312" w:hAnsi="仿宋_GB2312" w:eastAsia="仿宋_GB2312" w:cs="仿宋_GB2312"/>
          <w:color w:val="auto"/>
          <w:kern w:val="2"/>
          <w:sz w:val="32"/>
          <w:szCs w:val="32"/>
          <w:lang w:val="en-US" w:eastAsia="zh-CN" w:bidi="ar-SA"/>
        </w:rPr>
        <w:br w:type="textWrapping"/>
      </w:r>
      <w:r>
        <w:rPr>
          <w:rFonts w:hint="eastAsia" w:ascii="仿宋_GB2312" w:hAnsi="仿宋_GB2312" w:eastAsia="仿宋_GB2312" w:cs="仿宋_GB2312"/>
          <w:color w:val="auto"/>
          <w:kern w:val="2"/>
          <w:sz w:val="32"/>
          <w:szCs w:val="32"/>
          <w:lang w:val="en-US" w:eastAsia="zh-CN" w:bidi="ar-SA"/>
        </w:rPr>
        <w:t xml:space="preserve">    F1、F2……Fn分别为各项评审因素的得分；</w:t>
      </w:r>
      <w:r>
        <w:rPr>
          <w:rFonts w:hint="eastAsia" w:ascii="仿宋_GB2312" w:hAnsi="仿宋_GB2312" w:eastAsia="仿宋_GB2312" w:cs="仿宋_GB2312"/>
          <w:color w:val="auto"/>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    A1、A2、……An 分别为各项评审因素所占的权</w:t>
      </w:r>
    </w:p>
    <w:p w14:paraId="6CD2F254">
      <w:pPr>
        <w:keepNext w:val="0"/>
        <w:keepLines w:val="0"/>
        <w:pageBreakBefore w:val="0"/>
        <w:widowControl w:val="0"/>
        <w:tabs>
          <w:tab w:val="left" w:pos="562"/>
          <w:tab w:val="left" w:pos="3372"/>
          <w:tab w:val="left" w:pos="3653"/>
        </w:tabs>
        <w:kinsoku/>
        <w:wordWrap/>
        <w:overflowPunct/>
        <w:topLinePunct w:val="0"/>
        <w:autoSpaceDE/>
        <w:autoSpaceDN/>
        <w:bidi w:val="0"/>
        <w:spacing w:line="570" w:lineRule="exact"/>
        <w:ind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(A1+A2+……+An=1)。</w:t>
      </w:r>
    </w:p>
    <w:p w14:paraId="30358DFC">
      <w:pPr>
        <w:keepNext w:val="0"/>
        <w:keepLines w:val="0"/>
        <w:pageBreakBefore w:val="0"/>
        <w:widowControl w:val="0"/>
        <w:kinsoku/>
        <w:wordWrap/>
        <w:overflowPunct/>
        <w:topLinePunct w:val="0"/>
        <w:autoSpaceDE/>
        <w:autoSpaceDN/>
        <w:bidi w:val="0"/>
        <w:spacing w:line="57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评标委员会对每个通过资格性检查和符合性检查且报价不超过预算控制金额的投标供应商进行评审、打分，然后汇总每个投标供应商每项评分因素的评分，得分精确到小数点后两位（四舍五入）。</w:t>
      </w:r>
    </w:p>
    <w:p w14:paraId="63AF8C09">
      <w:pPr>
        <w:pStyle w:val="7"/>
        <w:keepNext w:val="0"/>
        <w:keepLines w:val="0"/>
        <w:pageBreakBefore w:val="0"/>
        <w:widowControl w:val="0"/>
        <w:kinsoku/>
        <w:wordWrap/>
        <w:overflowPunct/>
        <w:topLinePunct w:val="0"/>
        <w:autoSpaceDE/>
        <w:autoSpaceDN/>
        <w:bidi w:val="0"/>
        <w:adjustRightInd/>
        <w:snapToGrid/>
        <w:spacing w:beforeLines="0" w:after="0" w:afterLines="0" w:line="570" w:lineRule="exact"/>
        <w:ind w:firstLine="640" w:firstLineChars="200"/>
        <w:jc w:val="both"/>
        <w:textAlignment w:val="auto"/>
        <w:outlineLvl w:val="0"/>
        <w:rPr>
          <w:rFonts w:hint="eastAsia" w:ascii="方正大标宋简体" w:hAnsi="方正大标宋简体" w:eastAsia="方正大标宋简体" w:cs="方正大标宋简体"/>
          <w:sz w:val="44"/>
          <w:szCs w:val="44"/>
          <w:highlight w:val="none"/>
        </w:rPr>
      </w:pPr>
      <w:r>
        <w:rPr>
          <w:rFonts w:hint="eastAsia" w:ascii="仿宋_GB2312" w:hAnsi="仿宋_GB2312" w:eastAsia="仿宋_GB2312" w:cs="仿宋_GB2312"/>
          <w:kern w:val="2"/>
          <w:sz w:val="32"/>
          <w:szCs w:val="32"/>
          <w:lang w:val="en-US" w:eastAsia="zh-CN" w:bidi="ar-SA"/>
        </w:rPr>
        <w:t>评委会在评标时，按照以下量化的评审因素，对进入该阶段评审的各投标文件进行分析和比较：</w:t>
      </w:r>
    </w:p>
    <w:p w14:paraId="4AF6E723">
      <w:pPr>
        <w:pStyle w:val="7"/>
        <w:adjustRightInd/>
        <w:snapToGrid/>
        <w:spacing w:beforeLines="0" w:after="0" w:afterLines="0" w:line="579" w:lineRule="exact"/>
        <w:ind w:firstLine="0" w:firstLineChars="0"/>
        <w:jc w:val="center"/>
        <w:outlineLvl w:val="0"/>
        <w:rPr>
          <w:rFonts w:hint="eastAsia" w:ascii="方正小标宋_GBK" w:hAnsi="方正小标宋_GBK" w:eastAsia="方正小标宋_GBK" w:cs="方正小标宋_GBK"/>
          <w:sz w:val="32"/>
          <w:szCs w:val="32"/>
          <w:lang w:eastAsia="zh-CN"/>
        </w:rPr>
      </w:pPr>
      <w:r>
        <w:rPr>
          <w:rFonts w:hint="eastAsia" w:ascii="方正大标宋简体" w:hAnsi="方正大标宋简体" w:eastAsia="方正大标宋简体" w:cs="方正大标宋简体"/>
          <w:sz w:val="44"/>
          <w:szCs w:val="44"/>
          <w:highlight w:val="none"/>
        </w:rPr>
        <w:t>供应商</w:t>
      </w:r>
      <w:r>
        <w:rPr>
          <w:rFonts w:hint="eastAsia" w:ascii="方正大标宋简体" w:hAnsi="方正大标宋简体" w:eastAsia="方正大标宋简体" w:cs="方正大标宋简体"/>
          <w:b w:val="0"/>
          <w:kern w:val="2"/>
          <w:sz w:val="44"/>
          <w:szCs w:val="44"/>
          <w:highlight w:val="none"/>
        </w:rPr>
        <w:t>评标信息</w:t>
      </w:r>
    </w:p>
    <w:tbl>
      <w:tblPr>
        <w:tblStyle w:val="10"/>
        <w:tblW w:w="50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936"/>
        <w:gridCol w:w="5698"/>
      </w:tblGrid>
      <w:tr w14:paraId="3E0A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880" w:type="pct"/>
            <w:gridSpan w:val="2"/>
            <w:noWrap w:val="0"/>
            <w:vAlign w:val="center"/>
          </w:tcPr>
          <w:p w14:paraId="08CC6DA0">
            <w:pPr>
              <w:spacing w:beforeLines="0" w:afterLines="0" w:line="400" w:lineRule="exact"/>
              <w:jc w:val="center"/>
              <w:rPr>
                <w:rFonts w:ascii="黑体" w:hAnsi="黑体" w:eastAsia="黑体" w:cs="黑体"/>
                <w:color w:val="auto"/>
                <w:sz w:val="32"/>
                <w:szCs w:val="32"/>
              </w:rPr>
            </w:pPr>
            <w:r>
              <w:rPr>
                <w:rFonts w:hint="eastAsia" w:ascii="黑体" w:hAnsi="黑体" w:eastAsia="黑体" w:cs="黑体"/>
                <w:color w:val="auto"/>
                <w:sz w:val="32"/>
                <w:szCs w:val="32"/>
              </w:rPr>
              <w:t>项目名称</w:t>
            </w:r>
          </w:p>
        </w:tc>
        <w:tc>
          <w:tcPr>
            <w:tcW w:w="3119" w:type="pct"/>
            <w:noWrap w:val="0"/>
            <w:vAlign w:val="center"/>
          </w:tcPr>
          <w:p w14:paraId="7340D532">
            <w:pPr>
              <w:spacing w:beforeLines="0" w:afterLines="0" w:line="4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沙头街道机关工会2026年元旦、春节</w:t>
            </w:r>
          </w:p>
          <w:p w14:paraId="44391FFB">
            <w:pPr>
              <w:spacing w:beforeLines="0" w:afterLines="0" w:line="400" w:lineRule="exact"/>
              <w:jc w:val="center"/>
              <w:rPr>
                <w:rFonts w:ascii="黑体" w:hAnsi="黑体" w:eastAsia="黑体" w:cs="黑体"/>
                <w:color w:val="auto"/>
                <w:sz w:val="32"/>
                <w:szCs w:val="32"/>
              </w:rPr>
            </w:pPr>
            <w:r>
              <w:rPr>
                <w:rFonts w:hint="eastAsia" w:ascii="仿宋_GB2312" w:hAnsi="仿宋_GB2312" w:eastAsia="仿宋_GB2312" w:cs="仿宋_GB2312"/>
                <w:color w:val="auto"/>
                <w:kern w:val="2"/>
                <w:sz w:val="32"/>
                <w:szCs w:val="32"/>
                <w:lang w:val="en-US" w:eastAsia="zh-CN" w:bidi="ar-SA"/>
              </w:rPr>
              <w:t>慰问品采购服务项目</w:t>
            </w:r>
          </w:p>
        </w:tc>
      </w:tr>
      <w:tr w14:paraId="18B6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880" w:type="pct"/>
            <w:gridSpan w:val="2"/>
            <w:noWrap w:val="0"/>
            <w:vAlign w:val="center"/>
          </w:tcPr>
          <w:p w14:paraId="70350311">
            <w:pPr>
              <w:spacing w:beforeLines="0" w:afterLines="0" w:line="400" w:lineRule="exact"/>
              <w:jc w:val="center"/>
              <w:rPr>
                <w:rFonts w:ascii="黑体" w:hAnsi="黑体" w:eastAsia="黑体" w:cs="黑体"/>
                <w:color w:val="auto"/>
                <w:sz w:val="32"/>
                <w:szCs w:val="32"/>
              </w:rPr>
            </w:pPr>
            <w:r>
              <w:rPr>
                <w:rFonts w:hint="eastAsia" w:ascii="黑体" w:hAnsi="黑体" w:eastAsia="黑体" w:cs="黑体"/>
                <w:color w:val="auto"/>
                <w:sz w:val="32"/>
                <w:szCs w:val="32"/>
              </w:rPr>
              <w:t>评判要素</w:t>
            </w:r>
          </w:p>
        </w:tc>
        <w:tc>
          <w:tcPr>
            <w:tcW w:w="3119" w:type="pct"/>
            <w:noWrap w:val="0"/>
            <w:vAlign w:val="center"/>
          </w:tcPr>
          <w:p w14:paraId="053ECB51">
            <w:pPr>
              <w:spacing w:beforeLines="0" w:afterLines="0" w:line="40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评分标准</w:t>
            </w:r>
          </w:p>
        </w:tc>
      </w:tr>
      <w:tr w14:paraId="6D00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880" w:type="pct"/>
            <w:gridSpan w:val="2"/>
            <w:noWrap w:val="0"/>
            <w:vAlign w:val="center"/>
          </w:tcPr>
          <w:p w14:paraId="55386B0A">
            <w:pPr>
              <w:widowControl/>
              <w:wordWrap w:val="0"/>
              <w:spacing w:beforeLines="0" w:afterLines="0" w:line="400" w:lineRule="exact"/>
              <w:jc w:val="left"/>
              <w:textAlignment w:val="top"/>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（一）价格</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分）</w:t>
            </w:r>
          </w:p>
        </w:tc>
        <w:tc>
          <w:tcPr>
            <w:tcW w:w="3119" w:type="pct"/>
            <w:noWrap w:val="0"/>
            <w:vAlign w:val="center"/>
          </w:tcPr>
          <w:p w14:paraId="45D2BC5D">
            <w:pPr>
              <w:keepNext w:val="0"/>
              <w:keepLines w:val="0"/>
              <w:pageBreakBefore w:val="0"/>
              <w:widowControl/>
              <w:kinsoku/>
              <w:wordWrap w:val="0"/>
              <w:overflowPunct/>
              <w:topLinePunct w:val="0"/>
              <w:autoSpaceDE/>
              <w:autoSpaceDN/>
              <w:bidi w:val="0"/>
              <w:adjustRightInd/>
              <w:snapToGrid/>
              <w:spacing w:line="400" w:lineRule="exact"/>
              <w:jc w:val="both"/>
              <w:textAlignment w:val="top"/>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价格分计算方法</w:t>
            </w:r>
            <w:r>
              <w:rPr>
                <w:rFonts w:hint="eastAsia" w:ascii="仿宋_GB2312" w:hAnsi="仿宋_GB2312" w:eastAsia="仿宋_GB2312" w:cs="仿宋_GB2312"/>
                <w:color w:val="auto"/>
                <w:kern w:val="2"/>
                <w:sz w:val="28"/>
                <w:szCs w:val="28"/>
                <w:highlight w:val="none"/>
              </w:rPr>
              <w:t>：</w:t>
            </w:r>
          </w:p>
          <w:p w14:paraId="0E303D12">
            <w:pPr>
              <w:keepNext w:val="0"/>
              <w:keepLines w:val="0"/>
              <w:pageBreakBefore w:val="0"/>
              <w:widowControl/>
              <w:kinsoku/>
              <w:wordWrap w:val="0"/>
              <w:overflowPunct/>
              <w:topLinePunct w:val="0"/>
              <w:autoSpaceDE/>
              <w:autoSpaceDN/>
              <w:bidi w:val="0"/>
              <w:adjustRightInd/>
              <w:snapToGrid/>
              <w:spacing w:beforeLines="0" w:afterLines="0" w:line="400" w:lineRule="exact"/>
              <w:ind w:firstLine="0" w:firstLineChars="0"/>
              <w:jc w:val="both"/>
              <w:textAlignment w:val="top"/>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采用低价优先法计算，即满足招标文件要求且投标价格最低的投标报价为评标基准价，其价格分为满分。其他投标人的价格分统一按照下列公式计算</w:t>
            </w:r>
            <w:r>
              <w:rPr>
                <w:rFonts w:hint="eastAsia" w:ascii="仿宋_GB2312" w:hAnsi="仿宋_GB2312" w:eastAsia="仿宋_GB2312" w:cs="仿宋_GB2312"/>
                <w:color w:val="auto"/>
                <w:kern w:val="2"/>
                <w:sz w:val="28"/>
                <w:szCs w:val="28"/>
                <w:highlight w:val="none"/>
              </w:rPr>
              <w:t>：</w:t>
            </w:r>
          </w:p>
          <w:p w14:paraId="406BB8B3">
            <w:pPr>
              <w:keepNext w:val="0"/>
              <w:keepLines w:val="0"/>
              <w:pageBreakBefore w:val="0"/>
              <w:widowControl/>
              <w:kinsoku/>
              <w:wordWrap w:val="0"/>
              <w:overflowPunct/>
              <w:topLinePunct w:val="0"/>
              <w:autoSpaceDE/>
              <w:autoSpaceDN/>
              <w:bidi w:val="0"/>
              <w:adjustRightInd/>
              <w:snapToGrid/>
              <w:spacing w:beforeLines="0" w:afterLines="0" w:line="400" w:lineRule="exact"/>
              <w:jc w:val="both"/>
              <w:textAlignment w:val="top"/>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SA"/>
              </w:rPr>
              <w:t>投标报价得分=(评标基准价／投标报价)×10</w:t>
            </w:r>
          </w:p>
        </w:tc>
      </w:tr>
      <w:tr w14:paraId="1751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20" w:type="pct"/>
            <w:vMerge w:val="restart"/>
            <w:noWrap w:val="0"/>
            <w:vAlign w:val="center"/>
          </w:tcPr>
          <w:p w14:paraId="7469C9B0">
            <w:pPr>
              <w:widowControl/>
              <w:numPr>
                <w:ilvl w:val="0"/>
                <w:numId w:val="1"/>
              </w:numPr>
              <w:wordWrap w:val="0"/>
              <w:spacing w:beforeLines="0" w:afterLines="0" w:line="400" w:lineRule="exact"/>
              <w:jc w:val="left"/>
              <w:textAlignment w:val="top"/>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技术部分</w:t>
            </w:r>
          </w:p>
          <w:p w14:paraId="57E086CB">
            <w:pPr>
              <w:widowControl/>
              <w:numPr>
                <w:ilvl w:val="0"/>
                <w:numId w:val="0"/>
              </w:numPr>
              <w:wordWrap w:val="0"/>
              <w:spacing w:beforeLines="0" w:afterLines="0" w:line="400" w:lineRule="exact"/>
              <w:jc w:val="left"/>
              <w:textAlignment w:val="top"/>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60</w:t>
            </w:r>
            <w:r>
              <w:rPr>
                <w:rFonts w:hint="eastAsia" w:ascii="仿宋_GB2312" w:hAnsi="仿宋_GB2312" w:eastAsia="仿宋_GB2312" w:cs="仿宋_GB2312"/>
                <w:color w:val="auto"/>
                <w:sz w:val="28"/>
                <w:szCs w:val="28"/>
              </w:rPr>
              <w:t>分）</w:t>
            </w:r>
          </w:p>
        </w:tc>
        <w:tc>
          <w:tcPr>
            <w:tcW w:w="1059" w:type="pct"/>
            <w:noWrap w:val="0"/>
            <w:vAlign w:val="center"/>
          </w:tcPr>
          <w:p w14:paraId="30A734C3">
            <w:pPr>
              <w:widowControl/>
              <w:wordWrap w:val="0"/>
              <w:spacing w:beforeLines="0" w:afterLines="0" w:line="400" w:lineRule="exact"/>
              <w:jc w:val="left"/>
              <w:textAlignment w:val="top"/>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1.项目服务方案（</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分）</w:t>
            </w:r>
          </w:p>
        </w:tc>
        <w:tc>
          <w:tcPr>
            <w:tcW w:w="3119" w:type="pct"/>
            <w:noWrap w:val="0"/>
            <w:vAlign w:val="center"/>
          </w:tcPr>
          <w:p w14:paraId="7CB9848D">
            <w:pPr>
              <w:keepNext w:val="0"/>
              <w:keepLines w:val="0"/>
              <w:pageBreakBefore w:val="0"/>
              <w:widowControl w:val="0"/>
              <w:kinsoku/>
              <w:wordWrap/>
              <w:overflowPunct/>
              <w:topLinePunct w:val="0"/>
              <w:autoSpaceDE/>
              <w:autoSpaceDN/>
              <w:bidi w:val="0"/>
              <w:adjustRightInd/>
              <w:snapToGrid/>
              <w:spacing w:beforeLines="-2147483648" w:afterLines="-2147483648" w:line="500" w:lineRule="exact"/>
              <w:ind w:right="0"/>
              <w:jc w:val="both"/>
              <w:textAlignment w:val="auto"/>
              <w:rPr>
                <w:rFonts w:hint="eastAsia" w:ascii="黑体" w:hAnsi="黑体" w:eastAsia="黑体" w:cs="黑体"/>
                <w:color w:val="auto"/>
                <w:kern w:val="2"/>
                <w:sz w:val="28"/>
                <w:szCs w:val="28"/>
                <w:highlight w:val="none"/>
              </w:rPr>
            </w:pPr>
            <w:r>
              <w:rPr>
                <w:rFonts w:hint="eastAsia" w:ascii="黑体" w:hAnsi="黑体" w:eastAsia="黑体" w:cs="黑体"/>
                <w:b w:val="0"/>
                <w:bCs w:val="0"/>
                <w:color w:val="auto"/>
                <w:kern w:val="2"/>
                <w:sz w:val="28"/>
                <w:szCs w:val="28"/>
                <w:highlight w:val="none"/>
                <w:lang w:eastAsia="zh-CN"/>
              </w:rPr>
              <w:t>一、</w:t>
            </w:r>
            <w:r>
              <w:rPr>
                <w:rFonts w:hint="eastAsia" w:ascii="黑体" w:hAnsi="黑体" w:eastAsia="黑体" w:cs="黑体"/>
                <w:b w:val="0"/>
                <w:bCs w:val="0"/>
                <w:color w:val="auto"/>
                <w:kern w:val="2"/>
                <w:sz w:val="28"/>
                <w:szCs w:val="28"/>
                <w:highlight w:val="none"/>
              </w:rPr>
              <w:t>考察内容</w:t>
            </w:r>
          </w:p>
          <w:p w14:paraId="18A37E86">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评审委员会根据响应供应商针对本项目提供的项目服务方案进行评审，包含但不限于以下内容：</w:t>
            </w:r>
          </w:p>
          <w:p w14:paraId="314B261A">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）慰问品套餐设计方案（主题创意、产品搭配合理性、节日氛围与冬季实用性体现）</w:t>
            </w:r>
            <w:r>
              <w:rPr>
                <w:rFonts w:hint="eastAsia" w:ascii="仿宋_GB2312" w:hAnsi="仿宋_GB2312" w:eastAsia="仿宋_GB2312" w:cs="仿宋_GB2312"/>
                <w:sz w:val="28"/>
                <w:szCs w:val="28"/>
                <w:lang w:eastAsia="zh-CN"/>
              </w:rPr>
              <w:t>。</w:t>
            </w:r>
          </w:p>
          <w:p w14:paraId="60F053F7">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）产品选品清单（品牌、型号、市场参考价、性价比分析）</w:t>
            </w:r>
            <w:r>
              <w:rPr>
                <w:rFonts w:hint="eastAsia" w:ascii="仿宋_GB2312" w:hAnsi="仿宋_GB2312" w:eastAsia="仿宋_GB2312" w:cs="仿宋_GB2312"/>
                <w:sz w:val="28"/>
                <w:szCs w:val="28"/>
                <w:lang w:eastAsia="zh-CN"/>
              </w:rPr>
              <w:t>。</w:t>
            </w:r>
          </w:p>
          <w:p w14:paraId="6D393DEF">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）包装设计方案（节日元素、便携性、坚固度）</w:t>
            </w:r>
            <w:r>
              <w:rPr>
                <w:rFonts w:hint="eastAsia" w:ascii="仿宋_GB2312" w:hAnsi="仿宋_GB2312" w:eastAsia="仿宋_GB2312" w:cs="仿宋_GB2312"/>
                <w:sz w:val="28"/>
                <w:szCs w:val="28"/>
                <w:lang w:eastAsia="zh-CN"/>
              </w:rPr>
              <w:t>。</w:t>
            </w:r>
          </w:p>
          <w:p w14:paraId="74F196BB">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）配送与分发服务流程。</w:t>
            </w:r>
          </w:p>
          <w:p w14:paraId="674ACF95">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二</w:t>
            </w:r>
            <w:r>
              <w:rPr>
                <w:rFonts w:hint="eastAsia" w:ascii="黑体" w:hAnsi="黑体" w:eastAsia="黑体" w:cs="黑体"/>
                <w:b w:val="0"/>
                <w:bCs w:val="0"/>
                <w:color w:val="auto"/>
                <w:sz w:val="28"/>
                <w:szCs w:val="28"/>
                <w:highlight w:val="none"/>
                <w:lang w:eastAsia="zh-CN"/>
              </w:rPr>
              <w:t>、</w:t>
            </w:r>
            <w:r>
              <w:rPr>
                <w:rFonts w:hint="eastAsia" w:ascii="黑体" w:hAnsi="黑体" w:eastAsia="黑体" w:cs="黑体"/>
                <w:b w:val="0"/>
                <w:bCs w:val="0"/>
                <w:color w:val="auto"/>
                <w:sz w:val="28"/>
                <w:szCs w:val="28"/>
                <w:highlight w:val="none"/>
              </w:rPr>
              <w:t>评分</w:t>
            </w:r>
            <w:r>
              <w:rPr>
                <w:rFonts w:hint="eastAsia" w:ascii="黑体" w:hAnsi="黑体" w:eastAsia="黑体" w:cs="黑体"/>
                <w:b w:val="0"/>
                <w:bCs w:val="0"/>
                <w:color w:val="auto"/>
                <w:sz w:val="28"/>
                <w:szCs w:val="28"/>
                <w:highlight w:val="none"/>
                <w:lang w:val="en-US" w:eastAsia="zh-CN"/>
              </w:rPr>
              <w:t>标准</w:t>
            </w:r>
          </w:p>
          <w:p w14:paraId="7E4E86CF">
            <w:pPr>
              <w:keepNext w:val="0"/>
              <w:keepLines w:val="0"/>
              <w:pageBreakBefore w:val="0"/>
              <w:widowControl w:val="0"/>
              <w:kinsoku/>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考察以上方案，满足以上四项得5分，满足任意三项得4分，满足任意两项得3分，满足任意一项得1分，其他情况不得分。</w:t>
            </w:r>
          </w:p>
          <w:p w14:paraId="27F0DCD0">
            <w:pPr>
              <w:keepNext w:val="0"/>
              <w:keepLines w:val="0"/>
              <w:pageBreakBefore w:val="0"/>
              <w:widowControl w:val="0"/>
              <w:kinsoku/>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在此基础上，评审委员会根据采购文件的需求和响应文件响应情况进行进一步评分：</w:t>
            </w:r>
          </w:p>
          <w:p w14:paraId="507C9DA8">
            <w:pPr>
              <w:keepNext w:val="0"/>
              <w:keepLines w:val="0"/>
              <w:pageBreakBefore w:val="0"/>
              <w:widowControl w:val="0"/>
              <w:kinsoku/>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评分标准：方案紧密贴合需求，设计新颖实用，产品搭配科学，流程清晰高效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加1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w:t>
            </w:r>
            <w:r>
              <w:rPr>
                <w:rFonts w:hint="eastAsia" w:ascii="仿宋_GB2312" w:hAnsi="仿宋_GB2312" w:eastAsia="仿宋_GB2312" w:cs="仿宋_GB2312"/>
                <w:sz w:val="28"/>
                <w:szCs w:val="28"/>
                <w:lang w:eastAsia="zh-CN"/>
              </w:rPr>
              <w:t>。</w:t>
            </w:r>
          </w:p>
          <w:p w14:paraId="1C4DF79B">
            <w:pPr>
              <w:keepNext w:val="0"/>
              <w:keepLines w:val="0"/>
              <w:pageBreakBefore w:val="0"/>
              <w:widowControl w:val="0"/>
              <w:kinsoku/>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评分标准：方案较贴合需求，设计较合理，产品搭配得当，流程较为清晰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加</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分</w:t>
            </w:r>
            <w:r>
              <w:rPr>
                <w:rFonts w:hint="eastAsia" w:ascii="仿宋_GB2312" w:hAnsi="仿宋_GB2312" w:eastAsia="仿宋_GB2312" w:cs="仿宋_GB2312"/>
                <w:sz w:val="28"/>
                <w:szCs w:val="28"/>
                <w:lang w:eastAsia="zh-CN"/>
              </w:rPr>
              <w:t>。</w:t>
            </w:r>
          </w:p>
          <w:p w14:paraId="55E8BB32">
            <w:pPr>
              <w:keepNext w:val="0"/>
              <w:keepLines w:val="0"/>
              <w:pageBreakBefore w:val="0"/>
              <w:widowControl w:val="0"/>
              <w:kinsoku/>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评分标准：方案基本符合要求，设计一般，产品搭配及流程基本可行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加</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w:t>
            </w:r>
            <w:r>
              <w:rPr>
                <w:rFonts w:hint="eastAsia" w:ascii="仿宋_GB2312" w:hAnsi="仿宋_GB2312" w:eastAsia="仿宋_GB2312" w:cs="仿宋_GB2312"/>
                <w:sz w:val="28"/>
                <w:szCs w:val="28"/>
                <w:lang w:eastAsia="zh-CN"/>
              </w:rPr>
              <w:t>。</w:t>
            </w:r>
          </w:p>
          <w:p w14:paraId="53A70845">
            <w:pPr>
              <w:keepNext w:val="0"/>
              <w:keepLines w:val="0"/>
              <w:pageBreakBefore w:val="0"/>
              <w:widowControl w:val="0"/>
              <w:kinsoku/>
              <w:wordWrap/>
              <w:overflowPunct/>
              <w:topLinePunct w:val="0"/>
              <w:autoSpaceDE/>
              <w:autoSpaceDN/>
              <w:bidi w:val="0"/>
              <w:adjustRightInd/>
              <w:snapToGrid/>
              <w:spacing w:beforeLines="-2147483648" w:afterLines="-2147483648" w:line="500" w:lineRule="exact"/>
              <w:ind w:left="0" w:right="0" w:firstLine="0" w:firstLineChars="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评分标准：方案不完整、不合理，或未提供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不加分。</w:t>
            </w:r>
          </w:p>
        </w:tc>
      </w:tr>
      <w:tr w14:paraId="75AA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0" w:type="pct"/>
            <w:vMerge w:val="continue"/>
            <w:noWrap w:val="0"/>
            <w:vAlign w:val="center"/>
          </w:tcPr>
          <w:p w14:paraId="37835A80">
            <w:pPr>
              <w:widowControl/>
              <w:wordWrap w:val="0"/>
              <w:spacing w:beforeLines="0" w:afterLines="0" w:line="400" w:lineRule="exact"/>
              <w:jc w:val="left"/>
              <w:textAlignment w:val="top"/>
              <w:rPr>
                <w:rFonts w:hint="eastAsia" w:ascii="仿宋_GB2312" w:hAnsi="仿宋_GB2312" w:eastAsia="仿宋_GB2312" w:cs="仿宋_GB2312"/>
                <w:color w:val="auto"/>
                <w:sz w:val="28"/>
                <w:szCs w:val="28"/>
              </w:rPr>
            </w:pPr>
          </w:p>
        </w:tc>
        <w:tc>
          <w:tcPr>
            <w:tcW w:w="1059" w:type="pct"/>
            <w:noWrap w:val="0"/>
            <w:vAlign w:val="center"/>
          </w:tcPr>
          <w:p w14:paraId="69EFDDF5">
            <w:pPr>
              <w:widowControl/>
              <w:wordWrap w:val="0"/>
              <w:spacing w:beforeLines="0" w:afterLines="0" w:line="400" w:lineRule="exact"/>
              <w:jc w:val="left"/>
              <w:textAlignment w:val="top"/>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sz w:val="28"/>
                <w:szCs w:val="28"/>
              </w:rPr>
              <w:t>质量（完成时间、安全、应急）保障措施及方案</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15分</w:t>
            </w:r>
            <w:r>
              <w:rPr>
                <w:rFonts w:hint="eastAsia" w:ascii="仿宋_GB2312" w:hAnsi="仿宋_GB2312" w:eastAsia="仿宋_GB2312" w:cs="仿宋_GB2312"/>
                <w:color w:val="auto"/>
                <w:sz w:val="28"/>
                <w:szCs w:val="28"/>
              </w:rPr>
              <w:t>）</w:t>
            </w:r>
          </w:p>
        </w:tc>
        <w:tc>
          <w:tcPr>
            <w:tcW w:w="3119" w:type="pct"/>
            <w:noWrap w:val="0"/>
            <w:vAlign w:val="center"/>
          </w:tcPr>
          <w:p w14:paraId="5FDDE0E6">
            <w:pPr>
              <w:keepNext w:val="0"/>
              <w:keepLines w:val="0"/>
              <w:pageBreakBefore w:val="0"/>
              <w:widowControl w:val="0"/>
              <w:kinsoku/>
              <w:wordWrap/>
              <w:overflowPunct/>
              <w:topLinePunct w:val="0"/>
              <w:autoSpaceDE/>
              <w:autoSpaceDN/>
              <w:bidi w:val="0"/>
              <w:adjustRightInd/>
              <w:snapToGrid/>
              <w:spacing w:beforeLines="-2147483648" w:afterLines="-2147483648" w:line="500" w:lineRule="exact"/>
              <w:ind w:right="0"/>
              <w:jc w:val="both"/>
              <w:textAlignment w:val="auto"/>
              <w:rPr>
                <w:rFonts w:hint="eastAsia" w:ascii="黑体" w:hAnsi="黑体" w:eastAsia="黑体" w:cs="黑体"/>
                <w:color w:val="auto"/>
                <w:kern w:val="2"/>
                <w:sz w:val="28"/>
                <w:szCs w:val="28"/>
                <w:highlight w:val="none"/>
              </w:rPr>
            </w:pPr>
            <w:r>
              <w:rPr>
                <w:rFonts w:hint="eastAsia" w:ascii="黑体" w:hAnsi="黑体" w:eastAsia="黑体" w:cs="黑体"/>
                <w:b w:val="0"/>
                <w:bCs w:val="0"/>
                <w:color w:val="auto"/>
                <w:kern w:val="2"/>
                <w:sz w:val="28"/>
                <w:szCs w:val="28"/>
                <w:highlight w:val="none"/>
                <w:lang w:eastAsia="zh-CN"/>
              </w:rPr>
              <w:t>一、</w:t>
            </w:r>
            <w:r>
              <w:rPr>
                <w:rFonts w:hint="eastAsia" w:ascii="黑体" w:hAnsi="黑体" w:eastAsia="黑体" w:cs="黑体"/>
                <w:b w:val="0"/>
                <w:bCs w:val="0"/>
                <w:color w:val="auto"/>
                <w:kern w:val="2"/>
                <w:sz w:val="28"/>
                <w:szCs w:val="28"/>
                <w:highlight w:val="none"/>
              </w:rPr>
              <w:t>考察内容</w:t>
            </w:r>
          </w:p>
          <w:p w14:paraId="17B89CC5">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评审委员会根据响应供应商针对本项目提供的质量保障措施及方案进行评审，包含但不限于以下内容：</w:t>
            </w:r>
          </w:p>
          <w:p w14:paraId="415279E4">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）供货保障措施：备货能力、供应链稳定性、确保按时交付的措施</w:t>
            </w:r>
            <w:r>
              <w:rPr>
                <w:rFonts w:hint="eastAsia" w:ascii="仿宋_GB2312" w:hAnsi="仿宋_GB2312" w:eastAsia="仿宋_GB2312" w:cs="仿宋_GB2312"/>
                <w:sz w:val="28"/>
                <w:szCs w:val="28"/>
                <w:lang w:eastAsia="zh-CN"/>
              </w:rPr>
              <w:t>。</w:t>
            </w:r>
          </w:p>
          <w:p w14:paraId="3AF540E5">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）质量安全保障措施：产品质检流程、正品渠道证明、食品安全（如涉及）管控方案。</w:t>
            </w:r>
          </w:p>
          <w:p w14:paraId="6E7A7576">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）应急保障措施：对缺货、配送延误、产品瑕疵等突发情况的应急处理预案。</w:t>
            </w:r>
          </w:p>
          <w:p w14:paraId="6FFCA2F0">
            <w:pPr>
              <w:keepNext w:val="0"/>
              <w:keepLines w:val="0"/>
              <w:pageBreakBefore w:val="0"/>
              <w:widowControl w:val="0"/>
              <w:kinsoku/>
              <w:overflowPunct/>
              <w:topLinePunct w:val="0"/>
              <w:autoSpaceDE/>
              <w:autoSpaceDN/>
              <w:bidi w:val="0"/>
              <w:adjustRightInd/>
              <w:snapToGrid/>
              <w:spacing w:beforeLines="-2147483648" w:afterLines="-2147483648" w:line="500" w:lineRule="exact"/>
              <w:jc w:val="both"/>
              <w:textAlignment w:val="auto"/>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二、</w:t>
            </w:r>
            <w:r>
              <w:rPr>
                <w:rFonts w:hint="eastAsia" w:ascii="黑体" w:hAnsi="黑体" w:eastAsia="黑体" w:cs="黑体"/>
                <w:b w:val="0"/>
                <w:bCs w:val="0"/>
                <w:sz w:val="28"/>
                <w:szCs w:val="28"/>
                <w:highlight w:val="none"/>
                <w:lang w:eastAsia="zh-CN"/>
              </w:rPr>
              <w:t>评分标准</w:t>
            </w:r>
          </w:p>
          <w:p w14:paraId="255751B8">
            <w:pPr>
              <w:keepNext w:val="0"/>
              <w:keepLines w:val="0"/>
              <w:pageBreakBefore w:val="0"/>
              <w:widowControl w:val="0"/>
              <w:kinsoku/>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考察以上方案，满足以上三项得5分，满足任意两项得3分，满足任意一项得1分，其他情况不得分</w:t>
            </w:r>
            <w:r>
              <w:rPr>
                <w:rFonts w:hint="eastAsia" w:ascii="仿宋_GB2312" w:hAnsi="仿宋_GB2312" w:eastAsia="仿宋_GB2312" w:cs="仿宋_GB2312"/>
                <w:sz w:val="28"/>
                <w:szCs w:val="28"/>
                <w:lang w:eastAsia="zh-CN"/>
              </w:rPr>
              <w:t>。</w:t>
            </w:r>
          </w:p>
          <w:p w14:paraId="06FBD9AB">
            <w:pPr>
              <w:keepNext w:val="0"/>
              <w:keepLines w:val="0"/>
              <w:pageBreakBefore w:val="0"/>
              <w:widowControl w:val="0"/>
              <w:kinsoku/>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在此基础上，评审委员会根据采购文件的需求和响应文件响应情况进行进一步评分：</w:t>
            </w:r>
          </w:p>
          <w:p w14:paraId="51908ED4">
            <w:pPr>
              <w:keepNext w:val="0"/>
              <w:keepLines w:val="0"/>
              <w:pageBreakBefore w:val="0"/>
              <w:widowControl w:val="0"/>
              <w:kinsoku/>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“优”</w:t>
            </w:r>
            <w:r>
              <w:rPr>
                <w:rFonts w:hint="eastAsia" w:ascii="仿宋_GB2312" w:hAnsi="仿宋_GB2312" w:eastAsia="仿宋_GB2312" w:cs="仿宋_GB2312"/>
                <w:sz w:val="28"/>
                <w:szCs w:val="28"/>
              </w:rPr>
              <w:t>评分标准：措施全面、具体、可操作性强，能有效保障项目顺利实施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加10分</w:t>
            </w:r>
            <w:r>
              <w:rPr>
                <w:rFonts w:hint="eastAsia" w:ascii="仿宋_GB2312" w:hAnsi="仿宋_GB2312" w:eastAsia="仿宋_GB2312" w:cs="仿宋_GB2312"/>
                <w:sz w:val="28"/>
                <w:szCs w:val="28"/>
                <w:lang w:eastAsia="zh-CN"/>
              </w:rPr>
              <w:t>。</w:t>
            </w:r>
          </w:p>
          <w:p w14:paraId="1C0241E2">
            <w:pPr>
              <w:keepNext w:val="0"/>
              <w:keepLines w:val="0"/>
              <w:pageBreakBefore w:val="0"/>
              <w:widowControl w:val="0"/>
              <w:kinsoku/>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“良”</w:t>
            </w:r>
            <w:r>
              <w:rPr>
                <w:rFonts w:hint="eastAsia" w:ascii="仿宋_GB2312" w:hAnsi="仿宋_GB2312" w:eastAsia="仿宋_GB2312" w:cs="仿宋_GB2312"/>
                <w:sz w:val="28"/>
                <w:szCs w:val="28"/>
              </w:rPr>
              <w:t>评分标准：措施较全面，具有一定的操作性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加5分</w:t>
            </w:r>
            <w:r>
              <w:rPr>
                <w:rFonts w:hint="eastAsia" w:ascii="仿宋_GB2312" w:hAnsi="仿宋_GB2312" w:eastAsia="仿宋_GB2312" w:cs="仿宋_GB2312"/>
                <w:sz w:val="28"/>
                <w:szCs w:val="28"/>
                <w:lang w:eastAsia="zh-CN"/>
              </w:rPr>
              <w:t>。</w:t>
            </w:r>
          </w:p>
          <w:p w14:paraId="69958EDD">
            <w:pPr>
              <w:keepNext w:val="0"/>
              <w:keepLines w:val="0"/>
              <w:pageBreakBefore w:val="0"/>
              <w:widowControl w:val="0"/>
              <w:kinsoku/>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“中”</w:t>
            </w:r>
            <w:r>
              <w:rPr>
                <w:rFonts w:hint="eastAsia" w:ascii="仿宋_GB2312" w:hAnsi="仿宋_GB2312" w:eastAsia="仿宋_GB2312" w:cs="仿宋_GB2312"/>
                <w:sz w:val="28"/>
                <w:szCs w:val="28"/>
              </w:rPr>
              <w:t>评分标准：措施基本可行，但不够详尽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加3分</w:t>
            </w:r>
            <w:r>
              <w:rPr>
                <w:rFonts w:hint="eastAsia" w:ascii="仿宋_GB2312" w:hAnsi="仿宋_GB2312" w:eastAsia="仿宋_GB2312" w:cs="仿宋_GB2312"/>
                <w:sz w:val="28"/>
                <w:szCs w:val="28"/>
                <w:lang w:eastAsia="zh-CN"/>
              </w:rPr>
              <w:t>。</w:t>
            </w:r>
          </w:p>
          <w:p w14:paraId="370DBE91">
            <w:pPr>
              <w:keepNext w:val="0"/>
              <w:keepLines w:val="0"/>
              <w:pageBreakBefore w:val="0"/>
              <w:widowControl w:val="0"/>
              <w:kinsoku/>
              <w:wordWrap/>
              <w:overflowPunct/>
              <w:topLinePunct w:val="0"/>
              <w:autoSpaceDE/>
              <w:autoSpaceDN/>
              <w:bidi w:val="0"/>
              <w:adjustRightInd/>
              <w:snapToGrid/>
              <w:spacing w:beforeLines="-2147483648" w:afterLines="-2147483648" w:line="500" w:lineRule="exact"/>
              <w:ind w:left="0" w:right="0" w:firstLine="0" w:firstLineChars="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sz w:val="28"/>
                <w:szCs w:val="28"/>
                <w:lang w:eastAsia="zh-CN"/>
              </w:rPr>
              <w:t>“差”</w:t>
            </w:r>
            <w:r>
              <w:rPr>
                <w:rFonts w:hint="eastAsia" w:ascii="仿宋_GB2312" w:hAnsi="仿宋_GB2312" w:eastAsia="仿宋_GB2312" w:cs="仿宋_GB2312"/>
                <w:sz w:val="28"/>
                <w:szCs w:val="28"/>
              </w:rPr>
              <w:t>评分标准：措施不完整、不可行，或未提供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不加分。</w:t>
            </w:r>
          </w:p>
        </w:tc>
      </w:tr>
      <w:tr w14:paraId="3443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820" w:type="pct"/>
            <w:vMerge w:val="continue"/>
            <w:noWrap w:val="0"/>
            <w:vAlign w:val="center"/>
          </w:tcPr>
          <w:p w14:paraId="501FB9DB">
            <w:pPr>
              <w:keepNext w:val="0"/>
              <w:keepLines w:val="0"/>
              <w:pageBreakBefore w:val="0"/>
              <w:widowControl w:val="0"/>
              <w:kinsoku/>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rPr>
            </w:pPr>
          </w:p>
        </w:tc>
        <w:tc>
          <w:tcPr>
            <w:tcW w:w="1059" w:type="pct"/>
            <w:noWrap w:val="0"/>
            <w:vAlign w:val="center"/>
          </w:tcPr>
          <w:p w14:paraId="764080B8">
            <w:pPr>
              <w:widowControl/>
              <w:wordWrap w:val="0"/>
              <w:spacing w:beforeLines="0" w:afterLines="0" w:line="400" w:lineRule="exact"/>
              <w:jc w:val="left"/>
              <w:textAlignment w:val="top"/>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3.产品质量承诺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10分</w:t>
            </w:r>
            <w:r>
              <w:rPr>
                <w:rFonts w:hint="eastAsia" w:ascii="仿宋_GB2312" w:hAnsi="仿宋_GB2312" w:eastAsia="仿宋_GB2312" w:cs="仿宋_GB2312"/>
                <w:color w:val="auto"/>
                <w:sz w:val="28"/>
                <w:szCs w:val="28"/>
                <w:lang w:eastAsia="zh-CN"/>
              </w:rPr>
              <w:t>）</w:t>
            </w:r>
          </w:p>
        </w:tc>
        <w:tc>
          <w:tcPr>
            <w:tcW w:w="3119" w:type="pct"/>
            <w:noWrap w:val="0"/>
            <w:vAlign w:val="center"/>
          </w:tcPr>
          <w:p w14:paraId="47BE533E">
            <w:pPr>
              <w:keepNext w:val="0"/>
              <w:keepLines w:val="0"/>
              <w:pageBreakBefore w:val="0"/>
              <w:widowControl/>
              <w:kinsoku/>
              <w:wordWrap w:val="0"/>
              <w:overflowPunct/>
              <w:topLinePunct w:val="0"/>
              <w:autoSpaceDE/>
              <w:autoSpaceDN/>
              <w:bidi w:val="0"/>
              <w:adjustRightInd/>
              <w:snapToGrid/>
              <w:spacing w:beforeLines="0" w:afterLines="0" w:line="400" w:lineRule="exact"/>
              <w:ind w:left="0" w:right="0" w:firstLine="0" w:firstLineChars="0"/>
              <w:jc w:val="both"/>
              <w:textAlignment w:val="top"/>
              <w:rPr>
                <w:rFonts w:hint="eastAsia" w:ascii="黑体" w:hAnsi="黑体" w:eastAsia="黑体" w:cs="黑体"/>
                <w:b w:val="0"/>
                <w:bCs w:val="0"/>
                <w:color w:val="auto"/>
                <w:kern w:val="2"/>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rPr>
              <w:t>一、考察内容</w:t>
            </w:r>
          </w:p>
          <w:p w14:paraId="6430B4C0">
            <w:pPr>
              <w:keepNext w:val="0"/>
              <w:keepLines w:val="0"/>
              <w:pageBreakBefore w:val="0"/>
              <w:widowControl w:val="0"/>
              <w:kinsoku/>
              <w:wordWrap w:val="0"/>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响应供应商须就所提供产品的质量作出明确承诺： </w:t>
            </w:r>
          </w:p>
          <w:p w14:paraId="2FB8076A">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 xml:space="preserve">承诺所有产品均为全新正品，来源合法，符合国家质量标准和安全规范。 </w:t>
            </w:r>
          </w:p>
          <w:p w14:paraId="2CC4187F">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承诺食品类产品（如涉及）保质期符合要求，并提供相关批次检验报告（可中标后提供）。</w:t>
            </w:r>
          </w:p>
          <w:p w14:paraId="67D1B1F8">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（三）承诺电器类产品（如涉及）享受全国联保服务，并提供正规购买渠道证明。</w:t>
            </w:r>
          </w:p>
          <w:p w14:paraId="5D342E5F">
            <w:pPr>
              <w:keepNext w:val="0"/>
              <w:keepLines w:val="0"/>
              <w:pageBreakBefore w:val="0"/>
              <w:widowControl w:val="0"/>
              <w:kinsoku/>
              <w:overflowPunct/>
              <w:topLinePunct w:val="0"/>
              <w:autoSpaceDE/>
              <w:autoSpaceDN/>
              <w:bidi w:val="0"/>
              <w:adjustRightInd/>
              <w:snapToGrid/>
              <w:spacing w:beforeLines="0" w:afterLines="0" w:line="400" w:lineRule="exact"/>
              <w:jc w:val="both"/>
              <w:textAlignment w:val="auto"/>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二、</w:t>
            </w:r>
            <w:r>
              <w:rPr>
                <w:rFonts w:hint="eastAsia" w:ascii="黑体" w:hAnsi="黑体" w:eastAsia="黑体" w:cs="黑体"/>
                <w:b w:val="0"/>
                <w:bCs w:val="0"/>
                <w:sz w:val="28"/>
                <w:szCs w:val="28"/>
                <w:highlight w:val="none"/>
                <w:lang w:eastAsia="zh-CN"/>
              </w:rPr>
              <w:t>评分标准</w:t>
            </w:r>
          </w:p>
          <w:p w14:paraId="1EFB1DB2">
            <w:pPr>
              <w:keepNext w:val="0"/>
              <w:keepLines w:val="0"/>
              <w:pageBreakBefore w:val="0"/>
              <w:widowControl w:val="0"/>
              <w:kinsoku/>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投标人承诺以上全部三项的得</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分，缺项不得分</w:t>
            </w:r>
            <w:r>
              <w:rPr>
                <w:rFonts w:hint="eastAsia" w:ascii="仿宋_GB2312" w:hAnsi="仿宋_GB2312" w:eastAsia="仿宋_GB2312" w:cs="仿宋_GB2312"/>
                <w:sz w:val="28"/>
                <w:szCs w:val="28"/>
                <w:lang w:eastAsia="zh-CN"/>
              </w:rPr>
              <w:t>。</w:t>
            </w:r>
          </w:p>
          <w:p w14:paraId="1BA2E6FB">
            <w:pPr>
              <w:keepNext w:val="0"/>
              <w:keepLines w:val="0"/>
              <w:pageBreakBefore w:val="0"/>
              <w:widowControl w:val="0"/>
              <w:kinsoku/>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要求提供原材料质量承诺函（格式自定）作为得分依据，未提供承诺或承诺内容不满足要求的不得分。</w:t>
            </w:r>
          </w:p>
        </w:tc>
      </w:tr>
      <w:tr w14:paraId="319C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20" w:type="pct"/>
            <w:vMerge w:val="continue"/>
            <w:noWrap w:val="0"/>
            <w:vAlign w:val="center"/>
          </w:tcPr>
          <w:p w14:paraId="0646AF5E">
            <w:pPr>
              <w:keepNext w:val="0"/>
              <w:keepLines w:val="0"/>
              <w:pageBreakBefore w:val="0"/>
              <w:widowControl w:val="0"/>
              <w:kinsoku/>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rPr>
            </w:pPr>
          </w:p>
        </w:tc>
        <w:tc>
          <w:tcPr>
            <w:tcW w:w="1059" w:type="pct"/>
            <w:noWrap w:val="0"/>
            <w:vAlign w:val="center"/>
          </w:tcPr>
          <w:p w14:paraId="4BB84423">
            <w:pPr>
              <w:widowControl/>
              <w:wordWrap w:val="0"/>
              <w:spacing w:beforeLines="0" w:afterLines="0" w:line="400" w:lineRule="exact"/>
              <w:jc w:val="left"/>
              <w:textAlignment w:val="top"/>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sz w:val="28"/>
                <w:szCs w:val="28"/>
              </w:rPr>
              <w:t>项目重点难点分析、应对措施及相关的合理化建议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15分</w:t>
            </w:r>
            <w:r>
              <w:rPr>
                <w:rFonts w:hint="eastAsia" w:ascii="仿宋_GB2312" w:hAnsi="仿宋_GB2312" w:eastAsia="仿宋_GB2312" w:cs="仿宋_GB2312"/>
                <w:color w:val="auto"/>
                <w:sz w:val="28"/>
                <w:szCs w:val="28"/>
                <w:lang w:eastAsia="zh-CN"/>
              </w:rPr>
              <w:t>）</w:t>
            </w:r>
          </w:p>
        </w:tc>
        <w:tc>
          <w:tcPr>
            <w:tcW w:w="3119" w:type="pct"/>
            <w:noWrap w:val="0"/>
            <w:vAlign w:val="center"/>
          </w:tcPr>
          <w:p w14:paraId="1F9BB162">
            <w:pPr>
              <w:keepNext w:val="0"/>
              <w:keepLines w:val="0"/>
              <w:pageBreakBefore w:val="0"/>
              <w:widowControl w:val="0"/>
              <w:kinsoku/>
              <w:wordWrap/>
              <w:overflowPunct/>
              <w:topLinePunct w:val="0"/>
              <w:autoSpaceDE/>
              <w:autoSpaceDN/>
              <w:bidi w:val="0"/>
              <w:adjustRightInd/>
              <w:snapToGrid/>
              <w:spacing w:beforeLines="-2147483648" w:afterLines="-2147483648" w:line="500" w:lineRule="exact"/>
              <w:ind w:left="0" w:right="0" w:firstLine="0" w:firstLineChars="0"/>
              <w:jc w:val="both"/>
              <w:textAlignment w:val="auto"/>
              <w:rPr>
                <w:rFonts w:hint="eastAsia" w:ascii="黑体" w:hAnsi="黑体" w:eastAsia="黑体" w:cs="黑体"/>
                <w:b w:val="0"/>
                <w:bCs w:val="0"/>
                <w:color w:val="auto"/>
                <w:kern w:val="2"/>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rPr>
              <w:t>一、考察内容</w:t>
            </w:r>
          </w:p>
          <w:p w14:paraId="3A8D6003">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评审委员会根据响应供应商按照项目需求提出的项目重点难点分析、应对措施及相关的合理化建议进行评审，内容包括但不限于以下内容：</w:t>
            </w:r>
          </w:p>
          <w:p w14:paraId="7A5FFC0C">
            <w:pPr>
              <w:keepNext w:val="0"/>
              <w:keepLines w:val="0"/>
              <w:pageBreakBefore w:val="0"/>
              <w:widowControl w:val="0"/>
              <w:kinsoku/>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对大批量、多品种、多地点节日慰问品集中采购配送的重点和难点分析。</w:t>
            </w:r>
          </w:p>
          <w:p w14:paraId="1C10F7F5">
            <w:pPr>
              <w:keepNext w:val="0"/>
              <w:keepLines w:val="0"/>
              <w:pageBreakBefore w:val="0"/>
              <w:widowControl w:val="0"/>
              <w:kinsoku/>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针对上述重点难点提出的具体、可行的应对措施。</w:t>
            </w:r>
          </w:p>
          <w:p w14:paraId="787AEC1E">
            <w:pPr>
              <w:keepNext w:val="0"/>
              <w:keepLines w:val="0"/>
              <w:pageBreakBefore w:val="0"/>
              <w:widowControl w:val="0"/>
              <w:kinsoku/>
              <w:overflowPunct/>
              <w:topLinePunct w:val="0"/>
              <w:autoSpaceDE/>
              <w:autoSpaceDN/>
              <w:bidi w:val="0"/>
              <w:adjustRightInd/>
              <w:snapToGrid/>
              <w:spacing w:line="500" w:lineRule="exact"/>
              <w:ind w:firstLine="0" w:firstLineChars="0"/>
              <w:jc w:val="both"/>
              <w:textAlignment w:val="auto"/>
              <w:rPr>
                <w:rFonts w:ascii="Segoe UI" w:hAnsi="Segoe UI" w:eastAsia="Segoe UI" w:cs="Segoe UI"/>
                <w:i w:val="0"/>
                <w:iCs w:val="0"/>
                <w:caps w:val="0"/>
                <w:color w:val="800080"/>
                <w:spacing w:val="0"/>
                <w:sz w:val="21"/>
                <w:szCs w:val="21"/>
                <w:shd w:val="clear" w:fill="FFFFFF"/>
              </w:rPr>
            </w:pPr>
            <w:r>
              <w:rPr>
                <w:rFonts w:hint="eastAsia" w:ascii="仿宋_GB2312" w:hAnsi="仿宋_GB2312" w:eastAsia="仿宋_GB2312" w:cs="仿宋_GB2312"/>
                <w:sz w:val="28"/>
                <w:szCs w:val="28"/>
                <w:lang w:eastAsia="zh-CN"/>
              </w:rPr>
              <w:t>（三）对提升本次采购效率、效果或优化服务的合理化建议。</w:t>
            </w:r>
          </w:p>
          <w:p w14:paraId="31A331BD">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二</w:t>
            </w:r>
            <w:r>
              <w:rPr>
                <w:rFonts w:hint="eastAsia" w:ascii="黑体" w:hAnsi="黑体" w:eastAsia="黑体" w:cs="黑体"/>
                <w:b w:val="0"/>
                <w:bCs w:val="0"/>
                <w:color w:val="auto"/>
                <w:sz w:val="28"/>
                <w:szCs w:val="28"/>
                <w:highlight w:val="none"/>
                <w:lang w:eastAsia="zh-CN"/>
              </w:rPr>
              <w:t>、</w:t>
            </w:r>
            <w:r>
              <w:rPr>
                <w:rFonts w:hint="eastAsia" w:ascii="黑体" w:hAnsi="黑体" w:eastAsia="黑体" w:cs="黑体"/>
                <w:b w:val="0"/>
                <w:bCs w:val="0"/>
                <w:color w:val="auto"/>
                <w:sz w:val="28"/>
                <w:szCs w:val="28"/>
                <w:highlight w:val="none"/>
              </w:rPr>
              <w:t>评分</w:t>
            </w:r>
            <w:r>
              <w:rPr>
                <w:rFonts w:hint="eastAsia" w:ascii="黑体" w:hAnsi="黑体" w:eastAsia="黑体" w:cs="黑体"/>
                <w:b w:val="0"/>
                <w:bCs w:val="0"/>
                <w:color w:val="auto"/>
                <w:sz w:val="28"/>
                <w:szCs w:val="28"/>
                <w:highlight w:val="none"/>
                <w:lang w:val="en-US" w:eastAsia="zh-CN"/>
              </w:rPr>
              <w:t>标准</w:t>
            </w:r>
          </w:p>
          <w:p w14:paraId="122D3A56">
            <w:pPr>
              <w:keepNext w:val="0"/>
              <w:keepLines w:val="0"/>
              <w:pageBreakBefore w:val="0"/>
              <w:widowControl w:val="0"/>
              <w:kinsoku/>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考察以上方案，满足以上三项得5分，满足任意两项得3分，满足任意一项得1分，其他情况不得分。</w:t>
            </w:r>
          </w:p>
          <w:p w14:paraId="4CBF83A8">
            <w:pPr>
              <w:keepNext w:val="0"/>
              <w:keepLines w:val="0"/>
              <w:pageBreakBefore w:val="0"/>
              <w:widowControl w:val="0"/>
              <w:kinsoku/>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在此基础上，评审专家根据各投标人的具体响应内容进一步评审：</w:t>
            </w:r>
          </w:p>
          <w:p w14:paraId="5174A119">
            <w:pPr>
              <w:keepNext w:val="0"/>
              <w:keepLines w:val="0"/>
              <w:pageBreakBefore w:val="0"/>
              <w:widowControl w:val="0"/>
              <w:kinsoku/>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“优”</w:t>
            </w:r>
            <w:r>
              <w:rPr>
                <w:rFonts w:hint="eastAsia" w:ascii="仿宋_GB2312" w:hAnsi="仿宋_GB2312" w:eastAsia="仿宋_GB2312" w:cs="仿宋_GB2312"/>
                <w:sz w:val="28"/>
                <w:szCs w:val="28"/>
              </w:rPr>
              <w:t>评分标准：投标人对项目重点、难点分析准确，并提出切实可行的解决方案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加</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分</w:t>
            </w:r>
            <w:r>
              <w:rPr>
                <w:rFonts w:hint="eastAsia" w:ascii="仿宋_GB2312" w:hAnsi="仿宋_GB2312" w:eastAsia="仿宋_GB2312" w:cs="仿宋_GB2312"/>
                <w:sz w:val="28"/>
                <w:szCs w:val="28"/>
                <w:lang w:eastAsia="zh-CN"/>
              </w:rPr>
              <w:t>。</w:t>
            </w:r>
          </w:p>
          <w:p w14:paraId="0FFB49CF">
            <w:pPr>
              <w:keepNext w:val="0"/>
              <w:keepLines w:val="0"/>
              <w:pageBreakBefore w:val="0"/>
              <w:widowControl w:val="0"/>
              <w:kinsoku/>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“良”</w:t>
            </w:r>
            <w:r>
              <w:rPr>
                <w:rFonts w:hint="eastAsia" w:ascii="仿宋_GB2312" w:hAnsi="仿宋_GB2312" w:eastAsia="仿宋_GB2312" w:cs="仿宋_GB2312"/>
                <w:sz w:val="28"/>
                <w:szCs w:val="28"/>
              </w:rPr>
              <w:t>评分标准：投标人对项目重点、难点分析较准确，并提出较可行的解决方案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加</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w:t>
            </w:r>
            <w:r>
              <w:rPr>
                <w:rFonts w:hint="eastAsia" w:ascii="仿宋_GB2312" w:hAnsi="仿宋_GB2312" w:eastAsia="仿宋_GB2312" w:cs="仿宋_GB2312"/>
                <w:sz w:val="28"/>
                <w:szCs w:val="28"/>
                <w:lang w:val="en-US" w:eastAsia="zh-CN"/>
              </w:rPr>
              <w:t>。</w:t>
            </w:r>
          </w:p>
          <w:p w14:paraId="7093AAA1">
            <w:pPr>
              <w:keepNext w:val="0"/>
              <w:keepLines w:val="0"/>
              <w:pageBreakBefore w:val="0"/>
              <w:widowControl w:val="0"/>
              <w:kinsoku/>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“中”</w:t>
            </w:r>
            <w:r>
              <w:rPr>
                <w:rFonts w:hint="eastAsia" w:ascii="仿宋_GB2312" w:hAnsi="仿宋_GB2312" w:eastAsia="仿宋_GB2312" w:cs="仿宋_GB2312"/>
                <w:sz w:val="28"/>
                <w:szCs w:val="28"/>
              </w:rPr>
              <w:t>评分标准：投标人对项目重点、难点分析基本准确，并提出基本可行的解决方案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加</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分</w:t>
            </w:r>
            <w:r>
              <w:rPr>
                <w:rFonts w:hint="eastAsia" w:ascii="仿宋_GB2312" w:hAnsi="仿宋_GB2312" w:eastAsia="仿宋_GB2312" w:cs="仿宋_GB2312"/>
                <w:sz w:val="28"/>
                <w:szCs w:val="28"/>
                <w:lang w:eastAsia="zh-CN"/>
              </w:rPr>
              <w:t>。</w:t>
            </w:r>
          </w:p>
          <w:p w14:paraId="63A161B4">
            <w:pPr>
              <w:keepNext w:val="0"/>
              <w:keepLines w:val="0"/>
              <w:pageBreakBefore w:val="0"/>
              <w:widowControl w:val="0"/>
              <w:kinsoku/>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sz w:val="28"/>
                <w:szCs w:val="28"/>
                <w:lang w:eastAsia="zh-CN"/>
              </w:rPr>
              <w:t>“差”</w:t>
            </w:r>
            <w:r>
              <w:rPr>
                <w:rFonts w:hint="eastAsia" w:ascii="仿宋_GB2312" w:hAnsi="仿宋_GB2312" w:eastAsia="仿宋_GB2312" w:cs="仿宋_GB2312"/>
                <w:sz w:val="28"/>
                <w:szCs w:val="28"/>
              </w:rPr>
              <w:t>评分标准：投标人对项目重点、难点分析不准确，提出解决方案不合理、不可行或未提供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不加分。</w:t>
            </w:r>
          </w:p>
        </w:tc>
      </w:tr>
      <w:tr w14:paraId="3FAC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0" w:type="pct"/>
            <w:vMerge w:val="restart"/>
            <w:noWrap w:val="0"/>
            <w:vAlign w:val="center"/>
          </w:tcPr>
          <w:p w14:paraId="47BF2820">
            <w:pPr>
              <w:widowControl/>
              <w:wordWrap w:val="0"/>
              <w:spacing w:beforeLines="0" w:afterLines="0" w:line="400" w:lineRule="exact"/>
              <w:jc w:val="left"/>
              <w:textAlignment w:val="top"/>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（三）综合实力（</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分）</w:t>
            </w:r>
          </w:p>
        </w:tc>
        <w:tc>
          <w:tcPr>
            <w:tcW w:w="1059" w:type="pct"/>
            <w:noWrap w:val="0"/>
            <w:vAlign w:val="center"/>
          </w:tcPr>
          <w:p w14:paraId="6194A852">
            <w:pPr>
              <w:widowControl/>
              <w:wordWrap w:val="0"/>
              <w:spacing w:beforeLines="0" w:afterLines="0" w:line="400" w:lineRule="exact"/>
              <w:jc w:val="left"/>
              <w:textAlignment w:val="top"/>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.同类业绩</w:t>
            </w:r>
          </w:p>
          <w:p w14:paraId="1EA92DC0">
            <w:pPr>
              <w:widowControl/>
              <w:wordWrap w:val="0"/>
              <w:spacing w:beforeLines="0" w:afterLines="0" w:line="400" w:lineRule="exact"/>
              <w:jc w:val="left"/>
              <w:textAlignment w:val="top"/>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分）</w:t>
            </w:r>
          </w:p>
        </w:tc>
        <w:tc>
          <w:tcPr>
            <w:tcW w:w="3119" w:type="pct"/>
            <w:noWrap w:val="0"/>
            <w:vAlign w:val="center"/>
          </w:tcPr>
          <w:p w14:paraId="7F2D24C4">
            <w:pPr>
              <w:keepNext w:val="0"/>
              <w:keepLines w:val="0"/>
              <w:pageBreakBefore w:val="0"/>
              <w:widowControl/>
              <w:kinsoku/>
              <w:wordWrap w:val="0"/>
              <w:overflowPunct/>
              <w:topLinePunct w:val="0"/>
              <w:autoSpaceDE/>
              <w:autoSpaceDN/>
              <w:bidi w:val="0"/>
              <w:adjustRightInd/>
              <w:snapToGrid/>
              <w:spacing w:beforeLines="0" w:afterLines="0" w:line="400" w:lineRule="exact"/>
              <w:ind w:left="0" w:right="0" w:firstLine="0" w:firstLineChars="0"/>
              <w:jc w:val="both"/>
              <w:textAlignment w:val="top"/>
              <w:rPr>
                <w:rFonts w:hint="eastAsia" w:ascii="仿宋_GB2312" w:hAnsi="仿宋_GB2312" w:eastAsia="仿宋_GB2312" w:cs="仿宋_GB2312"/>
                <w:b w:val="0"/>
                <w:bCs w:val="0"/>
                <w:color w:val="auto"/>
                <w:kern w:val="2"/>
                <w:sz w:val="28"/>
                <w:szCs w:val="28"/>
                <w:highlight w:val="none"/>
              </w:rPr>
            </w:pPr>
            <w:r>
              <w:rPr>
                <w:rFonts w:hint="eastAsia" w:ascii="黑体" w:hAnsi="黑体" w:eastAsia="黑体" w:cs="黑体"/>
                <w:b w:val="0"/>
                <w:bCs w:val="0"/>
                <w:color w:val="auto"/>
                <w:kern w:val="2"/>
                <w:sz w:val="28"/>
                <w:szCs w:val="28"/>
                <w:lang w:eastAsia="zh-CN"/>
              </w:rPr>
              <w:t>一、</w:t>
            </w:r>
            <w:r>
              <w:rPr>
                <w:rFonts w:hint="eastAsia" w:ascii="黑体" w:hAnsi="黑体" w:eastAsia="黑体" w:cs="黑体"/>
                <w:b w:val="0"/>
                <w:bCs w:val="0"/>
                <w:color w:val="auto"/>
                <w:kern w:val="2"/>
                <w:sz w:val="28"/>
                <w:szCs w:val="28"/>
              </w:rPr>
              <w:t>考察内容</w:t>
            </w:r>
          </w:p>
          <w:p w14:paraId="39843811">
            <w:pPr>
              <w:keepNext w:val="0"/>
              <w:keepLines w:val="0"/>
              <w:pageBreakBefore w:val="0"/>
              <w:widowControl/>
              <w:kinsoku/>
              <w:wordWrap w:val="0"/>
              <w:overflowPunct/>
              <w:topLinePunct w:val="0"/>
              <w:autoSpaceDE/>
              <w:autoSpaceDN/>
              <w:bidi w:val="0"/>
              <w:adjustRightInd/>
              <w:snapToGrid/>
              <w:spacing w:beforeLines="0" w:afterLines="0" w:line="400" w:lineRule="exact"/>
              <w:ind w:left="0" w:right="0" w:firstLine="0" w:firstLineChars="0"/>
              <w:jc w:val="both"/>
              <w:textAlignment w:val="top"/>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投标人提供同类业绩，每提供一个业绩得</w:t>
            </w:r>
            <w:r>
              <w:rPr>
                <w:rFonts w:hint="eastAsia" w:ascii="仿宋_GB2312" w:hAnsi="仿宋_GB2312" w:eastAsia="仿宋_GB2312" w:cs="仿宋_GB2312"/>
                <w:color w:val="auto"/>
                <w:kern w:val="2"/>
                <w:sz w:val="28"/>
                <w:szCs w:val="28"/>
                <w:highlight w:val="none"/>
                <w:lang w:val="en-US" w:eastAsia="zh-CN"/>
              </w:rPr>
              <w:t>5</w:t>
            </w:r>
            <w:r>
              <w:rPr>
                <w:rFonts w:hint="eastAsia" w:ascii="仿宋_GB2312" w:hAnsi="仿宋_GB2312" w:eastAsia="仿宋_GB2312" w:cs="仿宋_GB2312"/>
                <w:color w:val="auto"/>
                <w:kern w:val="2"/>
                <w:sz w:val="28"/>
                <w:szCs w:val="28"/>
                <w:highlight w:val="none"/>
              </w:rPr>
              <w:t>分（同一服务使用单位不累计得分），最高</w:t>
            </w:r>
          </w:p>
          <w:p w14:paraId="31F3EAEB">
            <w:pPr>
              <w:keepNext w:val="0"/>
              <w:keepLines w:val="0"/>
              <w:pageBreakBefore w:val="0"/>
              <w:widowControl/>
              <w:kinsoku/>
              <w:wordWrap w:val="0"/>
              <w:overflowPunct/>
              <w:topLinePunct w:val="0"/>
              <w:autoSpaceDE/>
              <w:autoSpaceDN/>
              <w:bidi w:val="0"/>
              <w:adjustRightInd/>
              <w:snapToGrid/>
              <w:spacing w:beforeLines="0" w:afterLines="0" w:line="400" w:lineRule="exact"/>
              <w:ind w:left="0" w:right="0" w:firstLine="0" w:firstLineChars="0"/>
              <w:jc w:val="both"/>
              <w:textAlignment w:val="top"/>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rPr>
              <w:t>15</w:t>
            </w:r>
            <w:r>
              <w:rPr>
                <w:rFonts w:hint="eastAsia" w:ascii="仿宋_GB2312" w:hAnsi="仿宋_GB2312" w:eastAsia="仿宋_GB2312" w:cs="仿宋_GB2312"/>
                <w:color w:val="auto"/>
                <w:kern w:val="2"/>
                <w:sz w:val="28"/>
                <w:szCs w:val="28"/>
                <w:highlight w:val="none"/>
              </w:rPr>
              <w:t>分。不提供或者不能有效证明的，得0分。</w:t>
            </w:r>
          </w:p>
          <w:p w14:paraId="0FC4F282">
            <w:pPr>
              <w:keepNext w:val="0"/>
              <w:keepLines w:val="0"/>
              <w:pageBreakBefore w:val="0"/>
              <w:widowControl/>
              <w:kinsoku/>
              <w:wordWrap w:val="0"/>
              <w:overflowPunct/>
              <w:topLinePunct w:val="0"/>
              <w:autoSpaceDE/>
              <w:autoSpaceDN/>
              <w:bidi w:val="0"/>
              <w:adjustRightInd/>
              <w:snapToGrid/>
              <w:spacing w:beforeLines="0" w:afterLines="0" w:line="400" w:lineRule="exact"/>
              <w:ind w:left="0" w:right="0" w:firstLine="0" w:firstLineChars="0"/>
              <w:jc w:val="both"/>
              <w:textAlignment w:val="top"/>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有效业绩定义：（同时满足以下全部要求同类业绩才属于有效业绩）</w:t>
            </w:r>
          </w:p>
          <w:p w14:paraId="57CCEE49">
            <w:pPr>
              <w:keepNext w:val="0"/>
              <w:keepLines w:val="0"/>
              <w:pageBreakBefore w:val="0"/>
              <w:widowControl/>
              <w:kinsoku/>
              <w:wordWrap w:val="0"/>
              <w:overflowPunct/>
              <w:topLinePunct w:val="0"/>
              <w:autoSpaceDE/>
              <w:autoSpaceDN/>
              <w:bidi w:val="0"/>
              <w:adjustRightInd/>
              <w:snapToGrid/>
              <w:spacing w:beforeLines="0" w:afterLines="0" w:line="400" w:lineRule="exact"/>
              <w:ind w:left="0" w:right="0" w:firstLine="0" w:firstLineChars="0"/>
              <w:jc w:val="both"/>
              <w:textAlignment w:val="top"/>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eastAsia="zh-CN"/>
              </w:rPr>
              <w:t>（一）</w:t>
            </w:r>
            <w:r>
              <w:rPr>
                <w:rFonts w:hint="eastAsia" w:ascii="仿宋_GB2312" w:hAnsi="仿宋_GB2312" w:eastAsia="仿宋_GB2312" w:cs="仿宋_GB2312"/>
                <w:color w:val="auto"/>
                <w:kern w:val="2"/>
                <w:sz w:val="28"/>
                <w:szCs w:val="28"/>
                <w:highlight w:val="none"/>
              </w:rPr>
              <w:t>业绩内容为：</w:t>
            </w:r>
            <w:r>
              <w:rPr>
                <w:rFonts w:hint="eastAsia" w:ascii="仿宋_GB2312" w:hAnsi="仿宋_GB2312" w:eastAsia="仿宋_GB2312" w:cs="仿宋_GB2312"/>
                <w:sz w:val="28"/>
                <w:szCs w:val="28"/>
              </w:rPr>
              <w:t>承接过政府部门、事业单位或大型企业集团的员工福利、节日慰问品采购及配送服务项目。</w:t>
            </w:r>
          </w:p>
          <w:p w14:paraId="29FC9F53">
            <w:pPr>
              <w:keepNext w:val="0"/>
              <w:keepLines w:val="0"/>
              <w:pageBreakBefore w:val="0"/>
              <w:widowControl/>
              <w:kinsoku/>
              <w:wordWrap w:val="0"/>
              <w:overflowPunct/>
              <w:topLinePunct w:val="0"/>
              <w:autoSpaceDE/>
              <w:autoSpaceDN/>
              <w:bidi w:val="0"/>
              <w:adjustRightInd/>
              <w:snapToGrid/>
              <w:spacing w:beforeLines="0" w:afterLines="0" w:line="400" w:lineRule="exact"/>
              <w:ind w:left="0" w:right="0" w:firstLine="0" w:firstLineChars="0"/>
              <w:jc w:val="both"/>
              <w:textAlignment w:val="top"/>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eastAsia="zh-CN"/>
              </w:rPr>
              <w:t>（二）期限</w:t>
            </w:r>
            <w:r>
              <w:rPr>
                <w:rFonts w:hint="eastAsia" w:ascii="仿宋_GB2312" w:hAnsi="仿宋_GB2312" w:eastAsia="仿宋_GB2312" w:cs="仿宋_GB2312"/>
                <w:color w:val="auto"/>
                <w:kern w:val="2"/>
                <w:sz w:val="28"/>
                <w:szCs w:val="28"/>
                <w:highlight w:val="none"/>
              </w:rPr>
              <w:t>为</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年1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日</w:t>
            </w:r>
            <w:r>
              <w:rPr>
                <w:rFonts w:hint="eastAsia" w:ascii="仿宋_GB2312" w:hAnsi="仿宋_GB2312" w:eastAsia="仿宋_GB2312" w:cs="仿宋_GB2312"/>
                <w:color w:val="auto"/>
                <w:kern w:val="2"/>
                <w:sz w:val="28"/>
                <w:szCs w:val="28"/>
                <w:highlight w:val="none"/>
              </w:rPr>
              <w:t>至投标截之日</w:t>
            </w:r>
            <w:r>
              <w:rPr>
                <w:rFonts w:hint="eastAsia" w:ascii="仿宋_GB2312" w:hAnsi="仿宋_GB2312" w:eastAsia="仿宋_GB2312" w:cs="仿宋_GB2312"/>
                <w:color w:val="auto"/>
                <w:kern w:val="2"/>
                <w:sz w:val="28"/>
                <w:szCs w:val="28"/>
                <w:highlight w:val="none"/>
                <w:lang w:eastAsia="zh-CN"/>
              </w:rPr>
              <w:t>已完成的服务合同</w:t>
            </w:r>
            <w:r>
              <w:rPr>
                <w:rFonts w:hint="eastAsia" w:ascii="仿宋_GB2312" w:hAnsi="仿宋_GB2312" w:eastAsia="仿宋_GB2312" w:cs="仿宋_GB2312"/>
                <w:color w:val="auto"/>
                <w:kern w:val="2"/>
                <w:sz w:val="28"/>
                <w:szCs w:val="28"/>
                <w:highlight w:val="none"/>
              </w:rPr>
              <w:t>（以合同</w:t>
            </w:r>
            <w:r>
              <w:rPr>
                <w:rFonts w:hint="eastAsia" w:ascii="仿宋_GB2312" w:hAnsi="仿宋_GB2312" w:eastAsia="仿宋_GB2312" w:cs="仿宋_GB2312"/>
                <w:color w:val="auto"/>
                <w:kern w:val="2"/>
                <w:sz w:val="28"/>
                <w:szCs w:val="28"/>
                <w:highlight w:val="none"/>
                <w:lang w:eastAsia="zh-CN"/>
              </w:rPr>
              <w:t>服务期限</w:t>
            </w:r>
            <w:r>
              <w:rPr>
                <w:rFonts w:hint="eastAsia" w:ascii="仿宋_GB2312" w:hAnsi="仿宋_GB2312" w:eastAsia="仿宋_GB2312" w:cs="仿宋_GB2312"/>
                <w:color w:val="auto"/>
                <w:kern w:val="2"/>
                <w:sz w:val="28"/>
                <w:szCs w:val="28"/>
                <w:highlight w:val="none"/>
              </w:rPr>
              <w:t>为准）。</w:t>
            </w:r>
          </w:p>
          <w:p w14:paraId="5D742439">
            <w:pPr>
              <w:keepNext w:val="0"/>
              <w:keepLines w:val="0"/>
              <w:pageBreakBefore w:val="0"/>
              <w:widowControl/>
              <w:kinsoku/>
              <w:wordWrap w:val="0"/>
              <w:overflowPunct/>
              <w:topLinePunct w:val="0"/>
              <w:autoSpaceDE/>
              <w:autoSpaceDN/>
              <w:bidi w:val="0"/>
              <w:adjustRightInd/>
              <w:snapToGrid/>
              <w:spacing w:beforeLines="0" w:afterLines="0" w:line="400" w:lineRule="exact"/>
              <w:ind w:left="0" w:right="0" w:firstLine="0" w:firstLineChars="0"/>
              <w:jc w:val="both"/>
              <w:textAlignment w:val="top"/>
              <w:rPr>
                <w:rFonts w:hint="eastAsia" w:ascii="仿宋_GB2312" w:hAnsi="仿宋_GB2312" w:eastAsia="仿宋_GB2312" w:cs="仿宋_GB2312"/>
                <w:b w:val="0"/>
                <w:bCs w:val="0"/>
                <w:color w:val="auto"/>
                <w:kern w:val="2"/>
                <w:sz w:val="28"/>
                <w:szCs w:val="28"/>
                <w:highlight w:val="none"/>
              </w:rPr>
            </w:pPr>
            <w:r>
              <w:rPr>
                <w:rFonts w:hint="eastAsia" w:ascii="黑体" w:hAnsi="黑体" w:eastAsia="黑体" w:cs="黑体"/>
                <w:b w:val="0"/>
                <w:bCs w:val="0"/>
                <w:color w:val="auto"/>
                <w:kern w:val="2"/>
                <w:sz w:val="28"/>
                <w:szCs w:val="28"/>
                <w:highlight w:val="none"/>
                <w:lang w:eastAsia="zh-CN"/>
              </w:rPr>
              <w:t>二、</w:t>
            </w:r>
            <w:r>
              <w:rPr>
                <w:rFonts w:hint="eastAsia" w:ascii="黑体" w:hAnsi="黑体" w:eastAsia="黑体" w:cs="黑体"/>
                <w:b w:val="0"/>
                <w:bCs w:val="0"/>
                <w:color w:val="auto"/>
                <w:kern w:val="2"/>
                <w:sz w:val="28"/>
                <w:szCs w:val="28"/>
                <w:highlight w:val="none"/>
              </w:rPr>
              <w:t>证明文件</w:t>
            </w:r>
          </w:p>
          <w:p w14:paraId="23ECD789">
            <w:pPr>
              <w:keepNext w:val="0"/>
              <w:keepLines w:val="0"/>
              <w:pageBreakBefore w:val="0"/>
              <w:widowControl/>
              <w:kinsoku/>
              <w:wordWrap w:val="0"/>
              <w:overflowPunct/>
              <w:topLinePunct w:val="0"/>
              <w:autoSpaceDE/>
              <w:autoSpaceDN/>
              <w:bidi w:val="0"/>
              <w:adjustRightInd/>
              <w:snapToGrid/>
              <w:spacing w:beforeLines="0" w:afterLines="0" w:line="400" w:lineRule="exact"/>
              <w:ind w:left="0" w:leftChars="0" w:right="0" w:rightChars="0" w:firstLine="0" w:firstLineChars="0"/>
              <w:jc w:val="both"/>
              <w:textAlignment w:val="top"/>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供应商提供项目合同关键页（首页、体现采购内容页、签字盖章页、签订时间页）扫描件。</w:t>
            </w:r>
          </w:p>
        </w:tc>
      </w:tr>
      <w:tr w14:paraId="469A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0" w:type="pct"/>
            <w:vMerge w:val="continue"/>
            <w:noWrap w:val="0"/>
            <w:vAlign w:val="center"/>
          </w:tcPr>
          <w:p w14:paraId="1BF9A261">
            <w:pPr>
              <w:widowControl/>
              <w:wordWrap w:val="0"/>
              <w:spacing w:beforeLines="0" w:afterLines="0" w:line="400" w:lineRule="exact"/>
              <w:jc w:val="left"/>
              <w:textAlignment w:val="top"/>
              <w:rPr>
                <w:rFonts w:hint="eastAsia" w:ascii="仿宋_GB2312" w:hAnsi="仿宋_GB2312" w:eastAsia="仿宋_GB2312" w:cs="仿宋_GB2312"/>
                <w:color w:val="auto"/>
                <w:sz w:val="28"/>
                <w:szCs w:val="28"/>
              </w:rPr>
            </w:pPr>
          </w:p>
        </w:tc>
        <w:tc>
          <w:tcPr>
            <w:tcW w:w="1059" w:type="pct"/>
            <w:noWrap w:val="0"/>
            <w:vAlign w:val="center"/>
          </w:tcPr>
          <w:p w14:paraId="2228FA60">
            <w:pPr>
              <w:widowControl/>
              <w:numPr>
                <w:ilvl w:val="0"/>
                <w:numId w:val="0"/>
              </w:numPr>
              <w:wordWrap w:val="0"/>
              <w:spacing w:beforeLines="0" w:afterLines="0" w:line="40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项目完成（服务期满）后的服务承诺</w:t>
            </w:r>
          </w:p>
          <w:p w14:paraId="604DB1D6">
            <w:pPr>
              <w:pStyle w:val="2"/>
              <w:numPr>
                <w:ilvl w:val="0"/>
                <w:numId w:val="0"/>
              </w:numPr>
              <w:rPr>
                <w:rFonts w:hint="eastAsia"/>
                <w:sz w:val="28"/>
                <w:szCs w:val="28"/>
                <w:lang w:val="en-US" w:eastAsia="zh-CN"/>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分）</w:t>
            </w:r>
          </w:p>
        </w:tc>
        <w:tc>
          <w:tcPr>
            <w:tcW w:w="3119" w:type="pct"/>
            <w:noWrap w:val="0"/>
            <w:vAlign w:val="center"/>
          </w:tcPr>
          <w:p w14:paraId="13247422">
            <w:pPr>
              <w:keepNext w:val="0"/>
              <w:keepLines w:val="0"/>
              <w:pageBreakBefore w:val="0"/>
              <w:widowControl/>
              <w:kinsoku/>
              <w:wordWrap w:val="0"/>
              <w:overflowPunct/>
              <w:topLinePunct w:val="0"/>
              <w:autoSpaceDE/>
              <w:autoSpaceDN/>
              <w:bidi w:val="0"/>
              <w:adjustRightInd/>
              <w:snapToGrid/>
              <w:spacing w:beforeLines="0" w:afterLines="0" w:line="400" w:lineRule="exact"/>
              <w:ind w:left="0" w:right="0" w:firstLine="0" w:firstLineChars="0"/>
              <w:jc w:val="both"/>
              <w:textAlignment w:val="top"/>
              <w:rPr>
                <w:rFonts w:hint="eastAsia" w:ascii="黑体" w:hAnsi="黑体" w:eastAsia="黑体" w:cs="黑体"/>
                <w:b w:val="0"/>
                <w:bCs w:val="0"/>
                <w:color w:val="auto"/>
                <w:kern w:val="2"/>
                <w:sz w:val="28"/>
                <w:szCs w:val="28"/>
                <w:highlight w:val="none"/>
                <w:lang w:eastAsia="zh-CN"/>
              </w:rPr>
            </w:pPr>
            <w:r>
              <w:rPr>
                <w:rFonts w:hint="eastAsia" w:ascii="黑体" w:hAnsi="黑体" w:eastAsia="黑体" w:cs="黑体"/>
                <w:b w:val="0"/>
                <w:bCs w:val="0"/>
                <w:color w:val="auto"/>
                <w:kern w:val="2"/>
                <w:sz w:val="28"/>
                <w:szCs w:val="28"/>
                <w:highlight w:val="none"/>
                <w:lang w:eastAsia="zh-CN"/>
              </w:rPr>
              <w:t>一、考察内容</w:t>
            </w:r>
          </w:p>
          <w:p w14:paraId="1BEE55EC">
            <w:pPr>
              <w:keepNext w:val="0"/>
              <w:keepLines w:val="0"/>
              <w:pageBreakBefore w:val="0"/>
              <w:widowControl w:val="0"/>
              <w:kinsoku/>
              <w:wordWrap w:val="0"/>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响应人需提供项目完成（服务期满）后的服务承诺，满足以下全部要求的得</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分，否则不得分。</w:t>
            </w:r>
          </w:p>
          <w:p w14:paraId="79F02721">
            <w:pPr>
              <w:keepNext w:val="0"/>
              <w:keepLines w:val="0"/>
              <w:pageBreakBefore w:val="0"/>
              <w:widowControl/>
              <w:numPr>
                <w:ilvl w:val="0"/>
                <w:numId w:val="0"/>
              </w:numPr>
              <w:kinsoku/>
              <w:wordWrap w:val="0"/>
              <w:overflowPunct/>
              <w:topLinePunct w:val="0"/>
              <w:autoSpaceDE/>
              <w:autoSpaceDN/>
              <w:bidi w:val="0"/>
              <w:adjustRightInd/>
              <w:snapToGrid/>
              <w:spacing w:beforeLines="0" w:afterLines="0" w:line="400" w:lineRule="exact"/>
              <w:ind w:left="0" w:leftChars="0" w:right="0" w:rightChars="0" w:firstLine="0" w:firstLineChars="0"/>
              <w:jc w:val="both"/>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sz w:val="28"/>
                <w:szCs w:val="28"/>
              </w:rPr>
              <w:t>售后联系人员及有效联系方式。</w:t>
            </w:r>
          </w:p>
          <w:p w14:paraId="409C87EB">
            <w:pPr>
              <w:keepNext w:val="0"/>
              <w:keepLines w:val="0"/>
              <w:pageBreakBefore w:val="0"/>
              <w:widowControl/>
              <w:numPr>
                <w:ilvl w:val="0"/>
                <w:numId w:val="0"/>
              </w:numPr>
              <w:kinsoku/>
              <w:wordWrap w:val="0"/>
              <w:overflowPunct/>
              <w:topLinePunct w:val="0"/>
              <w:autoSpaceDE/>
              <w:autoSpaceDN/>
              <w:bidi w:val="0"/>
              <w:adjustRightInd/>
              <w:snapToGrid/>
              <w:spacing w:beforeLines="0" w:afterLines="0" w:line="400" w:lineRule="exact"/>
              <w:ind w:leftChars="0" w:right="0" w:rightChars="0"/>
              <w:jc w:val="both"/>
              <w:textAlignment w:val="top"/>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（2）针对慰问品（特别是电器类）的售后保修政策与响应时限。</w:t>
            </w:r>
          </w:p>
          <w:p w14:paraId="2DE942A0">
            <w:pPr>
              <w:keepNext w:val="0"/>
              <w:keepLines w:val="0"/>
              <w:pageBreakBefore w:val="0"/>
              <w:widowControl/>
              <w:numPr>
                <w:ilvl w:val="0"/>
                <w:numId w:val="0"/>
              </w:numPr>
              <w:kinsoku/>
              <w:wordWrap w:val="0"/>
              <w:overflowPunct/>
              <w:topLinePunct w:val="0"/>
              <w:autoSpaceDE/>
              <w:autoSpaceDN/>
              <w:bidi w:val="0"/>
              <w:adjustRightInd/>
              <w:snapToGrid/>
              <w:spacing w:beforeLines="0" w:afterLines="0" w:line="400" w:lineRule="exact"/>
              <w:ind w:leftChars="0" w:right="0" w:rightChars="0"/>
              <w:jc w:val="both"/>
              <w:textAlignment w:val="top"/>
              <w:rPr>
                <w:rFonts w:hint="eastAsia" w:ascii="黑体" w:hAnsi="黑体" w:eastAsia="黑体" w:cs="黑体"/>
                <w:b w:val="0"/>
                <w:bCs w:val="0"/>
                <w:color w:val="auto"/>
                <w:kern w:val="2"/>
                <w:sz w:val="28"/>
                <w:szCs w:val="28"/>
                <w:highlight w:val="none"/>
                <w:lang w:eastAsia="zh-CN"/>
              </w:rPr>
            </w:pPr>
            <w:r>
              <w:rPr>
                <w:rFonts w:hint="eastAsia" w:ascii="仿宋_GB2312" w:hAnsi="仿宋_GB2312" w:eastAsia="仿宋_GB2312" w:cs="仿宋_GB2312"/>
                <w:sz w:val="28"/>
                <w:szCs w:val="28"/>
              </w:rPr>
              <w:t>（3）对产品质量问题的退换货流程与承诺。</w:t>
            </w:r>
            <w:r>
              <w:rPr>
                <w:rFonts w:hint="eastAsia" w:ascii="黑体" w:hAnsi="黑体" w:eastAsia="黑体" w:cs="黑体"/>
                <w:b w:val="0"/>
                <w:bCs w:val="0"/>
                <w:color w:val="auto"/>
                <w:kern w:val="2"/>
                <w:sz w:val="28"/>
                <w:szCs w:val="28"/>
                <w:highlight w:val="none"/>
                <w:lang w:eastAsia="zh-CN"/>
              </w:rPr>
              <w:t>二、</w:t>
            </w:r>
            <w:r>
              <w:rPr>
                <w:rFonts w:hint="eastAsia" w:ascii="黑体" w:hAnsi="黑体" w:eastAsia="黑体" w:cs="黑体"/>
                <w:b w:val="0"/>
                <w:bCs w:val="0"/>
                <w:color w:val="auto"/>
                <w:kern w:val="2"/>
                <w:sz w:val="28"/>
                <w:szCs w:val="28"/>
                <w:highlight w:val="none"/>
                <w:lang w:val="en-US" w:eastAsia="zh-CN"/>
              </w:rPr>
              <w:t>证明文件</w:t>
            </w:r>
          </w:p>
          <w:p w14:paraId="2F740F0C">
            <w:pPr>
              <w:keepNext w:val="0"/>
              <w:keepLines w:val="0"/>
              <w:pageBreakBefore w:val="0"/>
              <w:widowControl/>
              <w:kinsoku/>
              <w:wordWrap w:val="0"/>
              <w:overflowPunct/>
              <w:topLinePunct w:val="0"/>
              <w:autoSpaceDE/>
              <w:autoSpaceDN/>
              <w:bidi w:val="0"/>
              <w:adjustRightInd/>
              <w:snapToGrid/>
              <w:spacing w:beforeLines="0" w:afterLines="0" w:line="400" w:lineRule="exact"/>
              <w:ind w:left="0" w:right="0" w:firstLine="0" w:firstLineChars="0"/>
              <w:jc w:val="both"/>
              <w:textAlignment w:val="top"/>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sz w:val="28"/>
                <w:szCs w:val="28"/>
              </w:rPr>
              <w:t>响应供应商须提供《项目完成（服务期满）后的服务承诺》（格式自定）并加盖响应人公章作为得分依据，未提供承诺或承诺内容不满足要求不得分。</w:t>
            </w:r>
          </w:p>
        </w:tc>
      </w:tr>
      <w:tr w14:paraId="50B1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0" w:type="pct"/>
            <w:vMerge w:val="continue"/>
            <w:noWrap w:val="0"/>
            <w:vAlign w:val="center"/>
          </w:tcPr>
          <w:p w14:paraId="7260DB1C">
            <w:pPr>
              <w:widowControl/>
              <w:wordWrap w:val="0"/>
              <w:spacing w:beforeLines="0" w:afterLines="0" w:line="400" w:lineRule="exact"/>
              <w:jc w:val="left"/>
              <w:textAlignment w:val="top"/>
              <w:rPr>
                <w:rFonts w:hint="eastAsia" w:ascii="仿宋_GB2312" w:hAnsi="仿宋_GB2312" w:eastAsia="仿宋_GB2312" w:cs="仿宋_GB2312"/>
                <w:color w:val="auto"/>
                <w:sz w:val="28"/>
                <w:szCs w:val="28"/>
              </w:rPr>
            </w:pPr>
          </w:p>
        </w:tc>
        <w:tc>
          <w:tcPr>
            <w:tcW w:w="1059" w:type="pct"/>
            <w:noWrap w:val="0"/>
            <w:vAlign w:val="center"/>
          </w:tcPr>
          <w:p w14:paraId="3119F62C">
            <w:pPr>
              <w:widowControl/>
              <w:numPr>
                <w:ilvl w:val="0"/>
                <w:numId w:val="0"/>
              </w:numPr>
              <w:wordWrap w:val="0"/>
              <w:spacing w:beforeLines="0" w:afterLines="0" w:line="40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违约承诺</w:t>
            </w:r>
          </w:p>
          <w:p w14:paraId="65A8332E">
            <w:pPr>
              <w:widowControl/>
              <w:numPr>
                <w:ilvl w:val="0"/>
                <w:numId w:val="0"/>
              </w:numPr>
              <w:wordWrap w:val="0"/>
              <w:spacing w:beforeLines="0" w:afterLines="0" w:line="400" w:lineRule="exact"/>
              <w:jc w:val="left"/>
              <w:textAlignment w:val="top"/>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分）</w:t>
            </w:r>
          </w:p>
        </w:tc>
        <w:tc>
          <w:tcPr>
            <w:tcW w:w="3119" w:type="pct"/>
            <w:noWrap w:val="0"/>
            <w:vAlign w:val="center"/>
          </w:tcPr>
          <w:p w14:paraId="3B30A124">
            <w:pPr>
              <w:keepNext w:val="0"/>
              <w:keepLines w:val="0"/>
              <w:pageBreakBefore w:val="0"/>
              <w:widowControl/>
              <w:kinsoku/>
              <w:wordWrap w:val="0"/>
              <w:overflowPunct/>
              <w:topLinePunct w:val="0"/>
              <w:autoSpaceDE/>
              <w:autoSpaceDN/>
              <w:bidi w:val="0"/>
              <w:adjustRightInd/>
              <w:snapToGrid/>
              <w:spacing w:beforeLines="0" w:afterLines="0" w:line="400" w:lineRule="exact"/>
              <w:ind w:left="0" w:right="0" w:firstLine="0" w:firstLineChars="0"/>
              <w:jc w:val="both"/>
              <w:textAlignment w:val="top"/>
              <w:rPr>
                <w:rFonts w:hint="eastAsia" w:ascii="黑体" w:hAnsi="黑体" w:eastAsia="黑体" w:cs="黑体"/>
                <w:b w:val="0"/>
                <w:bCs w:val="0"/>
                <w:color w:val="auto"/>
                <w:kern w:val="2"/>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rPr>
              <w:t>一、考察内容</w:t>
            </w:r>
          </w:p>
          <w:p w14:paraId="18E7040B">
            <w:pPr>
              <w:keepNext w:val="0"/>
              <w:keepLines w:val="0"/>
              <w:pageBreakBefore w:val="0"/>
              <w:widowControl w:val="0"/>
              <w:kinsoku/>
              <w:wordWrap w:val="0"/>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响应供应商提供项目违约承诺，满足以下全部要求的得</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分，否则不得分。</w:t>
            </w:r>
          </w:p>
          <w:p w14:paraId="01FE85CB">
            <w:pPr>
              <w:keepNext w:val="0"/>
              <w:keepLines w:val="0"/>
              <w:pageBreakBefore w:val="0"/>
              <w:widowControl w:val="0"/>
              <w:kinsoku/>
              <w:wordWrap w:val="0"/>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（1）严格按照采购文件及投标承诺提供服务</w:t>
            </w:r>
            <w:r>
              <w:rPr>
                <w:rFonts w:hint="eastAsia" w:ascii="仿宋_GB2312" w:hAnsi="仿宋_GB2312" w:eastAsia="仿宋_GB2312" w:cs="仿宋_GB2312"/>
                <w:sz w:val="28"/>
                <w:szCs w:val="28"/>
                <w:lang w:eastAsia="zh-CN"/>
              </w:rPr>
              <w:t>。</w:t>
            </w:r>
          </w:p>
          <w:p w14:paraId="74106BE4">
            <w:pPr>
              <w:keepNext w:val="0"/>
              <w:keepLines w:val="0"/>
              <w:pageBreakBefore w:val="0"/>
              <w:widowControl w:val="0"/>
              <w:kinsoku/>
              <w:wordWrap w:val="0"/>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（2）服务质量达到采购文件要求</w:t>
            </w:r>
            <w:r>
              <w:rPr>
                <w:rFonts w:hint="eastAsia" w:ascii="仿宋_GB2312" w:hAnsi="仿宋_GB2312" w:eastAsia="仿宋_GB2312" w:cs="仿宋_GB2312"/>
                <w:sz w:val="28"/>
                <w:szCs w:val="28"/>
                <w:lang w:eastAsia="zh-CN"/>
              </w:rPr>
              <w:t>。</w:t>
            </w:r>
          </w:p>
          <w:p w14:paraId="44CD9BBD">
            <w:pPr>
              <w:keepNext w:val="0"/>
              <w:keepLines w:val="0"/>
              <w:pageBreakBefore w:val="0"/>
              <w:widowControl w:val="0"/>
              <w:kinsoku/>
              <w:wordWrap w:val="0"/>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（3）对未能达到的管理要求承担管理责任。</w:t>
            </w:r>
          </w:p>
          <w:p w14:paraId="00861670">
            <w:pPr>
              <w:keepNext w:val="0"/>
              <w:keepLines w:val="0"/>
              <w:pageBreakBefore w:val="0"/>
              <w:widowControl/>
              <w:kinsoku/>
              <w:wordWrap w:val="0"/>
              <w:overflowPunct/>
              <w:topLinePunct w:val="0"/>
              <w:autoSpaceDE/>
              <w:autoSpaceDN/>
              <w:bidi w:val="0"/>
              <w:adjustRightInd/>
              <w:snapToGrid/>
              <w:spacing w:beforeLines="0" w:afterLines="0" w:line="400" w:lineRule="exact"/>
              <w:ind w:left="0" w:right="0" w:firstLine="0" w:firstLineChars="0"/>
              <w:jc w:val="both"/>
              <w:textAlignment w:val="top"/>
              <w:rPr>
                <w:rFonts w:hint="eastAsia" w:ascii="黑体" w:hAnsi="黑体" w:eastAsia="黑体" w:cs="黑体"/>
                <w:b w:val="0"/>
                <w:bCs w:val="0"/>
                <w:color w:val="auto"/>
                <w:kern w:val="2"/>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rPr>
              <w:t>二、证明文件</w:t>
            </w:r>
          </w:p>
          <w:p w14:paraId="4EC0C32B">
            <w:pPr>
              <w:keepNext w:val="0"/>
              <w:keepLines w:val="0"/>
              <w:pageBreakBefore w:val="0"/>
              <w:widowControl/>
              <w:kinsoku/>
              <w:wordWrap w:val="0"/>
              <w:overflowPunct/>
              <w:topLinePunct w:val="0"/>
              <w:autoSpaceDE/>
              <w:autoSpaceDN/>
              <w:bidi w:val="0"/>
              <w:adjustRightInd/>
              <w:snapToGrid/>
              <w:spacing w:beforeLines="0" w:afterLines="0" w:line="400" w:lineRule="exact"/>
              <w:ind w:left="0" w:right="0" w:firstLine="0" w:firstLineChars="0"/>
              <w:jc w:val="both"/>
              <w:textAlignment w:val="top"/>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sz w:val="28"/>
                <w:szCs w:val="28"/>
              </w:rPr>
              <w:t>响应供应商须提供《违约承诺函》（格式自定）并加盖响应人公章作为得分依据，未提供承诺或承诺内容不满足要求不得分。</w:t>
            </w:r>
          </w:p>
        </w:tc>
      </w:tr>
      <w:tr w14:paraId="3451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880" w:type="pct"/>
            <w:gridSpan w:val="2"/>
            <w:noWrap w:val="0"/>
            <w:vAlign w:val="center"/>
          </w:tcPr>
          <w:p w14:paraId="4AEA4666">
            <w:pPr>
              <w:widowControl/>
              <w:wordWrap w:val="0"/>
              <w:spacing w:beforeLines="0" w:afterLines="0" w:line="400" w:lineRule="exact"/>
              <w:jc w:val="left"/>
              <w:textAlignment w:val="top"/>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（四）诚信情况（5分）</w:t>
            </w:r>
          </w:p>
        </w:tc>
        <w:tc>
          <w:tcPr>
            <w:tcW w:w="3119" w:type="pct"/>
            <w:noWrap w:val="0"/>
            <w:vAlign w:val="center"/>
          </w:tcPr>
          <w:p w14:paraId="35769190">
            <w:pPr>
              <w:keepNext w:val="0"/>
              <w:keepLines w:val="0"/>
              <w:pageBreakBefore w:val="0"/>
              <w:widowControl/>
              <w:kinsoku/>
              <w:wordWrap w:val="0"/>
              <w:overflowPunct/>
              <w:topLinePunct w:val="0"/>
              <w:autoSpaceDE/>
              <w:autoSpaceDN/>
              <w:bidi w:val="0"/>
              <w:adjustRightInd/>
              <w:snapToGrid/>
              <w:spacing w:beforeLines="0" w:afterLines="0" w:line="400" w:lineRule="exact"/>
              <w:ind w:left="0" w:right="0" w:firstLine="0" w:firstLineChars="0"/>
              <w:jc w:val="both"/>
              <w:textAlignment w:val="top"/>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eastAsia="zh-CN"/>
              </w:rPr>
              <w:t>投标</w:t>
            </w:r>
            <w:r>
              <w:rPr>
                <w:rFonts w:hint="eastAsia" w:ascii="仿宋_GB2312" w:hAnsi="仿宋_GB2312" w:eastAsia="仿宋_GB2312" w:cs="仿宋_GB2312"/>
                <w:color w:val="auto"/>
                <w:kern w:val="2"/>
                <w:sz w:val="28"/>
                <w:szCs w:val="28"/>
                <w:highlight w:val="none"/>
              </w:rPr>
              <w:t>人在参与政府采购活动中存在诚信相关问题且在主管部门相关处理措施实施期限内的，本项不得分，否则得满分。</w:t>
            </w:r>
          </w:p>
          <w:p w14:paraId="2EA9A935">
            <w:pPr>
              <w:keepNext w:val="0"/>
              <w:keepLines w:val="0"/>
              <w:pageBreakBefore w:val="0"/>
              <w:widowControl/>
              <w:kinsoku/>
              <w:wordWrap w:val="0"/>
              <w:overflowPunct/>
              <w:topLinePunct w:val="0"/>
              <w:autoSpaceDE/>
              <w:autoSpaceDN/>
              <w:bidi w:val="0"/>
              <w:adjustRightInd/>
              <w:snapToGrid/>
              <w:spacing w:beforeLines="0" w:afterLines="0" w:line="400" w:lineRule="exact"/>
              <w:ind w:left="0" w:right="0" w:firstLine="0" w:firstLineChars="0"/>
              <w:jc w:val="both"/>
              <w:textAlignment w:val="top"/>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rPr>
              <w:t>需</w:t>
            </w:r>
            <w:r>
              <w:rPr>
                <w:rFonts w:hint="eastAsia" w:ascii="仿宋_GB2312" w:hAnsi="仿宋_GB2312" w:eastAsia="仿宋_GB2312" w:cs="仿宋_GB2312"/>
                <w:color w:val="auto"/>
                <w:kern w:val="2"/>
                <w:sz w:val="28"/>
                <w:szCs w:val="28"/>
                <w:highlight w:val="none"/>
              </w:rPr>
              <w:t>提供《诚信承诺函》，按采购文件格式要求提供，不提供不得分。如被认定提供的陈述与事实不符的，依法追究其责任。</w:t>
            </w:r>
          </w:p>
        </w:tc>
      </w:tr>
    </w:tbl>
    <w:p w14:paraId="312A46D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eastAsia="zh-CN"/>
        </w:rPr>
        <w:t>投标时提交的资料</w:t>
      </w:r>
    </w:p>
    <w:p w14:paraId="143CE6AE">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递交投标响应文件时需要提交的资料包含但不限于以下内容项目：</w:t>
      </w:r>
    </w:p>
    <w:p w14:paraId="1824A2D9">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1.营业执照复印件；</w:t>
      </w:r>
    </w:p>
    <w:p w14:paraId="79D59A69">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2.单位法人证明书原件及法人身份证复印件、授权委托书原件及被授权人身份证复印件；</w:t>
      </w:r>
    </w:p>
    <w:p w14:paraId="55D8760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firstLine="640" w:firstLineChars="200"/>
        <w:textAlignment w:val="auto"/>
        <w:rPr>
          <w:rFonts w:hint="default" w:eastAsia="宋体"/>
          <w:sz w:val="32"/>
          <w:szCs w:val="32"/>
          <w:lang w:val="en-US" w:eastAsia="zh-CN"/>
        </w:rPr>
      </w:pPr>
      <w:r>
        <w:rPr>
          <w:rFonts w:hint="eastAsia" w:ascii="仿宋_GB2312" w:hAnsi="仿宋_GB2312" w:eastAsia="仿宋_GB2312" w:cs="仿宋_GB2312"/>
          <w:kern w:val="2"/>
          <w:sz w:val="32"/>
          <w:szCs w:val="32"/>
          <w:highlight w:val="none"/>
          <w:lang w:val="en-US" w:eastAsia="zh-CN" w:bidi="ar-SA"/>
        </w:rPr>
        <w:t>3.</w:t>
      </w:r>
      <w:r>
        <w:rPr>
          <w:rFonts w:hint="eastAsia" w:ascii="仿宋_GB2312" w:hAnsi="仿宋_GB2312" w:eastAsia="仿宋_GB2312" w:cs="仿宋_GB2312"/>
          <w:b w:val="0"/>
          <w:bCs/>
          <w:color w:val="auto"/>
          <w:sz w:val="32"/>
          <w:szCs w:val="32"/>
          <w:lang w:val="en-US" w:eastAsia="zh-CN"/>
        </w:rPr>
        <w:t>法定代表人，被授权人，项目负责人（如有）近三个月最近一月的社保缴纳证明；</w:t>
      </w:r>
    </w:p>
    <w:p w14:paraId="43342A5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报价文件</w:t>
      </w:r>
      <w:r>
        <w:rPr>
          <w:rFonts w:hint="eastAsia" w:ascii="仿宋_GB2312" w:hAnsi="仿宋_GB2312" w:eastAsia="仿宋_GB2312" w:cs="仿宋_GB2312"/>
          <w:bCs/>
          <w:sz w:val="32"/>
          <w:szCs w:val="32"/>
          <w:highlight w:val="none"/>
          <w:lang w:eastAsia="zh-CN"/>
        </w:rPr>
        <w:t>（填写完整的报价表</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lang w:eastAsia="zh-CN"/>
        </w:rPr>
        <w:t>格式自拟），明确慰问品套餐的构成明细、单品市场参考价及投标总价。总价不得超过项目预算）</w:t>
      </w:r>
      <w:r>
        <w:rPr>
          <w:rFonts w:hint="eastAsia" w:ascii="仿宋_GB2312" w:hAnsi="仿宋_GB2312" w:eastAsia="仿宋_GB2312" w:cs="仿宋_GB2312"/>
          <w:bCs/>
          <w:sz w:val="32"/>
          <w:szCs w:val="32"/>
        </w:rPr>
        <w:t>；</w:t>
      </w:r>
    </w:p>
    <w:p w14:paraId="0BE8F92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.项目服务方案</w:t>
      </w:r>
      <w:r>
        <w:rPr>
          <w:rFonts w:hint="eastAsia" w:ascii="仿宋_GB2312" w:hAnsi="仿宋_GB2312" w:eastAsia="仿宋_GB2312" w:cs="仿宋_GB2312"/>
          <w:b w:val="0"/>
          <w:bCs/>
          <w:color w:val="auto"/>
          <w:sz w:val="32"/>
          <w:szCs w:val="32"/>
          <w:lang w:val="en-US" w:eastAsia="zh-CN"/>
        </w:rPr>
        <w:t>（格式自定）。</w:t>
      </w:r>
    </w:p>
    <w:p w14:paraId="101A9B1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质量（产品供货来源保障、质量检验流程、交货期保障措施</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产品供货来源保障、质量检验流程、交货期保障措施）保障措施及方案</w:t>
      </w:r>
      <w:r>
        <w:rPr>
          <w:rFonts w:hint="eastAsia" w:ascii="仿宋_GB2312" w:hAnsi="仿宋_GB2312" w:eastAsia="仿宋_GB2312" w:cs="仿宋_GB2312"/>
          <w:b w:val="0"/>
          <w:bCs/>
          <w:color w:val="auto"/>
          <w:sz w:val="32"/>
          <w:szCs w:val="32"/>
          <w:lang w:val="en-US" w:eastAsia="zh-CN"/>
        </w:rPr>
        <w:t>（格式自定）。</w:t>
      </w:r>
    </w:p>
    <w:p w14:paraId="7B25B37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7.产品质量承诺函</w:t>
      </w:r>
      <w:r>
        <w:rPr>
          <w:rFonts w:hint="eastAsia" w:ascii="仿宋_GB2312" w:hAnsi="仿宋_GB2312" w:eastAsia="仿宋_GB2312" w:cs="仿宋_GB2312"/>
          <w:b w:val="0"/>
          <w:bCs/>
          <w:color w:val="auto"/>
          <w:sz w:val="32"/>
          <w:szCs w:val="32"/>
          <w:lang w:val="en-US" w:eastAsia="zh-CN"/>
        </w:rPr>
        <w:t>（格式自定）。</w:t>
      </w:r>
    </w:p>
    <w:p w14:paraId="12820707">
      <w:pPr>
        <w:keepNext w:val="0"/>
        <w:keepLines w:val="0"/>
        <w:pageBreakBefore w:val="0"/>
        <w:widowControl w:val="0"/>
        <w:numPr>
          <w:ilvl w:val="0"/>
          <w:numId w:val="0"/>
        </w:numPr>
        <w:kinsoku/>
        <w:wordWrap/>
        <w:overflowPunct/>
        <w:topLinePunct w:val="0"/>
        <w:autoSpaceDE/>
        <w:autoSpaceDN/>
        <w:bidi w:val="0"/>
        <w:adjustRightInd/>
        <w:snapToGrid/>
        <w:spacing w:beforeLines="-2147483648" w:afterLines="-2147483648" w:line="570" w:lineRule="exact"/>
        <w:ind w:firstLine="640" w:firstLineChars="200"/>
        <w:jc w:val="left"/>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8.</w:t>
      </w:r>
      <w:r>
        <w:rPr>
          <w:rFonts w:hint="eastAsia" w:ascii="仿宋_GB2312" w:hAnsi="仿宋_GB2312" w:eastAsia="仿宋_GB2312" w:cs="仿宋_GB2312"/>
          <w:bCs/>
          <w:color w:val="auto"/>
          <w:sz w:val="32"/>
          <w:szCs w:val="32"/>
        </w:rPr>
        <w:t>项目重点难点分析、应对措施及相关的合理化建议</w:t>
      </w:r>
      <w:r>
        <w:rPr>
          <w:rFonts w:hint="eastAsia" w:ascii="仿宋_GB2312" w:hAnsi="仿宋_GB2312" w:eastAsia="仿宋_GB2312" w:cs="仿宋_GB2312"/>
          <w:b w:val="0"/>
          <w:bCs/>
          <w:color w:val="auto"/>
          <w:sz w:val="32"/>
          <w:szCs w:val="32"/>
          <w:lang w:val="en-US" w:eastAsia="zh-CN"/>
        </w:rPr>
        <w:t>（格式自定）。</w:t>
      </w:r>
    </w:p>
    <w:p w14:paraId="64500B72">
      <w:pPr>
        <w:keepNext w:val="0"/>
        <w:keepLines w:val="0"/>
        <w:pageBreakBefore w:val="0"/>
        <w:widowControl w:val="0"/>
        <w:numPr>
          <w:ilvl w:val="0"/>
          <w:numId w:val="0"/>
        </w:numPr>
        <w:kinsoku/>
        <w:wordWrap/>
        <w:overflowPunct/>
        <w:topLinePunct w:val="0"/>
        <w:autoSpaceDE/>
        <w:autoSpaceDN/>
        <w:bidi w:val="0"/>
        <w:adjustRightInd/>
        <w:snapToGrid/>
        <w:spacing w:beforeLines="-2147483648" w:afterLines="-2147483648" w:line="57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Cs/>
          <w:color w:val="auto"/>
          <w:sz w:val="32"/>
          <w:szCs w:val="32"/>
          <w:lang w:val="en-US" w:eastAsia="zh-CN"/>
        </w:rPr>
        <w:t>9.</w:t>
      </w:r>
      <w:r>
        <w:rPr>
          <w:rFonts w:hint="eastAsia" w:ascii="仿宋_GB2312" w:hAnsi="仿宋_GB2312" w:eastAsia="仿宋_GB2312" w:cs="仿宋_GB2312"/>
          <w:bCs/>
          <w:color w:val="auto"/>
          <w:sz w:val="32"/>
          <w:szCs w:val="32"/>
        </w:rPr>
        <w:t>同类业绩</w:t>
      </w:r>
      <w:r>
        <w:rPr>
          <w:rFonts w:hint="eastAsia" w:ascii="仿宋_GB2312" w:hAnsi="仿宋_GB2312" w:eastAsia="仿宋_GB2312" w:cs="仿宋_GB2312"/>
          <w:b w:val="0"/>
          <w:bCs/>
          <w:color w:val="auto"/>
          <w:sz w:val="32"/>
          <w:szCs w:val="32"/>
          <w:lang w:val="en-US" w:eastAsia="zh-CN"/>
        </w:rPr>
        <w:t>（格式自定）。</w:t>
      </w:r>
    </w:p>
    <w:p w14:paraId="608BB01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10.</w:t>
      </w:r>
      <w:r>
        <w:rPr>
          <w:rFonts w:hint="eastAsia" w:ascii="仿宋_GB2312" w:hAnsi="仿宋_GB2312" w:eastAsia="仿宋_GB2312" w:cs="仿宋_GB2312"/>
          <w:bCs/>
          <w:color w:val="auto"/>
          <w:sz w:val="32"/>
          <w:szCs w:val="32"/>
        </w:rPr>
        <w:t>项目完成（服务期满）后的服务承诺</w:t>
      </w:r>
      <w:r>
        <w:rPr>
          <w:rFonts w:hint="eastAsia" w:ascii="仿宋_GB2312" w:hAnsi="仿宋_GB2312" w:eastAsia="仿宋_GB2312" w:cs="仿宋_GB2312"/>
          <w:b w:val="0"/>
          <w:bCs/>
          <w:color w:val="auto"/>
          <w:sz w:val="32"/>
          <w:szCs w:val="32"/>
          <w:lang w:val="en-US" w:eastAsia="zh-CN"/>
        </w:rPr>
        <w:t>（格式自定）。</w:t>
      </w:r>
    </w:p>
    <w:p w14:paraId="1981BC4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11.</w:t>
      </w:r>
      <w:r>
        <w:rPr>
          <w:rFonts w:hint="eastAsia" w:ascii="仿宋_GB2312" w:hAnsi="仿宋_GB2312" w:eastAsia="仿宋_GB2312" w:cs="仿宋_GB2312"/>
          <w:bCs/>
          <w:color w:val="auto"/>
          <w:sz w:val="32"/>
          <w:szCs w:val="32"/>
        </w:rPr>
        <w:t>违约承诺</w:t>
      </w:r>
      <w:r>
        <w:rPr>
          <w:rFonts w:hint="eastAsia" w:ascii="仿宋_GB2312" w:hAnsi="仿宋_GB2312" w:eastAsia="仿宋_GB2312" w:cs="仿宋_GB2312"/>
          <w:b w:val="0"/>
          <w:bCs/>
          <w:color w:val="auto"/>
          <w:sz w:val="32"/>
          <w:szCs w:val="32"/>
          <w:lang w:val="en-US" w:eastAsia="zh-CN"/>
        </w:rPr>
        <w:t>（格式自定）。</w:t>
      </w:r>
    </w:p>
    <w:p w14:paraId="0E0B659A">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12.供应商基本情况表（附件1）；</w:t>
      </w:r>
    </w:p>
    <w:p w14:paraId="1DD5C1B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13.政府采购违法行为风险知悉确认书（附件2）。</w:t>
      </w:r>
    </w:p>
    <w:p w14:paraId="04ACB5F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14.履约承诺书（附件3）。</w:t>
      </w:r>
    </w:p>
    <w:p w14:paraId="531D9E5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15.诚信承诺函（附件4）。</w:t>
      </w:r>
    </w:p>
    <w:p w14:paraId="07767F5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16.其他供应商认为有必要提供的其他材料。</w:t>
      </w:r>
    </w:p>
    <w:p w14:paraId="7C0410F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八、</w:t>
      </w:r>
      <w:r>
        <w:rPr>
          <w:rFonts w:hint="eastAsia" w:ascii="黑体" w:hAnsi="黑体" w:eastAsia="黑体" w:cs="黑体"/>
          <w:b w:val="0"/>
          <w:bCs w:val="0"/>
          <w:sz w:val="32"/>
          <w:szCs w:val="32"/>
          <w:lang w:val="en-US" w:eastAsia="zh-CN"/>
        </w:rPr>
        <w:t>投标文件装订要求</w:t>
      </w:r>
    </w:p>
    <w:p w14:paraId="723E7BE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标供应商应准备纸质投标文件一正两副，电子文档一份,U盘或光盘储存（投标文件正本盖章后的扫描件，PDF格式），在每一份投标文件上注明投标供应商名称及项目名称，编上页次装订成册（不允许使用活页夹，否则造成的风险由投标供应商自行承担），并要明确注明“正本”或“副本”字样，一旦正本和副本发现差异，以正本为准。</w:t>
      </w:r>
    </w:p>
    <w:p w14:paraId="1549F40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2.投标文件正本和副本须打印或用不褪色墨水书写，由投标供应商法定代表人或其授权代表签字，后者须将“法定代表人授权书”以书面形式附在投标文件中。副本文件可由正本文件复印而成。</w:t>
      </w:r>
    </w:p>
    <w:p w14:paraId="0DE098A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3.除投标供应商对错处作必要修改外，投标文件中不许有加行、涂抹或改写。若有修改须由投标供应商法定代表人或其授权代表进行签字，并加盖投标供应商公章。</w:t>
      </w:r>
    </w:p>
    <w:p w14:paraId="5F8C2B1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4.投标文件的[正本]及所有[副本]的封面均须由投标供应商加盖公章。</w:t>
      </w:r>
    </w:p>
    <w:p w14:paraId="5376937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5.投标文件的封面应注明“采购项目名称、投标供应商名称”。</w:t>
      </w:r>
    </w:p>
    <w:p w14:paraId="2328200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6.电子文件用MS office制作，内容包括：由投标供应商自行制作的与投标文件正本一致的所有文件。电子文件用U盘或光盘储存，并与投标文件一并密封。</w:t>
      </w:r>
    </w:p>
    <w:p w14:paraId="20B7E20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7.电报、电传、传真形式的谈判应答概不接受。</w:t>
      </w:r>
    </w:p>
    <w:p w14:paraId="38A1CC4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响应供应商应在规定的响应时间截止前，递交完整的响应文件及对应每种套餐的实物样品（须密封包装并标注清楚）。响应时间截止后，采购人将组织评审委员会，对所有递交的有效响应文件及对应实物样品进行审核和评审。所有未中选的供应商，采购人将不再单独另行通知，其递交的样品可由供应商在公示期结束后5个工作日内自行取回，逾期未取回视为自动放弃，由采购人统一处置。</w:t>
      </w:r>
    </w:p>
    <w:p w14:paraId="25A8377A">
      <w:pPr>
        <w:pStyle w:val="8"/>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hAnsi="仿宋_GB2312" w:cs="仿宋_GB2312"/>
          <w:color w:val="auto"/>
          <w:sz w:val="32"/>
          <w:szCs w:val="32"/>
          <w:lang w:eastAsia="zh-CN"/>
        </w:rPr>
      </w:pPr>
    </w:p>
    <w:p w14:paraId="15F78F51">
      <w:pPr>
        <w:pStyle w:val="8"/>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hAnsi="仿宋_GB2312" w:cs="仿宋_GB2312"/>
          <w:sz w:val="32"/>
          <w:szCs w:val="32"/>
          <w:lang w:eastAsia="zh-CN"/>
        </w:rPr>
        <w:t>附件：</w:t>
      </w:r>
      <w:r>
        <w:rPr>
          <w:rFonts w:hint="eastAsia" w:hAnsi="仿宋_GB2312" w:cs="仿宋_GB2312"/>
          <w:sz w:val="32"/>
          <w:szCs w:val="32"/>
          <w:highlight w:val="none"/>
          <w:lang w:val="en-US" w:eastAsia="zh-CN"/>
        </w:rPr>
        <w:t>1.供应商基本情况表</w:t>
      </w:r>
    </w:p>
    <w:p w14:paraId="6BCF5193">
      <w:pPr>
        <w:pStyle w:val="8"/>
        <w:keepNext w:val="0"/>
        <w:keepLines w:val="0"/>
        <w:pageBreakBefore w:val="0"/>
        <w:widowControl w:val="0"/>
        <w:numPr>
          <w:ilvl w:val="-1"/>
          <w:numId w:val="0"/>
        </w:numPr>
        <w:kinsoku/>
        <w:wordWrap/>
        <w:overflowPunct/>
        <w:topLinePunct w:val="0"/>
        <w:autoSpaceDE/>
        <w:autoSpaceDN/>
        <w:bidi w:val="0"/>
        <w:adjustRightInd/>
        <w:snapToGrid/>
        <w:spacing w:line="570" w:lineRule="exact"/>
        <w:ind w:left="1600" w:firstLine="0" w:firstLineChars="0"/>
        <w:textAlignment w:val="auto"/>
        <w:rPr>
          <w:rFonts w:hint="eastAsia" w:ascii="仿宋_GB2312" w:hAnsi="仿宋_GB2312" w:eastAsia="仿宋_GB2312" w:cs="仿宋_GB2312"/>
          <w:b w:val="0"/>
          <w:bCs/>
          <w:color w:val="auto"/>
          <w:sz w:val="32"/>
          <w:szCs w:val="32"/>
          <w:lang w:val="en-US" w:eastAsia="zh-CN"/>
        </w:rPr>
      </w:pPr>
      <w:r>
        <w:rPr>
          <w:rFonts w:hint="eastAsia" w:hAnsi="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lang w:val="en-US" w:eastAsia="zh-CN"/>
        </w:rPr>
        <w:t>政府采购违法行为风险知悉确认书</w:t>
      </w:r>
    </w:p>
    <w:p w14:paraId="6A5FF693">
      <w:pPr>
        <w:pStyle w:val="8"/>
        <w:keepNext w:val="0"/>
        <w:keepLines w:val="0"/>
        <w:pageBreakBefore w:val="0"/>
        <w:widowControl w:val="0"/>
        <w:numPr>
          <w:ilvl w:val="-1"/>
          <w:numId w:val="0"/>
        </w:numPr>
        <w:kinsoku/>
        <w:wordWrap/>
        <w:overflowPunct/>
        <w:topLinePunct w:val="0"/>
        <w:autoSpaceDE/>
        <w:autoSpaceDN/>
        <w:bidi w:val="0"/>
        <w:adjustRightInd/>
        <w:snapToGrid/>
        <w:spacing w:line="570" w:lineRule="exact"/>
        <w:ind w:left="1600" w:firstLine="0" w:firstLineChars="0"/>
        <w:textAlignment w:val="auto"/>
        <w:rPr>
          <w:rFonts w:hint="eastAsia" w:hAnsi="仿宋_GB2312" w:cs="仿宋_GB2312"/>
          <w:b w:val="0"/>
          <w:bCs/>
          <w:color w:val="auto"/>
          <w:sz w:val="32"/>
          <w:szCs w:val="32"/>
          <w:lang w:val="en-US" w:eastAsia="zh-CN"/>
        </w:rPr>
      </w:pPr>
      <w:r>
        <w:rPr>
          <w:rFonts w:hint="eastAsia"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lang w:val="en-US" w:eastAsia="zh-CN"/>
        </w:rPr>
        <w:t>履约承诺书</w:t>
      </w:r>
    </w:p>
    <w:p w14:paraId="719B51E9">
      <w:pPr>
        <w:pStyle w:val="8"/>
        <w:keepNext w:val="0"/>
        <w:keepLines w:val="0"/>
        <w:pageBreakBefore w:val="0"/>
        <w:widowControl w:val="0"/>
        <w:numPr>
          <w:ilvl w:val="-1"/>
          <w:numId w:val="0"/>
        </w:numPr>
        <w:kinsoku/>
        <w:wordWrap/>
        <w:overflowPunct/>
        <w:topLinePunct w:val="0"/>
        <w:autoSpaceDE/>
        <w:autoSpaceDN/>
        <w:bidi w:val="0"/>
        <w:adjustRightInd/>
        <w:snapToGrid/>
        <w:spacing w:line="570" w:lineRule="exact"/>
        <w:ind w:left="1600" w:firstLine="0" w:firstLineChars="0"/>
        <w:textAlignment w:val="auto"/>
        <w:rPr>
          <w:rFonts w:hint="eastAsia" w:ascii="仿宋_GB2312" w:hAnsi="仿宋_GB2312" w:eastAsia="仿宋_GB2312" w:cs="仿宋_GB2312"/>
          <w:sz w:val="32"/>
          <w:szCs w:val="32"/>
          <w:lang w:eastAsia="zh-CN"/>
        </w:rPr>
      </w:pPr>
      <w:r>
        <w:rPr>
          <w:rFonts w:hint="eastAsia" w:hAnsi="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lang w:val="en-US" w:eastAsia="zh-CN"/>
        </w:rPr>
        <w:t>诚信承诺函</w:t>
      </w:r>
    </w:p>
    <w:p w14:paraId="56FC41A4">
      <w:pPr>
        <w:keepNext w:val="0"/>
        <w:keepLines w:val="0"/>
        <w:pageBreakBefore w:val="0"/>
        <w:widowControl w:val="0"/>
        <w:kinsoku/>
        <w:wordWrap/>
        <w:overflowPunct/>
        <w:topLinePunct w:val="0"/>
        <w:autoSpaceDE/>
        <w:autoSpaceDN/>
        <w:bidi w:val="0"/>
        <w:adjustRightInd w:val="0"/>
        <w:snapToGrid w:val="0"/>
        <w:spacing w:line="570" w:lineRule="exact"/>
        <w:ind w:firstLine="3840" w:firstLineChars="1200"/>
        <w:jc w:val="left"/>
        <w:textAlignment w:val="auto"/>
        <w:outlineLvl w:val="9"/>
        <w:rPr>
          <w:rFonts w:hint="eastAsia" w:ascii="仿宋_GB2312" w:hAnsi="仿宋_GB2312" w:eastAsia="仿宋_GB2312" w:cs="仿宋_GB2312"/>
          <w:sz w:val="32"/>
          <w:szCs w:val="32"/>
          <w:lang w:eastAsia="zh-CN"/>
        </w:rPr>
      </w:pPr>
    </w:p>
    <w:p w14:paraId="39503599">
      <w:pPr>
        <w:keepNext w:val="0"/>
        <w:keepLines w:val="0"/>
        <w:pageBreakBefore w:val="0"/>
        <w:widowControl w:val="0"/>
        <w:kinsoku/>
        <w:wordWrap/>
        <w:overflowPunct/>
        <w:topLinePunct w:val="0"/>
        <w:autoSpaceDE/>
        <w:autoSpaceDN/>
        <w:bidi w:val="0"/>
        <w:adjustRightInd w:val="0"/>
        <w:snapToGrid w:val="0"/>
        <w:spacing w:line="570" w:lineRule="exact"/>
        <w:ind w:firstLine="3840" w:firstLineChars="1200"/>
        <w:jc w:val="left"/>
        <w:textAlignment w:val="auto"/>
        <w:outlineLvl w:val="9"/>
        <w:rPr>
          <w:rFonts w:hint="eastAsia" w:ascii="黑体" w:hAnsi="黑体" w:eastAsia="黑体" w:cs="黑体"/>
          <w:bCs/>
          <w:sz w:val="32"/>
          <w:szCs w:val="32"/>
          <w:highlight w:val="none"/>
        </w:rPr>
      </w:pPr>
      <w:r>
        <w:rPr>
          <w:rFonts w:hint="eastAsia" w:ascii="仿宋_GB2312" w:hAnsi="仿宋_GB2312" w:eastAsia="仿宋_GB2312" w:cs="仿宋_GB2312"/>
          <w:sz w:val="32"/>
          <w:szCs w:val="32"/>
          <w:lang w:eastAsia="zh-CN"/>
        </w:rPr>
        <w:t>深圳市福田区沙头街道办事处</w:t>
      </w:r>
    </w:p>
    <w:p w14:paraId="4CFABBC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2025年12月12日</w:t>
      </w:r>
    </w:p>
    <w:p w14:paraId="297D343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rPr>
        <w:t>附件</w:t>
      </w:r>
      <w:r>
        <w:rPr>
          <w:rFonts w:hint="eastAsia" w:ascii="黑体" w:hAnsi="黑体" w:eastAsia="黑体" w:cs="黑体"/>
          <w:bCs/>
          <w:sz w:val="32"/>
          <w:szCs w:val="32"/>
          <w:highlight w:val="none"/>
          <w:lang w:val="en-US" w:eastAsia="zh-CN"/>
        </w:rPr>
        <w:t>1</w:t>
      </w:r>
    </w:p>
    <w:p w14:paraId="2C0358C1">
      <w:pPr>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outlineLvl w:val="0"/>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供应商基本情况表</w:t>
      </w:r>
    </w:p>
    <w:p w14:paraId="0161F0DD">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填表单位：（加盖单位公章）</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 xml:space="preserve">   填表日期：    年   月   日</w:t>
      </w:r>
    </w:p>
    <w:tbl>
      <w:tblPr>
        <w:tblStyle w:val="10"/>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960"/>
        <w:gridCol w:w="1242"/>
        <w:gridCol w:w="1208"/>
        <w:gridCol w:w="791"/>
        <w:gridCol w:w="1200"/>
        <w:gridCol w:w="1500"/>
        <w:gridCol w:w="1485"/>
      </w:tblGrid>
      <w:tr w14:paraId="5653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515" w:type="dxa"/>
            <w:gridSpan w:val="2"/>
            <w:noWrap w:val="0"/>
            <w:vAlign w:val="center"/>
          </w:tcPr>
          <w:p w14:paraId="0C88AE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采购人</w:t>
            </w:r>
          </w:p>
        </w:tc>
        <w:tc>
          <w:tcPr>
            <w:tcW w:w="2450" w:type="dxa"/>
            <w:gridSpan w:val="2"/>
            <w:noWrap w:val="0"/>
            <w:vAlign w:val="center"/>
          </w:tcPr>
          <w:p w14:paraId="2EDCD71E">
            <w:pPr>
              <w:jc w:val="center"/>
              <w:rPr>
                <w:rFonts w:hint="eastAsia" w:ascii="仿宋_GB2312" w:hAnsi="仿宋_GB2312" w:eastAsia="仿宋_GB2312" w:cs="仿宋_GB2312"/>
                <w:sz w:val="24"/>
                <w:szCs w:val="24"/>
                <w:vertAlign w:val="baseline"/>
                <w:lang w:val="en-US" w:eastAsia="zh-CN"/>
              </w:rPr>
            </w:pPr>
          </w:p>
        </w:tc>
        <w:tc>
          <w:tcPr>
            <w:tcW w:w="1991" w:type="dxa"/>
            <w:gridSpan w:val="2"/>
            <w:noWrap w:val="0"/>
            <w:vAlign w:val="center"/>
          </w:tcPr>
          <w:p w14:paraId="5FB9F1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项目名称</w:t>
            </w:r>
          </w:p>
        </w:tc>
        <w:tc>
          <w:tcPr>
            <w:tcW w:w="2985" w:type="dxa"/>
            <w:gridSpan w:val="2"/>
            <w:noWrap w:val="0"/>
            <w:vAlign w:val="center"/>
          </w:tcPr>
          <w:p w14:paraId="45104FF1">
            <w:pPr>
              <w:jc w:val="center"/>
              <w:rPr>
                <w:rFonts w:hint="eastAsia" w:ascii="仿宋_GB2312" w:hAnsi="仿宋_GB2312" w:eastAsia="仿宋_GB2312" w:cs="仿宋_GB2312"/>
                <w:sz w:val="24"/>
                <w:szCs w:val="24"/>
                <w:vertAlign w:val="baseline"/>
                <w:lang w:val="en-US" w:eastAsia="zh-CN"/>
              </w:rPr>
            </w:pPr>
          </w:p>
        </w:tc>
      </w:tr>
      <w:tr w14:paraId="40DF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gridSpan w:val="2"/>
            <w:noWrap w:val="0"/>
            <w:vAlign w:val="center"/>
          </w:tcPr>
          <w:p w14:paraId="56AAAD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投标（响应）供应商</w:t>
            </w:r>
          </w:p>
        </w:tc>
        <w:tc>
          <w:tcPr>
            <w:tcW w:w="2450" w:type="dxa"/>
            <w:gridSpan w:val="2"/>
            <w:noWrap w:val="0"/>
            <w:vAlign w:val="center"/>
          </w:tcPr>
          <w:p w14:paraId="17594570">
            <w:pPr>
              <w:jc w:val="center"/>
              <w:rPr>
                <w:rFonts w:hint="eastAsia" w:ascii="仿宋_GB2312" w:hAnsi="仿宋_GB2312" w:eastAsia="仿宋_GB2312" w:cs="仿宋_GB2312"/>
                <w:sz w:val="24"/>
                <w:szCs w:val="24"/>
                <w:vertAlign w:val="baseline"/>
                <w:lang w:val="en-US" w:eastAsia="zh-CN"/>
              </w:rPr>
            </w:pPr>
          </w:p>
        </w:tc>
        <w:tc>
          <w:tcPr>
            <w:tcW w:w="1991" w:type="dxa"/>
            <w:gridSpan w:val="2"/>
            <w:noWrap w:val="0"/>
            <w:vAlign w:val="center"/>
          </w:tcPr>
          <w:p w14:paraId="2CC400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供应商统一社会信用代码</w:t>
            </w:r>
          </w:p>
        </w:tc>
        <w:tc>
          <w:tcPr>
            <w:tcW w:w="2985" w:type="dxa"/>
            <w:gridSpan w:val="2"/>
            <w:noWrap w:val="0"/>
            <w:vAlign w:val="center"/>
          </w:tcPr>
          <w:p w14:paraId="34FAA594">
            <w:pPr>
              <w:jc w:val="center"/>
              <w:rPr>
                <w:rFonts w:hint="eastAsia" w:ascii="仿宋_GB2312" w:hAnsi="仿宋_GB2312" w:eastAsia="仿宋_GB2312" w:cs="仿宋_GB2312"/>
                <w:sz w:val="24"/>
                <w:szCs w:val="24"/>
                <w:vertAlign w:val="baseline"/>
                <w:lang w:val="en-US" w:eastAsia="zh-CN"/>
              </w:rPr>
            </w:pPr>
          </w:p>
        </w:tc>
      </w:tr>
      <w:tr w14:paraId="4329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941" w:type="dxa"/>
            <w:gridSpan w:val="8"/>
            <w:noWrap w:val="0"/>
            <w:vAlign w:val="center"/>
          </w:tcPr>
          <w:p w14:paraId="473CE16B">
            <w:pPr>
              <w:jc w:val="center"/>
              <w:rPr>
                <w:rFonts w:hint="eastAsia" w:ascii="仿宋_GB2312" w:hAnsi="仿宋_GB2312" w:eastAsia="仿宋_GB2312" w:cs="仿宋_GB2312"/>
                <w:sz w:val="24"/>
                <w:szCs w:val="24"/>
                <w:vertAlign w:val="baseline"/>
                <w:lang w:val="en-US" w:eastAsia="zh-CN"/>
              </w:rPr>
            </w:pPr>
            <w:r>
              <w:rPr>
                <w:rFonts w:hint="eastAsia" w:ascii="黑体" w:hAnsi="黑体" w:eastAsia="黑体" w:cs="黑体"/>
                <w:b w:val="0"/>
                <w:bCs w:val="0"/>
                <w:sz w:val="24"/>
                <w:szCs w:val="24"/>
                <w:vertAlign w:val="baseline"/>
                <w:lang w:val="en-US" w:eastAsia="zh-CN"/>
              </w:rPr>
              <w:t>投标（响应）供应商相关人员情况</w:t>
            </w:r>
          </w:p>
        </w:tc>
      </w:tr>
      <w:tr w14:paraId="7012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Borders>
              <w:bottom w:val="single" w:color="auto" w:sz="4" w:space="0"/>
            </w:tcBorders>
            <w:noWrap w:val="0"/>
            <w:vAlign w:val="center"/>
          </w:tcPr>
          <w:p w14:paraId="6EE1E9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序号</w:t>
            </w:r>
          </w:p>
        </w:tc>
        <w:tc>
          <w:tcPr>
            <w:tcW w:w="2202" w:type="dxa"/>
            <w:gridSpan w:val="2"/>
            <w:tcBorders>
              <w:bottom w:val="single" w:color="auto" w:sz="4" w:space="0"/>
            </w:tcBorders>
            <w:noWrap w:val="0"/>
            <w:vAlign w:val="center"/>
          </w:tcPr>
          <w:p w14:paraId="54E26F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职务</w:t>
            </w:r>
          </w:p>
        </w:tc>
        <w:tc>
          <w:tcPr>
            <w:tcW w:w="1208" w:type="dxa"/>
            <w:tcBorders>
              <w:bottom w:val="single" w:color="auto" w:sz="4" w:space="0"/>
            </w:tcBorders>
            <w:noWrap w:val="0"/>
            <w:vAlign w:val="center"/>
          </w:tcPr>
          <w:p w14:paraId="604C40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姓名</w:t>
            </w:r>
          </w:p>
        </w:tc>
        <w:tc>
          <w:tcPr>
            <w:tcW w:w="1991" w:type="dxa"/>
            <w:gridSpan w:val="2"/>
            <w:tcBorders>
              <w:bottom w:val="single" w:color="auto" w:sz="4" w:space="0"/>
            </w:tcBorders>
            <w:noWrap w:val="0"/>
            <w:vAlign w:val="center"/>
          </w:tcPr>
          <w:p w14:paraId="5E1736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身份证号码</w:t>
            </w:r>
          </w:p>
        </w:tc>
        <w:tc>
          <w:tcPr>
            <w:tcW w:w="1500" w:type="dxa"/>
            <w:tcBorders>
              <w:bottom w:val="single" w:color="auto" w:sz="4" w:space="0"/>
            </w:tcBorders>
            <w:noWrap w:val="0"/>
            <w:vAlign w:val="center"/>
          </w:tcPr>
          <w:p w14:paraId="382D05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劳动合同</w:t>
            </w:r>
          </w:p>
          <w:p w14:paraId="16216E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关系单位</w:t>
            </w:r>
          </w:p>
        </w:tc>
        <w:tc>
          <w:tcPr>
            <w:tcW w:w="1485" w:type="dxa"/>
            <w:tcBorders>
              <w:bottom w:val="single" w:color="auto" w:sz="4" w:space="0"/>
            </w:tcBorders>
            <w:noWrap w:val="0"/>
            <w:vAlign w:val="center"/>
          </w:tcPr>
          <w:p w14:paraId="62F5D9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缴纳社会</w:t>
            </w:r>
          </w:p>
          <w:p w14:paraId="51C1A0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保险单位</w:t>
            </w:r>
          </w:p>
        </w:tc>
      </w:tr>
      <w:tr w14:paraId="5072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Borders>
              <w:top w:val="single" w:color="auto" w:sz="4" w:space="0"/>
              <w:left w:val="single" w:color="auto" w:sz="4" w:space="0"/>
              <w:bottom w:val="single" w:color="auto" w:sz="4" w:space="0"/>
              <w:right w:val="single" w:color="auto" w:sz="4" w:space="0"/>
            </w:tcBorders>
            <w:noWrap w:val="0"/>
            <w:vAlign w:val="center"/>
          </w:tcPr>
          <w:p w14:paraId="6B6529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202" w:type="dxa"/>
            <w:gridSpan w:val="2"/>
            <w:tcBorders>
              <w:top w:val="single" w:color="auto" w:sz="4" w:space="0"/>
              <w:left w:val="single" w:color="auto" w:sz="4" w:space="0"/>
              <w:bottom w:val="single" w:color="auto" w:sz="4" w:space="0"/>
              <w:right w:val="single" w:color="auto" w:sz="4" w:space="0"/>
            </w:tcBorders>
            <w:noWrap w:val="0"/>
            <w:vAlign w:val="center"/>
          </w:tcPr>
          <w:p w14:paraId="5EBEF6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法定代表人/单位负责人/主要经营负责人</w:t>
            </w:r>
          </w:p>
        </w:tc>
        <w:tc>
          <w:tcPr>
            <w:tcW w:w="1208" w:type="dxa"/>
            <w:tcBorders>
              <w:top w:val="single" w:color="auto" w:sz="4" w:space="0"/>
              <w:left w:val="single" w:color="auto" w:sz="4" w:space="0"/>
              <w:bottom w:val="single" w:color="auto" w:sz="4" w:space="0"/>
              <w:right w:val="single" w:color="auto" w:sz="4" w:space="0"/>
            </w:tcBorders>
            <w:noWrap w:val="0"/>
            <w:vAlign w:val="center"/>
          </w:tcPr>
          <w:p w14:paraId="7BAEB470">
            <w:pPr>
              <w:jc w:val="center"/>
              <w:rPr>
                <w:rFonts w:hint="eastAsia" w:ascii="仿宋_GB2312" w:hAnsi="仿宋_GB2312" w:eastAsia="仿宋_GB2312" w:cs="仿宋_GB2312"/>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762087D8">
            <w:pPr>
              <w:jc w:val="center"/>
              <w:rPr>
                <w:rFonts w:hint="eastAsia" w:ascii="仿宋_GB2312" w:hAnsi="仿宋_GB2312" w:eastAsia="仿宋_GB2312" w:cs="仿宋_GB2312"/>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062F844">
            <w:pPr>
              <w:jc w:val="center"/>
              <w:rPr>
                <w:rFonts w:hint="eastAsia" w:ascii="仿宋_GB2312" w:hAnsi="仿宋_GB2312" w:eastAsia="仿宋_GB2312" w:cs="仿宋_GB2312"/>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DDAE2A2">
            <w:pPr>
              <w:jc w:val="center"/>
              <w:rPr>
                <w:rFonts w:hint="eastAsia" w:ascii="仿宋_GB2312" w:hAnsi="仿宋_GB2312" w:eastAsia="仿宋_GB2312" w:cs="仿宋_GB2312"/>
                <w:sz w:val="24"/>
                <w:szCs w:val="24"/>
                <w:vertAlign w:val="baseline"/>
                <w:lang w:val="en-US" w:eastAsia="zh-CN"/>
              </w:rPr>
            </w:pPr>
          </w:p>
        </w:tc>
      </w:tr>
      <w:tr w14:paraId="0B33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Borders>
              <w:top w:val="single" w:color="auto" w:sz="4" w:space="0"/>
              <w:left w:val="single" w:color="auto" w:sz="4" w:space="0"/>
              <w:bottom w:val="single" w:color="auto" w:sz="4" w:space="0"/>
              <w:right w:val="single" w:color="auto" w:sz="4" w:space="0"/>
            </w:tcBorders>
            <w:noWrap w:val="0"/>
            <w:vAlign w:val="center"/>
          </w:tcPr>
          <w:p w14:paraId="1EB7F1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202" w:type="dxa"/>
            <w:gridSpan w:val="2"/>
            <w:tcBorders>
              <w:top w:val="single" w:color="auto" w:sz="4" w:space="0"/>
              <w:left w:val="single" w:color="auto" w:sz="4" w:space="0"/>
              <w:bottom w:val="single" w:color="auto" w:sz="4" w:space="0"/>
              <w:right w:val="single" w:color="auto" w:sz="4" w:space="0"/>
            </w:tcBorders>
            <w:noWrap w:val="0"/>
            <w:vAlign w:val="center"/>
          </w:tcPr>
          <w:p w14:paraId="0087DA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项目投标授权代表人</w:t>
            </w:r>
          </w:p>
        </w:tc>
        <w:tc>
          <w:tcPr>
            <w:tcW w:w="1208" w:type="dxa"/>
            <w:tcBorders>
              <w:top w:val="single" w:color="auto" w:sz="4" w:space="0"/>
              <w:left w:val="single" w:color="auto" w:sz="4" w:space="0"/>
              <w:bottom w:val="single" w:color="auto" w:sz="4" w:space="0"/>
              <w:right w:val="single" w:color="auto" w:sz="4" w:space="0"/>
            </w:tcBorders>
            <w:noWrap w:val="0"/>
            <w:vAlign w:val="center"/>
          </w:tcPr>
          <w:p w14:paraId="21B1C09F">
            <w:pPr>
              <w:jc w:val="center"/>
              <w:rPr>
                <w:rFonts w:hint="eastAsia" w:ascii="仿宋_GB2312" w:hAnsi="仿宋_GB2312" w:eastAsia="仿宋_GB2312" w:cs="仿宋_GB2312"/>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987361D">
            <w:pPr>
              <w:jc w:val="center"/>
              <w:rPr>
                <w:rFonts w:hint="eastAsia" w:ascii="仿宋_GB2312" w:hAnsi="仿宋_GB2312" w:eastAsia="仿宋_GB2312" w:cs="仿宋_GB2312"/>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C2AECA1">
            <w:pPr>
              <w:jc w:val="center"/>
              <w:rPr>
                <w:rFonts w:hint="eastAsia" w:ascii="仿宋_GB2312" w:hAnsi="仿宋_GB2312" w:eastAsia="仿宋_GB2312" w:cs="仿宋_GB2312"/>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BC49E28">
            <w:pPr>
              <w:jc w:val="center"/>
              <w:rPr>
                <w:rFonts w:hint="eastAsia" w:ascii="仿宋_GB2312" w:hAnsi="仿宋_GB2312" w:eastAsia="仿宋_GB2312" w:cs="仿宋_GB2312"/>
                <w:sz w:val="24"/>
                <w:szCs w:val="24"/>
                <w:vertAlign w:val="baseline"/>
                <w:lang w:val="en-US" w:eastAsia="zh-CN"/>
              </w:rPr>
            </w:pPr>
          </w:p>
        </w:tc>
      </w:tr>
      <w:tr w14:paraId="3259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55" w:type="dxa"/>
            <w:tcBorders>
              <w:top w:val="single" w:color="auto" w:sz="4" w:space="0"/>
            </w:tcBorders>
            <w:noWrap w:val="0"/>
            <w:vAlign w:val="center"/>
          </w:tcPr>
          <w:p w14:paraId="4DD5E3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202" w:type="dxa"/>
            <w:gridSpan w:val="2"/>
            <w:tcBorders>
              <w:top w:val="single" w:color="auto" w:sz="4" w:space="0"/>
            </w:tcBorders>
            <w:noWrap w:val="0"/>
            <w:vAlign w:val="center"/>
          </w:tcPr>
          <w:p w14:paraId="6DAF6B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项目负责人</w:t>
            </w:r>
          </w:p>
        </w:tc>
        <w:tc>
          <w:tcPr>
            <w:tcW w:w="1208" w:type="dxa"/>
            <w:tcBorders>
              <w:top w:val="single" w:color="auto" w:sz="4" w:space="0"/>
            </w:tcBorders>
            <w:noWrap w:val="0"/>
            <w:vAlign w:val="center"/>
          </w:tcPr>
          <w:p w14:paraId="1BCAF387">
            <w:pPr>
              <w:jc w:val="center"/>
              <w:rPr>
                <w:rFonts w:hint="eastAsia" w:ascii="仿宋_GB2312" w:hAnsi="仿宋_GB2312" w:eastAsia="仿宋_GB2312" w:cs="仿宋_GB2312"/>
                <w:sz w:val="24"/>
                <w:szCs w:val="24"/>
                <w:vertAlign w:val="baseline"/>
                <w:lang w:val="en-US" w:eastAsia="zh-CN"/>
              </w:rPr>
            </w:pPr>
          </w:p>
        </w:tc>
        <w:tc>
          <w:tcPr>
            <w:tcW w:w="1991" w:type="dxa"/>
            <w:gridSpan w:val="2"/>
            <w:tcBorders>
              <w:top w:val="single" w:color="auto" w:sz="4" w:space="0"/>
            </w:tcBorders>
            <w:noWrap w:val="0"/>
            <w:vAlign w:val="center"/>
          </w:tcPr>
          <w:p w14:paraId="460EB4A2">
            <w:pPr>
              <w:jc w:val="center"/>
              <w:rPr>
                <w:rFonts w:hint="eastAsia" w:ascii="仿宋_GB2312" w:hAnsi="仿宋_GB2312" w:eastAsia="仿宋_GB2312" w:cs="仿宋_GB2312"/>
                <w:sz w:val="24"/>
                <w:szCs w:val="24"/>
                <w:vertAlign w:val="baseline"/>
                <w:lang w:val="en-US" w:eastAsia="zh-CN"/>
              </w:rPr>
            </w:pPr>
          </w:p>
        </w:tc>
        <w:tc>
          <w:tcPr>
            <w:tcW w:w="1500" w:type="dxa"/>
            <w:tcBorders>
              <w:top w:val="single" w:color="auto" w:sz="4" w:space="0"/>
            </w:tcBorders>
            <w:noWrap w:val="0"/>
            <w:vAlign w:val="center"/>
          </w:tcPr>
          <w:p w14:paraId="192CB45E">
            <w:pPr>
              <w:jc w:val="center"/>
              <w:rPr>
                <w:rFonts w:hint="eastAsia" w:ascii="仿宋_GB2312" w:hAnsi="仿宋_GB2312" w:eastAsia="仿宋_GB2312" w:cs="仿宋_GB2312"/>
                <w:sz w:val="24"/>
                <w:szCs w:val="24"/>
                <w:vertAlign w:val="baseline"/>
                <w:lang w:val="en-US" w:eastAsia="zh-CN"/>
              </w:rPr>
            </w:pPr>
          </w:p>
        </w:tc>
        <w:tc>
          <w:tcPr>
            <w:tcW w:w="1485" w:type="dxa"/>
            <w:tcBorders>
              <w:top w:val="single" w:color="auto" w:sz="4" w:space="0"/>
            </w:tcBorders>
            <w:noWrap w:val="0"/>
            <w:vAlign w:val="center"/>
          </w:tcPr>
          <w:p w14:paraId="52F20ABD">
            <w:pPr>
              <w:jc w:val="center"/>
              <w:rPr>
                <w:rFonts w:hint="eastAsia" w:ascii="仿宋_GB2312" w:hAnsi="仿宋_GB2312" w:eastAsia="仿宋_GB2312" w:cs="仿宋_GB2312"/>
                <w:sz w:val="24"/>
                <w:szCs w:val="24"/>
                <w:vertAlign w:val="baseline"/>
                <w:lang w:val="en-US" w:eastAsia="zh-CN"/>
              </w:rPr>
            </w:pPr>
          </w:p>
        </w:tc>
      </w:tr>
      <w:tr w14:paraId="779B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55" w:type="dxa"/>
            <w:noWrap w:val="0"/>
            <w:vAlign w:val="center"/>
          </w:tcPr>
          <w:p w14:paraId="371FEF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202" w:type="dxa"/>
            <w:gridSpan w:val="2"/>
            <w:noWrap w:val="0"/>
            <w:vAlign w:val="center"/>
          </w:tcPr>
          <w:p w14:paraId="778815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主要技术人员</w:t>
            </w:r>
          </w:p>
        </w:tc>
        <w:tc>
          <w:tcPr>
            <w:tcW w:w="1208" w:type="dxa"/>
            <w:noWrap w:val="0"/>
            <w:vAlign w:val="center"/>
          </w:tcPr>
          <w:p w14:paraId="0AEE3FBA">
            <w:pPr>
              <w:jc w:val="center"/>
              <w:rPr>
                <w:rFonts w:hint="eastAsia" w:ascii="仿宋_GB2312" w:hAnsi="仿宋_GB2312" w:eastAsia="仿宋_GB2312" w:cs="仿宋_GB2312"/>
                <w:sz w:val="24"/>
                <w:szCs w:val="24"/>
                <w:vertAlign w:val="baseline"/>
                <w:lang w:val="en-US" w:eastAsia="zh-CN"/>
              </w:rPr>
            </w:pPr>
          </w:p>
        </w:tc>
        <w:tc>
          <w:tcPr>
            <w:tcW w:w="1991" w:type="dxa"/>
            <w:gridSpan w:val="2"/>
            <w:noWrap w:val="0"/>
            <w:vAlign w:val="center"/>
          </w:tcPr>
          <w:p w14:paraId="0616C9E6">
            <w:pPr>
              <w:jc w:val="center"/>
              <w:rPr>
                <w:rFonts w:hint="eastAsia" w:ascii="仿宋_GB2312" w:hAnsi="仿宋_GB2312" w:eastAsia="仿宋_GB2312" w:cs="仿宋_GB2312"/>
                <w:sz w:val="24"/>
                <w:szCs w:val="24"/>
                <w:vertAlign w:val="baseline"/>
                <w:lang w:val="en-US" w:eastAsia="zh-CN"/>
              </w:rPr>
            </w:pPr>
          </w:p>
        </w:tc>
        <w:tc>
          <w:tcPr>
            <w:tcW w:w="1500" w:type="dxa"/>
            <w:noWrap w:val="0"/>
            <w:vAlign w:val="center"/>
          </w:tcPr>
          <w:p w14:paraId="56F11157">
            <w:pPr>
              <w:jc w:val="center"/>
              <w:rPr>
                <w:rFonts w:hint="eastAsia" w:ascii="仿宋_GB2312" w:hAnsi="仿宋_GB2312" w:eastAsia="仿宋_GB2312" w:cs="仿宋_GB2312"/>
                <w:sz w:val="24"/>
                <w:szCs w:val="24"/>
                <w:vertAlign w:val="baseline"/>
                <w:lang w:val="en-US" w:eastAsia="zh-CN"/>
              </w:rPr>
            </w:pPr>
          </w:p>
        </w:tc>
        <w:tc>
          <w:tcPr>
            <w:tcW w:w="1485" w:type="dxa"/>
            <w:noWrap w:val="0"/>
            <w:vAlign w:val="center"/>
          </w:tcPr>
          <w:p w14:paraId="61272EA3">
            <w:pPr>
              <w:jc w:val="center"/>
              <w:rPr>
                <w:rFonts w:hint="eastAsia" w:ascii="仿宋_GB2312" w:hAnsi="仿宋_GB2312" w:eastAsia="仿宋_GB2312" w:cs="仿宋_GB2312"/>
                <w:sz w:val="24"/>
                <w:szCs w:val="24"/>
                <w:vertAlign w:val="baseline"/>
                <w:lang w:val="en-US" w:eastAsia="zh-CN"/>
              </w:rPr>
            </w:pPr>
          </w:p>
        </w:tc>
      </w:tr>
      <w:tr w14:paraId="4160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55" w:type="dxa"/>
            <w:noWrap w:val="0"/>
            <w:vAlign w:val="center"/>
          </w:tcPr>
          <w:p w14:paraId="457B2E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2202" w:type="dxa"/>
            <w:gridSpan w:val="2"/>
            <w:noWrap w:val="0"/>
            <w:vAlign w:val="center"/>
          </w:tcPr>
          <w:p w14:paraId="53BFA3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投标文件编制人员</w:t>
            </w:r>
          </w:p>
        </w:tc>
        <w:tc>
          <w:tcPr>
            <w:tcW w:w="1208" w:type="dxa"/>
            <w:noWrap w:val="0"/>
            <w:vAlign w:val="center"/>
          </w:tcPr>
          <w:p w14:paraId="58776DC6">
            <w:pPr>
              <w:jc w:val="center"/>
              <w:rPr>
                <w:rFonts w:hint="eastAsia" w:ascii="仿宋_GB2312" w:hAnsi="仿宋_GB2312" w:eastAsia="仿宋_GB2312" w:cs="仿宋_GB2312"/>
                <w:sz w:val="24"/>
                <w:szCs w:val="24"/>
                <w:vertAlign w:val="baseline"/>
                <w:lang w:val="en-US" w:eastAsia="zh-CN"/>
              </w:rPr>
            </w:pPr>
          </w:p>
        </w:tc>
        <w:tc>
          <w:tcPr>
            <w:tcW w:w="1991" w:type="dxa"/>
            <w:gridSpan w:val="2"/>
            <w:noWrap w:val="0"/>
            <w:vAlign w:val="center"/>
          </w:tcPr>
          <w:p w14:paraId="4591AF85">
            <w:pPr>
              <w:jc w:val="center"/>
              <w:rPr>
                <w:rFonts w:hint="eastAsia" w:ascii="仿宋_GB2312" w:hAnsi="仿宋_GB2312" w:eastAsia="仿宋_GB2312" w:cs="仿宋_GB2312"/>
                <w:sz w:val="24"/>
                <w:szCs w:val="24"/>
                <w:vertAlign w:val="baseline"/>
                <w:lang w:val="en-US" w:eastAsia="zh-CN"/>
              </w:rPr>
            </w:pPr>
          </w:p>
        </w:tc>
        <w:tc>
          <w:tcPr>
            <w:tcW w:w="1500" w:type="dxa"/>
            <w:noWrap w:val="0"/>
            <w:vAlign w:val="center"/>
          </w:tcPr>
          <w:p w14:paraId="3F2FB44F">
            <w:pPr>
              <w:jc w:val="center"/>
              <w:rPr>
                <w:rFonts w:hint="eastAsia" w:ascii="仿宋_GB2312" w:hAnsi="仿宋_GB2312" w:eastAsia="仿宋_GB2312" w:cs="仿宋_GB2312"/>
                <w:sz w:val="24"/>
                <w:szCs w:val="24"/>
                <w:vertAlign w:val="baseline"/>
                <w:lang w:val="en-US" w:eastAsia="zh-CN"/>
              </w:rPr>
            </w:pPr>
          </w:p>
        </w:tc>
        <w:tc>
          <w:tcPr>
            <w:tcW w:w="1485" w:type="dxa"/>
            <w:noWrap w:val="0"/>
            <w:vAlign w:val="center"/>
          </w:tcPr>
          <w:p w14:paraId="0367951D">
            <w:pPr>
              <w:jc w:val="center"/>
              <w:rPr>
                <w:rFonts w:hint="eastAsia" w:ascii="仿宋_GB2312" w:hAnsi="仿宋_GB2312" w:eastAsia="仿宋_GB2312" w:cs="仿宋_GB2312"/>
                <w:sz w:val="24"/>
                <w:szCs w:val="24"/>
                <w:vertAlign w:val="baseline"/>
                <w:lang w:val="en-US" w:eastAsia="zh-CN"/>
              </w:rPr>
            </w:pPr>
          </w:p>
        </w:tc>
      </w:tr>
      <w:tr w14:paraId="1269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941" w:type="dxa"/>
            <w:gridSpan w:val="8"/>
            <w:noWrap w:val="0"/>
            <w:vAlign w:val="center"/>
          </w:tcPr>
          <w:p w14:paraId="1DE56205">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说明：同一职务有多人担任（如主要技术人员），应分行填写。</w:t>
            </w:r>
          </w:p>
        </w:tc>
      </w:tr>
      <w:tr w14:paraId="2F24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941" w:type="dxa"/>
            <w:gridSpan w:val="8"/>
            <w:noWrap w:val="0"/>
            <w:vAlign w:val="center"/>
          </w:tcPr>
          <w:p w14:paraId="30BA7F86">
            <w:pPr>
              <w:jc w:val="center"/>
              <w:rPr>
                <w:rFonts w:hint="eastAsia" w:ascii="仿宋_GB2312" w:hAnsi="仿宋_GB2312" w:eastAsia="仿宋_GB2312" w:cs="仿宋_GB2312"/>
                <w:b/>
                <w:bCs/>
                <w:sz w:val="24"/>
                <w:szCs w:val="24"/>
                <w:vertAlign w:val="baseline"/>
                <w:lang w:val="en-US" w:eastAsia="zh-CN"/>
              </w:rPr>
            </w:pPr>
            <w:r>
              <w:rPr>
                <w:rFonts w:hint="eastAsia" w:ascii="黑体" w:hAnsi="黑体" w:eastAsia="黑体" w:cs="黑体"/>
                <w:sz w:val="24"/>
                <w:szCs w:val="24"/>
                <w:lang w:val="en-US" w:eastAsia="zh-CN"/>
              </w:rPr>
              <w:t>投标（响应）供应商关联关系情况</w:t>
            </w:r>
          </w:p>
        </w:tc>
      </w:tr>
      <w:tr w14:paraId="4DFA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Borders>
              <w:bottom w:val="single" w:color="auto" w:sz="4" w:space="0"/>
            </w:tcBorders>
            <w:noWrap w:val="0"/>
            <w:vAlign w:val="center"/>
          </w:tcPr>
          <w:p w14:paraId="655432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序号</w:t>
            </w:r>
          </w:p>
        </w:tc>
        <w:tc>
          <w:tcPr>
            <w:tcW w:w="2202" w:type="dxa"/>
            <w:gridSpan w:val="2"/>
            <w:tcBorders>
              <w:bottom w:val="single" w:color="auto" w:sz="4" w:space="0"/>
            </w:tcBorders>
            <w:noWrap w:val="0"/>
            <w:vAlign w:val="center"/>
          </w:tcPr>
          <w:p w14:paraId="1237A2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关联关系类型</w:t>
            </w:r>
          </w:p>
        </w:tc>
        <w:tc>
          <w:tcPr>
            <w:tcW w:w="1999" w:type="dxa"/>
            <w:gridSpan w:val="2"/>
            <w:tcBorders>
              <w:bottom w:val="single" w:color="auto" w:sz="4" w:space="0"/>
            </w:tcBorders>
            <w:noWrap w:val="0"/>
            <w:vAlign w:val="center"/>
          </w:tcPr>
          <w:p w14:paraId="1DF077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关联主体名称</w:t>
            </w:r>
          </w:p>
        </w:tc>
        <w:tc>
          <w:tcPr>
            <w:tcW w:w="4185" w:type="dxa"/>
            <w:gridSpan w:val="3"/>
            <w:tcBorders>
              <w:bottom w:val="single" w:color="auto" w:sz="4" w:space="0"/>
            </w:tcBorders>
            <w:noWrap w:val="0"/>
            <w:vAlign w:val="center"/>
          </w:tcPr>
          <w:p w14:paraId="7370D4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备注</w:t>
            </w:r>
          </w:p>
        </w:tc>
      </w:tr>
      <w:tr w14:paraId="4F0E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Borders>
              <w:bottom w:val="single" w:color="auto" w:sz="4" w:space="0"/>
            </w:tcBorders>
            <w:noWrap w:val="0"/>
            <w:vAlign w:val="center"/>
          </w:tcPr>
          <w:p w14:paraId="736A8E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202" w:type="dxa"/>
            <w:gridSpan w:val="2"/>
            <w:tcBorders>
              <w:bottom w:val="single" w:color="auto" w:sz="4" w:space="0"/>
            </w:tcBorders>
            <w:noWrap w:val="0"/>
            <w:vAlign w:val="center"/>
          </w:tcPr>
          <w:p w14:paraId="435197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控股股东</w:t>
            </w:r>
          </w:p>
        </w:tc>
        <w:tc>
          <w:tcPr>
            <w:tcW w:w="1999" w:type="dxa"/>
            <w:gridSpan w:val="2"/>
            <w:tcBorders>
              <w:bottom w:val="single" w:color="auto" w:sz="4" w:space="0"/>
            </w:tcBorders>
            <w:noWrap w:val="0"/>
            <w:vAlign w:val="center"/>
          </w:tcPr>
          <w:p w14:paraId="3B1739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lang w:val="en-US" w:eastAsia="zh-CN"/>
              </w:rPr>
            </w:pPr>
          </w:p>
        </w:tc>
        <w:tc>
          <w:tcPr>
            <w:tcW w:w="4185" w:type="dxa"/>
            <w:gridSpan w:val="3"/>
            <w:tcBorders>
              <w:bottom w:val="single" w:color="auto" w:sz="4" w:space="0"/>
            </w:tcBorders>
            <w:noWrap w:val="0"/>
            <w:vAlign w:val="center"/>
          </w:tcPr>
          <w:p w14:paraId="01FA8E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62C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Borders>
              <w:bottom w:val="single" w:color="auto" w:sz="4" w:space="0"/>
            </w:tcBorders>
            <w:noWrap w:val="0"/>
            <w:vAlign w:val="center"/>
          </w:tcPr>
          <w:p w14:paraId="7E3B27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202" w:type="dxa"/>
            <w:gridSpan w:val="2"/>
            <w:tcBorders>
              <w:bottom w:val="single" w:color="auto" w:sz="4" w:space="0"/>
            </w:tcBorders>
            <w:noWrap w:val="0"/>
            <w:vAlign w:val="center"/>
          </w:tcPr>
          <w:p w14:paraId="4125C6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管理关系</w:t>
            </w:r>
          </w:p>
        </w:tc>
        <w:tc>
          <w:tcPr>
            <w:tcW w:w="1999" w:type="dxa"/>
            <w:gridSpan w:val="2"/>
            <w:tcBorders>
              <w:bottom w:val="single" w:color="auto" w:sz="4" w:space="0"/>
            </w:tcBorders>
            <w:noWrap w:val="0"/>
            <w:vAlign w:val="center"/>
          </w:tcPr>
          <w:p w14:paraId="0AB476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lang w:val="en-US" w:eastAsia="zh-CN"/>
              </w:rPr>
            </w:pPr>
          </w:p>
        </w:tc>
        <w:tc>
          <w:tcPr>
            <w:tcW w:w="4185" w:type="dxa"/>
            <w:gridSpan w:val="3"/>
            <w:tcBorders>
              <w:bottom w:val="single" w:color="auto" w:sz="4" w:space="0"/>
            </w:tcBorders>
            <w:noWrap w:val="0"/>
            <w:vAlign w:val="center"/>
          </w:tcPr>
          <w:p w14:paraId="4CAABF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指对投标（响应）供应商不具有出资持股关系，但对其存在管理关系的主体。</w:t>
            </w:r>
          </w:p>
        </w:tc>
      </w:tr>
      <w:tr w14:paraId="3084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6FC4B803">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说明：同一关联关系类型有多个主体的，应分行填写。</w:t>
            </w:r>
          </w:p>
        </w:tc>
      </w:tr>
    </w:tbl>
    <w:p w14:paraId="1D620125">
      <w:pPr>
        <w:pageBreakBefore w:val="0"/>
        <w:numPr>
          <w:ilvl w:val="0"/>
          <w:numId w:val="0"/>
        </w:numPr>
        <w:kinsoku/>
        <w:overflowPunct/>
        <w:topLinePunct w:val="0"/>
        <w:autoSpaceDE/>
        <w:autoSpaceDN/>
        <w:bidi w:val="0"/>
        <w:adjustRightInd/>
        <w:spacing w:line="579" w:lineRule="exact"/>
        <w:ind w:firstLine="0" w:firstLineChars="0"/>
        <w:jc w:val="both"/>
        <w:rPr>
          <w:rFonts w:hint="default" w:ascii="仿宋_GB2312" w:hAnsi="仿宋_GB2312" w:eastAsia="仿宋_GB2312" w:cs="仿宋_GB2312"/>
          <w:b w:val="0"/>
          <w:bCs w:val="0"/>
          <w:kern w:val="2"/>
          <w:sz w:val="32"/>
          <w:szCs w:val="32"/>
          <w:lang w:val="en-US" w:eastAsia="zh-CN"/>
        </w:rPr>
      </w:pPr>
      <w:r>
        <w:rPr>
          <w:rFonts w:hint="eastAsia" w:ascii="黑体" w:hAnsi="黑体" w:eastAsia="黑体" w:cs="黑体"/>
          <w:b w:val="0"/>
          <w:bCs w:val="0"/>
          <w:kern w:val="2"/>
          <w:sz w:val="32"/>
          <w:szCs w:val="32"/>
          <w:lang w:eastAsia="zh-CN"/>
        </w:rPr>
        <w:t>附件</w:t>
      </w:r>
      <w:r>
        <w:rPr>
          <w:rFonts w:hint="eastAsia" w:ascii="黑体" w:hAnsi="黑体" w:eastAsia="黑体" w:cs="黑体"/>
          <w:b w:val="0"/>
          <w:bCs w:val="0"/>
          <w:kern w:val="2"/>
          <w:sz w:val="32"/>
          <w:szCs w:val="32"/>
          <w:lang w:val="en-US" w:eastAsia="zh-CN"/>
        </w:rPr>
        <w:t>2</w:t>
      </w:r>
    </w:p>
    <w:p w14:paraId="5DD124D6">
      <w:pPr>
        <w:pageBreakBefore w:val="0"/>
        <w:numPr>
          <w:ilvl w:val="0"/>
          <w:numId w:val="0"/>
        </w:numPr>
        <w:kinsoku/>
        <w:overflowPunct/>
        <w:topLinePunct w:val="0"/>
        <w:autoSpaceDE/>
        <w:autoSpaceDN/>
        <w:bidi w:val="0"/>
        <w:adjustRightInd/>
        <w:spacing w:line="579" w:lineRule="exact"/>
        <w:ind w:firstLine="0" w:firstLineChars="0"/>
        <w:jc w:val="both"/>
        <w:rPr>
          <w:rFonts w:hint="eastAsia" w:ascii="仿宋_GB2312" w:hAnsi="仿宋_GB2312" w:eastAsia="仿宋_GB2312" w:cs="仿宋_GB2312"/>
          <w:b w:val="0"/>
          <w:bCs w:val="0"/>
          <w:kern w:val="2"/>
          <w:sz w:val="32"/>
          <w:szCs w:val="32"/>
          <w:lang w:eastAsia="zh-CN"/>
        </w:rPr>
      </w:pPr>
    </w:p>
    <w:p w14:paraId="13F79014">
      <w:pPr>
        <w:pageBreakBefore w:val="0"/>
        <w:kinsoku/>
        <w:overflowPunct/>
        <w:topLinePunct w:val="0"/>
        <w:autoSpaceDE w:val="0"/>
        <w:autoSpaceDN w:val="0"/>
        <w:bidi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政府采购违法行为风险知悉确认书</w:t>
      </w:r>
    </w:p>
    <w:p w14:paraId="5F85A20F">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p>
    <w:p w14:paraId="2AAB97D5">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sz w:val="32"/>
          <w:szCs w:val="32"/>
          <w:lang w:val="en-US" w:eastAsia="zh-CN"/>
        </w:rPr>
        <w:t>本公司在投标前已充分知悉以下情形为参与政府采购活动时的重大风险事项，并承诺已对下述风险提示事项重点排查，做到严谨、诚信、依法依规参与政府采购活动。</w:t>
      </w:r>
    </w:p>
    <w:p w14:paraId="19210212">
      <w:pPr>
        <w:pageBreakBefore w:val="0"/>
        <w:numPr>
          <w:ilvl w:val="0"/>
          <w:numId w:val="0"/>
        </w:numPr>
        <w:kinsoku/>
        <w:overflowPunct/>
        <w:topLinePunct w:val="0"/>
        <w:bidi w:val="0"/>
        <w:spacing w:line="579" w:lineRule="exact"/>
        <w:ind w:firstLine="640" w:firstLineChars="200"/>
        <w:rPr>
          <w:rFonts w:hint="eastAsia" w:ascii="黑体" w:hAnsi="黑体" w:eastAsia="黑体" w:cs="黑体"/>
          <w:sz w:val="32"/>
          <w:szCs w:val="32"/>
          <w:lang w:val="en-US" w:eastAsia="zh-CN"/>
        </w:rPr>
      </w:pPr>
      <w:r>
        <w:rPr>
          <w:rFonts w:hint="eastAsia" w:ascii="黑体" w:hAnsi="黑体" w:eastAsia="黑体" w:cs="黑体"/>
          <w:b w:val="0"/>
          <w:bCs w:val="0"/>
          <w:sz w:val="32"/>
          <w:szCs w:val="32"/>
          <w:lang w:val="en-US" w:eastAsia="zh-CN"/>
        </w:rPr>
        <w:t>一、本公司已充分知悉“隐瞒真实情况，提供虚假</w:t>
      </w:r>
      <w:r>
        <w:rPr>
          <w:rFonts w:hint="eastAsia" w:ascii="黑体" w:hAnsi="黑体" w:eastAsia="黑体" w:cs="黑体"/>
          <w:b w:val="0"/>
          <w:bCs w:val="0"/>
          <w:sz w:val="32"/>
          <w:szCs w:val="32"/>
          <w:highlight w:val="none"/>
          <w:lang w:val="en-US" w:eastAsia="zh-CN"/>
        </w:rPr>
        <w:t>资料</w:t>
      </w:r>
      <w:r>
        <w:rPr>
          <w:rFonts w:hint="eastAsia" w:ascii="黑体" w:hAnsi="黑体" w:eastAsia="黑体" w:cs="黑体"/>
          <w:b w:val="0"/>
          <w:bCs w:val="0"/>
          <w:sz w:val="32"/>
          <w:szCs w:val="32"/>
          <w:lang w:val="en-US" w:eastAsia="zh-CN"/>
        </w:rPr>
        <w:t>”的法定情形，相关情形包括但不限于</w:t>
      </w:r>
      <w:r>
        <w:rPr>
          <w:rFonts w:hint="eastAsia" w:ascii="黑体" w:hAnsi="黑体" w:eastAsia="黑体" w:cs="黑体"/>
          <w:sz w:val="32"/>
          <w:szCs w:val="32"/>
          <w:lang w:val="en-US" w:eastAsia="zh-CN"/>
        </w:rPr>
        <w:t>：</w:t>
      </w:r>
    </w:p>
    <w:p w14:paraId="2F5CFC67">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（一）通过转让或者租借等方式从其他单位获取资格或者资质证书投标的。</w:t>
      </w:r>
    </w:p>
    <w:p w14:paraId="6F3E49FF">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（二）由其他单位或者其他单位负责人在投标供应商编制的投标文件上加盖印章或者签字的。</w:t>
      </w:r>
    </w:p>
    <w:p w14:paraId="7ED33811">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（三）项目负责人或者主要技术人员不是本单位人员的。</w:t>
      </w:r>
    </w:p>
    <w:p w14:paraId="6BBDB195">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（四）投标保证金不是从投标供应商基本账户转出的。</w:t>
      </w:r>
    </w:p>
    <w:p w14:paraId="0D3C645D">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（五）其他隐瞒真实情况、提供虚假资料的行为。</w:t>
      </w:r>
    </w:p>
    <w:p w14:paraId="6FF5BFBF">
      <w:pPr>
        <w:pageBreakBefore w:val="0"/>
        <w:numPr>
          <w:ilvl w:val="0"/>
          <w:numId w:val="0"/>
        </w:numPr>
        <w:kinsoku/>
        <w:overflowPunct/>
        <w:topLinePunct w:val="0"/>
        <w:bidi w:val="0"/>
        <w:spacing w:line="579" w:lineRule="exact"/>
        <w:ind w:firstLine="640" w:firstLineChars="200"/>
        <w:rPr>
          <w:rFonts w:hint="eastAsia" w:ascii="黑体" w:hAnsi="黑体" w:eastAsia="黑体" w:cs="黑体"/>
          <w:sz w:val="32"/>
          <w:szCs w:val="32"/>
          <w:lang w:val="en-US" w:eastAsia="zh-CN"/>
        </w:rPr>
      </w:pPr>
      <w:r>
        <w:rPr>
          <w:rFonts w:hint="eastAsia" w:ascii="黑体" w:hAnsi="黑体" w:eastAsia="黑体" w:cs="黑体"/>
          <w:b w:val="0"/>
          <w:bCs w:val="0"/>
          <w:sz w:val="32"/>
          <w:szCs w:val="32"/>
          <w:lang w:val="en-US" w:eastAsia="zh-CN"/>
        </w:rPr>
        <w:t>二、本公司已充分知悉“与其他采购参加人串通投标”的法定情形，相关情形包括但不限于：</w:t>
      </w:r>
    </w:p>
    <w:p w14:paraId="565B2FE1">
      <w:pPr>
        <w:pageBreakBefore w:val="0"/>
        <w:numPr>
          <w:ilvl w:val="0"/>
          <w:numId w:val="0"/>
        </w:numPr>
        <w:kinsoku/>
        <w:overflowPunct/>
        <w:topLinePunct w:val="0"/>
        <w:bidi w:val="0"/>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（一）投标供应商之间相互约定给予未中标的供应商利益补偿。</w:t>
      </w:r>
    </w:p>
    <w:p w14:paraId="41E6336E">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（二）不同投标供应商的法定代表人、主要经营负责人、项目投标授权代表人、项目负责人、主要技术人员为同一人、属同一单位或者在同一单位缴纳社会保险。</w:t>
      </w:r>
    </w:p>
    <w:p w14:paraId="6F1E6B47">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（三）不同投标供应商的投标文件由同一单位或者同一人编制，或者由同一人分阶段参与编制的。</w:t>
      </w:r>
    </w:p>
    <w:p w14:paraId="21CBDCFE">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（四）不同投标供应商的投标文件或部分投标文件相互混装。</w:t>
      </w:r>
    </w:p>
    <w:p w14:paraId="6D07C0FC">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（五）不同投标供应商的投标文件内容存在非正常一致。</w:t>
      </w:r>
    </w:p>
    <w:p w14:paraId="04EEF86B">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（六）由同一单位工作人员为两家以上（含两家）供应商进行同一项投标活动的。</w:t>
      </w:r>
    </w:p>
    <w:p w14:paraId="3D0F3B60">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val="0"/>
          <w:bCs w:val="0"/>
          <w:sz w:val="32"/>
          <w:szCs w:val="32"/>
          <w:u w:val="none"/>
          <w:lang w:val="en-US" w:eastAsia="zh-CN"/>
        </w:rPr>
        <w:t>不同投标人的投标报价呈规律性差异。</w:t>
      </w:r>
    </w:p>
    <w:p w14:paraId="7FA300E7">
      <w:pPr>
        <w:pageBreakBefore w:val="0"/>
        <w:numPr>
          <w:ilvl w:val="0"/>
          <w:numId w:val="0"/>
        </w:numPr>
        <w:kinsoku/>
        <w:overflowPunct/>
        <w:topLinePunct w:val="0"/>
        <w:bidi w:val="0"/>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b w:val="0"/>
          <w:bCs w:val="0"/>
          <w:sz w:val="32"/>
          <w:szCs w:val="32"/>
          <w:u w:val="none"/>
          <w:lang w:val="en-US" w:eastAsia="zh-CN"/>
        </w:rPr>
        <w:t>不同投标人的投标保证金从同一单位或者个人的账户转出。</w:t>
      </w:r>
    </w:p>
    <w:p w14:paraId="74301266">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（九）主管部门依照法律、法规认定的其他情形。</w:t>
      </w:r>
    </w:p>
    <w:p w14:paraId="00C55125">
      <w:pPr>
        <w:pageBreakBefore w:val="0"/>
        <w:numPr>
          <w:ilvl w:val="0"/>
          <w:numId w:val="0"/>
        </w:numPr>
        <w:kinsoku/>
        <w:overflowPunct/>
        <w:topLinePunct w:val="0"/>
        <w:bidi w:val="0"/>
        <w:spacing w:line="579"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三、本公司已充分知悉下列情形所对应的法律风险，并在投标前已对相关风险事项进行排查。</w:t>
      </w:r>
    </w:p>
    <w:p w14:paraId="3F549813">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（一）对于</w:t>
      </w:r>
      <w:r>
        <w:rPr>
          <w:rFonts w:hint="eastAsia" w:ascii="仿宋_GB2312" w:eastAsia="仿宋_GB2312"/>
          <w:sz w:val="32"/>
          <w:szCs w:val="32"/>
          <w:lang w:eastAsia="zh-CN"/>
        </w:rPr>
        <w:t>从</w:t>
      </w:r>
      <w:r>
        <w:rPr>
          <w:rFonts w:hint="eastAsia" w:ascii="仿宋_GB2312" w:hAnsi="仿宋_GB2312" w:eastAsia="仿宋_GB2312" w:cs="仿宋_GB2312"/>
          <w:sz w:val="32"/>
          <w:szCs w:val="32"/>
          <w:lang w:val="en-US" w:eastAsia="zh-CN"/>
        </w:rPr>
        <w:t>其他主体</w:t>
      </w:r>
      <w:r>
        <w:rPr>
          <w:rFonts w:hint="eastAsia" w:ascii="仿宋_GB2312" w:eastAsia="仿宋_GB2312"/>
          <w:sz w:val="32"/>
          <w:szCs w:val="32"/>
          <w:lang w:eastAsia="zh-CN"/>
        </w:rPr>
        <w:t>获取</w:t>
      </w:r>
      <w:r>
        <w:rPr>
          <w:rFonts w:hint="eastAsia" w:ascii="仿宋_GB2312" w:hAnsi="仿宋_GB2312" w:eastAsia="仿宋_GB2312" w:cs="仿宋_GB2312"/>
          <w:sz w:val="32"/>
          <w:szCs w:val="32"/>
          <w:lang w:val="en-US" w:eastAsia="zh-CN"/>
        </w:rPr>
        <w:t>的投标资料，供应商应审慎核查，确保投标资料的真实性。</w:t>
      </w:r>
      <w:r>
        <w:rPr>
          <w:rFonts w:hint="eastAsia" w:ascii="仿宋_GB2312" w:hAnsi="仿宋_GB2312" w:eastAsia="仿宋_GB2312" w:cs="仿宋_GB2312"/>
          <w:b/>
          <w:bCs/>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14:paraId="09BC4ED2">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46E64493">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（三）对于涉及安全生产、特种作业、抢险救灾、防疫等政府采购项目，供应商实施提供虚假资料、串通投标等违法行为的，主管部门将依法从严处理。</w:t>
      </w:r>
    </w:p>
    <w:p w14:paraId="419A1656">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（四）供应商应严格规范项目授权代表、员工参与招标投标的行为，加强对投标文件的审核。项目授权代表、员工</w:t>
      </w:r>
      <w:r>
        <w:rPr>
          <w:rFonts w:hint="eastAsia" w:ascii="仿宋_GB2312" w:eastAsia="仿宋_GB2312"/>
          <w:sz w:val="32"/>
          <w:szCs w:val="32"/>
          <w:lang w:eastAsia="zh-CN"/>
        </w:rPr>
        <w:t>编制、上传</w:t>
      </w:r>
      <w:r>
        <w:rPr>
          <w:rFonts w:hint="eastAsia" w:ascii="仿宋_GB2312" w:hAnsi="仿宋_GB2312" w:eastAsia="仿宋_GB2312" w:cs="仿宋_GB2312"/>
          <w:sz w:val="32"/>
          <w:szCs w:val="32"/>
          <w:lang w:val="en-US" w:eastAsia="zh-CN"/>
        </w:rPr>
        <w:t>投标文件</w:t>
      </w:r>
      <w:r>
        <w:rPr>
          <w:rFonts w:hint="eastAsia" w:ascii="仿宋_GB2312" w:eastAsia="仿宋_GB2312"/>
          <w:sz w:val="32"/>
          <w:szCs w:val="32"/>
          <w:lang w:eastAsia="zh-CN"/>
        </w:rPr>
        <w:t>等行为</w:t>
      </w:r>
      <w:r>
        <w:rPr>
          <w:rFonts w:hint="eastAsia" w:ascii="仿宋_GB2312" w:hAnsi="仿宋_GB2312" w:eastAsia="仿宋_GB2312" w:cs="仿宋_GB2312"/>
          <w:sz w:val="32"/>
          <w:szCs w:val="32"/>
          <w:lang w:val="en-US" w:eastAsia="zh-CN"/>
        </w:rPr>
        <w:t>违反政府采购法律法规或招标文件要求的，投标供应商应当依法承担相应法律责任。</w:t>
      </w:r>
    </w:p>
    <w:p w14:paraId="650FADD5">
      <w:pPr>
        <w:pageBreakBefore w:val="0"/>
        <w:numPr>
          <w:ilvl w:val="0"/>
          <w:numId w:val="0"/>
        </w:numPr>
        <w:kinsoku/>
        <w:overflowPunct/>
        <w:topLinePunct w:val="0"/>
        <w:bidi w:val="0"/>
        <w:spacing w:line="579"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2B0AAF47">
      <w:pPr>
        <w:pageBreakBefore w:val="0"/>
        <w:numPr>
          <w:ilvl w:val="0"/>
          <w:numId w:val="0"/>
        </w:numPr>
        <w:kinsoku/>
        <w:overflowPunct/>
        <w:topLinePunct w:val="0"/>
        <w:bidi w:val="0"/>
        <w:spacing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32"/>
          <w:szCs w:val="32"/>
          <w:lang w:eastAsia="zh-CN"/>
        </w:rPr>
        <w:t>如</w:t>
      </w:r>
      <w:r>
        <w:rPr>
          <w:rFonts w:hint="eastAsia" w:ascii="仿宋_GB2312" w:hAnsi="仿宋_GB2312" w:eastAsia="仿宋_GB2312" w:cs="仿宋_GB2312"/>
          <w:b w:val="0"/>
          <w:bCs w:val="0"/>
          <w:sz w:val="32"/>
          <w:szCs w:val="32"/>
          <w:highlight w:val="none"/>
          <w:lang w:val="en-US" w:eastAsia="zh-CN"/>
        </w:rPr>
        <w:t>查实，依法作投标无效处理；涉嫌串通投标等违法行为的，主管部门将依法调查处理。</w:t>
      </w:r>
    </w:p>
    <w:p w14:paraId="3D759F71">
      <w:pPr>
        <w:pageBreakBefore w:val="0"/>
        <w:numPr>
          <w:ilvl w:val="0"/>
          <w:numId w:val="0"/>
        </w:numPr>
        <w:kinsoku/>
        <w:overflowPunct/>
        <w:topLinePunct w:val="0"/>
        <w:bidi w:val="0"/>
        <w:spacing w:line="579" w:lineRule="exact"/>
        <w:ind w:firstLine="640" w:firstLineChars="200"/>
        <w:rPr>
          <w:rFonts w:hint="default"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val="en-US" w:eastAsia="zh-CN"/>
        </w:rPr>
        <w:t>四、本公司已充分知悉</w:t>
      </w:r>
      <w:r>
        <w:rPr>
          <w:rFonts w:hint="eastAsia" w:ascii="黑体" w:hAnsi="黑体" w:eastAsia="黑体" w:cs="黑体"/>
          <w:b w:val="0"/>
          <w:bCs w:val="0"/>
          <w:sz w:val="32"/>
          <w:szCs w:val="32"/>
          <w:u w:val="none"/>
          <w:lang w:val="en-US" w:eastAsia="zh-CN"/>
        </w:rPr>
        <w:t>政府采购违法、违规行为</w:t>
      </w:r>
      <w:r>
        <w:rPr>
          <w:rFonts w:hint="eastAsia" w:ascii="黑体" w:hAnsi="黑体" w:eastAsia="黑体" w:cs="黑体"/>
          <w:b w:val="0"/>
          <w:bCs w:val="0"/>
          <w:sz w:val="32"/>
          <w:szCs w:val="32"/>
          <w:lang w:val="en-US" w:eastAsia="zh-CN"/>
        </w:rPr>
        <w:t>的法律后果</w:t>
      </w:r>
      <w:r>
        <w:rPr>
          <w:rFonts w:hint="eastAsia" w:ascii="仿宋_GB2312" w:hAnsi="仿宋_GB2312" w:eastAsia="仿宋_GB2312" w:cs="仿宋_GB2312"/>
          <w:sz w:val="32"/>
          <w:szCs w:val="32"/>
          <w:lang w:val="en-US" w:eastAsia="zh-CN"/>
        </w:rPr>
        <w:t>经查实，若投标供应商存在</w:t>
      </w:r>
      <w:r>
        <w:rPr>
          <w:rFonts w:hint="eastAsia" w:ascii="仿宋_GB2312" w:hAnsi="仿宋_GB2312" w:eastAsia="仿宋_GB2312" w:cs="仿宋_GB2312"/>
          <w:sz w:val="32"/>
          <w:szCs w:val="32"/>
          <w:u w:val="none"/>
          <w:lang w:val="en-US" w:eastAsia="zh-CN"/>
        </w:rPr>
        <w:t>政府采购违法、违规行为</w:t>
      </w:r>
      <w:r>
        <w:rPr>
          <w:rFonts w:hint="eastAsia" w:ascii="仿宋_GB2312" w:hAnsi="仿宋_GB2312" w:eastAsia="仿宋_GB2312" w:cs="仿宋_GB2312"/>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26A0B2A0">
      <w:pPr>
        <w:pageBreakBefore w:val="0"/>
        <w:numPr>
          <w:ilvl w:val="0"/>
          <w:numId w:val="0"/>
        </w:numPr>
        <w:kinsoku/>
        <w:overflowPunct/>
        <w:topLinePunct w:val="0"/>
        <w:bidi w:val="0"/>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以下文字请投标供应商抄写并确认：“本公司已仔细阅读《政府采购违法行为风险知悉确认书》，充分知悉违法行为的法律后果，并承诺将</w:t>
      </w:r>
      <w:r>
        <w:rPr>
          <w:rFonts w:hint="eastAsia" w:ascii="仿宋_GB2312" w:hAnsi="仿宋_GB2312" w:eastAsia="仿宋_GB2312" w:cs="仿宋_GB2312"/>
          <w:b w:val="0"/>
          <w:bCs w:val="0"/>
          <w:sz w:val="32"/>
          <w:szCs w:val="32"/>
          <w:lang w:val="en-US" w:eastAsia="zh-CN"/>
        </w:rPr>
        <w:t>严谨、诚信、依法依规参与政府采购活动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14:paraId="72DA7B05">
      <w:pPr>
        <w:pageBreakBefore w:val="0"/>
        <w:numPr>
          <w:ilvl w:val="0"/>
          <w:numId w:val="0"/>
        </w:numPr>
        <w:kinsoku/>
        <w:overflowPunct/>
        <w:topLinePunct w:val="0"/>
        <w:bidi w:val="0"/>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14:paraId="51DDF794">
      <w:pPr>
        <w:pageBreakBefore w:val="0"/>
        <w:numPr>
          <w:ilvl w:val="0"/>
          <w:numId w:val="0"/>
        </w:numPr>
        <w:kinsoku/>
        <w:overflowPunct/>
        <w:topLinePunct w:val="0"/>
        <w:bidi w:val="0"/>
        <w:spacing w:line="579"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14:paraId="199529AE">
      <w:pPr>
        <w:pageBreakBefore w:val="0"/>
        <w:numPr>
          <w:ilvl w:val="0"/>
          <w:numId w:val="0"/>
        </w:numPr>
        <w:kinsoku/>
        <w:overflowPunct/>
        <w:topLinePunct w:val="0"/>
        <w:bidi w:val="0"/>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14:paraId="3FA56ECF">
      <w:pPr>
        <w:pageBreakBefore w:val="0"/>
        <w:numPr>
          <w:ilvl w:val="0"/>
          <w:numId w:val="0"/>
        </w:numPr>
        <w:kinsoku/>
        <w:overflowPunct/>
        <w:topLinePunct w:val="0"/>
        <w:bidi w:val="0"/>
        <w:spacing w:line="579"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32"/>
          <w:szCs w:val="32"/>
          <w:u w:val="single"/>
          <w:lang w:val="en-US" w:eastAsia="zh-CN"/>
        </w:rPr>
        <w:t xml:space="preserve">                                                    </w:t>
      </w:r>
    </w:p>
    <w:p w14:paraId="43F63229">
      <w:pPr>
        <w:pageBreakBefore w:val="0"/>
        <w:numPr>
          <w:ilvl w:val="0"/>
          <w:numId w:val="0"/>
        </w:numPr>
        <w:kinsoku/>
        <w:overflowPunct/>
        <w:topLinePunct w:val="0"/>
        <w:bidi w:val="0"/>
        <w:spacing w:line="579" w:lineRule="exact"/>
        <w:rPr>
          <w:rFonts w:hint="default" w:ascii="仿宋_GB2312" w:hAnsi="仿宋_GB2312" w:eastAsia="仿宋_GB2312" w:cs="仿宋_GB2312"/>
          <w:sz w:val="32"/>
          <w:szCs w:val="32"/>
          <w:highlight w:val="yellow"/>
          <w:lang w:val="en-US" w:eastAsia="zh-CN"/>
        </w:rPr>
      </w:pPr>
    </w:p>
    <w:p w14:paraId="67AB2B25">
      <w:pPr>
        <w:pageBreakBefore w:val="0"/>
        <w:numPr>
          <w:ilvl w:val="0"/>
          <w:numId w:val="0"/>
        </w:numPr>
        <w:kinsoku/>
        <w:overflowPunct/>
        <w:topLinePunct w:val="0"/>
        <w:bidi w:val="0"/>
        <w:spacing w:line="579"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负责人/投标授权代表签名：</w:t>
      </w:r>
    </w:p>
    <w:p w14:paraId="6F6E36AC">
      <w:pPr>
        <w:pageBreakBefore w:val="0"/>
        <w:numPr>
          <w:ilvl w:val="0"/>
          <w:numId w:val="0"/>
        </w:numPr>
        <w:kinsoku/>
        <w:overflowPunct/>
        <w:topLinePunct w:val="0"/>
        <w:bidi w:val="0"/>
        <w:spacing w:line="579" w:lineRule="exact"/>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知悉人（公章）：</w:t>
      </w:r>
    </w:p>
    <w:p w14:paraId="6E7FC84B">
      <w:pPr>
        <w:pageBreakBefore w:val="0"/>
        <w:kinsoku/>
        <w:overflowPunct/>
        <w:topLinePunct w:val="0"/>
        <w:bidi w:val="0"/>
        <w:spacing w:line="579" w:lineRule="exact"/>
        <w:rPr>
          <w:sz w:val="32"/>
          <w:szCs w:val="32"/>
        </w:rPr>
      </w:pPr>
      <w:r>
        <w:rPr>
          <w:rFonts w:hint="eastAsia" w:ascii="仿宋_GB2312" w:hAnsi="仿宋_GB2312" w:eastAsia="仿宋_GB2312" w:cs="仿宋_GB2312"/>
          <w:sz w:val="32"/>
          <w:szCs w:val="32"/>
          <w:lang w:val="en-US" w:eastAsia="zh-CN"/>
        </w:rPr>
        <w:t xml:space="preserve">                    日期：</w:t>
      </w:r>
    </w:p>
    <w:p w14:paraId="167F077B">
      <w:pPr>
        <w:pageBreakBefore w:val="0"/>
        <w:numPr>
          <w:ilvl w:val="0"/>
          <w:numId w:val="0"/>
        </w:numPr>
        <w:kinsoku/>
        <w:overflowPunct/>
        <w:topLinePunct w:val="0"/>
        <w:autoSpaceDE/>
        <w:autoSpaceDN/>
        <w:bidi w:val="0"/>
        <w:adjustRightInd/>
        <w:spacing w:line="579" w:lineRule="exact"/>
        <w:ind w:firstLine="0" w:firstLineChars="0"/>
        <w:jc w:val="both"/>
        <w:rPr>
          <w:rFonts w:hint="default" w:ascii="仿宋_GB2312" w:hAnsi="仿宋_GB2312" w:eastAsia="仿宋_GB2312" w:cs="仿宋_GB2312"/>
          <w:b w:val="0"/>
          <w:bCs w:val="0"/>
          <w:kern w:val="2"/>
          <w:sz w:val="32"/>
          <w:szCs w:val="32"/>
          <w:lang w:val="en-US" w:eastAsia="zh-CN"/>
        </w:rPr>
      </w:pPr>
      <w:r>
        <w:rPr>
          <w:sz w:val="30"/>
          <w:szCs w:val="30"/>
        </w:rPr>
        <w:br w:type="page"/>
      </w:r>
      <w:r>
        <w:rPr>
          <w:rFonts w:hint="eastAsia" w:ascii="黑体" w:hAnsi="黑体" w:eastAsia="黑体" w:cs="黑体"/>
          <w:b w:val="0"/>
          <w:bCs w:val="0"/>
          <w:kern w:val="2"/>
          <w:sz w:val="32"/>
          <w:szCs w:val="32"/>
          <w:lang w:eastAsia="zh-CN"/>
        </w:rPr>
        <w:t>附件</w:t>
      </w:r>
      <w:r>
        <w:rPr>
          <w:rFonts w:hint="eastAsia" w:ascii="黑体" w:hAnsi="黑体" w:eastAsia="黑体" w:cs="黑体"/>
          <w:b w:val="0"/>
          <w:bCs w:val="0"/>
          <w:kern w:val="2"/>
          <w:sz w:val="32"/>
          <w:szCs w:val="32"/>
          <w:lang w:val="en-US" w:eastAsia="zh-CN"/>
        </w:rPr>
        <w:t>3</w:t>
      </w:r>
    </w:p>
    <w:p w14:paraId="3DB8E933">
      <w:pPr>
        <w:pageBreakBefore w:val="0"/>
        <w:kinsoku/>
        <w:overflowPunct/>
        <w:topLinePunct w:val="0"/>
        <w:bidi w:val="0"/>
        <w:spacing w:line="579" w:lineRule="exact"/>
        <w:rPr>
          <w:sz w:val="30"/>
          <w:szCs w:val="30"/>
        </w:rPr>
      </w:pPr>
    </w:p>
    <w:p w14:paraId="5C57ED71">
      <w:pPr>
        <w:pageBreakBefore w:val="0"/>
        <w:kinsoku/>
        <w:overflowPunct/>
        <w:topLinePunct w:val="0"/>
        <w:bidi w:val="0"/>
        <w:spacing w:line="579" w:lineRule="exact"/>
        <w:jc w:val="center"/>
        <w:rPr>
          <w:rFonts w:ascii="宋体" w:hAnsi="宋体"/>
          <w:sz w:val="24"/>
        </w:rPr>
      </w:pPr>
      <w:r>
        <w:rPr>
          <w:rFonts w:hint="eastAsia" w:ascii="方正小标宋_GBK" w:hAnsi="方正小标宋_GBK" w:eastAsia="方正小标宋_GBK" w:cs="方正小标宋_GBK"/>
          <w:sz w:val="44"/>
          <w:szCs w:val="44"/>
          <w:lang w:eastAsia="zh-CN"/>
        </w:rPr>
        <w:t>履约承诺函</w:t>
      </w:r>
    </w:p>
    <w:p w14:paraId="621033FF">
      <w:pPr>
        <w:pStyle w:val="8"/>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致：</w:t>
      </w:r>
      <w:r>
        <w:rPr>
          <w:rFonts w:hint="eastAsia" w:ascii="楷体_GB2312" w:hAnsi="楷体_GB2312" w:eastAsia="楷体_GB2312" w:cs="楷体_GB2312"/>
          <w:sz w:val="32"/>
          <w:szCs w:val="32"/>
          <w:lang w:val="en-US" w:eastAsia="zh-CN"/>
        </w:rPr>
        <w:t>深圳市福田区沙头街道办事处</w:t>
      </w:r>
    </w:p>
    <w:p w14:paraId="1F1E62D6">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我单位承诺：</w:t>
      </w:r>
    </w:p>
    <w:p w14:paraId="68EBFD99">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1.我单位参与本项目所投标（响应）的货物、工程或服务，不存在侵犯知识产权的情况。</w:t>
      </w:r>
    </w:p>
    <w:p w14:paraId="684F4084">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2.我单位参与本项目政府采购活动时不存在被有关部门禁止参与政府采购活动且在有效期内的情况。</w:t>
      </w:r>
    </w:p>
    <w:p w14:paraId="3E8D0764">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3.我单位具备《中华人民共和国政府采购法》第二十二条第一款规定的六项条件。</w:t>
      </w:r>
    </w:p>
    <w:p w14:paraId="16288B04">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4.我单位未被列入失信被执行人、重大税收违法案件当事人名单（重大税收违法失信主体）、政府采购严重违法失信行为记录名单。</w:t>
      </w:r>
    </w:p>
    <w:p w14:paraId="18E61D3B">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02AF29FD">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200128A">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95258C9">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448596F">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8.我单位承诺中标后项目不转包，未经采购人同意不进行分包。</w:t>
      </w:r>
    </w:p>
    <w:p w14:paraId="6EBE1049">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36019FE">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10.我单位保证，若所投货物涉及《财政部生态环境部关于印发节能产品政府采购品目清单的通知》（财库〔2019〕19号）列明的政府采购强制产品，则所投该产品符合节能产品的认证要求。</w:t>
      </w:r>
    </w:p>
    <w:p w14:paraId="3DA9626E">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11.我单位已知悉并同意中标（成交）结果信息公示（公开）的内容。</w:t>
      </w:r>
    </w:p>
    <w:p w14:paraId="0AC3BCF8">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14:paraId="1069E5F1">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13.我单位清楚，如存在违反投标承诺行为情节严重的，将根据《深圳市财政局关于印发&lt;深圳市财政局政府采购供应商信用信息管理办法&gt;的通知》，依法被列入失信信息。</w:t>
      </w:r>
    </w:p>
    <w:p w14:paraId="4A50BB83">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以上承诺，如有违反，愿依照国家相关法律法规处理，并承担由此给采购人带来的损失。</w:t>
      </w:r>
    </w:p>
    <w:p w14:paraId="26EC9211">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14:paraId="4123164A">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投标人：</w:t>
      </w:r>
    </w:p>
    <w:p w14:paraId="468EA8ED">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日  期：    年   月   日</w:t>
      </w:r>
    </w:p>
    <w:p w14:paraId="66BE18F3">
      <w:pPr>
        <w:pStyle w:val="3"/>
        <w:pageBreakBefore w:val="0"/>
        <w:kinsoku/>
        <w:overflowPunct/>
        <w:topLinePunct w:val="0"/>
        <w:bidi w:val="0"/>
        <w:spacing w:line="579" w:lineRule="exact"/>
      </w:pPr>
    </w:p>
    <w:p w14:paraId="736D4D27">
      <w:pPr>
        <w:pageBreakBefore w:val="0"/>
        <w:numPr>
          <w:ilvl w:val="0"/>
          <w:numId w:val="0"/>
        </w:numPr>
        <w:kinsoku/>
        <w:overflowPunct/>
        <w:topLinePunct w:val="0"/>
        <w:autoSpaceDE/>
        <w:autoSpaceDN/>
        <w:bidi w:val="0"/>
        <w:adjustRightInd/>
        <w:spacing w:line="579" w:lineRule="exact"/>
        <w:ind w:firstLine="0" w:firstLineChars="0"/>
        <w:jc w:val="both"/>
        <w:rPr>
          <w:rFonts w:hint="default" w:ascii="仿宋_GB2312" w:hAnsi="仿宋_GB2312" w:eastAsia="仿宋_GB2312" w:cs="仿宋_GB2312"/>
          <w:b w:val="0"/>
          <w:bCs w:val="0"/>
          <w:kern w:val="2"/>
          <w:sz w:val="32"/>
          <w:szCs w:val="32"/>
          <w:lang w:val="en-US" w:eastAsia="zh-CN"/>
        </w:rPr>
      </w:pPr>
      <w:r>
        <w:br w:type="page"/>
      </w:r>
      <w:r>
        <w:rPr>
          <w:rFonts w:hint="eastAsia" w:ascii="黑体" w:hAnsi="黑体" w:eastAsia="黑体" w:cs="黑体"/>
          <w:b w:val="0"/>
          <w:bCs w:val="0"/>
          <w:kern w:val="2"/>
          <w:sz w:val="32"/>
          <w:szCs w:val="32"/>
          <w:lang w:eastAsia="zh-CN"/>
        </w:rPr>
        <w:t>附件</w:t>
      </w:r>
      <w:r>
        <w:rPr>
          <w:rFonts w:hint="eastAsia" w:ascii="黑体" w:hAnsi="黑体" w:eastAsia="黑体" w:cs="黑体"/>
          <w:b w:val="0"/>
          <w:bCs w:val="0"/>
          <w:kern w:val="2"/>
          <w:sz w:val="32"/>
          <w:szCs w:val="32"/>
          <w:lang w:val="en-US" w:eastAsia="zh-CN"/>
        </w:rPr>
        <w:t>4</w:t>
      </w:r>
    </w:p>
    <w:p w14:paraId="06AE4607">
      <w:pPr>
        <w:keepNext w:val="0"/>
        <w:keepLines w:val="0"/>
        <w:pageBreakBefore w:val="0"/>
        <w:widowControl w:val="0"/>
        <w:kinsoku/>
        <w:wordWrap/>
        <w:overflowPunct/>
        <w:topLinePunct w:val="0"/>
        <w:autoSpaceDE/>
        <w:autoSpaceDN/>
        <w:bidi w:val="0"/>
        <w:spacing w:line="579"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诚信承诺函</w:t>
      </w:r>
    </w:p>
    <w:p w14:paraId="35DA6AC9">
      <w:pPr>
        <w:keepNext w:val="0"/>
        <w:keepLines w:val="0"/>
        <w:pageBreakBefore w:val="0"/>
        <w:widowControl w:val="0"/>
        <w:kinsoku/>
        <w:wordWrap/>
        <w:overflowPunct/>
        <w:topLinePunct w:val="0"/>
        <w:autoSpaceDE/>
        <w:autoSpaceDN/>
        <w:bidi w:val="0"/>
        <w:spacing w:line="579" w:lineRule="exact"/>
        <w:jc w:val="center"/>
        <w:textAlignment w:val="auto"/>
        <w:rPr>
          <w:rFonts w:hint="eastAsia" w:ascii="方正小标宋_GBK" w:hAnsi="方正小标宋_GBK" w:eastAsia="方正小标宋_GBK" w:cs="方正小标宋_GBK"/>
          <w:sz w:val="44"/>
          <w:szCs w:val="44"/>
          <w:lang w:val="en-US" w:eastAsia="zh-CN"/>
        </w:rPr>
      </w:pPr>
    </w:p>
    <w:p w14:paraId="7A3CC531">
      <w:pPr>
        <w:pStyle w:val="8"/>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致：</w:t>
      </w:r>
      <w:r>
        <w:rPr>
          <w:rFonts w:hint="eastAsia" w:ascii="楷体_GB2312" w:hAnsi="楷体_GB2312" w:eastAsia="楷体_GB2312" w:cs="楷体_GB2312"/>
          <w:szCs w:val="32"/>
          <w:lang w:val="en-US" w:eastAsia="zh-CN"/>
        </w:rPr>
        <w:t>深圳市福田区沙头街道办事处</w:t>
      </w:r>
    </w:p>
    <w:p w14:paraId="605CEC30">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我方承诺在政府采购招标投标活动中不存在以下情形：</w:t>
      </w:r>
    </w:p>
    <w:p w14:paraId="42380B3A">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（一）被纪检监察部门立案调查，违法违规事实成立的；</w:t>
      </w:r>
    </w:p>
    <w:p w14:paraId="435A4256">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（二）未按政府采购相关规定签订、履行采购合同，造成严重后果的；</w:t>
      </w:r>
    </w:p>
    <w:p w14:paraId="3B033A83">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（三）隐瞒真实情况，提供虚假资料的；</w:t>
      </w:r>
    </w:p>
    <w:p w14:paraId="1FBFD2A6">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（四）以非法手段排斥其他供应商参与竞争的；</w:t>
      </w:r>
    </w:p>
    <w:p w14:paraId="0AF984AF">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（五）与其他采购参加人串通投标的；</w:t>
      </w:r>
    </w:p>
    <w:p w14:paraId="261BC7BF">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（六）在采购活动中应当回避而未回避的；</w:t>
      </w:r>
    </w:p>
    <w:p w14:paraId="72980773">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（七）恶意投诉的；</w:t>
      </w:r>
    </w:p>
    <w:p w14:paraId="13AFE4BF">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（八）向采购项目相关人行贿或者提供其他不当利益的；</w:t>
      </w:r>
    </w:p>
    <w:p w14:paraId="09906F02">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（九）阻碍、抗拒主管部门监督检查的；</w:t>
      </w:r>
    </w:p>
    <w:p w14:paraId="55865F80">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（十）向采购代理机构及相关工作人员以各类形式进行施压的；</w:t>
      </w:r>
    </w:p>
    <w:p w14:paraId="451232AA">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（十一）履约检查不合格或者评价为差的；</w:t>
      </w:r>
    </w:p>
    <w:p w14:paraId="07EFBE54">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（十二）主管部门认定的其他情形。</w:t>
      </w:r>
    </w:p>
    <w:p w14:paraId="097439A4">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如我方在本项目开标日前三年内存在上述行为超出法定追诉时效未被追诉、或者上述情节轻微未给予禁止参加政府采购的行政处罚，我司自愿承担虚假应标以及其他一切不利的法律后果。</w:t>
      </w:r>
    </w:p>
    <w:p w14:paraId="76CA9DFF">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特此承诺。</w:t>
      </w:r>
    </w:p>
    <w:p w14:paraId="216DB3BE">
      <w:pPr>
        <w:keepNext w:val="0"/>
        <w:keepLines w:val="0"/>
        <w:pageBreakBefore w:val="0"/>
        <w:widowControl w:val="0"/>
        <w:numPr>
          <w:ilvl w:val="0"/>
          <w:numId w:val="0"/>
        </w:numPr>
        <w:kinsoku/>
        <w:wordWrap/>
        <w:overflowPunct/>
        <w:topLinePunct w:val="0"/>
        <w:autoSpaceDE/>
        <w:autoSpaceDN/>
        <w:bidi w:val="0"/>
        <w:spacing w:line="579" w:lineRule="exact"/>
        <w:textAlignment w:val="auto"/>
        <w:rPr>
          <w:rFonts w:hint="eastAsia" w:ascii="仿宋_GB2312" w:hAnsi="仿宋_GB2312" w:eastAsia="仿宋_GB2312" w:cs="仿宋_GB2312"/>
          <w:b w:val="0"/>
          <w:bCs w:val="0"/>
          <w:sz w:val="32"/>
          <w:szCs w:val="32"/>
          <w:lang w:val="en-US" w:eastAsia="zh-CN"/>
        </w:rPr>
      </w:pPr>
    </w:p>
    <w:p w14:paraId="57A20BB4">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投标人：                      </w:t>
      </w:r>
    </w:p>
    <w:p w14:paraId="2538D947">
      <w:pPr>
        <w:pageBreakBefore w:val="0"/>
        <w:numPr>
          <w:ilvl w:val="0"/>
          <w:numId w:val="0"/>
        </w:numPr>
        <w:kinsoku/>
        <w:overflowPunct/>
        <w:topLinePunct w:val="0"/>
        <w:bidi w:val="0"/>
        <w:spacing w:line="579" w:lineRule="exact"/>
        <w:ind w:firstLine="640" w:firstLineChars="200"/>
        <w:jc w:val="right"/>
      </w:pPr>
      <w:r>
        <w:rPr>
          <w:rFonts w:hint="eastAsia" w:ascii="仿宋_GB2312" w:hAnsi="仿宋_GB2312" w:eastAsia="仿宋_GB2312" w:cs="仿宋_GB2312"/>
          <w:b w:val="0"/>
          <w:bCs w:val="0"/>
          <w:sz w:val="32"/>
          <w:szCs w:val="32"/>
          <w:lang w:val="en-US" w:eastAsia="zh-CN"/>
        </w:rPr>
        <w:t>日  期：      年    月    日</w:t>
      </w:r>
    </w:p>
    <w:p w14:paraId="3A8BD4BB">
      <w:pPr>
        <w:pageBreakBefore w:val="0"/>
        <w:kinsoku/>
        <w:overflowPunct/>
        <w:topLinePunct w:val="0"/>
        <w:bidi w:val="0"/>
        <w:spacing w:line="579" w:lineRule="exact"/>
      </w:pPr>
    </w:p>
    <w:p w14:paraId="66F21BDF"/>
    <w:p w14:paraId="5E10100D">
      <w:pPr>
        <w:keepNext w:val="0"/>
        <w:keepLines w:val="0"/>
        <w:pageBreakBefore w:val="0"/>
        <w:widowControl w:val="0"/>
        <w:numPr>
          <w:ilvl w:val="0"/>
          <w:numId w:val="0"/>
        </w:numPr>
        <w:kinsoku/>
        <w:wordWrap/>
        <w:overflowPunct/>
        <w:topLinePunct w:val="0"/>
        <w:autoSpaceDE/>
        <w:autoSpaceDN/>
        <w:bidi w:val="0"/>
        <w:spacing w:line="579" w:lineRule="exact"/>
        <w:ind w:firstLine="0" w:firstLineChars="0"/>
        <w:jc w:val="both"/>
        <w:textAlignment w:val="auto"/>
      </w:pPr>
    </w:p>
    <w:p w14:paraId="2959D8CC">
      <w:pPr>
        <w:adjustRightInd w:val="0"/>
        <w:snapToGrid w:val="0"/>
        <w:spacing w:line="560" w:lineRule="exact"/>
        <w:ind w:firstLine="5120" w:firstLineChars="1600"/>
        <w:rPr>
          <w:rFonts w:hint="eastAsia" w:ascii="仿宋_GB2312" w:hAnsi="仿宋_GB2312" w:eastAsia="仿宋_GB2312" w:cs="仿宋_GB2312"/>
          <w:bCs/>
          <w:sz w:val="32"/>
          <w:szCs w:val="32"/>
          <w:lang w:val="en-US" w:eastAsia="zh-CN"/>
        </w:rPr>
      </w:pPr>
    </w:p>
    <w:p w14:paraId="121D598B"/>
    <w:p w14:paraId="0F5115F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4800" w:firstLineChars="1500"/>
        <w:textAlignment w:val="auto"/>
        <w:rPr>
          <w:rFonts w:hint="eastAsia" w:ascii="仿宋_GB2312" w:hAnsi="仿宋_GB2312" w:eastAsia="仿宋_GB2312" w:cs="仿宋_GB2312"/>
          <w:sz w:val="32"/>
          <w:szCs w:val="32"/>
        </w:rPr>
      </w:pPr>
      <w:r>
        <w:rPr>
          <w:rFonts w:hint="eastAsia" w:hAnsi="仿宋_GB2312" w:cs="仿宋_GB2312"/>
          <w:sz w:val="32"/>
          <w:szCs w:val="32"/>
          <w:lang w:val="en-US" w:eastAsia="zh-CN"/>
        </w:rPr>
        <w:t xml:space="preserve"> </w:t>
      </w:r>
    </w:p>
    <w:sectPr>
      <w:footerReference r:id="rId3" w:type="default"/>
      <w:pgSz w:w="11906" w:h="16838"/>
      <w:pgMar w:top="2098" w:right="1474" w:bottom="1984" w:left="1587" w:header="1474"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7581F5-5496-4761-B550-0AD5625AD91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B0DA40E9-9408-4EF4-B28E-74BBDF33E40F}"/>
  </w:font>
  <w:font w:name="方正小标宋_GBK">
    <w:panose1 w:val="03000509000000000000"/>
    <w:charset w:val="86"/>
    <w:family w:val="auto"/>
    <w:pitch w:val="default"/>
    <w:sig w:usb0="00000001" w:usb1="080E0000" w:usb2="00000000" w:usb3="00000000" w:csb0="00040000" w:csb1="00000000"/>
    <w:embedRegular r:id="rId3" w:fontKey="{3BF4AD38-FCD7-4580-9B04-F5A2B9882A2F}"/>
  </w:font>
  <w:font w:name="楷体_GB2312">
    <w:panose1 w:val="02010609030101010101"/>
    <w:charset w:val="86"/>
    <w:family w:val="auto"/>
    <w:pitch w:val="default"/>
    <w:sig w:usb0="00000001" w:usb1="080E0000" w:usb2="00000000" w:usb3="00000000" w:csb0="00040000" w:csb1="00000000"/>
    <w:embedRegular r:id="rId4" w:fontKey="{AC6A242B-5D77-499C-B0D7-79095E992266}"/>
  </w:font>
  <w:font w:name="方正大标宋简体">
    <w:panose1 w:val="02000000000000000000"/>
    <w:charset w:val="86"/>
    <w:family w:val="auto"/>
    <w:pitch w:val="default"/>
    <w:sig w:usb0="A00002BF" w:usb1="184F6CFA" w:usb2="00000012" w:usb3="00000000" w:csb0="00040001" w:csb1="00000000"/>
    <w:embedRegular r:id="rId5" w:fontKey="{7DE38192-0909-4137-B9EF-2A3039D14B0C}"/>
  </w:font>
  <w:font w:name="Segoe UI">
    <w:panose1 w:val="020B0502040204020203"/>
    <w:charset w:val="00"/>
    <w:family w:val="auto"/>
    <w:pitch w:val="default"/>
    <w:sig w:usb0="E10022FF" w:usb1="C000E47F" w:usb2="00000029" w:usb3="00000000" w:csb0="200001DF" w:csb1="20000000"/>
    <w:embedRegular r:id="rId6" w:fontKey="{E89DA3C2-CF26-4104-AA8C-9CCDAAD83F8F}"/>
  </w:font>
  <w:font w:name="方正小标宋简体">
    <w:panose1 w:val="02000000000000000000"/>
    <w:charset w:val="86"/>
    <w:family w:val="auto"/>
    <w:pitch w:val="default"/>
    <w:sig w:usb0="00000001" w:usb1="08000000" w:usb2="00000000" w:usb3="00000000" w:csb0="00040000" w:csb1="00000000"/>
    <w:embedRegular r:id="rId7" w:fontKey="{0EA67340-2DDE-4280-8479-A4DBFE1EEC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BA7E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24B69">
                          <w:pPr>
                            <w:pStyle w:val="5"/>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 xml:space="preserve">— </w:t>
                          </w:r>
                          <w:r>
                            <w:rPr>
                              <w:rFonts w:hint="eastAsia" w:asciiTheme="majorEastAsia" w:hAnsiTheme="majorEastAsia" w:eastAsiaTheme="majorEastAsia" w:cstheme="majorEastAsia"/>
                              <w:sz w:val="32"/>
                              <w:szCs w:val="32"/>
                            </w:rPr>
                            <w:fldChar w:fldCharType="begin"/>
                          </w:r>
                          <w:r>
                            <w:rPr>
                              <w:rFonts w:hint="eastAsia" w:asciiTheme="majorEastAsia" w:hAnsiTheme="majorEastAsia" w:eastAsiaTheme="majorEastAsia" w:cstheme="majorEastAsia"/>
                              <w:sz w:val="32"/>
                              <w:szCs w:val="32"/>
                            </w:rPr>
                            <w:instrText xml:space="preserve"> PAGE  \* MERGEFORMAT </w:instrText>
                          </w:r>
                          <w:r>
                            <w:rPr>
                              <w:rFonts w:hint="eastAsia" w:asciiTheme="majorEastAsia" w:hAnsiTheme="majorEastAsia" w:eastAsiaTheme="majorEastAsia" w:cstheme="majorEastAsia"/>
                              <w:sz w:val="32"/>
                              <w:szCs w:val="32"/>
                            </w:rPr>
                            <w:fldChar w:fldCharType="separate"/>
                          </w:r>
                          <w:r>
                            <w:rPr>
                              <w:rFonts w:hint="eastAsia" w:asciiTheme="majorEastAsia" w:hAnsiTheme="majorEastAsia" w:eastAsiaTheme="majorEastAsia" w:cstheme="majorEastAsia"/>
                              <w:sz w:val="32"/>
                              <w:szCs w:val="32"/>
                            </w:rPr>
                            <w:t>1</w:t>
                          </w:r>
                          <w:r>
                            <w:rPr>
                              <w:rFonts w:hint="eastAsia" w:asciiTheme="majorEastAsia" w:hAnsiTheme="majorEastAsia" w:eastAsiaTheme="majorEastAsia" w:cstheme="majorEastAsia"/>
                              <w:sz w:val="32"/>
                              <w:szCs w:val="32"/>
                            </w:rPr>
                            <w:fldChar w:fldCharType="end"/>
                          </w:r>
                          <w:r>
                            <w:rPr>
                              <w:rFonts w:hint="eastAsia" w:asciiTheme="majorEastAsia" w:hAnsiTheme="majorEastAsia" w:eastAsiaTheme="majorEastAsia" w:cstheme="majorEastAsia"/>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B24B69">
                    <w:pPr>
                      <w:pStyle w:val="5"/>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 xml:space="preserve">— </w:t>
                    </w:r>
                    <w:r>
                      <w:rPr>
                        <w:rFonts w:hint="eastAsia" w:asciiTheme="majorEastAsia" w:hAnsiTheme="majorEastAsia" w:eastAsiaTheme="majorEastAsia" w:cstheme="majorEastAsia"/>
                        <w:sz w:val="32"/>
                        <w:szCs w:val="32"/>
                      </w:rPr>
                      <w:fldChar w:fldCharType="begin"/>
                    </w:r>
                    <w:r>
                      <w:rPr>
                        <w:rFonts w:hint="eastAsia" w:asciiTheme="majorEastAsia" w:hAnsiTheme="majorEastAsia" w:eastAsiaTheme="majorEastAsia" w:cstheme="majorEastAsia"/>
                        <w:sz w:val="32"/>
                        <w:szCs w:val="32"/>
                      </w:rPr>
                      <w:instrText xml:space="preserve"> PAGE  \* MERGEFORMAT </w:instrText>
                    </w:r>
                    <w:r>
                      <w:rPr>
                        <w:rFonts w:hint="eastAsia" w:asciiTheme="majorEastAsia" w:hAnsiTheme="majorEastAsia" w:eastAsiaTheme="majorEastAsia" w:cstheme="majorEastAsia"/>
                        <w:sz w:val="32"/>
                        <w:szCs w:val="32"/>
                      </w:rPr>
                      <w:fldChar w:fldCharType="separate"/>
                    </w:r>
                    <w:r>
                      <w:rPr>
                        <w:rFonts w:hint="eastAsia" w:asciiTheme="majorEastAsia" w:hAnsiTheme="majorEastAsia" w:eastAsiaTheme="majorEastAsia" w:cstheme="majorEastAsia"/>
                        <w:sz w:val="32"/>
                        <w:szCs w:val="32"/>
                      </w:rPr>
                      <w:t>1</w:t>
                    </w:r>
                    <w:r>
                      <w:rPr>
                        <w:rFonts w:hint="eastAsia" w:asciiTheme="majorEastAsia" w:hAnsiTheme="majorEastAsia" w:eastAsiaTheme="majorEastAsia" w:cstheme="majorEastAsia"/>
                        <w:sz w:val="32"/>
                        <w:szCs w:val="32"/>
                      </w:rPr>
                      <w:fldChar w:fldCharType="end"/>
                    </w:r>
                    <w:r>
                      <w:rPr>
                        <w:rFonts w:hint="eastAsia" w:asciiTheme="majorEastAsia" w:hAnsiTheme="majorEastAsia" w:eastAsiaTheme="majorEastAsia" w:cstheme="majorEastAsia"/>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EA277A"/>
    <w:multiLevelType w:val="singleLevel"/>
    <w:tmpl w:val="48EA277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E3E41"/>
    <w:rsid w:val="0F9A317D"/>
    <w:rsid w:val="0FF87EA4"/>
    <w:rsid w:val="13961EAE"/>
    <w:rsid w:val="17255D87"/>
    <w:rsid w:val="1A002D9C"/>
    <w:rsid w:val="1A4022BF"/>
    <w:rsid w:val="1AD35795"/>
    <w:rsid w:val="1C037FBC"/>
    <w:rsid w:val="1F576995"/>
    <w:rsid w:val="220B3A67"/>
    <w:rsid w:val="26BE1C7A"/>
    <w:rsid w:val="27722536"/>
    <w:rsid w:val="303D2949"/>
    <w:rsid w:val="30F73B34"/>
    <w:rsid w:val="37461371"/>
    <w:rsid w:val="3B3836C7"/>
    <w:rsid w:val="3C4542ED"/>
    <w:rsid w:val="3D115F7D"/>
    <w:rsid w:val="3EA20DB8"/>
    <w:rsid w:val="40862B30"/>
    <w:rsid w:val="48456723"/>
    <w:rsid w:val="49F033BE"/>
    <w:rsid w:val="4B3F1294"/>
    <w:rsid w:val="4DE97CE5"/>
    <w:rsid w:val="4E567DE7"/>
    <w:rsid w:val="51BD015A"/>
    <w:rsid w:val="53784325"/>
    <w:rsid w:val="573C7E8F"/>
    <w:rsid w:val="58EE31BF"/>
    <w:rsid w:val="60340051"/>
    <w:rsid w:val="61FE0917"/>
    <w:rsid w:val="63FA3360"/>
    <w:rsid w:val="667A63AC"/>
    <w:rsid w:val="6A331379"/>
    <w:rsid w:val="6BC26511"/>
    <w:rsid w:val="6E4E22DE"/>
    <w:rsid w:val="70085E19"/>
    <w:rsid w:val="770E3E41"/>
    <w:rsid w:val="77783A50"/>
    <w:rsid w:val="7A1268B5"/>
    <w:rsid w:val="7D1125E6"/>
    <w:rsid w:val="7FA37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2"/>
        <w:tab w:val="left" w:pos="3372"/>
        <w:tab w:val="left" w:pos="3653"/>
      </w:tabs>
    </w:pPr>
    <w:rPr>
      <w:sz w:val="24"/>
    </w:rPr>
  </w:style>
  <w:style w:type="paragraph" w:styleId="3">
    <w:name w:val="Normal Indent"/>
    <w:basedOn w:val="1"/>
    <w:qFormat/>
    <w:uiPriority w:val="0"/>
    <w:pPr>
      <w:widowControl w:val="0"/>
      <w:spacing w:line="560" w:lineRule="atLeast"/>
      <w:ind w:firstLine="420"/>
    </w:pPr>
    <w:rPr>
      <w:kern w:val="2"/>
      <w:sz w:val="32"/>
      <w:szCs w:val="32"/>
      <w:lang w:val="en-US" w:eastAsia="zh-CN" w:bidi="ar-SA"/>
    </w:rPr>
  </w:style>
  <w:style w:type="paragraph" w:styleId="4">
    <w:name w:val="Body Text Indent"/>
    <w:basedOn w:val="1"/>
    <w:qFormat/>
    <w:uiPriority w:val="0"/>
    <w:pPr>
      <w:ind w:firstLine="640" w:firstLineChars="200"/>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2"/>
    <w:next w:val="1"/>
    <w:qFormat/>
    <w:uiPriority w:val="0"/>
    <w:pPr>
      <w:widowControl w:val="0"/>
      <w:ind w:firstLine="420" w:firstLineChars="100"/>
      <w:jc w:val="center"/>
    </w:pPr>
    <w:rPr>
      <w:rFonts w:ascii="宋体" w:hAnsi="Times New Roman" w:eastAsia="宋体" w:cs="Times New Roman"/>
      <w:kern w:val="2"/>
      <w:sz w:val="44"/>
      <w:szCs w:val="24"/>
      <w:lang w:val="en-US" w:eastAsia="zh-CN" w:bidi="ar-SA"/>
    </w:rPr>
  </w:style>
  <w:style w:type="paragraph" w:styleId="8">
    <w:name w:val="Body Text First Indent 2"/>
    <w:basedOn w:val="4"/>
    <w:qFormat/>
    <w:uiPriority w:val="0"/>
    <w:pPr>
      <w:ind w:firstLine="420" w:firstLineChars="200"/>
    </w:pPr>
  </w:style>
  <w:style w:type="table" w:styleId="10">
    <w:name w:val="Table Grid"/>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2675</Words>
  <Characters>2800</Characters>
  <Lines>0</Lines>
  <Paragraphs>0</Paragraphs>
  <TotalTime>66</TotalTime>
  <ScaleCrop>false</ScaleCrop>
  <LinksUpToDate>false</LinksUpToDate>
  <CharactersWithSpaces>2817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2025-12-10T01:34:00Z</dcterms:created>
  <dc:creator>大王</dc:creator>
  <cp:lastModifiedBy>大王</cp:lastModifiedBy>
  <dcterms:modified xsi:type="dcterms:W3CDTF">2025-12-25T06:53:10Z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1940BFD1E9FD4D6C895F950850520BD4_13</vt:lpwstr>
  </property>
  <property fmtid="{D5CDD505-2E9C-101B-9397-08002B2CF9AE}" pid="4" name="KSOTemplateDocerSaveRecord">
    <vt:lpwstr>eyJoZGlkIjoiMzZjM2ZhNmYxODM4MmVhN2MyNjJhNTVjZTZjMTZkYWUiLCJ1c2VySWQiOiI2MDAzMDgyMTMifQ==</vt:lpwstr>
  </property>
</Properties>
</file>