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adjustRightInd w:val="0"/>
        <w:snapToGrid w:val="0"/>
        <w:ind w:firstLine="0" w:firstLineChars="0"/>
        <w:jc w:val="center"/>
        <w:outlineLvl w:val="1"/>
        <w:rPr>
          <w:rFonts w:hint="eastAsia" w:ascii="宋体" w:hAnsi="宋体" w:eastAsia="宋体"/>
          <w:sz w:val="28"/>
          <w:lang w:val="en-US" w:eastAsia="zh-CN"/>
        </w:rPr>
      </w:pPr>
      <w:bookmarkStart w:id="0" w:name="_Toc28894"/>
      <w:bookmarkStart w:id="1" w:name="_Toc49247164"/>
      <w:bookmarkStart w:id="2" w:name="_Toc10733"/>
      <w:r>
        <w:rPr>
          <w:rFonts w:hint="eastAsia" w:ascii="宋体" w:hAnsi="宋体"/>
          <w:b/>
          <w:sz w:val="32"/>
          <w:lang w:val="en-US" w:eastAsia="zh-CN"/>
        </w:rPr>
        <w:t>公有云项目-</w:t>
      </w:r>
      <w:r>
        <w:rPr>
          <w:rFonts w:hint="eastAsia" w:ascii="宋体" w:hAnsi="宋体"/>
          <w:b/>
          <w:sz w:val="32"/>
        </w:rPr>
        <w:t>技术</w:t>
      </w:r>
      <w:bookmarkEnd w:id="0"/>
      <w:bookmarkEnd w:id="1"/>
      <w:bookmarkEnd w:id="2"/>
      <w:r>
        <w:rPr>
          <w:rFonts w:hint="eastAsia" w:ascii="宋体" w:hAnsi="宋体"/>
          <w:b/>
          <w:sz w:val="32"/>
          <w:lang w:val="en-US" w:eastAsia="zh-CN"/>
        </w:rPr>
        <w:t>需求</w:t>
      </w:r>
    </w:p>
    <w:p>
      <w:pPr>
        <w:widowControl w:val="0"/>
        <w:ind w:firstLine="422"/>
        <w:jc w:val="left"/>
      </w:pPr>
      <w:r>
        <w:rPr>
          <w:rFonts w:hint="eastAsia" w:ascii="宋体" w:hAnsi="宋体" w:cs="宋体"/>
          <w:b/>
          <w:bCs/>
          <w:szCs w:val="21"/>
        </w:rPr>
        <w:t>一、云产品和服务要求</w:t>
      </w:r>
    </w:p>
    <w:tbl>
      <w:tblPr>
        <w:tblStyle w:val="5"/>
        <w:tblW w:w="8522" w:type="dxa"/>
        <w:tblInd w:w="0" w:type="dxa"/>
        <w:tblLayout w:type="autofit"/>
        <w:tblCellMar>
          <w:top w:w="0" w:type="dxa"/>
          <w:left w:w="108" w:type="dxa"/>
          <w:bottom w:w="0" w:type="dxa"/>
          <w:right w:w="108" w:type="dxa"/>
        </w:tblCellMar>
      </w:tblPr>
      <w:tblGrid>
        <w:gridCol w:w="700"/>
        <w:gridCol w:w="1785"/>
        <w:gridCol w:w="1929"/>
        <w:gridCol w:w="4108"/>
      </w:tblGrid>
      <w:tr>
        <w:tblPrEx>
          <w:tblCellMar>
            <w:top w:w="0" w:type="dxa"/>
            <w:left w:w="108" w:type="dxa"/>
            <w:bottom w:w="0" w:type="dxa"/>
            <w:right w:w="108" w:type="dxa"/>
          </w:tblCellMar>
        </w:tblPrEx>
        <w:trPr>
          <w:trHeight w:val="90" w:hRule="atLeast"/>
          <w:tblHeader/>
        </w:trPr>
        <w:tc>
          <w:tcPr>
            <w:tcW w:w="7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宋体" w:hAnsi="宋体" w:cs="宋体"/>
                <w:b/>
                <w:bCs/>
                <w:kern w:val="0"/>
                <w:sz w:val="24"/>
              </w:rPr>
            </w:pPr>
            <w:r>
              <w:rPr>
                <w:rFonts w:hint="eastAsia" w:ascii="宋体" w:hAnsi="宋体" w:cs="宋体"/>
                <w:b/>
                <w:bCs/>
                <w:kern w:val="0"/>
                <w:sz w:val="24"/>
              </w:rPr>
              <w:t>序号</w:t>
            </w:r>
          </w:p>
        </w:tc>
        <w:tc>
          <w:tcPr>
            <w:tcW w:w="1785" w:type="dxa"/>
            <w:tcBorders>
              <w:top w:val="single" w:color="auto" w:sz="4" w:space="0"/>
              <w:left w:val="nil"/>
              <w:bottom w:val="single" w:color="auto" w:sz="4" w:space="0"/>
              <w:right w:val="single" w:color="auto" w:sz="4" w:space="0"/>
            </w:tcBorders>
            <w:noWrap/>
            <w:vAlign w:val="center"/>
          </w:tcPr>
          <w:p>
            <w:pPr>
              <w:spacing w:line="240" w:lineRule="auto"/>
              <w:ind w:firstLine="0" w:firstLineChars="0"/>
              <w:jc w:val="center"/>
              <w:rPr>
                <w:rFonts w:ascii="宋体" w:hAnsi="宋体" w:cs="宋体"/>
                <w:b/>
                <w:bCs/>
                <w:kern w:val="0"/>
                <w:sz w:val="24"/>
              </w:rPr>
            </w:pPr>
            <w:r>
              <w:rPr>
                <w:rFonts w:hint="eastAsia" w:ascii="宋体" w:hAnsi="宋体" w:cs="宋体"/>
                <w:b/>
                <w:bCs/>
                <w:kern w:val="0"/>
                <w:sz w:val="24"/>
              </w:rPr>
              <w:t>云产品和服务</w:t>
            </w:r>
          </w:p>
        </w:tc>
        <w:tc>
          <w:tcPr>
            <w:tcW w:w="1929" w:type="dxa"/>
            <w:tcBorders>
              <w:top w:val="single" w:color="auto" w:sz="4" w:space="0"/>
              <w:left w:val="nil"/>
              <w:bottom w:val="single" w:color="auto" w:sz="4" w:space="0"/>
              <w:right w:val="single" w:color="auto" w:sz="4" w:space="0"/>
            </w:tcBorders>
            <w:noWrap/>
            <w:vAlign w:val="center"/>
          </w:tcPr>
          <w:p>
            <w:pPr>
              <w:spacing w:line="240" w:lineRule="auto"/>
              <w:ind w:firstLine="0" w:firstLineChars="0"/>
              <w:jc w:val="center"/>
              <w:rPr>
                <w:rFonts w:ascii="宋体" w:hAnsi="宋体" w:cs="宋体"/>
                <w:b/>
                <w:bCs/>
                <w:kern w:val="0"/>
                <w:sz w:val="24"/>
              </w:rPr>
            </w:pPr>
            <w:r>
              <w:rPr>
                <w:rFonts w:hint="eastAsia" w:ascii="宋体" w:hAnsi="宋体" w:cs="宋体"/>
                <w:b/>
                <w:bCs/>
                <w:kern w:val="0"/>
                <w:sz w:val="24"/>
              </w:rPr>
              <w:t>功能描述</w:t>
            </w:r>
          </w:p>
        </w:tc>
        <w:tc>
          <w:tcPr>
            <w:tcW w:w="4108" w:type="dxa"/>
            <w:tcBorders>
              <w:top w:val="single" w:color="auto" w:sz="4" w:space="0"/>
              <w:left w:val="nil"/>
              <w:bottom w:val="single" w:color="auto" w:sz="4" w:space="0"/>
              <w:right w:val="single" w:color="auto" w:sz="4" w:space="0"/>
            </w:tcBorders>
            <w:noWrap/>
            <w:vAlign w:val="center"/>
          </w:tcPr>
          <w:p>
            <w:pPr>
              <w:spacing w:line="240" w:lineRule="auto"/>
              <w:ind w:firstLine="0" w:firstLineChars="0"/>
              <w:jc w:val="center"/>
              <w:rPr>
                <w:rFonts w:ascii="宋体" w:hAnsi="宋体" w:cs="宋体"/>
                <w:b/>
                <w:bCs/>
                <w:kern w:val="0"/>
                <w:sz w:val="24"/>
              </w:rPr>
            </w:pPr>
            <w:r>
              <w:rPr>
                <w:rFonts w:hint="eastAsia" w:ascii="宋体" w:hAnsi="宋体" w:cs="宋体"/>
                <w:b/>
                <w:bCs/>
                <w:kern w:val="0"/>
                <w:sz w:val="24"/>
              </w:rPr>
              <w:t>技术要求</w:t>
            </w:r>
          </w:p>
        </w:tc>
      </w:tr>
      <w:tr>
        <w:tblPrEx>
          <w:tblCellMar>
            <w:top w:w="0" w:type="dxa"/>
            <w:left w:w="108" w:type="dxa"/>
            <w:bottom w:w="0" w:type="dxa"/>
            <w:right w:w="108" w:type="dxa"/>
          </w:tblCellMar>
        </w:tblPrEx>
        <w:trPr>
          <w:trHeight w:val="3185" w:hRule="atLeast"/>
        </w:trPr>
        <w:tc>
          <w:tcPr>
            <w:tcW w:w="700" w:type="dxa"/>
            <w:tcBorders>
              <w:top w:val="nil"/>
              <w:left w:val="single" w:color="auto" w:sz="4" w:space="0"/>
              <w:bottom w:val="single" w:color="auto" w:sz="4" w:space="0"/>
              <w:right w:val="single" w:color="auto" w:sz="4" w:space="0"/>
            </w:tcBorders>
            <w:noWrap/>
            <w:vAlign w:val="center"/>
          </w:tcPr>
          <w:p>
            <w:pPr>
              <w:spacing w:line="240" w:lineRule="auto"/>
              <w:ind w:firstLine="0" w:firstLineChars="0"/>
              <w:jc w:val="center"/>
              <w:rPr>
                <w:rFonts w:ascii="宋体" w:hAnsi="宋体" w:cs="宋体"/>
                <w:kern w:val="0"/>
                <w:szCs w:val="22"/>
              </w:rPr>
            </w:pPr>
            <w:r>
              <w:rPr>
                <w:rFonts w:hint="eastAsia" w:ascii="宋体" w:hAnsi="宋体" w:cs="宋体"/>
                <w:kern w:val="0"/>
                <w:szCs w:val="22"/>
              </w:rPr>
              <w:t>1</w:t>
            </w:r>
          </w:p>
        </w:tc>
        <w:tc>
          <w:tcPr>
            <w:tcW w:w="1785" w:type="dxa"/>
            <w:tcBorders>
              <w:top w:val="nil"/>
              <w:left w:val="nil"/>
              <w:bottom w:val="single" w:color="auto" w:sz="4" w:space="0"/>
              <w:right w:val="single" w:color="auto" w:sz="4" w:space="0"/>
            </w:tcBorders>
            <w:noWrap/>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云服务器</w:t>
            </w:r>
          </w:p>
        </w:tc>
        <w:tc>
          <w:tcPr>
            <w:tcW w:w="1929"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提供不同规格的云服务器，为用户提供安全可靠的弹性计算服务。可以实时扩展或缩减计算资源，适应各种业务的需求，实现按需使用资源计费。</w:t>
            </w:r>
          </w:p>
        </w:tc>
        <w:tc>
          <w:tcPr>
            <w:tcW w:w="4108"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1.具备快照/备份、性能监测分析、异常告警等功能</w:t>
            </w:r>
            <w:r>
              <w:rPr>
                <w:rFonts w:hint="eastAsia" w:ascii="宋体" w:hAnsi="宋体" w:cs="宋体"/>
                <w:kern w:val="0"/>
                <w:szCs w:val="22"/>
              </w:rPr>
              <w:br w:type="textWrapping"/>
            </w:r>
            <w:r>
              <w:rPr>
                <w:rFonts w:hint="eastAsia" w:ascii="宋体" w:hAnsi="宋体" w:cs="宋体"/>
                <w:kern w:val="0"/>
                <w:szCs w:val="22"/>
              </w:rPr>
              <w:t>2.云主机提供多种远程登录方式：密码登录、密钥登录、VNC登录等。</w:t>
            </w:r>
            <w:r>
              <w:rPr>
                <w:rFonts w:hint="eastAsia" w:ascii="宋体" w:hAnsi="宋体" w:cs="宋体"/>
                <w:kern w:val="0"/>
                <w:szCs w:val="22"/>
              </w:rPr>
              <w:br w:type="textWrapping"/>
            </w:r>
            <w:r>
              <w:rPr>
                <w:rFonts w:hint="eastAsia" w:ascii="宋体" w:hAnsi="宋体" w:cs="宋体"/>
                <w:kern w:val="0"/>
                <w:szCs w:val="22"/>
              </w:rPr>
              <w:t>3.单台云主机系统盘可支持不低于1024GB，支持挂载不少于10块弹性云硬盘作为数据盘、单数据盘可支持不低于32TB。</w:t>
            </w:r>
            <w:r>
              <w:rPr>
                <w:rFonts w:hint="eastAsia" w:ascii="宋体" w:hAnsi="宋体" w:cs="宋体"/>
                <w:kern w:val="0"/>
                <w:szCs w:val="22"/>
              </w:rPr>
              <w:br w:type="textWrapping"/>
            </w:r>
            <w:r>
              <w:rPr>
                <w:rFonts w:hint="eastAsia" w:ascii="宋体" w:hAnsi="宋体" w:cs="宋体"/>
                <w:kern w:val="0"/>
                <w:szCs w:val="22"/>
              </w:rPr>
              <w:t>4.支持绑定不低于4个弹性网卡。</w:t>
            </w:r>
            <w:r>
              <w:rPr>
                <w:rFonts w:hint="eastAsia" w:ascii="宋体" w:hAnsi="宋体" w:cs="宋体"/>
                <w:kern w:val="0"/>
                <w:szCs w:val="22"/>
              </w:rPr>
              <w:br w:type="textWrapping"/>
            </w:r>
            <w:r>
              <w:rPr>
                <w:rFonts w:hint="eastAsia" w:ascii="宋体" w:hAnsi="宋体" w:cs="宋体"/>
                <w:kern w:val="0"/>
                <w:szCs w:val="22"/>
              </w:rPr>
              <w:t>5.单台云主机创建时间小于10s。</w:t>
            </w:r>
            <w:r>
              <w:rPr>
                <w:rFonts w:hint="eastAsia" w:ascii="宋体" w:hAnsi="宋体" w:cs="宋体"/>
                <w:kern w:val="0"/>
                <w:szCs w:val="22"/>
              </w:rPr>
              <w:br w:type="textWrapping"/>
            </w:r>
            <w:r>
              <w:rPr>
                <w:rFonts w:hint="eastAsia" w:ascii="宋体" w:hAnsi="宋体" w:cs="宋体"/>
                <w:kern w:val="0"/>
                <w:szCs w:val="22"/>
              </w:rPr>
              <w:t>6.云主机提供主流的Windows、Linux等操作系统，且均具备正版授权。</w:t>
            </w:r>
            <w:r>
              <w:rPr>
                <w:rFonts w:hint="eastAsia" w:ascii="宋体" w:hAnsi="宋体" w:cs="宋体"/>
                <w:kern w:val="0"/>
                <w:szCs w:val="22"/>
              </w:rPr>
              <w:br w:type="textWrapping"/>
            </w:r>
            <w:r>
              <w:rPr>
                <w:rFonts w:hint="eastAsia" w:ascii="宋体" w:hAnsi="宋体" w:cs="宋体"/>
                <w:kern w:val="0"/>
                <w:szCs w:val="22"/>
              </w:rPr>
              <w:t>7.可指定用户预先配置好的镜像文件作为模板进行云主机的创建。</w:t>
            </w:r>
            <w:r>
              <w:rPr>
                <w:rFonts w:hint="eastAsia" w:ascii="宋体" w:hAnsi="宋体" w:cs="宋体"/>
                <w:kern w:val="0"/>
                <w:szCs w:val="22"/>
              </w:rPr>
              <w:br w:type="textWrapping"/>
            </w:r>
            <w:r>
              <w:rPr>
                <w:rFonts w:hint="eastAsia" w:ascii="宋体" w:hAnsi="宋体" w:cs="宋体"/>
                <w:kern w:val="0"/>
                <w:szCs w:val="22"/>
              </w:rPr>
              <w:t>8.对于单实例维度，一个服务周期内云主机的服务SLA可用性不低于99.975%。</w:t>
            </w:r>
          </w:p>
        </w:tc>
      </w:tr>
      <w:tr>
        <w:tblPrEx>
          <w:tblCellMar>
            <w:top w:w="0" w:type="dxa"/>
            <w:left w:w="108" w:type="dxa"/>
            <w:bottom w:w="0" w:type="dxa"/>
            <w:right w:w="108" w:type="dxa"/>
          </w:tblCellMar>
        </w:tblPrEx>
        <w:trPr>
          <w:trHeight w:val="90" w:hRule="atLeast"/>
        </w:trPr>
        <w:tc>
          <w:tcPr>
            <w:tcW w:w="700" w:type="dxa"/>
            <w:tcBorders>
              <w:top w:val="nil"/>
              <w:left w:val="single" w:color="auto" w:sz="4" w:space="0"/>
              <w:bottom w:val="single" w:color="auto" w:sz="4" w:space="0"/>
              <w:right w:val="single" w:color="auto" w:sz="4" w:space="0"/>
            </w:tcBorders>
            <w:noWrap/>
            <w:vAlign w:val="center"/>
          </w:tcPr>
          <w:p>
            <w:pPr>
              <w:spacing w:line="240" w:lineRule="auto"/>
              <w:ind w:firstLine="0" w:firstLineChars="0"/>
              <w:jc w:val="center"/>
              <w:rPr>
                <w:rFonts w:hint="eastAsia" w:ascii="宋体" w:hAnsi="宋体" w:eastAsia="宋体" w:cs="宋体"/>
                <w:kern w:val="0"/>
                <w:szCs w:val="22"/>
                <w:lang w:eastAsia="zh-CN"/>
              </w:rPr>
            </w:pPr>
            <w:r>
              <w:rPr>
                <w:rFonts w:hint="eastAsia" w:ascii="宋体" w:hAnsi="宋体" w:cs="宋体"/>
                <w:kern w:val="0"/>
                <w:szCs w:val="22"/>
                <w:lang w:val="en-US" w:eastAsia="zh-CN"/>
              </w:rPr>
              <w:t>2</w:t>
            </w:r>
          </w:p>
        </w:tc>
        <w:tc>
          <w:tcPr>
            <w:tcW w:w="1785" w:type="dxa"/>
            <w:tcBorders>
              <w:top w:val="nil"/>
              <w:left w:val="nil"/>
              <w:bottom w:val="single" w:color="auto" w:sz="4" w:space="0"/>
              <w:right w:val="single" w:color="auto" w:sz="4" w:space="0"/>
            </w:tcBorders>
            <w:noWrap/>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云数据库MySQL</w:t>
            </w:r>
          </w:p>
        </w:tc>
        <w:tc>
          <w:tcPr>
            <w:tcW w:w="1929"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提供安全可靠、易于维护的MySQL关系型云数据库服务，用户可自行创建不同规格云数据库实例。</w:t>
            </w:r>
          </w:p>
        </w:tc>
        <w:tc>
          <w:tcPr>
            <w:tcW w:w="4108"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1.提供实例负载监控，通过实时会话指标诊断数据库慢sql。</w:t>
            </w:r>
            <w:r>
              <w:rPr>
                <w:rFonts w:hint="eastAsia" w:ascii="宋体" w:hAnsi="宋体" w:cs="宋体"/>
                <w:kern w:val="0"/>
                <w:szCs w:val="22"/>
              </w:rPr>
              <w:br w:type="textWrapping"/>
            </w:r>
            <w:r>
              <w:rPr>
                <w:rFonts w:hint="eastAsia" w:ascii="宋体" w:hAnsi="宋体" w:cs="宋体"/>
                <w:kern w:val="0"/>
                <w:szCs w:val="22"/>
              </w:rPr>
              <w:t>2.完全兼容开源Mysql，支持主流MySQL版本，包含5.7、8.0，支持5.7一键升级8.0。</w:t>
            </w:r>
            <w:r>
              <w:rPr>
                <w:rFonts w:hint="eastAsia" w:ascii="宋体" w:hAnsi="宋体" w:cs="宋体"/>
                <w:kern w:val="0"/>
                <w:szCs w:val="22"/>
              </w:rPr>
              <w:br w:type="textWrapping"/>
            </w:r>
            <w:r>
              <w:rPr>
                <w:rFonts w:hint="eastAsia" w:ascii="宋体" w:hAnsi="宋体" w:cs="宋体"/>
                <w:kern w:val="0"/>
                <w:szCs w:val="22"/>
              </w:rPr>
              <w:t>3.支持在线升级数据库CPU、内存和磁盘规格，升级过程中业务访问数据库无中断。</w:t>
            </w:r>
            <w:r>
              <w:rPr>
                <w:rFonts w:hint="eastAsia" w:ascii="宋体" w:hAnsi="宋体" w:cs="宋体"/>
                <w:kern w:val="0"/>
                <w:szCs w:val="22"/>
              </w:rPr>
              <w:br w:type="textWrapping"/>
            </w:r>
            <w:r>
              <w:rPr>
                <w:rFonts w:hint="eastAsia" w:ascii="宋体" w:hAnsi="宋体" w:cs="宋体"/>
                <w:kern w:val="0"/>
                <w:szCs w:val="22"/>
              </w:rPr>
              <w:t>4.支持数据库主从之间数据一致，在主节点故障时，从节点不会丢失或错乱数据。</w:t>
            </w:r>
            <w:r>
              <w:rPr>
                <w:rFonts w:hint="eastAsia" w:ascii="宋体" w:hAnsi="宋体" w:cs="宋体"/>
                <w:kern w:val="0"/>
                <w:szCs w:val="22"/>
              </w:rPr>
              <w:br w:type="textWrapping"/>
            </w:r>
            <w:r>
              <w:rPr>
                <w:rFonts w:hint="eastAsia" w:ascii="宋体" w:hAnsi="宋体" w:cs="宋体"/>
                <w:kern w:val="0"/>
                <w:szCs w:val="22"/>
              </w:rPr>
              <w:t>5.跨地域同步工具：支持跨地域或跨集群实例的数据同步，并支持对同步情况进行监控和告警。</w:t>
            </w:r>
            <w:r>
              <w:rPr>
                <w:rFonts w:hint="eastAsia" w:ascii="宋体" w:hAnsi="宋体" w:cs="宋体"/>
                <w:kern w:val="0"/>
                <w:szCs w:val="22"/>
              </w:rPr>
              <w:br w:type="textWrapping"/>
            </w:r>
            <w:r>
              <w:rPr>
                <w:rFonts w:hint="eastAsia" w:ascii="宋体" w:hAnsi="宋体" w:cs="宋体"/>
                <w:kern w:val="0"/>
                <w:szCs w:val="22"/>
              </w:rPr>
              <w:t>6.多种管理方式：数据库实例支持Web管理控制界面；支持命令行GUI管理方式；支持第三方管理工具。</w:t>
            </w:r>
            <w:r>
              <w:rPr>
                <w:rFonts w:hint="eastAsia" w:ascii="宋体" w:hAnsi="宋体" w:cs="宋体"/>
                <w:kern w:val="0"/>
                <w:szCs w:val="22"/>
              </w:rPr>
              <w:br w:type="textWrapping"/>
            </w:r>
            <w:r>
              <w:rPr>
                <w:rFonts w:hint="eastAsia" w:ascii="宋体" w:hAnsi="宋体" w:cs="宋体"/>
                <w:kern w:val="0"/>
                <w:szCs w:val="22"/>
              </w:rPr>
              <w:t>7、SLA：对数据库可用性有SLA承诺，SLA不低于99.95%指标。</w:t>
            </w:r>
            <w:r>
              <w:rPr>
                <w:rFonts w:hint="eastAsia" w:ascii="宋体" w:hAnsi="宋体" w:cs="宋体"/>
                <w:kern w:val="0"/>
                <w:szCs w:val="22"/>
              </w:rPr>
              <w:br w:type="textWrapping"/>
            </w:r>
            <w:r>
              <w:rPr>
                <w:rFonts w:hint="eastAsia" w:ascii="宋体" w:hAnsi="宋体" w:cs="宋体"/>
                <w:kern w:val="0"/>
                <w:szCs w:val="22"/>
              </w:rPr>
              <w:t>8、提供自动读写分离、事务拆分、连接池、防闪断等高级功能，支持挂载跨可用区只读实例，实现跨地域容灾、开通多个数据库代理访问地址；</w:t>
            </w:r>
            <w:r>
              <w:rPr>
                <w:rFonts w:hint="eastAsia" w:ascii="宋体" w:hAnsi="宋体" w:cs="宋体"/>
                <w:kern w:val="0"/>
                <w:szCs w:val="22"/>
              </w:rPr>
              <w:br w:type="textWrapping"/>
            </w:r>
            <w:r>
              <w:rPr>
                <w:rFonts w:hint="eastAsia" w:ascii="宋体" w:hAnsi="宋体" w:cs="宋体"/>
                <w:kern w:val="0"/>
                <w:szCs w:val="22"/>
              </w:rPr>
              <w:t>9、支持一键迁移至云盘版本、云原生版本Mysql；本地盘SSD存储支持12T;云盘版本支持最大32T磁盘，适用于小规格大存储业务；</w:t>
            </w:r>
          </w:p>
        </w:tc>
      </w:tr>
      <w:tr>
        <w:tblPrEx>
          <w:tblCellMar>
            <w:top w:w="0" w:type="dxa"/>
            <w:left w:w="108" w:type="dxa"/>
            <w:bottom w:w="0" w:type="dxa"/>
            <w:right w:w="108" w:type="dxa"/>
          </w:tblCellMar>
        </w:tblPrEx>
        <w:trPr>
          <w:trHeight w:val="1639" w:hRule="atLeast"/>
        </w:trPr>
        <w:tc>
          <w:tcPr>
            <w:tcW w:w="700" w:type="dxa"/>
            <w:tcBorders>
              <w:top w:val="nil"/>
              <w:left w:val="single" w:color="auto" w:sz="4" w:space="0"/>
              <w:bottom w:val="single" w:color="auto" w:sz="4" w:space="0"/>
              <w:right w:val="single" w:color="auto" w:sz="4" w:space="0"/>
            </w:tcBorders>
            <w:noWrap/>
            <w:vAlign w:val="center"/>
          </w:tcPr>
          <w:p>
            <w:pPr>
              <w:spacing w:line="240" w:lineRule="auto"/>
              <w:ind w:firstLine="0" w:firstLineChars="0"/>
              <w:jc w:val="center"/>
              <w:rPr>
                <w:rFonts w:hint="eastAsia" w:ascii="宋体" w:hAnsi="宋体" w:eastAsia="宋体" w:cs="宋体"/>
                <w:kern w:val="0"/>
                <w:szCs w:val="22"/>
                <w:lang w:eastAsia="zh-CN"/>
              </w:rPr>
            </w:pPr>
            <w:r>
              <w:rPr>
                <w:rFonts w:hint="eastAsia" w:ascii="宋体" w:hAnsi="宋体" w:cs="宋体"/>
                <w:kern w:val="0"/>
                <w:szCs w:val="22"/>
                <w:lang w:val="en-US" w:eastAsia="zh-CN"/>
              </w:rPr>
              <w:t>3</w:t>
            </w:r>
          </w:p>
        </w:tc>
        <w:tc>
          <w:tcPr>
            <w:tcW w:w="1785" w:type="dxa"/>
            <w:tcBorders>
              <w:top w:val="nil"/>
              <w:left w:val="nil"/>
              <w:bottom w:val="single" w:color="auto" w:sz="4" w:space="0"/>
              <w:right w:val="single" w:color="auto" w:sz="4" w:space="0"/>
            </w:tcBorders>
            <w:noWrap/>
            <w:vAlign w:val="center"/>
          </w:tcPr>
          <w:p>
            <w:pPr>
              <w:spacing w:line="240" w:lineRule="auto"/>
              <w:ind w:firstLine="0" w:firstLineChars="0"/>
              <w:rPr>
                <w:rFonts w:ascii="宋体" w:hAnsi="宋体" w:cs="宋体"/>
                <w:kern w:val="0"/>
                <w:sz w:val="20"/>
                <w:szCs w:val="20"/>
              </w:rPr>
            </w:pPr>
            <w:r>
              <w:rPr>
                <w:rFonts w:hint="eastAsia" w:ascii="宋体" w:hAnsi="宋体" w:cs="宋体"/>
                <w:kern w:val="0"/>
                <w:szCs w:val="22"/>
              </w:rPr>
              <w:t>数据库审计和备份</w:t>
            </w:r>
          </w:p>
        </w:tc>
        <w:tc>
          <w:tcPr>
            <w:tcW w:w="1929"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主要为云数据库用户提供数据库审计的服务,以提供整体的安全性。通过采集用户数据库的log,进行汇总和分析,根据审计规则和策略触发相应的操作。支持对数据库数据进行备份。</w:t>
            </w:r>
          </w:p>
        </w:tc>
        <w:tc>
          <w:tcPr>
            <w:tcW w:w="4108"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1.支持数据库操作表、视图、索引、存储过程等各种对象的所有SQL操作审计。</w:t>
            </w:r>
            <w:r>
              <w:rPr>
                <w:rFonts w:hint="eastAsia" w:ascii="宋体" w:hAnsi="宋体" w:cs="宋体"/>
                <w:kern w:val="0"/>
                <w:szCs w:val="22"/>
              </w:rPr>
              <w:br w:type="textWrapping"/>
            </w:r>
            <w:r>
              <w:rPr>
                <w:rFonts w:hint="eastAsia" w:ascii="宋体" w:hAnsi="宋体" w:cs="宋体"/>
                <w:kern w:val="0"/>
                <w:szCs w:val="22"/>
              </w:rPr>
              <w:t>2.支持数据库请求审计，特别是返回字段和结果集、执行状态、返回行数、执行时长、客户端工具、主机名等内容，支持通过返回行数控制返回结果集大小。</w:t>
            </w:r>
            <w:r>
              <w:rPr>
                <w:rFonts w:hint="eastAsia" w:ascii="宋体" w:hAnsi="宋体" w:cs="宋体"/>
                <w:kern w:val="0"/>
                <w:szCs w:val="22"/>
              </w:rPr>
              <w:br w:type="textWrapping"/>
            </w:r>
            <w:r>
              <w:rPr>
                <w:rFonts w:hint="eastAsia" w:ascii="宋体" w:hAnsi="宋体" w:cs="宋体"/>
                <w:kern w:val="0"/>
                <w:szCs w:val="22"/>
              </w:rPr>
              <w:t>3.可自定义审计规则。</w:t>
            </w:r>
            <w:r>
              <w:rPr>
                <w:rFonts w:hint="eastAsia" w:ascii="宋体" w:hAnsi="宋体" w:cs="宋体"/>
                <w:kern w:val="0"/>
                <w:szCs w:val="22"/>
              </w:rPr>
              <w:br w:type="textWrapping"/>
            </w:r>
            <w:r>
              <w:rPr>
                <w:rFonts w:hint="eastAsia" w:ascii="宋体" w:hAnsi="宋体" w:cs="宋体"/>
                <w:kern w:val="0"/>
                <w:szCs w:val="22"/>
              </w:rPr>
              <w:t>4.记录对数据库的访问及 SQL 语句执行情况，帮助企业进行风险控制，提高数据安全等级，同时支持自定义高低频存储，可大幅降低数据库审计的使用成本。</w:t>
            </w:r>
            <w:r>
              <w:rPr>
                <w:rFonts w:hint="eastAsia" w:ascii="宋体" w:hAnsi="宋体" w:cs="宋体"/>
                <w:kern w:val="0"/>
                <w:szCs w:val="22"/>
              </w:rPr>
              <w:br w:type="textWrapping"/>
            </w:r>
            <w:r>
              <w:rPr>
                <w:rFonts w:hint="eastAsia" w:ascii="宋体" w:hAnsi="宋体" w:cs="宋体"/>
                <w:kern w:val="0"/>
                <w:szCs w:val="22"/>
              </w:rPr>
              <w:t>5.支持通用数据库：MySQL、Mongodb、MariaDB。</w:t>
            </w:r>
            <w:r>
              <w:rPr>
                <w:rFonts w:hint="eastAsia" w:ascii="宋体" w:hAnsi="宋体" w:cs="宋体"/>
                <w:kern w:val="0"/>
                <w:szCs w:val="22"/>
              </w:rPr>
              <w:br w:type="textWrapping"/>
            </w:r>
            <w:r>
              <w:rPr>
                <w:rFonts w:hint="eastAsia" w:ascii="宋体" w:hAnsi="宋体" w:cs="宋体"/>
                <w:kern w:val="0"/>
                <w:szCs w:val="22"/>
              </w:rPr>
              <w:t>6、支持自动备份和手动备份两种方式来备份数据库。</w:t>
            </w:r>
            <w:r>
              <w:rPr>
                <w:rFonts w:hint="eastAsia" w:ascii="宋体" w:hAnsi="宋体" w:cs="宋体"/>
                <w:kern w:val="0"/>
                <w:szCs w:val="22"/>
              </w:rPr>
              <w:br w:type="textWrapping"/>
            </w:r>
            <w:r>
              <w:rPr>
                <w:rFonts w:hint="eastAsia" w:ascii="宋体" w:hAnsi="宋体" w:cs="宋体"/>
                <w:kern w:val="0"/>
                <w:szCs w:val="22"/>
              </w:rPr>
              <w:t>7、支持在实例销毁前或者在实例销毁时进行备份保留设置，可以避免实例误删除导致备份被立即销毁，可确保实例在销毁后，用户仍然拥有一定时间的该实例的备份</w:t>
            </w:r>
          </w:p>
        </w:tc>
      </w:tr>
      <w:tr>
        <w:tblPrEx>
          <w:tblCellMar>
            <w:top w:w="0" w:type="dxa"/>
            <w:left w:w="108" w:type="dxa"/>
            <w:bottom w:w="0" w:type="dxa"/>
            <w:right w:w="108" w:type="dxa"/>
          </w:tblCellMar>
        </w:tblPrEx>
        <w:trPr>
          <w:trHeight w:val="2083" w:hRule="atLeast"/>
        </w:trPr>
        <w:tc>
          <w:tcPr>
            <w:tcW w:w="700" w:type="dxa"/>
            <w:tcBorders>
              <w:top w:val="nil"/>
              <w:left w:val="single" w:color="auto" w:sz="4" w:space="0"/>
              <w:bottom w:val="single" w:color="auto" w:sz="4" w:space="0"/>
              <w:right w:val="single" w:color="auto" w:sz="4" w:space="0"/>
            </w:tcBorders>
            <w:noWrap/>
            <w:vAlign w:val="center"/>
          </w:tcPr>
          <w:p>
            <w:pPr>
              <w:spacing w:line="240" w:lineRule="auto"/>
              <w:ind w:firstLine="0" w:firstLineChars="0"/>
              <w:jc w:val="center"/>
              <w:rPr>
                <w:rFonts w:hint="eastAsia" w:ascii="宋体" w:hAnsi="宋体" w:eastAsia="宋体" w:cs="宋体"/>
                <w:kern w:val="0"/>
                <w:szCs w:val="22"/>
                <w:lang w:eastAsia="zh-CN"/>
              </w:rPr>
            </w:pPr>
            <w:r>
              <w:rPr>
                <w:rFonts w:hint="eastAsia" w:ascii="宋体" w:hAnsi="宋体" w:cs="宋体"/>
                <w:kern w:val="0"/>
                <w:szCs w:val="22"/>
                <w:lang w:val="en-US" w:eastAsia="zh-CN"/>
              </w:rPr>
              <w:t>4</w:t>
            </w:r>
          </w:p>
        </w:tc>
        <w:tc>
          <w:tcPr>
            <w:tcW w:w="1785" w:type="dxa"/>
            <w:tcBorders>
              <w:top w:val="nil"/>
              <w:left w:val="nil"/>
              <w:bottom w:val="single" w:color="auto" w:sz="4" w:space="0"/>
              <w:right w:val="single" w:color="auto" w:sz="4" w:space="0"/>
            </w:tcBorders>
            <w:noWrap/>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对象存储</w:t>
            </w:r>
          </w:p>
        </w:tc>
        <w:tc>
          <w:tcPr>
            <w:tcW w:w="1929"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提供面向海量非结构化数据的通用数据存储平台,提供安全可靠、低成本的云端对象存储服务</w:t>
            </w:r>
          </w:p>
        </w:tc>
        <w:tc>
          <w:tcPr>
            <w:tcW w:w="4108"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1.支持基于性能分层的存储类型，包括标准存储、低频存储、归档存储等。</w:t>
            </w:r>
            <w:r>
              <w:rPr>
                <w:rFonts w:hint="eastAsia" w:ascii="宋体" w:hAnsi="宋体" w:cs="宋体"/>
                <w:kern w:val="0"/>
                <w:szCs w:val="22"/>
              </w:rPr>
              <w:br w:type="textWrapping"/>
            </w:r>
            <w:r>
              <w:rPr>
                <w:rFonts w:hint="eastAsia" w:ascii="宋体" w:hAnsi="宋体" w:cs="宋体"/>
                <w:kern w:val="0"/>
                <w:szCs w:val="22"/>
              </w:rPr>
              <w:t>2.支持对象简单上传/表单上传/追加上传/下载/删除/列举/复制，生命周期管理;</w:t>
            </w:r>
            <w:r>
              <w:rPr>
                <w:rFonts w:hint="eastAsia" w:ascii="宋体" w:hAnsi="宋体" w:cs="宋体"/>
                <w:kern w:val="0"/>
                <w:szCs w:val="22"/>
              </w:rPr>
              <w:br w:type="textWrapping"/>
            </w:r>
            <w:r>
              <w:rPr>
                <w:rFonts w:hint="eastAsia" w:ascii="宋体" w:hAnsi="宋体" w:cs="宋体"/>
                <w:kern w:val="0"/>
                <w:szCs w:val="22"/>
              </w:rPr>
              <w:t>3.对象存储服务支持RESTful API接口;</w:t>
            </w:r>
            <w:r>
              <w:rPr>
                <w:rFonts w:hint="eastAsia" w:ascii="宋体" w:hAnsi="宋体" w:cs="宋体"/>
                <w:kern w:val="0"/>
                <w:szCs w:val="22"/>
              </w:rPr>
              <w:br w:type="textWrapping"/>
            </w:r>
            <w:r>
              <w:rPr>
                <w:rFonts w:hint="eastAsia" w:ascii="宋体" w:hAnsi="宋体" w:cs="宋体"/>
                <w:kern w:val="0"/>
                <w:szCs w:val="22"/>
              </w:rPr>
              <w:t>4.支持Bucket标签功能，对Bucket进行分类管理；</w:t>
            </w:r>
            <w:r>
              <w:rPr>
                <w:rFonts w:hint="eastAsia" w:ascii="宋体" w:hAnsi="宋体" w:cs="宋体"/>
                <w:kern w:val="0"/>
                <w:szCs w:val="22"/>
              </w:rPr>
              <w:br w:type="textWrapping"/>
            </w:r>
            <w:r>
              <w:rPr>
                <w:rFonts w:hint="eastAsia" w:ascii="宋体" w:hAnsi="宋体" w:cs="宋体"/>
                <w:kern w:val="0"/>
                <w:szCs w:val="22"/>
              </w:rPr>
              <w:t>5.支持对象标签，对存储的对象进行分类，并可以针对同标签的对象设置生命周期规则、访问权限等；</w:t>
            </w:r>
            <w:r>
              <w:rPr>
                <w:rFonts w:hint="eastAsia" w:ascii="宋体" w:hAnsi="宋体" w:cs="宋体"/>
                <w:kern w:val="0"/>
                <w:szCs w:val="22"/>
              </w:rPr>
              <w:br w:type="textWrapping"/>
            </w:r>
            <w:r>
              <w:rPr>
                <w:rFonts w:hint="eastAsia" w:ascii="宋体" w:hAnsi="宋体" w:cs="宋体"/>
                <w:kern w:val="0"/>
                <w:szCs w:val="22"/>
              </w:rPr>
              <w:t>6.存储服务SLA可用性：最高不低于99.9%；</w:t>
            </w:r>
          </w:p>
        </w:tc>
      </w:tr>
      <w:tr>
        <w:tblPrEx>
          <w:tblCellMar>
            <w:top w:w="0" w:type="dxa"/>
            <w:left w:w="108" w:type="dxa"/>
            <w:bottom w:w="0" w:type="dxa"/>
            <w:right w:w="108" w:type="dxa"/>
          </w:tblCellMar>
        </w:tblPrEx>
        <w:trPr>
          <w:trHeight w:val="2083" w:hRule="atLeast"/>
        </w:trPr>
        <w:tc>
          <w:tcPr>
            <w:tcW w:w="700" w:type="dxa"/>
            <w:tcBorders>
              <w:top w:val="nil"/>
              <w:left w:val="single" w:color="auto" w:sz="4" w:space="0"/>
              <w:bottom w:val="single" w:color="auto" w:sz="4" w:space="0"/>
              <w:right w:val="single" w:color="auto" w:sz="4" w:space="0"/>
            </w:tcBorders>
            <w:noWrap/>
            <w:vAlign w:val="center"/>
          </w:tcPr>
          <w:p>
            <w:pPr>
              <w:spacing w:line="240" w:lineRule="auto"/>
              <w:ind w:firstLine="0" w:firstLineChars="0"/>
              <w:jc w:val="center"/>
              <w:rPr>
                <w:rFonts w:hint="eastAsia" w:ascii="宋体" w:hAnsi="宋体" w:eastAsia="宋体" w:cs="宋体"/>
                <w:kern w:val="0"/>
                <w:szCs w:val="22"/>
                <w:lang w:eastAsia="zh-CN"/>
              </w:rPr>
            </w:pPr>
            <w:r>
              <w:rPr>
                <w:rFonts w:hint="eastAsia" w:ascii="宋体" w:hAnsi="宋体" w:cs="宋体"/>
                <w:kern w:val="0"/>
                <w:szCs w:val="22"/>
                <w:lang w:val="en-US" w:eastAsia="zh-CN"/>
              </w:rPr>
              <w:t>5</w:t>
            </w:r>
          </w:p>
        </w:tc>
        <w:tc>
          <w:tcPr>
            <w:tcW w:w="1785" w:type="dxa"/>
            <w:tcBorders>
              <w:top w:val="nil"/>
              <w:left w:val="nil"/>
              <w:bottom w:val="single" w:color="auto" w:sz="4" w:space="0"/>
              <w:right w:val="single" w:color="auto" w:sz="4" w:space="0"/>
            </w:tcBorders>
            <w:noWrap/>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文件存储</w:t>
            </w:r>
          </w:p>
        </w:tc>
        <w:tc>
          <w:tcPr>
            <w:tcW w:w="1929"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文件存储为用户提供安全可靠、可扩展的共享文件存储服务。</w:t>
            </w:r>
          </w:p>
        </w:tc>
        <w:tc>
          <w:tcPr>
            <w:tcW w:w="4108"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1.可与云服务器、容器服务、批量计算等服务结合使用，为计算节点提供容量和性能可弹性扩展的高性能共享存储。</w:t>
            </w:r>
            <w:r>
              <w:rPr>
                <w:rFonts w:hint="eastAsia" w:ascii="宋体" w:hAnsi="宋体" w:cs="宋体"/>
                <w:kern w:val="0"/>
                <w:szCs w:val="22"/>
              </w:rPr>
              <w:br w:type="textWrapping"/>
            </w:r>
            <w:r>
              <w:rPr>
                <w:rFonts w:hint="eastAsia" w:ascii="宋体" w:hAnsi="宋体" w:cs="宋体"/>
                <w:kern w:val="0"/>
                <w:szCs w:val="22"/>
              </w:rPr>
              <w:t>2.支持 NFS V3.0/4.0协议。</w:t>
            </w:r>
            <w:r>
              <w:rPr>
                <w:rFonts w:hint="eastAsia" w:ascii="宋体" w:hAnsi="宋体" w:cs="宋体"/>
                <w:kern w:val="0"/>
                <w:szCs w:val="22"/>
              </w:rPr>
              <w:br w:type="textWrapping"/>
            </w:r>
            <w:r>
              <w:rPr>
                <w:rFonts w:hint="eastAsia" w:ascii="宋体" w:hAnsi="宋体" w:cs="宋体"/>
                <w:kern w:val="0"/>
                <w:szCs w:val="22"/>
              </w:rPr>
              <w:t>3.支持快照和定期快照策略的方式对文件系统进行数据保护。</w:t>
            </w:r>
            <w:r>
              <w:rPr>
                <w:rFonts w:hint="eastAsia" w:ascii="宋体" w:hAnsi="宋体" w:cs="宋体"/>
                <w:kern w:val="0"/>
                <w:szCs w:val="22"/>
              </w:rPr>
              <w:br w:type="textWrapping"/>
            </w:r>
            <w:r>
              <w:rPr>
                <w:rFonts w:hint="eastAsia" w:ascii="宋体" w:hAnsi="宋体" w:cs="宋体"/>
                <w:kern w:val="0"/>
                <w:szCs w:val="22"/>
              </w:rPr>
              <w:t>4.支持在控制台上，直接将云文件存储挂载至云服务器的指定目录。</w:t>
            </w:r>
            <w:r>
              <w:rPr>
                <w:rFonts w:hint="eastAsia" w:ascii="宋体" w:hAnsi="宋体" w:cs="宋体"/>
                <w:kern w:val="0"/>
                <w:szCs w:val="22"/>
              </w:rPr>
              <w:br w:type="textWrapping"/>
            </w:r>
            <w:r>
              <w:rPr>
                <w:rFonts w:hint="eastAsia" w:ascii="宋体" w:hAnsi="宋体" w:cs="宋体"/>
                <w:kern w:val="0"/>
                <w:szCs w:val="22"/>
              </w:rPr>
              <w:t>5.支持对文件系统文件和目录进行读写权限控制</w:t>
            </w:r>
            <w:r>
              <w:rPr>
                <w:rFonts w:hint="eastAsia" w:ascii="宋体" w:hAnsi="宋体" w:cs="宋体"/>
                <w:kern w:val="0"/>
                <w:szCs w:val="22"/>
              </w:rPr>
              <w:br w:type="textWrapping"/>
            </w:r>
            <w:r>
              <w:rPr>
                <w:rFonts w:hint="eastAsia" w:ascii="宋体" w:hAnsi="宋体" w:cs="宋体"/>
                <w:kern w:val="0"/>
                <w:szCs w:val="22"/>
              </w:rPr>
              <w:t>6.支持对文件系统容量进行监控和历史数据统计</w:t>
            </w:r>
            <w:r>
              <w:rPr>
                <w:rFonts w:hint="eastAsia" w:ascii="宋体" w:hAnsi="宋体" w:cs="宋体"/>
                <w:kern w:val="0"/>
                <w:szCs w:val="22"/>
              </w:rPr>
              <w:br w:type="textWrapping"/>
            </w:r>
            <w:r>
              <w:rPr>
                <w:rFonts w:hint="eastAsia" w:ascii="宋体" w:hAnsi="宋体" w:cs="宋体"/>
                <w:kern w:val="0"/>
                <w:szCs w:val="22"/>
              </w:rPr>
              <w:t>7.SLA：单可用区服务可用性不低于99.9%；</w:t>
            </w:r>
          </w:p>
        </w:tc>
      </w:tr>
      <w:tr>
        <w:tblPrEx>
          <w:tblCellMar>
            <w:top w:w="0" w:type="dxa"/>
            <w:left w:w="108" w:type="dxa"/>
            <w:bottom w:w="0" w:type="dxa"/>
            <w:right w:w="108" w:type="dxa"/>
          </w:tblCellMar>
        </w:tblPrEx>
        <w:trPr>
          <w:trHeight w:val="892" w:hRule="atLeast"/>
        </w:trPr>
        <w:tc>
          <w:tcPr>
            <w:tcW w:w="700" w:type="dxa"/>
            <w:tcBorders>
              <w:top w:val="nil"/>
              <w:left w:val="single" w:color="auto" w:sz="4" w:space="0"/>
              <w:bottom w:val="single" w:color="auto" w:sz="4" w:space="0"/>
              <w:right w:val="single" w:color="auto" w:sz="4" w:space="0"/>
            </w:tcBorders>
            <w:noWrap/>
            <w:vAlign w:val="center"/>
          </w:tcPr>
          <w:p>
            <w:pPr>
              <w:spacing w:line="240" w:lineRule="auto"/>
              <w:ind w:firstLine="0" w:firstLineChars="0"/>
              <w:jc w:val="center"/>
              <w:rPr>
                <w:rFonts w:hint="eastAsia" w:ascii="宋体" w:hAnsi="宋体" w:eastAsia="宋体" w:cs="宋体"/>
                <w:kern w:val="0"/>
                <w:szCs w:val="22"/>
                <w:lang w:eastAsia="zh-CN"/>
              </w:rPr>
            </w:pPr>
            <w:r>
              <w:rPr>
                <w:rFonts w:hint="eastAsia" w:ascii="宋体" w:hAnsi="宋体" w:cs="宋体"/>
                <w:kern w:val="0"/>
                <w:szCs w:val="22"/>
                <w:lang w:val="en-US" w:eastAsia="zh-CN"/>
              </w:rPr>
              <w:t>6</w:t>
            </w:r>
          </w:p>
        </w:tc>
        <w:tc>
          <w:tcPr>
            <w:tcW w:w="1785" w:type="dxa"/>
            <w:tcBorders>
              <w:top w:val="nil"/>
              <w:left w:val="nil"/>
              <w:bottom w:val="single" w:color="auto" w:sz="4" w:space="0"/>
              <w:right w:val="single" w:color="auto" w:sz="4" w:space="0"/>
            </w:tcBorders>
            <w:noWrap/>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云硬盘快照</w:t>
            </w:r>
          </w:p>
        </w:tc>
        <w:tc>
          <w:tcPr>
            <w:tcW w:w="1929"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快照是对云硬盘的1:1完全可用拷贝。当已创建快照的云硬盘出现问题时，可通过快照快速恢复到未出问题时的状态</w:t>
            </w:r>
          </w:p>
        </w:tc>
        <w:tc>
          <w:tcPr>
            <w:tcW w:w="4108"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1.云硬盘支持手动创建快照以及对快照执行回滚操作。</w:t>
            </w:r>
            <w:r>
              <w:rPr>
                <w:rFonts w:hint="eastAsia" w:ascii="宋体" w:hAnsi="宋体" w:cs="宋体"/>
                <w:kern w:val="0"/>
                <w:szCs w:val="22"/>
              </w:rPr>
              <w:br w:type="textWrapping"/>
            </w:r>
            <w:r>
              <w:rPr>
                <w:rFonts w:hint="eastAsia" w:ascii="宋体" w:hAnsi="宋体" w:cs="宋体"/>
                <w:kern w:val="0"/>
                <w:szCs w:val="22"/>
              </w:rPr>
              <w:t>2.支持快照跨地域复制、支持跨账号共享快照。</w:t>
            </w:r>
          </w:p>
        </w:tc>
      </w:tr>
      <w:tr>
        <w:tblPrEx>
          <w:tblCellMar>
            <w:top w:w="0" w:type="dxa"/>
            <w:left w:w="108" w:type="dxa"/>
            <w:bottom w:w="0" w:type="dxa"/>
            <w:right w:w="108" w:type="dxa"/>
          </w:tblCellMar>
        </w:tblPrEx>
        <w:trPr>
          <w:trHeight w:val="892" w:hRule="atLeast"/>
        </w:trPr>
        <w:tc>
          <w:tcPr>
            <w:tcW w:w="700" w:type="dxa"/>
            <w:tcBorders>
              <w:top w:val="nil"/>
              <w:left w:val="single" w:color="auto" w:sz="4" w:space="0"/>
              <w:bottom w:val="single" w:color="auto" w:sz="4" w:space="0"/>
              <w:right w:val="single" w:color="auto" w:sz="4" w:space="0"/>
            </w:tcBorders>
            <w:noWrap/>
            <w:vAlign w:val="center"/>
          </w:tcPr>
          <w:p>
            <w:pPr>
              <w:spacing w:line="240" w:lineRule="auto"/>
              <w:ind w:firstLine="0" w:firstLineChars="0"/>
              <w:jc w:val="center"/>
              <w:rPr>
                <w:rFonts w:hint="eastAsia" w:ascii="宋体" w:hAnsi="宋体" w:eastAsia="宋体" w:cs="宋体"/>
                <w:kern w:val="0"/>
                <w:szCs w:val="22"/>
                <w:lang w:eastAsia="zh-CN"/>
              </w:rPr>
            </w:pPr>
            <w:r>
              <w:rPr>
                <w:rFonts w:hint="eastAsia" w:ascii="宋体" w:hAnsi="宋体" w:cs="宋体"/>
                <w:kern w:val="0"/>
                <w:szCs w:val="22"/>
                <w:lang w:val="en-US" w:eastAsia="zh-CN"/>
              </w:rPr>
              <w:t>7</w:t>
            </w:r>
          </w:p>
        </w:tc>
        <w:tc>
          <w:tcPr>
            <w:tcW w:w="1785" w:type="dxa"/>
            <w:tcBorders>
              <w:top w:val="nil"/>
              <w:left w:val="nil"/>
              <w:bottom w:val="single" w:color="auto" w:sz="4" w:space="0"/>
              <w:right w:val="single" w:color="auto" w:sz="4" w:space="0"/>
            </w:tcBorders>
            <w:noWrap/>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云硬盘</w:t>
            </w:r>
          </w:p>
        </w:tc>
        <w:tc>
          <w:tcPr>
            <w:tcW w:w="1929"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云硬盘为用户提供用于云服务器的持久性数据块级存储服务。</w:t>
            </w:r>
          </w:p>
        </w:tc>
        <w:tc>
          <w:tcPr>
            <w:tcW w:w="4108"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1.支持不同种类的云硬盘产品。</w:t>
            </w:r>
            <w:r>
              <w:rPr>
                <w:rFonts w:hint="eastAsia" w:ascii="宋体" w:hAnsi="宋体" w:cs="宋体"/>
                <w:kern w:val="0"/>
                <w:szCs w:val="22"/>
              </w:rPr>
              <w:br w:type="textWrapping"/>
            </w:r>
            <w:r>
              <w:rPr>
                <w:rFonts w:hint="eastAsia" w:ascii="宋体" w:hAnsi="宋体" w:cs="宋体"/>
                <w:kern w:val="0"/>
                <w:szCs w:val="22"/>
              </w:rPr>
              <w:t>2.可提供不低于50万IOPS和2GB/s的云硬盘产品。</w:t>
            </w:r>
            <w:r>
              <w:rPr>
                <w:rFonts w:hint="eastAsia" w:ascii="宋体" w:hAnsi="宋体" w:cs="宋体"/>
                <w:kern w:val="0"/>
                <w:szCs w:val="22"/>
              </w:rPr>
              <w:br w:type="textWrapping"/>
            </w:r>
            <w:r>
              <w:rPr>
                <w:rFonts w:hint="eastAsia" w:ascii="宋体" w:hAnsi="宋体" w:cs="宋体"/>
                <w:kern w:val="0"/>
                <w:szCs w:val="22"/>
              </w:rPr>
              <w:t>3.可提供一键备份能力，由平台保证备份每日更新。</w:t>
            </w:r>
          </w:p>
        </w:tc>
      </w:tr>
      <w:tr>
        <w:tblPrEx>
          <w:tblCellMar>
            <w:top w:w="0" w:type="dxa"/>
            <w:left w:w="108" w:type="dxa"/>
            <w:bottom w:w="0" w:type="dxa"/>
            <w:right w:w="108" w:type="dxa"/>
          </w:tblCellMar>
        </w:tblPrEx>
        <w:trPr>
          <w:trHeight w:val="892" w:hRule="atLeast"/>
        </w:trPr>
        <w:tc>
          <w:tcPr>
            <w:tcW w:w="700" w:type="dxa"/>
            <w:tcBorders>
              <w:top w:val="nil"/>
              <w:left w:val="single" w:color="auto" w:sz="4" w:space="0"/>
              <w:bottom w:val="single" w:color="auto" w:sz="4" w:space="0"/>
              <w:right w:val="single" w:color="auto" w:sz="4" w:space="0"/>
            </w:tcBorders>
            <w:noWrap/>
            <w:vAlign w:val="center"/>
          </w:tcPr>
          <w:p>
            <w:pPr>
              <w:spacing w:line="240" w:lineRule="auto"/>
              <w:ind w:firstLine="0" w:firstLineChars="0"/>
              <w:jc w:val="center"/>
              <w:rPr>
                <w:rFonts w:hint="eastAsia" w:ascii="宋体" w:hAnsi="宋体" w:eastAsia="宋体" w:cs="宋体"/>
                <w:kern w:val="0"/>
                <w:szCs w:val="22"/>
                <w:lang w:eastAsia="zh-CN"/>
              </w:rPr>
            </w:pPr>
            <w:r>
              <w:rPr>
                <w:rFonts w:hint="eastAsia" w:ascii="宋体" w:hAnsi="宋体" w:cs="宋体"/>
                <w:kern w:val="0"/>
                <w:szCs w:val="22"/>
                <w:lang w:val="en-US" w:eastAsia="zh-CN"/>
              </w:rPr>
              <w:t>8</w:t>
            </w:r>
          </w:p>
        </w:tc>
        <w:tc>
          <w:tcPr>
            <w:tcW w:w="1785" w:type="dxa"/>
            <w:tcBorders>
              <w:top w:val="nil"/>
              <w:left w:val="nil"/>
              <w:bottom w:val="single" w:color="auto" w:sz="4" w:space="0"/>
              <w:right w:val="single" w:color="auto" w:sz="4" w:space="0"/>
            </w:tcBorders>
            <w:noWrap/>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日志服务</w:t>
            </w:r>
          </w:p>
        </w:tc>
        <w:tc>
          <w:tcPr>
            <w:tcW w:w="1929"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日志服务是为用户提供一站式日志服务平台，协助用户通过日志来解决业务运维、服务监控、审计等场景问题。</w:t>
            </w:r>
          </w:p>
        </w:tc>
        <w:tc>
          <w:tcPr>
            <w:tcW w:w="4108"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1.支持直接调用 API 上传日志，支持多种语言。</w:t>
            </w:r>
            <w:r>
              <w:rPr>
                <w:rFonts w:hint="eastAsia" w:ascii="宋体" w:hAnsi="宋体" w:cs="宋体"/>
                <w:kern w:val="0"/>
                <w:szCs w:val="22"/>
              </w:rPr>
              <w:br w:type="textWrapping"/>
            </w:r>
            <w:r>
              <w:rPr>
                <w:rFonts w:hint="eastAsia" w:ascii="宋体" w:hAnsi="宋体" w:cs="宋体"/>
                <w:kern w:val="0"/>
                <w:szCs w:val="22"/>
              </w:rPr>
              <w:t>2.支持使用关键词按全文或字段检索日志。</w:t>
            </w:r>
            <w:r>
              <w:rPr>
                <w:rFonts w:hint="eastAsia" w:ascii="宋体" w:hAnsi="宋体" w:cs="宋体"/>
                <w:kern w:val="0"/>
                <w:szCs w:val="22"/>
              </w:rPr>
              <w:br w:type="textWrapping"/>
            </w:r>
            <w:r>
              <w:rPr>
                <w:rFonts w:hint="eastAsia" w:ascii="宋体" w:hAnsi="宋体" w:cs="宋体"/>
                <w:kern w:val="0"/>
                <w:szCs w:val="22"/>
              </w:rPr>
              <w:t>3.支持电话、短信、邮件回调。</w:t>
            </w:r>
          </w:p>
        </w:tc>
      </w:tr>
      <w:tr>
        <w:tblPrEx>
          <w:tblCellMar>
            <w:top w:w="0" w:type="dxa"/>
            <w:left w:w="108" w:type="dxa"/>
            <w:bottom w:w="0" w:type="dxa"/>
            <w:right w:w="108" w:type="dxa"/>
          </w:tblCellMar>
        </w:tblPrEx>
        <w:trPr>
          <w:trHeight w:val="2381" w:hRule="atLeast"/>
        </w:trPr>
        <w:tc>
          <w:tcPr>
            <w:tcW w:w="700" w:type="dxa"/>
            <w:tcBorders>
              <w:top w:val="nil"/>
              <w:left w:val="single" w:color="auto" w:sz="4" w:space="0"/>
              <w:bottom w:val="single" w:color="auto" w:sz="4" w:space="0"/>
              <w:right w:val="single" w:color="auto" w:sz="4" w:space="0"/>
            </w:tcBorders>
            <w:noWrap/>
            <w:vAlign w:val="center"/>
          </w:tcPr>
          <w:p>
            <w:pPr>
              <w:spacing w:line="240" w:lineRule="auto"/>
              <w:ind w:firstLine="0" w:firstLineChars="0"/>
              <w:jc w:val="center"/>
              <w:rPr>
                <w:rFonts w:hint="eastAsia" w:ascii="宋体" w:hAnsi="宋体" w:eastAsia="宋体" w:cs="宋体"/>
                <w:kern w:val="0"/>
                <w:szCs w:val="22"/>
                <w:lang w:eastAsia="zh-CN"/>
              </w:rPr>
            </w:pPr>
            <w:r>
              <w:rPr>
                <w:rFonts w:hint="eastAsia" w:ascii="宋体" w:hAnsi="宋体" w:cs="宋体"/>
                <w:kern w:val="0"/>
                <w:szCs w:val="22"/>
                <w:lang w:val="en-US" w:eastAsia="zh-CN"/>
              </w:rPr>
              <w:t>9</w:t>
            </w:r>
          </w:p>
        </w:tc>
        <w:tc>
          <w:tcPr>
            <w:tcW w:w="1785" w:type="dxa"/>
            <w:tcBorders>
              <w:top w:val="nil"/>
              <w:left w:val="nil"/>
              <w:bottom w:val="single" w:color="auto" w:sz="4" w:space="0"/>
              <w:right w:val="single" w:color="auto" w:sz="4" w:space="0"/>
            </w:tcBorders>
            <w:noWrap/>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NAT网关</w:t>
            </w:r>
          </w:p>
        </w:tc>
        <w:tc>
          <w:tcPr>
            <w:tcW w:w="1929"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NAT网关是一种支持 IP 地址转换的网络云服务。</w:t>
            </w:r>
          </w:p>
        </w:tc>
        <w:tc>
          <w:tcPr>
            <w:tcW w:w="4108"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1.提供虚拟私有网络的公网网关，具备SNAT和DNAT的功能</w:t>
            </w:r>
            <w:r>
              <w:rPr>
                <w:rFonts w:hint="eastAsia" w:ascii="宋体" w:hAnsi="宋体" w:cs="宋体"/>
                <w:kern w:val="0"/>
                <w:szCs w:val="22"/>
              </w:rPr>
              <w:br w:type="textWrapping"/>
            </w:r>
            <w:r>
              <w:rPr>
                <w:rFonts w:hint="eastAsia" w:ascii="宋体" w:hAnsi="宋体" w:cs="宋体"/>
                <w:kern w:val="0"/>
                <w:szCs w:val="22"/>
              </w:rPr>
              <w:t>2.单个NAT网关实例支持最大带宽≥20Gbps。</w:t>
            </w:r>
            <w:r>
              <w:rPr>
                <w:rFonts w:hint="eastAsia" w:ascii="宋体" w:hAnsi="宋体" w:cs="宋体"/>
                <w:kern w:val="0"/>
                <w:szCs w:val="22"/>
              </w:rPr>
              <w:br w:type="textWrapping"/>
            </w:r>
            <w:r>
              <w:rPr>
                <w:rFonts w:hint="eastAsia" w:ascii="宋体" w:hAnsi="宋体" w:cs="宋体"/>
                <w:kern w:val="0"/>
                <w:szCs w:val="22"/>
              </w:rPr>
              <w:t>3.单个NAT网关实例支持最大并发连接数≥1000万。</w:t>
            </w:r>
            <w:r>
              <w:rPr>
                <w:rFonts w:hint="eastAsia" w:ascii="宋体" w:hAnsi="宋体" w:cs="宋体"/>
                <w:kern w:val="0"/>
                <w:szCs w:val="22"/>
              </w:rPr>
              <w:br w:type="textWrapping"/>
            </w:r>
            <w:r>
              <w:rPr>
                <w:rFonts w:hint="eastAsia" w:ascii="宋体" w:hAnsi="宋体" w:cs="宋体"/>
                <w:kern w:val="0"/>
                <w:szCs w:val="22"/>
              </w:rPr>
              <w:t>4.支持双机热备，自动容灾。</w:t>
            </w:r>
            <w:r>
              <w:rPr>
                <w:rFonts w:hint="eastAsia" w:ascii="宋体" w:hAnsi="宋体" w:cs="宋体"/>
                <w:kern w:val="0"/>
                <w:szCs w:val="22"/>
              </w:rPr>
              <w:br w:type="textWrapping"/>
            </w:r>
            <w:r>
              <w:rPr>
                <w:rFonts w:hint="eastAsia" w:ascii="宋体" w:hAnsi="宋体" w:cs="宋体"/>
                <w:kern w:val="0"/>
                <w:szCs w:val="22"/>
              </w:rPr>
              <w:t>5.支持流量监控&amp;告警。</w:t>
            </w:r>
            <w:r>
              <w:rPr>
                <w:rFonts w:hint="eastAsia" w:ascii="宋体" w:hAnsi="宋体" w:cs="宋体"/>
                <w:kern w:val="0"/>
                <w:szCs w:val="22"/>
              </w:rPr>
              <w:br w:type="textWrapping"/>
            </w:r>
            <w:r>
              <w:rPr>
                <w:rFonts w:hint="eastAsia" w:ascii="宋体" w:hAnsi="宋体" w:cs="宋体"/>
                <w:kern w:val="0"/>
                <w:szCs w:val="22"/>
              </w:rPr>
              <w:t>6.NAT网关可以处理TCP、UDP和ICMP的分片包</w:t>
            </w:r>
            <w:r>
              <w:rPr>
                <w:rFonts w:hint="eastAsia" w:ascii="宋体" w:hAnsi="宋体" w:cs="宋体"/>
                <w:kern w:val="0"/>
                <w:szCs w:val="22"/>
              </w:rPr>
              <w:br w:type="textWrapping"/>
            </w:r>
            <w:r>
              <w:rPr>
                <w:rFonts w:hint="eastAsia" w:ascii="宋体" w:hAnsi="宋体" w:cs="宋体"/>
                <w:kern w:val="0"/>
                <w:szCs w:val="22"/>
              </w:rPr>
              <w:t>7.NAT网关可以绑定多个弹性公网IP，在SNAT规则中形成公网IP池，提升负载能力；</w:t>
            </w:r>
            <w:r>
              <w:rPr>
                <w:rFonts w:hint="eastAsia" w:ascii="宋体" w:hAnsi="宋体" w:cs="宋体"/>
                <w:kern w:val="0"/>
                <w:szCs w:val="22"/>
              </w:rPr>
              <w:br w:type="textWrapping"/>
            </w:r>
            <w:r>
              <w:rPr>
                <w:rFonts w:hint="eastAsia" w:ascii="宋体" w:hAnsi="宋体" w:cs="宋体"/>
                <w:kern w:val="0"/>
                <w:szCs w:val="22"/>
              </w:rPr>
              <w:t>8.服务可用性不低于99.95%；</w:t>
            </w:r>
          </w:p>
        </w:tc>
      </w:tr>
      <w:tr>
        <w:tblPrEx>
          <w:tblCellMar>
            <w:top w:w="0" w:type="dxa"/>
            <w:left w:w="108" w:type="dxa"/>
            <w:bottom w:w="0" w:type="dxa"/>
            <w:right w:w="108" w:type="dxa"/>
          </w:tblCellMar>
        </w:tblPrEx>
        <w:trPr>
          <w:trHeight w:val="1488" w:hRule="atLeast"/>
        </w:trPr>
        <w:tc>
          <w:tcPr>
            <w:tcW w:w="700" w:type="dxa"/>
            <w:tcBorders>
              <w:top w:val="nil"/>
              <w:left w:val="single" w:color="auto" w:sz="4" w:space="0"/>
              <w:bottom w:val="single" w:color="auto" w:sz="4" w:space="0"/>
              <w:right w:val="single" w:color="auto" w:sz="4" w:space="0"/>
            </w:tcBorders>
            <w:noWrap/>
            <w:vAlign w:val="center"/>
          </w:tcPr>
          <w:p>
            <w:pPr>
              <w:spacing w:line="240" w:lineRule="auto"/>
              <w:ind w:firstLine="0" w:firstLineChars="0"/>
              <w:jc w:val="center"/>
              <w:rPr>
                <w:rFonts w:hint="eastAsia" w:ascii="宋体" w:hAnsi="宋体" w:eastAsia="宋体" w:cs="宋体"/>
                <w:kern w:val="0"/>
                <w:szCs w:val="22"/>
                <w:lang w:eastAsia="zh-CN"/>
              </w:rPr>
            </w:pPr>
            <w:r>
              <w:rPr>
                <w:rFonts w:hint="eastAsia" w:ascii="宋体" w:hAnsi="宋体" w:cs="宋体"/>
                <w:kern w:val="0"/>
                <w:szCs w:val="22"/>
              </w:rPr>
              <w:t>1</w:t>
            </w:r>
            <w:r>
              <w:rPr>
                <w:rFonts w:hint="eastAsia" w:ascii="宋体" w:hAnsi="宋体" w:cs="宋体"/>
                <w:kern w:val="0"/>
                <w:szCs w:val="22"/>
                <w:lang w:val="en-US" w:eastAsia="zh-CN"/>
              </w:rPr>
              <w:t>0</w:t>
            </w:r>
          </w:p>
        </w:tc>
        <w:tc>
          <w:tcPr>
            <w:tcW w:w="1785" w:type="dxa"/>
            <w:tcBorders>
              <w:top w:val="nil"/>
              <w:left w:val="nil"/>
              <w:bottom w:val="single" w:color="auto" w:sz="4" w:space="0"/>
              <w:right w:val="single" w:color="auto" w:sz="4" w:space="0"/>
            </w:tcBorders>
            <w:noWrap/>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负载均衡</w:t>
            </w:r>
          </w:p>
        </w:tc>
        <w:tc>
          <w:tcPr>
            <w:tcW w:w="1929"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负载均衡主要提供流量分发服务，通过负载均衡可将访问流量自动分配到云中的多台后端服务器上，扩展系统的服务能力并消除单点故障。</w:t>
            </w:r>
          </w:p>
        </w:tc>
        <w:tc>
          <w:tcPr>
            <w:tcW w:w="4108"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1.支持提供4层（TCP协议）和7层（HTTP和HTTPS协议）的负载均衡服务。</w:t>
            </w:r>
            <w:r>
              <w:rPr>
                <w:rFonts w:hint="eastAsia" w:ascii="宋体" w:hAnsi="宋体" w:cs="宋体"/>
                <w:kern w:val="0"/>
                <w:szCs w:val="22"/>
              </w:rPr>
              <w:br w:type="textWrapping"/>
            </w:r>
            <w:r>
              <w:rPr>
                <w:rFonts w:hint="eastAsia" w:ascii="宋体" w:hAnsi="宋体" w:cs="宋体"/>
                <w:kern w:val="0"/>
                <w:szCs w:val="22"/>
              </w:rPr>
              <w:t>2.支持HTTP访问重定向至HTTPS。</w:t>
            </w:r>
            <w:r>
              <w:rPr>
                <w:rFonts w:hint="eastAsia" w:ascii="宋体" w:hAnsi="宋体" w:cs="宋体"/>
                <w:kern w:val="0"/>
                <w:szCs w:val="22"/>
              </w:rPr>
              <w:br w:type="textWrapping"/>
            </w:r>
            <w:r>
              <w:rPr>
                <w:rFonts w:hint="eastAsia" w:ascii="宋体" w:hAnsi="宋体" w:cs="宋体"/>
                <w:kern w:val="0"/>
                <w:szCs w:val="22"/>
              </w:rPr>
              <w:t>3.支持绑定云上VPC内虚拟机、弹性网卡。</w:t>
            </w:r>
            <w:r>
              <w:rPr>
                <w:rFonts w:hint="eastAsia" w:ascii="宋体" w:hAnsi="宋体" w:cs="宋体"/>
                <w:kern w:val="0"/>
                <w:szCs w:val="22"/>
              </w:rPr>
              <w:br w:type="textWrapping"/>
            </w:r>
            <w:r>
              <w:rPr>
                <w:rFonts w:hint="eastAsia" w:ascii="宋体" w:hAnsi="宋体" w:cs="宋体"/>
                <w:kern w:val="0"/>
                <w:szCs w:val="22"/>
              </w:rPr>
              <w:t>4.具备系统容灾能力，提供同城可用区级的高可用。</w:t>
            </w:r>
            <w:r>
              <w:rPr>
                <w:rFonts w:hint="eastAsia" w:ascii="宋体" w:hAnsi="宋体" w:cs="宋体"/>
                <w:kern w:val="0"/>
                <w:szCs w:val="22"/>
              </w:rPr>
              <w:br w:type="textWrapping"/>
            </w:r>
            <w:r>
              <w:rPr>
                <w:rFonts w:hint="eastAsia" w:ascii="宋体" w:hAnsi="宋体" w:cs="宋体"/>
                <w:kern w:val="0"/>
                <w:szCs w:val="22"/>
              </w:rPr>
              <w:t>5.单可用区实例可用性不低于99.9%；</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noWrap/>
            <w:vAlign w:val="center"/>
          </w:tcPr>
          <w:p>
            <w:pPr>
              <w:spacing w:line="240" w:lineRule="auto"/>
              <w:ind w:firstLine="0" w:firstLineChars="0"/>
              <w:jc w:val="center"/>
              <w:rPr>
                <w:rFonts w:hint="eastAsia" w:ascii="宋体" w:hAnsi="宋体" w:eastAsia="宋体" w:cs="宋体"/>
                <w:kern w:val="0"/>
                <w:szCs w:val="22"/>
                <w:lang w:eastAsia="zh-CN"/>
              </w:rPr>
            </w:pPr>
            <w:r>
              <w:rPr>
                <w:rFonts w:hint="eastAsia" w:ascii="宋体" w:hAnsi="宋体" w:cs="宋体"/>
                <w:kern w:val="0"/>
                <w:szCs w:val="22"/>
                <w:lang w:val="en-US" w:eastAsia="zh-CN"/>
              </w:rPr>
              <w:t>11</w:t>
            </w:r>
          </w:p>
        </w:tc>
        <w:tc>
          <w:tcPr>
            <w:tcW w:w="1785" w:type="dxa"/>
            <w:tcBorders>
              <w:top w:val="nil"/>
              <w:left w:val="nil"/>
              <w:bottom w:val="single" w:color="auto" w:sz="4" w:space="0"/>
              <w:right w:val="single" w:color="auto" w:sz="4" w:space="0"/>
            </w:tcBorders>
            <w:noWrap/>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公网 IP</w:t>
            </w:r>
          </w:p>
        </w:tc>
        <w:tc>
          <w:tcPr>
            <w:tcW w:w="1929"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公网IP主要用于与云主机、网关、弹性网卡等云资源绑定，提供访问公网和被公网访问能力等</w:t>
            </w:r>
          </w:p>
        </w:tc>
        <w:tc>
          <w:tcPr>
            <w:tcW w:w="4108"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1.可指定可用区创建公网IP。</w:t>
            </w:r>
            <w:r>
              <w:rPr>
                <w:rFonts w:hint="eastAsia" w:ascii="宋体" w:hAnsi="宋体" w:cs="宋体"/>
                <w:kern w:val="0"/>
                <w:szCs w:val="22"/>
              </w:rPr>
              <w:br w:type="textWrapping"/>
            </w:r>
            <w:r>
              <w:rPr>
                <w:rFonts w:hint="eastAsia" w:ascii="宋体" w:hAnsi="宋体" w:cs="宋体"/>
                <w:kern w:val="0"/>
                <w:szCs w:val="22"/>
              </w:rPr>
              <w:t>2.公网IP可以和NAT网关、云服务器等不同的产品绑定，快速为其提供功能服务或者访问能力。</w:t>
            </w:r>
            <w:r>
              <w:rPr>
                <w:rFonts w:hint="eastAsia" w:ascii="宋体" w:hAnsi="宋体" w:cs="宋体"/>
                <w:kern w:val="0"/>
                <w:szCs w:val="22"/>
              </w:rPr>
              <w:br w:type="textWrapping"/>
            </w:r>
            <w:r>
              <w:rPr>
                <w:rFonts w:hint="eastAsia" w:ascii="宋体" w:hAnsi="宋体" w:cs="宋体"/>
                <w:kern w:val="0"/>
                <w:szCs w:val="22"/>
              </w:rPr>
              <w:t>3.公网IP可以和所绑定的产品进行热插拔，不影响所绑定的产品的正常运行。</w:t>
            </w:r>
            <w:r>
              <w:rPr>
                <w:rFonts w:hint="eastAsia" w:ascii="宋体" w:hAnsi="宋体" w:cs="宋体"/>
                <w:kern w:val="0"/>
                <w:szCs w:val="22"/>
              </w:rPr>
              <w:br w:type="textWrapping"/>
            </w:r>
            <w:r>
              <w:rPr>
                <w:rFonts w:hint="eastAsia" w:ascii="宋体" w:hAnsi="宋体" w:cs="宋体"/>
                <w:kern w:val="0"/>
                <w:szCs w:val="22"/>
              </w:rPr>
              <w:t>4.服务可用性不低于99.95%。</w:t>
            </w:r>
          </w:p>
        </w:tc>
      </w:tr>
      <w:tr>
        <w:tblPrEx>
          <w:tblCellMar>
            <w:top w:w="0" w:type="dxa"/>
            <w:left w:w="108" w:type="dxa"/>
            <w:bottom w:w="0" w:type="dxa"/>
            <w:right w:w="108" w:type="dxa"/>
          </w:tblCellMar>
        </w:tblPrEx>
        <w:trPr>
          <w:trHeight w:val="892" w:hRule="atLeast"/>
        </w:trPr>
        <w:tc>
          <w:tcPr>
            <w:tcW w:w="700" w:type="dxa"/>
            <w:tcBorders>
              <w:top w:val="nil"/>
              <w:left w:val="single" w:color="auto" w:sz="4" w:space="0"/>
              <w:bottom w:val="single" w:color="auto" w:sz="4" w:space="0"/>
              <w:right w:val="single" w:color="auto" w:sz="4" w:space="0"/>
            </w:tcBorders>
            <w:noWrap/>
            <w:vAlign w:val="center"/>
          </w:tcPr>
          <w:p>
            <w:pPr>
              <w:spacing w:line="240" w:lineRule="auto"/>
              <w:ind w:firstLine="0" w:firstLineChars="0"/>
              <w:jc w:val="center"/>
              <w:rPr>
                <w:rFonts w:hint="default" w:ascii="宋体" w:hAnsi="宋体" w:eastAsia="宋体" w:cs="宋体"/>
                <w:kern w:val="0"/>
                <w:szCs w:val="22"/>
                <w:lang w:val="en-US" w:eastAsia="zh-CN"/>
              </w:rPr>
            </w:pPr>
            <w:r>
              <w:rPr>
                <w:rFonts w:hint="eastAsia" w:ascii="宋体" w:hAnsi="宋体" w:cs="宋体"/>
                <w:kern w:val="0"/>
                <w:szCs w:val="22"/>
                <w:lang w:val="en-US" w:eastAsia="zh-CN"/>
              </w:rPr>
              <w:t>12</w:t>
            </w:r>
          </w:p>
        </w:tc>
        <w:tc>
          <w:tcPr>
            <w:tcW w:w="1785" w:type="dxa"/>
            <w:tcBorders>
              <w:top w:val="nil"/>
              <w:left w:val="nil"/>
              <w:bottom w:val="single" w:color="auto" w:sz="4" w:space="0"/>
              <w:right w:val="single" w:color="auto" w:sz="4" w:space="0"/>
            </w:tcBorders>
            <w:noWrap/>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专线接入</w:t>
            </w:r>
          </w:p>
        </w:tc>
        <w:tc>
          <w:tcPr>
            <w:tcW w:w="1929"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提供链接企业数据中心与云服务商的网络服务</w:t>
            </w:r>
          </w:p>
        </w:tc>
        <w:tc>
          <w:tcPr>
            <w:tcW w:w="4108"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1.在网络虚拟化层进行网络间通信，多租户互相隔离；</w:t>
            </w:r>
            <w:r>
              <w:rPr>
                <w:rFonts w:hint="eastAsia" w:ascii="宋体" w:hAnsi="宋体" w:cs="宋体"/>
                <w:kern w:val="0"/>
                <w:szCs w:val="22"/>
              </w:rPr>
              <w:br w:type="textWrapping"/>
            </w:r>
            <w:r>
              <w:rPr>
                <w:rFonts w:hint="eastAsia" w:ascii="宋体" w:hAnsi="宋体" w:cs="宋体"/>
                <w:kern w:val="0"/>
                <w:szCs w:val="22"/>
              </w:rPr>
              <w:t>2.单链路最大支持100 Gbps的带宽</w:t>
            </w:r>
            <w:r>
              <w:rPr>
                <w:rFonts w:hint="eastAsia" w:ascii="宋体" w:hAnsi="宋体" w:cs="宋体"/>
                <w:kern w:val="0"/>
                <w:szCs w:val="22"/>
              </w:rPr>
              <w:br w:type="textWrapping"/>
            </w:r>
            <w:r>
              <w:rPr>
                <w:rFonts w:hint="eastAsia" w:ascii="宋体" w:hAnsi="宋体" w:cs="宋体"/>
                <w:kern w:val="0"/>
                <w:szCs w:val="22"/>
              </w:rPr>
              <w:t>3.支持多条物理专线进行ECMP链路聚合，达到Tbps级别带宽</w:t>
            </w:r>
          </w:p>
        </w:tc>
      </w:tr>
      <w:tr>
        <w:tblPrEx>
          <w:tblCellMar>
            <w:top w:w="0" w:type="dxa"/>
            <w:left w:w="108" w:type="dxa"/>
            <w:bottom w:w="0" w:type="dxa"/>
            <w:right w:w="108" w:type="dxa"/>
          </w:tblCellMar>
        </w:tblPrEx>
        <w:trPr>
          <w:trHeight w:val="1488" w:hRule="atLeast"/>
        </w:trPr>
        <w:tc>
          <w:tcPr>
            <w:tcW w:w="700" w:type="dxa"/>
            <w:tcBorders>
              <w:top w:val="nil"/>
              <w:left w:val="single" w:color="auto" w:sz="4" w:space="0"/>
              <w:bottom w:val="single" w:color="auto" w:sz="4" w:space="0"/>
              <w:right w:val="single" w:color="auto" w:sz="4" w:space="0"/>
            </w:tcBorders>
            <w:noWrap/>
            <w:vAlign w:val="center"/>
          </w:tcPr>
          <w:p>
            <w:pPr>
              <w:spacing w:line="240" w:lineRule="auto"/>
              <w:ind w:firstLine="0" w:firstLineChars="0"/>
              <w:jc w:val="center"/>
              <w:rPr>
                <w:rFonts w:hint="default" w:ascii="宋体" w:hAnsi="宋体" w:eastAsia="宋体" w:cs="宋体"/>
                <w:kern w:val="0"/>
                <w:szCs w:val="22"/>
                <w:lang w:val="en-US" w:eastAsia="zh-CN"/>
              </w:rPr>
            </w:pPr>
            <w:r>
              <w:rPr>
                <w:rFonts w:hint="eastAsia" w:ascii="宋体" w:hAnsi="宋体" w:cs="宋体"/>
                <w:kern w:val="0"/>
                <w:szCs w:val="22"/>
                <w:lang w:val="en-US" w:eastAsia="zh-CN"/>
              </w:rPr>
              <w:t>13</w:t>
            </w:r>
          </w:p>
        </w:tc>
        <w:tc>
          <w:tcPr>
            <w:tcW w:w="1785" w:type="dxa"/>
            <w:tcBorders>
              <w:top w:val="nil"/>
              <w:left w:val="nil"/>
              <w:bottom w:val="single" w:color="auto" w:sz="4" w:space="0"/>
              <w:right w:val="single" w:color="auto" w:sz="4" w:space="0"/>
            </w:tcBorders>
            <w:noWrap/>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云联网</w:t>
            </w:r>
          </w:p>
        </w:tc>
        <w:tc>
          <w:tcPr>
            <w:tcW w:w="1929"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提供全网互联服务，实现各地域的云上、云下多点互联</w:t>
            </w:r>
          </w:p>
        </w:tc>
        <w:tc>
          <w:tcPr>
            <w:tcW w:w="4108"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1. 支持多路由表能力，客户可以自定义路由表&gt;9个</w:t>
            </w:r>
            <w:r>
              <w:rPr>
                <w:rFonts w:hint="eastAsia" w:ascii="宋体" w:hAnsi="宋体" w:cs="宋体"/>
                <w:kern w:val="0"/>
                <w:szCs w:val="22"/>
              </w:rPr>
              <w:br w:type="textWrapping"/>
            </w:r>
            <w:r>
              <w:rPr>
                <w:rFonts w:hint="eastAsia" w:ascii="宋体" w:hAnsi="宋体" w:cs="宋体"/>
                <w:kern w:val="0"/>
                <w:szCs w:val="22"/>
              </w:rPr>
              <w:t>2. 支持自定义配置路由传播和接收策略</w:t>
            </w:r>
            <w:r>
              <w:rPr>
                <w:rFonts w:hint="eastAsia" w:ascii="宋体" w:hAnsi="宋体" w:cs="宋体"/>
                <w:kern w:val="0"/>
                <w:szCs w:val="22"/>
              </w:rPr>
              <w:br w:type="textWrapping"/>
            </w:r>
            <w:r>
              <w:rPr>
                <w:rFonts w:hint="eastAsia" w:ascii="宋体" w:hAnsi="宋体" w:cs="宋体"/>
                <w:kern w:val="0"/>
                <w:szCs w:val="22"/>
              </w:rPr>
              <w:t>3. 支持路由表聚合能力</w:t>
            </w:r>
            <w:r>
              <w:rPr>
                <w:rFonts w:hint="eastAsia" w:ascii="宋体" w:hAnsi="宋体" w:cs="宋体"/>
                <w:kern w:val="0"/>
                <w:szCs w:val="22"/>
              </w:rPr>
              <w:br w:type="textWrapping"/>
            </w:r>
            <w:r>
              <w:rPr>
                <w:rFonts w:hint="eastAsia" w:ascii="宋体" w:hAnsi="宋体" w:cs="宋体"/>
                <w:kern w:val="0"/>
                <w:szCs w:val="22"/>
              </w:rPr>
              <w:t>4. 支持故障主动检查/重路由</w:t>
            </w:r>
            <w:r>
              <w:rPr>
                <w:rFonts w:hint="eastAsia" w:ascii="宋体" w:hAnsi="宋体" w:cs="宋体"/>
                <w:kern w:val="0"/>
                <w:szCs w:val="22"/>
              </w:rPr>
              <w:br w:type="textWrapping"/>
            </w:r>
            <w:r>
              <w:rPr>
                <w:rFonts w:hint="eastAsia" w:ascii="宋体" w:hAnsi="宋体" w:cs="宋体"/>
                <w:kern w:val="0"/>
                <w:szCs w:val="22"/>
              </w:rPr>
              <w:t>5. 支持精细化选路</w:t>
            </w:r>
          </w:p>
        </w:tc>
      </w:tr>
      <w:tr>
        <w:tblPrEx>
          <w:tblCellMar>
            <w:top w:w="0" w:type="dxa"/>
            <w:left w:w="108" w:type="dxa"/>
            <w:bottom w:w="0" w:type="dxa"/>
            <w:right w:w="108" w:type="dxa"/>
          </w:tblCellMar>
        </w:tblPrEx>
        <w:trPr>
          <w:trHeight w:val="2678" w:hRule="atLeast"/>
        </w:trPr>
        <w:tc>
          <w:tcPr>
            <w:tcW w:w="700" w:type="dxa"/>
            <w:tcBorders>
              <w:top w:val="nil"/>
              <w:left w:val="single" w:color="auto" w:sz="4" w:space="0"/>
              <w:bottom w:val="single" w:color="auto" w:sz="4" w:space="0"/>
              <w:right w:val="single" w:color="auto" w:sz="4" w:space="0"/>
            </w:tcBorders>
            <w:noWrap/>
            <w:vAlign w:val="center"/>
          </w:tcPr>
          <w:p>
            <w:pPr>
              <w:spacing w:line="240" w:lineRule="auto"/>
              <w:ind w:firstLine="0" w:firstLineChars="0"/>
              <w:jc w:val="center"/>
              <w:rPr>
                <w:rFonts w:hint="default" w:ascii="宋体" w:hAnsi="宋体" w:eastAsia="宋体" w:cs="宋体"/>
                <w:kern w:val="0"/>
                <w:szCs w:val="22"/>
                <w:lang w:val="en-US" w:eastAsia="zh-CN"/>
              </w:rPr>
            </w:pPr>
            <w:r>
              <w:rPr>
                <w:rFonts w:hint="eastAsia" w:ascii="宋体" w:hAnsi="宋体" w:cs="宋体"/>
                <w:kern w:val="0"/>
                <w:szCs w:val="22"/>
                <w:lang w:val="en-US" w:eastAsia="zh-CN"/>
              </w:rPr>
              <w:t>14</w:t>
            </w:r>
          </w:p>
        </w:tc>
        <w:tc>
          <w:tcPr>
            <w:tcW w:w="1785" w:type="dxa"/>
            <w:tcBorders>
              <w:top w:val="nil"/>
              <w:left w:val="nil"/>
              <w:bottom w:val="single" w:color="auto" w:sz="4" w:space="0"/>
              <w:right w:val="single" w:color="auto" w:sz="4" w:space="0"/>
            </w:tcBorders>
            <w:noWrap/>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Web应用防火墙</w:t>
            </w:r>
          </w:p>
        </w:tc>
        <w:tc>
          <w:tcPr>
            <w:tcW w:w="1929"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应用防火墙用于识别恶意流量，提高web站点的安全性和可靠性。</w:t>
            </w:r>
          </w:p>
        </w:tc>
        <w:tc>
          <w:tcPr>
            <w:tcW w:w="4108"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1.可防御 SQL 注入、命令注入攻击、XSS 跨站脚本攻击、WebShell 木马上传、文件包含、路径穿越类攻击、非法的 HTTP 协议请求、网页防篡改、常见 Web 服务器漏洞等攻击。</w:t>
            </w:r>
            <w:r>
              <w:rPr>
                <w:rFonts w:hint="eastAsia" w:ascii="宋体" w:hAnsi="宋体" w:cs="宋体"/>
                <w:kern w:val="0"/>
                <w:szCs w:val="22"/>
              </w:rPr>
              <w:br w:type="textWrapping"/>
            </w:r>
            <w:r>
              <w:rPr>
                <w:rFonts w:hint="eastAsia" w:ascii="宋体" w:hAnsi="宋体" w:cs="宋体"/>
                <w:kern w:val="0"/>
                <w:szCs w:val="22"/>
              </w:rPr>
              <w:t>2.支持主动检测并及时发现高危 Web 漏洞, 0 day 漏洞，并生成针对漏洞的防护规则。</w:t>
            </w:r>
            <w:r>
              <w:rPr>
                <w:rFonts w:hint="eastAsia" w:ascii="宋体" w:hAnsi="宋体" w:cs="宋体"/>
                <w:kern w:val="0"/>
                <w:szCs w:val="22"/>
              </w:rPr>
              <w:br w:type="textWrapping"/>
            </w:r>
            <w:r>
              <w:rPr>
                <w:rFonts w:hint="eastAsia" w:ascii="宋体" w:hAnsi="宋体" w:cs="宋体"/>
                <w:kern w:val="0"/>
                <w:szCs w:val="22"/>
              </w:rPr>
              <w:t>3.支持AI+规则双检测引擎，交叉验证，精准有效捕捉各类常规Web攻击，0day攻击及其它新型未知攻击。</w:t>
            </w:r>
            <w:r>
              <w:rPr>
                <w:rFonts w:hint="eastAsia" w:ascii="宋体" w:hAnsi="宋体" w:cs="宋体"/>
                <w:kern w:val="0"/>
                <w:szCs w:val="22"/>
              </w:rPr>
              <w:br w:type="textWrapping"/>
            </w:r>
            <w:r>
              <w:rPr>
                <w:rFonts w:hint="eastAsia" w:ascii="宋体" w:hAnsi="宋体" w:cs="宋体"/>
                <w:kern w:val="0"/>
                <w:szCs w:val="22"/>
              </w:rPr>
              <w:t>4.支持网页防篡改功能，云端备份网站核心内容页面，保障网页内容不会因为源站安全事故而被篡改。</w:t>
            </w:r>
            <w:r>
              <w:rPr>
                <w:rFonts w:hint="eastAsia" w:ascii="宋体" w:hAnsi="宋体" w:cs="宋体"/>
                <w:kern w:val="0"/>
                <w:szCs w:val="22"/>
              </w:rPr>
              <w:br w:type="textWrapping"/>
            </w:r>
            <w:r>
              <w:rPr>
                <w:rFonts w:hint="eastAsia" w:ascii="宋体" w:hAnsi="宋体" w:cs="宋体"/>
                <w:kern w:val="0"/>
                <w:szCs w:val="22"/>
              </w:rPr>
              <w:t>5.支持针对特定请求路径访问频率的识别及控制。</w:t>
            </w:r>
            <w:r>
              <w:rPr>
                <w:rFonts w:hint="eastAsia" w:ascii="宋体" w:hAnsi="宋体" w:cs="宋体"/>
                <w:kern w:val="0"/>
                <w:szCs w:val="22"/>
              </w:rPr>
              <w:br w:type="textWrapping"/>
            </w:r>
            <w:r>
              <w:rPr>
                <w:rFonts w:hint="eastAsia" w:ascii="宋体" w:hAnsi="宋体" w:cs="宋体"/>
                <w:kern w:val="0"/>
                <w:szCs w:val="22"/>
              </w:rPr>
              <w:t>6.支持精细化基于IP，URL路径，Referer , UA、请求路径、HTTP请求方法、请求字符串、GET参数、POST参数、Cookie参数、完整BODY、Header参数等自定义防御规则设置Web攻击防护措施和精准白名单，且不限制自定义防御规则数。</w:t>
            </w:r>
          </w:p>
        </w:tc>
      </w:tr>
      <w:tr>
        <w:tblPrEx>
          <w:tblCellMar>
            <w:top w:w="0" w:type="dxa"/>
            <w:left w:w="108" w:type="dxa"/>
            <w:bottom w:w="0" w:type="dxa"/>
            <w:right w:w="108" w:type="dxa"/>
          </w:tblCellMar>
        </w:tblPrEx>
        <w:trPr>
          <w:trHeight w:val="2083" w:hRule="atLeast"/>
        </w:trPr>
        <w:tc>
          <w:tcPr>
            <w:tcW w:w="700" w:type="dxa"/>
            <w:tcBorders>
              <w:top w:val="nil"/>
              <w:left w:val="single" w:color="auto" w:sz="4" w:space="0"/>
              <w:bottom w:val="single" w:color="auto" w:sz="4" w:space="0"/>
              <w:right w:val="single" w:color="auto" w:sz="4" w:space="0"/>
            </w:tcBorders>
            <w:noWrap/>
            <w:vAlign w:val="center"/>
          </w:tcPr>
          <w:p>
            <w:pPr>
              <w:spacing w:line="240" w:lineRule="auto"/>
              <w:ind w:firstLine="0" w:firstLineChars="0"/>
              <w:jc w:val="center"/>
              <w:rPr>
                <w:rFonts w:hint="default" w:ascii="宋体" w:hAnsi="宋体" w:eastAsia="宋体" w:cs="宋体"/>
                <w:kern w:val="0"/>
                <w:szCs w:val="22"/>
                <w:lang w:val="en-US" w:eastAsia="zh-CN"/>
              </w:rPr>
            </w:pPr>
            <w:r>
              <w:rPr>
                <w:rFonts w:hint="eastAsia" w:ascii="宋体" w:hAnsi="宋体" w:cs="宋体"/>
                <w:kern w:val="0"/>
                <w:szCs w:val="22"/>
                <w:lang w:val="en-US" w:eastAsia="zh-CN"/>
              </w:rPr>
              <w:t>15</w:t>
            </w:r>
          </w:p>
        </w:tc>
        <w:tc>
          <w:tcPr>
            <w:tcW w:w="1785" w:type="dxa"/>
            <w:tcBorders>
              <w:top w:val="nil"/>
              <w:left w:val="nil"/>
              <w:bottom w:val="single" w:color="auto" w:sz="4" w:space="0"/>
              <w:right w:val="single" w:color="auto" w:sz="4" w:space="0"/>
            </w:tcBorders>
            <w:noWrap/>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云防火墙</w:t>
            </w:r>
          </w:p>
        </w:tc>
        <w:tc>
          <w:tcPr>
            <w:tcW w:w="1929"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云防火墙主要提供互联网边界的防护，解决云上访问控制的统一管理需求。</w:t>
            </w:r>
          </w:p>
        </w:tc>
        <w:tc>
          <w:tcPr>
            <w:tcW w:w="4108"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1.互联网边界防火墙支持串行模式和旁路模式部署。</w:t>
            </w:r>
            <w:r>
              <w:rPr>
                <w:rFonts w:hint="eastAsia" w:ascii="宋体" w:hAnsi="宋体" w:cs="宋体"/>
                <w:kern w:val="0"/>
                <w:szCs w:val="22"/>
              </w:rPr>
              <w:br w:type="textWrapping"/>
            </w:r>
            <w:r>
              <w:rPr>
                <w:rFonts w:hint="eastAsia" w:ascii="宋体" w:hAnsi="宋体" w:cs="宋体"/>
                <w:kern w:val="0"/>
                <w:szCs w:val="22"/>
              </w:rPr>
              <w:t>2.支持检测 VPC 间东西向流量的分布式防火墙，支持访问控制、拓扑可视与日志审计，部署于对等连接及云联网联通的 VPC 间，无需复杂路由配置。</w:t>
            </w:r>
            <w:r>
              <w:rPr>
                <w:rFonts w:hint="eastAsia" w:ascii="宋体" w:hAnsi="宋体" w:cs="宋体"/>
                <w:kern w:val="0"/>
                <w:szCs w:val="22"/>
              </w:rPr>
              <w:br w:type="textWrapping"/>
            </w:r>
            <w:r>
              <w:rPr>
                <w:rFonts w:hint="eastAsia" w:ascii="宋体" w:hAnsi="宋体" w:cs="宋体"/>
                <w:kern w:val="0"/>
                <w:szCs w:val="22"/>
              </w:rPr>
              <w:t>3.对公网资产、内网资产中的服务器、IP、域名、服务进行统一呈现和管理</w:t>
            </w:r>
            <w:r>
              <w:rPr>
                <w:rFonts w:hint="eastAsia" w:ascii="宋体" w:hAnsi="宋体" w:cs="宋体"/>
                <w:kern w:val="0"/>
                <w:szCs w:val="22"/>
              </w:rPr>
              <w:br w:type="textWrapping"/>
            </w:r>
            <w:r>
              <w:rPr>
                <w:rFonts w:hint="eastAsia" w:ascii="宋体" w:hAnsi="宋体" w:cs="宋体"/>
                <w:kern w:val="0"/>
                <w:szCs w:val="22"/>
              </w:rPr>
              <w:t>4.集成云平台的威胁情报，对于恶意源IP、危险域名的访问流量，进行精准识别。</w:t>
            </w:r>
            <w:r>
              <w:rPr>
                <w:rFonts w:hint="eastAsia" w:ascii="宋体" w:hAnsi="宋体" w:cs="宋体"/>
                <w:kern w:val="0"/>
                <w:szCs w:val="22"/>
              </w:rPr>
              <w:br w:type="textWrapping"/>
            </w:r>
            <w:r>
              <w:rPr>
                <w:rFonts w:hint="eastAsia" w:ascii="宋体" w:hAnsi="宋体" w:cs="宋体"/>
                <w:kern w:val="0"/>
                <w:szCs w:val="22"/>
              </w:rPr>
              <w:t>5.支持记录安全组的命中情况和进出VPC的所有流量记录</w:t>
            </w:r>
            <w:r>
              <w:rPr>
                <w:rFonts w:hint="eastAsia" w:ascii="宋体" w:hAnsi="宋体" w:cs="宋体"/>
                <w:kern w:val="0"/>
                <w:szCs w:val="22"/>
              </w:rPr>
              <w:br w:type="textWrapping"/>
            </w:r>
            <w:r>
              <w:rPr>
                <w:rFonts w:hint="eastAsia" w:ascii="宋体" w:hAnsi="宋体" w:cs="宋体"/>
                <w:kern w:val="0"/>
                <w:szCs w:val="22"/>
              </w:rPr>
              <w:t>6.支持对全部命中入侵防御策略的流量进行记录，并记录入侵的payload供后续分析取证</w:t>
            </w:r>
          </w:p>
        </w:tc>
      </w:tr>
      <w:tr>
        <w:tblPrEx>
          <w:tblCellMar>
            <w:top w:w="0" w:type="dxa"/>
            <w:left w:w="108" w:type="dxa"/>
            <w:bottom w:w="0" w:type="dxa"/>
            <w:right w:w="108" w:type="dxa"/>
          </w:tblCellMar>
        </w:tblPrEx>
        <w:trPr>
          <w:trHeight w:val="1569" w:hRule="atLeast"/>
        </w:trPr>
        <w:tc>
          <w:tcPr>
            <w:tcW w:w="700" w:type="dxa"/>
            <w:tcBorders>
              <w:top w:val="nil"/>
              <w:left w:val="single" w:color="auto" w:sz="4" w:space="0"/>
              <w:bottom w:val="single" w:color="auto" w:sz="4" w:space="0"/>
              <w:right w:val="single" w:color="auto" w:sz="4" w:space="0"/>
            </w:tcBorders>
            <w:noWrap/>
            <w:vAlign w:val="center"/>
          </w:tcPr>
          <w:p>
            <w:pPr>
              <w:spacing w:line="240" w:lineRule="auto"/>
              <w:ind w:firstLine="0" w:firstLineChars="0"/>
              <w:jc w:val="center"/>
              <w:rPr>
                <w:rFonts w:hint="default" w:ascii="宋体" w:hAnsi="宋体" w:eastAsia="宋体" w:cs="宋体"/>
                <w:kern w:val="0"/>
                <w:szCs w:val="22"/>
                <w:lang w:val="en-US" w:eastAsia="zh-CN"/>
              </w:rPr>
            </w:pPr>
            <w:r>
              <w:rPr>
                <w:rFonts w:hint="eastAsia" w:ascii="宋体" w:hAnsi="宋体" w:cs="宋体"/>
                <w:kern w:val="0"/>
                <w:szCs w:val="22"/>
                <w:lang w:val="en-US" w:eastAsia="zh-CN"/>
              </w:rPr>
              <w:t>16</w:t>
            </w:r>
          </w:p>
        </w:tc>
        <w:tc>
          <w:tcPr>
            <w:tcW w:w="1785" w:type="dxa"/>
            <w:tcBorders>
              <w:top w:val="nil"/>
              <w:left w:val="nil"/>
              <w:bottom w:val="single" w:color="auto" w:sz="4" w:space="0"/>
              <w:right w:val="single" w:color="auto" w:sz="4" w:space="0"/>
            </w:tcBorders>
            <w:noWrap/>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主机安全</w:t>
            </w:r>
          </w:p>
        </w:tc>
        <w:tc>
          <w:tcPr>
            <w:tcW w:w="1929"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主机安全为用户提供资产管理、木马文件查杀、漏洞风险等安全防护服务，解决服务器面临的主要主机安全风险，构建服务器安全防护。</w:t>
            </w:r>
          </w:p>
        </w:tc>
        <w:tc>
          <w:tcPr>
            <w:tcW w:w="4108"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1.支持实时展示主机安全体检得分、防护状态、待处理风险、风险趋势以及主机安全的实时动态。</w:t>
            </w:r>
            <w:r>
              <w:rPr>
                <w:rFonts w:hint="eastAsia" w:ascii="宋体" w:hAnsi="宋体" w:cs="宋体"/>
                <w:kern w:val="0"/>
                <w:szCs w:val="22"/>
              </w:rPr>
              <w:br w:type="textWrapping"/>
            </w:r>
            <w:r>
              <w:rPr>
                <w:rFonts w:hint="eastAsia" w:ascii="宋体" w:hAnsi="宋体" w:cs="宋体"/>
                <w:kern w:val="0"/>
                <w:szCs w:val="22"/>
              </w:rPr>
              <w:t>2.提供不少于10种资产指纹，包括：资源监控、账户、端口、软件应用、进程、数据库、web应用、web框架、web服务、web站点。</w:t>
            </w:r>
            <w:r>
              <w:rPr>
                <w:rFonts w:hint="eastAsia" w:ascii="宋体" w:hAnsi="宋体" w:cs="宋体"/>
                <w:kern w:val="0"/>
                <w:szCs w:val="22"/>
              </w:rPr>
              <w:br w:type="textWrapping"/>
            </w:r>
            <w:r>
              <w:rPr>
                <w:rFonts w:hint="eastAsia" w:ascii="宋体" w:hAnsi="宋体" w:cs="宋体"/>
                <w:kern w:val="0"/>
                <w:szCs w:val="22"/>
              </w:rPr>
              <w:t>3.支持Webshell检测、二进制检测，集成自研Webshell引擎、云查杀多杀软鉴定器，高效查杀病毒、木马。</w:t>
            </w:r>
            <w:r>
              <w:rPr>
                <w:rFonts w:hint="eastAsia" w:ascii="宋体" w:hAnsi="宋体" w:cs="宋体"/>
                <w:kern w:val="0"/>
                <w:szCs w:val="22"/>
              </w:rPr>
              <w:br w:type="textWrapping"/>
            </w:r>
            <w:r>
              <w:rPr>
                <w:rFonts w:hint="eastAsia" w:ascii="宋体" w:hAnsi="宋体" w:cs="宋体"/>
                <w:kern w:val="0"/>
                <w:szCs w:val="22"/>
              </w:rPr>
              <w:t>4.支持对SSH、RDP、ftp、smb、mysql、mssql 等暴力破解行为进行实时检测、告警、阻断。</w:t>
            </w:r>
            <w:r>
              <w:rPr>
                <w:rFonts w:hint="eastAsia" w:ascii="宋体" w:hAnsi="宋体" w:cs="宋体"/>
                <w:kern w:val="0"/>
                <w:szCs w:val="22"/>
              </w:rPr>
              <w:br w:type="textWrapping"/>
            </w:r>
            <w:r>
              <w:rPr>
                <w:rFonts w:hint="eastAsia" w:ascii="宋体" w:hAnsi="宋体" w:cs="宋体"/>
                <w:kern w:val="0"/>
                <w:szCs w:val="22"/>
              </w:rPr>
              <w:t>5.支持在主机端对恶意攻击流量进行感知，实时监测恶意攻击行为，覆盖云上热点漏洞，支持南北向、东西向的攻击流量检测。</w:t>
            </w:r>
            <w:r>
              <w:rPr>
                <w:rFonts w:hint="eastAsia" w:ascii="宋体" w:hAnsi="宋体" w:cs="宋体"/>
                <w:kern w:val="0"/>
                <w:szCs w:val="22"/>
              </w:rPr>
              <w:br w:type="textWrapping"/>
            </w:r>
            <w:r>
              <w:rPr>
                <w:rFonts w:hint="eastAsia" w:ascii="宋体" w:hAnsi="宋体" w:cs="宋体"/>
                <w:kern w:val="0"/>
                <w:szCs w:val="22"/>
              </w:rPr>
              <w:t>6.支持实时检测主机内外联恶意域名请求，提供威胁情报信息和事件记录，支持自定义规则黑白名单，支持设置告警、拦截、放行动作。</w:t>
            </w:r>
            <w:r>
              <w:rPr>
                <w:rFonts w:hint="eastAsia" w:ascii="宋体" w:hAnsi="宋体" w:cs="宋体"/>
                <w:kern w:val="0"/>
                <w:szCs w:val="22"/>
              </w:rPr>
              <w:br w:type="textWrapping"/>
            </w:r>
            <w:r>
              <w:rPr>
                <w:rFonts w:hint="eastAsia" w:ascii="宋体" w:hAnsi="宋体" w:cs="宋体"/>
                <w:kern w:val="0"/>
                <w:szCs w:val="22"/>
              </w:rPr>
              <w:t>7.支持等保二级、三级、CIS、弱口令等基线检测，并提供修复方案。</w:t>
            </w:r>
          </w:p>
        </w:tc>
      </w:tr>
      <w:tr>
        <w:tblPrEx>
          <w:tblCellMar>
            <w:top w:w="0" w:type="dxa"/>
            <w:left w:w="108" w:type="dxa"/>
            <w:bottom w:w="0" w:type="dxa"/>
            <w:right w:w="108" w:type="dxa"/>
          </w:tblCellMar>
        </w:tblPrEx>
        <w:trPr>
          <w:trHeight w:val="2708" w:hRule="atLeast"/>
        </w:trPr>
        <w:tc>
          <w:tcPr>
            <w:tcW w:w="700" w:type="dxa"/>
            <w:tcBorders>
              <w:top w:val="nil"/>
              <w:left w:val="single" w:color="auto" w:sz="4" w:space="0"/>
              <w:bottom w:val="single" w:color="auto" w:sz="4" w:space="0"/>
              <w:right w:val="single" w:color="auto" w:sz="4" w:space="0"/>
            </w:tcBorders>
            <w:noWrap/>
            <w:vAlign w:val="center"/>
          </w:tcPr>
          <w:p>
            <w:pPr>
              <w:spacing w:line="240" w:lineRule="auto"/>
              <w:ind w:firstLine="0" w:firstLineChars="0"/>
              <w:jc w:val="center"/>
              <w:rPr>
                <w:rFonts w:hint="default" w:ascii="宋体" w:hAnsi="宋体" w:eastAsia="宋体" w:cs="宋体"/>
                <w:kern w:val="0"/>
                <w:szCs w:val="22"/>
                <w:lang w:val="en-US" w:eastAsia="zh-CN"/>
              </w:rPr>
            </w:pPr>
            <w:r>
              <w:rPr>
                <w:rFonts w:hint="eastAsia" w:ascii="宋体" w:hAnsi="宋体" w:cs="宋体"/>
                <w:kern w:val="0"/>
                <w:szCs w:val="22"/>
                <w:lang w:val="en-US" w:eastAsia="zh-CN"/>
              </w:rPr>
              <w:t>17</w:t>
            </w:r>
          </w:p>
        </w:tc>
        <w:tc>
          <w:tcPr>
            <w:tcW w:w="1785" w:type="dxa"/>
            <w:tcBorders>
              <w:top w:val="nil"/>
              <w:left w:val="nil"/>
              <w:bottom w:val="single" w:color="auto" w:sz="4" w:space="0"/>
              <w:right w:val="single" w:color="auto" w:sz="4" w:space="0"/>
            </w:tcBorders>
            <w:noWrap/>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容器服务</w:t>
            </w:r>
          </w:p>
        </w:tc>
        <w:tc>
          <w:tcPr>
            <w:tcW w:w="1929"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容器服务提供以容器为核心的、高度可扩展的高性能容器管理服务。</w:t>
            </w:r>
          </w:p>
        </w:tc>
        <w:tc>
          <w:tcPr>
            <w:tcW w:w="4108"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1.支持使用Docker/containerd和Kubernetes进行容器化应用的生命周期管理。</w:t>
            </w:r>
            <w:r>
              <w:rPr>
                <w:rFonts w:hint="eastAsia" w:ascii="宋体" w:hAnsi="宋体" w:cs="宋体"/>
                <w:kern w:val="0"/>
                <w:szCs w:val="22"/>
              </w:rPr>
              <w:br w:type="textWrapping"/>
            </w:r>
            <w:r>
              <w:rPr>
                <w:rFonts w:hint="eastAsia" w:ascii="宋体" w:hAnsi="宋体" w:cs="宋体"/>
                <w:kern w:val="0"/>
                <w:szCs w:val="22"/>
              </w:rPr>
              <w:t>2.支持图形化和API接口创建、配置集群等操作； 支持针对多集群提供统一的管理入口和调用接口。</w:t>
            </w:r>
            <w:r>
              <w:rPr>
                <w:rFonts w:hint="eastAsia" w:ascii="宋体" w:hAnsi="宋体" w:cs="宋体"/>
                <w:kern w:val="0"/>
                <w:szCs w:val="22"/>
              </w:rPr>
              <w:br w:type="textWrapping"/>
            </w:r>
            <w:r>
              <w:rPr>
                <w:rFonts w:hint="eastAsia" w:ascii="宋体" w:hAnsi="宋体" w:cs="宋体"/>
                <w:kern w:val="0"/>
                <w:szCs w:val="22"/>
              </w:rPr>
              <w:t>3.支持Kubernetes集群管理节点托管。</w:t>
            </w:r>
            <w:r>
              <w:rPr>
                <w:rFonts w:hint="eastAsia" w:ascii="宋体" w:hAnsi="宋体" w:cs="宋体"/>
                <w:kern w:val="0"/>
                <w:szCs w:val="22"/>
              </w:rPr>
              <w:br w:type="textWrapping"/>
            </w:r>
            <w:r>
              <w:rPr>
                <w:rFonts w:hint="eastAsia" w:ascii="宋体" w:hAnsi="宋体" w:cs="宋体"/>
                <w:kern w:val="0"/>
                <w:szCs w:val="22"/>
              </w:rPr>
              <w:t>4.支持集群的快速扩缩容，支持通过云平台前端功能菜单/API接口等方式快速添加虚拟机或物理机资源节点，并且支持快速查看节点资源的使用情况；对于云主机集群，支持集群自动弹性伸缩；支持节点池管理，方便对一组节点进行批量配置管理；支持使用声明API管理节点资源；支持节点自愈能力, 用于故障快速恢复。支持节点负载保护, 防止节点负载过高。</w:t>
            </w:r>
            <w:r>
              <w:rPr>
                <w:rFonts w:hint="eastAsia" w:ascii="宋体" w:hAnsi="宋体" w:cs="宋体"/>
                <w:kern w:val="0"/>
                <w:szCs w:val="22"/>
              </w:rPr>
              <w:br w:type="textWrapping"/>
            </w:r>
            <w:r>
              <w:rPr>
                <w:rFonts w:hint="eastAsia" w:ascii="宋体" w:hAnsi="宋体" w:cs="宋体"/>
                <w:kern w:val="0"/>
                <w:szCs w:val="22"/>
              </w:rPr>
              <w:t>5.节点池支持安全补丁的修复能力。</w:t>
            </w:r>
          </w:p>
        </w:tc>
      </w:tr>
      <w:tr>
        <w:tblPrEx>
          <w:tblCellMar>
            <w:top w:w="0" w:type="dxa"/>
            <w:left w:w="108" w:type="dxa"/>
            <w:bottom w:w="0" w:type="dxa"/>
            <w:right w:w="108" w:type="dxa"/>
          </w:tblCellMar>
        </w:tblPrEx>
        <w:trPr>
          <w:trHeight w:val="1785" w:hRule="atLeast"/>
        </w:trPr>
        <w:tc>
          <w:tcPr>
            <w:tcW w:w="700" w:type="dxa"/>
            <w:tcBorders>
              <w:top w:val="nil"/>
              <w:left w:val="single" w:color="auto" w:sz="4" w:space="0"/>
              <w:bottom w:val="single" w:color="auto" w:sz="4" w:space="0"/>
              <w:right w:val="single" w:color="auto" w:sz="4" w:space="0"/>
            </w:tcBorders>
            <w:noWrap/>
            <w:vAlign w:val="center"/>
          </w:tcPr>
          <w:p>
            <w:pPr>
              <w:spacing w:line="240" w:lineRule="auto"/>
              <w:ind w:firstLine="0" w:firstLineChars="0"/>
              <w:jc w:val="center"/>
              <w:rPr>
                <w:rFonts w:hint="default" w:ascii="宋体" w:hAnsi="宋体" w:eastAsia="宋体" w:cs="宋体"/>
                <w:kern w:val="0"/>
                <w:szCs w:val="22"/>
                <w:lang w:val="en-US" w:eastAsia="zh-CN"/>
              </w:rPr>
            </w:pPr>
            <w:r>
              <w:rPr>
                <w:rFonts w:hint="eastAsia" w:ascii="宋体" w:hAnsi="宋体" w:cs="宋体"/>
                <w:kern w:val="0"/>
                <w:szCs w:val="22"/>
                <w:lang w:val="en-US" w:eastAsia="zh-CN"/>
              </w:rPr>
              <w:t>18</w:t>
            </w:r>
          </w:p>
        </w:tc>
        <w:tc>
          <w:tcPr>
            <w:tcW w:w="1785" w:type="dxa"/>
            <w:tcBorders>
              <w:top w:val="nil"/>
              <w:left w:val="nil"/>
              <w:bottom w:val="single" w:color="auto" w:sz="4" w:space="0"/>
              <w:right w:val="single" w:color="auto" w:sz="4" w:space="0"/>
            </w:tcBorders>
            <w:noWrap/>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容器镜像服务</w:t>
            </w:r>
          </w:p>
        </w:tc>
        <w:tc>
          <w:tcPr>
            <w:tcW w:w="1929"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容器镜像服务支持容器镜像托管分发服务，使得用户可同时在全球多个地域创建独享实例，以实现容器镜像的就近拉取，提升效率。</w:t>
            </w:r>
          </w:p>
        </w:tc>
        <w:tc>
          <w:tcPr>
            <w:tcW w:w="4108"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1.支持新建多个镜像仓库实例。</w:t>
            </w:r>
            <w:r>
              <w:rPr>
                <w:rFonts w:hint="eastAsia" w:ascii="宋体" w:hAnsi="宋体" w:cs="宋体"/>
                <w:kern w:val="0"/>
                <w:szCs w:val="22"/>
              </w:rPr>
              <w:br w:type="textWrapping"/>
            </w:r>
            <w:r>
              <w:rPr>
                <w:rFonts w:hint="eastAsia" w:ascii="宋体" w:hAnsi="宋体" w:cs="宋体"/>
                <w:kern w:val="0"/>
                <w:szCs w:val="22"/>
              </w:rPr>
              <w:t>2.支持至少二级命名空间。</w:t>
            </w:r>
            <w:r>
              <w:rPr>
                <w:rFonts w:hint="eastAsia" w:ascii="宋体" w:hAnsi="宋体" w:cs="宋体"/>
                <w:kern w:val="0"/>
                <w:szCs w:val="22"/>
              </w:rPr>
              <w:br w:type="textWrapping"/>
            </w:r>
            <w:r>
              <w:rPr>
                <w:rFonts w:hint="eastAsia" w:ascii="宋体" w:hAnsi="宋体" w:cs="宋体"/>
                <w:kern w:val="0"/>
                <w:szCs w:val="22"/>
              </w:rPr>
              <w:t>3.支持镜像的pull和push。</w:t>
            </w:r>
            <w:r>
              <w:rPr>
                <w:rFonts w:hint="eastAsia" w:ascii="宋体" w:hAnsi="宋体" w:cs="宋体"/>
                <w:kern w:val="0"/>
                <w:szCs w:val="22"/>
              </w:rPr>
              <w:br w:type="textWrapping"/>
            </w:r>
            <w:r>
              <w:rPr>
                <w:rFonts w:hint="eastAsia" w:ascii="宋体" w:hAnsi="宋体" w:cs="宋体"/>
                <w:kern w:val="0"/>
                <w:szCs w:val="22"/>
              </w:rPr>
              <w:t>4.用户管理支持管理访问凭证。</w:t>
            </w:r>
            <w:r>
              <w:rPr>
                <w:rFonts w:hint="eastAsia" w:ascii="宋体" w:hAnsi="宋体" w:cs="宋体"/>
                <w:kern w:val="0"/>
                <w:szCs w:val="22"/>
              </w:rPr>
              <w:br w:type="textWrapping"/>
            </w:r>
            <w:r>
              <w:rPr>
                <w:rFonts w:hint="eastAsia" w:ascii="宋体" w:hAnsi="宋体" w:cs="宋体"/>
                <w:kern w:val="0"/>
                <w:szCs w:val="22"/>
              </w:rPr>
              <w:t>5.访问管理支持自定义域名，支持内外网访问。</w:t>
            </w:r>
            <w:r>
              <w:rPr>
                <w:rFonts w:hint="eastAsia" w:ascii="宋体" w:hAnsi="宋体" w:cs="宋体"/>
                <w:kern w:val="0"/>
                <w:szCs w:val="22"/>
              </w:rPr>
              <w:br w:type="textWrapping"/>
            </w:r>
            <w:r>
              <w:rPr>
                <w:rFonts w:hint="eastAsia" w:ascii="宋体" w:hAnsi="宋体" w:cs="宋体"/>
                <w:kern w:val="0"/>
                <w:szCs w:val="22"/>
              </w:rPr>
              <w:t>6.支持镜像仓库之间的镜像同步，支持和第三方harbor之间镜像同步。</w:t>
            </w:r>
          </w:p>
        </w:tc>
      </w:tr>
      <w:tr>
        <w:tblPrEx>
          <w:tblCellMar>
            <w:top w:w="0" w:type="dxa"/>
            <w:left w:w="108" w:type="dxa"/>
            <w:bottom w:w="0" w:type="dxa"/>
            <w:right w:w="108" w:type="dxa"/>
          </w:tblCellMar>
        </w:tblPrEx>
        <w:trPr>
          <w:trHeight w:val="892" w:hRule="atLeast"/>
        </w:trPr>
        <w:tc>
          <w:tcPr>
            <w:tcW w:w="700" w:type="dxa"/>
            <w:tcBorders>
              <w:top w:val="nil"/>
              <w:left w:val="single" w:color="auto" w:sz="4" w:space="0"/>
              <w:bottom w:val="single" w:color="auto" w:sz="4" w:space="0"/>
              <w:right w:val="single" w:color="auto" w:sz="4" w:space="0"/>
            </w:tcBorders>
            <w:noWrap/>
            <w:vAlign w:val="center"/>
          </w:tcPr>
          <w:p>
            <w:pPr>
              <w:spacing w:line="240" w:lineRule="auto"/>
              <w:ind w:firstLine="0" w:firstLineChars="0"/>
              <w:jc w:val="center"/>
              <w:rPr>
                <w:rFonts w:hint="default" w:ascii="宋体" w:hAnsi="宋体" w:eastAsia="宋体" w:cs="宋体"/>
                <w:kern w:val="0"/>
                <w:szCs w:val="22"/>
                <w:lang w:val="en-US" w:eastAsia="zh-CN"/>
              </w:rPr>
            </w:pPr>
            <w:r>
              <w:rPr>
                <w:rFonts w:hint="eastAsia" w:ascii="宋体" w:hAnsi="宋体" w:cs="宋体"/>
                <w:kern w:val="0"/>
                <w:szCs w:val="22"/>
                <w:lang w:val="en-US" w:eastAsia="zh-CN"/>
              </w:rPr>
              <w:t>19</w:t>
            </w:r>
          </w:p>
        </w:tc>
        <w:tc>
          <w:tcPr>
            <w:tcW w:w="1785" w:type="dxa"/>
            <w:tcBorders>
              <w:top w:val="nil"/>
              <w:left w:val="nil"/>
              <w:bottom w:val="single" w:color="auto" w:sz="4" w:space="0"/>
              <w:right w:val="single" w:color="auto" w:sz="4" w:space="0"/>
            </w:tcBorders>
            <w:noWrap/>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云监控</w:t>
            </w:r>
          </w:p>
        </w:tc>
        <w:tc>
          <w:tcPr>
            <w:tcW w:w="1929"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云监控提供端到端的统一监控能力。</w:t>
            </w:r>
          </w:p>
        </w:tc>
        <w:tc>
          <w:tcPr>
            <w:tcW w:w="4108" w:type="dxa"/>
            <w:tcBorders>
              <w:top w:val="nil"/>
              <w:left w:val="nil"/>
              <w:bottom w:val="single" w:color="auto" w:sz="4" w:space="0"/>
              <w:right w:val="single" w:color="auto" w:sz="4" w:space="0"/>
            </w:tcBorders>
            <w:noWrap w:val="0"/>
            <w:vAlign w:val="center"/>
          </w:tcPr>
          <w:p>
            <w:pPr>
              <w:spacing w:line="240" w:lineRule="auto"/>
              <w:ind w:firstLine="0" w:firstLineChars="0"/>
              <w:rPr>
                <w:rFonts w:ascii="宋体" w:hAnsi="宋体" w:cs="宋体"/>
                <w:kern w:val="0"/>
                <w:szCs w:val="22"/>
              </w:rPr>
            </w:pPr>
            <w:r>
              <w:rPr>
                <w:rFonts w:hint="eastAsia" w:ascii="宋体" w:hAnsi="宋体" w:cs="宋体"/>
                <w:kern w:val="0"/>
                <w:szCs w:val="22"/>
              </w:rPr>
              <w:t>1.支持基于指标、链路、日志、事件等全类型监控数据。</w:t>
            </w:r>
            <w:r>
              <w:rPr>
                <w:rFonts w:hint="eastAsia" w:ascii="宋体" w:hAnsi="宋体" w:cs="宋体"/>
                <w:kern w:val="0"/>
                <w:szCs w:val="22"/>
              </w:rPr>
              <w:br w:type="textWrapping"/>
            </w:r>
            <w:r>
              <w:rPr>
                <w:rFonts w:hint="eastAsia" w:ascii="宋体" w:hAnsi="宋体" w:cs="宋体"/>
                <w:kern w:val="0"/>
                <w:szCs w:val="22"/>
              </w:rPr>
              <w:t>2.支持云上所有资源监控。</w:t>
            </w:r>
            <w:r>
              <w:rPr>
                <w:rFonts w:hint="eastAsia" w:ascii="宋体" w:hAnsi="宋体" w:cs="宋体"/>
                <w:kern w:val="0"/>
                <w:szCs w:val="22"/>
              </w:rPr>
              <w:br w:type="textWrapping"/>
            </w:r>
            <w:r>
              <w:rPr>
                <w:rFonts w:hint="eastAsia" w:ascii="宋体" w:hAnsi="宋体" w:cs="宋体"/>
                <w:kern w:val="0"/>
                <w:szCs w:val="22"/>
              </w:rPr>
              <w:t>3.支持预设告警规则。当符合报警规则时，自动发送报警通知。</w:t>
            </w:r>
          </w:p>
        </w:tc>
      </w:tr>
    </w:tbl>
    <w:p>
      <w:pPr>
        <w:ind w:firstLine="420"/>
      </w:pPr>
    </w:p>
    <w:p>
      <w:pPr>
        <w:pStyle w:val="2"/>
        <w:ind w:left="0" w:leftChars="0" w:firstLine="0" w:firstLineChars="0"/>
        <w:rPr>
          <w:rFonts w:hint="eastAsia" w:eastAsia="宋体"/>
          <w:lang w:eastAsia="zh-CN"/>
        </w:rPr>
      </w:pPr>
      <w:r>
        <w:rPr>
          <w:rFonts w:hint="eastAsia" w:ascii="宋体" w:hAnsi="宋体" w:cs="宋体"/>
          <w:b/>
          <w:bCs/>
          <w:szCs w:val="21"/>
        </w:rPr>
        <w:t>二、驻场</w:t>
      </w:r>
      <w:r>
        <w:rPr>
          <w:rFonts w:hint="eastAsia" w:ascii="宋体" w:hAnsi="宋体" w:cs="宋体"/>
          <w:b/>
          <w:bCs/>
          <w:szCs w:val="21"/>
          <w:lang w:val="en-US" w:eastAsia="zh-CN"/>
        </w:rPr>
        <w:t>支持</w:t>
      </w:r>
    </w:p>
    <w:p>
      <w:pPr>
        <w:ind w:firstLine="420"/>
        <w:rPr>
          <w:rFonts w:ascii="宋体" w:hAnsi="宋体" w:cs="宋体"/>
          <w:szCs w:val="21"/>
        </w:rPr>
      </w:pPr>
      <w:r>
        <w:rPr>
          <w:rFonts w:hint="eastAsia"/>
        </w:rPr>
        <w:t>中标供应商</w:t>
      </w:r>
      <w:r>
        <w:rPr>
          <w:rFonts w:hint="eastAsia" w:ascii="宋体" w:hAnsi="宋体" w:cs="宋体"/>
          <w:szCs w:val="21"/>
        </w:rPr>
        <w:t>提供</w:t>
      </w:r>
      <w:r>
        <w:rPr>
          <w:rFonts w:hint="eastAsia" w:ascii="宋体" w:hAnsi="宋体" w:cs="宋体"/>
          <w:szCs w:val="21"/>
          <w:lang w:val="en-US" w:eastAsia="zh-CN"/>
        </w:rPr>
        <w:t>深圳小汽车竞价活动</w:t>
      </w:r>
      <w:r>
        <w:rPr>
          <w:rFonts w:hint="eastAsia" w:ascii="宋体" w:hAnsi="宋体" w:cs="宋体"/>
          <w:szCs w:val="21"/>
        </w:rPr>
        <w:t>竞价日（每月25日，以每月竞价公告为准）的驻场人员</w:t>
      </w:r>
      <w:r>
        <w:rPr>
          <w:rFonts w:hint="eastAsia" w:ascii="宋体" w:hAnsi="宋体" w:cs="宋体"/>
          <w:szCs w:val="21"/>
          <w:lang w:val="en-US" w:eastAsia="zh-CN"/>
        </w:rPr>
        <w:t>保障</w:t>
      </w:r>
      <w:r>
        <w:rPr>
          <w:rFonts w:hint="eastAsia" w:ascii="宋体" w:hAnsi="宋体" w:cs="宋体"/>
          <w:szCs w:val="21"/>
        </w:rPr>
        <w:t>服务，处理公有云运维等事项。驻场人员</w:t>
      </w:r>
      <w:r>
        <w:rPr>
          <w:rFonts w:hint="eastAsia" w:ascii="宋体" w:hAnsi="宋体" w:cs="宋体"/>
          <w:szCs w:val="21"/>
          <w:lang w:val="en-US" w:eastAsia="zh-CN"/>
        </w:rPr>
        <w:t>需</w:t>
      </w:r>
      <w:bookmarkStart w:id="3" w:name="_GoBack"/>
      <w:bookmarkEnd w:id="3"/>
      <w:r>
        <w:rPr>
          <w:rFonts w:hint="eastAsia" w:ascii="宋体" w:hAnsi="宋体" w:cs="宋体"/>
          <w:szCs w:val="21"/>
        </w:rPr>
        <w:t>熟悉公有云产品和服务，结合招标人实际情况处理公有云运维相关事项</w:t>
      </w:r>
      <w:r>
        <w:rPr>
          <w:rFonts w:hint="eastAsia" w:ascii="宋体" w:hAnsi="宋体" w:cs="宋体"/>
          <w:szCs w:val="21"/>
          <w:lang w:eastAsia="zh-CN"/>
        </w:rPr>
        <w:t>，</w:t>
      </w:r>
      <w:r>
        <w:rPr>
          <w:rFonts w:hint="eastAsia" w:ascii="宋体" w:hAnsi="宋体" w:cs="宋体"/>
          <w:szCs w:val="21"/>
          <w:lang w:val="en-US" w:eastAsia="zh-CN"/>
        </w:rPr>
        <w:t>每月1人次/天</w:t>
      </w:r>
      <w:r>
        <w:rPr>
          <w:rFonts w:hint="eastAsia" w:ascii="宋体" w:hAnsi="宋体" w:cs="宋体"/>
          <w:szCs w:val="21"/>
        </w:rPr>
        <w:t>。</w:t>
      </w:r>
    </w:p>
    <w:p>
      <w:pPr>
        <w:pStyle w:val="2"/>
        <w:ind w:left="0" w:leftChars="0" w:firstLine="0" w:firstLineChars="0"/>
        <w:rPr>
          <w:rFonts w:ascii="宋体" w:hAnsi="宋体" w:cs="宋体"/>
          <w:b/>
          <w:bCs/>
          <w:szCs w:val="21"/>
        </w:rPr>
      </w:pPr>
      <w:r>
        <w:rPr>
          <w:rFonts w:hint="eastAsia" w:ascii="宋体" w:hAnsi="宋体" w:cs="宋体"/>
          <w:b/>
          <w:bCs/>
          <w:szCs w:val="21"/>
        </w:rPr>
        <w:t>三、售后服务要求</w:t>
      </w:r>
    </w:p>
    <w:p>
      <w:pPr>
        <w:ind w:firstLine="420"/>
        <w:rPr>
          <w:rFonts w:ascii="宋体" w:hAnsi="宋体" w:cs="宋体"/>
          <w:szCs w:val="21"/>
        </w:rPr>
      </w:pPr>
      <w:r>
        <w:rPr>
          <w:rFonts w:hint="eastAsia"/>
        </w:rPr>
        <w:t>3</w:t>
      </w:r>
      <w:r>
        <w:t>.1</w:t>
      </w:r>
      <w:r>
        <w:rPr>
          <w:rFonts w:hint="eastAsia"/>
        </w:rPr>
        <w:t>中标供应商须</w:t>
      </w:r>
      <w:r>
        <w:rPr>
          <w:rFonts w:hint="eastAsia" w:ascii="宋体" w:hAnsi="宋体" w:cs="宋体"/>
          <w:szCs w:val="21"/>
        </w:rPr>
        <w:t>提供以下售后服务：</w:t>
      </w:r>
    </w:p>
    <w:p>
      <w:pPr>
        <w:ind w:firstLine="420"/>
        <w:rPr>
          <w:rFonts w:ascii="宋体" w:hAnsi="宋体" w:cs="宋体"/>
          <w:szCs w:val="21"/>
        </w:rPr>
      </w:pPr>
      <w:r>
        <w:rPr>
          <w:rFonts w:ascii="宋体" w:hAnsi="宋体" w:cs="宋体"/>
          <w:szCs w:val="21"/>
        </w:rPr>
        <w:t>3.</w:t>
      </w:r>
      <w:r>
        <w:rPr>
          <w:rFonts w:hint="eastAsia" w:ascii="宋体" w:hAnsi="宋体" w:cs="宋体"/>
          <w:szCs w:val="21"/>
        </w:rPr>
        <w:t>1</w:t>
      </w:r>
      <w:r>
        <w:rPr>
          <w:rFonts w:ascii="宋体" w:hAnsi="宋体" w:cs="宋体"/>
          <w:szCs w:val="21"/>
        </w:rPr>
        <w:t>.1</w:t>
      </w:r>
      <w:r>
        <w:rPr>
          <w:rFonts w:hint="eastAsia" w:ascii="宋体" w:hAnsi="宋体" w:cs="宋体"/>
          <w:szCs w:val="21"/>
        </w:rPr>
        <w:t>提供7×24小时的在线工单服务系统，解答招标人在使用中的问题。</w:t>
      </w:r>
    </w:p>
    <w:p>
      <w:pPr>
        <w:ind w:firstLine="420"/>
        <w:rPr>
          <w:rFonts w:ascii="宋体" w:hAnsi="宋体" w:cs="宋体"/>
          <w:szCs w:val="21"/>
        </w:rPr>
      </w:pPr>
      <w:r>
        <w:rPr>
          <w:rFonts w:ascii="宋体" w:hAnsi="宋体" w:cs="宋体"/>
          <w:szCs w:val="21"/>
        </w:rPr>
        <w:t>3.1.</w:t>
      </w:r>
      <w:r>
        <w:rPr>
          <w:rFonts w:hint="eastAsia" w:ascii="宋体" w:hAnsi="宋体" w:cs="宋体"/>
          <w:szCs w:val="21"/>
        </w:rPr>
        <w:t>2提供7×24小时技术支持、故障申告电话。</w:t>
      </w:r>
    </w:p>
    <w:p>
      <w:pPr>
        <w:ind w:firstLine="420"/>
        <w:rPr>
          <w:rFonts w:ascii="宋体" w:hAnsi="宋体" w:cs="宋体"/>
          <w:szCs w:val="21"/>
        </w:rPr>
      </w:pPr>
      <w:r>
        <w:rPr>
          <w:rFonts w:ascii="宋体" w:hAnsi="宋体" w:cs="宋体"/>
          <w:szCs w:val="21"/>
        </w:rPr>
        <w:t>3.1.</w:t>
      </w:r>
      <w:r>
        <w:rPr>
          <w:rFonts w:hint="eastAsia" w:ascii="宋体" w:hAnsi="宋体" w:cs="宋体"/>
          <w:szCs w:val="21"/>
        </w:rPr>
        <w:t>3提供7×24小时即时通讯工具技术服务支持。</w:t>
      </w:r>
    </w:p>
    <w:p>
      <w:pPr>
        <w:ind w:firstLine="420"/>
        <w:rPr>
          <w:rFonts w:ascii="宋体" w:hAnsi="宋体" w:cs="宋体"/>
          <w:szCs w:val="21"/>
        </w:rPr>
      </w:pPr>
      <w:r>
        <w:rPr>
          <w:rFonts w:ascii="宋体" w:hAnsi="宋体" w:cs="宋体"/>
          <w:szCs w:val="21"/>
        </w:rPr>
        <w:t>3.1.</w:t>
      </w:r>
      <w:r>
        <w:rPr>
          <w:rFonts w:hint="eastAsia" w:ascii="宋体" w:hAnsi="宋体" w:cs="宋体"/>
          <w:szCs w:val="21"/>
        </w:rPr>
        <w:t>4提供</w:t>
      </w:r>
      <w:r>
        <w:rPr>
          <w:rFonts w:hint="eastAsia" w:ascii="宋体" w:hAnsi="宋体" w:cs="宋体"/>
          <w:szCs w:val="21"/>
          <w:lang w:val="en-US" w:eastAsia="zh-CN"/>
        </w:rPr>
        <w:t>每月1人次/天</w:t>
      </w:r>
      <w:r>
        <w:rPr>
          <w:rFonts w:hint="eastAsia" w:ascii="宋体" w:hAnsi="宋体" w:cs="宋体"/>
          <w:szCs w:val="21"/>
        </w:rPr>
        <w:t>驻场人员服务。</w:t>
      </w:r>
    </w:p>
    <w:p>
      <w:pPr>
        <w:ind w:firstLine="420"/>
        <w:rPr>
          <w:rFonts w:ascii="宋体" w:hAnsi="宋体" w:cs="宋体"/>
          <w:szCs w:val="21"/>
        </w:rPr>
      </w:pPr>
      <w:r>
        <w:rPr>
          <w:rFonts w:ascii="宋体" w:hAnsi="宋体" w:cs="宋体"/>
          <w:szCs w:val="21"/>
        </w:rPr>
        <w:t>3.1.</w:t>
      </w:r>
      <w:r>
        <w:rPr>
          <w:rFonts w:hint="eastAsia" w:ascii="宋体" w:hAnsi="宋体" w:cs="宋体"/>
          <w:szCs w:val="21"/>
        </w:rPr>
        <w:t>5提供符合IT基础设施知识库ITIL（Information Technology Infrastructure Library）规范的故障处理流程服务，并根据招标人需要向招标人提供处理进度和预期解决时间。</w:t>
      </w:r>
    </w:p>
    <w:p>
      <w:pPr>
        <w:ind w:firstLine="420"/>
        <w:rPr>
          <w:rFonts w:ascii="宋体" w:hAnsi="宋体" w:cs="宋体"/>
          <w:szCs w:val="21"/>
        </w:rPr>
      </w:pPr>
      <w:r>
        <w:rPr>
          <w:rFonts w:ascii="宋体" w:hAnsi="宋体" w:cs="宋体"/>
          <w:szCs w:val="21"/>
        </w:rPr>
        <w:t>3.1.</w:t>
      </w:r>
      <w:r>
        <w:rPr>
          <w:rFonts w:hint="eastAsia" w:ascii="宋体" w:hAnsi="宋体" w:cs="宋体"/>
          <w:szCs w:val="21"/>
        </w:rPr>
        <w:t>6提供专职客户经理，负责款项结算、紧急故障处置情况跟踪，与招标人交流运行情况与服务期望，出具书面运行报告，在招标人提出咨询、问题、质询时，2小时内给予正面答复。</w:t>
      </w:r>
    </w:p>
    <w:p>
      <w:pPr>
        <w:ind w:firstLine="420"/>
        <w:rPr>
          <w:rFonts w:ascii="宋体" w:hAnsi="宋体" w:cs="宋体"/>
          <w:szCs w:val="21"/>
        </w:rPr>
      </w:pPr>
      <w:r>
        <w:rPr>
          <w:rFonts w:ascii="宋体" w:hAnsi="宋体" w:cs="宋体"/>
          <w:szCs w:val="21"/>
        </w:rPr>
        <w:t>3.1.7</w:t>
      </w:r>
      <w:r>
        <w:rPr>
          <w:rFonts w:hint="eastAsia" w:ascii="宋体" w:hAnsi="宋体" w:cs="宋体"/>
          <w:szCs w:val="21"/>
        </w:rPr>
        <w:t>提供对于发生的变更、故障、安全事件的完整文档材料，并在故障明确原因后48小时内提供。</w:t>
      </w:r>
    </w:p>
    <w:p>
      <w:pPr>
        <w:ind w:firstLine="420"/>
        <w:rPr>
          <w:rFonts w:ascii="宋体" w:hAnsi="宋体" w:cs="宋体"/>
          <w:szCs w:val="21"/>
        </w:rPr>
      </w:pPr>
      <w:r>
        <w:rPr>
          <w:rFonts w:hint="eastAsia" w:ascii="宋体" w:hAnsi="宋体" w:cs="宋体"/>
          <w:szCs w:val="21"/>
        </w:rPr>
        <w:t>3</w:t>
      </w:r>
      <w:r>
        <w:rPr>
          <w:rFonts w:ascii="宋体" w:hAnsi="宋体" w:cs="宋体"/>
          <w:szCs w:val="21"/>
        </w:rPr>
        <w:t>.2</w:t>
      </w:r>
      <w:r>
        <w:rPr>
          <w:rFonts w:hint="eastAsia" w:ascii="宋体" w:hAnsi="宋体" w:cs="宋体"/>
          <w:szCs w:val="21"/>
        </w:rPr>
        <w:t>为保证项目如期顺利完成，中标供应商在入场后须提供完善的售后服务方案报招标人确认，包括运维响应时间、售后工单、日常问题跟进、故障应急响应、驻场运维人员方案等，全方位保障招标人的系统稳定运行。</w:t>
      </w:r>
    </w:p>
    <w:p>
      <w:pPr>
        <w:widowControl w:val="0"/>
        <w:ind w:firstLine="420"/>
        <w:jc w:val="left"/>
        <w:rPr>
          <w:rFonts w:ascii="宋体" w:hAnsi="宋体" w:cs="宋体"/>
          <w:szCs w:val="21"/>
        </w:rPr>
      </w:pPr>
    </w:p>
    <w:p>
      <w:pPr>
        <w:pStyle w:val="2"/>
        <w:widowControl w:val="0"/>
        <w:autoSpaceDE w:val="0"/>
        <w:autoSpaceDN w:val="0"/>
        <w:adjustRightInd w:val="0"/>
        <w:snapToGrid w:val="0"/>
        <w:ind w:left="0" w:leftChars="0" w:firstLine="0" w:firstLineChars="0"/>
        <w:rPr>
          <w:rFonts w:ascii="宋体" w:hAnsi="宋体" w:cs="宋体"/>
          <w:b/>
          <w:bCs/>
          <w:szCs w:val="21"/>
        </w:rPr>
      </w:pPr>
      <w:r>
        <w:rPr>
          <w:rFonts w:hint="eastAsia" w:ascii="宋体" w:hAnsi="宋体" w:cs="宋体"/>
          <w:b/>
          <w:bCs/>
          <w:szCs w:val="21"/>
        </w:rPr>
        <w:t>四、安全与保密要求</w:t>
      </w:r>
    </w:p>
    <w:p>
      <w:pPr>
        <w:ind w:firstLine="420"/>
      </w:pPr>
      <w:r>
        <w:t>4.</w:t>
      </w:r>
      <w:r>
        <w:rPr>
          <w:rFonts w:hint="eastAsia"/>
        </w:rPr>
        <w:t>1中标供应商</w:t>
      </w:r>
      <w:r>
        <w:t>提供的</w:t>
      </w:r>
      <w:r>
        <w:rPr>
          <w:rFonts w:hint="eastAsia"/>
        </w:rPr>
        <w:t>操作系统、数据库等</w:t>
      </w:r>
      <w:r>
        <w:t>云产品或服务支持安全可靠测评要求</w:t>
      </w:r>
      <w:r>
        <w:rPr>
          <w:rFonts w:hint="eastAsia"/>
        </w:rPr>
        <w:t>，承诺</w:t>
      </w:r>
      <w:r>
        <w:t>通过政府有关部门指定的中国信息安全测评中心和国家保密科技测评中心安全可靠测评</w:t>
      </w:r>
      <w:r>
        <w:rPr>
          <w:rFonts w:hint="eastAsia"/>
        </w:rPr>
        <w:t>。</w:t>
      </w:r>
    </w:p>
    <w:p>
      <w:pPr>
        <w:ind w:firstLine="420"/>
        <w:rPr>
          <w:rFonts w:ascii="宋体" w:hAnsi="宋体" w:cs="宋体"/>
          <w:szCs w:val="21"/>
        </w:rPr>
      </w:pPr>
      <w:r>
        <w:t>4.</w:t>
      </w:r>
      <w:r>
        <w:rPr>
          <w:rFonts w:hint="eastAsia"/>
        </w:rPr>
        <w:t>2中标供应商</w:t>
      </w:r>
      <w:r>
        <w:rPr>
          <w:rFonts w:hint="eastAsia" w:ascii="宋体" w:hAnsi="宋体" w:cs="宋体"/>
          <w:szCs w:val="21"/>
        </w:rPr>
        <w:t>应确保提供的服务符合《个人信息保护法》《网络安全法》等相关法律法规的规定，严格履行法律法规要求的网络安全、数据安全、个人信息保护等法定合规义务且不得利用提供的服务从事违法违规活动，否则应承担相应的法律责任。</w:t>
      </w:r>
    </w:p>
    <w:p>
      <w:pPr>
        <w:ind w:firstLine="420"/>
        <w:rPr>
          <w:rFonts w:ascii="宋体" w:hAnsi="宋体" w:cs="宋体"/>
          <w:szCs w:val="21"/>
        </w:rPr>
      </w:pPr>
      <w:r>
        <w:t>4.</w:t>
      </w:r>
      <w:r>
        <w:rPr>
          <w:rFonts w:hint="eastAsia"/>
        </w:rPr>
        <w:t>3中标供应商</w:t>
      </w:r>
      <w:r>
        <w:rPr>
          <w:rFonts w:hint="eastAsia" w:ascii="宋体" w:hAnsi="宋体" w:cs="宋体"/>
          <w:szCs w:val="21"/>
        </w:rPr>
        <w:t>应确保其具备充分的数据安全保护能力，有效保障招标人数据安全。</w:t>
      </w:r>
    </w:p>
    <w:p>
      <w:pPr>
        <w:widowControl w:val="0"/>
        <w:ind w:firstLine="420"/>
        <w:jc w:val="left"/>
        <w:rPr>
          <w:rFonts w:ascii="宋体" w:hAnsi="宋体" w:cs="宋体"/>
          <w:szCs w:val="21"/>
        </w:rPr>
      </w:pPr>
      <w:r>
        <w:rPr>
          <w:rFonts w:hint="eastAsia" w:ascii="宋体" w:hAnsi="宋体" w:cs="宋体"/>
          <w:szCs w:val="21"/>
        </w:rPr>
        <w:t>4.4保密相关要求详见合同条款及附件《保密协议》。</w:t>
      </w:r>
    </w:p>
    <w:p>
      <w:pPr>
        <w:pStyle w:val="2"/>
        <w:widowControl w:val="0"/>
        <w:autoSpaceDE w:val="0"/>
        <w:autoSpaceDN w:val="0"/>
        <w:adjustRightInd w:val="0"/>
        <w:snapToGrid w:val="0"/>
        <w:ind w:left="0" w:leftChars="0" w:firstLine="0" w:firstLineChars="0"/>
        <w:rPr>
          <w:rFonts w:ascii="宋体" w:hAnsi="宋体" w:cs="宋体"/>
          <w:b/>
          <w:bCs/>
          <w:szCs w:val="21"/>
        </w:rPr>
      </w:pPr>
      <w:r>
        <w:rPr>
          <w:rFonts w:hint="eastAsia" w:ascii="宋体" w:hAnsi="宋体" w:cs="宋体"/>
          <w:b/>
          <w:bCs/>
          <w:szCs w:val="21"/>
        </w:rPr>
        <w:t>五、迁移要求</w:t>
      </w:r>
    </w:p>
    <w:p>
      <w:r>
        <w:rPr>
          <w:rFonts w:hint="eastAsia"/>
        </w:rPr>
        <w:t>5</w:t>
      </w:r>
      <w:r>
        <w:t>.1</w:t>
      </w:r>
      <w:r>
        <w:rPr>
          <w:rFonts w:hint="eastAsia"/>
        </w:rPr>
        <w:t>如项目中标后，确认需要进行云资源（</w:t>
      </w:r>
      <w:r>
        <w:rPr>
          <w:rFonts w:hint="eastAsia"/>
          <w:lang w:val="en-US" w:eastAsia="zh-CN"/>
        </w:rPr>
        <w:t>本项目云资源清单中相关</w:t>
      </w:r>
      <w:r>
        <w:rPr>
          <w:rFonts w:hint="eastAsia"/>
        </w:rPr>
        <w:t>数据量为评估数，实际以迁移时统计量为准）迁移的，中标供应商应结合现有业务系统部署和实施情况，提供详细的迁移方案与建议报招标人确认，包括详细的应用和数据迁移计划、迁移工具和迁移方法，并在迁移上云的过程中提供必要的专家服务支持，确保迁移部署顺利完成。中标供应商要确保在云迁移过程中招标人数据的安全、完整以及业务的持续和稳定，需在招标人同意启动迁移的前提下，于合同签订后</w:t>
      </w:r>
      <w:r>
        <w:rPr>
          <w:rFonts w:hint="eastAsia"/>
          <w:lang w:val="en-US" w:eastAsia="zh-CN"/>
        </w:rPr>
        <w:t>2</w:t>
      </w:r>
      <w:r>
        <w:rPr>
          <w:rFonts w:hint="eastAsia"/>
        </w:rPr>
        <w:t>个月内完成迁移。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BB0FDA"/>
    <w:rsid w:val="1BAF793C"/>
    <w:rsid w:val="1E5D718A"/>
    <w:rsid w:val="235E3810"/>
    <w:rsid w:val="29275693"/>
    <w:rsid w:val="2B355860"/>
    <w:rsid w:val="36FE257B"/>
    <w:rsid w:val="37D10B50"/>
    <w:rsid w:val="3AB54FE0"/>
    <w:rsid w:val="455A36D4"/>
    <w:rsid w:val="49BC2984"/>
    <w:rsid w:val="4F46299B"/>
    <w:rsid w:val="501E4BFD"/>
    <w:rsid w:val="511C6B57"/>
    <w:rsid w:val="56AD4A60"/>
    <w:rsid w:val="5E153A69"/>
    <w:rsid w:val="62FC09F3"/>
    <w:rsid w:val="641E6441"/>
    <w:rsid w:val="675F31A6"/>
    <w:rsid w:val="6798413C"/>
    <w:rsid w:val="6E8B036B"/>
    <w:rsid w:val="6F3B4C8B"/>
    <w:rsid w:val="71062FFD"/>
    <w:rsid w:val="72BB0FDA"/>
    <w:rsid w:val="72DE5AC0"/>
    <w:rsid w:val="73B95A69"/>
    <w:rsid w:val="74EA165E"/>
    <w:rsid w:val="7D4633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0"/>
    <w:pPr>
      <w:ind w:firstLine="420"/>
    </w:pPr>
  </w:style>
  <w:style w:type="paragraph" w:styleId="3">
    <w:name w:val="Body Text Indent"/>
    <w:basedOn w:val="1"/>
    <w:next w:val="4"/>
    <w:qFormat/>
    <w:uiPriority w:val="99"/>
    <w:pPr>
      <w:spacing w:after="120"/>
      <w:ind w:left="420" w:leftChars="200"/>
    </w:p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160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2025-11-24T02:12:00Z</dcterms:created>
  <dc:creator>张海军</dc:creator>
  <cp:lastModifiedBy>yuhuimeng</cp:lastModifiedBy>
  <dcterms:modified xsi:type="dcterms:W3CDTF">2026-06-10T03:45:17Z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91B2D8CDA5F543CFB5CF6FC2BE21B65B_13</vt:lpwstr>
  </property>
</Properties>
</file>