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等保测评</w:t>
      </w:r>
      <w:r>
        <w:rPr>
          <w:rFonts w:hint="eastAsia" w:ascii="方正小标宋简体" w:hAnsi="方正小标宋简体" w:eastAsia="方正小标宋简体" w:cs="方正小标宋简体"/>
          <w:kern w:val="2"/>
          <w:sz w:val="44"/>
          <w:szCs w:val="44"/>
          <w:lang w:val="en-US" w:eastAsia="zh-CN" w:bidi="ar-SA"/>
        </w:rPr>
        <w:t>服务具体要求</w:t>
      </w:r>
    </w:p>
    <w:p>
      <w:pPr>
        <w:rPr>
          <w:rFonts w:hint="eastAsia"/>
          <w:lang w:val="en-US" w:eastAsia="zh-CN"/>
        </w:rPr>
      </w:pPr>
    </w:p>
    <w:p>
      <w:pPr>
        <w:widowControl/>
        <w:spacing w:line="360" w:lineRule="auto"/>
        <w:ind w:firstLine="0" w:firstLineChars="0"/>
        <w:jc w:val="left"/>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1、负责深圳市小汽车增量调控竞价平台（三级）、联交所资金结算系统（三级）、投资人库管理系统（二级）三套重要信息系统的网络安全等级保护定级及备案全流程工作。</w:t>
      </w:r>
    </w:p>
    <w:p>
      <w:pPr>
        <w:widowControl/>
        <w:spacing w:line="360" w:lineRule="auto"/>
        <w:ind w:firstLine="0" w:firstLineChars="0"/>
        <w:jc w:val="left"/>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2、严格依据网络安全等级保护 2.0 标准开展等保差距测评工作。结合各系统实际运行现状，分别从技术、管理两大维度开展资料调研、现状分析，比对系统现有安全防护能力与等保标准规范的差异，梳理形成问题不符合项清单，明确系统现存安全风险与薄弱环节；测评工作完成后编制《信息系统差距分析报告》，同步输出针对性安全优化整改建议。</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3、依据国家网络安全等级保护测评相关标准开展信息系统等级测评工作，核验系统安全防护能力是否满足等保合规要求，出具符合国家信息安全等级保护主管部门要求的《网络安全等级测评报告》，若测评结果未达标，需重新制定方案并协助落实，直至系统通过等级保护测评。</w:t>
      </w:r>
    </w:p>
    <w:p>
      <w:pPr>
        <w:widowControl w:val="0"/>
        <w:numPr>
          <w:ilvl w:val="0"/>
          <w:numId w:val="0"/>
        </w:numPr>
        <w:spacing w:line="360" w:lineRule="auto"/>
        <w:ind w:left="0" w:leftChars="0" w:firstLine="0" w:firstLineChars="0"/>
        <w:jc w:val="left"/>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4、针对首次开展等保合规建设的新建系统，需协助采购方取得深圳市等保办出具的定级备案证明，测评报告提交深圳市等保办审批通过后，由其出具《网络安全等级测评报告接收回执》。</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5、依据公网安</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lang w:eastAsia="zh-CN"/>
        </w:rPr>
        <w:t>2025</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lang w:eastAsia="zh-CN"/>
        </w:rPr>
        <w:t>1001号文件要求，协助采购方编写《网络安全等级保护定级报告》、《网络安全等级保护备案表》、《数据摸底调查表》等</w:t>
      </w:r>
      <w:bookmarkStart w:id="0" w:name="_GoBack"/>
      <w:bookmarkEnd w:id="0"/>
      <w:r>
        <w:rPr>
          <w:rFonts w:hint="eastAsia" w:ascii="仿宋_GB2312" w:hAnsi="仿宋_GB2312" w:eastAsia="仿宋_GB2312" w:cs="仿宋_GB2312"/>
          <w:kern w:val="2"/>
          <w:sz w:val="32"/>
          <w:szCs w:val="32"/>
          <w:lang w:eastAsia="zh-CN"/>
        </w:rPr>
        <w:t>，完成等级保护备案信息更新，并协助编制安全保护工作方案及完成报送。</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default"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eastAsia="zh-CN"/>
        </w:rPr>
        <w:t>6、协助处理其他系统的等保备案撤销等相关工作。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CB542E"/>
    <w:rsid w:val="0CB56A46"/>
    <w:rsid w:val="2317411E"/>
    <w:rsid w:val="28493AA6"/>
    <w:rsid w:val="432664FB"/>
    <w:rsid w:val="51E51FEA"/>
    <w:rsid w:val="57BC467E"/>
    <w:rsid w:val="5A400909"/>
    <w:rsid w:val="5CEA77FF"/>
    <w:rsid w:val="5FCB542E"/>
    <w:rsid w:val="76283D5C"/>
    <w:rsid w:val="7CBB1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2026-06-15T09:18:00Z</dcterms:created>
  <dc:creator>wangyusen</dc:creator>
  <cp:lastModifiedBy>wangyusen</cp:lastModifiedBy>
  <dcterms:modified xsi:type="dcterms:W3CDTF">2026-06-22T03:49:24Z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55CB1E5CC8FE4B258D7D5EE9A3D7B73C</vt:lpwstr>
  </property>
</Properties>
</file>