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/>
        <w:spacing w:line="600" w:lineRule="exact"/>
        <w:jc w:val="both"/>
        <w:textAlignment w:val="auto"/>
        <w:outlineLvl w:val="9"/>
        <w:rPr>
          <w:rFonts w:hint="eastAsia" w:ascii="黑体" w:hAnsi="黑体" w:eastAsia="黑体" w:cs="黑体"/>
          <w:b w:val="0"/>
          <w:bCs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highlight w:val="none"/>
          <w:shd w:val="clear" w:color="auto" w:fill="FFFFFF"/>
          <w:lang w:eastAsia="zh-CN"/>
        </w:rPr>
        <w:t>附件</w:t>
      </w:r>
      <w:r>
        <w:rPr>
          <w:rFonts w:hint="eastAsia" w:ascii="黑体" w:hAnsi="黑体" w:eastAsia="黑体" w:cs="黑体"/>
          <w:b w:val="0"/>
          <w:bCs/>
          <w:sz w:val="32"/>
          <w:szCs w:val="32"/>
          <w:highlight w:val="none"/>
          <w:shd w:val="clear" w:color="auto" w:fill="FFFFFF"/>
          <w:lang w:val="en-US" w:eastAsia="zh-CN"/>
        </w:rPr>
        <w:t>2:</w:t>
      </w:r>
    </w:p>
    <w:p>
      <w:pPr>
        <w:pStyle w:val="6"/>
        <w:rPr>
          <w:rFonts w:hint="default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adjustRightInd/>
        <w:snapToGrid w:val="0"/>
        <w:spacing w:line="55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  <w:t>深圳市龙岗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  <w:t>区产业投资服务集团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  <w:t>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adjustRightInd/>
        <w:snapToGrid w:val="0"/>
        <w:spacing w:line="55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  <w:t>投资后评价服务采购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  <w:t>评分表</w:t>
      </w:r>
    </w:p>
    <w:p>
      <w:pPr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spacing w:line="360" w:lineRule="auto"/>
        <w:jc w:val="both"/>
        <w:rPr>
          <w:rFonts w:hint="eastAsia" w:ascii="宋体" w:hAnsi="宋体" w:cs="宋体"/>
          <w:sz w:val="36"/>
          <w:szCs w:val="36"/>
        </w:rPr>
      </w:pPr>
    </w:p>
    <w:p>
      <w:pPr>
        <w:pStyle w:val="6"/>
        <w:rPr>
          <w:rFonts w:hint="eastAsia" w:ascii="仿宋_GB2312" w:hAnsi="仿宋_GB2312" w:eastAsia="仿宋_GB2312" w:cs="仿宋_GB2312"/>
          <w:b/>
          <w:bCs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21"/>
          <w:szCs w:val="21"/>
          <w:lang w:val="en-US" w:eastAsia="zh-CN"/>
        </w:rPr>
        <w:t>投标单位：</w:t>
      </w:r>
    </w:p>
    <w:tbl>
      <w:tblPr>
        <w:tblStyle w:val="10"/>
        <w:tblW w:w="8522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1"/>
        <w:gridCol w:w="716"/>
        <w:gridCol w:w="1734"/>
        <w:gridCol w:w="971"/>
        <w:gridCol w:w="4082"/>
        <w:gridCol w:w="65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  <w:jc w:val="center"/>
        </w:trPr>
        <w:tc>
          <w:tcPr>
            <w:tcW w:w="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0"/>
                <w:szCs w:val="20"/>
              </w:rPr>
              <w:t>序号</w:t>
            </w:r>
          </w:p>
        </w:tc>
        <w:tc>
          <w:tcPr>
            <w:tcW w:w="24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0"/>
                <w:szCs w:val="20"/>
              </w:rPr>
              <w:t>评分项</w:t>
            </w:r>
          </w:p>
        </w:tc>
        <w:tc>
          <w:tcPr>
            <w:tcW w:w="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0"/>
                <w:szCs w:val="20"/>
              </w:rPr>
              <w:t>分值</w:t>
            </w:r>
          </w:p>
        </w:tc>
        <w:tc>
          <w:tcPr>
            <w:tcW w:w="4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0"/>
                <w:szCs w:val="20"/>
              </w:rPr>
              <w:t>评分规则</w:t>
            </w:r>
          </w:p>
        </w:tc>
        <w:tc>
          <w:tcPr>
            <w:tcW w:w="6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0"/>
                <w:szCs w:val="20"/>
                <w:lang w:val="en-US" w:eastAsia="zh-CN"/>
              </w:rPr>
              <w:t>得分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2" w:hRule="atLeast"/>
          <w:jc w:val="center"/>
        </w:trPr>
        <w:tc>
          <w:tcPr>
            <w:tcW w:w="3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b/>
                <w:bCs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lang w:val="en-US" w:eastAsia="zh-CN"/>
              </w:rPr>
              <w:t>1</w:t>
            </w:r>
          </w:p>
        </w:tc>
        <w:tc>
          <w:tcPr>
            <w:tcW w:w="24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lang w:val="en-US" w:eastAsia="zh-CN"/>
              </w:rPr>
              <w:t>报价</w:t>
            </w:r>
          </w:p>
        </w:tc>
        <w:tc>
          <w:tcPr>
            <w:tcW w:w="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lang w:val="en-US" w:eastAsia="zh-CN"/>
              </w:rPr>
              <w:t>20分</w:t>
            </w:r>
          </w:p>
        </w:tc>
        <w:tc>
          <w:tcPr>
            <w:tcW w:w="4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lang w:val="en-US" w:eastAsia="zh-CN"/>
              </w:rPr>
              <w:t>价格分计算方法：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（1-∣选聘基准价-费用报价∣/选聘基准价）×费用报价所占权重分值，选聘基准价为参与选聘机构费用报价的平均值。</w:t>
            </w:r>
          </w:p>
        </w:tc>
        <w:tc>
          <w:tcPr>
            <w:tcW w:w="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2" w:hRule="atLeast"/>
          <w:jc w:val="center"/>
        </w:trPr>
        <w:tc>
          <w:tcPr>
            <w:tcW w:w="361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b/>
                <w:bCs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lang w:val="en-US" w:eastAsia="zh-CN"/>
              </w:rPr>
              <w:t>2</w:t>
            </w:r>
          </w:p>
        </w:tc>
        <w:tc>
          <w:tcPr>
            <w:tcW w:w="71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lang w:val="en-US" w:eastAsia="zh-CN"/>
              </w:rPr>
              <w:t>团队人员组成及后评价服务业绩</w:t>
            </w:r>
          </w:p>
        </w:tc>
        <w:tc>
          <w:tcPr>
            <w:tcW w:w="173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lang w:val="en-US" w:eastAsia="zh-CN"/>
              </w:rPr>
              <w:t>团队人员组成</w:t>
            </w:r>
          </w:p>
        </w:tc>
        <w:tc>
          <w:tcPr>
            <w:tcW w:w="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lang w:val="en-US" w:eastAsia="zh-CN"/>
              </w:rPr>
              <w:t>10分</w:t>
            </w:r>
          </w:p>
        </w:tc>
        <w:tc>
          <w:tcPr>
            <w:tcW w:w="4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lang w:val="en-US" w:eastAsia="zh-CN"/>
              </w:rPr>
              <w:t>项目负责人：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注册会计师，执业时间（单位：年；按资格证发证日期计算）</w:t>
            </w:r>
          </w:p>
          <w:p>
            <w:pPr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T＜5，得0分；5≤T＜10，得6分；10≤T＜15，得8分；15≤T，得10分；最高得10分。</w:t>
            </w:r>
          </w:p>
        </w:tc>
        <w:tc>
          <w:tcPr>
            <w:tcW w:w="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2" w:hRule="atLeast"/>
          <w:jc w:val="center"/>
        </w:trPr>
        <w:tc>
          <w:tcPr>
            <w:tcW w:w="36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left"/>
            </w:pPr>
          </w:p>
        </w:tc>
        <w:tc>
          <w:tcPr>
            <w:tcW w:w="71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left"/>
            </w:pPr>
          </w:p>
        </w:tc>
        <w:tc>
          <w:tcPr>
            <w:tcW w:w="173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left"/>
            </w:pPr>
          </w:p>
        </w:tc>
        <w:tc>
          <w:tcPr>
            <w:tcW w:w="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lang w:val="en-US" w:eastAsia="zh-CN"/>
              </w:rPr>
              <w:t>15分</w:t>
            </w:r>
          </w:p>
        </w:tc>
        <w:tc>
          <w:tcPr>
            <w:tcW w:w="4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b/>
                <w:bCs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lang w:val="en-US" w:eastAsia="zh-CN"/>
              </w:rPr>
              <w:t>项目团队成员：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每有1人具备注册会计师证书得3分，本项满分15分。</w:t>
            </w:r>
          </w:p>
        </w:tc>
        <w:tc>
          <w:tcPr>
            <w:tcW w:w="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b/>
                <w:bCs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1" w:hRule="atLeast"/>
          <w:jc w:val="center"/>
        </w:trPr>
        <w:tc>
          <w:tcPr>
            <w:tcW w:w="36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b/>
                <w:bCs/>
                <w:lang w:val="en-US" w:eastAsia="zh-CN"/>
              </w:rPr>
            </w:pPr>
          </w:p>
        </w:tc>
        <w:tc>
          <w:tcPr>
            <w:tcW w:w="71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lang w:val="en-US" w:eastAsia="zh-CN"/>
              </w:rPr>
            </w:pPr>
          </w:p>
        </w:tc>
        <w:tc>
          <w:tcPr>
            <w:tcW w:w="1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lang w:val="en-US" w:eastAsia="zh-CN"/>
              </w:rPr>
              <w:t>服务业绩</w:t>
            </w:r>
          </w:p>
        </w:tc>
        <w:tc>
          <w:tcPr>
            <w:tcW w:w="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lang w:val="en-US" w:eastAsia="zh-CN"/>
              </w:rPr>
              <w:t>30分</w:t>
            </w:r>
          </w:p>
        </w:tc>
        <w:tc>
          <w:tcPr>
            <w:tcW w:w="4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numPr>
                <w:ilvl w:val="0"/>
                <w:numId w:val="0"/>
              </w:numPr>
              <w:adjustRightInd w:val="0"/>
              <w:snapToGrid w:val="0"/>
              <w:jc w:val="left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近三年（2023年1月1日至今）产业园区、房地产或工程建设类固定资产投资项目投资后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评价经验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。5分/个，按后评价对象计算。</w:t>
            </w:r>
          </w:p>
        </w:tc>
        <w:tc>
          <w:tcPr>
            <w:tcW w:w="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5" w:hRule="atLeast"/>
          <w:jc w:val="center"/>
        </w:trPr>
        <w:tc>
          <w:tcPr>
            <w:tcW w:w="36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b/>
                <w:bCs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lang w:val="en-US" w:eastAsia="zh-CN"/>
              </w:rPr>
              <w:t>3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lang w:val="en-US" w:eastAsia="zh-CN"/>
              </w:rPr>
              <w:t>服务方案</w:t>
            </w:r>
          </w:p>
        </w:tc>
        <w:tc>
          <w:tcPr>
            <w:tcW w:w="173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hint="default" w:ascii="仿宋_GB2312" w:hAnsi="仿宋_GB2312" w:eastAsia="仿宋_GB2312" w:cs="仿宋_GB2312"/>
                <w:b/>
                <w:bCs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lang w:val="en-US" w:eastAsia="zh-CN"/>
              </w:rPr>
              <w:t>包括但不限于开展后评价的工作思路、工作程序、分析方法、工作重点、质量及进度把控措施、项目团队架构及分工、时间安排、报告的基本逻辑框架、服务质量等。</w:t>
            </w:r>
          </w:p>
        </w:tc>
        <w:tc>
          <w:tcPr>
            <w:tcW w:w="97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仿宋_GB2312" w:hAnsi="仿宋_GB2312" w:eastAsia="仿宋_GB2312" w:cs="仿宋_GB2312"/>
                <w:b/>
                <w:bCs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lang w:val="en-US" w:eastAsia="zh-CN"/>
              </w:rPr>
              <w:t>25分</w:t>
            </w:r>
          </w:p>
        </w:tc>
        <w:tc>
          <w:tcPr>
            <w:tcW w:w="408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numPr>
                <w:ilvl w:val="0"/>
                <w:numId w:val="0"/>
              </w:numPr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1.后评价实施方案完全满足要求且详尽深入、充分、具有较强的针对性得21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-25分；</w:t>
            </w:r>
          </w:p>
          <w:p>
            <w:pPr>
              <w:numPr>
                <w:ilvl w:val="0"/>
                <w:numId w:val="0"/>
              </w:numPr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2.后评价工作方案基本满足上述要求且合理可行，得15-20分；</w:t>
            </w:r>
          </w:p>
          <w:p>
            <w:pPr>
              <w:numPr>
                <w:ilvl w:val="0"/>
                <w:numId w:val="0"/>
              </w:numPr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3.后评价工作方案较差，得0-14分。</w:t>
            </w:r>
          </w:p>
          <w:p>
            <w:pPr>
              <w:numPr>
                <w:ilvl w:val="0"/>
                <w:numId w:val="0"/>
              </w:numPr>
              <w:adjustRightInd w:val="0"/>
              <w:snapToGrid w:val="0"/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由评审小组成员横向比对进行打分，打分后取评审小组成员算术平均数。</w:t>
            </w:r>
          </w:p>
        </w:tc>
        <w:tc>
          <w:tcPr>
            <w:tcW w:w="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b/>
                <w:bCs/>
                <w:lang w:val="en-US" w:eastAsia="zh-CN"/>
              </w:rPr>
            </w:pPr>
          </w:p>
        </w:tc>
        <w:tc>
          <w:tcPr>
            <w:tcW w:w="24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b/>
                <w:bCs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lang w:val="en-US" w:eastAsia="zh-CN"/>
              </w:rPr>
              <w:t>合计</w:t>
            </w:r>
          </w:p>
        </w:tc>
        <w:tc>
          <w:tcPr>
            <w:tcW w:w="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lang w:val="en-US" w:eastAsia="zh-CN"/>
              </w:rPr>
              <w:t>100分</w:t>
            </w:r>
          </w:p>
        </w:tc>
        <w:tc>
          <w:tcPr>
            <w:tcW w:w="4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</w:tc>
      </w:tr>
    </w:tbl>
    <w:p>
      <w:pPr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rPr>
          <w:rFonts w:hint="eastAsia"/>
          <w:lang w:val="en-US" w:eastAsia="zh-CN"/>
        </w:rPr>
      </w:pPr>
      <w:r>
        <w:rPr>
          <w:rFonts w:hint="eastAsia" w:ascii="仿宋_GB2312" w:hAnsi="Times New Roman" w:eastAsia="仿宋_GB2312" w:cs="Times New Roman"/>
          <w:b/>
          <w:bCs/>
          <w:sz w:val="24"/>
          <w:szCs w:val="24"/>
          <w:highlight w:val="none"/>
        </w:rPr>
        <w:t>备注：各项评审打分按照四舍五入，小数点后保留2位进行计算</w:t>
      </w:r>
      <w:r>
        <w:rPr>
          <w:rFonts w:hint="eastAsia" w:ascii="仿宋_GB2312" w:hAnsi="Times New Roman" w:eastAsia="仿宋_GB2312" w:cs="Times New Roman"/>
          <w:b/>
          <w:bCs/>
          <w:sz w:val="24"/>
          <w:szCs w:val="24"/>
          <w:highlight w:val="none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3150" w:firstLineChars="1500"/>
        <w:textAlignment w:val="auto"/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BkMmY3ODM3YzlkODIzZDg5ODAwMjU5NzQxMjViY2MifQ=="/>
  </w:docVars>
  <w:rsids>
    <w:rsidRoot w:val="00172A27"/>
    <w:rsid w:val="0024744E"/>
    <w:rsid w:val="00651F8E"/>
    <w:rsid w:val="006939CD"/>
    <w:rsid w:val="00847DE1"/>
    <w:rsid w:val="015469C2"/>
    <w:rsid w:val="0219218D"/>
    <w:rsid w:val="02397F16"/>
    <w:rsid w:val="023F57BA"/>
    <w:rsid w:val="024E06A7"/>
    <w:rsid w:val="026F40ED"/>
    <w:rsid w:val="02B1378F"/>
    <w:rsid w:val="03103BAE"/>
    <w:rsid w:val="03167028"/>
    <w:rsid w:val="03332460"/>
    <w:rsid w:val="034B5B54"/>
    <w:rsid w:val="03622283"/>
    <w:rsid w:val="03636CC8"/>
    <w:rsid w:val="036847B8"/>
    <w:rsid w:val="039C7659"/>
    <w:rsid w:val="03B3252D"/>
    <w:rsid w:val="03C055D4"/>
    <w:rsid w:val="03C36E72"/>
    <w:rsid w:val="04315549"/>
    <w:rsid w:val="04434108"/>
    <w:rsid w:val="0458358C"/>
    <w:rsid w:val="04736D41"/>
    <w:rsid w:val="04B1525D"/>
    <w:rsid w:val="050F2102"/>
    <w:rsid w:val="053A4431"/>
    <w:rsid w:val="062260D2"/>
    <w:rsid w:val="064D668F"/>
    <w:rsid w:val="069E3BE2"/>
    <w:rsid w:val="06B1001C"/>
    <w:rsid w:val="06F35CC1"/>
    <w:rsid w:val="0713385E"/>
    <w:rsid w:val="07305AEE"/>
    <w:rsid w:val="07736A8F"/>
    <w:rsid w:val="07744DCB"/>
    <w:rsid w:val="07797E70"/>
    <w:rsid w:val="07C870A5"/>
    <w:rsid w:val="08D14F81"/>
    <w:rsid w:val="09053B4B"/>
    <w:rsid w:val="09104908"/>
    <w:rsid w:val="09137F54"/>
    <w:rsid w:val="09864BCA"/>
    <w:rsid w:val="098E3A7F"/>
    <w:rsid w:val="099512B1"/>
    <w:rsid w:val="09A17C56"/>
    <w:rsid w:val="0A182AA9"/>
    <w:rsid w:val="0A2912EC"/>
    <w:rsid w:val="0A3C6ACB"/>
    <w:rsid w:val="0AA66F86"/>
    <w:rsid w:val="0ACF3491"/>
    <w:rsid w:val="0AE26EE4"/>
    <w:rsid w:val="0B1E4D2A"/>
    <w:rsid w:val="0BC95ECE"/>
    <w:rsid w:val="0BE52736"/>
    <w:rsid w:val="0C05627A"/>
    <w:rsid w:val="0C0F0EA7"/>
    <w:rsid w:val="0C4C0EAB"/>
    <w:rsid w:val="0C7607CB"/>
    <w:rsid w:val="0C83690C"/>
    <w:rsid w:val="0CC64870"/>
    <w:rsid w:val="0D137E9A"/>
    <w:rsid w:val="0D605732"/>
    <w:rsid w:val="0D8C6527"/>
    <w:rsid w:val="0D8D4779"/>
    <w:rsid w:val="0D955D79"/>
    <w:rsid w:val="0DB479C3"/>
    <w:rsid w:val="0DC13C62"/>
    <w:rsid w:val="0DFE5677"/>
    <w:rsid w:val="0E682AF0"/>
    <w:rsid w:val="0EC71F0D"/>
    <w:rsid w:val="0F03489A"/>
    <w:rsid w:val="0F1E25CE"/>
    <w:rsid w:val="0F67726B"/>
    <w:rsid w:val="0F745D56"/>
    <w:rsid w:val="101D333B"/>
    <w:rsid w:val="10705587"/>
    <w:rsid w:val="10A818CA"/>
    <w:rsid w:val="10C85DEB"/>
    <w:rsid w:val="10FC5007"/>
    <w:rsid w:val="11764A15"/>
    <w:rsid w:val="11811080"/>
    <w:rsid w:val="11AE548E"/>
    <w:rsid w:val="11F748B7"/>
    <w:rsid w:val="12193526"/>
    <w:rsid w:val="127011E9"/>
    <w:rsid w:val="12C93464"/>
    <w:rsid w:val="133833D9"/>
    <w:rsid w:val="13AC347F"/>
    <w:rsid w:val="13E54592"/>
    <w:rsid w:val="13EC5F71"/>
    <w:rsid w:val="14294AD0"/>
    <w:rsid w:val="14605533"/>
    <w:rsid w:val="14704BFC"/>
    <w:rsid w:val="14A76F41"/>
    <w:rsid w:val="14A979BF"/>
    <w:rsid w:val="14AD36CD"/>
    <w:rsid w:val="1525173B"/>
    <w:rsid w:val="152534E9"/>
    <w:rsid w:val="152B24F4"/>
    <w:rsid w:val="155A630E"/>
    <w:rsid w:val="160C7A4A"/>
    <w:rsid w:val="163051CD"/>
    <w:rsid w:val="16930926"/>
    <w:rsid w:val="16997143"/>
    <w:rsid w:val="16AA639C"/>
    <w:rsid w:val="16C10422"/>
    <w:rsid w:val="16E303C6"/>
    <w:rsid w:val="16F77107"/>
    <w:rsid w:val="170A2442"/>
    <w:rsid w:val="173B7C1A"/>
    <w:rsid w:val="17502F79"/>
    <w:rsid w:val="17884203"/>
    <w:rsid w:val="178B153F"/>
    <w:rsid w:val="17C70D60"/>
    <w:rsid w:val="18236BDB"/>
    <w:rsid w:val="185C1548"/>
    <w:rsid w:val="18633868"/>
    <w:rsid w:val="18851AFD"/>
    <w:rsid w:val="189C2591"/>
    <w:rsid w:val="18BD1FF0"/>
    <w:rsid w:val="19166D35"/>
    <w:rsid w:val="1934644F"/>
    <w:rsid w:val="193D63AA"/>
    <w:rsid w:val="193E101D"/>
    <w:rsid w:val="198F3627"/>
    <w:rsid w:val="19C45AC2"/>
    <w:rsid w:val="1A360D7F"/>
    <w:rsid w:val="1A422F97"/>
    <w:rsid w:val="1A946C58"/>
    <w:rsid w:val="1ABD41C4"/>
    <w:rsid w:val="1ACF1B3A"/>
    <w:rsid w:val="1B0D514B"/>
    <w:rsid w:val="1B187DFF"/>
    <w:rsid w:val="1B3A5C97"/>
    <w:rsid w:val="1B7C790D"/>
    <w:rsid w:val="1B8E114A"/>
    <w:rsid w:val="1BE0460E"/>
    <w:rsid w:val="1C067034"/>
    <w:rsid w:val="1C1710A3"/>
    <w:rsid w:val="1C173FA8"/>
    <w:rsid w:val="1C3410F4"/>
    <w:rsid w:val="1C556DAA"/>
    <w:rsid w:val="1CB84951"/>
    <w:rsid w:val="1CDB4382"/>
    <w:rsid w:val="1CE43C8A"/>
    <w:rsid w:val="1D282AD8"/>
    <w:rsid w:val="1D2A076D"/>
    <w:rsid w:val="1D7F1FBE"/>
    <w:rsid w:val="1D883C00"/>
    <w:rsid w:val="1DD91A6C"/>
    <w:rsid w:val="1DFA2BA1"/>
    <w:rsid w:val="1E162B6C"/>
    <w:rsid w:val="1E2E45DC"/>
    <w:rsid w:val="1E8A6629"/>
    <w:rsid w:val="1ECA6EAF"/>
    <w:rsid w:val="1ECE2E43"/>
    <w:rsid w:val="1F0B5EB3"/>
    <w:rsid w:val="1F0E432E"/>
    <w:rsid w:val="1F29643C"/>
    <w:rsid w:val="1F6F0182"/>
    <w:rsid w:val="1F947BE9"/>
    <w:rsid w:val="1F9E4817"/>
    <w:rsid w:val="1FB042F7"/>
    <w:rsid w:val="1FEA7809"/>
    <w:rsid w:val="20286A35"/>
    <w:rsid w:val="20817CD8"/>
    <w:rsid w:val="20B83463"/>
    <w:rsid w:val="20DA5ACF"/>
    <w:rsid w:val="20EE47EA"/>
    <w:rsid w:val="20FA1CCE"/>
    <w:rsid w:val="210A7A37"/>
    <w:rsid w:val="21627873"/>
    <w:rsid w:val="21F83480"/>
    <w:rsid w:val="222A2556"/>
    <w:rsid w:val="2245341D"/>
    <w:rsid w:val="227A070B"/>
    <w:rsid w:val="22A86083"/>
    <w:rsid w:val="22CB67DD"/>
    <w:rsid w:val="22FA4207"/>
    <w:rsid w:val="22FB1D2D"/>
    <w:rsid w:val="22FB6F60"/>
    <w:rsid w:val="230E0561"/>
    <w:rsid w:val="233C481F"/>
    <w:rsid w:val="236D0CB1"/>
    <w:rsid w:val="237A5728"/>
    <w:rsid w:val="23832D74"/>
    <w:rsid w:val="23A846E5"/>
    <w:rsid w:val="23DA0F8C"/>
    <w:rsid w:val="245416F5"/>
    <w:rsid w:val="245F3B72"/>
    <w:rsid w:val="247753E3"/>
    <w:rsid w:val="24B201D2"/>
    <w:rsid w:val="24DA4950"/>
    <w:rsid w:val="24DD523B"/>
    <w:rsid w:val="254A240E"/>
    <w:rsid w:val="25532288"/>
    <w:rsid w:val="257F5D48"/>
    <w:rsid w:val="25DA49CA"/>
    <w:rsid w:val="25E248AA"/>
    <w:rsid w:val="26286478"/>
    <w:rsid w:val="265561E3"/>
    <w:rsid w:val="2661634B"/>
    <w:rsid w:val="269B3209"/>
    <w:rsid w:val="26C80178"/>
    <w:rsid w:val="27134C66"/>
    <w:rsid w:val="275B10B2"/>
    <w:rsid w:val="275F0ADD"/>
    <w:rsid w:val="27647F03"/>
    <w:rsid w:val="276B5789"/>
    <w:rsid w:val="280330E1"/>
    <w:rsid w:val="28441A80"/>
    <w:rsid w:val="284B542E"/>
    <w:rsid w:val="28612632"/>
    <w:rsid w:val="287420A2"/>
    <w:rsid w:val="28797F7C"/>
    <w:rsid w:val="287A31A2"/>
    <w:rsid w:val="288C4E4B"/>
    <w:rsid w:val="28A5715C"/>
    <w:rsid w:val="28B95E79"/>
    <w:rsid w:val="290D2973"/>
    <w:rsid w:val="29121B7F"/>
    <w:rsid w:val="2917397D"/>
    <w:rsid w:val="294F4B81"/>
    <w:rsid w:val="297D6FD4"/>
    <w:rsid w:val="29917213"/>
    <w:rsid w:val="29BA538A"/>
    <w:rsid w:val="29EF3C6E"/>
    <w:rsid w:val="29F27F96"/>
    <w:rsid w:val="29FB2613"/>
    <w:rsid w:val="29FE664D"/>
    <w:rsid w:val="2A1C0B12"/>
    <w:rsid w:val="2A250A66"/>
    <w:rsid w:val="2AAC538E"/>
    <w:rsid w:val="2AC93C7A"/>
    <w:rsid w:val="2B4D47A3"/>
    <w:rsid w:val="2B6761B2"/>
    <w:rsid w:val="2B6C1A1A"/>
    <w:rsid w:val="2B7C7274"/>
    <w:rsid w:val="2B8C775F"/>
    <w:rsid w:val="2BB772A4"/>
    <w:rsid w:val="2BCC070B"/>
    <w:rsid w:val="2BD34A87"/>
    <w:rsid w:val="2C22032B"/>
    <w:rsid w:val="2C3B319A"/>
    <w:rsid w:val="2CC61005"/>
    <w:rsid w:val="2CF6225B"/>
    <w:rsid w:val="2D093543"/>
    <w:rsid w:val="2D552767"/>
    <w:rsid w:val="2D711D66"/>
    <w:rsid w:val="2D8A4F45"/>
    <w:rsid w:val="2DC906AC"/>
    <w:rsid w:val="2E24482E"/>
    <w:rsid w:val="2E360490"/>
    <w:rsid w:val="2ED012F0"/>
    <w:rsid w:val="2EE81EE0"/>
    <w:rsid w:val="2EF92A6A"/>
    <w:rsid w:val="2F145F7C"/>
    <w:rsid w:val="2F2F4EEB"/>
    <w:rsid w:val="2F5749A1"/>
    <w:rsid w:val="2F7A0104"/>
    <w:rsid w:val="2FC242FE"/>
    <w:rsid w:val="2FEC137B"/>
    <w:rsid w:val="300964E8"/>
    <w:rsid w:val="300D4E4E"/>
    <w:rsid w:val="30170C88"/>
    <w:rsid w:val="303364FD"/>
    <w:rsid w:val="30731C4B"/>
    <w:rsid w:val="30B60367"/>
    <w:rsid w:val="310444A3"/>
    <w:rsid w:val="31D65E3F"/>
    <w:rsid w:val="31DB6D14"/>
    <w:rsid w:val="32180A6B"/>
    <w:rsid w:val="324B0801"/>
    <w:rsid w:val="326A1C45"/>
    <w:rsid w:val="329F4483"/>
    <w:rsid w:val="329F70FC"/>
    <w:rsid w:val="32B67A1F"/>
    <w:rsid w:val="32F13300"/>
    <w:rsid w:val="32F522F5"/>
    <w:rsid w:val="32FF4FBD"/>
    <w:rsid w:val="3321133C"/>
    <w:rsid w:val="33BD78B2"/>
    <w:rsid w:val="33D91C17"/>
    <w:rsid w:val="33E908E8"/>
    <w:rsid w:val="33EF193D"/>
    <w:rsid w:val="341522AA"/>
    <w:rsid w:val="348C4EDB"/>
    <w:rsid w:val="34A51AF9"/>
    <w:rsid w:val="34A916E3"/>
    <w:rsid w:val="34AC7F7E"/>
    <w:rsid w:val="34AE65DC"/>
    <w:rsid w:val="34C22BD3"/>
    <w:rsid w:val="34E752B3"/>
    <w:rsid w:val="34FD36E3"/>
    <w:rsid w:val="35150A2C"/>
    <w:rsid w:val="35297AB5"/>
    <w:rsid w:val="35356D86"/>
    <w:rsid w:val="35403120"/>
    <w:rsid w:val="35417A73"/>
    <w:rsid w:val="35577C9E"/>
    <w:rsid w:val="356D198B"/>
    <w:rsid w:val="35730091"/>
    <w:rsid w:val="3577702B"/>
    <w:rsid w:val="357F67EE"/>
    <w:rsid w:val="35837CC4"/>
    <w:rsid w:val="358C6CD8"/>
    <w:rsid w:val="35AC3D75"/>
    <w:rsid w:val="35B46497"/>
    <w:rsid w:val="35BA6D1A"/>
    <w:rsid w:val="35D76D1C"/>
    <w:rsid w:val="364041CF"/>
    <w:rsid w:val="36405F7D"/>
    <w:rsid w:val="36656D28"/>
    <w:rsid w:val="3674287F"/>
    <w:rsid w:val="36FB00F6"/>
    <w:rsid w:val="370451B2"/>
    <w:rsid w:val="370F3A6D"/>
    <w:rsid w:val="37225683"/>
    <w:rsid w:val="373553B6"/>
    <w:rsid w:val="37783C49"/>
    <w:rsid w:val="377A726D"/>
    <w:rsid w:val="377F3D0F"/>
    <w:rsid w:val="37A14320"/>
    <w:rsid w:val="37CD55EE"/>
    <w:rsid w:val="37F232A7"/>
    <w:rsid w:val="37F711DD"/>
    <w:rsid w:val="38AA0347"/>
    <w:rsid w:val="38AC16A8"/>
    <w:rsid w:val="38E5270E"/>
    <w:rsid w:val="392D4566"/>
    <w:rsid w:val="39333B77"/>
    <w:rsid w:val="39650C5C"/>
    <w:rsid w:val="39912147"/>
    <w:rsid w:val="39A57886"/>
    <w:rsid w:val="39A75A50"/>
    <w:rsid w:val="39BD1E58"/>
    <w:rsid w:val="39D84377"/>
    <w:rsid w:val="39EF1695"/>
    <w:rsid w:val="3A1A7ED2"/>
    <w:rsid w:val="3A2E26DB"/>
    <w:rsid w:val="3A611F39"/>
    <w:rsid w:val="3AAC01F3"/>
    <w:rsid w:val="3ABA129E"/>
    <w:rsid w:val="3AE87C9D"/>
    <w:rsid w:val="3AF31810"/>
    <w:rsid w:val="3B091219"/>
    <w:rsid w:val="3B3A5740"/>
    <w:rsid w:val="3B530501"/>
    <w:rsid w:val="3B575959"/>
    <w:rsid w:val="3B635180"/>
    <w:rsid w:val="3B6868AC"/>
    <w:rsid w:val="3BA26D92"/>
    <w:rsid w:val="3BB9106A"/>
    <w:rsid w:val="3BC47D92"/>
    <w:rsid w:val="3BEA219E"/>
    <w:rsid w:val="3BF5674F"/>
    <w:rsid w:val="3C127D88"/>
    <w:rsid w:val="3C1330AE"/>
    <w:rsid w:val="3C8527B3"/>
    <w:rsid w:val="3C8B44E8"/>
    <w:rsid w:val="3CA20495"/>
    <w:rsid w:val="3CE51B5D"/>
    <w:rsid w:val="3CF12D4D"/>
    <w:rsid w:val="3D4B7ED9"/>
    <w:rsid w:val="3D67371C"/>
    <w:rsid w:val="3D692CCA"/>
    <w:rsid w:val="3D78515F"/>
    <w:rsid w:val="3D874B08"/>
    <w:rsid w:val="3D97366E"/>
    <w:rsid w:val="3DDA3389"/>
    <w:rsid w:val="3DFC3CDF"/>
    <w:rsid w:val="3E057161"/>
    <w:rsid w:val="3E3A59A8"/>
    <w:rsid w:val="3E4403FD"/>
    <w:rsid w:val="3E5C76CC"/>
    <w:rsid w:val="3E630A5B"/>
    <w:rsid w:val="3EAD7934"/>
    <w:rsid w:val="3EB0045D"/>
    <w:rsid w:val="3ED830F6"/>
    <w:rsid w:val="3EE21A10"/>
    <w:rsid w:val="3F216084"/>
    <w:rsid w:val="3F2E4B50"/>
    <w:rsid w:val="3F685144"/>
    <w:rsid w:val="3F811957"/>
    <w:rsid w:val="3F910768"/>
    <w:rsid w:val="3F98686D"/>
    <w:rsid w:val="3FC7405B"/>
    <w:rsid w:val="3FF66A25"/>
    <w:rsid w:val="401A7065"/>
    <w:rsid w:val="40C652D1"/>
    <w:rsid w:val="40F300E4"/>
    <w:rsid w:val="41371A48"/>
    <w:rsid w:val="41456B3D"/>
    <w:rsid w:val="41CE268F"/>
    <w:rsid w:val="4216580B"/>
    <w:rsid w:val="428E4E7F"/>
    <w:rsid w:val="42E969C0"/>
    <w:rsid w:val="43085BE5"/>
    <w:rsid w:val="433909ED"/>
    <w:rsid w:val="43530584"/>
    <w:rsid w:val="43635059"/>
    <w:rsid w:val="43B60883"/>
    <w:rsid w:val="43D37D43"/>
    <w:rsid w:val="44040B43"/>
    <w:rsid w:val="445668D2"/>
    <w:rsid w:val="446A58DC"/>
    <w:rsid w:val="446C618F"/>
    <w:rsid w:val="44E70DB4"/>
    <w:rsid w:val="44FE773E"/>
    <w:rsid w:val="4520279B"/>
    <w:rsid w:val="45352A25"/>
    <w:rsid w:val="454B7B2D"/>
    <w:rsid w:val="458754A5"/>
    <w:rsid w:val="458D0AB3"/>
    <w:rsid w:val="45912D3F"/>
    <w:rsid w:val="45F8417E"/>
    <w:rsid w:val="46367FE1"/>
    <w:rsid w:val="474653BD"/>
    <w:rsid w:val="47F95862"/>
    <w:rsid w:val="48572C03"/>
    <w:rsid w:val="48C4659A"/>
    <w:rsid w:val="490C06CD"/>
    <w:rsid w:val="493F319B"/>
    <w:rsid w:val="49EC0FB7"/>
    <w:rsid w:val="49F0458D"/>
    <w:rsid w:val="4A5B59A0"/>
    <w:rsid w:val="4AA546EA"/>
    <w:rsid w:val="4AB47367"/>
    <w:rsid w:val="4AE42915"/>
    <w:rsid w:val="4B585E6C"/>
    <w:rsid w:val="4B5A49AF"/>
    <w:rsid w:val="4B755355"/>
    <w:rsid w:val="4B7A0BCD"/>
    <w:rsid w:val="4BB347A1"/>
    <w:rsid w:val="4BC52D55"/>
    <w:rsid w:val="4BDF4C5E"/>
    <w:rsid w:val="4BFF280F"/>
    <w:rsid w:val="4C433C79"/>
    <w:rsid w:val="4C492D67"/>
    <w:rsid w:val="4C5554E6"/>
    <w:rsid w:val="4C6468E7"/>
    <w:rsid w:val="4CA610CE"/>
    <w:rsid w:val="4CB44A5E"/>
    <w:rsid w:val="4CCE3E8B"/>
    <w:rsid w:val="4CE5787D"/>
    <w:rsid w:val="4D096C71"/>
    <w:rsid w:val="4D260457"/>
    <w:rsid w:val="4D2E249A"/>
    <w:rsid w:val="4D333CEE"/>
    <w:rsid w:val="4D446A01"/>
    <w:rsid w:val="4DC71BBF"/>
    <w:rsid w:val="4DD123A0"/>
    <w:rsid w:val="4DE80F7C"/>
    <w:rsid w:val="4DF24BF5"/>
    <w:rsid w:val="4E17326C"/>
    <w:rsid w:val="4E2952A6"/>
    <w:rsid w:val="4E5438A0"/>
    <w:rsid w:val="4E6371C4"/>
    <w:rsid w:val="4EBB21ED"/>
    <w:rsid w:val="4EE84DB0"/>
    <w:rsid w:val="4EEB6C95"/>
    <w:rsid w:val="4EF92D15"/>
    <w:rsid w:val="4F6A03AF"/>
    <w:rsid w:val="4FBA06F6"/>
    <w:rsid w:val="4FBA4E58"/>
    <w:rsid w:val="5006509A"/>
    <w:rsid w:val="513807EC"/>
    <w:rsid w:val="51901C66"/>
    <w:rsid w:val="51CC0759"/>
    <w:rsid w:val="51F46AA9"/>
    <w:rsid w:val="527821A3"/>
    <w:rsid w:val="527B5860"/>
    <w:rsid w:val="52992845"/>
    <w:rsid w:val="52BC523A"/>
    <w:rsid w:val="52E44D60"/>
    <w:rsid w:val="52FD7F5A"/>
    <w:rsid w:val="531E3445"/>
    <w:rsid w:val="5388520D"/>
    <w:rsid w:val="53E60694"/>
    <w:rsid w:val="53F73A84"/>
    <w:rsid w:val="54062940"/>
    <w:rsid w:val="54287734"/>
    <w:rsid w:val="5431458A"/>
    <w:rsid w:val="54910C61"/>
    <w:rsid w:val="549C03CB"/>
    <w:rsid w:val="54BD2383"/>
    <w:rsid w:val="552C113E"/>
    <w:rsid w:val="5531446E"/>
    <w:rsid w:val="55324AE3"/>
    <w:rsid w:val="554C3B9F"/>
    <w:rsid w:val="55562D30"/>
    <w:rsid w:val="55742919"/>
    <w:rsid w:val="55954325"/>
    <w:rsid w:val="55A21A11"/>
    <w:rsid w:val="562708DA"/>
    <w:rsid w:val="56293EE0"/>
    <w:rsid w:val="56424E12"/>
    <w:rsid w:val="566903DB"/>
    <w:rsid w:val="56974176"/>
    <w:rsid w:val="56C32696"/>
    <w:rsid w:val="56CC3F0C"/>
    <w:rsid w:val="56E878F7"/>
    <w:rsid w:val="56F149DB"/>
    <w:rsid w:val="56FC201E"/>
    <w:rsid w:val="57213044"/>
    <w:rsid w:val="572D3DA9"/>
    <w:rsid w:val="579D3A9C"/>
    <w:rsid w:val="57B23218"/>
    <w:rsid w:val="57BD5228"/>
    <w:rsid w:val="57F7047C"/>
    <w:rsid w:val="57F879A8"/>
    <w:rsid w:val="586E28DA"/>
    <w:rsid w:val="58982ACE"/>
    <w:rsid w:val="58B3737D"/>
    <w:rsid w:val="58B57CAD"/>
    <w:rsid w:val="58BA3515"/>
    <w:rsid w:val="58DE0922"/>
    <w:rsid w:val="59682F71"/>
    <w:rsid w:val="5988716F"/>
    <w:rsid w:val="59D169CA"/>
    <w:rsid w:val="59D6649D"/>
    <w:rsid w:val="59E579B5"/>
    <w:rsid w:val="59EA1BD8"/>
    <w:rsid w:val="5A266045"/>
    <w:rsid w:val="5A8A01BE"/>
    <w:rsid w:val="5AE520E1"/>
    <w:rsid w:val="5AE77695"/>
    <w:rsid w:val="5B4D676F"/>
    <w:rsid w:val="5B8D3163"/>
    <w:rsid w:val="5BE34EA2"/>
    <w:rsid w:val="5BEA5EBF"/>
    <w:rsid w:val="5C020DAA"/>
    <w:rsid w:val="5C270EC2"/>
    <w:rsid w:val="5C4417AC"/>
    <w:rsid w:val="5C452D1F"/>
    <w:rsid w:val="5C4746D8"/>
    <w:rsid w:val="5CA661CA"/>
    <w:rsid w:val="5CC009BE"/>
    <w:rsid w:val="5CCF3A05"/>
    <w:rsid w:val="5CE615A4"/>
    <w:rsid w:val="5D61760C"/>
    <w:rsid w:val="5E251431"/>
    <w:rsid w:val="5E364D25"/>
    <w:rsid w:val="5E5A37D0"/>
    <w:rsid w:val="5E906B64"/>
    <w:rsid w:val="5EA66A16"/>
    <w:rsid w:val="5F2C67EF"/>
    <w:rsid w:val="5F35107D"/>
    <w:rsid w:val="5F657FA8"/>
    <w:rsid w:val="5F751632"/>
    <w:rsid w:val="5FA35C6A"/>
    <w:rsid w:val="5FBC6BE7"/>
    <w:rsid w:val="5FCB38CD"/>
    <w:rsid w:val="5FD25507"/>
    <w:rsid w:val="5FD61323"/>
    <w:rsid w:val="60395667"/>
    <w:rsid w:val="605424A1"/>
    <w:rsid w:val="60687F70"/>
    <w:rsid w:val="6075417C"/>
    <w:rsid w:val="609973A8"/>
    <w:rsid w:val="60BC6D2E"/>
    <w:rsid w:val="60D62EB6"/>
    <w:rsid w:val="60F34C2D"/>
    <w:rsid w:val="60F761DE"/>
    <w:rsid w:val="61001477"/>
    <w:rsid w:val="61134256"/>
    <w:rsid w:val="61337EEF"/>
    <w:rsid w:val="6138147B"/>
    <w:rsid w:val="61492A2A"/>
    <w:rsid w:val="61665FE8"/>
    <w:rsid w:val="6190004F"/>
    <w:rsid w:val="619931F1"/>
    <w:rsid w:val="619F0B9C"/>
    <w:rsid w:val="622E78EF"/>
    <w:rsid w:val="6292105F"/>
    <w:rsid w:val="62921635"/>
    <w:rsid w:val="62AE25B3"/>
    <w:rsid w:val="63035AB9"/>
    <w:rsid w:val="63192A6A"/>
    <w:rsid w:val="632223E3"/>
    <w:rsid w:val="63317927"/>
    <w:rsid w:val="635164CF"/>
    <w:rsid w:val="63AA6708"/>
    <w:rsid w:val="63CC4206"/>
    <w:rsid w:val="64AD6EDD"/>
    <w:rsid w:val="64B670FF"/>
    <w:rsid w:val="650C3F95"/>
    <w:rsid w:val="65212011"/>
    <w:rsid w:val="65291EB2"/>
    <w:rsid w:val="65336B29"/>
    <w:rsid w:val="65764B3C"/>
    <w:rsid w:val="65A86DAB"/>
    <w:rsid w:val="65B83383"/>
    <w:rsid w:val="65C7418F"/>
    <w:rsid w:val="65E120E1"/>
    <w:rsid w:val="6637544F"/>
    <w:rsid w:val="66664CDC"/>
    <w:rsid w:val="666D7EDD"/>
    <w:rsid w:val="667F18FA"/>
    <w:rsid w:val="668313EA"/>
    <w:rsid w:val="66DD5645"/>
    <w:rsid w:val="66F44096"/>
    <w:rsid w:val="672F2FA5"/>
    <w:rsid w:val="67395F4D"/>
    <w:rsid w:val="676E15FB"/>
    <w:rsid w:val="67C577E1"/>
    <w:rsid w:val="68112A26"/>
    <w:rsid w:val="682A6B1E"/>
    <w:rsid w:val="68476448"/>
    <w:rsid w:val="68845507"/>
    <w:rsid w:val="68886A5E"/>
    <w:rsid w:val="68B43ADD"/>
    <w:rsid w:val="68F069C6"/>
    <w:rsid w:val="69766FE4"/>
    <w:rsid w:val="69A302A4"/>
    <w:rsid w:val="69E002D2"/>
    <w:rsid w:val="69F65A5F"/>
    <w:rsid w:val="6A1A3E14"/>
    <w:rsid w:val="6A306140"/>
    <w:rsid w:val="6A3922B8"/>
    <w:rsid w:val="6A530D30"/>
    <w:rsid w:val="6AAE27AE"/>
    <w:rsid w:val="6AE027E0"/>
    <w:rsid w:val="6AEA592A"/>
    <w:rsid w:val="6B1B7E43"/>
    <w:rsid w:val="6B2A0087"/>
    <w:rsid w:val="6B482ADB"/>
    <w:rsid w:val="6B9450F3"/>
    <w:rsid w:val="6BB1602A"/>
    <w:rsid w:val="6BC6576A"/>
    <w:rsid w:val="6C1F3912"/>
    <w:rsid w:val="6C927C44"/>
    <w:rsid w:val="6CE922A3"/>
    <w:rsid w:val="6CFC5207"/>
    <w:rsid w:val="6D123A15"/>
    <w:rsid w:val="6D3409A7"/>
    <w:rsid w:val="6D362E17"/>
    <w:rsid w:val="6D683511"/>
    <w:rsid w:val="6D7B2E1B"/>
    <w:rsid w:val="6DA77EC3"/>
    <w:rsid w:val="6DA83737"/>
    <w:rsid w:val="6DB46CE7"/>
    <w:rsid w:val="6DC236E5"/>
    <w:rsid w:val="6DD5137C"/>
    <w:rsid w:val="6E276756"/>
    <w:rsid w:val="6E35746E"/>
    <w:rsid w:val="6E3A06A3"/>
    <w:rsid w:val="6E741027"/>
    <w:rsid w:val="6EC57A70"/>
    <w:rsid w:val="6F1928EC"/>
    <w:rsid w:val="6F1E6154"/>
    <w:rsid w:val="6F1F33B3"/>
    <w:rsid w:val="6F3911E0"/>
    <w:rsid w:val="6F437612"/>
    <w:rsid w:val="6F997B73"/>
    <w:rsid w:val="6FA53C85"/>
    <w:rsid w:val="704B73BF"/>
    <w:rsid w:val="704E45CE"/>
    <w:rsid w:val="70607728"/>
    <w:rsid w:val="70D36BC2"/>
    <w:rsid w:val="71B04A8B"/>
    <w:rsid w:val="71DC711A"/>
    <w:rsid w:val="723E104C"/>
    <w:rsid w:val="72663CAA"/>
    <w:rsid w:val="727442DD"/>
    <w:rsid w:val="72B76186"/>
    <w:rsid w:val="72C13574"/>
    <w:rsid w:val="731969C6"/>
    <w:rsid w:val="734565F0"/>
    <w:rsid w:val="73973180"/>
    <w:rsid w:val="73BE1021"/>
    <w:rsid w:val="73CB1DFE"/>
    <w:rsid w:val="73CC51A6"/>
    <w:rsid w:val="74302C3B"/>
    <w:rsid w:val="744E6C97"/>
    <w:rsid w:val="746310AF"/>
    <w:rsid w:val="74654165"/>
    <w:rsid w:val="7483700E"/>
    <w:rsid w:val="748C7FC7"/>
    <w:rsid w:val="74970065"/>
    <w:rsid w:val="74DC23A9"/>
    <w:rsid w:val="75E12721"/>
    <w:rsid w:val="76385D79"/>
    <w:rsid w:val="76533651"/>
    <w:rsid w:val="76EE2E5B"/>
    <w:rsid w:val="76FF0A02"/>
    <w:rsid w:val="770D71E0"/>
    <w:rsid w:val="773155C1"/>
    <w:rsid w:val="77596EE4"/>
    <w:rsid w:val="7770233C"/>
    <w:rsid w:val="77A34BED"/>
    <w:rsid w:val="77C35AEB"/>
    <w:rsid w:val="784B0855"/>
    <w:rsid w:val="7856217A"/>
    <w:rsid w:val="78D6184E"/>
    <w:rsid w:val="78EE290F"/>
    <w:rsid w:val="790939D1"/>
    <w:rsid w:val="79254583"/>
    <w:rsid w:val="792B0EE3"/>
    <w:rsid w:val="798B088A"/>
    <w:rsid w:val="79DA1B0D"/>
    <w:rsid w:val="79F43D7D"/>
    <w:rsid w:val="79F771B9"/>
    <w:rsid w:val="7A036672"/>
    <w:rsid w:val="7A2218F5"/>
    <w:rsid w:val="7AA339B1"/>
    <w:rsid w:val="7AB55730"/>
    <w:rsid w:val="7AC420CE"/>
    <w:rsid w:val="7AD50338"/>
    <w:rsid w:val="7B18439F"/>
    <w:rsid w:val="7B3A03BD"/>
    <w:rsid w:val="7B3B663E"/>
    <w:rsid w:val="7B64136C"/>
    <w:rsid w:val="7B6C4F39"/>
    <w:rsid w:val="7B77273C"/>
    <w:rsid w:val="7BA2010D"/>
    <w:rsid w:val="7BA25934"/>
    <w:rsid w:val="7BD54C6D"/>
    <w:rsid w:val="7BDF507F"/>
    <w:rsid w:val="7BFC15CB"/>
    <w:rsid w:val="7C2E5426"/>
    <w:rsid w:val="7CD82B12"/>
    <w:rsid w:val="7D036989"/>
    <w:rsid w:val="7D0A1A92"/>
    <w:rsid w:val="7D2B43E5"/>
    <w:rsid w:val="7D4F0120"/>
    <w:rsid w:val="7D562F5D"/>
    <w:rsid w:val="7DEF3C6C"/>
    <w:rsid w:val="7E4842EF"/>
    <w:rsid w:val="7E6B152C"/>
    <w:rsid w:val="7E9C0E44"/>
    <w:rsid w:val="7EB22415"/>
    <w:rsid w:val="7ED13BDE"/>
    <w:rsid w:val="7EE37BF2"/>
    <w:rsid w:val="7EF34C55"/>
    <w:rsid w:val="7F182682"/>
    <w:rsid w:val="7F864094"/>
    <w:rsid w:val="7FFB7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qFormat="1" w:uiPriority="1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1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2"/>
    <w:basedOn w:val="1"/>
    <w:next w:val="1"/>
    <w:qFormat/>
    <w:uiPriority w:val="0"/>
    <w:pPr>
      <w:spacing w:line="600" w:lineRule="exact"/>
      <w:ind w:firstLine="880" w:firstLineChars="200"/>
    </w:pPr>
    <w:rPr>
      <w:rFonts w:eastAsia="仿宋_GB2312"/>
      <w:sz w:val="32"/>
    </w:rPr>
  </w:style>
  <w:style w:type="paragraph" w:styleId="3">
    <w:name w:val="index 8"/>
    <w:basedOn w:val="1"/>
    <w:next w:val="1"/>
    <w:unhideWhenUsed/>
    <w:qFormat/>
    <w:uiPriority w:val="1"/>
    <w:pPr>
      <w:ind w:left="2940"/>
    </w:pPr>
  </w:style>
  <w:style w:type="paragraph" w:styleId="4">
    <w:name w:val="Normal Indent"/>
    <w:basedOn w:val="1"/>
    <w:qFormat/>
    <w:uiPriority w:val="0"/>
    <w:pPr>
      <w:spacing w:line="560" w:lineRule="exact"/>
      <w:ind w:firstLine="200" w:firstLineChars="200"/>
    </w:pPr>
    <w:rPr>
      <w:rFonts w:eastAsia="仿宋_GB2312"/>
      <w:sz w:val="32"/>
      <w:szCs w:val="20"/>
    </w:rPr>
  </w:style>
  <w:style w:type="paragraph" w:styleId="5">
    <w:name w:val="Body Text"/>
    <w:basedOn w:val="1"/>
    <w:next w:val="1"/>
    <w:qFormat/>
    <w:uiPriority w:val="0"/>
    <w:pPr>
      <w:spacing w:line="360" w:lineRule="auto"/>
    </w:pPr>
  </w:style>
  <w:style w:type="paragraph" w:styleId="6">
    <w:name w:val="Plain Text"/>
    <w:basedOn w:val="1"/>
    <w:next w:val="3"/>
    <w:unhideWhenUsed/>
    <w:qFormat/>
    <w:uiPriority w:val="1"/>
    <w:rPr>
      <w:rFonts w:ascii="宋体" w:cs="Courier New"/>
      <w:szCs w:val="21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9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12">
    <w:name w:val="FollowedHyperlink"/>
    <w:basedOn w:val="11"/>
    <w:qFormat/>
    <w:uiPriority w:val="0"/>
    <w:rPr>
      <w:rFonts w:hint="eastAsia" w:ascii="微软雅黑" w:hAnsi="微软雅黑" w:eastAsia="微软雅黑" w:cs="微软雅黑"/>
      <w:color w:val="000000"/>
      <w:sz w:val="21"/>
      <w:szCs w:val="21"/>
      <w:u w:val="none"/>
    </w:rPr>
  </w:style>
  <w:style w:type="character" w:styleId="13">
    <w:name w:val="Hyperlink"/>
    <w:basedOn w:val="11"/>
    <w:qFormat/>
    <w:uiPriority w:val="0"/>
    <w:rPr>
      <w:rFonts w:ascii="微软雅黑" w:hAnsi="微软雅黑" w:eastAsia="微软雅黑" w:cs="微软雅黑"/>
      <w:color w:val="000000"/>
      <w:sz w:val="21"/>
      <w:szCs w:val="21"/>
      <w:u w:val="none"/>
    </w:rPr>
  </w:style>
  <w:style w:type="paragraph" w:styleId="14">
    <w:name w:val="List Paragraph"/>
    <w:basedOn w:val="1"/>
    <w:qFormat/>
    <w:uiPriority w:val="1"/>
    <w:pPr>
      <w:ind w:left="248" w:hanging="239"/>
    </w:pPr>
    <w:rPr>
      <w:rFonts w:ascii="仿宋_GB2312" w:hAnsi="仿宋_GB2312" w:eastAsia="仿宋_GB2312" w:cs="仿宋_GB2312"/>
    </w:rPr>
  </w:style>
  <w:style w:type="paragraph" w:customStyle="1" w:styleId="15">
    <w:name w:val="p3"/>
    <w:basedOn w:val="1"/>
    <w:qFormat/>
    <w:uiPriority w:val="0"/>
    <w:pPr>
      <w:spacing w:line="30" w:lineRule="atLeast"/>
      <w:jc w:val="center"/>
    </w:pPr>
    <w:rPr>
      <w:rFonts w:hint="eastAsia" w:ascii="宋体" w:hAnsi="宋体" w:cs="宋体"/>
      <w:kern w:val="0"/>
      <w:sz w:val="36"/>
      <w:szCs w:val="36"/>
    </w:rPr>
  </w:style>
  <w:style w:type="character" w:customStyle="1" w:styleId="16">
    <w:name w:val="not([class*=suffix])"/>
    <w:basedOn w:val="11"/>
    <w:qFormat/>
    <w:uiPriority w:val="0"/>
  </w:style>
  <w:style w:type="character" w:customStyle="1" w:styleId="17">
    <w:name w:val="not([class*=suffix])1"/>
    <w:basedOn w:val="11"/>
    <w:qFormat/>
    <w:uiPriority w:val="0"/>
    <w:rPr>
      <w:sz w:val="19"/>
      <w:szCs w:val="19"/>
    </w:rPr>
  </w:style>
  <w:style w:type="character" w:customStyle="1" w:styleId="18">
    <w:name w:val="nth-of-type(1)"/>
    <w:basedOn w:val="11"/>
    <w:qFormat/>
    <w:uiPriority w:val="0"/>
  </w:style>
  <w:style w:type="character" w:customStyle="1" w:styleId="19">
    <w:name w:val="nth-of-type(1)1"/>
    <w:basedOn w:val="11"/>
    <w:qFormat/>
    <w:uiPriority w:val="0"/>
  </w:style>
  <w:style w:type="character" w:customStyle="1" w:styleId="20">
    <w:name w:val="dg-flex-item2"/>
    <w:basedOn w:val="11"/>
    <w:qFormat/>
    <w:uiPriority w:val="0"/>
    <w:rPr>
      <w:bdr w:val="single" w:color="ECECEC" w:sz="6" w:space="0"/>
    </w:rPr>
  </w:style>
  <w:style w:type="character" w:customStyle="1" w:styleId="21">
    <w:name w:val="nth-of-type(3)"/>
    <w:basedOn w:val="11"/>
    <w:qFormat/>
    <w:uiPriority w:val="0"/>
    <w:rPr>
      <w:sz w:val="30"/>
      <w:szCs w:val="3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2024-02-04T02:50:00Z</dcterms:created>
  <dc:creator>张冬妮</dc:creator>
  <cp:lastModifiedBy>戴振军</cp:lastModifiedBy>
  <dcterms:modified xsi:type="dcterms:W3CDTF">2026-02-06T07:26:13Z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ED2025F10C7A4093A843146E6506F9FD_11</vt:lpwstr>
  </property>
</Properties>
</file>