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28CF4">
      <w:pPr>
        <w:rPr>
          <w:rFonts w:hint="eastAsia" w:ascii="仿宋_GB2312" w:eastAsia="仿宋_GB2312"/>
          <w:color w:val="auto"/>
          <w:sz w:val="32"/>
          <w:szCs w:val="32"/>
        </w:rPr>
      </w:pPr>
      <w:r>
        <w:rPr>
          <w:rFonts w:hint="eastAsia" w:ascii="仿宋_GB2312" w:eastAsia="仿宋_GB2312"/>
          <w:color w:val="auto"/>
          <w:sz w:val="32"/>
          <w:szCs w:val="32"/>
        </w:rPr>
        <w:t>附件2：</w:t>
      </w:r>
    </w:p>
    <w:p w14:paraId="5DDFDD52">
      <w:pPr>
        <w:spacing w:line="560" w:lineRule="exact"/>
        <w:jc w:val="center"/>
        <w:rPr>
          <w:rFonts w:hint="eastAsia" w:ascii="方正小标宋简体" w:eastAsia="方正小标宋简体"/>
          <w:color w:val="auto"/>
          <w:sz w:val="36"/>
          <w:szCs w:val="36"/>
        </w:rPr>
      </w:pPr>
      <w:r>
        <w:rPr>
          <w:rFonts w:hint="eastAsia" w:ascii="方正小标宋简体" w:eastAsia="方正小标宋简体"/>
          <w:bCs/>
          <w:color w:val="auto"/>
          <w:sz w:val="36"/>
          <w:szCs w:val="36"/>
        </w:rPr>
        <w:t>深圳交易集团“风火轮”系统信创迁移配套服务项目项目报价表</w:t>
      </w:r>
      <w:bookmarkStart w:id="0" w:name="_GoBack"/>
      <w:bookmarkEnd w:id="0"/>
    </w:p>
    <w:tbl>
      <w:tblPr>
        <w:tblStyle w:val="4"/>
        <w:tblW w:w="12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4060"/>
        <w:gridCol w:w="2432"/>
        <w:gridCol w:w="2377"/>
        <w:gridCol w:w="2030"/>
      </w:tblGrid>
      <w:tr w14:paraId="4F4F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blHeader/>
          <w:jc w:val="center"/>
        </w:trPr>
        <w:tc>
          <w:tcPr>
            <w:tcW w:w="1358" w:type="dxa"/>
            <w:vAlign w:val="center"/>
          </w:tcPr>
          <w:p w14:paraId="5B963BD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Theme="minorEastAsia"/>
                <w:b/>
                <w:bCs/>
                <w:color w:val="auto"/>
                <w:sz w:val="24"/>
                <w:szCs w:val="24"/>
                <w:vertAlign w:val="baseline"/>
                <w:lang w:val="en-US" w:eastAsia="zh-CN"/>
              </w:rPr>
            </w:pPr>
            <w:r>
              <w:rPr>
                <w:rFonts w:hint="eastAsia"/>
                <w:b/>
                <w:bCs/>
                <w:color w:val="auto"/>
                <w:sz w:val="24"/>
                <w:szCs w:val="24"/>
                <w:vertAlign w:val="baseline"/>
                <w:lang w:val="en-US" w:eastAsia="zh-CN"/>
              </w:rPr>
              <w:t>报价大项</w:t>
            </w:r>
          </w:p>
        </w:tc>
        <w:tc>
          <w:tcPr>
            <w:tcW w:w="4060" w:type="dxa"/>
            <w:vAlign w:val="center"/>
          </w:tcPr>
          <w:p w14:paraId="1CC66ED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报价细项</w:t>
            </w:r>
          </w:p>
        </w:tc>
        <w:tc>
          <w:tcPr>
            <w:tcW w:w="2432" w:type="dxa"/>
            <w:vAlign w:val="center"/>
          </w:tcPr>
          <w:p w14:paraId="03524B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工作量</w:t>
            </w:r>
          </w:p>
          <w:p w14:paraId="31066E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b/>
                <w:bCs/>
                <w:color w:val="auto"/>
                <w:sz w:val="24"/>
                <w:szCs w:val="24"/>
                <w:vertAlign w:val="baseline"/>
                <w:lang w:val="en-US" w:eastAsia="zh-CN"/>
              </w:rPr>
            </w:pPr>
            <w:r>
              <w:rPr>
                <w:rFonts w:hint="eastAsia"/>
                <w:b/>
                <w:bCs/>
                <w:color w:val="auto"/>
                <w:sz w:val="24"/>
                <w:szCs w:val="24"/>
                <w:vertAlign w:val="baseline"/>
                <w:lang w:val="en-US" w:eastAsia="zh-CN"/>
              </w:rPr>
              <w:t>（人天）</w:t>
            </w:r>
          </w:p>
        </w:tc>
        <w:tc>
          <w:tcPr>
            <w:tcW w:w="2377" w:type="dxa"/>
            <w:vAlign w:val="center"/>
          </w:tcPr>
          <w:p w14:paraId="11FF0A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人天单价</w:t>
            </w:r>
          </w:p>
          <w:p w14:paraId="1096740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（人天/元）</w:t>
            </w:r>
          </w:p>
        </w:tc>
        <w:tc>
          <w:tcPr>
            <w:tcW w:w="2030" w:type="dxa"/>
            <w:vAlign w:val="center"/>
          </w:tcPr>
          <w:p w14:paraId="58568D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总价</w:t>
            </w:r>
          </w:p>
          <w:p w14:paraId="2116BD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（元）</w:t>
            </w:r>
          </w:p>
        </w:tc>
      </w:tr>
      <w:tr w14:paraId="3506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358" w:type="dxa"/>
            <w:vMerge w:val="restart"/>
            <w:vAlign w:val="center"/>
          </w:tcPr>
          <w:p w14:paraId="6C17BB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sz w:val="24"/>
                <w:szCs w:val="24"/>
                <w:vertAlign w:val="baseline"/>
                <w:lang w:val="en-US" w:eastAsia="zh-CN"/>
              </w:rPr>
            </w:pPr>
            <w:r>
              <w:rPr>
                <w:rFonts w:hint="eastAsia"/>
                <w:color w:val="auto"/>
                <w:sz w:val="24"/>
                <w:szCs w:val="24"/>
                <w:vertAlign w:val="baseline"/>
                <w:lang w:val="en-US" w:eastAsia="zh-CN"/>
              </w:rPr>
              <w:t>“风火轮”系统信创迁移</w:t>
            </w:r>
          </w:p>
        </w:tc>
        <w:tc>
          <w:tcPr>
            <w:tcW w:w="4060" w:type="dxa"/>
            <w:vAlign w:val="center"/>
          </w:tcPr>
          <w:p w14:paraId="05761B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sz w:val="24"/>
                <w:szCs w:val="24"/>
                <w:vertAlign w:val="baseline"/>
                <w:lang w:val="en-US" w:eastAsia="zh-CN"/>
              </w:rPr>
            </w:pPr>
            <w:r>
              <w:rPr>
                <w:rFonts w:hint="eastAsia"/>
                <w:color w:val="auto"/>
                <w:sz w:val="24"/>
                <w:szCs w:val="24"/>
                <w:vertAlign w:val="baseline"/>
                <w:lang w:val="en-US" w:eastAsia="zh-CN"/>
              </w:rPr>
              <w:t>门户网站迁移</w:t>
            </w:r>
          </w:p>
        </w:tc>
        <w:tc>
          <w:tcPr>
            <w:tcW w:w="2432" w:type="dxa"/>
            <w:vAlign w:val="center"/>
          </w:tcPr>
          <w:p w14:paraId="40C072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377" w:type="dxa"/>
            <w:vMerge w:val="restart"/>
            <w:vAlign w:val="center"/>
          </w:tcPr>
          <w:p w14:paraId="7D3A29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030" w:type="dxa"/>
            <w:vAlign w:val="center"/>
          </w:tcPr>
          <w:p w14:paraId="19DC848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414A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358" w:type="dxa"/>
            <w:vMerge w:val="continue"/>
            <w:tcBorders/>
            <w:vAlign w:val="center"/>
          </w:tcPr>
          <w:p w14:paraId="48E531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4060" w:type="dxa"/>
            <w:shd w:val="clear" w:color="auto" w:fill="auto"/>
            <w:vAlign w:val="center"/>
          </w:tcPr>
          <w:p w14:paraId="677D689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HAnsi" w:hAnsiTheme="minorHAnsi" w:eastAsiaTheme="minorEastAsia" w:cstheme="minorBidi"/>
                <w:color w:val="auto"/>
                <w:kern w:val="2"/>
                <w:sz w:val="24"/>
                <w:szCs w:val="24"/>
                <w:vertAlign w:val="baseline"/>
                <w:lang w:val="en-US" w:eastAsia="zh-CN" w:bidi="ar-SA"/>
              </w:rPr>
            </w:pPr>
            <w:r>
              <w:rPr>
                <w:rFonts w:hint="eastAsia" w:cstheme="minorBidi"/>
                <w:color w:val="auto"/>
                <w:kern w:val="2"/>
                <w:sz w:val="24"/>
                <w:szCs w:val="24"/>
                <w:vertAlign w:val="baseline"/>
                <w:lang w:val="en-US" w:eastAsia="zh-CN" w:bidi="ar-SA"/>
              </w:rPr>
              <w:t>移动应用迁移</w:t>
            </w:r>
          </w:p>
        </w:tc>
        <w:tc>
          <w:tcPr>
            <w:tcW w:w="2432" w:type="dxa"/>
            <w:vAlign w:val="center"/>
          </w:tcPr>
          <w:p w14:paraId="42DC40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377" w:type="dxa"/>
            <w:vMerge w:val="continue"/>
            <w:tcBorders/>
            <w:vAlign w:val="center"/>
          </w:tcPr>
          <w:p w14:paraId="05EC17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030" w:type="dxa"/>
            <w:vAlign w:val="center"/>
          </w:tcPr>
          <w:p w14:paraId="2769E1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42AA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358" w:type="dxa"/>
            <w:vMerge w:val="continue"/>
            <w:tcBorders/>
            <w:vAlign w:val="center"/>
          </w:tcPr>
          <w:p w14:paraId="555C4A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4060" w:type="dxa"/>
            <w:shd w:val="clear" w:color="auto" w:fill="auto"/>
            <w:vAlign w:val="center"/>
          </w:tcPr>
          <w:p w14:paraId="0CCBE8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HAnsi" w:hAnsiTheme="minorHAnsi" w:eastAsiaTheme="minorEastAsia" w:cstheme="minorBidi"/>
                <w:color w:val="auto"/>
                <w:kern w:val="2"/>
                <w:sz w:val="24"/>
                <w:szCs w:val="24"/>
                <w:vertAlign w:val="baseline"/>
                <w:lang w:val="en-US" w:eastAsia="zh-CN" w:bidi="ar-SA"/>
              </w:rPr>
            </w:pPr>
            <w:r>
              <w:rPr>
                <w:rFonts w:hint="eastAsia"/>
                <w:color w:val="auto"/>
                <w:sz w:val="24"/>
                <w:szCs w:val="24"/>
                <w:vertAlign w:val="baseline"/>
                <w:lang w:val="en-US" w:eastAsia="zh-CN"/>
              </w:rPr>
              <w:t>电子文档数据中心迁移</w:t>
            </w:r>
          </w:p>
        </w:tc>
        <w:tc>
          <w:tcPr>
            <w:tcW w:w="2432" w:type="dxa"/>
            <w:vAlign w:val="center"/>
          </w:tcPr>
          <w:p w14:paraId="6EFDAC2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377" w:type="dxa"/>
            <w:vMerge w:val="continue"/>
            <w:tcBorders/>
            <w:vAlign w:val="center"/>
          </w:tcPr>
          <w:p w14:paraId="7118A4C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030" w:type="dxa"/>
            <w:vAlign w:val="center"/>
          </w:tcPr>
          <w:p w14:paraId="241775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51D8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358" w:type="dxa"/>
            <w:vMerge w:val="continue"/>
            <w:tcBorders/>
            <w:vAlign w:val="center"/>
          </w:tcPr>
          <w:p w14:paraId="2105E5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4060" w:type="dxa"/>
            <w:vAlign w:val="center"/>
          </w:tcPr>
          <w:p w14:paraId="7F4624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sz w:val="24"/>
                <w:szCs w:val="24"/>
                <w:vertAlign w:val="baseline"/>
                <w:lang w:val="en-US" w:eastAsia="zh-CN"/>
              </w:rPr>
            </w:pPr>
            <w:r>
              <w:rPr>
                <w:rFonts w:hint="eastAsia"/>
                <w:color w:val="auto"/>
                <w:sz w:val="24"/>
                <w:szCs w:val="24"/>
                <w:vertAlign w:val="baseline"/>
                <w:lang w:val="en-US" w:eastAsia="zh-CN"/>
              </w:rPr>
              <w:t>合同服务中心迁移</w:t>
            </w:r>
          </w:p>
        </w:tc>
        <w:tc>
          <w:tcPr>
            <w:tcW w:w="2432" w:type="dxa"/>
            <w:vAlign w:val="center"/>
          </w:tcPr>
          <w:p w14:paraId="04F5C1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377" w:type="dxa"/>
            <w:vMerge w:val="continue"/>
            <w:tcBorders/>
            <w:vAlign w:val="center"/>
          </w:tcPr>
          <w:p w14:paraId="45BC92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030" w:type="dxa"/>
            <w:vAlign w:val="center"/>
          </w:tcPr>
          <w:p w14:paraId="3C2A09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1E2F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358" w:type="dxa"/>
            <w:vMerge w:val="continue"/>
            <w:tcBorders/>
            <w:vAlign w:val="center"/>
          </w:tcPr>
          <w:p w14:paraId="564C77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4060" w:type="dxa"/>
            <w:vAlign w:val="center"/>
          </w:tcPr>
          <w:p w14:paraId="40D203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sz w:val="24"/>
                <w:szCs w:val="24"/>
                <w:vertAlign w:val="baseline"/>
                <w:lang w:val="en-US" w:eastAsia="zh-CN"/>
              </w:rPr>
            </w:pPr>
            <w:r>
              <w:rPr>
                <w:rFonts w:hint="eastAsia"/>
                <w:color w:val="auto"/>
                <w:sz w:val="24"/>
                <w:szCs w:val="24"/>
                <w:vertAlign w:val="baseline"/>
                <w:lang w:val="en-US" w:eastAsia="zh-CN"/>
              </w:rPr>
              <w:t>产品服务管理系统迁移</w:t>
            </w:r>
          </w:p>
        </w:tc>
        <w:tc>
          <w:tcPr>
            <w:tcW w:w="2432" w:type="dxa"/>
            <w:vAlign w:val="center"/>
          </w:tcPr>
          <w:p w14:paraId="6BD3E2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377" w:type="dxa"/>
            <w:vMerge w:val="continue"/>
            <w:tcBorders/>
            <w:vAlign w:val="center"/>
          </w:tcPr>
          <w:p w14:paraId="22DCCF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030" w:type="dxa"/>
            <w:vAlign w:val="center"/>
          </w:tcPr>
          <w:p w14:paraId="5FCA9C7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4B24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358" w:type="dxa"/>
            <w:vMerge w:val="continue"/>
            <w:tcBorders/>
            <w:vAlign w:val="center"/>
          </w:tcPr>
          <w:p w14:paraId="3503E3C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4060" w:type="dxa"/>
            <w:vAlign w:val="center"/>
          </w:tcPr>
          <w:p w14:paraId="6A2CAA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sz w:val="24"/>
                <w:szCs w:val="24"/>
                <w:vertAlign w:val="baseline"/>
                <w:lang w:val="en-US" w:eastAsia="zh-CN"/>
              </w:rPr>
            </w:pPr>
            <w:r>
              <w:rPr>
                <w:rFonts w:hint="eastAsia"/>
                <w:color w:val="auto"/>
                <w:sz w:val="24"/>
                <w:szCs w:val="24"/>
                <w:vertAlign w:val="baseline"/>
                <w:lang w:val="en-US" w:eastAsia="zh-CN"/>
              </w:rPr>
              <w:t>客户关系管理系统迁移</w:t>
            </w:r>
          </w:p>
        </w:tc>
        <w:tc>
          <w:tcPr>
            <w:tcW w:w="2432" w:type="dxa"/>
            <w:vAlign w:val="center"/>
          </w:tcPr>
          <w:p w14:paraId="0B3BE1C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377" w:type="dxa"/>
            <w:vMerge w:val="continue"/>
            <w:tcBorders/>
            <w:vAlign w:val="center"/>
          </w:tcPr>
          <w:p w14:paraId="0F012C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030" w:type="dxa"/>
            <w:vAlign w:val="center"/>
          </w:tcPr>
          <w:p w14:paraId="6D3D9E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71F7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358" w:type="dxa"/>
            <w:vMerge w:val="continue"/>
            <w:tcBorders/>
            <w:vAlign w:val="center"/>
          </w:tcPr>
          <w:p w14:paraId="62B89B3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4060" w:type="dxa"/>
            <w:vAlign w:val="center"/>
          </w:tcPr>
          <w:p w14:paraId="2996A5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sz w:val="24"/>
                <w:szCs w:val="24"/>
                <w:vertAlign w:val="baseline"/>
                <w:lang w:val="en-US" w:eastAsia="zh-CN"/>
              </w:rPr>
            </w:pPr>
            <w:r>
              <w:rPr>
                <w:rFonts w:hint="eastAsia"/>
                <w:color w:val="auto"/>
                <w:sz w:val="24"/>
                <w:szCs w:val="24"/>
                <w:vertAlign w:val="baseline"/>
                <w:lang w:val="en-US" w:eastAsia="zh-CN"/>
              </w:rPr>
              <w:t>灾备管理系统迁移</w:t>
            </w:r>
          </w:p>
        </w:tc>
        <w:tc>
          <w:tcPr>
            <w:tcW w:w="2432" w:type="dxa"/>
            <w:vAlign w:val="center"/>
          </w:tcPr>
          <w:p w14:paraId="3B953A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377" w:type="dxa"/>
            <w:vMerge w:val="continue"/>
            <w:tcBorders/>
            <w:vAlign w:val="center"/>
          </w:tcPr>
          <w:p w14:paraId="3161593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030" w:type="dxa"/>
            <w:vAlign w:val="center"/>
          </w:tcPr>
          <w:p w14:paraId="64E5B83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7466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358" w:type="dxa"/>
            <w:vMerge w:val="continue"/>
            <w:tcBorders/>
            <w:vAlign w:val="center"/>
          </w:tcPr>
          <w:p w14:paraId="5C9539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4060" w:type="dxa"/>
            <w:vAlign w:val="center"/>
          </w:tcPr>
          <w:p w14:paraId="551F986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sz w:val="24"/>
                <w:szCs w:val="24"/>
                <w:vertAlign w:val="baseline"/>
                <w:lang w:val="en-US" w:eastAsia="zh-CN"/>
              </w:rPr>
            </w:pPr>
            <w:r>
              <w:rPr>
                <w:rFonts w:hint="eastAsia"/>
                <w:b/>
                <w:bCs/>
                <w:color w:val="auto"/>
                <w:sz w:val="24"/>
                <w:szCs w:val="24"/>
                <w:vertAlign w:val="baseline"/>
                <w:lang w:val="en-US" w:eastAsia="zh-CN"/>
              </w:rPr>
              <w:t>合计</w:t>
            </w:r>
          </w:p>
        </w:tc>
        <w:tc>
          <w:tcPr>
            <w:tcW w:w="2432" w:type="dxa"/>
            <w:vAlign w:val="center"/>
          </w:tcPr>
          <w:p w14:paraId="7C58EE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377" w:type="dxa"/>
            <w:vMerge w:val="continue"/>
            <w:tcBorders/>
            <w:vAlign w:val="center"/>
          </w:tcPr>
          <w:p w14:paraId="6C50BD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2030" w:type="dxa"/>
            <w:vAlign w:val="center"/>
          </w:tcPr>
          <w:p w14:paraId="186218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bl>
    <w:p w14:paraId="26510B32">
      <w:pPr>
        <w:rPr>
          <w:rFonts w:hint="default"/>
          <w:color w:val="auto"/>
          <w:lang w:val="en-US" w:eastAsia="zh-CN"/>
        </w:rPr>
      </w:pPr>
    </w:p>
    <w:p w14:paraId="68B2C389">
      <w:pPr>
        <w:rPr>
          <w:rFonts w:hint="default"/>
          <w:color w:val="auto"/>
          <w:lang w:val="en-US" w:eastAsia="zh-CN"/>
        </w:rPr>
      </w:pPr>
    </w:p>
    <w:p w14:paraId="2AAC1CCC">
      <w:pPr>
        <w:rPr>
          <w:rFonts w:hint="default"/>
          <w:color w:val="auto"/>
          <w:lang w:val="en-US" w:eastAsia="zh-CN"/>
        </w:rPr>
      </w:pPr>
    </w:p>
    <w:p w14:paraId="06914FA5">
      <w:pPr>
        <w:rPr>
          <w:rFonts w:hint="default"/>
          <w:color w:val="auto"/>
          <w:lang w:val="en-US" w:eastAsia="zh-CN"/>
        </w:rPr>
      </w:pPr>
    </w:p>
    <w:p w14:paraId="07DB78F0">
      <w:pPr>
        <w:rPr>
          <w:rFonts w:hint="default"/>
          <w:color w:val="auto"/>
          <w:lang w:val="en-US" w:eastAsia="zh-CN"/>
        </w:rPr>
      </w:pPr>
      <w:r>
        <w:rPr>
          <w:rFonts w:hint="eastAsia"/>
          <w:color w:val="auto"/>
          <w:lang w:val="en-US" w:eastAsia="zh-CN"/>
        </w:rPr>
        <w:t>报价单位（盖章）：</w:t>
      </w:r>
    </w:p>
    <w:p w14:paraId="337C06B2">
      <w:pPr>
        <w:rPr>
          <w:rFonts w:hint="eastAsia"/>
          <w:color w:val="auto"/>
          <w:lang w:val="en-US" w:eastAsia="zh-CN"/>
        </w:rPr>
      </w:pPr>
      <w:r>
        <w:rPr>
          <w:rFonts w:hint="eastAsia"/>
          <w:color w:val="auto"/>
          <w:lang w:val="en-US" w:eastAsia="zh-CN"/>
        </w:rPr>
        <w:t>联系人及联系方式：</w:t>
      </w:r>
    </w:p>
    <w:p w14:paraId="5F830658">
      <w:pPr>
        <w:rPr>
          <w:rFonts w:hint="eastAsia"/>
          <w:color w:val="auto"/>
          <w:lang w:val="en-US" w:eastAsia="zh-CN"/>
        </w:rPr>
      </w:pPr>
      <w:r>
        <w:rPr>
          <w:rFonts w:hint="eastAsia"/>
          <w:color w:val="auto"/>
          <w:lang w:val="en-US" w:eastAsia="zh-CN"/>
        </w:rPr>
        <w:t>报价日期：</w:t>
      </w:r>
    </w:p>
    <w:p w14:paraId="427EA7D8">
      <w:pPr>
        <w:rPr>
          <w:rFonts w:hint="eastAsia"/>
          <w:color w:val="auto"/>
          <w:lang w:val="en-US" w:eastAsia="zh-CN"/>
        </w:rPr>
      </w:pPr>
      <w:r>
        <w:rPr>
          <w:rFonts w:hint="eastAsia"/>
          <w:color w:val="auto"/>
          <w:lang w:val="en-US" w:eastAsia="zh-CN"/>
        </w:rPr>
        <w:br w:type="page"/>
      </w:r>
    </w:p>
    <w:p w14:paraId="460C69B8">
      <w:pPr>
        <w:rPr>
          <w:rFonts w:hint="eastAsia"/>
          <w:color w:val="auto"/>
          <w:lang w:val="en-US" w:eastAsia="zh-CN"/>
        </w:rPr>
      </w:pPr>
    </w:p>
    <w:p w14:paraId="162F7106">
      <w:pPr>
        <w:spacing w:line="560" w:lineRule="exact"/>
        <w:jc w:val="center"/>
        <w:rPr>
          <w:rFonts w:hint="eastAsia" w:ascii="方正小标宋简体" w:eastAsia="方正小标宋简体"/>
          <w:bCs/>
          <w:color w:val="auto"/>
          <w:sz w:val="36"/>
          <w:szCs w:val="36"/>
          <w:lang w:val="en-US" w:eastAsia="zh-CN"/>
        </w:rPr>
      </w:pPr>
      <w:r>
        <w:rPr>
          <w:rFonts w:hint="eastAsia" w:ascii="方正小标宋简体" w:eastAsia="方正小标宋简体"/>
          <w:bCs/>
          <w:color w:val="auto"/>
          <w:sz w:val="36"/>
          <w:szCs w:val="36"/>
          <w:lang w:val="en-US" w:eastAsia="zh-CN"/>
        </w:rPr>
        <w:t>报价须知</w:t>
      </w:r>
    </w:p>
    <w:p w14:paraId="3305F799">
      <w:pPr>
        <w:spacing w:line="560" w:lineRule="exact"/>
        <w:jc w:val="both"/>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
          <w:bCs w:val="0"/>
          <w:color w:val="auto"/>
          <w:sz w:val="32"/>
          <w:szCs w:val="32"/>
          <w:lang w:val="en-US" w:eastAsia="zh-CN"/>
        </w:rPr>
        <w:t>1.报价范围说明：</w:t>
      </w:r>
      <w:r>
        <w:rPr>
          <w:rFonts w:hint="eastAsia" w:ascii="仿宋_GB2312" w:hAnsi="仿宋_GB2312" w:eastAsia="仿宋_GB2312" w:cs="仿宋_GB2312"/>
          <w:b w:val="0"/>
          <w:bCs/>
          <w:color w:val="auto"/>
          <w:sz w:val="32"/>
          <w:szCs w:val="32"/>
          <w:lang w:val="en-US" w:eastAsia="zh-CN"/>
        </w:rPr>
        <w:t>本报价须为包含所有税费及第三方知识产权授权费用的。</w:t>
      </w:r>
    </w:p>
    <w:p w14:paraId="07EF6EAE">
      <w:pPr>
        <w:spacing w:line="560" w:lineRule="exact"/>
        <w:jc w:val="both"/>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
          <w:bCs w:val="0"/>
          <w:color w:val="auto"/>
          <w:sz w:val="32"/>
          <w:szCs w:val="32"/>
          <w:lang w:val="en-US" w:eastAsia="zh-CN"/>
        </w:rPr>
        <w:t>2.知识产权约定</w:t>
      </w:r>
      <w:r>
        <w:rPr>
          <w:rFonts w:hint="eastAsia" w:ascii="仿宋_GB2312" w:hAnsi="仿宋_GB2312" w:eastAsia="仿宋_GB2312" w:cs="仿宋_GB2312"/>
          <w:bCs/>
          <w:color w:val="auto"/>
          <w:sz w:val="32"/>
          <w:szCs w:val="32"/>
          <w:lang w:val="en-US" w:eastAsia="zh-CN"/>
        </w:rPr>
        <w:t>：本项目所形成的阶段性文档及交付的全部工作成果和作品的所有权及知识产权归深圳交易集团所有。</w:t>
      </w:r>
    </w:p>
    <w:p w14:paraId="20A14519">
      <w:pPr>
        <w:keepNext w:val="0"/>
        <w:keepLines w:val="0"/>
        <w:widowControl/>
        <w:suppressLineNumbers w:val="0"/>
        <w:jc w:val="left"/>
      </w:pPr>
      <w:r>
        <w:rPr>
          <w:rFonts w:hint="eastAsia" w:ascii="仿宋_GB2312" w:hAnsi="仿宋_GB2312" w:eastAsia="仿宋_GB2312" w:cs="仿宋_GB2312"/>
          <w:b/>
          <w:bCs w:val="0"/>
          <w:color w:val="auto"/>
          <w:sz w:val="32"/>
          <w:szCs w:val="32"/>
          <w:lang w:val="en-US" w:eastAsia="zh-CN"/>
        </w:rPr>
        <w:t>3.项目交付要求：</w:t>
      </w:r>
      <w:r>
        <w:rPr>
          <w:rFonts w:hint="eastAsia" w:ascii="仿宋_GB2312" w:hAnsi="仿宋_GB2312" w:eastAsia="仿宋_GB2312" w:cs="仿宋_GB2312"/>
          <w:b w:val="0"/>
          <w:bCs/>
          <w:color w:val="auto"/>
          <w:sz w:val="32"/>
          <w:szCs w:val="32"/>
          <w:lang w:val="en-US" w:eastAsia="zh-CN"/>
        </w:rPr>
        <w:t>见需求文档</w:t>
      </w:r>
      <w:r>
        <w:rPr>
          <w:rFonts w:hint="eastAsia" w:ascii="仿宋_GB2312" w:hAnsi="宋体" w:eastAsia="仿宋_GB2312" w:cs="仿宋_GB2312"/>
          <w:color w:val="000000"/>
          <w:kern w:val="0"/>
          <w:sz w:val="31"/>
          <w:szCs w:val="31"/>
          <w:lang w:val="en-US" w:eastAsia="zh-CN" w:bidi="ar"/>
        </w:rPr>
        <w:t>。</w:t>
      </w:r>
    </w:p>
    <w:p w14:paraId="75714967">
      <w:pPr>
        <w:keepNext w:val="0"/>
        <w:keepLines w:val="0"/>
        <w:widowControl/>
        <w:suppressLineNumbers w:val="0"/>
        <w:jc w:val="left"/>
      </w:pPr>
    </w:p>
    <w:p w14:paraId="7F33BB3E">
      <w:pPr>
        <w:spacing w:line="560" w:lineRule="exact"/>
        <w:jc w:val="both"/>
        <w:rPr>
          <w:rFonts w:hint="default" w:ascii="仿宋_GB2312" w:hAnsi="仿宋_GB2312" w:eastAsia="仿宋_GB2312" w:cs="仿宋_GB2312"/>
          <w:bCs/>
          <w:color w:val="auto"/>
          <w:sz w:val="32"/>
          <w:szCs w:val="32"/>
          <w:lang w:val="en-US" w:eastAsia="zh-CN"/>
        </w:rPr>
      </w:pPr>
    </w:p>
    <w:p w14:paraId="1A1D2644">
      <w:pPr>
        <w:spacing w:line="560" w:lineRule="exact"/>
        <w:jc w:val="both"/>
        <w:rPr>
          <w:rFonts w:hint="default" w:ascii="方正小标宋简体" w:eastAsia="方正小标宋简体"/>
          <w:bCs/>
          <w:color w:val="auto"/>
          <w:sz w:val="36"/>
          <w:szCs w:val="36"/>
          <w:lang w:val="en-US" w:eastAsia="zh-CN"/>
        </w:rPr>
      </w:pPr>
    </w:p>
    <w:sectPr>
      <w:pgSz w:w="16838" w:h="11906" w:orient="landscape"/>
      <w:pgMar w:top="960" w:right="1440" w:bottom="103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539BE"/>
    <w:rsid w:val="02A76009"/>
    <w:rsid w:val="030D2310"/>
    <w:rsid w:val="03A5079A"/>
    <w:rsid w:val="04936845"/>
    <w:rsid w:val="070457D8"/>
    <w:rsid w:val="098B21E0"/>
    <w:rsid w:val="0B425BDE"/>
    <w:rsid w:val="0B517B34"/>
    <w:rsid w:val="0C14470F"/>
    <w:rsid w:val="0C937D2A"/>
    <w:rsid w:val="0FC30926"/>
    <w:rsid w:val="10C5422A"/>
    <w:rsid w:val="11A55E09"/>
    <w:rsid w:val="12C64289"/>
    <w:rsid w:val="14A95C11"/>
    <w:rsid w:val="151B08BC"/>
    <w:rsid w:val="154C5AEB"/>
    <w:rsid w:val="194B54E8"/>
    <w:rsid w:val="197B5DCD"/>
    <w:rsid w:val="1A3F113F"/>
    <w:rsid w:val="1A5328A6"/>
    <w:rsid w:val="1A710F7F"/>
    <w:rsid w:val="1BB43819"/>
    <w:rsid w:val="1E05210A"/>
    <w:rsid w:val="20801F1B"/>
    <w:rsid w:val="216C24A0"/>
    <w:rsid w:val="219C7685"/>
    <w:rsid w:val="22F34C27"/>
    <w:rsid w:val="23137077"/>
    <w:rsid w:val="242A0B1C"/>
    <w:rsid w:val="25572E21"/>
    <w:rsid w:val="26B563D5"/>
    <w:rsid w:val="271D04C4"/>
    <w:rsid w:val="273F6A44"/>
    <w:rsid w:val="297442A6"/>
    <w:rsid w:val="2AA82E2B"/>
    <w:rsid w:val="2B1725AC"/>
    <w:rsid w:val="2B5B780D"/>
    <w:rsid w:val="2BF32931"/>
    <w:rsid w:val="2CB73169"/>
    <w:rsid w:val="2D3D4D5E"/>
    <w:rsid w:val="2E474078"/>
    <w:rsid w:val="2E9F2106"/>
    <w:rsid w:val="2EE45178"/>
    <w:rsid w:val="2EEB534C"/>
    <w:rsid w:val="32236BAB"/>
    <w:rsid w:val="3330157F"/>
    <w:rsid w:val="33F151B2"/>
    <w:rsid w:val="34060532"/>
    <w:rsid w:val="346E6803"/>
    <w:rsid w:val="3A241712"/>
    <w:rsid w:val="3B781D15"/>
    <w:rsid w:val="3D127F47"/>
    <w:rsid w:val="3D4451F7"/>
    <w:rsid w:val="3DAE643D"/>
    <w:rsid w:val="3E8C4BEC"/>
    <w:rsid w:val="3EBE0387"/>
    <w:rsid w:val="3FF102E8"/>
    <w:rsid w:val="435A7F52"/>
    <w:rsid w:val="45682DFA"/>
    <w:rsid w:val="462C3E28"/>
    <w:rsid w:val="46D30D4F"/>
    <w:rsid w:val="48FE5307"/>
    <w:rsid w:val="4A547DF1"/>
    <w:rsid w:val="4ACB447D"/>
    <w:rsid w:val="4BC0573E"/>
    <w:rsid w:val="4BD50ABE"/>
    <w:rsid w:val="4C7E2F03"/>
    <w:rsid w:val="4D665E71"/>
    <w:rsid w:val="4EC07803"/>
    <w:rsid w:val="4FFF435B"/>
    <w:rsid w:val="5012408F"/>
    <w:rsid w:val="502B5150"/>
    <w:rsid w:val="50A3118B"/>
    <w:rsid w:val="50A6005B"/>
    <w:rsid w:val="52287B99"/>
    <w:rsid w:val="5239273F"/>
    <w:rsid w:val="53D1600F"/>
    <w:rsid w:val="53E45D42"/>
    <w:rsid w:val="548D0188"/>
    <w:rsid w:val="56772E9D"/>
    <w:rsid w:val="5765719A"/>
    <w:rsid w:val="5AED1980"/>
    <w:rsid w:val="5B160F72"/>
    <w:rsid w:val="5BE30FD5"/>
    <w:rsid w:val="5FD70E51"/>
    <w:rsid w:val="615D7134"/>
    <w:rsid w:val="652E1513"/>
    <w:rsid w:val="652E32C1"/>
    <w:rsid w:val="654C0361"/>
    <w:rsid w:val="67656D42"/>
    <w:rsid w:val="677D408C"/>
    <w:rsid w:val="68AF4719"/>
    <w:rsid w:val="693B0FAC"/>
    <w:rsid w:val="695452C0"/>
    <w:rsid w:val="69F60125"/>
    <w:rsid w:val="6A6E4160"/>
    <w:rsid w:val="6AFC5C0F"/>
    <w:rsid w:val="6C744321"/>
    <w:rsid w:val="6D2B6338"/>
    <w:rsid w:val="6F4B4A6F"/>
    <w:rsid w:val="6FD26F3F"/>
    <w:rsid w:val="704716DB"/>
    <w:rsid w:val="71E546CC"/>
    <w:rsid w:val="75075C6A"/>
    <w:rsid w:val="75226272"/>
    <w:rsid w:val="772B7660"/>
    <w:rsid w:val="78DE0702"/>
    <w:rsid w:val="7A9F6C91"/>
    <w:rsid w:val="7AB61937"/>
    <w:rsid w:val="7B5956F1"/>
    <w:rsid w:val="7BBD4F47"/>
    <w:rsid w:val="7C223B86"/>
    <w:rsid w:val="7D0D7808"/>
    <w:rsid w:val="7DC205F3"/>
    <w:rsid w:val="7E0C7AC0"/>
    <w:rsid w:val="7E1D1CCD"/>
    <w:rsid w:val="7E6E6E13"/>
    <w:rsid w:val="7E97382D"/>
    <w:rsid w:val="7EF944E8"/>
    <w:rsid w:val="7F671451"/>
    <w:rsid w:val="7F967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customStyle="1" w:styleId="7">
    <w:name w:val="font11"/>
    <w:basedOn w:val="5"/>
    <w:qFormat/>
    <w:uiPriority w:val="0"/>
    <w:rPr>
      <w:rFonts w:hint="eastAsia" w:ascii="宋体" w:hAnsi="宋体" w:eastAsia="宋体" w:cs="宋体"/>
      <w:color w:val="000000"/>
      <w:sz w:val="20"/>
      <w:szCs w:val="20"/>
      <w:u w:val="none"/>
    </w:rPr>
  </w:style>
  <w:style w:type="character" w:customStyle="1" w:styleId="8">
    <w:name w:val="font21"/>
    <w:basedOn w:val="5"/>
    <w:qFormat/>
    <w:uiPriority w:val="0"/>
    <w:rPr>
      <w:rFonts w:hint="eastAsia" w:ascii="宋体" w:hAnsi="宋体" w:eastAsia="宋体" w:cs="宋体"/>
      <w:b/>
      <w:bCs/>
      <w:color w:val="1A3FFC"/>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ce38cada-e018-44c3-943b-01ee6e4d629d</errorID>
      <errorWord>评审结果</errorWord>
      <group>L1_AI</group>
      <groupName>深度校对</groupName>
      <ability>L2_AI_Grammar</ability>
      <abilityName>语法纠错</abilityName>
      <candidateList>
        <item>评审</item>
      </candidateList>
      <explain/>
      <paraID>57D10662</paraID>
      <start>113</start>
      <end>115</end>
      <status>modified</status>
      <modifiedWord>评审</modifiedWord>
      <trackRevisions>false</trackRevisions>
    </reviewItem>
    <reviewItem>
      <errorID>7186db74-1c5f-46fa-99fe-aa078f5a63fc</errorID>
      <errorWord>收集</errorWord>
      <group>L1_AI</group>
      <groupName>深度校对</groupName>
      <ability>L2_AI_Word</ability>
      <abilityName>字词纠错</abilityName>
      <candidateList>
        <item>的</item>
      </candidateList>
      <explain/>
      <paraID>5D2A33F4</paraID>
      <start>31</start>
      <end>32</end>
      <status>modified</status>
      <modifiedWord>的</modifiedWord>
      <trackRevisions>false</trackRevisions>
    </reviewItem>
    <reviewItem>
      <errorID>455b6693-e9ce-4f3c-a8ae-6f33d7864a5a</errorID>
      <errorWord>进行的</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5D2A33F4</paraID>
      <start>36</start>
      <end>38</end>
      <status>modified</status>
      <modifiedWord>进行</modifiedWord>
      <trackRevisions>false</trackRevisions>
    </reviewItem>
    <reviewItem>
      <errorID>f38325fd-e7e4-4bb0-ac11-5e0f3963acc5</errorID>
      <errorWord>;</errorWord>
      <group>L1_AI</group>
      <groupName>深度校对</groupName>
      <ability>L2_AI_Punc</ability>
      <abilityName>标点纠错</abilityName>
      <candidateList>
        <item>：</item>
      </candidateList>
      <explain/>
      <paraID>337C06B2</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74834bf-0ae0-4eb2-a066-ff8304067e54}">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1005</Words>
  <Characters>1023</Characters>
  <Lines>0</Lines>
  <Paragraphs>0</Paragraphs>
  <TotalTime>23</TotalTime>
  <ScaleCrop>false</ScaleCrop>
  <LinksUpToDate>false</LinksUpToDate>
  <CharactersWithSpaces>1023</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2025-11-14T01:43:00Z</dcterms:created>
  <dc:creator>liaok</dc:creator>
  <cp:lastModifiedBy>熊跃辉</cp:lastModifiedBy>
  <dcterms:modified xsi:type="dcterms:W3CDTF">2026-06-23T07:13:14Z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eyJoZGlkIjoiZDE0MzM3MjQ1OTBkNjc5NmM0ZWE1NjA4MWZiNjIzMDciLCJ1c2VySWQiOiIxNjgxNTQ3MTI1In0=</vt:lpwstr>
  </property>
  <property fmtid="{D5CDD505-2E9C-101B-9397-08002B2CF9AE}" pid="4" name="ICV">
    <vt:lpwstr>97FE8C89520C45F191A8D7BE2A6DFBDB_13</vt:lpwstr>
  </property>
</Properties>
</file>