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28CF4">
      <w:pPr>
        <w:rPr>
          <w:rFonts w:hint="eastAsia" w:ascii="仿宋_GB2312" w:eastAsia="仿宋_GB2312"/>
          <w:sz w:val="32"/>
          <w:szCs w:val="32"/>
        </w:rPr>
      </w:pPr>
      <w:r>
        <w:rPr>
          <w:rFonts w:hint="eastAsia" w:ascii="仿宋_GB2312" w:eastAsia="仿宋_GB2312"/>
          <w:sz w:val="32"/>
          <w:szCs w:val="32"/>
        </w:rPr>
        <w:t>附件2：</w:t>
      </w:r>
    </w:p>
    <w:p w14:paraId="5DDFDD52">
      <w:pPr>
        <w:spacing w:line="560" w:lineRule="exact"/>
        <w:jc w:val="center"/>
        <w:rPr>
          <w:rFonts w:hint="eastAsia" w:ascii="方正小标宋简体" w:eastAsia="方正小标宋简体"/>
          <w:sz w:val="36"/>
          <w:szCs w:val="36"/>
        </w:rPr>
      </w:pPr>
      <w:r>
        <w:rPr>
          <w:rFonts w:hint="eastAsia" w:ascii="方正小标宋简体" w:eastAsia="方正小标宋简体"/>
          <w:bCs/>
          <w:sz w:val="36"/>
          <w:szCs w:val="36"/>
        </w:rPr>
        <w:t>深圳交易集团2025年政府采购AI</w:t>
      </w:r>
      <w:r>
        <w:rPr>
          <w:rFonts w:hint="eastAsia" w:ascii="方正小标宋简体" w:eastAsia="方正小标宋简体"/>
          <w:bCs/>
          <w:sz w:val="36"/>
          <w:szCs w:val="36"/>
          <w:lang w:val="en-US" w:eastAsia="zh-CN"/>
        </w:rPr>
        <w:t>采购文件</w:t>
      </w:r>
      <w:r>
        <w:rPr>
          <w:rFonts w:hint="eastAsia" w:ascii="方正小标宋简体" w:eastAsia="方正小标宋简体"/>
          <w:bCs/>
          <w:sz w:val="36"/>
          <w:szCs w:val="36"/>
        </w:rPr>
        <w:t>合规审核模型建设采购项目报价表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349"/>
        <w:gridCol w:w="8292"/>
        <w:gridCol w:w="1250"/>
        <w:gridCol w:w="1575"/>
        <w:gridCol w:w="928"/>
      </w:tblGrid>
      <w:tr w14:paraId="4F4F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663" w:type="dxa"/>
            <w:vAlign w:val="center"/>
          </w:tcPr>
          <w:p w14:paraId="12D50D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Theme="minorEastAsia"/>
                <w:sz w:val="24"/>
                <w:szCs w:val="24"/>
                <w:vertAlign w:val="baseline"/>
                <w:lang w:val="en-US" w:eastAsia="zh-CN"/>
              </w:rPr>
            </w:pPr>
            <w:r>
              <w:rPr>
                <w:rFonts w:hint="eastAsia"/>
                <w:sz w:val="24"/>
                <w:szCs w:val="24"/>
                <w:vertAlign w:val="baseline"/>
                <w:lang w:val="en-US" w:eastAsia="zh-CN"/>
              </w:rPr>
              <w:t>序号</w:t>
            </w:r>
          </w:p>
        </w:tc>
        <w:tc>
          <w:tcPr>
            <w:tcW w:w="1349" w:type="dxa"/>
            <w:vAlign w:val="center"/>
          </w:tcPr>
          <w:p w14:paraId="5B963BD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Theme="minorEastAsia"/>
                <w:sz w:val="24"/>
                <w:szCs w:val="24"/>
                <w:vertAlign w:val="baseline"/>
                <w:lang w:val="en-US" w:eastAsia="zh-CN"/>
              </w:rPr>
            </w:pPr>
            <w:r>
              <w:rPr>
                <w:rFonts w:hint="eastAsia"/>
                <w:sz w:val="24"/>
                <w:szCs w:val="24"/>
                <w:vertAlign w:val="baseline"/>
                <w:lang w:val="en-US" w:eastAsia="zh-CN"/>
              </w:rPr>
              <w:t>报价项</w:t>
            </w:r>
          </w:p>
        </w:tc>
        <w:tc>
          <w:tcPr>
            <w:tcW w:w="8292" w:type="dxa"/>
            <w:vAlign w:val="center"/>
          </w:tcPr>
          <w:p w14:paraId="363C266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Theme="minorEastAsia"/>
                <w:sz w:val="24"/>
                <w:szCs w:val="24"/>
                <w:vertAlign w:val="baseline"/>
                <w:lang w:val="en-US" w:eastAsia="zh-CN"/>
              </w:rPr>
            </w:pPr>
            <w:r>
              <w:rPr>
                <w:rFonts w:hint="eastAsia"/>
                <w:sz w:val="24"/>
                <w:szCs w:val="24"/>
                <w:vertAlign w:val="baseline"/>
                <w:lang w:val="en-US" w:eastAsia="zh-CN"/>
              </w:rPr>
              <w:t>需求描述</w:t>
            </w:r>
          </w:p>
        </w:tc>
        <w:tc>
          <w:tcPr>
            <w:tcW w:w="1250" w:type="dxa"/>
            <w:vAlign w:val="center"/>
          </w:tcPr>
          <w:p w14:paraId="03524B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sz w:val="24"/>
                <w:szCs w:val="24"/>
                <w:vertAlign w:val="baseline"/>
                <w:lang w:val="en-US" w:eastAsia="zh-CN"/>
              </w:rPr>
            </w:pPr>
            <w:r>
              <w:rPr>
                <w:rFonts w:hint="eastAsia"/>
                <w:sz w:val="24"/>
                <w:szCs w:val="24"/>
                <w:vertAlign w:val="baseline"/>
                <w:lang w:val="en-US" w:eastAsia="zh-CN"/>
              </w:rPr>
              <w:t>工作量</w:t>
            </w:r>
          </w:p>
          <w:p w14:paraId="31066EB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Theme="minorEastAsia"/>
                <w:sz w:val="24"/>
                <w:szCs w:val="24"/>
                <w:vertAlign w:val="baseline"/>
                <w:lang w:val="en-US" w:eastAsia="zh-CN"/>
              </w:rPr>
            </w:pPr>
            <w:r>
              <w:rPr>
                <w:rFonts w:hint="eastAsia"/>
                <w:sz w:val="24"/>
                <w:szCs w:val="24"/>
                <w:vertAlign w:val="baseline"/>
                <w:lang w:val="en-US" w:eastAsia="zh-CN"/>
              </w:rPr>
              <w:t>（人天）</w:t>
            </w:r>
          </w:p>
        </w:tc>
        <w:tc>
          <w:tcPr>
            <w:tcW w:w="1575" w:type="dxa"/>
            <w:vAlign w:val="center"/>
          </w:tcPr>
          <w:p w14:paraId="11FF0AB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sz w:val="24"/>
                <w:szCs w:val="24"/>
                <w:vertAlign w:val="baseline"/>
                <w:lang w:val="en-US" w:eastAsia="zh-CN"/>
              </w:rPr>
            </w:pPr>
            <w:r>
              <w:rPr>
                <w:rFonts w:hint="eastAsia"/>
                <w:sz w:val="24"/>
                <w:szCs w:val="24"/>
                <w:vertAlign w:val="baseline"/>
                <w:lang w:val="en-US" w:eastAsia="zh-CN"/>
              </w:rPr>
              <w:t>人天单价</w:t>
            </w:r>
          </w:p>
          <w:p w14:paraId="1096740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sz w:val="24"/>
                <w:szCs w:val="24"/>
                <w:vertAlign w:val="baseline"/>
                <w:lang w:val="en-US" w:eastAsia="zh-CN"/>
              </w:rPr>
            </w:pPr>
            <w:r>
              <w:rPr>
                <w:rFonts w:hint="eastAsia"/>
                <w:sz w:val="24"/>
                <w:szCs w:val="24"/>
                <w:vertAlign w:val="baseline"/>
                <w:lang w:val="en-US" w:eastAsia="zh-CN"/>
              </w:rPr>
              <w:t>（人天/元）</w:t>
            </w:r>
          </w:p>
        </w:tc>
        <w:tc>
          <w:tcPr>
            <w:tcW w:w="928" w:type="dxa"/>
            <w:vAlign w:val="center"/>
          </w:tcPr>
          <w:p w14:paraId="58568D2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sz w:val="24"/>
                <w:szCs w:val="24"/>
                <w:vertAlign w:val="baseline"/>
                <w:lang w:val="en-US" w:eastAsia="zh-CN"/>
              </w:rPr>
            </w:pPr>
            <w:r>
              <w:rPr>
                <w:rFonts w:hint="eastAsia"/>
                <w:sz w:val="24"/>
                <w:szCs w:val="24"/>
                <w:vertAlign w:val="baseline"/>
                <w:lang w:val="en-US" w:eastAsia="zh-CN"/>
              </w:rPr>
              <w:t>总价</w:t>
            </w:r>
          </w:p>
          <w:p w14:paraId="2116BD4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sz w:val="24"/>
                <w:szCs w:val="24"/>
                <w:vertAlign w:val="baseline"/>
                <w:lang w:val="en-US" w:eastAsia="zh-CN"/>
              </w:rPr>
            </w:pPr>
            <w:r>
              <w:rPr>
                <w:rFonts w:hint="eastAsia"/>
                <w:sz w:val="24"/>
                <w:szCs w:val="24"/>
                <w:vertAlign w:val="baseline"/>
                <w:lang w:val="en-US" w:eastAsia="zh-CN"/>
              </w:rPr>
              <w:t>（元）</w:t>
            </w:r>
          </w:p>
        </w:tc>
      </w:tr>
      <w:tr w14:paraId="5089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663" w:type="dxa"/>
            <w:vAlign w:val="top"/>
          </w:tcPr>
          <w:p w14:paraId="2FDB704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sz w:val="24"/>
                <w:szCs w:val="24"/>
                <w:vertAlign w:val="baseline"/>
                <w:lang w:val="en-US" w:eastAsia="zh-CN"/>
              </w:rPr>
            </w:pPr>
            <w:r>
              <w:rPr>
                <w:rFonts w:hint="eastAsia"/>
                <w:sz w:val="24"/>
                <w:szCs w:val="24"/>
                <w:vertAlign w:val="baseline"/>
                <w:lang w:val="en-US" w:eastAsia="zh-CN"/>
              </w:rPr>
              <w:t>1</w:t>
            </w:r>
          </w:p>
        </w:tc>
        <w:tc>
          <w:tcPr>
            <w:tcW w:w="1349" w:type="dxa"/>
            <w:vMerge w:val="restart"/>
            <w:vAlign w:val="center"/>
          </w:tcPr>
          <w:p w14:paraId="6EA7C79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Theme="minorEastAsia"/>
                <w:sz w:val="24"/>
                <w:szCs w:val="24"/>
                <w:vertAlign w:val="baseline"/>
                <w:lang w:val="en-US" w:eastAsia="zh-CN"/>
              </w:rPr>
            </w:pPr>
            <w:r>
              <w:rPr>
                <w:rFonts w:hint="eastAsia"/>
                <w:sz w:val="24"/>
                <w:szCs w:val="24"/>
                <w:vertAlign w:val="baseline"/>
                <w:lang w:val="en-US" w:eastAsia="zh-CN"/>
              </w:rPr>
              <w:t>政府采购AI采购文件合规审核模型构建</w:t>
            </w:r>
          </w:p>
        </w:tc>
        <w:tc>
          <w:tcPr>
            <w:tcW w:w="8292" w:type="dxa"/>
            <w:vAlign w:val="center"/>
          </w:tcPr>
          <w:p w14:paraId="39AE933C">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sz w:val="24"/>
                <w:szCs w:val="24"/>
                <w:vertAlign w:val="baseline"/>
                <w:lang w:val="en-US" w:eastAsia="zh-CN"/>
              </w:rPr>
            </w:pPr>
            <w:r>
              <w:rPr>
                <w:rFonts w:hint="eastAsia"/>
                <w:sz w:val="24"/>
                <w:szCs w:val="24"/>
                <w:vertAlign w:val="baseline"/>
                <w:lang w:val="en-US" w:eastAsia="zh-CN"/>
              </w:rPr>
              <w:t>基础模型的提供：包括L0和L1大模型本地私有化部署，如涉及商用模型，需含商业使用权</w:t>
            </w:r>
          </w:p>
        </w:tc>
        <w:tc>
          <w:tcPr>
            <w:tcW w:w="1250" w:type="dxa"/>
            <w:vAlign w:val="center"/>
          </w:tcPr>
          <w:p w14:paraId="119C71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sz w:val="24"/>
                <w:szCs w:val="24"/>
                <w:vertAlign w:val="baseline"/>
                <w:lang w:val="en-US" w:eastAsia="zh-CN"/>
              </w:rPr>
            </w:pPr>
          </w:p>
        </w:tc>
        <w:tc>
          <w:tcPr>
            <w:tcW w:w="1575" w:type="dxa"/>
            <w:vAlign w:val="center"/>
          </w:tcPr>
          <w:p w14:paraId="2C7C1F7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sz w:val="24"/>
                <w:szCs w:val="24"/>
                <w:vertAlign w:val="baseline"/>
                <w:lang w:val="en-US" w:eastAsia="zh-CN"/>
              </w:rPr>
            </w:pPr>
          </w:p>
        </w:tc>
        <w:tc>
          <w:tcPr>
            <w:tcW w:w="928" w:type="dxa"/>
            <w:vAlign w:val="center"/>
          </w:tcPr>
          <w:p w14:paraId="45C29BD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sz w:val="24"/>
                <w:szCs w:val="24"/>
                <w:vertAlign w:val="baseline"/>
                <w:lang w:val="en-US" w:eastAsia="zh-CN"/>
              </w:rPr>
            </w:pPr>
          </w:p>
        </w:tc>
      </w:tr>
      <w:tr w14:paraId="7F791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663" w:type="dxa"/>
            <w:vAlign w:val="top"/>
          </w:tcPr>
          <w:p w14:paraId="272D8E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Theme="minorEastAsia"/>
                <w:sz w:val="24"/>
                <w:szCs w:val="24"/>
                <w:vertAlign w:val="baseline"/>
                <w:lang w:val="en-US" w:eastAsia="zh-CN"/>
              </w:rPr>
            </w:pPr>
            <w:r>
              <w:rPr>
                <w:rFonts w:hint="eastAsia"/>
                <w:sz w:val="24"/>
                <w:szCs w:val="24"/>
                <w:vertAlign w:val="baseline"/>
                <w:lang w:val="en-US" w:eastAsia="zh-CN"/>
              </w:rPr>
              <w:t>2</w:t>
            </w:r>
          </w:p>
        </w:tc>
        <w:tc>
          <w:tcPr>
            <w:tcW w:w="1349" w:type="dxa"/>
            <w:vMerge w:val="continue"/>
            <w:vAlign w:val="center"/>
          </w:tcPr>
          <w:p w14:paraId="7FA49C0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8292" w:type="dxa"/>
            <w:vAlign w:val="center"/>
          </w:tcPr>
          <w:p w14:paraId="7570B98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eastAsiaTheme="minorEastAsia"/>
                <w:sz w:val="24"/>
                <w:szCs w:val="24"/>
                <w:vertAlign w:val="baseline"/>
                <w:lang w:val="en-US" w:eastAsia="zh-CN"/>
              </w:rPr>
            </w:pPr>
            <w:r>
              <w:rPr>
                <w:rFonts w:hint="eastAsia"/>
                <w:sz w:val="24"/>
                <w:szCs w:val="24"/>
                <w:vertAlign w:val="baseline"/>
              </w:rPr>
              <w:t>大模型增量训练</w:t>
            </w:r>
            <w:r>
              <w:rPr>
                <w:rFonts w:hint="eastAsia"/>
                <w:sz w:val="24"/>
                <w:szCs w:val="24"/>
                <w:vertAlign w:val="baseline"/>
                <w:lang w:eastAsia="zh-CN"/>
              </w:rPr>
              <w:t>，</w:t>
            </w:r>
            <w:r>
              <w:rPr>
                <w:rFonts w:hint="eastAsia"/>
                <w:sz w:val="24"/>
                <w:szCs w:val="24"/>
                <w:vertAlign w:val="baseline"/>
                <w:lang w:val="en-US" w:eastAsia="zh-CN"/>
              </w:rPr>
              <w:t>包括增量预训练、有监督精调、模型集成测试服务。</w:t>
            </w:r>
          </w:p>
        </w:tc>
        <w:tc>
          <w:tcPr>
            <w:tcW w:w="1250" w:type="dxa"/>
            <w:vAlign w:val="center"/>
          </w:tcPr>
          <w:p w14:paraId="4DD4276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1575" w:type="dxa"/>
            <w:vAlign w:val="center"/>
          </w:tcPr>
          <w:p w14:paraId="7D55AE5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928" w:type="dxa"/>
            <w:vAlign w:val="center"/>
          </w:tcPr>
          <w:p w14:paraId="0D27556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r>
      <w:tr w14:paraId="1589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663" w:type="dxa"/>
            <w:vAlign w:val="top"/>
          </w:tcPr>
          <w:p w14:paraId="26DD16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Theme="minorEastAsia"/>
                <w:sz w:val="24"/>
                <w:szCs w:val="24"/>
                <w:vertAlign w:val="baseline"/>
                <w:lang w:val="en-US" w:eastAsia="zh-CN"/>
              </w:rPr>
            </w:pPr>
            <w:r>
              <w:rPr>
                <w:rFonts w:hint="eastAsia"/>
                <w:sz w:val="24"/>
                <w:szCs w:val="24"/>
                <w:vertAlign w:val="baseline"/>
                <w:lang w:val="en-US" w:eastAsia="zh-CN"/>
              </w:rPr>
              <w:t>3</w:t>
            </w:r>
          </w:p>
        </w:tc>
        <w:tc>
          <w:tcPr>
            <w:tcW w:w="1349" w:type="dxa"/>
            <w:vMerge w:val="continue"/>
            <w:vAlign w:val="center"/>
          </w:tcPr>
          <w:p w14:paraId="0FD8C6E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8292" w:type="dxa"/>
            <w:vAlign w:val="center"/>
          </w:tcPr>
          <w:p w14:paraId="0269E97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eastAsiaTheme="minorEastAsia"/>
                <w:sz w:val="24"/>
                <w:szCs w:val="24"/>
                <w:vertAlign w:val="baseline"/>
                <w:lang w:val="en-US" w:eastAsia="zh-CN"/>
              </w:rPr>
            </w:pPr>
            <w:r>
              <w:rPr>
                <w:rFonts w:hint="eastAsia"/>
                <w:sz w:val="24"/>
                <w:szCs w:val="24"/>
                <w:vertAlign w:val="baseline"/>
              </w:rPr>
              <w:t>数据治理</w:t>
            </w:r>
            <w:r>
              <w:rPr>
                <w:rFonts w:hint="eastAsia"/>
                <w:sz w:val="24"/>
                <w:szCs w:val="24"/>
                <w:vertAlign w:val="baseline"/>
                <w:lang w:eastAsia="zh-CN"/>
              </w:rPr>
              <w:t>：</w:t>
            </w:r>
            <w:r>
              <w:rPr>
                <w:rFonts w:hint="eastAsia"/>
                <w:sz w:val="24"/>
                <w:szCs w:val="24"/>
                <w:vertAlign w:val="baseline"/>
                <w:lang w:val="en-US" w:eastAsia="zh-CN"/>
              </w:rPr>
              <w:t>包括文字类数据收集、整理、处理、标注和多模态数据收集、整理、处理、标注</w:t>
            </w:r>
          </w:p>
        </w:tc>
        <w:tc>
          <w:tcPr>
            <w:tcW w:w="1250" w:type="dxa"/>
            <w:vAlign w:val="center"/>
          </w:tcPr>
          <w:p w14:paraId="581F356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1575" w:type="dxa"/>
            <w:vAlign w:val="center"/>
          </w:tcPr>
          <w:p w14:paraId="44D0D1F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928" w:type="dxa"/>
            <w:vAlign w:val="center"/>
          </w:tcPr>
          <w:p w14:paraId="4966A8D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r>
      <w:tr w14:paraId="1706F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663" w:type="dxa"/>
            <w:vAlign w:val="top"/>
          </w:tcPr>
          <w:p w14:paraId="544D2C0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Theme="minorEastAsia"/>
                <w:sz w:val="24"/>
                <w:szCs w:val="24"/>
                <w:vertAlign w:val="baseline"/>
                <w:lang w:val="en-US" w:eastAsia="zh-CN"/>
              </w:rPr>
            </w:pPr>
            <w:r>
              <w:rPr>
                <w:rFonts w:hint="eastAsia"/>
                <w:sz w:val="24"/>
                <w:szCs w:val="24"/>
                <w:vertAlign w:val="baseline"/>
                <w:lang w:val="en-US" w:eastAsia="zh-CN"/>
              </w:rPr>
              <w:t>4</w:t>
            </w:r>
          </w:p>
        </w:tc>
        <w:tc>
          <w:tcPr>
            <w:tcW w:w="1349" w:type="dxa"/>
            <w:vMerge w:val="restart"/>
            <w:vAlign w:val="center"/>
          </w:tcPr>
          <w:p w14:paraId="795E56A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Theme="minorEastAsia"/>
                <w:sz w:val="24"/>
                <w:szCs w:val="24"/>
                <w:vertAlign w:val="baseline"/>
                <w:lang w:val="en-US" w:eastAsia="zh-CN"/>
              </w:rPr>
            </w:pPr>
            <w:r>
              <w:rPr>
                <w:rFonts w:hint="eastAsia"/>
                <w:sz w:val="24"/>
                <w:szCs w:val="24"/>
                <w:vertAlign w:val="baseline"/>
                <w:lang w:val="en-US" w:eastAsia="zh-CN"/>
              </w:rPr>
              <w:t>政府采购AI采购文件合规审核工具</w:t>
            </w:r>
          </w:p>
        </w:tc>
        <w:tc>
          <w:tcPr>
            <w:tcW w:w="8292" w:type="dxa"/>
            <w:vAlign w:val="center"/>
          </w:tcPr>
          <w:p w14:paraId="7905D34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eastAsiaTheme="minorEastAsia"/>
                <w:sz w:val="24"/>
                <w:szCs w:val="24"/>
                <w:vertAlign w:val="baseline"/>
                <w:lang w:val="en-US" w:eastAsia="zh-CN"/>
              </w:rPr>
            </w:pPr>
            <w:r>
              <w:rPr>
                <w:rFonts w:hint="eastAsia"/>
                <w:sz w:val="24"/>
                <w:szCs w:val="24"/>
                <w:vertAlign w:val="baseline"/>
              </w:rPr>
              <w:t>审查知识库</w:t>
            </w:r>
            <w:r>
              <w:rPr>
                <w:rFonts w:hint="eastAsia"/>
                <w:sz w:val="24"/>
                <w:szCs w:val="24"/>
                <w:vertAlign w:val="baseline"/>
                <w:lang w:val="en-US" w:eastAsia="zh-CN"/>
              </w:rPr>
              <w:t>管理</w:t>
            </w:r>
            <w:r>
              <w:rPr>
                <w:rFonts w:hint="eastAsia"/>
                <w:sz w:val="24"/>
                <w:szCs w:val="24"/>
                <w:vertAlign w:val="baseline"/>
                <w:lang w:eastAsia="zh-CN"/>
              </w:rPr>
              <w:t>：</w:t>
            </w:r>
            <w:r>
              <w:rPr>
                <w:rFonts w:hint="eastAsia"/>
                <w:sz w:val="24"/>
                <w:szCs w:val="24"/>
                <w:vertAlign w:val="baseline"/>
                <w:lang w:val="en-US" w:eastAsia="zh-CN"/>
              </w:rPr>
              <w:t>包括检测标准规范库管理、证书知识库管理、通用法律法规与政策管理、区域性专项法规库管理、资质证照清单管理和知识库更新与维护等功能</w:t>
            </w:r>
          </w:p>
        </w:tc>
        <w:tc>
          <w:tcPr>
            <w:tcW w:w="1250" w:type="dxa"/>
            <w:vAlign w:val="center"/>
          </w:tcPr>
          <w:p w14:paraId="53DE39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1575" w:type="dxa"/>
            <w:vAlign w:val="center"/>
          </w:tcPr>
          <w:p w14:paraId="1675AC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928" w:type="dxa"/>
            <w:vAlign w:val="center"/>
          </w:tcPr>
          <w:p w14:paraId="4FDAD3A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r>
      <w:tr w14:paraId="357BC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663" w:type="dxa"/>
            <w:vAlign w:val="top"/>
          </w:tcPr>
          <w:p w14:paraId="35B8995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Theme="minorEastAsia"/>
                <w:sz w:val="24"/>
                <w:szCs w:val="24"/>
                <w:vertAlign w:val="baseline"/>
                <w:lang w:val="en-US" w:eastAsia="zh-CN"/>
              </w:rPr>
            </w:pPr>
            <w:r>
              <w:rPr>
                <w:rFonts w:hint="eastAsia"/>
                <w:sz w:val="24"/>
                <w:szCs w:val="24"/>
                <w:vertAlign w:val="baseline"/>
                <w:lang w:val="en-US" w:eastAsia="zh-CN"/>
              </w:rPr>
              <w:t>5</w:t>
            </w:r>
          </w:p>
        </w:tc>
        <w:tc>
          <w:tcPr>
            <w:tcW w:w="1349" w:type="dxa"/>
            <w:vMerge w:val="continue"/>
            <w:vAlign w:val="center"/>
          </w:tcPr>
          <w:p w14:paraId="3406BE7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8292" w:type="dxa"/>
            <w:vAlign w:val="center"/>
          </w:tcPr>
          <w:p w14:paraId="7E91834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eastAsiaTheme="minorEastAsia"/>
                <w:sz w:val="24"/>
                <w:szCs w:val="24"/>
                <w:vertAlign w:val="baseline"/>
                <w:lang w:val="en-US" w:eastAsia="zh-CN"/>
              </w:rPr>
            </w:pPr>
            <w:r>
              <w:rPr>
                <w:rFonts w:hint="eastAsia"/>
                <w:sz w:val="24"/>
                <w:szCs w:val="24"/>
                <w:vertAlign w:val="baseline"/>
              </w:rPr>
              <w:t>审查规则库</w:t>
            </w:r>
            <w:r>
              <w:rPr>
                <w:rFonts w:hint="eastAsia"/>
                <w:sz w:val="24"/>
                <w:szCs w:val="24"/>
                <w:vertAlign w:val="baseline"/>
                <w:lang w:val="en-US" w:eastAsia="zh-CN"/>
              </w:rPr>
              <w:t>管理</w:t>
            </w:r>
            <w:r>
              <w:rPr>
                <w:rFonts w:hint="eastAsia"/>
                <w:sz w:val="24"/>
                <w:szCs w:val="24"/>
                <w:vertAlign w:val="baseline"/>
                <w:lang w:eastAsia="zh-CN"/>
              </w:rPr>
              <w:t>：</w:t>
            </w:r>
            <w:r>
              <w:rPr>
                <w:rFonts w:hint="eastAsia"/>
                <w:sz w:val="24"/>
                <w:szCs w:val="24"/>
                <w:vertAlign w:val="baseline"/>
                <w:lang w:val="en-US" w:eastAsia="zh-CN"/>
              </w:rPr>
              <w:t>包括通用审查规则库、专业审查规则库、规则灵活配置和规则自定义启停与关联等功能</w:t>
            </w:r>
          </w:p>
        </w:tc>
        <w:tc>
          <w:tcPr>
            <w:tcW w:w="1250" w:type="dxa"/>
            <w:vAlign w:val="center"/>
          </w:tcPr>
          <w:p w14:paraId="5C34EEA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1575" w:type="dxa"/>
            <w:vAlign w:val="center"/>
          </w:tcPr>
          <w:p w14:paraId="0E448F4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928" w:type="dxa"/>
            <w:vAlign w:val="center"/>
          </w:tcPr>
          <w:p w14:paraId="4CC0494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r>
      <w:tr w14:paraId="5782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663" w:type="dxa"/>
            <w:vAlign w:val="top"/>
          </w:tcPr>
          <w:p w14:paraId="495AC93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Theme="minorEastAsia"/>
                <w:sz w:val="24"/>
                <w:szCs w:val="24"/>
                <w:vertAlign w:val="baseline"/>
                <w:lang w:val="en-US" w:eastAsia="zh-CN"/>
              </w:rPr>
            </w:pPr>
            <w:r>
              <w:rPr>
                <w:rFonts w:hint="eastAsia"/>
                <w:sz w:val="24"/>
                <w:szCs w:val="24"/>
                <w:vertAlign w:val="baseline"/>
                <w:lang w:val="en-US" w:eastAsia="zh-CN"/>
              </w:rPr>
              <w:t>6</w:t>
            </w:r>
          </w:p>
        </w:tc>
        <w:tc>
          <w:tcPr>
            <w:tcW w:w="1349" w:type="dxa"/>
            <w:vMerge w:val="continue"/>
            <w:vAlign w:val="center"/>
          </w:tcPr>
          <w:p w14:paraId="3C87A6E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8292" w:type="dxa"/>
            <w:vAlign w:val="center"/>
          </w:tcPr>
          <w:p w14:paraId="4F56FC94">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eastAsiaTheme="minorEastAsia"/>
                <w:sz w:val="24"/>
                <w:szCs w:val="24"/>
                <w:vertAlign w:val="baseline"/>
                <w:lang w:val="en-US" w:eastAsia="zh-CN"/>
              </w:rPr>
            </w:pPr>
            <w:r>
              <w:rPr>
                <w:rFonts w:hint="eastAsia"/>
                <w:sz w:val="24"/>
                <w:szCs w:val="24"/>
                <w:vertAlign w:val="baseline"/>
              </w:rPr>
              <w:t>文件审查准备</w:t>
            </w:r>
            <w:r>
              <w:rPr>
                <w:rFonts w:hint="eastAsia"/>
                <w:sz w:val="24"/>
                <w:szCs w:val="24"/>
                <w:vertAlign w:val="baseline"/>
                <w:lang w:eastAsia="zh-CN"/>
              </w:rPr>
              <w:t>：</w:t>
            </w:r>
            <w:r>
              <w:rPr>
                <w:rFonts w:hint="eastAsia"/>
                <w:sz w:val="24"/>
                <w:szCs w:val="24"/>
                <w:vertAlign w:val="baseline"/>
                <w:lang w:val="en-US" w:eastAsia="zh-CN"/>
              </w:rPr>
              <w:t>包括采购文件上传、采购文件解析等功能</w:t>
            </w:r>
          </w:p>
        </w:tc>
        <w:tc>
          <w:tcPr>
            <w:tcW w:w="1250" w:type="dxa"/>
            <w:vAlign w:val="center"/>
          </w:tcPr>
          <w:p w14:paraId="177788B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1575" w:type="dxa"/>
            <w:vAlign w:val="center"/>
          </w:tcPr>
          <w:p w14:paraId="3B597A6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928" w:type="dxa"/>
            <w:vAlign w:val="center"/>
          </w:tcPr>
          <w:p w14:paraId="60A8B9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r>
      <w:tr w14:paraId="2086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63" w:type="dxa"/>
            <w:vAlign w:val="top"/>
          </w:tcPr>
          <w:p w14:paraId="2A342B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Theme="minorEastAsia"/>
                <w:sz w:val="24"/>
                <w:szCs w:val="24"/>
                <w:vertAlign w:val="baseline"/>
                <w:lang w:val="en-US" w:eastAsia="zh-CN"/>
              </w:rPr>
            </w:pPr>
            <w:r>
              <w:rPr>
                <w:rFonts w:hint="eastAsia"/>
                <w:sz w:val="24"/>
                <w:szCs w:val="24"/>
                <w:vertAlign w:val="baseline"/>
                <w:lang w:val="en-US" w:eastAsia="zh-CN"/>
              </w:rPr>
              <w:t>7</w:t>
            </w:r>
          </w:p>
        </w:tc>
        <w:tc>
          <w:tcPr>
            <w:tcW w:w="1349" w:type="dxa"/>
            <w:vMerge w:val="continue"/>
            <w:vAlign w:val="center"/>
          </w:tcPr>
          <w:p w14:paraId="5375738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8292" w:type="dxa"/>
            <w:vAlign w:val="center"/>
          </w:tcPr>
          <w:p w14:paraId="1BD902E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eastAsiaTheme="minorEastAsia"/>
                <w:sz w:val="24"/>
                <w:szCs w:val="24"/>
                <w:vertAlign w:val="baseline"/>
                <w:lang w:val="en-US" w:eastAsia="zh-CN"/>
              </w:rPr>
            </w:pPr>
            <w:r>
              <w:rPr>
                <w:rFonts w:hint="eastAsia"/>
                <w:sz w:val="24"/>
                <w:szCs w:val="24"/>
                <w:vertAlign w:val="baseline"/>
              </w:rPr>
              <w:t>文件审查项目</w:t>
            </w:r>
            <w:r>
              <w:rPr>
                <w:rFonts w:hint="eastAsia"/>
                <w:sz w:val="24"/>
                <w:szCs w:val="24"/>
                <w:vertAlign w:val="baseline"/>
                <w:lang w:eastAsia="zh-CN"/>
              </w:rPr>
              <w:t>：</w:t>
            </w:r>
            <w:r>
              <w:rPr>
                <w:rFonts w:hint="eastAsia"/>
                <w:sz w:val="24"/>
                <w:szCs w:val="24"/>
                <w:vertAlign w:val="baseline"/>
                <w:lang w:val="en-US" w:eastAsia="zh-CN"/>
              </w:rPr>
              <w:t>包括资格公平性审查、需求合规性审查、评审规则合规性审查、文件形式与完整性审查等功能</w:t>
            </w:r>
          </w:p>
        </w:tc>
        <w:tc>
          <w:tcPr>
            <w:tcW w:w="1250" w:type="dxa"/>
            <w:vAlign w:val="center"/>
          </w:tcPr>
          <w:p w14:paraId="110AD0C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1575" w:type="dxa"/>
            <w:vAlign w:val="center"/>
          </w:tcPr>
          <w:p w14:paraId="3570544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928" w:type="dxa"/>
            <w:vAlign w:val="center"/>
          </w:tcPr>
          <w:p w14:paraId="73C4A2D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r>
      <w:tr w14:paraId="3826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663" w:type="dxa"/>
            <w:vAlign w:val="top"/>
          </w:tcPr>
          <w:p w14:paraId="5CEBB6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Theme="minorEastAsia"/>
                <w:sz w:val="24"/>
                <w:szCs w:val="24"/>
                <w:vertAlign w:val="baseline"/>
                <w:lang w:val="en-US" w:eastAsia="zh-CN"/>
              </w:rPr>
            </w:pPr>
            <w:r>
              <w:rPr>
                <w:rFonts w:hint="default"/>
                <w:sz w:val="24"/>
                <w:szCs w:val="24"/>
                <w:vertAlign w:val="baseline"/>
                <w:lang w:val="en-US" w:eastAsia="zh-CN"/>
              </w:rPr>
              <w:t>8</w:t>
            </w:r>
          </w:p>
        </w:tc>
        <w:tc>
          <w:tcPr>
            <w:tcW w:w="1349" w:type="dxa"/>
            <w:vMerge w:val="continue"/>
            <w:vAlign w:val="center"/>
          </w:tcPr>
          <w:p w14:paraId="23F4499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8292" w:type="dxa"/>
            <w:vAlign w:val="center"/>
          </w:tcPr>
          <w:p w14:paraId="12F7E45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eastAsiaTheme="minorEastAsia"/>
                <w:sz w:val="24"/>
                <w:szCs w:val="24"/>
                <w:vertAlign w:val="baseline"/>
                <w:lang w:val="en-US" w:eastAsia="zh-CN"/>
              </w:rPr>
            </w:pPr>
            <w:r>
              <w:rPr>
                <w:rFonts w:hint="eastAsia"/>
                <w:sz w:val="24"/>
                <w:szCs w:val="24"/>
                <w:vertAlign w:val="baseline"/>
              </w:rPr>
              <w:t>审查结果展示</w:t>
            </w:r>
            <w:r>
              <w:rPr>
                <w:rFonts w:hint="eastAsia"/>
                <w:sz w:val="24"/>
                <w:szCs w:val="24"/>
                <w:vertAlign w:val="baseline"/>
                <w:lang w:eastAsia="zh-CN"/>
              </w:rPr>
              <w:t>：</w:t>
            </w:r>
            <w:r>
              <w:rPr>
                <w:rFonts w:hint="eastAsia"/>
                <w:sz w:val="24"/>
                <w:szCs w:val="24"/>
                <w:vertAlign w:val="baseline"/>
                <w:lang w:val="en-US" w:eastAsia="zh-CN"/>
              </w:rPr>
              <w:t>包括风险内容可视化定位、风险提示与预警、自动生成修改建议、提供权威法规依据、导出批注版采购文件等功能</w:t>
            </w:r>
          </w:p>
        </w:tc>
        <w:tc>
          <w:tcPr>
            <w:tcW w:w="1250" w:type="dxa"/>
            <w:vAlign w:val="center"/>
          </w:tcPr>
          <w:p w14:paraId="130BACF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1575" w:type="dxa"/>
            <w:vAlign w:val="center"/>
          </w:tcPr>
          <w:p w14:paraId="1E6922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928" w:type="dxa"/>
            <w:vAlign w:val="center"/>
          </w:tcPr>
          <w:p w14:paraId="3C77594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r>
      <w:tr w14:paraId="69C7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663" w:type="dxa"/>
            <w:vAlign w:val="center"/>
          </w:tcPr>
          <w:p w14:paraId="3DE46F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eastAsiaTheme="minorEastAsia"/>
                <w:sz w:val="24"/>
                <w:szCs w:val="24"/>
                <w:vertAlign w:val="baseline"/>
                <w:lang w:val="en-US" w:eastAsia="zh-CN"/>
              </w:rPr>
            </w:pPr>
            <w:r>
              <w:rPr>
                <w:rFonts w:hint="eastAsia"/>
                <w:sz w:val="24"/>
                <w:szCs w:val="24"/>
                <w:vertAlign w:val="baseline"/>
                <w:lang w:val="en-US" w:eastAsia="zh-CN"/>
              </w:rPr>
              <w:t>9</w:t>
            </w:r>
          </w:p>
        </w:tc>
        <w:tc>
          <w:tcPr>
            <w:tcW w:w="1349" w:type="dxa"/>
            <w:vMerge w:val="continue"/>
            <w:vAlign w:val="center"/>
          </w:tcPr>
          <w:p w14:paraId="3EFC407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8292" w:type="dxa"/>
            <w:vAlign w:val="center"/>
          </w:tcPr>
          <w:p w14:paraId="4E99A49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eastAsiaTheme="minorEastAsia"/>
                <w:sz w:val="24"/>
                <w:szCs w:val="24"/>
                <w:vertAlign w:val="baseline"/>
                <w:lang w:val="en-US" w:eastAsia="zh-CN"/>
              </w:rPr>
            </w:pPr>
            <w:r>
              <w:rPr>
                <w:rFonts w:hint="eastAsia"/>
                <w:sz w:val="24"/>
                <w:szCs w:val="24"/>
                <w:vertAlign w:val="baseline"/>
              </w:rPr>
              <w:t>审查结果查询和统计</w:t>
            </w:r>
            <w:r>
              <w:rPr>
                <w:rFonts w:hint="eastAsia"/>
                <w:sz w:val="24"/>
                <w:szCs w:val="24"/>
                <w:vertAlign w:val="baseline"/>
                <w:lang w:eastAsia="zh-CN"/>
              </w:rPr>
              <w:t>：</w:t>
            </w:r>
            <w:r>
              <w:rPr>
                <w:rFonts w:hint="eastAsia"/>
                <w:sz w:val="24"/>
                <w:szCs w:val="24"/>
                <w:vertAlign w:val="baseline"/>
                <w:lang w:val="en-US" w:eastAsia="zh-CN"/>
              </w:rPr>
              <w:t>包括查看历史审查文件、采购文件审查情况报表和审查分析报告等功能</w:t>
            </w:r>
          </w:p>
        </w:tc>
        <w:tc>
          <w:tcPr>
            <w:tcW w:w="1250" w:type="dxa"/>
            <w:vAlign w:val="center"/>
          </w:tcPr>
          <w:p w14:paraId="50BD957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1575" w:type="dxa"/>
            <w:vAlign w:val="center"/>
          </w:tcPr>
          <w:p w14:paraId="516B9E3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c>
          <w:tcPr>
            <w:tcW w:w="928" w:type="dxa"/>
            <w:vAlign w:val="center"/>
          </w:tcPr>
          <w:p w14:paraId="6E996D3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sz w:val="24"/>
                <w:szCs w:val="24"/>
                <w:vertAlign w:val="baseline"/>
              </w:rPr>
            </w:pPr>
          </w:p>
        </w:tc>
      </w:tr>
      <w:tr w14:paraId="0EE5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3" w:type="dxa"/>
            <w:vAlign w:val="center"/>
          </w:tcPr>
          <w:p w14:paraId="128036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Theme="minorEastAsia"/>
                <w:sz w:val="24"/>
                <w:szCs w:val="24"/>
                <w:vertAlign w:val="baseline"/>
                <w:lang w:val="en-US" w:eastAsia="zh-CN"/>
              </w:rPr>
            </w:pPr>
          </w:p>
        </w:tc>
        <w:tc>
          <w:tcPr>
            <w:tcW w:w="12466" w:type="dxa"/>
            <w:gridSpan w:val="4"/>
            <w:vAlign w:val="center"/>
          </w:tcPr>
          <w:p w14:paraId="25837A1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eastAsiaTheme="minorEastAsia"/>
                <w:sz w:val="24"/>
                <w:szCs w:val="24"/>
                <w:vertAlign w:val="baseline"/>
                <w:lang w:val="en-US" w:eastAsia="zh-CN"/>
              </w:rPr>
            </w:pPr>
            <w:r>
              <w:rPr>
                <w:rFonts w:hint="eastAsia"/>
                <w:sz w:val="24"/>
                <w:szCs w:val="24"/>
                <w:vertAlign w:val="baseline"/>
                <w:lang w:val="en-US" w:eastAsia="zh-CN"/>
              </w:rPr>
              <w:t>合计</w:t>
            </w:r>
          </w:p>
        </w:tc>
        <w:tc>
          <w:tcPr>
            <w:tcW w:w="928" w:type="dxa"/>
          </w:tcPr>
          <w:p w14:paraId="78566F37">
            <w:pPr>
              <w:keepNext w:val="0"/>
              <w:keepLines w:val="0"/>
              <w:pageBreakBefore w:val="0"/>
              <w:widowControl w:val="0"/>
              <w:kinsoku/>
              <w:wordWrap/>
              <w:overflowPunct/>
              <w:topLinePunct w:val="0"/>
              <w:autoSpaceDE/>
              <w:autoSpaceDN/>
              <w:bidi w:val="0"/>
              <w:adjustRightInd/>
              <w:snapToGrid/>
              <w:spacing w:line="360" w:lineRule="exact"/>
              <w:textAlignment w:val="auto"/>
              <w:rPr>
                <w:sz w:val="24"/>
                <w:szCs w:val="24"/>
                <w:vertAlign w:val="baseline"/>
              </w:rPr>
            </w:pPr>
          </w:p>
        </w:tc>
      </w:tr>
    </w:tbl>
    <w:p w14:paraId="4FD0EFD3">
      <w:pPr>
        <w:rPr>
          <w:rFonts w:hint="default"/>
          <w:lang w:val="en-US" w:eastAsia="zh-CN"/>
        </w:rPr>
      </w:pPr>
    </w:p>
    <w:p w14:paraId="07DB78F0">
      <w:pPr>
        <w:rPr>
          <w:rFonts w:hint="default"/>
          <w:lang w:val="en-US" w:eastAsia="zh-CN"/>
        </w:rPr>
      </w:pPr>
      <w:r>
        <w:rPr>
          <w:rFonts w:hint="eastAsia"/>
          <w:lang w:val="en-US" w:eastAsia="zh-CN"/>
        </w:rPr>
        <w:t>报价单位（盖章）：</w:t>
      </w:r>
    </w:p>
    <w:p w14:paraId="337C06B2">
      <w:pPr>
        <w:rPr>
          <w:rFonts w:hint="eastAsia"/>
          <w:lang w:val="en-US" w:eastAsia="zh-CN"/>
        </w:rPr>
      </w:pPr>
      <w:r>
        <w:rPr>
          <w:rFonts w:hint="eastAsia"/>
          <w:lang w:val="en-US" w:eastAsia="zh-CN"/>
        </w:rPr>
        <w:t>联系人及联系方式;</w:t>
      </w:r>
    </w:p>
    <w:p w14:paraId="5F830658">
      <w:pPr>
        <w:rPr>
          <w:rFonts w:hint="eastAsia"/>
          <w:lang w:val="en-US" w:eastAsia="zh-CN"/>
        </w:rPr>
      </w:pPr>
      <w:r>
        <w:rPr>
          <w:rFonts w:hint="eastAsia"/>
          <w:lang w:val="en-US" w:eastAsia="zh-CN"/>
        </w:rPr>
        <w:t>报价日期：</w:t>
      </w:r>
    </w:p>
    <w:p w14:paraId="162F7106">
      <w:pPr>
        <w:spacing w:line="560" w:lineRule="exact"/>
        <w:jc w:val="center"/>
        <w:rPr>
          <w:rFonts w:hint="eastAsia" w:ascii="方正小标宋简体" w:eastAsia="方正小标宋简体"/>
          <w:bCs/>
          <w:sz w:val="36"/>
          <w:szCs w:val="36"/>
          <w:lang w:val="en-US" w:eastAsia="zh-CN"/>
        </w:rPr>
      </w:pPr>
      <w:r>
        <w:rPr>
          <w:rFonts w:hint="eastAsia" w:ascii="方正小标宋简体" w:eastAsia="方正小标宋简体"/>
          <w:bCs/>
          <w:sz w:val="36"/>
          <w:szCs w:val="36"/>
          <w:lang w:val="en-US" w:eastAsia="zh-CN"/>
        </w:rPr>
        <w:t>报价须知</w:t>
      </w:r>
    </w:p>
    <w:p w14:paraId="038767A1">
      <w:pPr>
        <w:spacing w:line="560" w:lineRule="exact"/>
        <w:jc w:val="both"/>
        <w:rPr>
          <w:rFonts w:hint="default"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sz w:val="32"/>
          <w:szCs w:val="32"/>
          <w:lang w:val="en-US" w:eastAsia="zh-CN"/>
        </w:rPr>
        <w:t>1.报价范围：</w:t>
      </w:r>
      <w:r>
        <w:rPr>
          <w:rFonts w:hint="eastAsia" w:ascii="仿宋_GB2312" w:hAnsi="仿宋_GB2312" w:eastAsia="仿宋_GB2312" w:cs="仿宋_GB2312"/>
          <w:b w:val="0"/>
          <w:bCs/>
          <w:sz w:val="32"/>
          <w:szCs w:val="32"/>
          <w:lang w:val="en-US" w:eastAsia="zh-CN"/>
        </w:rPr>
        <w:t>本报价须为包含所有税费及第三方知识产权授权费用的，涵盖</w:t>
      </w:r>
      <w:r>
        <w:rPr>
          <w:rFonts w:hint="eastAsia" w:ascii="仿宋_GB2312" w:hAnsi="仿宋_GB2312" w:eastAsia="仿宋_GB2312" w:cs="仿宋_GB2312"/>
          <w:b w:val="0"/>
          <w:bCs/>
          <w:kern w:val="2"/>
          <w:sz w:val="32"/>
          <w:szCs w:val="32"/>
          <w:lang w:val="en-US" w:eastAsia="zh-CN" w:bidi="ar-SA"/>
        </w:rPr>
        <w:t>政府采购AI采购文件合规审核</w:t>
      </w:r>
      <w:r>
        <w:rPr>
          <w:rFonts w:hint="eastAsia" w:ascii="仿宋_GB2312" w:hAnsi="仿宋_GB2312" w:eastAsia="仿宋_GB2312" w:cs="仿宋_GB2312"/>
          <w:b w:val="0"/>
          <w:bCs/>
          <w:sz w:val="32"/>
          <w:szCs w:val="32"/>
          <w:lang w:val="en-US" w:eastAsia="zh-CN"/>
        </w:rPr>
        <w:t>模型构建与</w:t>
      </w:r>
      <w:r>
        <w:rPr>
          <w:rFonts w:hint="eastAsia" w:ascii="仿宋_GB2312" w:hAnsi="仿宋_GB2312" w:eastAsia="仿宋_GB2312" w:cs="仿宋_GB2312"/>
          <w:b w:val="0"/>
          <w:bCs/>
          <w:kern w:val="2"/>
          <w:sz w:val="32"/>
          <w:szCs w:val="32"/>
          <w:lang w:val="en-US" w:eastAsia="zh-CN" w:bidi="ar-SA"/>
        </w:rPr>
        <w:t>政府采购AI采购文件合规审核</w:t>
      </w:r>
      <w:r>
        <w:rPr>
          <w:rFonts w:hint="eastAsia" w:ascii="仿宋_GB2312" w:hAnsi="仿宋_GB2312" w:eastAsia="仿宋_GB2312" w:cs="仿宋_GB2312"/>
          <w:b w:val="0"/>
          <w:bCs/>
          <w:sz w:val="32"/>
          <w:szCs w:val="32"/>
          <w:lang w:val="en-US" w:eastAsia="zh-CN"/>
        </w:rPr>
        <w:t>工具功能模块开发、部署、集成及质保服务的最终完整费用。</w:t>
      </w:r>
    </w:p>
    <w:p w14:paraId="7171D84D">
      <w:pPr>
        <w:spacing w:line="560" w:lineRule="exact"/>
        <w:jc w:val="both"/>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2.项目源码交付：</w:t>
      </w:r>
      <w:r>
        <w:rPr>
          <w:rFonts w:hint="eastAsia" w:ascii="仿宋_GB2312" w:hAnsi="仿宋_GB2312" w:eastAsia="仿宋_GB2312" w:cs="仿宋_GB2312"/>
          <w:bCs/>
          <w:sz w:val="32"/>
          <w:szCs w:val="32"/>
          <w:lang w:val="en-US" w:eastAsia="zh-CN"/>
        </w:rPr>
        <w:t>中标方须在项目验收通过后7个工作日内，向采购方交付完整定制化开发部分的可编译项目源码（含全部依赖组件说明）、数据库结构文档及技术白皮书，并提供不少于3次的源码架构专项培训。</w:t>
      </w:r>
    </w:p>
    <w:p w14:paraId="22829B66">
      <w:pPr>
        <w:spacing w:line="560" w:lineRule="exact"/>
        <w:jc w:val="both"/>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3.售后服务承诺</w:t>
      </w:r>
      <w:r>
        <w:rPr>
          <w:rFonts w:hint="eastAsia" w:ascii="仿宋_GB2312" w:hAnsi="仿宋_GB2312" w:eastAsia="仿宋_GB2312" w:cs="仿宋_GB2312"/>
          <w:bCs/>
          <w:sz w:val="32"/>
          <w:szCs w:val="32"/>
          <w:lang w:val="en-US" w:eastAsia="zh-CN"/>
        </w:rPr>
        <w:t>：提供自验收合格之日起1年的免费质保，期间提供5×8小时服务</w:t>
      </w:r>
      <w:bookmarkStart w:id="0" w:name="_GoBack"/>
      <w:bookmarkEnd w:id="0"/>
      <w:r>
        <w:rPr>
          <w:rFonts w:hint="eastAsia" w:ascii="仿宋_GB2312" w:hAnsi="仿宋_GB2312" w:eastAsia="仿宋_GB2312" w:cs="仿宋_GB2312"/>
          <w:bCs/>
          <w:sz w:val="32"/>
          <w:szCs w:val="32"/>
          <w:lang w:val="en-US" w:eastAsia="zh-CN"/>
        </w:rPr>
        <w:t>支持；普通问题2小时内响应，重大紧急缺陷30分钟内启动应急处理机制。</w:t>
      </w:r>
    </w:p>
    <w:p w14:paraId="69249D23">
      <w:pPr>
        <w:spacing w:line="560" w:lineRule="exact"/>
        <w:jc w:val="both"/>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4.模型备案支持：</w:t>
      </w:r>
      <w:r>
        <w:rPr>
          <w:rFonts w:hint="eastAsia" w:ascii="仿宋_GB2312" w:hAnsi="仿宋_GB2312" w:eastAsia="仿宋_GB2312" w:cs="仿宋_GB2312"/>
          <w:bCs/>
          <w:sz w:val="32"/>
          <w:szCs w:val="32"/>
          <w:lang w:val="en-US" w:eastAsia="zh-CN"/>
        </w:rPr>
        <w:t>中标方须配合采购方完成公安部门信息系统安全等级保护备案及模型算法备案工作，确保所有技术文档符合监管机构要求，如因技术方案问题导致备案延期需承担相应违约责任。</w:t>
      </w:r>
    </w:p>
    <w:p w14:paraId="08692F5A">
      <w:pPr>
        <w:spacing w:line="560" w:lineRule="exact"/>
        <w:jc w:val="both"/>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5.知识产权约定</w:t>
      </w:r>
      <w:r>
        <w:rPr>
          <w:rFonts w:hint="eastAsia" w:ascii="仿宋_GB2312" w:hAnsi="仿宋_GB2312" w:eastAsia="仿宋_GB2312" w:cs="仿宋_GB2312"/>
          <w:bCs/>
          <w:sz w:val="32"/>
          <w:szCs w:val="32"/>
          <w:lang w:val="en-US" w:eastAsia="zh-CN"/>
        </w:rPr>
        <w:t>：本项目定制开发的AI模型、规则引擎、知识库架构等成果知识产权归采购方所有；</w:t>
      </w:r>
    </w:p>
    <w:p w14:paraId="7B7D4A1F">
      <w:pPr>
        <w:spacing w:line="560" w:lineRule="exact"/>
        <w:jc w:val="both"/>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中标方需提供基础模型的永久商用授权证明，确保采购方在授权范围内可无限期使用。</w:t>
      </w:r>
    </w:p>
    <w:p w14:paraId="056B49DB">
      <w:pPr>
        <w:spacing w:line="560" w:lineRule="exact"/>
        <w:jc w:val="both"/>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6.数据安全要求</w:t>
      </w:r>
      <w:r>
        <w:rPr>
          <w:rFonts w:hint="eastAsia" w:ascii="仿宋_GB2312" w:hAnsi="仿宋_GB2312" w:eastAsia="仿宋_GB2312" w:cs="仿宋_GB2312"/>
          <w:bCs/>
          <w:sz w:val="32"/>
          <w:szCs w:val="32"/>
          <w:lang w:val="en-US" w:eastAsia="zh-CN"/>
        </w:rPr>
        <w:t>：项目涉及的全部训练数据、标注资料及业务文档须在验收后15个工作日内彻底销毁，并出具由法定代表人或项目负责人签字的销毁证明。</w:t>
      </w:r>
    </w:p>
    <w:p w14:paraId="3874F093">
      <w:pPr>
        <w:spacing w:line="560" w:lineRule="exact"/>
        <w:jc w:val="both"/>
        <w:rPr>
          <w:rFonts w:hint="default" w:ascii="方正小标宋简体" w:eastAsia="方正小标宋简体"/>
          <w:bCs/>
          <w:sz w:val="36"/>
          <w:szCs w:val="36"/>
          <w:lang w:val="en-US" w:eastAsia="zh-CN"/>
        </w:rPr>
      </w:pPr>
      <w:r>
        <w:rPr>
          <w:rFonts w:hint="eastAsia" w:ascii="仿宋_GB2312" w:hAnsi="仿宋_GB2312" w:eastAsia="仿宋_GB2312" w:cs="仿宋_GB2312"/>
          <w:b/>
          <w:bCs w:val="0"/>
          <w:sz w:val="32"/>
          <w:szCs w:val="32"/>
          <w:lang w:val="en-US" w:eastAsia="zh-CN"/>
        </w:rPr>
        <w:t>7.验收标准说明</w:t>
      </w:r>
      <w:r>
        <w:rPr>
          <w:rFonts w:hint="eastAsia" w:ascii="仿宋_GB2312" w:hAnsi="仿宋_GB2312" w:eastAsia="仿宋_GB2312" w:cs="仿宋_GB2312"/>
          <w:bCs/>
          <w:sz w:val="32"/>
          <w:szCs w:val="32"/>
          <w:lang w:val="en-US" w:eastAsia="zh-CN"/>
        </w:rPr>
        <w:t>：项目验收以通过采购方组织的第三方测试机构测评报告为准，主要指标包括但不限于：基于系统已搭建形成的“审查知识库”，单个文件审查覆盖率要达到100%；基于单个文件审查形成的审查问题清单，审查准确率要达到95%及以上。</w:t>
      </w:r>
    </w:p>
    <w:sectPr>
      <w:pgSz w:w="16838" w:h="11906" w:orient="landscape"/>
      <w:pgMar w:top="960" w:right="1440" w:bottom="103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539BE"/>
    <w:rsid w:val="18177C8C"/>
    <w:rsid w:val="20716A57"/>
    <w:rsid w:val="25572E21"/>
    <w:rsid w:val="295A50D3"/>
    <w:rsid w:val="2AA82E2B"/>
    <w:rsid w:val="2D3D4D5E"/>
    <w:rsid w:val="3D4451F7"/>
    <w:rsid w:val="7A9F6C91"/>
    <w:rsid w:val="7AAC6D0A"/>
    <w:rsid w:val="7F6714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customStyle="1" w:styleId="7">
    <w:name w:val="font11"/>
    <w:basedOn w:val="5"/>
    <w:qFormat/>
    <w:uiPriority w:val="0"/>
    <w:rPr>
      <w:rFonts w:hint="eastAsia" w:ascii="宋体" w:hAnsi="宋体" w:eastAsia="宋体" w:cs="宋体"/>
      <w:color w:val="000000"/>
      <w:sz w:val="20"/>
      <w:szCs w:val="20"/>
      <w:u w:val="none"/>
    </w:rPr>
  </w:style>
  <w:style w:type="character" w:customStyle="1" w:styleId="8">
    <w:name w:val="font21"/>
    <w:basedOn w:val="5"/>
    <w:qFormat/>
    <w:uiPriority w:val="0"/>
    <w:rPr>
      <w:rFonts w:hint="eastAsia" w:ascii="宋体" w:hAnsi="宋体" w:eastAsia="宋体" w:cs="宋体"/>
      <w:b/>
      <w:bCs/>
      <w:color w:val="1A3FFC"/>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1125</Words>
  <Characters>1150</Characters>
  <Lines>0</Lines>
  <Paragraphs>0</Paragraphs>
  <TotalTime>0</TotalTime>
  <ScaleCrop>false</ScaleCrop>
  <LinksUpToDate>false</LinksUpToDate>
  <CharactersWithSpaces>1150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2025-11-14T01:43:00Z</dcterms:created>
  <dc:creator>liaok</dc:creator>
  <cp:lastModifiedBy>廖开德</cp:lastModifiedBy>
  <dcterms:modified xsi:type="dcterms:W3CDTF">2025-11-17T01:05:12Z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eyJoZGlkIjoiOTE2OTY5ZTQyMzAwY2Y3N2M4NzFhOTI1NGRmYTczNGIifQ==</vt:lpwstr>
  </property>
  <property fmtid="{D5CDD505-2E9C-101B-9397-08002B2CF9AE}" pid="4" name="ICV">
    <vt:lpwstr>1A79277024184965A571C87987814CF2_13</vt:lpwstr>
  </property>
</Properties>
</file>