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13E4D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41A16F95">
      <w:pPr>
        <w:spacing w:line="560" w:lineRule="exact"/>
        <w:ind w:firstLine="880" w:firstLineChars="200"/>
        <w:jc w:val="center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</w:rPr>
      </w:pPr>
    </w:p>
    <w:p w14:paraId="3ADD94B4">
      <w:pPr>
        <w:spacing w:line="560" w:lineRule="exact"/>
        <w:ind w:left="0"/>
        <w:jc w:val="center"/>
        <w:rPr>
          <w:rFonts w:hint="eastAsia" w:ascii="方正小标宋简体" w:hAnsi="方正公文小标宋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公文小标宋" w:eastAsia="方正小标宋简体" w:cs="方正小标宋简体"/>
          <w:bCs/>
          <w:color w:val="000000"/>
          <w:sz w:val="44"/>
          <w:szCs w:val="44"/>
        </w:rPr>
        <w:t>深圳市宝实置业有限公司</w:t>
      </w:r>
    </w:p>
    <w:p w14:paraId="6C0E4D6F">
      <w:pPr>
        <w:spacing w:line="560" w:lineRule="exact"/>
        <w:ind w:left="0"/>
        <w:jc w:val="center"/>
        <w:rPr>
          <w:rFonts w:hint="eastAsia" w:ascii="方正小标宋简体" w:hAnsi="方正公文小标宋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公文小标宋" w:eastAsia="方正小标宋简体" w:cs="方正小标宋简体"/>
          <w:bCs/>
          <w:color w:val="000000"/>
          <w:sz w:val="44"/>
          <w:szCs w:val="44"/>
        </w:rPr>
        <w:t>新桥东恒安苑物业承接查验技术</w:t>
      </w:r>
    </w:p>
    <w:p w14:paraId="20047967">
      <w:pPr>
        <w:spacing w:line="560" w:lineRule="exact"/>
        <w:ind w:left="0"/>
        <w:jc w:val="center"/>
        <w:rPr>
          <w:rFonts w:hint="eastAsia" w:ascii="方正小标宋简体" w:hAnsi="方正公文小标宋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公文小标宋" w:eastAsia="方正小标宋简体" w:cs="方正小标宋简体"/>
          <w:bCs/>
          <w:color w:val="000000"/>
          <w:sz w:val="44"/>
          <w:szCs w:val="44"/>
        </w:rPr>
        <w:t>服务</w:t>
      </w:r>
      <w:bookmarkStart w:id="0" w:name="_GoBack"/>
      <w:r>
        <w:rPr>
          <w:rFonts w:hint="eastAsia" w:ascii="方正小标宋简体" w:hAnsi="方正公文小标宋" w:eastAsia="方正小标宋简体" w:cs="方正小标宋简体"/>
          <w:bCs/>
          <w:color w:val="000000"/>
          <w:sz w:val="44"/>
          <w:szCs w:val="44"/>
        </w:rPr>
        <w:t>报价表</w:t>
      </w:r>
      <w:bookmarkEnd w:id="0"/>
    </w:p>
    <w:tbl>
      <w:tblPr>
        <w:tblStyle w:val="3"/>
        <w:tblpPr w:leftFromText="180" w:rightFromText="180" w:vertAnchor="text" w:horzAnchor="margin" w:tblpX="86" w:tblpY="115"/>
        <w:tblW w:w="9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3326"/>
        <w:gridCol w:w="3284"/>
        <w:gridCol w:w="1880"/>
      </w:tblGrid>
      <w:tr w14:paraId="6ED7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88" w:type="dxa"/>
            <w:vAlign w:val="center"/>
          </w:tcPr>
          <w:p w14:paraId="417F4881">
            <w:pPr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/>
                <w:color w:val="000000"/>
                <w:sz w:val="22"/>
                <w:szCs w:val="21"/>
              </w:rPr>
              <w:t>序号</w:t>
            </w:r>
          </w:p>
        </w:tc>
        <w:tc>
          <w:tcPr>
            <w:tcW w:w="3326" w:type="dxa"/>
            <w:vAlign w:val="center"/>
          </w:tcPr>
          <w:p w14:paraId="79B85230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服务事项</w:t>
            </w:r>
          </w:p>
        </w:tc>
        <w:tc>
          <w:tcPr>
            <w:tcW w:w="3284" w:type="dxa"/>
            <w:vAlign w:val="center"/>
          </w:tcPr>
          <w:p w14:paraId="770CB93E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/>
                <w:color w:val="000000"/>
                <w:sz w:val="22"/>
                <w:szCs w:val="21"/>
              </w:rPr>
              <w:t>综合单价</w:t>
            </w:r>
          </w:p>
        </w:tc>
        <w:tc>
          <w:tcPr>
            <w:tcW w:w="1880" w:type="dxa"/>
            <w:vAlign w:val="center"/>
          </w:tcPr>
          <w:p w14:paraId="4216541C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小</w:t>
            </w:r>
            <w:r>
              <w:rPr>
                <w:rFonts w:ascii="宋体" w:hAnsi="宋体"/>
                <w:color w:val="000000"/>
                <w:sz w:val="22"/>
                <w:szCs w:val="21"/>
              </w:rPr>
              <w:t>计（元）</w:t>
            </w:r>
          </w:p>
        </w:tc>
      </w:tr>
      <w:tr w14:paraId="7F24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888" w:type="dxa"/>
            <w:vAlign w:val="center"/>
          </w:tcPr>
          <w:p w14:paraId="0A0467FA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1</w:t>
            </w:r>
          </w:p>
        </w:tc>
        <w:tc>
          <w:tcPr>
            <w:tcW w:w="3326" w:type="dxa"/>
            <w:vAlign w:val="center"/>
          </w:tcPr>
          <w:p w14:paraId="441D04A6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现场查验、初验报告；整改跟踪、复核复验报告。</w:t>
            </w:r>
          </w:p>
        </w:tc>
        <w:tc>
          <w:tcPr>
            <w:tcW w:w="3284" w:type="dxa"/>
            <w:vAlign w:val="center"/>
          </w:tcPr>
          <w:p w14:paraId="113FDC53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2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sz w:val="22"/>
                <w:szCs w:val="21"/>
              </w:rPr>
              <w:t>（元/项）</w:t>
            </w:r>
          </w:p>
        </w:tc>
        <w:tc>
          <w:tcPr>
            <w:tcW w:w="1880" w:type="dxa"/>
            <w:vAlign w:val="center"/>
          </w:tcPr>
          <w:p w14:paraId="22802DA8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</w:tr>
      <w:tr w14:paraId="3B98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88" w:type="dxa"/>
            <w:vAlign w:val="center"/>
          </w:tcPr>
          <w:p w14:paraId="3054BEEB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 w:hAnsi="宋体"/>
                <w:color w:val="000000"/>
                <w:sz w:val="22"/>
                <w:szCs w:val="21"/>
              </w:rPr>
              <w:t>合计</w:t>
            </w:r>
          </w:p>
        </w:tc>
        <w:tc>
          <w:tcPr>
            <w:tcW w:w="3326" w:type="dxa"/>
            <w:vAlign w:val="center"/>
          </w:tcPr>
          <w:p w14:paraId="20025B42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  <w:szCs w:val="21"/>
                <w:highlight w:val="yellow"/>
              </w:rPr>
            </w:pPr>
          </w:p>
        </w:tc>
        <w:tc>
          <w:tcPr>
            <w:tcW w:w="3284" w:type="dxa"/>
            <w:vAlign w:val="center"/>
          </w:tcPr>
          <w:p w14:paraId="5437DD9B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588E20A8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  <w:szCs w:val="21"/>
              </w:rPr>
            </w:pPr>
          </w:p>
        </w:tc>
      </w:tr>
      <w:tr w14:paraId="7372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498" w:type="dxa"/>
            <w:gridSpan w:val="3"/>
            <w:vAlign w:val="center"/>
          </w:tcPr>
          <w:p w14:paraId="0AD9738A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</w:rPr>
            </w:pPr>
          </w:p>
        </w:tc>
        <w:tc>
          <w:tcPr>
            <w:tcW w:w="1880" w:type="dxa"/>
            <w:vAlign w:val="center"/>
          </w:tcPr>
          <w:p w14:paraId="187A24A9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</w:rPr>
            </w:pPr>
          </w:p>
        </w:tc>
      </w:tr>
    </w:tbl>
    <w:p w14:paraId="4B75EF2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</w:p>
    <w:p w14:paraId="04F0EB75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、本次物业承接查验技术服务费用由以上项目构成，请根据报价表内容逐项填报。</w:t>
      </w:r>
    </w:p>
    <w:p w14:paraId="14D6573C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、咨询服务费含税价。</w:t>
      </w:r>
    </w:p>
    <w:p w14:paraId="3321A74F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、价格应按“报价须知”中规定的货币单位填写。</w:t>
      </w:r>
    </w:p>
    <w:p w14:paraId="645414D8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、报价单位如需要对报价或其他内容加以说明，可在备注栏填写（或另附页说明）。</w:t>
      </w:r>
    </w:p>
    <w:p w14:paraId="4DE4D986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、报价表应加盖公章。</w:t>
      </w:r>
    </w:p>
    <w:p w14:paraId="2638F72E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、此次报价仅作为项目前期公开询价，与最终标的无关。</w:t>
      </w:r>
    </w:p>
    <w:p w14:paraId="4A54B324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、本表格仅为指导性范本，报价单位可根据项目具体情况对报价表进行调整。</w:t>
      </w:r>
    </w:p>
    <w:p w14:paraId="166D6EA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、本次询价结果可能作为项目咨询费的参考依据，请贵单位保证能完成本项目工作前提下报价。</w:t>
      </w:r>
    </w:p>
    <w:p w14:paraId="36B0CAE1">
      <w:pPr>
        <w:pStyle w:val="2"/>
        <w:spacing w:line="56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</w:p>
    <w:p w14:paraId="6E4102B5">
      <w:pPr>
        <w:pStyle w:val="2"/>
        <w:spacing w:line="56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</w:p>
    <w:p w14:paraId="22E27880">
      <w:pPr>
        <w:pStyle w:val="2"/>
        <w:spacing w:line="560" w:lineRule="exact"/>
        <w:ind w:firstLine="60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报价单位（公章）：</w:t>
      </w:r>
    </w:p>
    <w:p w14:paraId="30D6135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D19106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5477C"/>
    <w:rsid w:val="5455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2026-04-17T08:50:00Z</dcterms:created>
  <dc:creator>陈q</dc:creator>
  <cp:lastModifiedBy>陈q</cp:lastModifiedBy>
  <dcterms:modified xsi:type="dcterms:W3CDTF">2026-04-17T08:50:18Z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64FCE6CDE9264C26A0272A6E77EBFD94_11</vt:lpwstr>
  </property>
  <property fmtid="{D5CDD505-2E9C-101B-9397-08002B2CF9AE}" pid="4" name="KSOTemplateDocerSaveRecord">
    <vt:lpwstr>eyJoZGlkIjoiY2U4ZjAwN2IxZTZkZGVmNDE3OGQ1YjUxNmU2MTIxNWEiLCJ1c2VySWQiOiIzMDM5ODc0MjAifQ==</vt:lpwstr>
  </property>
</Properties>
</file>