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99CC6">
      <w:pPr>
        <w:spacing w:before="0" w:after="0" w:line="312" w:lineRule="auto"/>
        <w:jc w:val="center"/>
      </w:pPr>
      <w:r>
        <w:rPr>
          <w:rFonts w:ascii="Times New Roman" w:hAnsi="Times New Roman" w:eastAsia="黑体"/>
          <w:b/>
          <w:color w:val="000000"/>
          <w:sz w:val="44"/>
        </w:rPr>
        <w:t>新桥东</w:t>
      </w:r>
      <w:r>
        <w:rPr>
          <w:rFonts w:hint="eastAsia" w:eastAsia="黑体"/>
          <w:b/>
          <w:color w:val="000000"/>
          <w:sz w:val="44"/>
          <w:lang w:val="en-US" w:eastAsia="zh-CN"/>
        </w:rPr>
        <w:t>片区</w:t>
      </w:r>
      <w:r>
        <w:rPr>
          <w:rFonts w:ascii="Times New Roman" w:hAnsi="Times New Roman" w:eastAsia="黑体"/>
          <w:b/>
          <w:color w:val="000000"/>
          <w:sz w:val="44"/>
        </w:rPr>
        <w:t>重点城市更新项目08-03、08-04、08-06地块新建</w:t>
      </w:r>
      <w:r>
        <w:rPr>
          <w:rFonts w:hint="eastAsia" w:eastAsia="黑体"/>
          <w:b/>
          <w:color w:val="000000"/>
          <w:sz w:val="44"/>
          <w:lang w:val="en-US" w:eastAsia="zh-CN"/>
        </w:rPr>
        <w:t>住宅</w:t>
      </w:r>
      <w:r>
        <w:rPr>
          <w:rFonts w:ascii="Times New Roman" w:hAnsi="Times New Roman" w:eastAsia="黑体"/>
          <w:b/>
          <w:color w:val="000000"/>
          <w:sz w:val="44"/>
        </w:rPr>
        <w:t>燃气工程监理任务书</w:t>
      </w:r>
    </w:p>
    <w:p w14:paraId="661CBB59">
      <w:pPr>
        <w:spacing w:before="360" w:after="200" w:line="312" w:lineRule="auto"/>
        <w:jc w:val="center"/>
      </w:pPr>
      <w:r>
        <w:rPr>
          <w:rFonts w:ascii="Arial" w:hAnsi="Arial" w:eastAsia="黑体"/>
          <w:b/>
          <w:color w:val="000000"/>
          <w:sz w:val="32"/>
        </w:rPr>
        <w:t>第一部分  燃气工程监理任务书</w:t>
      </w:r>
    </w:p>
    <w:p w14:paraId="5945B1FB">
      <w:pPr>
        <w:spacing w:before="280" w:after="120" w:line="312" w:lineRule="auto"/>
        <w:jc w:val="left"/>
      </w:pPr>
      <w:r>
        <w:rPr>
          <w:rFonts w:ascii="Arial" w:hAnsi="Arial" w:eastAsia="黑体"/>
          <w:b/>
          <w:color w:val="000000"/>
          <w:sz w:val="28"/>
        </w:rPr>
        <w:t>一、项目概况</w:t>
      </w:r>
    </w:p>
    <w:p w14:paraId="19CF6AFF">
      <w:pPr>
        <w:spacing w:before="120" w:after="60" w:line="312" w:lineRule="auto"/>
        <w:jc w:val="left"/>
      </w:pPr>
      <w:r>
        <w:rPr>
          <w:rFonts w:ascii="Times New Roman" w:hAnsi="Times New Roman" w:eastAsia="宋体"/>
          <w:b/>
          <w:color w:val="000000"/>
          <w:sz w:val="24"/>
        </w:rPr>
        <w:t>（一）项目名称</w:t>
      </w:r>
    </w:p>
    <w:p w14:paraId="50017228">
      <w:pPr>
        <w:spacing w:before="0" w:after="0" w:line="360" w:lineRule="auto"/>
        <w:ind w:firstLine="480" w:firstLineChars="200"/>
        <w:jc w:val="both"/>
      </w:pPr>
      <w:r>
        <w:rPr>
          <w:rFonts w:ascii="Times New Roman" w:hAnsi="Times New Roman" w:eastAsia="宋体"/>
          <w:b w:val="0"/>
          <w:color w:val="000000"/>
          <w:sz w:val="24"/>
        </w:rPr>
        <w:t>新桥东</w:t>
      </w:r>
      <w:r>
        <w:rPr>
          <w:rFonts w:hint="eastAsia" w:ascii="Times New Roman" w:hAnsi="Times New Roman" w:eastAsia="宋体"/>
          <w:b w:val="0"/>
          <w:color w:val="000000"/>
          <w:sz w:val="24"/>
          <w:lang w:val="en-US" w:eastAsia="zh-CN"/>
        </w:rPr>
        <w:t>片区</w:t>
      </w:r>
      <w:r>
        <w:rPr>
          <w:rFonts w:ascii="Times New Roman" w:hAnsi="Times New Roman" w:eastAsia="宋体"/>
          <w:b w:val="0"/>
          <w:color w:val="000000"/>
          <w:sz w:val="24"/>
        </w:rPr>
        <w:t>重点城市更新项目08-03、08-04、08-06地块新建</w:t>
      </w:r>
      <w:r>
        <w:rPr>
          <w:rFonts w:hint="eastAsia"/>
          <w:b w:val="0"/>
          <w:color w:val="000000"/>
          <w:sz w:val="24"/>
          <w:lang w:val="en-US" w:eastAsia="zh-CN"/>
        </w:rPr>
        <w:t>住宅</w:t>
      </w:r>
      <w:r>
        <w:rPr>
          <w:rFonts w:ascii="Times New Roman" w:hAnsi="Times New Roman" w:eastAsia="宋体"/>
          <w:b w:val="0"/>
          <w:color w:val="000000"/>
          <w:sz w:val="24"/>
        </w:rPr>
        <w:t>燃气工程监理。</w:t>
      </w:r>
    </w:p>
    <w:p w14:paraId="398D0146">
      <w:pPr>
        <w:spacing w:before="120" w:after="60" w:line="312" w:lineRule="auto"/>
        <w:jc w:val="left"/>
      </w:pPr>
      <w:r>
        <w:rPr>
          <w:rFonts w:ascii="Times New Roman" w:hAnsi="Times New Roman" w:eastAsia="宋体"/>
          <w:b/>
          <w:color w:val="000000"/>
          <w:sz w:val="24"/>
        </w:rPr>
        <w:t>（二）项目背景</w:t>
      </w:r>
    </w:p>
    <w:p w14:paraId="6191A5DD">
      <w:pPr>
        <w:ind w:firstLine="480" w:firstLineChars="200"/>
        <w:rPr>
          <w:rFonts w:hint="default" w:ascii="Times New Roman" w:hAnsi="Times New Roman" w:eastAsia="宋体" w:cs="Times New Roman"/>
          <w:color w:val="auto"/>
          <w:highlight w:val="none"/>
          <w:lang w:eastAsia="zh"/>
        </w:rPr>
      </w:pPr>
      <w:r>
        <w:rPr>
          <w:rFonts w:ascii="Times New Roman" w:hAnsi="Times New Roman" w:eastAsia="宋体"/>
          <w:b w:val="0"/>
          <w:color w:val="000000"/>
          <w:sz w:val="24"/>
        </w:rPr>
        <w:t>新桥东</w:t>
      </w:r>
      <w:r>
        <w:rPr>
          <w:rFonts w:hint="eastAsia" w:ascii="Times New Roman" w:hAnsi="Times New Roman" w:eastAsia="宋体"/>
          <w:b w:val="0"/>
          <w:color w:val="000000"/>
          <w:sz w:val="24"/>
          <w:lang w:val="en-US" w:eastAsia="zh-CN"/>
        </w:rPr>
        <w:t>片区</w:t>
      </w:r>
      <w:r>
        <w:rPr>
          <w:rFonts w:ascii="Times New Roman" w:hAnsi="Times New Roman" w:eastAsia="宋体"/>
          <w:b w:val="0"/>
          <w:color w:val="000000"/>
          <w:sz w:val="24"/>
        </w:rPr>
        <w:t>重点城市更新项目</w:t>
      </w:r>
      <w:r>
        <w:rPr>
          <w:rFonts w:hint="default" w:ascii="Times New Roman" w:hAnsi="Times New Roman" w:eastAsia="宋体" w:cs="Times New Roman"/>
          <w:color w:val="auto"/>
          <w:sz w:val="24"/>
          <w:szCs w:val="24"/>
          <w:highlight w:val="none"/>
          <w:lang w:eastAsia="zh-CN"/>
        </w:rPr>
        <w:t>08</w:t>
      </w:r>
      <w:r>
        <w:rPr>
          <w:rFonts w:hint="default"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03</w:t>
      </w:r>
      <w:r>
        <w:rPr>
          <w:rFonts w:hint="default"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08</w:t>
      </w:r>
      <w:r>
        <w:rPr>
          <w:rFonts w:hint="default"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04</w:t>
      </w:r>
      <w:r>
        <w:rPr>
          <w:rFonts w:hint="default"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08</w:t>
      </w:r>
      <w:r>
        <w:rPr>
          <w:rFonts w:hint="default"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06</w:t>
      </w:r>
      <w:r>
        <w:rPr>
          <w:rFonts w:hint="default" w:ascii="Times New Roman" w:hAnsi="Times New Roman" w:eastAsia="宋体" w:cs="Times New Roman"/>
          <w:color w:val="auto"/>
          <w:sz w:val="24"/>
          <w:szCs w:val="24"/>
          <w:highlight w:val="none"/>
          <w:lang w:eastAsia="zh"/>
        </w:rPr>
        <w:t>地块</w:t>
      </w:r>
      <w:r>
        <w:rPr>
          <w:rFonts w:hint="default" w:ascii="Times New Roman" w:hAnsi="Times New Roman" w:eastAsia="宋体" w:cs="Times New Roman"/>
          <w:color w:val="auto"/>
          <w:sz w:val="24"/>
          <w:szCs w:val="24"/>
          <w:highlight w:val="none"/>
        </w:rPr>
        <w:t>总建筑面积约</w:t>
      </w:r>
      <w:r>
        <w:rPr>
          <w:rFonts w:hint="eastAsia" w:ascii="Times New Roman" w:hAnsi="Times New Roman" w:eastAsia="宋体" w:cs="Times New Roman"/>
          <w:color w:val="auto"/>
          <w:sz w:val="24"/>
          <w:szCs w:val="24"/>
          <w:highlight w:val="none"/>
        </w:rPr>
        <w:t>555169.68</w:t>
      </w:r>
      <w:r>
        <w:rPr>
          <w:rFonts w:hint="default" w:ascii="Times New Roman" w:hAnsi="Times New Roman" w:eastAsia="宋体" w:cs="Times New Roman"/>
          <w:color w:val="auto"/>
          <w:sz w:val="24"/>
          <w:szCs w:val="24"/>
          <w:highlight w:val="none"/>
        </w:rPr>
        <w:t>㎡。其中，</w:t>
      </w:r>
      <w:r>
        <w:rPr>
          <w:rFonts w:hint="default" w:ascii="Times New Roman" w:hAnsi="Times New Roman" w:eastAsia="宋体" w:cs="Times New Roman"/>
          <w:color w:val="auto"/>
          <w:sz w:val="24"/>
          <w:szCs w:val="24"/>
          <w:highlight w:val="none"/>
          <w:lang w:val="en-US" w:eastAsia="zh-CN"/>
        </w:rPr>
        <w:t>08-03地块</w:t>
      </w:r>
      <w:r>
        <w:rPr>
          <w:rFonts w:hint="default" w:ascii="Times New Roman" w:hAnsi="Times New Roman" w:eastAsia="宋体" w:cs="Times New Roman"/>
          <w:color w:val="auto"/>
          <w:sz w:val="24"/>
          <w:szCs w:val="24"/>
          <w:highlight w:val="none"/>
        </w:rPr>
        <w:t>总用地面积32205.14㎡</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总建筑面积264478.62㎡</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地上由6栋超高层住字塔楼、1栋高层住笔塔楼1栋幼儿园与裙房间组成</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用地性质为普通居住用地；08-04地块占地面积16644.8㎡，总建筑面积约</w:t>
      </w:r>
      <w:r>
        <w:rPr>
          <w:rFonts w:hint="default" w:ascii="Times New Roman" w:hAnsi="Times New Roman" w:eastAsia="宋体" w:cs="Times New Roman"/>
          <w:color w:val="auto"/>
          <w:sz w:val="24"/>
          <w:szCs w:val="24"/>
          <w:highlight w:val="none"/>
          <w:lang w:eastAsia="zh-CN"/>
        </w:rPr>
        <w:t>1</w:t>
      </w:r>
      <w:r>
        <w:rPr>
          <w:rFonts w:hint="default" w:ascii="Times New Roman" w:hAnsi="Times New Roman" w:eastAsia="宋体" w:cs="Times New Roman"/>
          <w:color w:val="auto"/>
          <w:sz w:val="24"/>
          <w:szCs w:val="24"/>
          <w:highlight w:val="none"/>
          <w:lang w:val="en-US" w:eastAsia="zh-CN"/>
        </w:rPr>
        <w:t>49458.68</w:t>
      </w:r>
      <w:r>
        <w:rPr>
          <w:rFonts w:hint="default" w:ascii="Times New Roman" w:hAnsi="Times New Roman" w:eastAsia="宋体" w:cs="Times New Roman"/>
          <w:color w:val="auto"/>
          <w:sz w:val="24"/>
          <w:szCs w:val="24"/>
          <w:highlight w:val="none"/>
        </w:rPr>
        <w:t>㎡，地上由2栋超高层住宅塔楼、2栋高层住宅塔楼及塔楼底部2层(局部1层)商业裙房组成,住宅首层及局部二层架空</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地下共3 层地下室,功能为地下车库、非机动车库、设备房及人防工程用房</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用地性质为普通居住用地；08-06地块占地面积16236.3㎡，总建筑面积约1</w:t>
      </w:r>
      <w:r>
        <w:rPr>
          <w:rFonts w:hint="default" w:ascii="Times New Roman" w:hAnsi="Times New Roman" w:eastAsia="宋体" w:cs="Times New Roman"/>
          <w:color w:val="auto"/>
          <w:sz w:val="24"/>
          <w:szCs w:val="24"/>
          <w:highlight w:val="none"/>
          <w:lang w:eastAsia="zh-CN"/>
        </w:rPr>
        <w:t>4</w:t>
      </w:r>
      <w:r>
        <w:rPr>
          <w:rFonts w:hint="default" w:ascii="Times New Roman" w:hAnsi="Times New Roman" w:eastAsia="宋体" w:cs="Times New Roman"/>
          <w:color w:val="auto"/>
          <w:sz w:val="24"/>
          <w:szCs w:val="24"/>
          <w:highlight w:val="none"/>
          <w:lang w:val="en-US" w:eastAsia="zh-CN"/>
        </w:rPr>
        <w:t>1233.02</w:t>
      </w:r>
      <w:r>
        <w:rPr>
          <w:rFonts w:hint="default" w:ascii="Times New Roman" w:hAnsi="Times New Roman" w:eastAsia="宋体" w:cs="Times New Roman"/>
          <w:color w:val="auto"/>
          <w:sz w:val="24"/>
          <w:szCs w:val="24"/>
          <w:highlight w:val="none"/>
        </w:rPr>
        <w:t>㎡，用地性质为普通居住用地。</w:t>
      </w:r>
    </w:p>
    <w:p w14:paraId="0B56A99F">
      <w:pPr>
        <w:spacing w:before="0" w:after="0" w:line="360" w:lineRule="auto"/>
        <w:ind w:firstLine="480" w:firstLineChars="200"/>
        <w:jc w:val="both"/>
      </w:pPr>
      <w:r>
        <w:rPr>
          <w:rFonts w:ascii="Times New Roman" w:hAnsi="Times New Roman" w:eastAsia="宋体"/>
          <w:b w:val="0"/>
          <w:color w:val="000000"/>
          <w:sz w:val="24"/>
        </w:rPr>
        <w:t>本项目拟对上述地块建筑区划红线内</w:t>
      </w:r>
      <w:r>
        <w:rPr>
          <w:rFonts w:ascii="Times New Roman" w:hAnsi="Times New Roman" w:eastAsia="宋体"/>
          <w:b w:val="0"/>
          <w:color w:val="000000"/>
          <w:sz w:val="24"/>
          <w:u w:val="none"/>
        </w:rPr>
        <w:t>新建</w:t>
      </w:r>
      <w:r>
        <w:rPr>
          <w:rFonts w:hint="eastAsia"/>
          <w:b w:val="0"/>
          <w:color w:val="000000"/>
          <w:sz w:val="24"/>
          <w:u w:val="none"/>
          <w:lang w:val="en-US" w:eastAsia="zh-CN"/>
        </w:rPr>
        <w:t>住宅</w:t>
      </w:r>
      <w:r>
        <w:rPr>
          <w:rFonts w:hint="eastAsia" w:ascii="Times New Roman" w:hAnsi="Times New Roman" w:eastAsia="宋体"/>
          <w:b w:val="0"/>
          <w:bCs w:val="0"/>
          <w:color w:val="000000"/>
          <w:sz w:val="24"/>
          <w:u w:val="none"/>
          <w:lang w:val="en-US" w:eastAsia="zh-CN"/>
        </w:rPr>
        <w:t>及恒泰路</w:t>
      </w:r>
      <w:r>
        <w:rPr>
          <w:rFonts w:ascii="Times New Roman" w:hAnsi="Times New Roman" w:eastAsia="宋体"/>
          <w:b w:val="0"/>
          <w:color w:val="000000"/>
          <w:sz w:val="24"/>
        </w:rPr>
        <w:t>燃气工程实施工程监理，燃气工程范围主要包括</w:t>
      </w:r>
      <w:r>
        <w:rPr>
          <w:rFonts w:hint="eastAsia"/>
          <w:b w:val="0"/>
          <w:color w:val="000000"/>
          <w:sz w:val="24"/>
          <w:u w:val="none"/>
          <w:lang w:val="en-US" w:eastAsia="zh-CN"/>
        </w:rPr>
        <w:t>恒泰路埋地燃气管道、</w:t>
      </w:r>
      <w:r>
        <w:rPr>
          <w:rFonts w:hint="eastAsia" w:ascii="Times New Roman" w:hAnsi="Times New Roman" w:eastAsia="宋体"/>
          <w:b w:val="0"/>
          <w:color w:val="000000"/>
          <w:sz w:val="24"/>
          <w:lang w:val="en-US" w:eastAsia="zh-CN"/>
        </w:rPr>
        <w:t>住宅小区内的</w:t>
      </w:r>
      <w:r>
        <w:rPr>
          <w:rFonts w:ascii="Times New Roman" w:hAnsi="Times New Roman" w:eastAsia="宋体"/>
          <w:b w:val="0"/>
          <w:color w:val="000000"/>
          <w:sz w:val="24"/>
        </w:rPr>
        <w:t>庭院燃气管网、建筑外墙及户内燃气管道</w:t>
      </w:r>
      <w:r>
        <w:rPr>
          <w:rFonts w:hint="eastAsia"/>
          <w:b w:val="0"/>
          <w:color w:val="000000"/>
          <w:sz w:val="24"/>
          <w:lang w:eastAsia="zh-CN"/>
        </w:rPr>
        <w:t>、</w:t>
      </w:r>
      <w:r>
        <w:rPr>
          <w:rFonts w:hint="eastAsia" w:ascii="Times New Roman" w:hAnsi="Times New Roman" w:eastAsia="宋体"/>
          <w:b w:val="0"/>
          <w:color w:val="000000"/>
          <w:sz w:val="24"/>
          <w:lang w:val="en-US" w:eastAsia="zh-CN"/>
        </w:rPr>
        <w:t>5G智慧厨房系统</w:t>
      </w:r>
      <w:r>
        <w:rPr>
          <w:rFonts w:ascii="Times New Roman" w:hAnsi="Times New Roman" w:eastAsia="宋体"/>
          <w:b w:val="0"/>
          <w:color w:val="000000"/>
          <w:sz w:val="24"/>
        </w:rPr>
        <w:t>、燃气计量装置及相关附属设施的施工安装（具体以施工图纸、工程量清单及招标文件为准）。</w:t>
      </w:r>
    </w:p>
    <w:p w14:paraId="3BEB440F">
      <w:pPr>
        <w:spacing w:before="120" w:after="60" w:line="312" w:lineRule="auto"/>
        <w:jc w:val="left"/>
      </w:pPr>
      <w:r>
        <w:rPr>
          <w:rFonts w:ascii="Times New Roman" w:hAnsi="Times New Roman" w:eastAsia="宋体"/>
          <w:b/>
          <w:color w:val="000000"/>
          <w:sz w:val="24"/>
        </w:rPr>
        <w:t>（三）监理服务目标</w:t>
      </w:r>
    </w:p>
    <w:p w14:paraId="17B5A3E7">
      <w:pPr>
        <w:spacing w:before="0" w:after="0" w:line="360" w:lineRule="auto"/>
        <w:ind w:firstLine="480" w:firstLineChars="200"/>
        <w:jc w:val="both"/>
      </w:pPr>
      <w:r>
        <w:rPr>
          <w:rFonts w:ascii="Times New Roman" w:hAnsi="Times New Roman" w:eastAsia="宋体"/>
          <w:b w:val="0"/>
          <w:color w:val="000000"/>
          <w:sz w:val="24"/>
        </w:rPr>
        <w:t>依照国家、广东省及深圳市有关法律法规、工程建设标准和监理合同约定，对本项目燃气工程施工实施全过程监理，实现工程质量、进度、投资控制目标，强化安全生产监督管理，协调参建各方工作关系，确保燃气工程按质、按量、按期完成并通过竣工验收，交付合格工程。</w:t>
      </w:r>
    </w:p>
    <w:p w14:paraId="4877E8F4">
      <w:pPr>
        <w:spacing w:before="280" w:after="120" w:line="312" w:lineRule="auto"/>
        <w:jc w:val="left"/>
      </w:pPr>
      <w:r>
        <w:rPr>
          <w:rFonts w:ascii="Arial" w:hAnsi="Arial" w:eastAsia="黑体"/>
          <w:b/>
          <w:color w:val="000000"/>
          <w:sz w:val="28"/>
        </w:rPr>
        <w:t>二、监理服务范围</w:t>
      </w:r>
    </w:p>
    <w:p w14:paraId="6E0E0CC6">
      <w:pPr>
        <w:spacing w:before="0" w:after="0" w:line="360" w:lineRule="auto"/>
        <w:ind w:firstLine="480" w:firstLineChars="200"/>
        <w:jc w:val="both"/>
      </w:pPr>
      <w:r>
        <w:rPr>
          <w:rFonts w:ascii="Times New Roman" w:hAnsi="Times New Roman" w:eastAsia="宋体"/>
          <w:b w:val="0"/>
          <w:color w:val="000000"/>
          <w:sz w:val="24"/>
        </w:rPr>
        <w:t>本项目建筑区划红线内</w:t>
      </w:r>
      <w:r>
        <w:rPr>
          <w:rFonts w:hint="eastAsia"/>
          <w:b w:val="0"/>
          <w:color w:val="000000"/>
          <w:sz w:val="24"/>
          <w:lang w:eastAsia="zh-CN"/>
        </w:rPr>
        <w:t>新建住宅</w:t>
      </w:r>
      <w:r>
        <w:rPr>
          <w:rFonts w:hint="eastAsia"/>
          <w:b w:val="0"/>
          <w:color w:val="000000"/>
          <w:sz w:val="24"/>
          <w:lang w:val="en-US" w:eastAsia="zh-CN"/>
        </w:rPr>
        <w:t>及</w:t>
      </w:r>
      <w:r>
        <w:rPr>
          <w:rFonts w:hint="eastAsia"/>
          <w:b w:val="0"/>
          <w:color w:val="000000"/>
          <w:sz w:val="24"/>
          <w:u w:val="none"/>
          <w:lang w:val="en-US" w:eastAsia="zh-CN"/>
        </w:rPr>
        <w:t>恒泰路</w:t>
      </w:r>
      <w:r>
        <w:rPr>
          <w:rFonts w:ascii="Times New Roman" w:hAnsi="Times New Roman" w:eastAsia="宋体"/>
          <w:b w:val="0"/>
          <w:color w:val="000000"/>
          <w:sz w:val="24"/>
          <w:u w:val="none"/>
        </w:rPr>
        <w:t>燃</w:t>
      </w:r>
      <w:r>
        <w:rPr>
          <w:rFonts w:ascii="Times New Roman" w:hAnsi="Times New Roman" w:eastAsia="宋体"/>
          <w:b w:val="0"/>
          <w:color w:val="000000"/>
          <w:sz w:val="24"/>
        </w:rPr>
        <w:t>气工程施工准备阶段、施工阶段、竣工验收阶段及缺陷责任期（保修期）阶段的监理服务，具体包括</w:t>
      </w:r>
      <w:r>
        <w:rPr>
          <w:rFonts w:hint="eastAsia"/>
          <w:b w:val="0"/>
          <w:color w:val="000000"/>
          <w:sz w:val="24"/>
          <w:u w:val="none"/>
          <w:lang w:val="en-US" w:eastAsia="zh-CN"/>
        </w:rPr>
        <w:t>恒泰路埋地燃气管道、</w:t>
      </w:r>
      <w:r>
        <w:rPr>
          <w:rFonts w:hint="eastAsia" w:ascii="Times New Roman" w:hAnsi="Times New Roman" w:eastAsia="宋体"/>
          <w:b w:val="0"/>
          <w:color w:val="000000"/>
          <w:sz w:val="24"/>
          <w:lang w:val="en-US" w:eastAsia="zh-CN"/>
        </w:rPr>
        <w:t>住宅小区内的</w:t>
      </w:r>
      <w:r>
        <w:rPr>
          <w:rFonts w:ascii="Times New Roman" w:hAnsi="Times New Roman" w:eastAsia="宋体"/>
          <w:b w:val="0"/>
          <w:color w:val="000000"/>
          <w:sz w:val="24"/>
        </w:rPr>
        <w:t>庭院燃气管网、建筑外墙及户内燃气管道</w:t>
      </w:r>
      <w:r>
        <w:rPr>
          <w:rFonts w:hint="eastAsia"/>
          <w:b w:val="0"/>
          <w:color w:val="000000"/>
          <w:sz w:val="24"/>
          <w:lang w:eastAsia="zh-CN"/>
        </w:rPr>
        <w:t>、</w:t>
      </w:r>
      <w:r>
        <w:rPr>
          <w:rFonts w:hint="eastAsia" w:ascii="Times New Roman" w:hAnsi="Times New Roman" w:eastAsia="宋体"/>
          <w:b w:val="0"/>
          <w:color w:val="000000"/>
          <w:sz w:val="24"/>
          <w:lang w:val="en-US" w:eastAsia="zh-CN"/>
        </w:rPr>
        <w:t>5G智慧厨房系统</w:t>
      </w:r>
      <w:r>
        <w:rPr>
          <w:rFonts w:ascii="Times New Roman" w:hAnsi="Times New Roman" w:eastAsia="宋体"/>
          <w:b w:val="0"/>
          <w:color w:val="000000"/>
          <w:sz w:val="24"/>
        </w:rPr>
        <w:t>、燃气计量装置及相关附属设施等施工安装的监理工作。</w:t>
      </w:r>
    </w:p>
    <w:p w14:paraId="491FEF52">
      <w:pPr>
        <w:spacing w:before="280" w:after="120" w:line="312" w:lineRule="auto"/>
        <w:jc w:val="left"/>
      </w:pPr>
      <w:r>
        <w:rPr>
          <w:rFonts w:ascii="Arial" w:hAnsi="Arial" w:eastAsia="黑体"/>
          <w:b/>
          <w:color w:val="000000"/>
          <w:sz w:val="28"/>
        </w:rPr>
        <w:t>三、监理工作内容</w:t>
      </w:r>
    </w:p>
    <w:p w14:paraId="4A16D10C">
      <w:pPr>
        <w:spacing w:before="0" w:after="0" w:line="360" w:lineRule="auto"/>
        <w:ind w:firstLine="480" w:firstLineChars="200"/>
        <w:jc w:val="both"/>
      </w:pPr>
      <w:r>
        <w:rPr>
          <w:rFonts w:ascii="Times New Roman" w:hAnsi="Times New Roman" w:eastAsia="宋体"/>
          <w:b w:val="0"/>
          <w:color w:val="000000"/>
          <w:sz w:val="24"/>
        </w:rPr>
        <w:t>（一）质量控制：审查施工单位资质、项目管理机构及人员资格；审查施工组织设计和专项施工方案；核验进场管材、管件、阀门及计量设备等材料设备；对燃气管道焊接、防腐、吹扫、强度试验、严密性试验等关键工序和隐蔽工程实施旁站、巡视、平行检验；组织隐蔽工程验收和分部分项工程验收。</w:t>
      </w:r>
    </w:p>
    <w:p w14:paraId="0E39E8BD">
      <w:pPr>
        <w:spacing w:before="0" w:after="0" w:line="360" w:lineRule="auto"/>
        <w:ind w:firstLine="480" w:firstLineChars="200"/>
        <w:jc w:val="both"/>
      </w:pPr>
      <w:r>
        <w:rPr>
          <w:rFonts w:ascii="Times New Roman" w:hAnsi="Times New Roman" w:eastAsia="宋体"/>
          <w:b w:val="0"/>
          <w:color w:val="000000"/>
          <w:sz w:val="24"/>
        </w:rPr>
        <w:t>（二）进度控制：审查施工总进度计划和月（周）进度计划；跟踪检查进度实施情况，发现偏差及时督促施工单位采取纠正措施。</w:t>
      </w:r>
    </w:p>
    <w:p w14:paraId="4FEB6DE7">
      <w:pPr>
        <w:spacing w:before="0" w:after="0" w:line="360" w:lineRule="auto"/>
        <w:ind w:firstLine="480" w:firstLineChars="200"/>
        <w:jc w:val="both"/>
      </w:pPr>
      <w:r>
        <w:rPr>
          <w:rFonts w:ascii="Times New Roman" w:hAnsi="Times New Roman" w:eastAsia="宋体"/>
          <w:b w:val="0"/>
          <w:color w:val="000000"/>
          <w:sz w:val="24"/>
        </w:rPr>
        <w:t>（三）造价控制：核实已完工程量，审核工程进度款支付申请，参与工程变更、签证的审核，参与竣工结算审核。</w:t>
      </w:r>
    </w:p>
    <w:p w14:paraId="27BCE30D">
      <w:pPr>
        <w:spacing w:before="0" w:after="0" w:line="360" w:lineRule="auto"/>
        <w:ind w:firstLine="480" w:firstLineChars="200"/>
        <w:jc w:val="both"/>
      </w:pPr>
      <w:r>
        <w:rPr>
          <w:rFonts w:ascii="Times New Roman" w:hAnsi="Times New Roman" w:eastAsia="宋体"/>
          <w:b w:val="0"/>
          <w:color w:val="000000"/>
          <w:sz w:val="24"/>
        </w:rPr>
        <w:t>（四）安全生产监督管理：审查施工单位安全生产保证体系和专项施工方案；检查施工现场安全防护措施落实情况；对带气作业、动火作业、有限空间作业等危险性较大作业实施重点监理。</w:t>
      </w:r>
    </w:p>
    <w:p w14:paraId="3B141390">
      <w:pPr>
        <w:spacing w:before="0" w:after="0" w:line="360" w:lineRule="auto"/>
        <w:ind w:firstLine="480" w:firstLineChars="200"/>
        <w:jc w:val="both"/>
      </w:pPr>
      <w:r>
        <w:rPr>
          <w:rFonts w:ascii="Times New Roman" w:hAnsi="Times New Roman" w:eastAsia="宋体"/>
          <w:b w:val="0"/>
          <w:color w:val="000000"/>
          <w:sz w:val="24"/>
        </w:rPr>
        <w:t>（五）合同管理：协助委托人处理与合同有关的事宜，审核工程变更和索赔。</w:t>
      </w:r>
    </w:p>
    <w:p w14:paraId="40ED9D33">
      <w:pPr>
        <w:spacing w:before="0" w:after="0" w:line="360" w:lineRule="auto"/>
        <w:ind w:firstLine="480" w:firstLineChars="200"/>
        <w:jc w:val="both"/>
      </w:pPr>
      <w:r>
        <w:rPr>
          <w:rFonts w:ascii="Times New Roman" w:hAnsi="Times New Roman" w:eastAsia="宋体"/>
          <w:b w:val="0"/>
          <w:color w:val="000000"/>
          <w:sz w:val="24"/>
        </w:rPr>
        <w:t>（六）信息管理：建立健全监理台账，及时收集、整理、归档监理资料。</w:t>
      </w:r>
    </w:p>
    <w:p w14:paraId="255203A7">
      <w:pPr>
        <w:spacing w:before="0" w:after="0" w:line="360" w:lineRule="auto"/>
        <w:ind w:firstLine="480" w:firstLineChars="200"/>
        <w:jc w:val="both"/>
      </w:pPr>
      <w:r>
        <w:rPr>
          <w:rFonts w:ascii="Times New Roman" w:hAnsi="Times New Roman" w:eastAsia="宋体"/>
          <w:b w:val="0"/>
          <w:color w:val="000000"/>
          <w:sz w:val="24"/>
        </w:rPr>
        <w:t>（七）组织协调：主持工地例会，协调工程建设相关各方的工作关系。</w:t>
      </w:r>
    </w:p>
    <w:p w14:paraId="6E39C592">
      <w:pPr>
        <w:spacing w:before="0" w:after="0" w:line="360" w:lineRule="auto"/>
        <w:ind w:firstLine="480" w:firstLineChars="200"/>
        <w:jc w:val="both"/>
      </w:pPr>
      <w:r>
        <w:rPr>
          <w:rFonts w:ascii="Times New Roman" w:hAnsi="Times New Roman" w:eastAsia="宋体"/>
          <w:b w:val="0"/>
          <w:color w:val="000000"/>
          <w:sz w:val="24"/>
        </w:rPr>
        <w:t>（八）履行法律法规、工程建设标准及监理合同规定的其他监理职责，完成委托人交办的其他相关工作。</w:t>
      </w:r>
    </w:p>
    <w:p w14:paraId="192AF81B">
      <w:pPr>
        <w:spacing w:before="280" w:after="120" w:line="312" w:lineRule="auto"/>
        <w:jc w:val="left"/>
      </w:pPr>
      <w:r>
        <w:rPr>
          <w:rFonts w:ascii="Arial" w:hAnsi="Arial" w:eastAsia="黑体"/>
          <w:b/>
          <w:color w:val="000000"/>
          <w:sz w:val="28"/>
        </w:rPr>
        <w:t>四、监理工作依据</w:t>
      </w:r>
    </w:p>
    <w:p w14:paraId="0B4BB0E9">
      <w:pPr>
        <w:spacing w:before="120" w:after="60" w:line="312" w:lineRule="auto"/>
        <w:jc w:val="left"/>
      </w:pPr>
      <w:r>
        <w:rPr>
          <w:rFonts w:ascii="Times New Roman" w:hAnsi="Times New Roman" w:eastAsia="宋体"/>
          <w:b/>
          <w:color w:val="000000"/>
          <w:sz w:val="24"/>
        </w:rPr>
        <w:t>（一）法律、法规</w:t>
      </w:r>
    </w:p>
    <w:p w14:paraId="68563FB7">
      <w:pPr>
        <w:spacing w:before="0" w:after="0" w:line="360" w:lineRule="auto"/>
        <w:ind w:firstLine="480" w:firstLineChars="200"/>
        <w:jc w:val="both"/>
      </w:pPr>
      <w:r>
        <w:rPr>
          <w:rFonts w:ascii="Times New Roman" w:hAnsi="Times New Roman" w:eastAsia="宋体"/>
          <w:b w:val="0"/>
          <w:color w:val="000000"/>
          <w:sz w:val="24"/>
        </w:rPr>
        <w:t>1.《中华人民共和国建筑法》；</w:t>
      </w:r>
    </w:p>
    <w:p w14:paraId="2B0CA5A4">
      <w:pPr>
        <w:spacing w:before="0" w:after="0" w:line="360" w:lineRule="auto"/>
        <w:ind w:firstLine="480" w:firstLineChars="200"/>
        <w:jc w:val="both"/>
      </w:pPr>
      <w:r>
        <w:rPr>
          <w:rFonts w:ascii="Times New Roman" w:hAnsi="Times New Roman" w:eastAsia="宋体"/>
          <w:b w:val="0"/>
          <w:color w:val="000000"/>
          <w:sz w:val="24"/>
        </w:rPr>
        <w:t>2.《中华人民共和国招标投标法》；</w:t>
      </w:r>
    </w:p>
    <w:p w14:paraId="43854BC7">
      <w:pPr>
        <w:spacing w:before="0" w:after="0" w:line="360" w:lineRule="auto"/>
        <w:ind w:firstLine="480" w:firstLineChars="200"/>
        <w:jc w:val="both"/>
      </w:pPr>
      <w:r>
        <w:rPr>
          <w:rFonts w:ascii="Times New Roman" w:hAnsi="Times New Roman" w:eastAsia="宋体"/>
          <w:b w:val="0"/>
          <w:color w:val="000000"/>
          <w:sz w:val="24"/>
        </w:rPr>
        <w:t>3.《建设工程质量管理条例》（国务院令第279号，2019年修订）；</w:t>
      </w:r>
    </w:p>
    <w:p w14:paraId="4E0EECBA">
      <w:pPr>
        <w:spacing w:before="0" w:after="0" w:line="360" w:lineRule="auto"/>
        <w:ind w:firstLine="480" w:firstLineChars="200"/>
        <w:jc w:val="both"/>
      </w:pPr>
      <w:r>
        <w:rPr>
          <w:rFonts w:ascii="Times New Roman" w:hAnsi="Times New Roman" w:eastAsia="宋体"/>
          <w:b w:val="0"/>
          <w:color w:val="000000"/>
          <w:sz w:val="24"/>
        </w:rPr>
        <w:t>4.《建设工程安全生产管理条例》（国务院令第393号）；</w:t>
      </w:r>
    </w:p>
    <w:p w14:paraId="2C0EAC7F">
      <w:pPr>
        <w:spacing w:before="0" w:after="0" w:line="360" w:lineRule="auto"/>
        <w:ind w:firstLine="480" w:firstLineChars="200"/>
        <w:jc w:val="both"/>
      </w:pPr>
      <w:r>
        <w:rPr>
          <w:rFonts w:ascii="Times New Roman" w:hAnsi="Times New Roman" w:eastAsia="宋体"/>
          <w:b w:val="0"/>
          <w:color w:val="000000"/>
          <w:sz w:val="24"/>
        </w:rPr>
        <w:t>5.《城镇燃气管理条例》（国务院令第583号）；</w:t>
      </w:r>
    </w:p>
    <w:p w14:paraId="22F7198B">
      <w:pPr>
        <w:spacing w:before="0" w:after="0" w:line="360" w:lineRule="auto"/>
        <w:ind w:firstLine="480" w:firstLineChars="200"/>
        <w:jc w:val="both"/>
      </w:pPr>
      <w:r>
        <w:rPr>
          <w:rFonts w:ascii="Times New Roman" w:hAnsi="Times New Roman" w:eastAsia="宋体"/>
          <w:b w:val="0"/>
          <w:color w:val="000000"/>
          <w:sz w:val="24"/>
        </w:rPr>
        <w:t>6.广东省、深圳市有关法规、规章及规范性文件。</w:t>
      </w:r>
    </w:p>
    <w:p w14:paraId="4CE2F242">
      <w:pPr>
        <w:spacing w:before="120" w:after="60" w:line="312" w:lineRule="auto"/>
        <w:jc w:val="left"/>
      </w:pPr>
      <w:r>
        <w:rPr>
          <w:rFonts w:ascii="Times New Roman" w:hAnsi="Times New Roman" w:eastAsia="宋体"/>
          <w:b/>
          <w:color w:val="000000"/>
          <w:sz w:val="24"/>
        </w:rPr>
        <w:t>（二）标准、规范（现行有效）</w:t>
      </w:r>
    </w:p>
    <w:p w14:paraId="5899A87C">
      <w:pPr>
        <w:spacing w:before="0" w:after="0" w:line="360" w:lineRule="auto"/>
        <w:ind w:firstLine="480" w:firstLineChars="200"/>
        <w:jc w:val="both"/>
      </w:pPr>
      <w:r>
        <w:rPr>
          <w:rFonts w:ascii="Times New Roman" w:hAnsi="Times New Roman" w:eastAsia="宋体"/>
          <w:b w:val="0"/>
          <w:color w:val="000000"/>
          <w:sz w:val="24"/>
        </w:rPr>
        <w:t>1.《建设工程监理规范》GB/T 50319-2013；</w:t>
      </w:r>
    </w:p>
    <w:p w14:paraId="54161EE5">
      <w:pPr>
        <w:spacing w:before="0" w:after="0" w:line="360" w:lineRule="auto"/>
        <w:ind w:firstLine="480" w:firstLineChars="200"/>
        <w:jc w:val="both"/>
      </w:pPr>
      <w:r>
        <w:rPr>
          <w:rFonts w:ascii="Times New Roman" w:hAnsi="Times New Roman" w:eastAsia="宋体"/>
          <w:b w:val="0"/>
          <w:color w:val="000000"/>
          <w:sz w:val="24"/>
        </w:rPr>
        <w:t>2.《燃气工程项目规范》GB 55009-2021；</w:t>
      </w:r>
    </w:p>
    <w:p w14:paraId="62A8E403">
      <w:pPr>
        <w:spacing w:before="0" w:after="0" w:line="360" w:lineRule="auto"/>
        <w:ind w:firstLine="480" w:firstLineChars="200"/>
        <w:jc w:val="both"/>
      </w:pPr>
      <w:r>
        <w:rPr>
          <w:rFonts w:ascii="Times New Roman" w:hAnsi="Times New Roman" w:eastAsia="宋体"/>
          <w:b w:val="0"/>
          <w:color w:val="000000"/>
          <w:sz w:val="24"/>
        </w:rPr>
        <w:t>3.《城镇燃气输配工程施工及验收标准》GB/T 51455-2023；</w:t>
      </w:r>
    </w:p>
    <w:p w14:paraId="3BB25273">
      <w:pPr>
        <w:spacing w:before="0" w:after="0" w:line="360" w:lineRule="auto"/>
        <w:ind w:firstLine="480" w:firstLineChars="200"/>
        <w:jc w:val="both"/>
      </w:pPr>
      <w:r>
        <w:rPr>
          <w:rFonts w:ascii="Times New Roman" w:hAnsi="Times New Roman" w:eastAsia="宋体"/>
          <w:b w:val="0"/>
          <w:color w:val="000000"/>
          <w:sz w:val="24"/>
        </w:rPr>
        <w:t>4.《城镇燃气室内工程施工与质量验收规范》CJJ 94-2009；</w:t>
      </w:r>
    </w:p>
    <w:p w14:paraId="1A4FF807">
      <w:pPr>
        <w:spacing w:before="0" w:after="0" w:line="360" w:lineRule="auto"/>
        <w:ind w:firstLine="480" w:firstLineChars="200"/>
        <w:jc w:val="both"/>
      </w:pPr>
      <w:r>
        <w:rPr>
          <w:rFonts w:ascii="Times New Roman" w:hAnsi="Times New Roman" w:eastAsia="宋体"/>
          <w:b w:val="0"/>
          <w:color w:val="000000"/>
          <w:sz w:val="24"/>
        </w:rPr>
        <w:t>5.《城镇燃气设计规范》GB 50028-2006（2020年版）；</w:t>
      </w:r>
    </w:p>
    <w:p w14:paraId="001C3851">
      <w:pPr>
        <w:spacing w:before="0" w:after="0" w:line="360" w:lineRule="auto"/>
        <w:ind w:firstLine="480" w:firstLineChars="200"/>
        <w:jc w:val="both"/>
      </w:pPr>
      <w:r>
        <w:rPr>
          <w:rFonts w:ascii="Times New Roman" w:hAnsi="Times New Roman" w:eastAsia="宋体"/>
          <w:b w:val="0"/>
          <w:color w:val="000000"/>
          <w:sz w:val="24"/>
        </w:rPr>
        <w:t>6.其他与本工程有关的现行国家、行业及地方标准规范。</w:t>
      </w:r>
    </w:p>
    <w:p w14:paraId="7CF2D9B5">
      <w:pPr>
        <w:spacing w:before="120" w:after="60" w:line="312" w:lineRule="auto"/>
        <w:jc w:val="left"/>
      </w:pPr>
      <w:r>
        <w:rPr>
          <w:rFonts w:ascii="Times New Roman" w:hAnsi="Times New Roman" w:eastAsia="宋体"/>
          <w:b/>
          <w:color w:val="000000"/>
          <w:sz w:val="24"/>
        </w:rPr>
        <w:t>（三）合同文件</w:t>
      </w:r>
    </w:p>
    <w:p w14:paraId="546E299C">
      <w:pPr>
        <w:spacing w:before="0" w:after="0" w:line="360" w:lineRule="auto"/>
        <w:ind w:firstLine="480" w:firstLineChars="200"/>
        <w:jc w:val="both"/>
      </w:pPr>
      <w:r>
        <w:rPr>
          <w:rFonts w:ascii="Times New Roman" w:hAnsi="Times New Roman" w:eastAsia="宋体"/>
          <w:b w:val="0"/>
          <w:color w:val="000000"/>
          <w:sz w:val="24"/>
        </w:rPr>
        <w:t>监理合同及其附件、招标文件及其澄清答疑文件、施工合同、设计文件及施工图纸，以及与本工程有关的其他文件。</w:t>
      </w:r>
    </w:p>
    <w:p w14:paraId="7033EA9F">
      <w:pPr>
        <w:spacing w:before="280" w:after="120" w:line="312" w:lineRule="auto"/>
        <w:jc w:val="left"/>
      </w:pPr>
      <w:r>
        <w:rPr>
          <w:rFonts w:ascii="Arial" w:hAnsi="Arial" w:eastAsia="黑体"/>
          <w:b/>
          <w:color w:val="000000"/>
          <w:sz w:val="28"/>
        </w:rPr>
        <w:t>五、监理人员配备及要求</w:t>
      </w:r>
    </w:p>
    <w:p w14:paraId="24276CD4">
      <w:pPr>
        <w:spacing w:before="120" w:after="60" w:line="312" w:lineRule="auto"/>
        <w:jc w:val="left"/>
      </w:pPr>
      <w:r>
        <w:rPr>
          <w:rFonts w:ascii="Times New Roman" w:hAnsi="Times New Roman" w:eastAsia="宋体"/>
          <w:b/>
          <w:color w:val="000000"/>
          <w:sz w:val="24"/>
        </w:rPr>
        <w:t>（一）总监理工程师（项目负责人）</w:t>
      </w:r>
    </w:p>
    <w:p w14:paraId="5747B20F">
      <w:pPr>
        <w:spacing w:before="0" w:after="0" w:line="360" w:lineRule="auto"/>
        <w:ind w:firstLine="480" w:firstLineChars="200"/>
        <w:jc w:val="both"/>
      </w:pPr>
      <w:r>
        <w:rPr>
          <w:rFonts w:ascii="Times New Roman" w:hAnsi="Times New Roman" w:eastAsia="宋体"/>
          <w:b w:val="0"/>
          <w:color w:val="000000"/>
          <w:sz w:val="24"/>
        </w:rPr>
        <w:t>1.须为注册监理工程师，注册专业为</w:t>
      </w:r>
      <w:r>
        <w:rPr>
          <w:rFonts w:hint="eastAsia"/>
          <w:b w:val="0"/>
          <w:color w:val="000000"/>
          <w:sz w:val="24"/>
          <w:lang w:val="en-US" w:eastAsia="zh-CN"/>
        </w:rPr>
        <w:t>市政公用工程</w:t>
      </w:r>
      <w:r>
        <w:rPr>
          <w:rFonts w:ascii="Times New Roman" w:hAnsi="Times New Roman" w:eastAsia="宋体"/>
          <w:b w:val="0"/>
          <w:color w:val="000000"/>
          <w:sz w:val="24"/>
        </w:rPr>
        <w:t>；</w:t>
      </w:r>
    </w:p>
    <w:p w14:paraId="11FA6BA8">
      <w:pPr>
        <w:spacing w:before="0" w:after="0" w:line="360" w:lineRule="auto"/>
        <w:ind w:firstLine="480" w:firstLineChars="200"/>
        <w:jc w:val="both"/>
      </w:pPr>
      <w:r>
        <w:rPr>
          <w:rFonts w:ascii="Times New Roman" w:hAnsi="Times New Roman" w:eastAsia="宋体"/>
          <w:b w:val="0"/>
          <w:color w:val="000000"/>
          <w:sz w:val="24"/>
        </w:rPr>
        <w:t>2.须具有燃气相关专业中级工程师及以上职称；</w:t>
      </w:r>
    </w:p>
    <w:p w14:paraId="025ACA5D">
      <w:pPr>
        <w:spacing w:before="0" w:after="0" w:line="360" w:lineRule="auto"/>
        <w:ind w:firstLine="480" w:firstLineChars="200"/>
        <w:jc w:val="both"/>
      </w:pPr>
      <w:r>
        <w:rPr>
          <w:rFonts w:ascii="Times New Roman" w:hAnsi="Times New Roman" w:eastAsia="宋体"/>
          <w:b w:val="0"/>
          <w:color w:val="000000"/>
          <w:sz w:val="24"/>
        </w:rPr>
        <w:t>3.须为投标人自有员工，投标人须为其连续缴纳社会保险不少于6个月；</w:t>
      </w:r>
    </w:p>
    <w:p w14:paraId="5D371F92">
      <w:pPr>
        <w:spacing w:before="0" w:after="0" w:line="360" w:lineRule="auto"/>
        <w:ind w:firstLine="480" w:firstLineChars="200"/>
        <w:jc w:val="both"/>
      </w:pPr>
      <w:r>
        <w:rPr>
          <w:rFonts w:ascii="Times New Roman" w:hAnsi="Times New Roman" w:eastAsia="宋体"/>
          <w:b w:val="0"/>
          <w:color w:val="000000"/>
          <w:sz w:val="24"/>
        </w:rPr>
        <w:t>4.未经委托人书面同意，不得擅自更换。</w:t>
      </w:r>
    </w:p>
    <w:p w14:paraId="47F3AAF8">
      <w:pPr>
        <w:spacing w:before="120" w:after="60" w:line="312" w:lineRule="auto"/>
        <w:jc w:val="left"/>
      </w:pPr>
      <w:r>
        <w:rPr>
          <w:rFonts w:ascii="Times New Roman" w:hAnsi="Times New Roman" w:eastAsia="宋体"/>
          <w:b/>
          <w:color w:val="000000"/>
          <w:sz w:val="24"/>
        </w:rPr>
        <w:t>（二）专业监理工程师</w:t>
      </w:r>
    </w:p>
    <w:p w14:paraId="7D12A1E6">
      <w:pPr>
        <w:spacing w:before="0" w:after="0" w:line="360" w:lineRule="auto"/>
        <w:ind w:firstLine="480" w:firstLineChars="200"/>
        <w:jc w:val="both"/>
      </w:pPr>
      <w:r>
        <w:rPr>
          <w:rFonts w:ascii="Times New Roman" w:hAnsi="Times New Roman" w:eastAsia="宋体"/>
          <w:b w:val="0"/>
          <w:color w:val="000000"/>
          <w:sz w:val="24"/>
        </w:rPr>
        <w:t>1.拟派专业监理工程师不得少于</w:t>
      </w:r>
      <w:r>
        <w:rPr>
          <w:rFonts w:hint="eastAsia"/>
          <w:b w:val="0"/>
          <w:color w:val="000000"/>
          <w:sz w:val="24"/>
          <w:lang w:val="en-US" w:eastAsia="zh-CN"/>
        </w:rPr>
        <w:t>9</w:t>
      </w:r>
      <w:r>
        <w:rPr>
          <w:rFonts w:ascii="Times New Roman" w:hAnsi="Times New Roman" w:eastAsia="宋体"/>
          <w:b w:val="0"/>
          <w:color w:val="000000"/>
          <w:sz w:val="24"/>
        </w:rPr>
        <w:t>名；</w:t>
      </w:r>
    </w:p>
    <w:p w14:paraId="1F56E245">
      <w:pPr>
        <w:spacing w:before="0" w:after="0" w:line="360" w:lineRule="auto"/>
        <w:ind w:firstLine="480" w:firstLineChars="200"/>
        <w:jc w:val="both"/>
      </w:pPr>
      <w:r>
        <w:rPr>
          <w:rFonts w:ascii="Times New Roman" w:hAnsi="Times New Roman" w:eastAsia="宋体"/>
          <w:b w:val="0"/>
          <w:color w:val="000000"/>
          <w:sz w:val="24"/>
        </w:rPr>
        <w:t>2.须为注册监理工程师或具有中级工程师及以上职称，专业为燃气相关专业（燃气或天然气）；</w:t>
      </w:r>
    </w:p>
    <w:p w14:paraId="20913DCC">
      <w:pPr>
        <w:spacing w:before="0" w:after="0" w:line="360" w:lineRule="auto"/>
        <w:ind w:firstLine="480" w:firstLineChars="200"/>
        <w:jc w:val="both"/>
      </w:pPr>
      <w:r>
        <w:rPr>
          <w:rFonts w:ascii="Times New Roman" w:hAnsi="Times New Roman" w:eastAsia="宋体"/>
          <w:b w:val="0"/>
          <w:color w:val="000000"/>
          <w:sz w:val="24"/>
        </w:rPr>
        <w:t>3.须为投标人自有员工。</w:t>
      </w:r>
    </w:p>
    <w:p w14:paraId="3D33BC2E">
      <w:pPr>
        <w:spacing w:before="120" w:after="60" w:line="312" w:lineRule="auto"/>
        <w:jc w:val="left"/>
      </w:pPr>
      <w:r>
        <w:rPr>
          <w:rFonts w:ascii="Times New Roman" w:hAnsi="Times New Roman" w:eastAsia="宋体"/>
          <w:b/>
          <w:color w:val="000000"/>
          <w:sz w:val="24"/>
        </w:rPr>
        <w:t>（三）监理员</w:t>
      </w:r>
    </w:p>
    <w:p w14:paraId="44DD2BF2">
      <w:pPr>
        <w:spacing w:before="0" w:after="0" w:line="360" w:lineRule="auto"/>
        <w:ind w:firstLine="480" w:firstLineChars="200"/>
        <w:jc w:val="both"/>
      </w:pPr>
      <w:r>
        <w:rPr>
          <w:rFonts w:ascii="Times New Roman" w:hAnsi="Times New Roman" w:eastAsia="宋体"/>
          <w:b w:val="0"/>
          <w:color w:val="000000"/>
          <w:sz w:val="24"/>
        </w:rPr>
        <w:t>根据工程实施需要配备相应数量的监理员。</w:t>
      </w:r>
    </w:p>
    <w:p w14:paraId="3120E536">
      <w:pPr>
        <w:spacing w:before="120" w:after="60" w:line="312" w:lineRule="auto"/>
        <w:jc w:val="left"/>
      </w:pPr>
      <w:r>
        <w:rPr>
          <w:rFonts w:ascii="Times New Roman" w:hAnsi="Times New Roman" w:eastAsia="宋体"/>
          <w:b/>
          <w:color w:val="000000"/>
          <w:sz w:val="24"/>
        </w:rPr>
        <w:t>（四）其他要求</w:t>
      </w:r>
    </w:p>
    <w:p w14:paraId="02AFD3D0">
      <w:pPr>
        <w:spacing w:before="0" w:after="0" w:line="360" w:lineRule="auto"/>
        <w:ind w:firstLine="480" w:firstLineChars="200"/>
        <w:jc w:val="both"/>
      </w:pPr>
      <w:r>
        <w:rPr>
          <w:rFonts w:ascii="Times New Roman" w:hAnsi="Times New Roman" w:eastAsia="宋体"/>
          <w:b w:val="0"/>
          <w:color w:val="000000"/>
          <w:sz w:val="24"/>
        </w:rPr>
        <w:t>拟派人员资格、业绩及社保等具体要求，按招标文件商务标评审标准执行（详见附表1-1）。</w:t>
      </w:r>
    </w:p>
    <w:p w14:paraId="6BEC3EBD">
      <w:pPr>
        <w:spacing w:before="280" w:after="120" w:line="312" w:lineRule="auto"/>
        <w:jc w:val="left"/>
      </w:pPr>
      <w:r>
        <w:rPr>
          <w:rFonts w:ascii="Arial" w:hAnsi="Arial" w:eastAsia="黑体"/>
          <w:b/>
          <w:color w:val="000000"/>
          <w:sz w:val="28"/>
        </w:rPr>
        <w:t>六、监理工作要求及履约承诺</w:t>
      </w:r>
    </w:p>
    <w:p w14:paraId="75CAF52A">
      <w:pPr>
        <w:spacing w:before="120" w:after="60" w:line="312" w:lineRule="auto"/>
        <w:jc w:val="left"/>
      </w:pPr>
      <w:r>
        <w:rPr>
          <w:rFonts w:ascii="Times New Roman" w:hAnsi="Times New Roman" w:eastAsia="宋体"/>
          <w:b/>
          <w:color w:val="000000"/>
          <w:sz w:val="24"/>
        </w:rPr>
        <w:t>（一）监理工作要求</w:t>
      </w:r>
    </w:p>
    <w:p w14:paraId="52C2055B">
      <w:pPr>
        <w:spacing w:before="0" w:after="0" w:line="360" w:lineRule="auto"/>
        <w:ind w:firstLine="480" w:firstLineChars="200"/>
        <w:jc w:val="both"/>
      </w:pPr>
      <w:r>
        <w:rPr>
          <w:rFonts w:ascii="Times New Roman" w:hAnsi="Times New Roman" w:eastAsia="宋体"/>
          <w:b w:val="0"/>
          <w:color w:val="000000"/>
          <w:sz w:val="24"/>
        </w:rPr>
        <w:t>1.监理人应按监理合同约定组建项目监理机构，编制监理规划和监理实施细则，经委托人确认后实施；</w:t>
      </w:r>
    </w:p>
    <w:p w14:paraId="2F340232">
      <w:pPr>
        <w:spacing w:before="0" w:after="0" w:line="360" w:lineRule="auto"/>
        <w:ind w:firstLine="480" w:firstLineChars="200"/>
        <w:jc w:val="both"/>
      </w:pPr>
      <w:r>
        <w:rPr>
          <w:rFonts w:ascii="Times New Roman" w:hAnsi="Times New Roman" w:eastAsia="宋体"/>
          <w:b w:val="0"/>
          <w:color w:val="000000"/>
          <w:sz w:val="24"/>
        </w:rPr>
        <w:t>2.总监理工程师及各专业监理工程师应按规定在岗履职，不得擅自离岗；</w:t>
      </w:r>
    </w:p>
    <w:p w14:paraId="6408FCAE">
      <w:pPr>
        <w:spacing w:before="0" w:after="0" w:line="360" w:lineRule="auto"/>
        <w:ind w:firstLine="480" w:firstLineChars="200"/>
        <w:jc w:val="both"/>
      </w:pPr>
      <w:r>
        <w:rPr>
          <w:rFonts w:ascii="Times New Roman" w:hAnsi="Times New Roman" w:eastAsia="宋体"/>
          <w:b w:val="0"/>
          <w:color w:val="000000"/>
          <w:sz w:val="24"/>
        </w:rPr>
        <w:t>3.对关键部位、关键工序和隐蔽工程实施旁站监理，留存影像及书面记录；</w:t>
      </w:r>
    </w:p>
    <w:p w14:paraId="1ED19C86">
      <w:pPr>
        <w:spacing w:before="0" w:after="0" w:line="360" w:lineRule="auto"/>
        <w:ind w:firstLine="480" w:firstLineChars="200"/>
        <w:jc w:val="both"/>
        <w:rPr>
          <w:rFonts w:ascii="Times New Roman" w:hAnsi="Times New Roman" w:eastAsia="宋体"/>
          <w:b w:val="0"/>
          <w:color w:val="000000"/>
          <w:sz w:val="24"/>
        </w:rPr>
      </w:pPr>
      <w:r>
        <w:rPr>
          <w:rFonts w:ascii="Times New Roman" w:hAnsi="Times New Roman" w:eastAsia="宋体"/>
          <w:b w:val="0"/>
          <w:color w:val="000000"/>
          <w:sz w:val="24"/>
        </w:rPr>
        <w:t>4.对户内燃气施工记录实行</w:t>
      </w:r>
      <w:r>
        <w:rPr>
          <w:rFonts w:hint="eastAsia"/>
          <w:b w:val="0"/>
          <w:color w:val="000000"/>
          <w:sz w:val="24"/>
          <w:lang w:val="en-US" w:eastAsia="zh-CN"/>
        </w:rPr>
        <w:t>100%</w:t>
      </w:r>
      <w:r>
        <w:rPr>
          <w:rFonts w:ascii="Times New Roman" w:hAnsi="Times New Roman" w:eastAsia="宋体"/>
          <w:b w:val="0"/>
          <w:color w:val="000000"/>
          <w:sz w:val="24"/>
        </w:rPr>
        <w:t>全覆盖管理，按要求提交《户内施工记录详情检查单》；</w:t>
      </w:r>
    </w:p>
    <w:p w14:paraId="3CAC0070">
      <w:pPr>
        <w:spacing w:before="0" w:after="0" w:line="360" w:lineRule="auto"/>
        <w:ind w:firstLine="480" w:firstLineChars="200"/>
        <w:jc w:val="both"/>
        <w:rPr>
          <w:rFonts w:hint="eastAsia" w:ascii="Times New Roman" w:hAnsi="Times New Roman" w:eastAsia="宋体"/>
          <w:b w:val="0"/>
          <w:color w:val="000000"/>
          <w:sz w:val="24"/>
        </w:rPr>
      </w:pPr>
      <w:r>
        <w:rPr>
          <w:rFonts w:hint="eastAsia" w:ascii="Times New Roman" w:hAnsi="Times New Roman" w:eastAsia="宋体"/>
          <w:b w:val="0"/>
          <w:color w:val="000000"/>
          <w:sz w:val="24"/>
        </w:rPr>
        <w:t>对于施工记录详情应该准确反应以下信息：</w:t>
      </w:r>
    </w:p>
    <w:p w14:paraId="6D433395">
      <w:pPr>
        <w:numPr>
          <w:ilvl w:val="0"/>
          <w:numId w:val="7"/>
        </w:numPr>
        <w:spacing w:before="0" w:after="0" w:line="360" w:lineRule="auto"/>
        <w:ind w:left="845" w:leftChars="0" w:hanging="425" w:firstLineChars="0"/>
        <w:jc w:val="both"/>
        <w:rPr>
          <w:rFonts w:hint="eastAsia" w:ascii="Times New Roman" w:hAnsi="Times New Roman" w:eastAsia="宋体"/>
          <w:b w:val="0"/>
          <w:color w:val="000000"/>
          <w:sz w:val="24"/>
        </w:rPr>
      </w:pPr>
      <w:r>
        <w:rPr>
          <w:rFonts w:hint="eastAsia" w:ascii="Times New Roman" w:hAnsi="Times New Roman" w:eastAsia="宋体"/>
          <w:b w:val="0"/>
          <w:color w:val="000000"/>
          <w:sz w:val="24"/>
        </w:rPr>
        <w:t>楼栋房号，燃气表号</w:t>
      </w:r>
      <w:r>
        <w:rPr>
          <w:rFonts w:hint="eastAsia"/>
          <w:b w:val="0"/>
          <w:color w:val="000000"/>
          <w:sz w:val="24"/>
          <w:lang w:eastAsia="zh-CN"/>
        </w:rPr>
        <w:t>；</w:t>
      </w:r>
      <w:bookmarkStart w:id="0" w:name="_GoBack"/>
      <w:bookmarkEnd w:id="0"/>
    </w:p>
    <w:p w14:paraId="216ED426">
      <w:pPr>
        <w:numPr>
          <w:ilvl w:val="0"/>
          <w:numId w:val="7"/>
        </w:numPr>
        <w:spacing w:before="0" w:after="0" w:line="360" w:lineRule="auto"/>
        <w:ind w:left="845" w:leftChars="0" w:hanging="425" w:firstLineChars="0"/>
        <w:jc w:val="both"/>
        <w:rPr>
          <w:rFonts w:hint="eastAsia" w:ascii="Times New Roman" w:hAnsi="Times New Roman" w:eastAsia="宋体"/>
          <w:b w:val="0"/>
          <w:color w:val="000000"/>
          <w:sz w:val="24"/>
        </w:rPr>
      </w:pPr>
      <w:r>
        <w:rPr>
          <w:rFonts w:hint="eastAsia" w:ascii="Times New Roman" w:hAnsi="Times New Roman" w:eastAsia="宋体"/>
          <w:b w:val="0"/>
          <w:color w:val="000000"/>
          <w:sz w:val="24"/>
        </w:rPr>
        <w:t>燃气表安装照片、燃气灶留头照片、热水器留头照片、穿墙管照片、其它安装照片等</w:t>
      </w:r>
      <w:r>
        <w:rPr>
          <w:rFonts w:hint="eastAsia"/>
          <w:b w:val="0"/>
          <w:color w:val="000000"/>
          <w:sz w:val="24"/>
          <w:lang w:eastAsia="zh-CN"/>
        </w:rPr>
        <w:t>；</w:t>
      </w:r>
    </w:p>
    <w:p w14:paraId="377FDD88">
      <w:pPr>
        <w:numPr>
          <w:ilvl w:val="0"/>
          <w:numId w:val="7"/>
        </w:numPr>
        <w:spacing w:before="0" w:after="0" w:line="360" w:lineRule="auto"/>
        <w:ind w:left="845" w:leftChars="0" w:hanging="425" w:firstLineChars="0"/>
        <w:jc w:val="both"/>
        <w:rPr>
          <w:rFonts w:ascii="Times New Roman" w:hAnsi="Times New Roman" w:eastAsia="宋体"/>
          <w:b w:val="0"/>
          <w:color w:val="000000"/>
          <w:sz w:val="24"/>
        </w:rPr>
      </w:pPr>
      <w:r>
        <w:rPr>
          <w:rFonts w:hint="eastAsia" w:ascii="Times New Roman" w:hAnsi="Times New Roman" w:eastAsia="宋体"/>
          <w:b w:val="0"/>
          <w:color w:val="000000"/>
          <w:sz w:val="24"/>
        </w:rPr>
        <w:t>实名记录安装作业工人信息，施工单位技术负责人员信息，监理单位检查人员信息。</w:t>
      </w:r>
    </w:p>
    <w:p w14:paraId="1C26B6E5">
      <w:pPr>
        <w:spacing w:before="0" w:after="0" w:line="360" w:lineRule="auto"/>
        <w:ind w:firstLine="480" w:firstLineChars="200"/>
        <w:jc w:val="both"/>
      </w:pPr>
      <w:r>
        <w:rPr>
          <w:rFonts w:ascii="Times New Roman" w:hAnsi="Times New Roman" w:eastAsia="宋体"/>
          <w:b w:val="0"/>
          <w:color w:val="000000"/>
          <w:sz w:val="24"/>
        </w:rPr>
        <w:t>5.按时向委托人报送监理周报、月报及其他监理文件；</w:t>
      </w:r>
    </w:p>
    <w:p w14:paraId="2C2188FD">
      <w:pPr>
        <w:spacing w:before="0" w:after="0" w:line="360" w:lineRule="auto"/>
        <w:ind w:firstLine="480" w:firstLineChars="200"/>
        <w:jc w:val="both"/>
      </w:pPr>
      <w:r>
        <w:rPr>
          <w:rFonts w:ascii="Times New Roman" w:hAnsi="Times New Roman" w:eastAsia="宋体"/>
          <w:b w:val="0"/>
          <w:color w:val="000000"/>
          <w:sz w:val="24"/>
        </w:rPr>
        <w:t>6.自觉接受委托人及建设行政主管部门的监督检查，依法履行监理职责。</w:t>
      </w:r>
    </w:p>
    <w:p w14:paraId="06E16321">
      <w:pPr>
        <w:spacing w:before="120" w:after="60" w:line="312" w:lineRule="auto"/>
        <w:jc w:val="left"/>
      </w:pPr>
      <w:r>
        <w:rPr>
          <w:rFonts w:ascii="Times New Roman" w:hAnsi="Times New Roman" w:eastAsia="宋体"/>
          <w:b/>
          <w:color w:val="000000"/>
          <w:sz w:val="24"/>
        </w:rPr>
        <w:t>（二）履约承诺</w:t>
      </w:r>
    </w:p>
    <w:p w14:paraId="205BE67A">
      <w:pPr>
        <w:spacing w:before="0" w:after="0" w:line="360" w:lineRule="auto"/>
        <w:ind w:firstLine="480" w:firstLineChars="200"/>
        <w:jc w:val="both"/>
      </w:pPr>
      <w:r>
        <w:rPr>
          <w:rFonts w:ascii="Times New Roman" w:hAnsi="Times New Roman" w:eastAsia="宋体"/>
          <w:b w:val="0"/>
          <w:color w:val="000000"/>
          <w:sz w:val="24"/>
        </w:rPr>
        <w:t>1.100%提交户内施工记录详情检查单承诺：监理人承诺对本项目户内燃气施工记录100%提交《户内施工记录详情检查单》，该承诺为合同履约的组成部分，违约按合同相应条款处罚</w:t>
      </w:r>
      <w:r>
        <w:rPr>
          <w:rFonts w:hint="eastAsia"/>
          <w:b w:val="0"/>
          <w:color w:val="000000"/>
          <w:sz w:val="24"/>
          <w:lang w:val="en-US" w:eastAsia="zh-CN"/>
        </w:rPr>
        <w:t>,即合格提交比例为监理费费用结算比例</w:t>
      </w:r>
      <w:r>
        <w:rPr>
          <w:rFonts w:ascii="Times New Roman" w:hAnsi="Times New Roman" w:eastAsia="宋体"/>
          <w:b w:val="0"/>
          <w:color w:val="000000"/>
          <w:sz w:val="24"/>
        </w:rPr>
        <w:t>；</w:t>
      </w:r>
    </w:p>
    <w:p w14:paraId="6EC5D6ED">
      <w:pPr>
        <w:spacing w:before="0" w:after="0" w:line="360" w:lineRule="auto"/>
        <w:ind w:firstLine="480" w:firstLineChars="200"/>
        <w:jc w:val="both"/>
      </w:pPr>
      <w:r>
        <w:rPr>
          <w:rFonts w:ascii="Times New Roman" w:hAnsi="Times New Roman" w:eastAsia="宋体"/>
          <w:b w:val="0"/>
          <w:color w:val="000000"/>
          <w:sz w:val="24"/>
        </w:rPr>
        <w:t>2.质量保修（售后服务）承诺：监理人在招标文件规定的保修期基础上，按投标文件承诺增加相应期限的质量保修（售后服务）服务。</w:t>
      </w:r>
    </w:p>
    <w:p w14:paraId="7B0EA852">
      <w:pPr>
        <w:spacing w:before="280" w:after="120" w:line="312" w:lineRule="auto"/>
        <w:jc w:val="left"/>
      </w:pPr>
      <w:r>
        <w:rPr>
          <w:rFonts w:ascii="Arial" w:hAnsi="Arial" w:eastAsia="黑体"/>
          <w:b/>
          <w:color w:val="000000"/>
          <w:sz w:val="28"/>
        </w:rPr>
        <w:t>七、监理服务成果</w:t>
      </w:r>
    </w:p>
    <w:p w14:paraId="214C942F">
      <w:pPr>
        <w:spacing w:before="0" w:after="0" w:line="360" w:lineRule="auto"/>
        <w:ind w:firstLine="480" w:firstLineChars="200"/>
        <w:jc w:val="both"/>
      </w:pPr>
      <w:r>
        <w:rPr>
          <w:rFonts w:ascii="Times New Roman" w:hAnsi="Times New Roman" w:eastAsia="宋体"/>
          <w:b w:val="0"/>
          <w:color w:val="000000"/>
          <w:sz w:val="24"/>
        </w:rPr>
        <w:t>监理人应提交下列主要成果文件：</w:t>
      </w:r>
    </w:p>
    <w:p w14:paraId="3841F6CC">
      <w:pPr>
        <w:spacing w:before="0" w:after="0" w:line="360" w:lineRule="auto"/>
        <w:ind w:firstLine="480" w:firstLineChars="200"/>
        <w:jc w:val="both"/>
      </w:pPr>
      <w:r>
        <w:rPr>
          <w:rFonts w:ascii="Times New Roman" w:hAnsi="Times New Roman" w:eastAsia="宋体"/>
          <w:b w:val="0"/>
          <w:color w:val="000000"/>
          <w:sz w:val="24"/>
        </w:rPr>
        <w:t>（一）监理规划、监理实施细则；</w:t>
      </w:r>
    </w:p>
    <w:p w14:paraId="4C7899E2">
      <w:pPr>
        <w:spacing w:before="0" w:after="0" w:line="360" w:lineRule="auto"/>
        <w:ind w:firstLine="480" w:firstLineChars="200"/>
        <w:jc w:val="both"/>
      </w:pPr>
      <w:r>
        <w:rPr>
          <w:rFonts w:ascii="Times New Roman" w:hAnsi="Times New Roman" w:eastAsia="宋体"/>
          <w:b w:val="0"/>
          <w:color w:val="000000"/>
          <w:sz w:val="24"/>
        </w:rPr>
        <w:t>（二）监理月报、监理周报；</w:t>
      </w:r>
    </w:p>
    <w:p w14:paraId="408C0677">
      <w:pPr>
        <w:spacing w:before="0" w:after="0" w:line="360" w:lineRule="auto"/>
        <w:ind w:firstLine="480" w:firstLineChars="200"/>
        <w:jc w:val="both"/>
      </w:pPr>
      <w:r>
        <w:rPr>
          <w:rFonts w:ascii="Times New Roman" w:hAnsi="Times New Roman" w:eastAsia="宋体"/>
          <w:b w:val="0"/>
          <w:color w:val="000000"/>
          <w:sz w:val="24"/>
        </w:rPr>
        <w:t>（三）监理日志、旁站记录、巡视记录、平行检验记录；</w:t>
      </w:r>
    </w:p>
    <w:p w14:paraId="172028FA">
      <w:pPr>
        <w:spacing w:before="0" w:after="0" w:line="360" w:lineRule="auto"/>
        <w:ind w:firstLine="480" w:firstLineChars="200"/>
        <w:jc w:val="both"/>
      </w:pPr>
      <w:r>
        <w:rPr>
          <w:rFonts w:ascii="Times New Roman" w:hAnsi="Times New Roman" w:eastAsia="宋体"/>
          <w:b w:val="0"/>
          <w:color w:val="000000"/>
          <w:sz w:val="24"/>
        </w:rPr>
        <w:t>（四）监理通知单、工程暂停令及相应回复文件；</w:t>
      </w:r>
    </w:p>
    <w:p w14:paraId="2126E4E5">
      <w:pPr>
        <w:spacing w:before="0" w:after="0" w:line="360" w:lineRule="auto"/>
        <w:ind w:firstLine="480" w:firstLineChars="200"/>
        <w:jc w:val="both"/>
      </w:pPr>
      <w:r>
        <w:rPr>
          <w:rFonts w:ascii="Times New Roman" w:hAnsi="Times New Roman" w:eastAsia="宋体"/>
          <w:b w:val="0"/>
          <w:color w:val="000000"/>
          <w:sz w:val="24"/>
        </w:rPr>
        <w:t>（五）工程质量评估报告；</w:t>
      </w:r>
    </w:p>
    <w:p w14:paraId="2F015A0D">
      <w:pPr>
        <w:spacing w:before="0" w:after="0" w:line="360" w:lineRule="auto"/>
        <w:ind w:firstLine="480" w:firstLineChars="200"/>
        <w:jc w:val="both"/>
      </w:pPr>
      <w:r>
        <w:rPr>
          <w:rFonts w:ascii="Times New Roman" w:hAnsi="Times New Roman" w:eastAsia="宋体"/>
          <w:b w:val="0"/>
          <w:color w:val="000000"/>
          <w:sz w:val="24"/>
        </w:rPr>
        <w:t>（六）监理工作总结报告；</w:t>
      </w:r>
    </w:p>
    <w:p w14:paraId="49A31E9D">
      <w:pPr>
        <w:spacing w:before="0" w:after="0" w:line="360" w:lineRule="auto"/>
        <w:ind w:firstLine="480" w:firstLineChars="200"/>
        <w:jc w:val="both"/>
      </w:pPr>
      <w:r>
        <w:rPr>
          <w:rFonts w:ascii="Times New Roman" w:hAnsi="Times New Roman" w:eastAsia="宋体"/>
          <w:b w:val="0"/>
          <w:color w:val="000000"/>
          <w:sz w:val="24"/>
        </w:rPr>
        <w:t>（七）竣工预验收意见及竣工验收相关文件；</w:t>
      </w:r>
    </w:p>
    <w:p w14:paraId="2C688922">
      <w:pPr>
        <w:spacing w:before="0" w:after="0" w:line="360" w:lineRule="auto"/>
        <w:ind w:firstLine="480" w:firstLineChars="200"/>
        <w:jc w:val="both"/>
      </w:pPr>
      <w:r>
        <w:rPr>
          <w:rFonts w:ascii="Times New Roman" w:hAnsi="Times New Roman" w:eastAsia="宋体"/>
          <w:b w:val="0"/>
          <w:color w:val="000000"/>
          <w:sz w:val="24"/>
        </w:rPr>
        <w:t>（八）委托人要求提交的其他监理资料。</w:t>
      </w:r>
    </w:p>
    <w:p w14:paraId="7FA8462D">
      <w:pPr>
        <w:spacing w:before="0" w:after="0" w:line="360" w:lineRule="auto"/>
        <w:jc w:val="both"/>
        <w:rPr>
          <w:rFonts w:hint="eastAsia"/>
          <w:b w:val="0"/>
          <w:bCs w:val="0"/>
          <w:color w:val="auto"/>
          <w:highlight w:val="none"/>
        </w:rPr>
      </w:pPr>
      <w:r>
        <w:rPr>
          <w:rFonts w:ascii="Arial" w:hAnsi="Arial" w:eastAsia="黑体"/>
          <w:b/>
          <w:color w:val="000000"/>
          <w:sz w:val="28"/>
        </w:rPr>
        <w:t>八、</w:t>
      </w:r>
      <w:r>
        <w:rPr>
          <w:rFonts w:hint="eastAsia" w:ascii="Arial" w:hAnsi="Arial" w:eastAsia="黑体"/>
          <w:b/>
          <w:color w:val="000000"/>
          <w:sz w:val="28"/>
        </w:rPr>
        <w:t>监理酬金的计取与支付方式</w:t>
      </w:r>
    </w:p>
    <w:p w14:paraId="585EC1B7">
      <w:pPr>
        <w:keepNext w:val="0"/>
        <w:keepLines w:val="0"/>
        <w:pageBreakBefore w:val="0"/>
        <w:widowControl/>
        <w:kinsoku/>
        <w:wordWrap/>
        <w:overflowPunct/>
        <w:topLinePunct w:val="0"/>
        <w:autoSpaceDE/>
        <w:autoSpaceDN/>
        <w:bidi w:val="0"/>
        <w:adjustRightInd/>
        <w:snapToGrid/>
        <w:spacing w:line="560" w:lineRule="exact"/>
        <w:ind w:right="216" w:firstLine="480" w:firstLineChars="200"/>
        <w:textAlignment w:val="auto"/>
        <w:rPr>
          <w:rFonts w:hint="eastAsia" w:asciiTheme="majorEastAsia" w:hAnsiTheme="majorEastAsia" w:eastAsiaTheme="majorEastAsia" w:cstheme="majorEastAsia"/>
          <w:b w:val="0"/>
          <w:bCs w:val="0"/>
          <w:color w:val="auto"/>
          <w:sz w:val="24"/>
          <w:szCs w:val="24"/>
          <w:lang w:eastAsia="zh-CN"/>
        </w:rPr>
      </w:pPr>
      <w:r>
        <w:rPr>
          <w:rFonts w:hint="eastAsia" w:asciiTheme="majorEastAsia" w:hAnsiTheme="majorEastAsia" w:eastAsiaTheme="majorEastAsia" w:cstheme="majorEastAsia"/>
          <w:b w:val="0"/>
          <w:bCs w:val="0"/>
          <w:color w:val="auto"/>
          <w:sz w:val="24"/>
          <w:szCs w:val="24"/>
          <w:highlight w:val="none"/>
          <w:lang w:val="en-US" w:eastAsia="zh-CN"/>
        </w:rPr>
        <w:t>1.</w:t>
      </w:r>
      <w:r>
        <w:rPr>
          <w:rFonts w:hint="eastAsia" w:asciiTheme="majorEastAsia" w:hAnsiTheme="majorEastAsia" w:eastAsiaTheme="majorEastAsia" w:cstheme="majorEastAsia"/>
          <w:b w:val="0"/>
          <w:bCs w:val="0"/>
          <w:color w:val="auto"/>
          <w:sz w:val="24"/>
          <w:szCs w:val="24"/>
        </w:rPr>
        <w:t>监理酬金按</w:t>
      </w:r>
      <w:r>
        <w:rPr>
          <w:rFonts w:hint="eastAsia" w:eastAsia="宋体" w:asciiTheme="majorEastAsia" w:hAnsiTheme="majorEastAsia" w:cstheme="majorEastAsia"/>
          <w:b w:val="0"/>
          <w:bCs w:val="0"/>
          <w:color w:val="auto"/>
          <w:sz w:val="24"/>
          <w:szCs w:val="24"/>
          <w:lang w:val="en-US" w:eastAsia="zh-CN"/>
        </w:rPr>
        <w:t>包干</w:t>
      </w:r>
      <w:r>
        <w:rPr>
          <w:rFonts w:hint="eastAsia" w:asciiTheme="majorEastAsia" w:hAnsiTheme="majorEastAsia" w:eastAsiaTheme="majorEastAsia" w:cstheme="majorEastAsia"/>
          <w:b w:val="0"/>
          <w:bCs w:val="0"/>
          <w:color w:val="auto"/>
          <w:sz w:val="24"/>
          <w:szCs w:val="24"/>
        </w:rPr>
        <w:t>总</w:t>
      </w:r>
      <w:r>
        <w:rPr>
          <w:rFonts w:hint="eastAsia" w:asciiTheme="majorEastAsia" w:hAnsiTheme="majorEastAsia" w:eastAsiaTheme="majorEastAsia" w:cstheme="majorEastAsia"/>
          <w:b w:val="0"/>
          <w:bCs w:val="0"/>
          <w:color w:val="000000"/>
          <w:sz w:val="24"/>
          <w:szCs w:val="24"/>
        </w:rPr>
        <w:t>价计取：</w:t>
      </w:r>
    </w:p>
    <w:p w14:paraId="4E418368">
      <w:pPr>
        <w:keepNext w:val="0"/>
        <w:keepLines w:val="0"/>
        <w:pageBreakBefore w:val="0"/>
        <w:widowControl/>
        <w:kinsoku/>
        <w:wordWrap/>
        <w:overflowPunct/>
        <w:topLinePunct w:val="0"/>
        <w:autoSpaceDE/>
        <w:autoSpaceDN/>
        <w:bidi w:val="0"/>
        <w:adjustRightInd/>
        <w:snapToGrid/>
        <w:spacing w:line="560" w:lineRule="exact"/>
        <w:ind w:right="216" w:firstLine="480" w:firstLineChars="200"/>
        <w:textAlignment w:val="auto"/>
        <w:rPr>
          <w:rFonts w:hint="eastAsia" w:asciiTheme="majorEastAsia" w:hAnsiTheme="majorEastAsia" w:eastAsiaTheme="majorEastAsia" w:cstheme="majorEastAsia"/>
          <w:b w:val="0"/>
          <w:bCs w:val="0"/>
          <w:color w:val="auto"/>
          <w:sz w:val="24"/>
          <w:szCs w:val="24"/>
          <w:highlight w:val="none"/>
        </w:rPr>
      </w:pPr>
      <w:r>
        <w:rPr>
          <w:rFonts w:hint="eastAsia" w:asciiTheme="majorEastAsia" w:hAnsiTheme="majorEastAsia" w:eastAsiaTheme="majorEastAsia" w:cstheme="majorEastAsia"/>
          <w:b w:val="0"/>
          <w:bCs w:val="0"/>
          <w:color w:val="auto"/>
          <w:sz w:val="24"/>
          <w:szCs w:val="24"/>
          <w:highlight w:val="none"/>
          <w:lang w:val="en-US" w:eastAsia="zh-CN"/>
        </w:rPr>
        <w:t>合同履行期间，如国家税务机关调整增值税税率，双方同意保持合同约定的不含税价不变，相应调整合同含增值税金额。</w:t>
      </w:r>
    </w:p>
    <w:p w14:paraId="3A85EA38">
      <w:pPr>
        <w:keepNext w:val="0"/>
        <w:keepLines w:val="0"/>
        <w:pageBreakBefore w:val="0"/>
        <w:widowControl/>
        <w:kinsoku/>
        <w:wordWrap/>
        <w:overflowPunct/>
        <w:topLinePunct w:val="0"/>
        <w:autoSpaceDE/>
        <w:autoSpaceDN/>
        <w:bidi w:val="0"/>
        <w:adjustRightInd/>
        <w:snapToGrid/>
        <w:spacing w:line="560" w:lineRule="exact"/>
        <w:ind w:right="216" w:firstLine="480" w:firstLineChars="200"/>
        <w:textAlignment w:val="auto"/>
        <w:rPr>
          <w:rFonts w:hint="eastAsia" w:asciiTheme="majorEastAsia" w:hAnsiTheme="majorEastAsia" w:eastAsiaTheme="majorEastAsia" w:cstheme="majorEastAsia"/>
          <w:b w:val="0"/>
          <w:bCs w:val="0"/>
          <w:color w:val="auto"/>
          <w:sz w:val="24"/>
          <w:szCs w:val="24"/>
          <w:highlight w:val="none"/>
          <w:u w:val="single"/>
          <w:lang w:eastAsia="zh-CN"/>
        </w:rPr>
      </w:pPr>
      <w:r>
        <w:rPr>
          <w:rFonts w:hint="eastAsia" w:asciiTheme="majorEastAsia" w:hAnsiTheme="majorEastAsia" w:eastAsiaTheme="majorEastAsia" w:cstheme="majorEastAsia"/>
          <w:b w:val="0"/>
          <w:bCs w:val="0"/>
          <w:color w:val="auto"/>
          <w:sz w:val="24"/>
          <w:szCs w:val="24"/>
          <w:highlight w:val="none"/>
          <w:u w:val="single"/>
        </w:rPr>
        <w:t>上述价款包括但不限于本合同所涉及的各项服务费用、咨询费用、人员费用、劳务费、交通费、办公费、</w:t>
      </w:r>
      <w:r>
        <w:rPr>
          <w:rFonts w:hint="eastAsia" w:asciiTheme="majorEastAsia" w:hAnsiTheme="majorEastAsia" w:eastAsiaTheme="majorEastAsia" w:cstheme="majorEastAsia"/>
          <w:b w:val="0"/>
          <w:bCs w:val="0"/>
          <w:color w:val="auto"/>
          <w:sz w:val="24"/>
          <w:szCs w:val="24"/>
          <w:highlight w:val="none"/>
          <w:u w:val="single"/>
          <w:lang w:val="en-US" w:eastAsia="zh-CN"/>
        </w:rPr>
        <w:t>保险费</w:t>
      </w:r>
      <w:r>
        <w:rPr>
          <w:rFonts w:hint="eastAsia" w:asciiTheme="majorEastAsia" w:hAnsiTheme="majorEastAsia" w:eastAsiaTheme="majorEastAsia" w:cstheme="majorEastAsia"/>
          <w:b w:val="0"/>
          <w:bCs w:val="0"/>
          <w:color w:val="auto"/>
          <w:sz w:val="24"/>
          <w:szCs w:val="24"/>
          <w:highlight w:val="none"/>
          <w:u w:val="single"/>
          <w:lang w:eastAsia="zh-CN"/>
        </w:rPr>
        <w:t>、</w:t>
      </w:r>
      <w:r>
        <w:rPr>
          <w:rFonts w:hint="eastAsia" w:asciiTheme="majorEastAsia" w:hAnsiTheme="majorEastAsia" w:eastAsiaTheme="majorEastAsia" w:cstheme="majorEastAsia"/>
          <w:b w:val="0"/>
          <w:bCs w:val="0"/>
          <w:color w:val="auto"/>
          <w:sz w:val="24"/>
          <w:szCs w:val="24"/>
          <w:highlight w:val="none"/>
          <w:u w:val="single"/>
        </w:rPr>
        <w:t>打印费和税费等为履行监理责任义务发生的所有费用。除上述价款外，不论监理服务时间是否延长或暂停，工程难度</w:t>
      </w:r>
      <w:r>
        <w:rPr>
          <w:rFonts w:hint="eastAsia" w:asciiTheme="majorEastAsia" w:hAnsiTheme="majorEastAsia" w:eastAsiaTheme="majorEastAsia" w:cstheme="majorEastAsia"/>
          <w:b w:val="0"/>
          <w:bCs w:val="0"/>
          <w:color w:val="auto"/>
          <w:sz w:val="24"/>
          <w:szCs w:val="24"/>
          <w:highlight w:val="none"/>
          <w:u w:val="single"/>
          <w:lang w:eastAsia="zh-CN"/>
        </w:rPr>
        <w:t>、</w:t>
      </w:r>
      <w:r>
        <w:rPr>
          <w:rFonts w:hint="eastAsia" w:asciiTheme="majorEastAsia" w:hAnsiTheme="majorEastAsia" w:eastAsiaTheme="majorEastAsia" w:cstheme="majorEastAsia"/>
          <w:b w:val="0"/>
          <w:bCs w:val="0"/>
          <w:color w:val="auto"/>
          <w:sz w:val="24"/>
          <w:szCs w:val="24"/>
          <w:highlight w:val="none"/>
          <w:u w:val="single"/>
          <w:lang w:val="en-US" w:eastAsia="zh-CN"/>
        </w:rPr>
        <w:t>工程变更的</w:t>
      </w:r>
      <w:r>
        <w:rPr>
          <w:rFonts w:hint="eastAsia" w:asciiTheme="majorEastAsia" w:hAnsiTheme="majorEastAsia" w:eastAsiaTheme="majorEastAsia" w:cstheme="majorEastAsia"/>
          <w:b w:val="0"/>
          <w:bCs w:val="0"/>
          <w:color w:val="auto"/>
          <w:sz w:val="24"/>
          <w:szCs w:val="24"/>
          <w:highlight w:val="none"/>
          <w:u w:val="single"/>
        </w:rPr>
        <w:t>增减或各项业态调整等监理人的各种报酬都已</w:t>
      </w:r>
      <w:r>
        <w:rPr>
          <w:rFonts w:hint="eastAsia" w:eastAsia="宋体" w:asciiTheme="majorEastAsia" w:hAnsiTheme="majorEastAsia" w:cstheme="majorEastAsia"/>
          <w:b w:val="0"/>
          <w:bCs w:val="0"/>
          <w:color w:val="auto"/>
          <w:sz w:val="24"/>
          <w:szCs w:val="24"/>
          <w:highlight w:val="none"/>
          <w:u w:val="single"/>
          <w:lang w:val="en-US" w:eastAsia="zh-CN"/>
        </w:rPr>
        <w:t>包含</w:t>
      </w:r>
      <w:r>
        <w:rPr>
          <w:rFonts w:hint="eastAsia" w:asciiTheme="majorEastAsia" w:hAnsiTheme="majorEastAsia" w:eastAsiaTheme="majorEastAsia" w:cstheme="majorEastAsia"/>
          <w:b w:val="0"/>
          <w:bCs w:val="0"/>
          <w:color w:val="auto"/>
          <w:sz w:val="24"/>
          <w:szCs w:val="24"/>
          <w:highlight w:val="none"/>
          <w:u w:val="single"/>
        </w:rPr>
        <w:t>在内，委托人不再因任何原因另行向监理人支付附加工作报酬、额外工作报酬等费用</w:t>
      </w:r>
      <w:r>
        <w:rPr>
          <w:rFonts w:hint="eastAsia" w:asciiTheme="majorEastAsia" w:hAnsiTheme="majorEastAsia" w:eastAsiaTheme="majorEastAsia" w:cstheme="majorEastAsia"/>
          <w:b w:val="0"/>
          <w:bCs w:val="0"/>
          <w:color w:val="auto"/>
          <w:sz w:val="24"/>
          <w:szCs w:val="24"/>
          <w:highlight w:val="none"/>
          <w:u w:val="single"/>
          <w:lang w:eastAsia="zh-CN"/>
        </w:rPr>
        <w:t>。</w:t>
      </w:r>
    </w:p>
    <w:p w14:paraId="7DDF1EA9">
      <w:pPr>
        <w:keepNext w:val="0"/>
        <w:keepLines w:val="0"/>
        <w:pageBreakBefore w:val="0"/>
        <w:widowControl/>
        <w:numPr>
          <w:ilvl w:val="0"/>
          <w:numId w:val="0"/>
        </w:numPr>
        <w:kinsoku/>
        <w:wordWrap/>
        <w:overflowPunct/>
        <w:topLinePunct w:val="0"/>
        <w:autoSpaceDE/>
        <w:autoSpaceDN/>
        <w:bidi w:val="0"/>
        <w:adjustRightInd/>
        <w:snapToGrid/>
        <w:spacing w:line="560" w:lineRule="exact"/>
        <w:ind w:right="216" w:rightChars="0" w:firstLine="480" w:firstLineChars="200"/>
        <w:textAlignment w:val="auto"/>
        <w:rPr>
          <w:rFonts w:hint="eastAsia" w:asciiTheme="majorEastAsia" w:hAnsiTheme="majorEastAsia" w:eastAsiaTheme="majorEastAsia" w:cstheme="majorEastAsia"/>
          <w:b w:val="0"/>
          <w:bCs w:val="0"/>
          <w:color w:val="auto"/>
          <w:sz w:val="24"/>
          <w:szCs w:val="24"/>
          <w:highlight w:val="none"/>
        </w:rPr>
      </w:pPr>
      <w:r>
        <w:rPr>
          <w:rFonts w:hint="eastAsia" w:asciiTheme="majorEastAsia" w:hAnsiTheme="majorEastAsia" w:eastAsiaTheme="majorEastAsia" w:cstheme="majorEastAsia"/>
          <w:b w:val="0"/>
          <w:bCs w:val="0"/>
          <w:color w:val="auto"/>
          <w:sz w:val="24"/>
          <w:szCs w:val="24"/>
          <w:highlight w:val="none"/>
          <w:lang w:val="en-US" w:eastAsia="zh-CN"/>
        </w:rPr>
        <w:t>2.</w:t>
      </w:r>
      <w:r>
        <w:rPr>
          <w:rFonts w:hint="eastAsia" w:asciiTheme="majorEastAsia" w:hAnsiTheme="majorEastAsia" w:eastAsiaTheme="majorEastAsia" w:cstheme="majorEastAsia"/>
          <w:b w:val="0"/>
          <w:bCs w:val="0"/>
          <w:color w:val="auto"/>
          <w:sz w:val="24"/>
          <w:szCs w:val="24"/>
          <w:highlight w:val="none"/>
        </w:rPr>
        <w:t>监理酬金的支付方式：</w:t>
      </w:r>
    </w:p>
    <w:p w14:paraId="23537BB8">
      <w:pPr>
        <w:keepNext w:val="0"/>
        <w:keepLines w:val="0"/>
        <w:pageBreakBefore w:val="0"/>
        <w:widowControl/>
        <w:numPr>
          <w:ilvl w:val="0"/>
          <w:numId w:val="0"/>
        </w:numPr>
        <w:kinsoku/>
        <w:wordWrap/>
        <w:overflowPunct/>
        <w:topLinePunct w:val="0"/>
        <w:autoSpaceDE/>
        <w:autoSpaceDN/>
        <w:bidi w:val="0"/>
        <w:adjustRightInd/>
        <w:snapToGrid/>
        <w:spacing w:line="560" w:lineRule="exact"/>
        <w:ind w:right="216" w:rightChars="0" w:firstLine="480" w:firstLineChars="200"/>
        <w:textAlignment w:val="auto"/>
        <w:rPr>
          <w:rFonts w:hint="eastAsia" w:asciiTheme="majorEastAsia" w:hAnsiTheme="majorEastAsia" w:eastAsiaTheme="majorEastAsia" w:cstheme="majorEastAsia"/>
          <w:b w:val="0"/>
          <w:bCs w:val="0"/>
          <w:color w:val="auto"/>
          <w:sz w:val="24"/>
          <w:szCs w:val="24"/>
          <w:highlight w:val="none"/>
          <w:u w:val="single"/>
          <w:lang w:val="en-US" w:eastAsia="zh-CN"/>
        </w:rPr>
      </w:pPr>
      <w:r>
        <w:rPr>
          <w:rFonts w:hint="eastAsia" w:asciiTheme="majorEastAsia" w:hAnsiTheme="majorEastAsia" w:eastAsiaTheme="majorEastAsia" w:cstheme="majorEastAsia"/>
          <w:b w:val="0"/>
          <w:bCs w:val="0"/>
          <w:color w:val="auto"/>
          <w:sz w:val="24"/>
          <w:szCs w:val="24"/>
          <w:highlight w:val="none"/>
          <w:u w:val="single"/>
        </w:rPr>
        <w:t>(1)合同签订及燃气工程</w:t>
      </w:r>
      <w:r>
        <w:rPr>
          <w:rFonts w:hint="eastAsia" w:eastAsia="宋体" w:asciiTheme="majorEastAsia" w:hAnsiTheme="majorEastAsia" w:cstheme="majorEastAsia"/>
          <w:b w:val="0"/>
          <w:bCs w:val="0"/>
          <w:color w:val="auto"/>
          <w:sz w:val="24"/>
          <w:szCs w:val="24"/>
          <w:highlight w:val="none"/>
          <w:u w:val="single"/>
          <w:lang w:val="en-US" w:eastAsia="zh-CN"/>
        </w:rPr>
        <w:t>开</w:t>
      </w:r>
      <w:r>
        <w:rPr>
          <w:rFonts w:hint="eastAsia" w:asciiTheme="majorEastAsia" w:hAnsiTheme="majorEastAsia" w:eastAsiaTheme="majorEastAsia" w:cstheme="majorEastAsia"/>
          <w:b w:val="0"/>
          <w:bCs w:val="0"/>
          <w:color w:val="auto"/>
          <w:sz w:val="24"/>
          <w:szCs w:val="24"/>
          <w:highlight w:val="none"/>
          <w:u w:val="single"/>
          <w:lang w:val="en-US" w:eastAsia="zh-CN"/>
        </w:rPr>
        <w:t>工至</w:t>
      </w:r>
      <w:r>
        <w:rPr>
          <w:rFonts w:hint="eastAsia" w:asciiTheme="majorEastAsia" w:hAnsiTheme="majorEastAsia" w:eastAsiaTheme="majorEastAsia" w:cstheme="majorEastAsia"/>
          <w:b w:val="0"/>
          <w:bCs w:val="0"/>
          <w:color w:val="auto"/>
          <w:sz w:val="24"/>
          <w:szCs w:val="24"/>
          <w:highlight w:val="none"/>
          <w:u w:val="single"/>
        </w:rPr>
        <w:t>工程竣工验收合格</w:t>
      </w:r>
      <w:r>
        <w:rPr>
          <w:rFonts w:hint="eastAsia" w:asciiTheme="majorEastAsia" w:hAnsiTheme="majorEastAsia" w:eastAsiaTheme="majorEastAsia" w:cstheme="majorEastAsia"/>
          <w:b w:val="0"/>
          <w:bCs w:val="0"/>
          <w:color w:val="auto"/>
          <w:sz w:val="24"/>
          <w:szCs w:val="24"/>
          <w:highlight w:val="none"/>
          <w:u w:val="single"/>
          <w:lang w:eastAsia="zh-CN"/>
        </w:rPr>
        <w:t>、</w:t>
      </w:r>
      <w:r>
        <w:rPr>
          <w:rFonts w:hint="eastAsia" w:asciiTheme="majorEastAsia" w:hAnsiTheme="majorEastAsia" w:eastAsiaTheme="majorEastAsia" w:cstheme="majorEastAsia"/>
          <w:b w:val="0"/>
          <w:bCs w:val="0"/>
          <w:color w:val="auto"/>
          <w:sz w:val="24"/>
          <w:szCs w:val="24"/>
          <w:highlight w:val="none"/>
          <w:u w:val="single"/>
        </w:rPr>
        <w:t>竣工资料完成移交后，监理单位提出付款申请并经</w:t>
      </w:r>
      <w:r>
        <w:rPr>
          <w:rFonts w:hint="eastAsia" w:asciiTheme="majorEastAsia" w:hAnsiTheme="majorEastAsia" w:eastAsiaTheme="majorEastAsia" w:cstheme="majorEastAsia"/>
          <w:b w:val="0"/>
          <w:bCs w:val="0"/>
          <w:color w:val="auto"/>
          <w:sz w:val="24"/>
          <w:szCs w:val="24"/>
          <w:highlight w:val="none"/>
          <w:u w:val="single"/>
          <w:lang w:eastAsia="zh-CN"/>
        </w:rPr>
        <w:t>委托人</w:t>
      </w:r>
      <w:r>
        <w:rPr>
          <w:rFonts w:hint="eastAsia" w:asciiTheme="majorEastAsia" w:hAnsiTheme="majorEastAsia" w:eastAsiaTheme="majorEastAsia" w:cstheme="majorEastAsia"/>
          <w:b w:val="0"/>
          <w:bCs w:val="0"/>
          <w:color w:val="auto"/>
          <w:sz w:val="24"/>
          <w:szCs w:val="24"/>
          <w:highlight w:val="none"/>
          <w:u w:val="single"/>
        </w:rPr>
        <w:t>审批完成后</w:t>
      </w:r>
      <w:r>
        <w:rPr>
          <w:rFonts w:hint="eastAsia" w:asciiTheme="majorEastAsia" w:hAnsiTheme="majorEastAsia" w:eastAsiaTheme="majorEastAsia" w:cstheme="majorEastAsia"/>
          <w:b w:val="0"/>
          <w:bCs w:val="0"/>
          <w:color w:val="auto"/>
          <w:sz w:val="24"/>
          <w:szCs w:val="24"/>
          <w:highlight w:val="none"/>
          <w:u w:val="single"/>
          <w:lang w:val="en-US" w:eastAsia="zh-CN"/>
        </w:rPr>
        <w:t>30</w:t>
      </w:r>
      <w:r>
        <w:rPr>
          <w:rFonts w:hint="eastAsia" w:asciiTheme="majorEastAsia" w:hAnsiTheme="majorEastAsia" w:eastAsiaTheme="majorEastAsia" w:cstheme="majorEastAsia"/>
          <w:b w:val="0"/>
          <w:bCs w:val="0"/>
          <w:color w:val="auto"/>
          <w:sz w:val="24"/>
          <w:szCs w:val="24"/>
          <w:highlight w:val="none"/>
          <w:u w:val="single"/>
        </w:rPr>
        <w:t>个工作日，</w:t>
      </w:r>
      <w:r>
        <w:rPr>
          <w:rFonts w:hint="eastAsia" w:asciiTheme="majorEastAsia" w:hAnsiTheme="majorEastAsia" w:eastAsiaTheme="majorEastAsia" w:cstheme="majorEastAsia"/>
          <w:b w:val="0"/>
          <w:bCs w:val="0"/>
          <w:color w:val="auto"/>
          <w:sz w:val="24"/>
          <w:szCs w:val="24"/>
          <w:highlight w:val="none"/>
          <w:u w:val="single"/>
          <w:lang w:eastAsia="zh-CN"/>
        </w:rPr>
        <w:t>委托人</w:t>
      </w:r>
      <w:r>
        <w:rPr>
          <w:rFonts w:hint="eastAsia" w:asciiTheme="majorEastAsia" w:hAnsiTheme="majorEastAsia" w:eastAsiaTheme="majorEastAsia" w:cstheme="majorEastAsia"/>
          <w:b w:val="0"/>
          <w:bCs w:val="0"/>
          <w:color w:val="auto"/>
          <w:sz w:val="24"/>
          <w:szCs w:val="24"/>
          <w:highlight w:val="none"/>
          <w:u w:val="single"/>
        </w:rPr>
        <w:t>向监理单位支付燃气监理酬金的</w:t>
      </w:r>
      <w:r>
        <w:rPr>
          <w:rFonts w:hint="eastAsia" w:asciiTheme="majorEastAsia" w:hAnsiTheme="majorEastAsia" w:eastAsiaTheme="majorEastAsia" w:cstheme="majorEastAsia"/>
          <w:b w:val="0"/>
          <w:bCs w:val="0"/>
          <w:color w:val="auto"/>
          <w:sz w:val="24"/>
          <w:szCs w:val="24"/>
          <w:highlight w:val="none"/>
          <w:u w:val="single"/>
          <w:lang w:val="en-US" w:eastAsia="zh-CN"/>
        </w:rPr>
        <w:t>50</w:t>
      </w:r>
      <w:r>
        <w:rPr>
          <w:rFonts w:hint="eastAsia" w:asciiTheme="majorEastAsia" w:hAnsiTheme="majorEastAsia" w:eastAsiaTheme="majorEastAsia" w:cstheme="majorEastAsia"/>
          <w:b w:val="0"/>
          <w:bCs w:val="0"/>
          <w:color w:val="auto"/>
          <w:sz w:val="24"/>
          <w:szCs w:val="24"/>
          <w:highlight w:val="none"/>
          <w:u w:val="single"/>
        </w:rPr>
        <w:t>%作为首付款</w:t>
      </w:r>
      <w:r>
        <w:rPr>
          <w:rFonts w:hint="eastAsia" w:asciiTheme="majorEastAsia" w:hAnsiTheme="majorEastAsia" w:eastAsiaTheme="majorEastAsia" w:cstheme="majorEastAsia"/>
          <w:b w:val="0"/>
          <w:bCs w:val="0"/>
          <w:color w:val="auto"/>
          <w:sz w:val="24"/>
          <w:szCs w:val="24"/>
          <w:highlight w:val="none"/>
          <w:u w:val="single"/>
          <w:lang w:eastAsia="zh-CN"/>
        </w:rPr>
        <w:t>。</w:t>
      </w:r>
    </w:p>
    <w:p w14:paraId="52FA85AB">
      <w:pPr>
        <w:keepNext w:val="0"/>
        <w:keepLines w:val="0"/>
        <w:pageBreakBefore w:val="0"/>
        <w:widowControl/>
        <w:kinsoku/>
        <w:wordWrap/>
        <w:overflowPunct/>
        <w:topLinePunct w:val="0"/>
        <w:autoSpaceDE/>
        <w:autoSpaceDN/>
        <w:bidi w:val="0"/>
        <w:adjustRightInd/>
        <w:snapToGrid/>
        <w:spacing w:line="560" w:lineRule="exact"/>
        <w:ind w:right="216" w:firstLine="480" w:firstLineChars="200"/>
        <w:textAlignment w:val="auto"/>
        <w:rPr>
          <w:rFonts w:hint="eastAsia" w:asciiTheme="majorEastAsia" w:hAnsiTheme="majorEastAsia" w:eastAsiaTheme="majorEastAsia" w:cstheme="majorEastAsia"/>
          <w:b w:val="0"/>
          <w:bCs w:val="0"/>
          <w:color w:val="auto"/>
          <w:sz w:val="24"/>
          <w:szCs w:val="24"/>
          <w:highlight w:val="none"/>
          <w:u w:val="single"/>
        </w:rPr>
      </w:pPr>
      <w:r>
        <w:rPr>
          <w:rFonts w:hint="eastAsia" w:asciiTheme="majorEastAsia" w:hAnsiTheme="majorEastAsia" w:eastAsiaTheme="majorEastAsia" w:cstheme="majorEastAsia"/>
          <w:b w:val="0"/>
          <w:bCs w:val="0"/>
          <w:color w:val="auto"/>
          <w:sz w:val="24"/>
          <w:szCs w:val="24"/>
          <w:highlight w:val="none"/>
          <w:u w:val="single"/>
        </w:rPr>
        <w:t>(2)在</w:t>
      </w:r>
      <w:r>
        <w:rPr>
          <w:rFonts w:hint="eastAsia" w:asciiTheme="majorEastAsia" w:hAnsiTheme="majorEastAsia" w:eastAsiaTheme="majorEastAsia" w:cstheme="majorEastAsia"/>
          <w:b w:val="0"/>
          <w:bCs w:val="0"/>
          <w:color w:val="auto"/>
          <w:sz w:val="24"/>
          <w:szCs w:val="24"/>
          <w:highlight w:val="none"/>
          <w:u w:val="single"/>
          <w:lang w:val="en-US" w:eastAsia="zh-CN"/>
        </w:rPr>
        <w:t>取得深圳燃气集团股份有限公司的燃气工程实物移交表等盖章版文件</w:t>
      </w:r>
      <w:r>
        <w:rPr>
          <w:rFonts w:hint="eastAsia" w:asciiTheme="majorEastAsia" w:hAnsiTheme="majorEastAsia" w:eastAsiaTheme="majorEastAsia" w:cstheme="majorEastAsia"/>
          <w:b w:val="0"/>
          <w:bCs w:val="0"/>
          <w:color w:val="auto"/>
          <w:sz w:val="24"/>
          <w:szCs w:val="24"/>
          <w:highlight w:val="none"/>
          <w:u w:val="single"/>
        </w:rPr>
        <w:t>后，监理单位根据</w:t>
      </w:r>
      <w:r>
        <w:rPr>
          <w:rFonts w:hint="eastAsia" w:asciiTheme="majorEastAsia" w:hAnsiTheme="majorEastAsia" w:eastAsiaTheme="majorEastAsia" w:cstheme="majorEastAsia"/>
          <w:b w:val="0"/>
          <w:bCs w:val="0"/>
          <w:color w:val="auto"/>
          <w:sz w:val="24"/>
          <w:szCs w:val="24"/>
          <w:highlight w:val="none"/>
          <w:u w:val="single"/>
          <w:lang w:eastAsia="zh-CN"/>
        </w:rPr>
        <w:t>委托人</w:t>
      </w:r>
      <w:r>
        <w:rPr>
          <w:rFonts w:hint="eastAsia" w:asciiTheme="majorEastAsia" w:hAnsiTheme="majorEastAsia" w:eastAsiaTheme="majorEastAsia" w:cstheme="majorEastAsia"/>
          <w:b w:val="0"/>
          <w:bCs w:val="0"/>
          <w:color w:val="auto"/>
          <w:sz w:val="24"/>
          <w:szCs w:val="24"/>
          <w:highlight w:val="none"/>
          <w:u w:val="single"/>
        </w:rPr>
        <w:t>要求提供合格的结算材料。结算完成后，监理单位提出付款申请并经</w:t>
      </w:r>
      <w:r>
        <w:rPr>
          <w:rFonts w:hint="eastAsia" w:asciiTheme="majorEastAsia" w:hAnsiTheme="majorEastAsia" w:eastAsiaTheme="majorEastAsia" w:cstheme="majorEastAsia"/>
          <w:b w:val="0"/>
          <w:bCs w:val="0"/>
          <w:color w:val="auto"/>
          <w:sz w:val="24"/>
          <w:szCs w:val="24"/>
          <w:highlight w:val="none"/>
          <w:u w:val="single"/>
          <w:lang w:eastAsia="zh-CN"/>
        </w:rPr>
        <w:t>委托人</w:t>
      </w:r>
      <w:r>
        <w:rPr>
          <w:rFonts w:hint="eastAsia" w:asciiTheme="majorEastAsia" w:hAnsiTheme="majorEastAsia" w:eastAsiaTheme="majorEastAsia" w:cstheme="majorEastAsia"/>
          <w:b w:val="0"/>
          <w:bCs w:val="0"/>
          <w:color w:val="auto"/>
          <w:sz w:val="24"/>
          <w:szCs w:val="24"/>
          <w:highlight w:val="none"/>
          <w:u w:val="single"/>
        </w:rPr>
        <w:t>审批完成后</w:t>
      </w:r>
      <w:r>
        <w:rPr>
          <w:rFonts w:hint="eastAsia" w:asciiTheme="majorEastAsia" w:hAnsiTheme="majorEastAsia" w:eastAsiaTheme="majorEastAsia" w:cstheme="majorEastAsia"/>
          <w:b w:val="0"/>
          <w:bCs w:val="0"/>
          <w:color w:val="auto"/>
          <w:sz w:val="24"/>
          <w:szCs w:val="24"/>
          <w:highlight w:val="none"/>
          <w:u w:val="single"/>
          <w:lang w:val="en-US" w:eastAsia="zh-CN"/>
        </w:rPr>
        <w:t>30</w:t>
      </w:r>
      <w:r>
        <w:rPr>
          <w:rFonts w:hint="eastAsia" w:asciiTheme="majorEastAsia" w:hAnsiTheme="majorEastAsia" w:eastAsiaTheme="majorEastAsia" w:cstheme="majorEastAsia"/>
          <w:b w:val="0"/>
          <w:bCs w:val="0"/>
          <w:color w:val="auto"/>
          <w:sz w:val="24"/>
          <w:szCs w:val="24"/>
          <w:highlight w:val="none"/>
          <w:u w:val="single"/>
        </w:rPr>
        <w:t>个工作</w:t>
      </w:r>
      <w:r>
        <w:rPr>
          <w:rFonts w:hint="eastAsia" w:asciiTheme="majorEastAsia" w:hAnsiTheme="majorEastAsia" w:eastAsiaTheme="majorEastAsia" w:cstheme="majorEastAsia"/>
          <w:b w:val="0"/>
          <w:bCs w:val="0"/>
          <w:color w:val="auto"/>
          <w:sz w:val="24"/>
          <w:szCs w:val="24"/>
          <w:highlight w:val="none"/>
          <w:u w:val="single"/>
          <w:lang w:eastAsia="zh-CN"/>
        </w:rPr>
        <w:t>日内</w:t>
      </w:r>
      <w:r>
        <w:rPr>
          <w:rFonts w:hint="eastAsia" w:asciiTheme="majorEastAsia" w:hAnsiTheme="majorEastAsia" w:eastAsiaTheme="majorEastAsia" w:cstheme="majorEastAsia"/>
          <w:b w:val="0"/>
          <w:bCs w:val="0"/>
          <w:color w:val="auto"/>
          <w:sz w:val="24"/>
          <w:szCs w:val="24"/>
          <w:highlight w:val="none"/>
          <w:u w:val="single"/>
        </w:rPr>
        <w:t>，根据结算造价支付合同余款。</w:t>
      </w:r>
    </w:p>
    <w:p w14:paraId="69768E98">
      <w:pPr>
        <w:keepNext w:val="0"/>
        <w:keepLines w:val="0"/>
        <w:pageBreakBefore w:val="0"/>
        <w:widowControl/>
        <w:kinsoku/>
        <w:wordWrap/>
        <w:overflowPunct/>
        <w:topLinePunct w:val="0"/>
        <w:autoSpaceDE/>
        <w:autoSpaceDN/>
        <w:bidi w:val="0"/>
        <w:adjustRightInd/>
        <w:snapToGrid/>
        <w:spacing w:line="560" w:lineRule="exact"/>
        <w:ind w:right="216" w:firstLine="480" w:firstLineChars="200"/>
        <w:textAlignment w:val="auto"/>
        <w:rPr>
          <w:rFonts w:hint="eastAsia" w:asciiTheme="majorEastAsia" w:hAnsiTheme="majorEastAsia" w:eastAsiaTheme="majorEastAsia" w:cstheme="majorEastAsia"/>
          <w:b w:val="0"/>
          <w:bCs w:val="0"/>
          <w:color w:val="auto"/>
          <w:sz w:val="24"/>
          <w:szCs w:val="24"/>
          <w:highlight w:val="none"/>
          <w:u w:val="single"/>
        </w:rPr>
      </w:pPr>
      <w:r>
        <w:rPr>
          <w:rFonts w:hint="eastAsia" w:asciiTheme="majorEastAsia" w:hAnsiTheme="majorEastAsia" w:eastAsiaTheme="majorEastAsia" w:cstheme="majorEastAsia"/>
          <w:b w:val="0"/>
          <w:bCs w:val="0"/>
          <w:color w:val="auto"/>
          <w:sz w:val="24"/>
          <w:szCs w:val="24"/>
          <w:highlight w:val="none"/>
          <w:u w:val="single"/>
        </w:rPr>
        <w:t>(</w:t>
      </w:r>
      <w:r>
        <w:rPr>
          <w:rFonts w:hint="eastAsia" w:asciiTheme="majorEastAsia" w:hAnsiTheme="majorEastAsia" w:eastAsiaTheme="majorEastAsia" w:cstheme="majorEastAsia"/>
          <w:b w:val="0"/>
          <w:bCs w:val="0"/>
          <w:color w:val="auto"/>
          <w:sz w:val="24"/>
          <w:szCs w:val="24"/>
          <w:highlight w:val="none"/>
          <w:u w:val="single"/>
          <w:lang w:eastAsia="zh-CN"/>
        </w:rPr>
        <w:t>3</w:t>
      </w:r>
      <w:r>
        <w:rPr>
          <w:rFonts w:hint="eastAsia" w:asciiTheme="majorEastAsia" w:hAnsiTheme="majorEastAsia" w:eastAsiaTheme="majorEastAsia" w:cstheme="majorEastAsia"/>
          <w:b w:val="0"/>
          <w:bCs w:val="0"/>
          <w:color w:val="auto"/>
          <w:sz w:val="24"/>
          <w:szCs w:val="24"/>
          <w:highlight w:val="none"/>
          <w:u w:val="single"/>
        </w:rPr>
        <w:t>)</w:t>
      </w:r>
      <w:r>
        <w:rPr>
          <w:rFonts w:hint="eastAsia" w:asciiTheme="majorEastAsia" w:hAnsiTheme="majorEastAsia" w:eastAsiaTheme="majorEastAsia" w:cstheme="majorEastAsia"/>
          <w:b w:val="0"/>
          <w:bCs w:val="0"/>
          <w:color w:val="auto"/>
          <w:sz w:val="24"/>
          <w:szCs w:val="24"/>
          <w:highlight w:val="none"/>
          <w:u w:val="single"/>
          <w:lang w:eastAsia="zh-CN"/>
        </w:rPr>
        <w:t>委托人</w:t>
      </w:r>
      <w:r>
        <w:rPr>
          <w:rFonts w:hint="eastAsia" w:asciiTheme="majorEastAsia" w:hAnsiTheme="majorEastAsia" w:eastAsiaTheme="majorEastAsia" w:cstheme="majorEastAsia"/>
          <w:b w:val="0"/>
          <w:bCs w:val="0"/>
          <w:color w:val="auto"/>
          <w:sz w:val="24"/>
          <w:szCs w:val="24"/>
          <w:highlight w:val="none"/>
          <w:u w:val="single"/>
        </w:rPr>
        <w:t>付款前，监理单位应向</w:t>
      </w:r>
      <w:r>
        <w:rPr>
          <w:rFonts w:hint="eastAsia" w:asciiTheme="majorEastAsia" w:hAnsiTheme="majorEastAsia" w:eastAsiaTheme="majorEastAsia" w:cstheme="majorEastAsia"/>
          <w:b w:val="0"/>
          <w:bCs w:val="0"/>
          <w:color w:val="auto"/>
          <w:sz w:val="24"/>
          <w:szCs w:val="24"/>
          <w:highlight w:val="none"/>
          <w:u w:val="single"/>
          <w:lang w:eastAsia="zh-CN"/>
        </w:rPr>
        <w:t>委托人</w:t>
      </w:r>
      <w:r>
        <w:rPr>
          <w:rFonts w:hint="eastAsia" w:asciiTheme="majorEastAsia" w:hAnsiTheme="majorEastAsia" w:eastAsiaTheme="majorEastAsia" w:cstheme="majorEastAsia"/>
          <w:b w:val="0"/>
          <w:bCs w:val="0"/>
          <w:color w:val="auto"/>
          <w:sz w:val="24"/>
          <w:szCs w:val="24"/>
          <w:highlight w:val="none"/>
          <w:u w:val="single"/>
        </w:rPr>
        <w:t>提供与每次付款</w:t>
      </w:r>
      <w:r>
        <w:rPr>
          <w:rFonts w:hint="eastAsia" w:asciiTheme="majorEastAsia" w:hAnsiTheme="majorEastAsia" w:eastAsiaTheme="majorEastAsia" w:cstheme="majorEastAsia"/>
          <w:b w:val="0"/>
          <w:bCs w:val="0"/>
          <w:color w:val="auto"/>
          <w:sz w:val="24"/>
          <w:szCs w:val="24"/>
          <w:highlight w:val="none"/>
          <w:u w:val="single"/>
          <w:lang w:val="en-US" w:eastAsia="zh-CN"/>
        </w:rPr>
        <w:t>等额</w:t>
      </w:r>
      <w:r>
        <w:rPr>
          <w:rFonts w:hint="eastAsia" w:asciiTheme="majorEastAsia" w:hAnsiTheme="majorEastAsia" w:eastAsiaTheme="majorEastAsia" w:cstheme="majorEastAsia"/>
          <w:b w:val="0"/>
          <w:bCs w:val="0"/>
          <w:color w:val="auto"/>
          <w:sz w:val="24"/>
          <w:szCs w:val="24"/>
          <w:highlight w:val="none"/>
          <w:u w:val="single"/>
        </w:rPr>
        <w:t>金额的含税增值税专用发票。</w:t>
      </w:r>
    </w:p>
    <w:p w14:paraId="20D9E8DD">
      <w:pPr>
        <w:keepNext w:val="0"/>
        <w:keepLines w:val="0"/>
        <w:pageBreakBefore w:val="0"/>
        <w:widowControl/>
        <w:kinsoku/>
        <w:wordWrap/>
        <w:overflowPunct/>
        <w:topLinePunct w:val="0"/>
        <w:autoSpaceDE/>
        <w:autoSpaceDN/>
        <w:bidi w:val="0"/>
        <w:adjustRightInd/>
        <w:snapToGrid/>
        <w:spacing w:line="560" w:lineRule="exact"/>
        <w:ind w:right="216" w:firstLine="480" w:firstLineChars="200"/>
        <w:textAlignment w:val="auto"/>
        <w:rPr>
          <w:rFonts w:hint="eastAsia" w:asciiTheme="majorEastAsia" w:hAnsiTheme="majorEastAsia" w:eastAsiaTheme="majorEastAsia" w:cstheme="majorEastAsia"/>
          <w:b w:val="0"/>
          <w:bCs w:val="0"/>
          <w:color w:val="auto"/>
          <w:sz w:val="24"/>
          <w:szCs w:val="24"/>
        </w:rPr>
      </w:pPr>
      <w:r>
        <w:rPr>
          <w:rFonts w:hint="eastAsia" w:eastAsia="宋体" w:asciiTheme="majorEastAsia" w:hAnsiTheme="majorEastAsia" w:cstheme="majorEastAsia"/>
          <w:b w:val="0"/>
          <w:bCs w:val="0"/>
          <w:color w:val="auto"/>
          <w:sz w:val="24"/>
          <w:szCs w:val="24"/>
          <w:lang w:val="en-US" w:eastAsia="zh-CN"/>
        </w:rPr>
        <w:t>3</w:t>
      </w:r>
      <w:r>
        <w:rPr>
          <w:rFonts w:hint="eastAsia" w:asciiTheme="majorEastAsia" w:hAnsiTheme="majorEastAsia" w:eastAsiaTheme="majorEastAsia" w:cstheme="majorEastAsia"/>
          <w:b w:val="0"/>
          <w:bCs w:val="0"/>
          <w:color w:val="auto"/>
          <w:sz w:val="24"/>
          <w:szCs w:val="24"/>
        </w:rPr>
        <w:t>.在履行本合同过程中，若因监理人违约行为而</w:t>
      </w:r>
      <w:r>
        <w:rPr>
          <w:rFonts w:hint="eastAsia" w:asciiTheme="majorEastAsia" w:hAnsiTheme="majorEastAsia" w:eastAsiaTheme="majorEastAsia" w:cstheme="majorEastAsia"/>
          <w:b w:val="0"/>
          <w:bCs w:val="0"/>
          <w:color w:val="auto"/>
          <w:sz w:val="24"/>
          <w:szCs w:val="24"/>
          <w:highlight w:val="none"/>
        </w:rPr>
        <w:t>产生违约金、损失赔偿款</w:t>
      </w:r>
      <w:r>
        <w:rPr>
          <w:rFonts w:hint="eastAsia" w:asciiTheme="majorEastAsia" w:hAnsiTheme="majorEastAsia" w:eastAsiaTheme="majorEastAsia" w:cstheme="majorEastAsia"/>
          <w:b w:val="0"/>
          <w:bCs w:val="0"/>
          <w:color w:val="auto"/>
          <w:sz w:val="24"/>
          <w:szCs w:val="24"/>
        </w:rPr>
        <w:t>等，委托人有权优先直接扣除上述款项再支付监理酬金进度款及余款。若监理人逾期返还超过10日的，则每超过一日，应按应返还未付款项的【万分之五】向委托人支付违约金</w:t>
      </w:r>
      <w:r>
        <w:rPr>
          <w:rFonts w:hint="eastAsia" w:asciiTheme="majorEastAsia" w:hAnsiTheme="majorEastAsia" w:eastAsiaTheme="majorEastAsia" w:cstheme="majorEastAsia"/>
          <w:b w:val="0"/>
          <w:bCs w:val="0"/>
          <w:color w:val="auto"/>
          <w:sz w:val="24"/>
          <w:szCs w:val="24"/>
          <w:lang w:eastAsia="zh-CN"/>
        </w:rPr>
        <w:t>，</w:t>
      </w:r>
      <w:r>
        <w:rPr>
          <w:rFonts w:hint="eastAsia" w:asciiTheme="majorEastAsia" w:hAnsiTheme="majorEastAsia" w:eastAsiaTheme="majorEastAsia" w:cstheme="majorEastAsia"/>
          <w:b w:val="0"/>
          <w:bCs w:val="0"/>
          <w:color w:val="auto"/>
          <w:sz w:val="24"/>
          <w:szCs w:val="24"/>
        </w:rPr>
        <w:t>直至全部款项付清为止。</w:t>
      </w:r>
    </w:p>
    <w:p w14:paraId="59DFB952">
      <w:pPr>
        <w:keepNext w:val="0"/>
        <w:keepLines w:val="0"/>
        <w:pageBreakBefore w:val="0"/>
        <w:widowControl/>
        <w:kinsoku/>
        <w:wordWrap/>
        <w:overflowPunct/>
        <w:topLinePunct w:val="0"/>
        <w:autoSpaceDE/>
        <w:autoSpaceDN/>
        <w:bidi w:val="0"/>
        <w:adjustRightInd/>
        <w:snapToGrid/>
        <w:spacing w:line="560" w:lineRule="exact"/>
        <w:ind w:right="216" w:firstLine="480" w:firstLineChars="200"/>
        <w:textAlignment w:val="auto"/>
        <w:rPr>
          <w:rFonts w:hint="eastAsia" w:asciiTheme="majorEastAsia" w:hAnsiTheme="majorEastAsia" w:eastAsiaTheme="majorEastAsia" w:cstheme="majorEastAsia"/>
          <w:b w:val="0"/>
          <w:bCs w:val="0"/>
          <w:color w:val="auto"/>
          <w:highlight w:val="none"/>
        </w:rPr>
      </w:pPr>
      <w:r>
        <w:rPr>
          <w:rFonts w:hint="eastAsia" w:eastAsia="宋体" w:asciiTheme="majorEastAsia" w:hAnsiTheme="majorEastAsia" w:cstheme="majorEastAsia"/>
          <w:b w:val="0"/>
          <w:bCs w:val="0"/>
          <w:color w:val="auto"/>
          <w:sz w:val="24"/>
          <w:szCs w:val="24"/>
          <w:lang w:val="en-US" w:eastAsia="zh-CN"/>
        </w:rPr>
        <w:t>4</w:t>
      </w:r>
      <w:r>
        <w:rPr>
          <w:rFonts w:hint="eastAsia" w:asciiTheme="majorEastAsia" w:hAnsiTheme="majorEastAsia" w:eastAsiaTheme="majorEastAsia" w:cstheme="majorEastAsia"/>
          <w:b w:val="0"/>
          <w:bCs w:val="0"/>
          <w:color w:val="auto"/>
          <w:sz w:val="24"/>
          <w:szCs w:val="24"/>
        </w:rPr>
        <w:t>.若委托人已支付的监理酬金总额超过根据本条确定的最终监理酬金，则监理人应在收到委托人通知之日起【10】个工作日内，将超付金额全额返还至委托人指定账户。</w:t>
      </w:r>
    </w:p>
    <w:p w14:paraId="2F7677E5">
      <w:pPr>
        <w:spacing w:before="0" w:after="0" w:line="360" w:lineRule="auto"/>
        <w:jc w:val="both"/>
        <w:rPr>
          <w:rFonts w:hint="eastAsia" w:ascii="Times New Roman" w:hAnsi="Times New Roman" w:eastAsia="宋体"/>
          <w:b w:val="0"/>
          <w:color w:val="000000"/>
          <w:sz w:val="24"/>
          <w:lang w:val="en-US" w:eastAsia="zh-CN"/>
        </w:rPr>
      </w:pPr>
    </w:p>
    <w:p w14:paraId="091D6B47">
      <w:pPr>
        <w:spacing w:before="0" w:after="0" w:line="360" w:lineRule="auto"/>
        <w:jc w:val="both"/>
      </w:pPr>
    </w:p>
    <w:sectPr>
      <w:footerReference r:id="rId5" w:type="default"/>
      <w:pgSz w:w="11906" w:h="16838"/>
      <w:pgMar w:top="1417" w:right="1417" w:bottom="1417" w:left="141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A10C2">
    <w:pPr>
      <w:pStyle w:val="25"/>
      <w:jc w:val="center"/>
    </w:pPr>
    <w:r>
      <w:rPr>
        <w:sz w:val="21"/>
      </w:rPr>
      <w:fldChar w:fldCharType="begin"/>
    </w:r>
    <w:r>
      <w:rPr>
        <w:sz w:val="21"/>
      </w:rPr>
      <w:instrText xml:space="preserve">PAGE</w:instrText>
    </w:r>
    <w:r>
      <w:rPr>
        <w:sz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B6A354"/>
    <w:multiLevelType w:val="singleLevel"/>
    <w:tmpl w:val="F4B6A354"/>
    <w:lvl w:ilvl="0" w:tentative="0">
      <w:start w:val="1"/>
      <w:numFmt w:val="decimal"/>
      <w:lvlText w:val="(%1)"/>
      <w:lvlJc w:val="left"/>
      <w:pPr>
        <w:tabs>
          <w:tab w:val="left" w:pos="420"/>
        </w:tabs>
        <w:ind w:left="845" w:hanging="425"/>
      </w:pPr>
      <w:rPr>
        <w:rFonts w:hint="default"/>
      </w:rPr>
    </w:lvl>
  </w:abstractNum>
  <w:abstractNum w:abstractNumId="1">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5D613C"/>
    <w:rsid w:val="00AA1D8D"/>
    <w:rsid w:val="00B47730"/>
    <w:rsid w:val="00CB0664"/>
    <w:rsid w:val="00FC693F"/>
    <w:rsid w:val="128A572B"/>
    <w:rsid w:val="13FF3EF7"/>
    <w:rsid w:val="1D102CD1"/>
    <w:rsid w:val="1E7B6870"/>
    <w:rsid w:val="22EB3FC4"/>
    <w:rsid w:val="25E82A3D"/>
    <w:rsid w:val="299627B0"/>
    <w:rsid w:val="2E775838"/>
    <w:rsid w:val="2F4607D4"/>
    <w:rsid w:val="2F463538"/>
    <w:rsid w:val="2F7C27D7"/>
    <w:rsid w:val="310E0E7D"/>
    <w:rsid w:val="34295223"/>
    <w:rsid w:val="3598340C"/>
    <w:rsid w:val="3A8B353F"/>
    <w:rsid w:val="46D930A9"/>
    <w:rsid w:val="47613FA5"/>
    <w:rsid w:val="48174664"/>
    <w:rsid w:val="4904108C"/>
    <w:rsid w:val="4FAE4415"/>
    <w:rsid w:val="569F6CEC"/>
    <w:rsid w:val="584446CB"/>
    <w:rsid w:val="5AD94AE6"/>
    <w:rsid w:val="5CB169DD"/>
    <w:rsid w:val="6340122B"/>
    <w:rsid w:val="637B05B2"/>
    <w:rsid w:val="63CB2A7A"/>
    <w:rsid w:val="65462486"/>
    <w:rsid w:val="66255669"/>
    <w:rsid w:val="66E83943"/>
    <w:rsid w:val="66FD73EF"/>
    <w:rsid w:val="6A3749C6"/>
    <w:rsid w:val="6A90057A"/>
    <w:rsid w:val="6E674762"/>
    <w:rsid w:val="705E316E"/>
    <w:rsid w:val="735E7467"/>
    <w:rsid w:val="73B76B77"/>
    <w:rsid w:val="76530DD9"/>
    <w:rsid w:val="77607C10"/>
    <w:rsid w:val="78BD69DE"/>
    <w:rsid w:val="7C0D4B5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0" w:after="0" w:line="360" w:lineRule="auto"/>
    </w:pPr>
    <w:rPr>
      <w:rFonts w:ascii="Times New Roman" w:hAnsi="Times New Roman" w:eastAsia="宋体" w:cstheme="minorBidi"/>
      <w:color w:val="000000"/>
      <w:sz w:val="24"/>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unhideWhenUsed/>
    <w:qFormat/>
    <w:uiPriority w:val="99"/>
    <w:pPr>
      <w:jc w:val="left"/>
    </w:pPr>
    <w:rPr>
      <w:rFonts w:hint="default"/>
      <w:sz w:val="21"/>
      <w:szCs w:val="21"/>
    </w:rPr>
  </w:style>
  <w:style w:type="paragraph" w:styleId="18">
    <w:name w:val="Body Text 3"/>
    <w:basedOn w:val="1"/>
    <w:link w:val="147"/>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next w:val="1"/>
    <w:link w:val="145"/>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7"/>
    <w:unhideWhenUsed/>
    <w:qFormat/>
    <w:uiPriority w:val="99"/>
    <w:pPr>
      <w:tabs>
        <w:tab w:val="center" w:pos="4680"/>
        <w:tab w:val="right" w:pos="9360"/>
      </w:tabs>
      <w:spacing w:after="0" w:line="240" w:lineRule="auto"/>
    </w:pPr>
  </w:style>
  <w:style w:type="paragraph" w:styleId="26">
    <w:name w:val="header"/>
    <w:basedOn w:val="1"/>
    <w:link w:val="136"/>
    <w:unhideWhenUsed/>
    <w:qFormat/>
    <w:uiPriority w:val="99"/>
    <w:pPr>
      <w:tabs>
        <w:tab w:val="center" w:pos="4680"/>
        <w:tab w:val="right" w:pos="9360"/>
      </w:tabs>
      <w:spacing w:after="0" w:line="240" w:lineRule="auto"/>
    </w:pPr>
  </w:style>
  <w:style w:type="paragraph" w:styleId="27">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6"/>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6"/>
    <w:qFormat/>
    <w:uiPriority w:val="99"/>
  </w:style>
  <w:style w:type="character" w:customStyle="1" w:styleId="137">
    <w:name w:val="Footer Char"/>
    <w:basedOn w:val="133"/>
    <w:link w:val="25"/>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20"/>
    <w:qFormat/>
    <w:uiPriority w:val="99"/>
  </w:style>
  <w:style w:type="character" w:customStyle="1" w:styleId="146">
    <w:name w:val="Body Text 2 Char"/>
    <w:basedOn w:val="133"/>
    <w:link w:val="29"/>
    <w:qFormat/>
    <w:uiPriority w:val="99"/>
  </w:style>
  <w:style w:type="character" w:customStyle="1" w:styleId="147">
    <w:name w:val="Body Text 3 Char"/>
    <w:basedOn w:val="133"/>
    <w:link w:val="18"/>
    <w:qFormat/>
    <w:uiPriority w:val="99"/>
    <w:rPr>
      <w:sz w:val="16"/>
      <w:szCs w:val="16"/>
    </w:rPr>
  </w:style>
  <w:style w:type="character" w:customStyle="1" w:styleId="148">
    <w:name w:val="Macro Text Char"/>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3264</Words>
  <Characters>3484</Characters>
  <Lines>0</Lines>
  <Paragraphs>0</Paragraphs>
  <TotalTime>24</TotalTime>
  <ScaleCrop>false</ScaleCrop>
  <LinksUpToDate>false</LinksUpToDate>
  <CharactersWithSpaces>3529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陈柏雄</cp:lastModifiedBy>
  <dcterms:modified xsi:type="dcterms:W3CDTF">2026-09-02T07:43:42Z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eyJoZGlkIjoiZGMzMTE1NWIyZmRlMDY5YmI4Njk1MWRjN2RjNWIzMzAiLCJ1c2VySWQiOiI1NDA5NTU4ODEifQ==</vt:lpwstr>
  </property>
  <property fmtid="{D5CDD505-2E9C-101B-9397-08002B2CF9AE}" pid="3" name="KSOProductBuildVer">
    <vt:lpwstr>2052-12.1.0.28043</vt:lpwstr>
  </property>
  <property fmtid="{D5CDD505-2E9C-101B-9397-08002B2CF9AE}" pid="4" name="ICV">
    <vt:lpwstr>563E12EFA3EF4E4393A746B85FCF4DC0_13</vt:lpwstr>
  </property>
</Properties>
</file>