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157DC">
      <w:pPr>
        <w:spacing w:line="579" w:lineRule="exact"/>
        <w:jc w:val="center"/>
        <w:rPr>
          <w:rFonts w:hint="eastAsia" w:ascii="微软雅黑" w:hAnsi="微软雅黑" w:eastAsia="微软雅黑" w:cs="微软雅黑"/>
          <w:sz w:val="44"/>
          <w:szCs w:val="44"/>
          <w:highlight w:val="none"/>
        </w:rPr>
      </w:pPr>
      <w:r>
        <w:rPr>
          <w:rFonts w:hint="eastAsia" w:ascii="微软雅黑" w:hAnsi="微软雅黑" w:eastAsia="微软雅黑" w:cs="微软雅黑"/>
          <w:sz w:val="44"/>
          <w:szCs w:val="44"/>
          <w:highlight w:val="none"/>
          <w:lang w:val="en-US" w:eastAsia="zh-CN"/>
        </w:rPr>
        <w:t>深圳市深粮控股股份有限公司</w:t>
      </w:r>
      <w:r>
        <w:rPr>
          <w:rFonts w:hint="eastAsia" w:ascii="微软雅黑" w:hAnsi="微软雅黑" w:eastAsia="微软雅黑" w:cs="微软雅黑"/>
          <w:sz w:val="44"/>
          <w:szCs w:val="44"/>
          <w:highlight w:val="none"/>
        </w:rPr>
        <w:t>关于聘请</w:t>
      </w:r>
    </w:p>
    <w:p w14:paraId="21C10EFB">
      <w:pPr>
        <w:spacing w:line="579" w:lineRule="exact"/>
        <w:jc w:val="center"/>
        <w:rPr>
          <w:rFonts w:hint="eastAsia" w:ascii="微软雅黑" w:hAnsi="微软雅黑" w:eastAsia="微软雅黑" w:cs="微软雅黑"/>
          <w:sz w:val="44"/>
          <w:szCs w:val="44"/>
          <w:highlight w:val="none"/>
        </w:rPr>
      </w:pPr>
      <w:r>
        <w:rPr>
          <w:rFonts w:hint="eastAsia" w:ascii="微软雅黑" w:hAnsi="微软雅黑" w:eastAsia="微软雅黑" w:cs="微软雅黑"/>
          <w:sz w:val="44"/>
          <w:szCs w:val="44"/>
          <w:highlight w:val="none"/>
        </w:rPr>
        <w:t>产业规划专业服务机构</w:t>
      </w:r>
      <w:r>
        <w:rPr>
          <w:rFonts w:hint="eastAsia" w:ascii="微软雅黑" w:hAnsi="微软雅黑" w:eastAsia="微软雅黑" w:cs="微软雅黑"/>
          <w:sz w:val="44"/>
          <w:szCs w:val="44"/>
          <w:highlight w:val="none"/>
          <w:lang w:val="en-US" w:eastAsia="zh-CN"/>
        </w:rPr>
        <w:t>竞争性</w:t>
      </w:r>
      <w:r>
        <w:rPr>
          <w:rFonts w:hint="eastAsia" w:ascii="微软雅黑" w:hAnsi="微软雅黑" w:eastAsia="微软雅黑" w:cs="微软雅黑"/>
          <w:sz w:val="44"/>
          <w:szCs w:val="44"/>
          <w:highlight w:val="none"/>
        </w:rPr>
        <w:t>谈判公告书</w:t>
      </w:r>
    </w:p>
    <w:p w14:paraId="3D8F9EF5">
      <w:pPr>
        <w:spacing w:line="579" w:lineRule="exact"/>
        <w:jc w:val="center"/>
        <w:rPr>
          <w:rFonts w:hint="eastAsia" w:ascii="黑体" w:hAnsi="黑体" w:eastAsia="黑体" w:cs="黑体"/>
          <w:sz w:val="44"/>
          <w:szCs w:val="44"/>
          <w:highlight w:val="none"/>
        </w:rPr>
      </w:pPr>
    </w:p>
    <w:p w14:paraId="3C4ECBE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为进一步落实公司“十五五</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战略规划，提高公司地块资产利用效率及产业链协同能力，深圳市深粮控股股份有限公司（下称“公司”）拟聘请产业规划专业服务机构协助进行地块产业规划研究，现将有关服务采购事项公告如下：</w:t>
      </w:r>
    </w:p>
    <w:p w14:paraId="7C20C724">
      <w:pPr>
        <w:numPr>
          <w:ilvl w:val="0"/>
          <w:numId w:val="1"/>
        </w:numPr>
        <w:spacing w:line="579" w:lineRule="exact"/>
        <w:ind w:firstLine="640" w:firstLineChars="20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项目范围</w:t>
      </w:r>
    </w:p>
    <w:p w14:paraId="32D21F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目标地块位于广东省惠州市，地块详细情况将于报名后一对一发送。</w:t>
      </w:r>
    </w:p>
    <w:p w14:paraId="6471E79E">
      <w:pPr>
        <w:numPr>
          <w:ilvl w:val="0"/>
          <w:numId w:val="1"/>
        </w:numPr>
        <w:spacing w:line="579" w:lineRule="exact"/>
        <w:ind w:firstLine="640" w:firstLineChars="20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项目需求</w:t>
      </w:r>
    </w:p>
    <w:p w14:paraId="7183C1E4">
      <w:pPr>
        <w:keepNext w:val="0"/>
        <w:keepLines w:val="0"/>
        <w:widowControl/>
        <w:suppressLineNumbers w:val="0"/>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本次拟聘请的中介机构主要负责围绕目前地块资源及公司自有资源（详见地块详细情况）</w:t>
      </w:r>
      <w:r>
        <w:rPr>
          <w:rFonts w:hint="eastAsia" w:ascii="仿宋_GB2312" w:hAnsi="仿宋_GB2312" w:eastAsia="仿宋_GB2312" w:cs="仿宋_GB2312"/>
          <w:sz w:val="32"/>
          <w:szCs w:val="32"/>
          <w:highlight w:val="none"/>
          <w:lang w:val="en-US" w:eastAsia="zh-CN"/>
        </w:rPr>
        <w:t>，按以下阶段开展全维度</w:t>
      </w:r>
      <w:r>
        <w:rPr>
          <w:rFonts w:hint="default" w:ascii="仿宋_GB2312" w:hAnsi="仿宋_GB2312" w:eastAsia="仿宋_GB2312" w:cs="仿宋_GB2312"/>
          <w:sz w:val="32"/>
          <w:szCs w:val="32"/>
          <w:highlight w:val="none"/>
          <w:lang w:val="en-US" w:eastAsia="zh-CN"/>
        </w:rPr>
        <w:t>研判、定位、产品规划及运营策略研究</w:t>
      </w:r>
      <w:r>
        <w:rPr>
          <w:rFonts w:hint="eastAsia" w:ascii="仿宋_GB2312" w:hAnsi="仿宋_GB2312" w:eastAsia="仿宋_GB2312" w:cs="仿宋_GB2312"/>
          <w:sz w:val="32"/>
          <w:szCs w:val="32"/>
          <w:highlight w:val="none"/>
          <w:lang w:val="en-US" w:eastAsia="zh-CN"/>
        </w:rPr>
        <w:t>，主要如下：</w:t>
      </w:r>
    </w:p>
    <w:p w14:paraId="6FC7B106">
      <w:pPr>
        <w:keepNext w:val="0"/>
        <w:keepLines w:val="0"/>
        <w:widowControl/>
        <w:suppressLineNumbers w:val="0"/>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第一阶段，初步可行性研判。本阶段基于目标地块政策、</w:t>
      </w:r>
      <w:bookmarkStart w:id="0" w:name="_GoBack"/>
      <w:bookmarkEnd w:id="0"/>
      <w:r>
        <w:rPr>
          <w:rFonts w:hint="eastAsia" w:ascii="仿宋_GB2312" w:hAnsi="仿宋_GB2312" w:eastAsia="仿宋_GB2312" w:cs="仿宋_GB2312"/>
          <w:sz w:val="32"/>
          <w:szCs w:val="32"/>
          <w:highlight w:val="none"/>
          <w:lang w:val="en-US" w:eastAsia="zh-CN"/>
        </w:rPr>
        <w:t>产业、市场、地块现状及公司自有资源，开展初步投资测算，判定目标地块是否具备开发的基础条件，是否具备投资价值，以及初步判断投资方向，为投资立项提供数据支撑。</w:t>
      </w:r>
    </w:p>
    <w:p w14:paraId="568DFD4D">
      <w:pPr>
        <w:keepNext w:val="0"/>
        <w:keepLines w:val="0"/>
        <w:widowControl/>
        <w:suppressLineNumbers w:val="0"/>
        <w:ind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第二阶段，深化可行性研究。基于第一阶段的判断，编制详细的可行性研究报告，结合公司自有资源</w:t>
      </w:r>
      <w:r>
        <w:rPr>
          <w:rFonts w:hint="eastAsia" w:ascii="仿宋_GB2312" w:hAnsi="仿宋_GB2312" w:eastAsia="仿宋_GB2312" w:cs="仿宋_GB2312"/>
          <w:kern w:val="2"/>
          <w:sz w:val="32"/>
          <w:szCs w:val="32"/>
          <w:highlight w:val="none"/>
          <w:lang w:val="en-US" w:eastAsia="zh-CN" w:bidi="ar"/>
        </w:rPr>
        <w:t>明确项目整体开发定位、核心业态、功能分区、建设规模、建设标准、开发时序、合作模式、运营模式，全方位深化可行性论证，完成投资收益与财务分析。</w:t>
      </w:r>
    </w:p>
    <w:p w14:paraId="35C7B471">
      <w:pPr>
        <w:keepNext w:val="0"/>
        <w:keepLines w:val="0"/>
        <w:widowControl/>
        <w:suppressLineNumbers w:val="0"/>
        <w:ind w:firstLine="640" w:firstLineChars="200"/>
        <w:jc w:val="left"/>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第三阶段，编制产品整体规划方案，包括但不限于总平规划、产品方案、建设方案、运营方案、开发时序等，为项目建设、设计、施工、招商奠定核心指导基础。</w:t>
      </w:r>
    </w:p>
    <w:p w14:paraId="496CB771">
      <w:pPr>
        <w:keepNext w:val="0"/>
        <w:keepLines w:val="0"/>
        <w:widowControl/>
        <w:suppressLineNumbers w:val="0"/>
        <w:ind w:firstLine="640" w:firstLineChars="200"/>
        <w:jc w:val="left"/>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sz w:val="32"/>
          <w:szCs w:val="32"/>
          <w:lang w:val="en-US" w:eastAsia="zh-CN" w:bidi="ar"/>
        </w:rPr>
        <w:t>第四阶段，制定招商落地全流程规划。搭建适配的招商体系、</w:t>
      </w:r>
      <w:r>
        <w:rPr>
          <w:rFonts w:hint="eastAsia" w:ascii="仿宋_GB2312" w:hAnsi="仿宋_GB2312" w:eastAsia="仿宋_GB2312" w:cs="仿宋_GB2312"/>
          <w:kern w:val="2"/>
          <w:sz w:val="32"/>
          <w:szCs w:val="32"/>
          <w:lang w:val="en-US" w:eastAsia="zh-CN" w:bidi="ar"/>
        </w:rPr>
        <w:t>制定招商策略并提供招商落地支撑服务。</w:t>
      </w:r>
    </w:p>
    <w:p w14:paraId="4EC33C14">
      <w:pPr>
        <w:numPr>
          <w:ilvl w:val="0"/>
          <w:numId w:val="1"/>
        </w:numPr>
        <w:spacing w:line="579" w:lineRule="exact"/>
        <w:ind w:firstLine="640" w:firstLineChars="200"/>
        <w:rPr>
          <w:rFonts w:hint="default" w:ascii="黑体" w:hAnsi="黑体" w:eastAsia="黑体" w:cs="黑体"/>
          <w:b w:val="0"/>
          <w:bCs w:val="0"/>
          <w:sz w:val="32"/>
          <w:szCs w:val="32"/>
          <w:highlight w:val="none"/>
          <w:lang w:val="en-US" w:eastAsia="zh-CN" w:bidi="ar"/>
        </w:rPr>
      </w:pPr>
      <w:r>
        <w:rPr>
          <w:rFonts w:hint="default" w:ascii="黑体" w:hAnsi="黑体" w:eastAsia="黑体" w:cs="黑体"/>
          <w:b w:val="0"/>
          <w:bCs w:val="0"/>
          <w:sz w:val="32"/>
          <w:szCs w:val="32"/>
          <w:highlight w:val="none"/>
          <w:lang w:val="en-US" w:eastAsia="zh-CN" w:bidi="ar"/>
        </w:rPr>
        <w:t>采购控制价</w:t>
      </w:r>
      <w:r>
        <w:rPr>
          <w:rFonts w:hint="eastAsia" w:ascii="黑体" w:hAnsi="黑体" w:eastAsia="黑体" w:cs="黑体"/>
          <w:b w:val="0"/>
          <w:bCs w:val="0"/>
          <w:sz w:val="32"/>
          <w:szCs w:val="32"/>
          <w:highlight w:val="none"/>
          <w:lang w:val="en-US" w:eastAsia="zh-CN" w:bidi="ar"/>
        </w:rPr>
        <w:t>及费用支付模式</w:t>
      </w:r>
    </w:p>
    <w:p w14:paraId="334E05AC">
      <w:pPr>
        <w:widowControl/>
        <w:spacing w:line="579" w:lineRule="exact"/>
        <w:ind w:firstLine="640" w:firstLineChars="200"/>
        <w:jc w:val="left"/>
        <w:rPr>
          <w:rFonts w:hint="eastAsia" w:ascii="仿宋_GB2312" w:hAnsi="宋体" w:eastAsia="仿宋_GB2312" w:cs="仿宋_GB2312"/>
          <w:color w:val="000000"/>
          <w:kern w:val="0"/>
          <w:sz w:val="32"/>
          <w:szCs w:val="32"/>
          <w:highlight w:val="none"/>
          <w:lang w:bidi="ar"/>
        </w:rPr>
      </w:pPr>
      <w:r>
        <w:rPr>
          <w:rFonts w:ascii="仿宋_GB2312" w:hAnsi="宋体" w:eastAsia="仿宋_GB2312" w:cs="仿宋_GB2312"/>
          <w:color w:val="000000"/>
          <w:kern w:val="0"/>
          <w:sz w:val="32"/>
          <w:szCs w:val="32"/>
          <w:highlight w:val="none"/>
          <w:lang w:bidi="ar"/>
        </w:rPr>
        <w:t>本</w:t>
      </w:r>
      <w:r>
        <w:rPr>
          <w:rFonts w:hint="eastAsia" w:ascii="仿宋_GB2312" w:hAnsi="宋体" w:eastAsia="仿宋_GB2312" w:cs="仿宋_GB2312"/>
          <w:color w:val="000000"/>
          <w:kern w:val="0"/>
          <w:sz w:val="32"/>
          <w:szCs w:val="32"/>
          <w:highlight w:val="none"/>
          <w:lang w:bidi="ar"/>
        </w:rPr>
        <w:t>项目采购控制价为22万元，采用分阶段服务、分阶段验收、分阶段付费模式，其中第一阶段报价不超过总价的40%。若前置阶段初步研判结论为项目不可行，后续阶段服务自动终止。报价材料需明确注明各阶段费用。</w:t>
      </w:r>
    </w:p>
    <w:p w14:paraId="0271986E">
      <w:pPr>
        <w:widowControl/>
        <w:spacing w:line="579" w:lineRule="exact"/>
        <w:ind w:firstLine="640" w:firstLineChars="200"/>
        <w:jc w:val="left"/>
        <w:rPr>
          <w:sz w:val="32"/>
          <w:szCs w:val="32"/>
          <w:highlight w:val="none"/>
        </w:rPr>
      </w:pPr>
      <w:r>
        <w:rPr>
          <w:rFonts w:ascii="黑体" w:hAnsi="宋体" w:eastAsia="黑体" w:cs="黑体"/>
          <w:color w:val="000000"/>
          <w:kern w:val="0"/>
          <w:sz w:val="32"/>
          <w:szCs w:val="32"/>
          <w:highlight w:val="none"/>
          <w:lang w:bidi="ar"/>
        </w:rPr>
        <w:t>四、</w:t>
      </w:r>
      <w:r>
        <w:rPr>
          <w:rFonts w:hint="eastAsia" w:ascii="黑体" w:hAnsi="宋体" w:eastAsia="黑体" w:cs="黑体"/>
          <w:color w:val="000000"/>
          <w:kern w:val="0"/>
          <w:sz w:val="32"/>
          <w:szCs w:val="32"/>
          <w:highlight w:val="none"/>
          <w:lang w:bidi="ar"/>
        </w:rPr>
        <w:t>服务机构</w:t>
      </w:r>
      <w:r>
        <w:rPr>
          <w:rFonts w:ascii="黑体" w:hAnsi="宋体" w:eastAsia="黑体" w:cs="黑体"/>
          <w:color w:val="000000"/>
          <w:kern w:val="0"/>
          <w:sz w:val="32"/>
          <w:szCs w:val="32"/>
          <w:highlight w:val="none"/>
          <w:lang w:bidi="ar"/>
        </w:rPr>
        <w:t xml:space="preserve">资格条件 </w:t>
      </w:r>
    </w:p>
    <w:p w14:paraId="5378A311">
      <w:pPr>
        <w:widowControl/>
        <w:numPr>
          <w:ilvl w:val="0"/>
          <w:numId w:val="2"/>
        </w:numPr>
        <w:spacing w:line="579" w:lineRule="exact"/>
        <w:ind w:firstLine="640" w:firstLineChars="200"/>
        <w:jc w:val="left"/>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sz w:val="32"/>
          <w:szCs w:val="32"/>
          <w:highlight w:val="none"/>
          <w:lang w:val="en-US" w:eastAsia="zh-CN"/>
        </w:rPr>
        <w:t>独立承担民事责任能力的在中华人民共和国境内</w:t>
      </w:r>
      <w:r>
        <w:rPr>
          <w:rFonts w:hint="eastAsia" w:ascii="仿宋_GB2312" w:hAnsi="仿宋_GB2312" w:eastAsia="仿宋_GB2312" w:cs="仿宋_GB2312"/>
          <w:color w:val="000000"/>
          <w:kern w:val="0"/>
          <w:sz w:val="32"/>
          <w:szCs w:val="32"/>
          <w:highlight w:val="none"/>
          <w:lang w:bidi="ar"/>
        </w:rPr>
        <w:t>注册的法人或其他组织（提供法人或者其他组织的营业执照等证明文件）；</w:t>
      </w:r>
    </w:p>
    <w:p w14:paraId="3A918E4E">
      <w:pPr>
        <w:numPr>
          <w:ilvl w:val="0"/>
          <w:numId w:val="2"/>
        </w:numPr>
        <w:spacing w:line="579"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在产业园区研究策划等相关领域完成过2个以上产业规划或咨询项目、熟悉行业发展趋势、行业政策及宏观经济形势分析；</w:t>
      </w:r>
    </w:p>
    <w:p w14:paraId="6183B27F">
      <w:pPr>
        <w:numPr>
          <w:ilvl w:val="0"/>
          <w:numId w:val="2"/>
        </w:numPr>
        <w:spacing w:line="579" w:lineRule="exact"/>
        <w:ind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kern w:val="0"/>
          <w:sz w:val="32"/>
          <w:szCs w:val="32"/>
          <w:highlight w:val="none"/>
          <w:lang w:bidi="ar"/>
        </w:rPr>
        <w:t>服务机构拟投入的服务团队全体成员，自从业以来没有违法记录（是指服务机构员工因违法经营受到刑事处罚或者吊销许可证或者执照、罚款等行政处罚）（提供承诺函并加盖公章）。</w:t>
      </w:r>
    </w:p>
    <w:p w14:paraId="40FB179A">
      <w:pPr>
        <w:numPr>
          <w:ilvl w:val="0"/>
          <w:numId w:val="2"/>
        </w:numPr>
        <w:spacing w:line="579" w:lineRule="exact"/>
        <w:ind w:leftChars="0" w:firstLine="640" w:firstLineChars="200"/>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本项目不接受联合体投标。</w:t>
      </w:r>
    </w:p>
    <w:p w14:paraId="073DB67F">
      <w:pPr>
        <w:widowControl/>
        <w:spacing w:line="579" w:lineRule="exact"/>
        <w:ind w:firstLine="640" w:firstLineChars="200"/>
        <w:jc w:val="left"/>
        <w:rPr>
          <w:sz w:val="32"/>
          <w:szCs w:val="32"/>
          <w:highlight w:val="none"/>
        </w:rPr>
      </w:pPr>
      <w:r>
        <w:rPr>
          <w:rFonts w:hint="eastAsia" w:ascii="黑体" w:hAnsi="宋体" w:eastAsia="黑体" w:cs="黑体"/>
          <w:color w:val="000000"/>
          <w:kern w:val="0"/>
          <w:sz w:val="32"/>
          <w:szCs w:val="32"/>
          <w:highlight w:val="none"/>
          <w:lang w:bidi="ar"/>
        </w:rPr>
        <w:t xml:space="preserve">五、响应文件提交 </w:t>
      </w:r>
    </w:p>
    <w:p w14:paraId="28A674FE">
      <w:pPr>
        <w:widowControl/>
        <w:numPr>
          <w:ilvl w:val="-1"/>
          <w:numId w:val="0"/>
        </w:numPr>
        <w:spacing w:line="579" w:lineRule="exact"/>
        <w:ind w:firstLine="640" w:firstLineChars="200"/>
        <w:jc w:val="left"/>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（一）</w:t>
      </w:r>
      <w:r>
        <w:rPr>
          <w:rFonts w:hint="eastAsia" w:ascii="仿宋_GB2312" w:hAnsi="仿宋_GB2312" w:eastAsia="仿宋_GB2312" w:cs="仿宋_GB2312"/>
          <w:color w:val="000000"/>
          <w:kern w:val="0"/>
          <w:sz w:val="32"/>
          <w:szCs w:val="32"/>
          <w:highlight w:val="none"/>
          <w:lang w:val="en-US" w:eastAsia="zh-CN" w:bidi="ar"/>
        </w:rPr>
        <w:t>公司资质文件（含营业执照、相关执业证书（若有）复印件）</w:t>
      </w:r>
      <w:r>
        <w:rPr>
          <w:rFonts w:hint="eastAsia" w:ascii="仿宋_GB2312" w:hAnsi="仿宋_GB2312" w:eastAsia="仿宋_GB2312" w:cs="仿宋_GB2312"/>
          <w:color w:val="000000"/>
          <w:kern w:val="0"/>
          <w:sz w:val="32"/>
          <w:szCs w:val="32"/>
          <w:highlight w:val="none"/>
          <w:lang w:bidi="ar"/>
        </w:rPr>
        <w:t xml:space="preserve">； </w:t>
      </w:r>
    </w:p>
    <w:p w14:paraId="3EBD2015">
      <w:pPr>
        <w:widowControl/>
        <w:spacing w:line="579" w:lineRule="exact"/>
        <w:ind w:firstLine="640" w:firstLineChars="200"/>
        <w:jc w:val="left"/>
        <w:rPr>
          <w:color w:val="auto"/>
          <w:sz w:val="32"/>
          <w:szCs w:val="32"/>
          <w:highlight w:val="none"/>
        </w:rPr>
      </w:pPr>
      <w:r>
        <w:rPr>
          <w:rFonts w:hint="eastAsia" w:ascii="仿宋_GB2312" w:hAnsi="宋体" w:eastAsia="仿宋_GB2312" w:cs="仿宋_GB2312"/>
          <w:color w:val="auto"/>
          <w:kern w:val="0"/>
          <w:sz w:val="32"/>
          <w:szCs w:val="32"/>
          <w:highlight w:val="none"/>
          <w:lang w:bidi="ar"/>
        </w:rPr>
        <w:t xml:space="preserve">（二）法定代表人资格证明书或法定代表人委托授权书； </w:t>
      </w:r>
    </w:p>
    <w:p w14:paraId="6F5DB0F6">
      <w:pPr>
        <w:widowControl/>
        <w:spacing w:line="579" w:lineRule="exact"/>
        <w:ind w:firstLine="640" w:firstLineChars="200"/>
        <w:jc w:val="left"/>
        <w:rPr>
          <w:color w:val="auto"/>
          <w:sz w:val="32"/>
          <w:szCs w:val="32"/>
          <w:highlight w:val="none"/>
        </w:rPr>
      </w:pPr>
      <w:r>
        <w:rPr>
          <w:rFonts w:hint="eastAsia" w:ascii="仿宋_GB2312" w:hAnsi="宋体" w:eastAsia="仿宋_GB2312" w:cs="仿宋_GB2312"/>
          <w:color w:val="auto"/>
          <w:kern w:val="0"/>
          <w:sz w:val="32"/>
          <w:szCs w:val="32"/>
          <w:highlight w:val="none"/>
          <w:lang w:bidi="ar"/>
        </w:rPr>
        <w:t xml:space="preserve">（三）未被信用中国及中国政府采购网列入失信被执行人、重大税收违法案件当事人名单、政府采购严重违法失信行为记录名单查询截图（共三份）； </w:t>
      </w:r>
    </w:p>
    <w:p w14:paraId="06890960">
      <w:pPr>
        <w:widowControl/>
        <w:spacing w:line="579" w:lineRule="exact"/>
        <w:ind w:firstLine="640" w:firstLineChars="200"/>
        <w:jc w:val="left"/>
        <w:rPr>
          <w:color w:val="auto"/>
          <w:sz w:val="32"/>
          <w:szCs w:val="32"/>
          <w:highlight w:val="none"/>
        </w:rPr>
      </w:pPr>
      <w:r>
        <w:rPr>
          <w:rFonts w:hint="eastAsia" w:ascii="仿宋_GB2312" w:hAnsi="宋体" w:eastAsia="仿宋_GB2312" w:cs="仿宋_GB2312"/>
          <w:color w:val="auto"/>
          <w:kern w:val="0"/>
          <w:sz w:val="32"/>
          <w:szCs w:val="32"/>
          <w:highlight w:val="none"/>
          <w:lang w:bidi="ar"/>
        </w:rPr>
        <w:t xml:space="preserve">（四）近三年内在经营活动中没有重大违法记录的承诺函； </w:t>
      </w:r>
    </w:p>
    <w:p w14:paraId="33D9530E">
      <w:pPr>
        <w:widowControl/>
        <w:spacing w:line="579" w:lineRule="exact"/>
        <w:ind w:firstLine="640" w:firstLineChars="200"/>
        <w:jc w:val="left"/>
        <w:rPr>
          <w:color w:val="auto"/>
          <w:sz w:val="32"/>
          <w:szCs w:val="32"/>
          <w:highlight w:val="none"/>
        </w:rPr>
      </w:pPr>
      <w:r>
        <w:rPr>
          <w:rFonts w:hint="eastAsia" w:ascii="仿宋_GB2312" w:hAnsi="宋体" w:eastAsia="仿宋_GB2312" w:cs="仿宋_GB2312"/>
          <w:color w:val="auto"/>
          <w:kern w:val="0"/>
          <w:sz w:val="32"/>
          <w:szCs w:val="32"/>
          <w:highlight w:val="none"/>
          <w:lang w:bidi="ar"/>
        </w:rPr>
        <w:t>（五）报价单</w:t>
      </w:r>
      <w:r>
        <w:rPr>
          <w:rFonts w:hint="eastAsia" w:ascii="仿宋_GB2312" w:hAnsi="宋体" w:eastAsia="仿宋_GB2312" w:cs="仿宋_GB2312"/>
          <w:color w:val="auto"/>
          <w:kern w:val="0"/>
          <w:sz w:val="32"/>
          <w:szCs w:val="32"/>
          <w:highlight w:val="none"/>
          <w:lang w:eastAsia="zh-CN" w:bidi="ar"/>
        </w:rPr>
        <w:t>：</w:t>
      </w:r>
      <w:r>
        <w:rPr>
          <w:rFonts w:hint="eastAsia" w:ascii="仿宋_GB2312" w:hAnsi="宋体" w:eastAsia="仿宋_GB2312" w:cs="仿宋_GB2312"/>
          <w:color w:val="auto"/>
          <w:kern w:val="0"/>
          <w:sz w:val="32"/>
          <w:szCs w:val="32"/>
          <w:highlight w:val="none"/>
          <w:lang w:bidi="ar"/>
        </w:rPr>
        <w:t>对本次服务进行</w:t>
      </w:r>
      <w:r>
        <w:rPr>
          <w:rFonts w:hint="eastAsia" w:ascii="仿宋_GB2312" w:hAnsi="宋体" w:eastAsia="仿宋_GB2312" w:cs="仿宋_GB2312"/>
          <w:color w:val="auto"/>
          <w:kern w:val="0"/>
          <w:sz w:val="32"/>
          <w:szCs w:val="32"/>
          <w:highlight w:val="none"/>
          <w:lang w:val="en-US" w:eastAsia="zh-CN" w:bidi="ar"/>
        </w:rPr>
        <w:t>分阶段</w:t>
      </w:r>
      <w:r>
        <w:rPr>
          <w:rFonts w:hint="eastAsia" w:ascii="仿宋_GB2312" w:hAnsi="宋体" w:eastAsia="仿宋_GB2312" w:cs="仿宋_GB2312"/>
          <w:color w:val="auto"/>
          <w:kern w:val="0"/>
          <w:sz w:val="32"/>
          <w:szCs w:val="32"/>
          <w:highlight w:val="none"/>
          <w:lang w:bidi="ar"/>
        </w:rPr>
        <w:t>打包报价，报价应包含提供服务中的差旅费、人工费、文印费、资料费、税费等一切费用</w:t>
      </w:r>
      <w:r>
        <w:rPr>
          <w:rFonts w:hint="eastAsia" w:ascii="仿宋_GB2312" w:hAnsi="宋体" w:eastAsia="仿宋_GB2312" w:cs="仿宋_GB2312"/>
          <w:color w:val="auto"/>
          <w:kern w:val="0"/>
          <w:sz w:val="32"/>
          <w:szCs w:val="32"/>
          <w:highlight w:val="none"/>
          <w:lang w:eastAsia="zh-CN" w:bidi="ar"/>
        </w:rPr>
        <w:t>。</w:t>
      </w:r>
      <w:r>
        <w:rPr>
          <w:rFonts w:hint="eastAsia" w:ascii="仿宋_GB2312" w:hAnsi="宋体" w:eastAsia="仿宋_GB2312" w:cs="仿宋_GB2312"/>
          <w:color w:val="auto"/>
          <w:kern w:val="0"/>
          <w:sz w:val="32"/>
          <w:szCs w:val="32"/>
          <w:highlight w:val="none"/>
          <w:lang w:bidi="ar"/>
        </w:rPr>
        <w:t xml:space="preserve"> </w:t>
      </w:r>
    </w:p>
    <w:p w14:paraId="0FC2BDA4">
      <w:pPr>
        <w:widowControl/>
        <w:spacing w:line="579" w:lineRule="exact"/>
        <w:ind w:firstLine="640" w:firstLineChars="200"/>
        <w:jc w:val="left"/>
        <w:rPr>
          <w:sz w:val="32"/>
          <w:szCs w:val="32"/>
          <w:highlight w:val="none"/>
        </w:rPr>
      </w:pPr>
      <w:r>
        <w:rPr>
          <w:rFonts w:hint="eastAsia" w:ascii="仿宋_GB2312" w:hAnsi="宋体" w:eastAsia="仿宋_GB2312" w:cs="仿宋_GB2312"/>
          <w:color w:val="000000"/>
          <w:kern w:val="0"/>
          <w:sz w:val="32"/>
          <w:szCs w:val="32"/>
          <w:highlight w:val="none"/>
          <w:lang w:bidi="ar"/>
        </w:rPr>
        <w:t xml:space="preserve">（六）项目方案： </w:t>
      </w:r>
    </w:p>
    <w:p w14:paraId="2635419C">
      <w:pPr>
        <w:widowControl/>
        <w:numPr>
          <w:ilvl w:val="0"/>
          <w:numId w:val="3"/>
        </w:numPr>
        <w:spacing w:line="579" w:lineRule="exact"/>
        <w:ind w:left="0" w:firstLine="420" w:firstLineChars="0"/>
        <w:jc w:val="left"/>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 xml:space="preserve">服务机构基本情况介绍； </w:t>
      </w:r>
    </w:p>
    <w:p w14:paraId="43429769">
      <w:pPr>
        <w:widowControl/>
        <w:numPr>
          <w:ilvl w:val="0"/>
          <w:numId w:val="3"/>
        </w:numPr>
        <w:spacing w:line="579" w:lineRule="exact"/>
        <w:ind w:left="0" w:firstLine="420" w:firstLineChars="0"/>
        <w:jc w:val="left"/>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项目理解、团队配置、分阶段工作计划；</w:t>
      </w:r>
    </w:p>
    <w:p w14:paraId="67E17AF4">
      <w:pPr>
        <w:widowControl/>
        <w:numPr>
          <w:ilvl w:val="0"/>
          <w:numId w:val="3"/>
        </w:numPr>
        <w:spacing w:line="579" w:lineRule="exact"/>
        <w:ind w:left="0" w:firstLine="420" w:firstLineChars="0"/>
        <w:jc w:val="left"/>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 xml:space="preserve">同类项目相关业绩及重点案例简介（应附上重点项目合同证明页复印件）； </w:t>
      </w:r>
    </w:p>
    <w:p w14:paraId="454A03EF">
      <w:pPr>
        <w:widowControl/>
        <w:numPr>
          <w:ilvl w:val="0"/>
          <w:numId w:val="3"/>
        </w:numPr>
        <w:spacing w:line="579" w:lineRule="exact"/>
        <w:ind w:left="0" w:firstLine="420" w:firstLineChars="0"/>
        <w:jc w:val="left"/>
        <w:rPr>
          <w:rFonts w:ascii="Times New Roman" w:hAnsi="Times New Roman" w:eastAsia="宋体" w:cs="Times New Roman"/>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服务机构认为有必要增补的内容</w:t>
      </w:r>
      <w:r>
        <w:rPr>
          <w:rFonts w:hint="default" w:ascii="Times New Roman" w:hAnsi="Times New Roman" w:eastAsia="宋体" w:cs="Times New Roman"/>
          <w:color w:val="000000"/>
          <w:kern w:val="0"/>
          <w:sz w:val="32"/>
          <w:szCs w:val="32"/>
          <w:highlight w:val="none"/>
          <w:lang w:bidi="ar"/>
        </w:rPr>
        <w:t xml:space="preserve">。 </w:t>
      </w:r>
    </w:p>
    <w:p w14:paraId="692E33B4">
      <w:pPr>
        <w:widowControl/>
        <w:spacing w:line="579" w:lineRule="exact"/>
        <w:ind w:firstLine="640" w:firstLineChars="200"/>
        <w:jc w:val="left"/>
        <w:rPr>
          <w:rFonts w:ascii="仿宋_GB2312" w:hAnsi="宋体" w:eastAsia="仿宋_GB2312" w:cs="仿宋_GB2312"/>
          <w:color w:val="000000"/>
          <w:kern w:val="0"/>
          <w:sz w:val="32"/>
          <w:szCs w:val="32"/>
          <w:highlight w:val="none"/>
          <w:lang w:bidi="ar"/>
        </w:rPr>
      </w:pPr>
      <w:r>
        <w:rPr>
          <w:rFonts w:hint="eastAsia" w:ascii="仿宋_GB2312" w:hAnsi="宋体" w:eastAsia="仿宋_GB2312" w:cs="仿宋_GB2312"/>
          <w:color w:val="000000"/>
          <w:kern w:val="0"/>
          <w:sz w:val="32"/>
          <w:szCs w:val="32"/>
          <w:highlight w:val="none"/>
          <w:lang w:bidi="ar"/>
        </w:rPr>
        <w:t xml:space="preserve">响应文件要求简明扼要，按上述顺序装订成一册，一式六份，密封于不透光的文件袋中，并加盖骑缝章。文件经谈判小组认定为严重不符合要求的，将取消竞争性谈判资格。 </w:t>
      </w:r>
    </w:p>
    <w:p w14:paraId="500FF053">
      <w:pPr>
        <w:widowControl/>
        <w:spacing w:line="579" w:lineRule="exact"/>
        <w:ind w:firstLine="640" w:firstLineChars="200"/>
        <w:jc w:val="left"/>
        <w:rPr>
          <w:sz w:val="32"/>
          <w:szCs w:val="32"/>
          <w:highlight w:val="none"/>
        </w:rPr>
      </w:pPr>
      <w:r>
        <w:rPr>
          <w:rFonts w:hint="eastAsia" w:ascii="黑体" w:hAnsi="宋体" w:eastAsia="黑体" w:cs="黑体"/>
          <w:color w:val="000000"/>
          <w:kern w:val="0"/>
          <w:sz w:val="32"/>
          <w:szCs w:val="32"/>
          <w:highlight w:val="none"/>
          <w:lang w:bidi="ar"/>
        </w:rPr>
        <w:t xml:space="preserve">六、谈判安排 </w:t>
      </w:r>
    </w:p>
    <w:p w14:paraId="0076D99F">
      <w:pPr>
        <w:bidi w:val="0"/>
        <w:spacing w:line="579" w:lineRule="exact"/>
        <w:ind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（一）文件递交</w:t>
      </w:r>
    </w:p>
    <w:p w14:paraId="7905AE77">
      <w:pPr>
        <w:bidi w:val="0"/>
        <w:spacing w:line="579"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1.投标确认书</w:t>
      </w:r>
    </w:p>
    <w:p w14:paraId="5D3E4027">
      <w:pPr>
        <w:widowControl/>
        <w:spacing w:line="579" w:lineRule="exact"/>
        <w:ind w:firstLine="640" w:firstLineChars="200"/>
        <w:jc w:val="left"/>
        <w:rPr>
          <w:rFonts w:ascii="Times New Roman" w:hAnsi="Times New Roman" w:eastAsia="仿宋_GB2312" w:cs="Times New Roman"/>
          <w:color w:val="000000"/>
          <w:kern w:val="0"/>
          <w:sz w:val="32"/>
          <w:szCs w:val="32"/>
          <w:highlight w:val="none"/>
          <w:lang w:bidi="ar"/>
        </w:rPr>
      </w:pPr>
      <w:r>
        <w:rPr>
          <w:rFonts w:ascii="仿宋_GB2312" w:hAnsi="宋体" w:eastAsia="仿宋_GB2312" w:cs="仿宋_GB2312"/>
          <w:color w:val="000000"/>
          <w:kern w:val="0"/>
          <w:sz w:val="32"/>
          <w:szCs w:val="32"/>
          <w:highlight w:val="none"/>
          <w:lang w:bidi="ar"/>
        </w:rPr>
        <w:t>请</w:t>
      </w:r>
      <w:r>
        <w:rPr>
          <w:rFonts w:hint="eastAsia" w:ascii="仿宋_GB2312" w:hAnsi="宋体" w:eastAsia="仿宋_GB2312" w:cs="仿宋_GB2312"/>
          <w:color w:val="000000"/>
          <w:kern w:val="0"/>
          <w:sz w:val="32"/>
          <w:szCs w:val="32"/>
          <w:highlight w:val="none"/>
          <w:lang w:bidi="ar"/>
        </w:rPr>
        <w:t>服务机构</w:t>
      </w:r>
      <w:r>
        <w:rPr>
          <w:rFonts w:ascii="仿宋_GB2312" w:hAnsi="宋体" w:eastAsia="仿宋_GB2312" w:cs="仿宋_GB2312"/>
          <w:color w:val="000000"/>
          <w:kern w:val="0"/>
          <w:sz w:val="32"/>
          <w:szCs w:val="32"/>
          <w:highlight w:val="none"/>
          <w:lang w:bidi="ar"/>
        </w:rPr>
        <w:t>认真研究本公告的内容，将确认参加竞争性谈判的</w:t>
      </w:r>
      <w:r>
        <w:rPr>
          <w:rFonts w:hint="eastAsia" w:ascii="仿宋_GB2312" w:hAnsi="宋体" w:eastAsia="仿宋_GB2312" w:cs="仿宋_GB2312"/>
          <w:color w:val="000000"/>
          <w:kern w:val="0"/>
          <w:sz w:val="32"/>
          <w:szCs w:val="32"/>
          <w:highlight w:val="none"/>
          <w:lang w:eastAsia="zh-CN" w:bidi="ar"/>
        </w:rPr>
        <w:t>《投标确认书》（</w:t>
      </w:r>
      <w:r>
        <w:rPr>
          <w:rFonts w:hint="eastAsia" w:ascii="仿宋_GB2312" w:hAnsi="宋体" w:eastAsia="仿宋_GB2312" w:cs="仿宋_GB2312"/>
          <w:color w:val="000000"/>
          <w:kern w:val="0"/>
          <w:sz w:val="32"/>
          <w:szCs w:val="32"/>
          <w:highlight w:val="none"/>
          <w:lang w:val="en-US" w:eastAsia="zh-CN" w:bidi="ar"/>
        </w:rPr>
        <w:t>见附件1）</w:t>
      </w:r>
      <w:r>
        <w:rPr>
          <w:rFonts w:hint="eastAsia" w:ascii="仿宋_GB2312" w:hAnsi="宋体" w:eastAsia="仿宋_GB2312" w:cs="仿宋_GB2312"/>
          <w:color w:val="000000"/>
          <w:kern w:val="0"/>
          <w:sz w:val="32"/>
          <w:szCs w:val="32"/>
          <w:highlight w:val="none"/>
          <w:lang w:bidi="ar"/>
        </w:rPr>
        <w:t>发送到</w:t>
      </w:r>
      <w:r>
        <w:rPr>
          <w:rFonts w:ascii="Times New Roman" w:hAnsi="Times New Roman" w:eastAsia="仿宋_GB2312" w:cs="Times New Roman"/>
          <w:color w:val="000000"/>
          <w:kern w:val="0"/>
          <w:sz w:val="32"/>
          <w:szCs w:val="32"/>
          <w:highlight w:val="none"/>
          <w:lang w:bidi="ar"/>
        </w:rPr>
        <w:t>vannychennn@</w:t>
      </w:r>
      <w:r>
        <w:rPr>
          <w:rFonts w:hint="eastAsia" w:ascii="Times New Roman" w:hAnsi="Times New Roman" w:eastAsia="仿宋_GB2312" w:cs="Times New Roman"/>
          <w:color w:val="000000"/>
          <w:kern w:val="0"/>
          <w:sz w:val="32"/>
          <w:szCs w:val="32"/>
          <w:highlight w:val="none"/>
          <w:lang w:bidi="ar"/>
        </w:rPr>
        <w:t>outlook.com。</w:t>
      </w:r>
    </w:p>
    <w:p w14:paraId="6A20992C">
      <w:pPr>
        <w:bidi w:val="0"/>
        <w:spacing w:line="579"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2.报价文件</w:t>
      </w:r>
    </w:p>
    <w:p w14:paraId="677CF864">
      <w:pPr>
        <w:bidi w:val="0"/>
        <w:spacing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投标人根据第四项要求，按顺序整理全套报价文件纸质版（</w:t>
      </w:r>
      <w:r>
        <w:rPr>
          <w:rFonts w:hint="eastAsia" w:ascii="仿宋_GB2312" w:hAnsi="仿宋_GB2312" w:eastAsia="仿宋_GB2312" w:cs="仿宋_GB2312"/>
          <w:b/>
          <w:bCs/>
          <w:sz w:val="32"/>
          <w:szCs w:val="32"/>
          <w:highlight w:val="none"/>
          <w:lang w:val="en-US" w:eastAsia="zh-CN"/>
        </w:rPr>
        <w:t>一正五副</w:t>
      </w:r>
      <w:r>
        <w:rPr>
          <w:rFonts w:hint="eastAsia" w:ascii="仿宋_GB2312" w:hAnsi="仿宋_GB2312" w:eastAsia="仿宋_GB2312" w:cs="仿宋_GB2312"/>
          <w:sz w:val="32"/>
          <w:szCs w:val="32"/>
          <w:highlight w:val="none"/>
          <w:lang w:val="en-US" w:eastAsia="zh-CN"/>
        </w:rPr>
        <w:t>，密封并加盖公章），于</w:t>
      </w:r>
      <w:r>
        <w:rPr>
          <w:rFonts w:hint="eastAsia" w:ascii="仿宋_GB2312" w:hAnsi="仿宋_GB2312" w:eastAsia="仿宋_GB2312" w:cs="仿宋_GB2312"/>
          <w:b/>
          <w:bCs/>
          <w:sz w:val="32"/>
          <w:szCs w:val="32"/>
          <w:highlight w:val="none"/>
          <w:lang w:val="en-US" w:eastAsia="zh-CN"/>
        </w:rPr>
        <w:t>谈判日</w:t>
      </w:r>
      <w:r>
        <w:rPr>
          <w:rFonts w:hint="eastAsia" w:ascii="仿宋_GB2312" w:hAnsi="仿宋_GB2312" w:eastAsia="仿宋_GB2312" w:cs="仿宋_GB2312"/>
          <w:sz w:val="32"/>
          <w:szCs w:val="32"/>
          <w:highlight w:val="none"/>
          <w:lang w:val="en-US" w:eastAsia="zh-CN"/>
        </w:rPr>
        <w:t>携带至现场，未按要求提供者视为无效投标。</w:t>
      </w:r>
    </w:p>
    <w:p w14:paraId="7B6522F9">
      <w:pPr>
        <w:bidi w:val="0"/>
        <w:spacing w:line="579" w:lineRule="exact"/>
        <w:ind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（二）时间地点</w:t>
      </w:r>
    </w:p>
    <w:p w14:paraId="7B42F685">
      <w:pPr>
        <w:bidi w:val="0"/>
        <w:spacing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谈判时间：待定，具体时间以通知为准；</w:t>
      </w:r>
    </w:p>
    <w:p w14:paraId="09520A7A">
      <w:pPr>
        <w:bidi w:val="0"/>
        <w:spacing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谈判地点：深圳市福田区福虹路世贸广场C座；</w:t>
      </w:r>
    </w:p>
    <w:p w14:paraId="277EE281">
      <w:pPr>
        <w:bidi w:val="0"/>
        <w:spacing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谈判方式：</w:t>
      </w:r>
      <w:r>
        <w:rPr>
          <w:rFonts w:hint="eastAsia" w:ascii="仿宋_GB2312" w:hAnsi="仿宋_GB2312" w:eastAsia="仿宋_GB2312" w:cs="仿宋_GB2312"/>
          <w:sz w:val="32"/>
          <w:szCs w:val="32"/>
          <w:highlight w:val="none"/>
        </w:rPr>
        <w:t>现场谈判</w:t>
      </w:r>
      <w:r>
        <w:rPr>
          <w:rFonts w:hint="eastAsia" w:ascii="仿宋_GB2312" w:hAnsi="仿宋_GB2312" w:eastAsia="仿宋_GB2312" w:cs="仿宋_GB2312"/>
          <w:sz w:val="32"/>
          <w:szCs w:val="32"/>
          <w:highlight w:val="none"/>
          <w:lang w:eastAsia="zh-CN"/>
        </w:rPr>
        <w:t>。参加现场谈判的法定代表人或被授权代表须持本人有效身份证按时到达指定地点等候谈判通知</w:t>
      </w:r>
      <w:r>
        <w:rPr>
          <w:rFonts w:hint="eastAsia" w:ascii="仿宋_GB2312" w:hAnsi="仿宋_GB2312" w:eastAsia="仿宋_GB2312" w:cs="仿宋_GB2312"/>
          <w:sz w:val="32"/>
          <w:szCs w:val="32"/>
          <w:highlight w:val="none"/>
          <w:lang w:val="en-US" w:eastAsia="zh-CN"/>
        </w:rPr>
        <w:t>。</w:t>
      </w:r>
    </w:p>
    <w:p w14:paraId="66A91C7F">
      <w:pPr>
        <w:bidi w:val="0"/>
        <w:spacing w:line="579" w:lineRule="exact"/>
        <w:ind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（三）谈判流程</w:t>
      </w:r>
    </w:p>
    <w:p w14:paraId="57C22FC5">
      <w:pPr>
        <w:bidi w:val="0"/>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1.供应商资格审查；</w:t>
      </w:r>
    </w:p>
    <w:p w14:paraId="374A55C4">
      <w:pPr>
        <w:bidi w:val="0"/>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2.供应商述标（提前准备述标材料，控制在10分钟以内）；</w:t>
      </w:r>
    </w:p>
    <w:p w14:paraId="426BA0DE">
      <w:pPr>
        <w:bidi w:val="0"/>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3.评委提问及供应商答疑；</w:t>
      </w:r>
    </w:p>
    <w:p w14:paraId="003B8DBA">
      <w:pPr>
        <w:bidi w:val="0"/>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4.第二轮报价。</w:t>
      </w:r>
      <w:r>
        <w:rPr>
          <w:rFonts w:hint="eastAsia" w:ascii="仿宋_GB2312" w:hAnsi="仿宋_GB2312" w:eastAsia="仿宋_GB2312" w:cs="仿宋_GB2312"/>
          <w:b w:val="0"/>
          <w:bCs w:val="0"/>
          <w:sz w:val="32"/>
          <w:szCs w:val="32"/>
          <w:highlight w:val="none"/>
        </w:rPr>
        <w:t>质询环节结束后，供应商须提交二次报价</w:t>
      </w:r>
      <w:r>
        <w:rPr>
          <w:rFonts w:hint="eastAsia" w:ascii="仿宋_GB2312" w:hAnsi="仿宋_GB2312" w:eastAsia="仿宋_GB2312" w:cs="仿宋_GB2312"/>
          <w:b w:val="0"/>
          <w:bCs w:val="0"/>
          <w:sz w:val="32"/>
          <w:szCs w:val="32"/>
          <w:highlight w:val="none"/>
          <w:lang w:val="en-US" w:eastAsia="zh-CN"/>
        </w:rPr>
        <w:t>单并由谈判代表签名</w:t>
      </w:r>
      <w:r>
        <w:rPr>
          <w:rFonts w:hint="eastAsia" w:ascii="仿宋_GB2312" w:hAnsi="仿宋_GB2312" w:eastAsia="仿宋_GB2312" w:cs="仿宋_GB2312"/>
          <w:b w:val="0"/>
          <w:bCs w:val="0"/>
          <w:sz w:val="32"/>
          <w:szCs w:val="32"/>
          <w:highlight w:val="none"/>
        </w:rPr>
        <w:t>，未提交者视为维持原报价</w:t>
      </w:r>
      <w:r>
        <w:rPr>
          <w:rFonts w:hint="eastAsia" w:ascii="仿宋_GB2312" w:hAnsi="仿宋_GB2312" w:eastAsia="仿宋_GB2312" w:cs="仿宋_GB2312"/>
          <w:b w:val="0"/>
          <w:bCs w:val="0"/>
          <w:sz w:val="32"/>
          <w:szCs w:val="32"/>
          <w:highlight w:val="none"/>
          <w:lang w:val="en-US" w:eastAsia="zh-CN"/>
        </w:rPr>
        <w:t>；</w:t>
      </w:r>
    </w:p>
    <w:p w14:paraId="65D96E5F">
      <w:pPr>
        <w:bidi w:val="0"/>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5.评委投票，选定中标人。</w:t>
      </w:r>
    </w:p>
    <w:p w14:paraId="6476B267">
      <w:pPr>
        <w:bidi w:val="0"/>
        <w:spacing w:line="579" w:lineRule="exact"/>
        <w:ind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（四）定标方法</w:t>
      </w:r>
    </w:p>
    <w:p w14:paraId="3283DD94">
      <w:pPr>
        <w:bidi w:val="0"/>
        <w:spacing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接票决定标。评委在进入投票范围的供应商中，以每人投票支持一个供应商的方式，得票最多且过半数的供应商为成交供应商。当没有供应商得票超过半数时，选择得票较多的2个供应商（按上一轮得票多少的顺序选择，在选择第2个供应商时出现同票的，所有同票供应商一并纳入下一轮的投票范围）作为二次投票的范围，直至出现得票过半数的供应商为止。</w:t>
      </w:r>
    </w:p>
    <w:p w14:paraId="38199A90">
      <w:pPr>
        <w:bidi w:val="0"/>
        <w:spacing w:line="579" w:lineRule="exact"/>
        <w:rPr>
          <w:rFonts w:hint="default"/>
          <w:highlight w:val="none"/>
          <w:lang w:val="en-US" w:eastAsia="zh-CN"/>
        </w:rPr>
      </w:pPr>
    </w:p>
    <w:p w14:paraId="5C978EAF">
      <w:pPr>
        <w:bidi w:val="0"/>
        <w:spacing w:line="579" w:lineRule="exact"/>
        <w:rPr>
          <w:rFonts w:hint="default"/>
          <w:highlight w:val="none"/>
          <w:lang w:val="en-US" w:eastAsia="zh-CN"/>
        </w:rPr>
      </w:pPr>
    </w:p>
    <w:p w14:paraId="480106B5">
      <w:pPr>
        <w:bidi w:val="0"/>
        <w:spacing w:line="579" w:lineRule="exact"/>
        <w:rPr>
          <w:rFonts w:hint="default"/>
          <w:highlight w:val="none"/>
          <w:lang w:val="en-US" w:eastAsia="zh-CN"/>
        </w:rPr>
      </w:pPr>
    </w:p>
    <w:p w14:paraId="16F4F06D">
      <w:pPr>
        <w:bidi w:val="0"/>
        <w:spacing w:line="579" w:lineRule="exact"/>
        <w:rPr>
          <w:rFonts w:hint="eastAsia" w:ascii="仿宋_GB2312" w:hAnsi="仿宋_GB2312" w:eastAsia="仿宋_GB2312" w:cs="仿宋_GB2312"/>
          <w:sz w:val="32"/>
          <w:szCs w:val="32"/>
          <w:highlight w:val="none"/>
          <w:lang w:val="en-US" w:eastAsia="zh-CN"/>
        </w:rPr>
      </w:pPr>
    </w:p>
    <w:p w14:paraId="101EDC9C">
      <w:pPr>
        <w:bidi w:val="0"/>
        <w:spacing w:line="579" w:lineRule="exact"/>
        <w:rPr>
          <w:rFonts w:hint="eastAsia" w:ascii="仿宋_GB2312" w:hAnsi="仿宋_GB2312" w:eastAsia="仿宋_GB2312" w:cs="仿宋_GB2312"/>
          <w:sz w:val="32"/>
          <w:szCs w:val="32"/>
          <w:highlight w:val="none"/>
          <w:lang w:val="en-US" w:eastAsia="zh-CN"/>
        </w:rPr>
      </w:pPr>
    </w:p>
    <w:p w14:paraId="06BFD5A4">
      <w:pPr>
        <w:wordWrap w:val="0"/>
        <w:bidi w:val="0"/>
        <w:spacing w:line="579" w:lineRule="exact"/>
        <w:jc w:val="righ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深圳市深粮控股股份有限公司    </w:t>
      </w:r>
    </w:p>
    <w:p w14:paraId="55C6D8EF">
      <w:pPr>
        <w:wordWrap w:val="0"/>
        <w:bidi w:val="0"/>
        <w:spacing w:line="579" w:lineRule="exact"/>
        <w:jc w:val="righ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2026年5月29日         </w:t>
      </w:r>
    </w:p>
    <w:p w14:paraId="384A31AE">
      <w:pPr>
        <w:spacing w:line="579" w:lineRule="exact"/>
        <w:rPr>
          <w:rFonts w:hint="eastAsia" w:ascii="仿宋_GB2312" w:hAnsi="仿宋_GB2312" w:eastAsia="仿宋_GB2312" w:cs="仿宋_GB2312"/>
          <w:sz w:val="32"/>
          <w:szCs w:val="32"/>
          <w:highlight w:val="none"/>
          <w:lang w:val="en-US" w:eastAsia="zh-CN"/>
        </w:rPr>
      </w:pPr>
    </w:p>
    <w:p w14:paraId="58CA1E8C">
      <w:pPr>
        <w:widowControl/>
        <w:spacing w:line="240" w:lineRule="auto"/>
        <w:ind w:firstLine="0" w:firstLineChars="0"/>
        <w:jc w:val="left"/>
        <w:rPr>
          <w:rFonts w:hint="eastAsia" w:ascii="黑体" w:hAnsi="宋体" w:eastAsia="黑体" w:cs="黑体"/>
          <w:color w:val="000000"/>
          <w:kern w:val="0"/>
          <w:sz w:val="32"/>
          <w:szCs w:val="32"/>
          <w:highlight w:val="none"/>
          <w:lang w:bidi="ar"/>
        </w:rPr>
      </w:pPr>
      <w:r>
        <w:rPr>
          <w:rFonts w:hint="eastAsia" w:ascii="黑体" w:hAnsi="宋体" w:eastAsia="黑体" w:cs="黑体"/>
          <w:color w:val="000000"/>
          <w:kern w:val="0"/>
          <w:sz w:val="32"/>
          <w:szCs w:val="32"/>
          <w:highlight w:val="none"/>
          <w:lang w:bidi="ar"/>
        </w:rPr>
        <w:br w:type="page"/>
      </w:r>
    </w:p>
    <w:p w14:paraId="4EE8B6F7">
      <w:pPr>
        <w:bidi w:val="0"/>
        <w:snapToGrid/>
        <w:spacing w:line="579" w:lineRule="exact"/>
        <w:ind w:firstLine="0" w:firstLineChars="0"/>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附件1</w:t>
      </w:r>
    </w:p>
    <w:p w14:paraId="043D7B4F">
      <w:pPr>
        <w:snapToGrid/>
        <w:spacing w:line="579" w:lineRule="exact"/>
        <w:ind w:firstLine="0" w:firstLineChars="0"/>
        <w:jc w:val="center"/>
        <w:rPr>
          <w:rFonts w:ascii="宋体" w:hAnsi="宋体" w:eastAsia="宋体"/>
          <w:b/>
          <w:color w:val="000000"/>
          <w:sz w:val="44"/>
          <w:szCs w:val="44"/>
          <w:highlight w:val="none"/>
          <w:lang w:eastAsia="zh-CN"/>
        </w:rPr>
      </w:pPr>
      <w:r>
        <w:rPr>
          <w:rFonts w:hint="eastAsia" w:ascii="宋体" w:hAnsi="宋体" w:eastAsia="宋体"/>
          <w:b/>
          <w:color w:val="000000"/>
          <w:sz w:val="44"/>
          <w:szCs w:val="44"/>
          <w:highlight w:val="none"/>
          <w:lang w:eastAsia="zh-CN"/>
        </w:rPr>
        <w:t>投标确认书</w:t>
      </w:r>
    </w:p>
    <w:p w14:paraId="61B10878">
      <w:pPr>
        <w:snapToGrid/>
        <w:spacing w:line="579" w:lineRule="exact"/>
        <w:ind w:firstLine="0" w:firstLineChars="0"/>
        <w:rPr>
          <w:rFonts w:ascii="仿宋" w:hAnsi="仿宋" w:eastAsia="仿宋"/>
          <w:sz w:val="21"/>
          <w:szCs w:val="24"/>
          <w:highlight w:val="none"/>
          <w:lang w:eastAsia="zh-CN"/>
        </w:rPr>
      </w:pPr>
    </w:p>
    <w:p w14:paraId="19FAF3E4">
      <w:pPr>
        <w:keepNext w:val="0"/>
        <w:keepLines w:val="0"/>
        <w:pageBreakBefore w:val="0"/>
        <w:widowControl w:val="0"/>
        <w:tabs>
          <w:tab w:val="left" w:pos="0"/>
        </w:tabs>
        <w:kinsoku/>
        <w:wordWrap/>
        <w:overflowPunct/>
        <w:topLinePunct w:val="0"/>
        <w:autoSpaceDE/>
        <w:autoSpaceDN/>
        <w:bidi w:val="0"/>
        <w:adjustRightInd/>
        <w:snapToGrid/>
        <w:spacing w:line="579" w:lineRule="exact"/>
        <w:ind w:firstLine="640" w:firstLineChars="200"/>
        <w:textAlignment w:val="auto"/>
        <w:outlineLvl w:val="0"/>
        <w:rPr>
          <w:rFonts w:hint="eastAsia" w:ascii="仿宋_GB2312" w:hAnsi="Calibri" w:eastAsia="仿宋_GB2312" w:cs="Times New Roman"/>
          <w:kern w:val="2"/>
          <w:sz w:val="32"/>
          <w:szCs w:val="24"/>
          <w:highlight w:val="none"/>
          <w:lang w:eastAsia="zh-CN" w:bidi="ar"/>
        </w:rPr>
      </w:pPr>
      <w:r>
        <w:rPr>
          <w:rFonts w:hint="eastAsia" w:ascii="仿宋_GB2312" w:hAnsi="Calibri" w:eastAsia="仿宋_GB2312" w:cs="Times New Roman"/>
          <w:kern w:val="2"/>
          <w:sz w:val="32"/>
          <w:szCs w:val="24"/>
          <w:highlight w:val="none"/>
          <w:lang w:eastAsia="zh-CN" w:bidi="ar"/>
        </w:rPr>
        <w:t>致</w:t>
      </w:r>
      <w:r>
        <w:rPr>
          <w:rFonts w:hint="eastAsia" w:ascii="仿宋_GB2312" w:hAnsi="Calibri" w:eastAsia="仿宋_GB2312" w:cs="Times New Roman"/>
          <w:kern w:val="2"/>
          <w:sz w:val="32"/>
          <w:szCs w:val="24"/>
          <w:highlight w:val="none"/>
          <w:lang w:val="en-US" w:eastAsia="zh-CN" w:bidi="ar"/>
        </w:rPr>
        <w:t xml:space="preserve"> </w:t>
      </w:r>
      <w:r>
        <w:rPr>
          <w:rFonts w:hint="eastAsia" w:ascii="仿宋_GB2312" w:hAnsi="Calibri" w:eastAsia="仿宋_GB2312" w:cs="Times New Roman"/>
          <w:kern w:val="2"/>
          <w:sz w:val="32"/>
          <w:szCs w:val="24"/>
          <w:highlight w:val="none"/>
          <w:lang w:eastAsia="zh-CN" w:bidi="ar"/>
        </w:rPr>
        <w:t>深圳市深粮控股股份有限公司：</w:t>
      </w:r>
    </w:p>
    <w:p w14:paraId="432249CB">
      <w:pPr>
        <w:keepNext w:val="0"/>
        <w:keepLines w:val="0"/>
        <w:pageBreakBefore w:val="0"/>
        <w:widowControl w:val="0"/>
        <w:tabs>
          <w:tab w:val="left" w:pos="0"/>
        </w:tabs>
        <w:kinsoku/>
        <w:wordWrap/>
        <w:overflowPunct/>
        <w:topLinePunct w:val="0"/>
        <w:autoSpaceDE/>
        <w:autoSpaceDN/>
        <w:bidi w:val="0"/>
        <w:adjustRightInd/>
        <w:snapToGrid/>
        <w:spacing w:line="579" w:lineRule="exact"/>
        <w:ind w:firstLine="640" w:firstLineChars="200"/>
        <w:textAlignment w:val="auto"/>
        <w:outlineLvl w:val="0"/>
        <w:rPr>
          <w:rFonts w:hint="eastAsia" w:ascii="仿宋_GB2312" w:hAnsi="Calibri" w:eastAsia="仿宋_GB2312" w:cs="Times New Roman"/>
          <w:kern w:val="2"/>
          <w:sz w:val="32"/>
          <w:szCs w:val="24"/>
          <w:highlight w:val="none"/>
          <w:lang w:eastAsia="zh-CN" w:bidi="ar"/>
        </w:rPr>
      </w:pPr>
      <w:r>
        <w:rPr>
          <w:rFonts w:hint="eastAsia" w:ascii="仿宋_GB2312" w:hAnsi="Calibri" w:eastAsia="仿宋_GB2312" w:cs="Times New Roman"/>
          <w:kern w:val="2"/>
          <w:sz w:val="32"/>
          <w:szCs w:val="24"/>
          <w:highlight w:val="none"/>
          <w:lang w:eastAsia="zh-CN" w:bidi="ar"/>
        </w:rPr>
        <w:t>贵司《</w:t>
      </w:r>
      <w:r>
        <w:rPr>
          <w:rFonts w:hint="eastAsia" w:ascii="仿宋_GB2312" w:hAnsi="Calibri" w:eastAsia="仿宋_GB2312" w:cs="Times New Roman"/>
          <w:sz w:val="32"/>
          <w:highlight w:val="none"/>
          <w:lang w:bidi="ar"/>
        </w:rPr>
        <w:t>深圳市深粮控股股份有限公司关于聘请产业规划专业服务机构竞争性谈判公告书</w:t>
      </w:r>
      <w:r>
        <w:rPr>
          <w:rFonts w:hint="eastAsia" w:ascii="仿宋_GB2312" w:hAnsi="Calibri" w:eastAsia="仿宋_GB2312" w:cs="Times New Roman"/>
          <w:kern w:val="2"/>
          <w:sz w:val="32"/>
          <w:szCs w:val="24"/>
          <w:highlight w:val="none"/>
          <w:lang w:eastAsia="zh-CN" w:bidi="ar"/>
        </w:rPr>
        <w:t>》收悉，我司经认真研阅，决定参与</w:t>
      </w:r>
      <w:r>
        <w:rPr>
          <w:rFonts w:hint="eastAsia" w:ascii="仿宋_GB2312" w:hAnsi="Calibri" w:eastAsia="仿宋_GB2312" w:cs="Times New Roman"/>
          <w:kern w:val="2"/>
          <w:sz w:val="32"/>
          <w:szCs w:val="24"/>
          <w:highlight w:val="none"/>
          <w:lang w:val="en-US" w:eastAsia="zh-CN" w:bidi="ar"/>
        </w:rPr>
        <w:t>贵司</w:t>
      </w:r>
      <w:r>
        <w:rPr>
          <w:rFonts w:hint="eastAsia" w:ascii="仿宋_GB2312" w:hAnsi="Calibri" w:eastAsia="仿宋_GB2312" w:cs="Times New Roman"/>
          <w:kern w:val="2"/>
          <w:sz w:val="32"/>
          <w:szCs w:val="24"/>
          <w:highlight w:val="none"/>
          <w:lang w:eastAsia="zh-CN" w:bidi="ar"/>
        </w:rPr>
        <w:t>2026年度经济责任审计项目服务采购竞争性谈判，现予书面确认。</w:t>
      </w:r>
    </w:p>
    <w:p w14:paraId="090E0120">
      <w:pPr>
        <w:snapToGrid/>
        <w:spacing w:line="579" w:lineRule="exact"/>
        <w:ind w:firstLine="420" w:firstLineChars="200"/>
        <w:rPr>
          <w:rFonts w:ascii="仿宋" w:hAnsi="仿宋" w:eastAsia="仿宋"/>
          <w:sz w:val="21"/>
          <w:szCs w:val="24"/>
          <w:highlight w:val="none"/>
          <w:lang w:eastAsia="zh-CN"/>
        </w:rPr>
      </w:pPr>
    </w:p>
    <w:p w14:paraId="59A6F9EF">
      <w:pPr>
        <w:snapToGrid/>
        <w:spacing w:line="579" w:lineRule="exact"/>
        <w:ind w:firstLine="420" w:firstLineChars="200"/>
        <w:rPr>
          <w:rFonts w:ascii="仿宋" w:hAnsi="仿宋" w:eastAsia="仿宋"/>
          <w:sz w:val="21"/>
          <w:szCs w:val="24"/>
          <w:highlight w:val="none"/>
          <w:lang w:eastAsia="zh-CN"/>
        </w:rPr>
      </w:pPr>
    </w:p>
    <w:p w14:paraId="5C8A9480">
      <w:pPr>
        <w:keepNext w:val="0"/>
        <w:keepLines w:val="0"/>
        <w:pageBreakBefore w:val="0"/>
        <w:widowControl w:val="0"/>
        <w:tabs>
          <w:tab w:val="left" w:pos="0"/>
        </w:tabs>
        <w:kinsoku/>
        <w:wordWrap/>
        <w:overflowPunct/>
        <w:topLinePunct w:val="0"/>
        <w:autoSpaceDE/>
        <w:autoSpaceDN/>
        <w:bidi w:val="0"/>
        <w:adjustRightInd/>
        <w:snapToGrid/>
        <w:spacing w:line="579" w:lineRule="exact"/>
        <w:ind w:firstLine="640" w:firstLineChars="200"/>
        <w:jc w:val="right"/>
        <w:textAlignment w:val="auto"/>
        <w:outlineLvl w:val="0"/>
        <w:rPr>
          <w:rFonts w:hint="eastAsia" w:ascii="仿宋_GB2312" w:hAnsi="Calibri" w:eastAsia="仿宋_GB2312" w:cs="Times New Roman"/>
          <w:kern w:val="2"/>
          <w:sz w:val="32"/>
          <w:szCs w:val="24"/>
          <w:highlight w:val="none"/>
          <w:lang w:val="en-US" w:eastAsia="zh-CN" w:bidi="ar"/>
        </w:rPr>
      </w:pPr>
      <w:r>
        <w:rPr>
          <w:rFonts w:hint="eastAsia" w:ascii="仿宋_GB2312" w:hAnsi="Calibri" w:eastAsia="仿宋_GB2312" w:cs="Times New Roman"/>
          <w:kern w:val="2"/>
          <w:sz w:val="32"/>
          <w:szCs w:val="24"/>
          <w:highlight w:val="none"/>
          <w:lang w:eastAsia="zh-CN" w:bidi="ar"/>
        </w:rPr>
        <w:t>xxx公司（</w:t>
      </w:r>
      <w:r>
        <w:rPr>
          <w:rFonts w:hint="eastAsia" w:ascii="仿宋_GB2312" w:hAnsi="Calibri" w:eastAsia="仿宋_GB2312" w:cs="Times New Roman"/>
          <w:kern w:val="2"/>
          <w:sz w:val="32"/>
          <w:szCs w:val="24"/>
          <w:highlight w:val="none"/>
          <w:lang w:val="en-US" w:eastAsia="zh-CN" w:bidi="ar"/>
        </w:rPr>
        <w:t xml:space="preserve">公章） </w:t>
      </w:r>
    </w:p>
    <w:p w14:paraId="15D0C948">
      <w:pPr>
        <w:keepNext w:val="0"/>
        <w:keepLines w:val="0"/>
        <w:pageBreakBefore w:val="0"/>
        <w:widowControl w:val="0"/>
        <w:tabs>
          <w:tab w:val="left" w:pos="0"/>
        </w:tabs>
        <w:kinsoku/>
        <w:wordWrap/>
        <w:overflowPunct/>
        <w:topLinePunct w:val="0"/>
        <w:autoSpaceDE/>
        <w:autoSpaceDN/>
        <w:bidi w:val="0"/>
        <w:adjustRightInd/>
        <w:snapToGrid/>
        <w:spacing w:line="579" w:lineRule="exact"/>
        <w:ind w:firstLine="640" w:firstLineChars="200"/>
        <w:jc w:val="right"/>
        <w:textAlignment w:val="auto"/>
        <w:outlineLvl w:val="0"/>
        <w:rPr>
          <w:rFonts w:hint="eastAsia" w:ascii="仿宋_GB2312" w:hAnsi="Calibri" w:eastAsia="仿宋_GB2312" w:cs="Times New Roman"/>
          <w:kern w:val="2"/>
          <w:sz w:val="32"/>
          <w:szCs w:val="24"/>
          <w:highlight w:val="none"/>
          <w:lang w:val="en-US" w:eastAsia="zh-CN" w:bidi="ar"/>
        </w:rPr>
      </w:pPr>
      <w:r>
        <w:rPr>
          <w:rFonts w:hint="eastAsia" w:ascii="仿宋_GB2312" w:hAnsi="Calibri" w:eastAsia="仿宋_GB2312" w:cs="Times New Roman"/>
          <w:kern w:val="2"/>
          <w:sz w:val="32"/>
          <w:szCs w:val="24"/>
          <w:highlight w:val="none"/>
          <w:lang w:eastAsia="zh-CN" w:bidi="ar"/>
        </w:rPr>
        <w:t>20</w:t>
      </w:r>
      <w:r>
        <w:rPr>
          <w:rFonts w:hint="eastAsia" w:ascii="仿宋_GB2312" w:hAnsi="Calibri" w:eastAsia="仿宋_GB2312" w:cs="Times New Roman"/>
          <w:kern w:val="2"/>
          <w:sz w:val="32"/>
          <w:szCs w:val="24"/>
          <w:highlight w:val="none"/>
          <w:lang w:val="en-US" w:eastAsia="zh-CN" w:bidi="ar"/>
        </w:rPr>
        <w:t>26</w:t>
      </w:r>
      <w:r>
        <w:rPr>
          <w:rFonts w:hint="eastAsia" w:ascii="仿宋_GB2312" w:hAnsi="Calibri" w:eastAsia="仿宋_GB2312" w:cs="Times New Roman"/>
          <w:kern w:val="2"/>
          <w:sz w:val="32"/>
          <w:szCs w:val="24"/>
          <w:highlight w:val="none"/>
          <w:lang w:eastAsia="zh-CN" w:bidi="ar"/>
        </w:rPr>
        <w:t>年x月x日</w:t>
      </w:r>
      <w:r>
        <w:rPr>
          <w:rFonts w:hint="eastAsia" w:ascii="仿宋_GB2312" w:hAnsi="Calibri" w:eastAsia="仿宋_GB2312" w:cs="Times New Roman"/>
          <w:kern w:val="2"/>
          <w:sz w:val="32"/>
          <w:szCs w:val="24"/>
          <w:highlight w:val="none"/>
          <w:lang w:val="en-US" w:eastAsia="zh-CN" w:bidi="ar"/>
        </w:rPr>
        <w:t xml:space="preserve">  </w:t>
      </w:r>
    </w:p>
    <w:p w14:paraId="50F53405">
      <w:pPr>
        <w:keepNext w:val="0"/>
        <w:keepLines w:val="0"/>
        <w:pageBreakBefore w:val="0"/>
        <w:widowControl w:val="0"/>
        <w:tabs>
          <w:tab w:val="left" w:pos="0"/>
        </w:tabs>
        <w:kinsoku/>
        <w:wordWrap/>
        <w:overflowPunct/>
        <w:topLinePunct w:val="0"/>
        <w:autoSpaceDE/>
        <w:autoSpaceDN/>
        <w:bidi w:val="0"/>
        <w:adjustRightInd/>
        <w:snapToGrid/>
        <w:spacing w:line="579" w:lineRule="exact"/>
        <w:ind w:firstLine="640" w:firstLineChars="200"/>
        <w:jc w:val="right"/>
        <w:textAlignment w:val="auto"/>
        <w:outlineLvl w:val="0"/>
        <w:rPr>
          <w:rFonts w:hint="eastAsia" w:ascii="仿宋_GB2312" w:hAnsi="Calibri" w:eastAsia="仿宋_GB2312" w:cs="Times New Roman"/>
          <w:kern w:val="2"/>
          <w:sz w:val="32"/>
          <w:szCs w:val="24"/>
          <w:highlight w:val="none"/>
          <w:lang w:eastAsia="zh-CN" w:bidi="ar"/>
        </w:rPr>
      </w:pPr>
      <w:r>
        <w:rPr>
          <w:rFonts w:hint="eastAsia" w:ascii="仿宋_GB2312" w:hAnsi="Calibri" w:eastAsia="仿宋_GB2312" w:cs="Times New Roman"/>
          <w:kern w:val="2"/>
          <w:sz w:val="32"/>
          <w:szCs w:val="24"/>
          <w:highlight w:val="none"/>
          <w:lang w:eastAsia="zh-CN" w:bidi="ar"/>
        </w:rPr>
        <w:t>（联系人：xxx，联系</w:t>
      </w:r>
      <w:r>
        <w:rPr>
          <w:rFonts w:hint="eastAsia" w:ascii="仿宋_GB2312" w:hAnsi="Calibri" w:eastAsia="仿宋_GB2312" w:cs="Times New Roman"/>
          <w:kern w:val="2"/>
          <w:sz w:val="32"/>
          <w:szCs w:val="24"/>
          <w:highlight w:val="none"/>
          <w:lang w:val="en-US" w:eastAsia="zh-CN" w:bidi="ar"/>
        </w:rPr>
        <w:t>电话</w:t>
      </w:r>
      <w:r>
        <w:rPr>
          <w:rFonts w:hint="eastAsia" w:ascii="仿宋_GB2312" w:hAnsi="Calibri" w:eastAsia="仿宋_GB2312" w:cs="Times New Roman"/>
          <w:kern w:val="2"/>
          <w:sz w:val="32"/>
          <w:szCs w:val="24"/>
          <w:highlight w:val="none"/>
          <w:lang w:eastAsia="zh-CN" w:bidi="ar"/>
        </w:rPr>
        <w:t>：</w:t>
      </w:r>
      <w:r>
        <w:rPr>
          <w:rFonts w:hint="eastAsia" w:ascii="仿宋_GB2312" w:hAnsi="Calibri" w:eastAsia="仿宋_GB2312" w:cs="Times New Roman"/>
          <w:kern w:val="2"/>
          <w:sz w:val="32"/>
          <w:szCs w:val="24"/>
          <w:highlight w:val="none"/>
          <w:lang w:val="en-US" w:eastAsia="zh-CN" w:bidi="ar"/>
        </w:rPr>
        <w:t>xxx</w:t>
      </w:r>
      <w:r>
        <w:rPr>
          <w:rFonts w:hint="eastAsia" w:ascii="仿宋_GB2312" w:hAnsi="Calibri" w:eastAsia="仿宋_GB2312" w:cs="Times New Roman"/>
          <w:kern w:val="2"/>
          <w:sz w:val="32"/>
          <w:szCs w:val="24"/>
          <w:highlight w:val="none"/>
          <w:lang w:eastAsia="zh-CN" w:bidi="ar"/>
        </w:rPr>
        <w:t>）</w:t>
      </w:r>
    </w:p>
    <w:p w14:paraId="4537EF6B">
      <w:pPr>
        <w:snapToGrid/>
        <w:spacing w:line="579" w:lineRule="exact"/>
        <w:ind w:firstLine="0" w:firstLineChars="0"/>
        <w:rPr>
          <w:rFonts w:ascii="Calibri" w:hAnsi="Calibri" w:eastAsia="宋体"/>
          <w:sz w:val="21"/>
          <w:szCs w:val="24"/>
          <w:highlight w:val="none"/>
        </w:rPr>
      </w:pPr>
    </w:p>
    <w:p w14:paraId="7430E4E1">
      <w:pPr>
        <w:spacing w:line="579" w:lineRule="exact"/>
        <w:rPr>
          <w:rFonts w:hint="default"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4C44B6-AE41-4EC9-95C1-481F058A1A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BC57B5A-EC07-4D5E-857E-0D77C4E5259F}"/>
  </w:font>
  <w:font w:name="仿宋_GB2312">
    <w:panose1 w:val="02010609030101010101"/>
    <w:charset w:val="86"/>
    <w:family w:val="auto"/>
    <w:pitch w:val="default"/>
    <w:sig w:usb0="00000001" w:usb1="080E0000" w:usb2="00000000" w:usb3="00000000" w:csb0="00040000" w:csb1="00000000"/>
    <w:embedRegular r:id="rId3" w:fontKey="{E180A0FA-C554-4534-9CDE-4383AD7C9CE5}"/>
  </w:font>
  <w:font w:name="微软雅黑">
    <w:panose1 w:val="020B0503020204020204"/>
    <w:charset w:val="86"/>
    <w:family w:val="auto"/>
    <w:pitch w:val="default"/>
    <w:sig w:usb0="80000287" w:usb1="2ACF3C50" w:usb2="00000016" w:usb3="00000000" w:csb0="0004001F" w:csb1="00000000"/>
    <w:embedRegular r:id="rId4" w:fontKey="{7F7BD8F6-DED1-43E2-91A0-D85D4819F16F}"/>
  </w:font>
  <w:font w:name="楷体">
    <w:panose1 w:val="02010609060101010101"/>
    <w:charset w:val="86"/>
    <w:family w:val="auto"/>
    <w:pitch w:val="default"/>
    <w:sig w:usb0="800002BF" w:usb1="38CF7CFA" w:usb2="00000016" w:usb3="00000000" w:csb0="00040001" w:csb1="00000000"/>
    <w:embedRegular r:id="rId5" w:fontKey="{359D0F39-0AD7-4EA2-AD78-AE2228BDF021}"/>
  </w:font>
  <w:font w:name="仿宋">
    <w:panose1 w:val="02010609060101010101"/>
    <w:charset w:val="86"/>
    <w:family w:val="auto"/>
    <w:pitch w:val="default"/>
    <w:sig w:usb0="800002BF" w:usb1="38CF7CFA" w:usb2="00000016" w:usb3="00000000" w:csb0="00040001" w:csb1="00000000"/>
    <w:embedRegular r:id="rId6" w:fontKey="{9DC2D934-A779-483C-AED8-F5E140EEE74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D60D0"/>
    <w:multiLevelType w:val="singleLevel"/>
    <w:tmpl w:val="C54D60D0"/>
    <w:lvl w:ilvl="0" w:tentative="0">
      <w:start w:val="1"/>
      <w:numFmt w:val="decimal"/>
      <w:lvlText w:val="%1."/>
      <w:lvlJc w:val="left"/>
      <w:pPr>
        <w:ind w:left="425" w:hanging="425"/>
      </w:pPr>
      <w:rPr>
        <w:rFonts w:hint="default" w:ascii="仿宋_GB2312" w:hAnsi="仿宋_GB2312" w:eastAsia="仿宋_GB2312" w:cs="仿宋_GB2312"/>
      </w:rPr>
    </w:lvl>
  </w:abstractNum>
  <w:abstractNum w:abstractNumId="1">
    <w:nsid w:val="D104C562"/>
    <w:multiLevelType w:val="singleLevel"/>
    <w:tmpl w:val="D104C562"/>
    <w:lvl w:ilvl="0" w:tentative="0">
      <w:start w:val="1"/>
      <w:numFmt w:val="chineseCounting"/>
      <w:suff w:val="space"/>
      <w:lvlText w:val="（%1）"/>
      <w:lvlJc w:val="left"/>
      <w:rPr>
        <w:rFonts w:hint="eastAsia"/>
      </w:rPr>
    </w:lvl>
  </w:abstractNum>
  <w:abstractNum w:abstractNumId="2">
    <w:nsid w:val="FF028E50"/>
    <w:multiLevelType w:val="singleLevel"/>
    <w:tmpl w:val="FF028E50"/>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55107"/>
    <w:rsid w:val="00A80220"/>
    <w:rsid w:val="01F36FCC"/>
    <w:rsid w:val="02376783"/>
    <w:rsid w:val="0238663F"/>
    <w:rsid w:val="038A7E04"/>
    <w:rsid w:val="053B7608"/>
    <w:rsid w:val="062927B9"/>
    <w:rsid w:val="076508A9"/>
    <w:rsid w:val="0B224DC6"/>
    <w:rsid w:val="0DAD0977"/>
    <w:rsid w:val="109D6F15"/>
    <w:rsid w:val="10B37690"/>
    <w:rsid w:val="11B33522"/>
    <w:rsid w:val="14CF38C9"/>
    <w:rsid w:val="16F413C5"/>
    <w:rsid w:val="170E6599"/>
    <w:rsid w:val="179D5560"/>
    <w:rsid w:val="1945415A"/>
    <w:rsid w:val="19D021C2"/>
    <w:rsid w:val="1E5E0CC3"/>
    <w:rsid w:val="201856F9"/>
    <w:rsid w:val="20440768"/>
    <w:rsid w:val="204968A7"/>
    <w:rsid w:val="204A474C"/>
    <w:rsid w:val="206C46C2"/>
    <w:rsid w:val="21096F89"/>
    <w:rsid w:val="22855107"/>
    <w:rsid w:val="23610DF6"/>
    <w:rsid w:val="248D6697"/>
    <w:rsid w:val="26600C16"/>
    <w:rsid w:val="288D4A47"/>
    <w:rsid w:val="296E04D1"/>
    <w:rsid w:val="2C620C30"/>
    <w:rsid w:val="2F22105F"/>
    <w:rsid w:val="345E6F30"/>
    <w:rsid w:val="3AC961CB"/>
    <w:rsid w:val="3B765F9D"/>
    <w:rsid w:val="3D1C4922"/>
    <w:rsid w:val="3DF02037"/>
    <w:rsid w:val="3F88629F"/>
    <w:rsid w:val="405652C7"/>
    <w:rsid w:val="40F0201B"/>
    <w:rsid w:val="40F63E08"/>
    <w:rsid w:val="41F63994"/>
    <w:rsid w:val="42C10E92"/>
    <w:rsid w:val="44141C79"/>
    <w:rsid w:val="449A1930"/>
    <w:rsid w:val="470C60EE"/>
    <w:rsid w:val="49AF0FF8"/>
    <w:rsid w:val="4A0E1F9D"/>
    <w:rsid w:val="4CB330CB"/>
    <w:rsid w:val="4DAF17C2"/>
    <w:rsid w:val="50FE13F3"/>
    <w:rsid w:val="56EA6F67"/>
    <w:rsid w:val="5827444F"/>
    <w:rsid w:val="5CB73431"/>
    <w:rsid w:val="623F6839"/>
    <w:rsid w:val="637B50AC"/>
    <w:rsid w:val="688C49A6"/>
    <w:rsid w:val="689B622D"/>
    <w:rsid w:val="698060B5"/>
    <w:rsid w:val="6C97799E"/>
    <w:rsid w:val="72671BC0"/>
    <w:rsid w:val="73CD639B"/>
    <w:rsid w:val="75C612F4"/>
    <w:rsid w:val="76F56875"/>
    <w:rsid w:val="77ED6D40"/>
    <w:rsid w:val="7C6929D9"/>
    <w:rsid w:val="7C95557C"/>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ascii="黑体" w:hAnsi="黑体" w:eastAsia="黑体" w:cs="黑体"/>
      <w:b/>
      <w:kern w:val="44"/>
      <w:sz w:val="32"/>
    </w:rPr>
  </w:style>
  <w:style w:type="paragraph" w:styleId="3">
    <w:name w:val="heading 4"/>
    <w:basedOn w:val="1"/>
    <w:next w:val="1"/>
    <w:semiHidden/>
    <w:unhideWhenUsed/>
    <w:qFormat/>
    <w:uiPriority w:val="0"/>
    <w:pPr>
      <w:keepNext/>
      <w:keepLines/>
      <w:spacing w:before="0" w:beforeLines="0" w:beforeAutospacing="0" w:after="0" w:afterLines="0" w:afterAutospacing="0" w:line="579" w:lineRule="exact"/>
      <w:outlineLvl w:val="3"/>
    </w:pPr>
    <w:rPr>
      <w:rFonts w:ascii="Arial" w:hAnsi="Arial"/>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1934</Words>
  <Characters>1983</Characters>
  <Lines>0</Lines>
  <Paragraphs>0</Paragraphs>
  <TotalTime>226</TotalTime>
  <ScaleCrop>false</ScaleCrop>
  <LinksUpToDate>false</LinksUpToDate>
  <CharactersWithSpaces>2013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2026-05-07T01:30:00Z</dcterms:created>
  <dc:creator>Vanny</dc:creator>
  <cp:lastModifiedBy>Vanny</cp:lastModifiedBy>
  <dcterms:modified xsi:type="dcterms:W3CDTF">2026-06-04T03:42:51Z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51F50DFE865C422F9E9BE310A4D9822D_13</vt:lpwstr>
  </property>
  <property fmtid="{D5CDD505-2E9C-101B-9397-08002B2CF9AE}" pid="4" name="KSOTemplateDocerSaveRecord">
    <vt:lpwstr>eyJoZGlkIjoiZmMzMjQ3ZDFmNTNkMzBlMWU4ZDVjMzExZTBiNjI0YWUiLCJ1c2VySWQiOiIyMzk0OTE3MDkifQ==</vt:lpwstr>
  </property>
</Properties>
</file>