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23B6B">
      <w:pPr>
        <w:keepNext w:val="0"/>
        <w:keepLines w:val="0"/>
        <w:pageBreakBefore w:val="0"/>
        <w:widowControl w:val="0"/>
        <w:tabs>
          <w:tab w:val="left" w:pos="4678"/>
        </w:tabs>
        <w:kinsoku/>
        <w:wordWrap/>
        <w:overflowPunct/>
        <w:topLinePunct w:val="0"/>
        <w:autoSpaceDE/>
        <w:autoSpaceDN/>
        <w:bidi w:val="0"/>
        <w:snapToGrid/>
        <w:spacing w:line="560" w:lineRule="exact"/>
        <w:ind w:firstLine="0" w:firstLineChars="0"/>
        <w:jc w:val="center"/>
        <w:rPr>
          <w:rFonts w:hint="eastAsia" w:ascii="方正小标宋简体" w:hAnsi="方正小标宋简体" w:eastAsia="方正小标宋简体" w:cs="方正小标宋简体"/>
          <w:sz w:val="44"/>
          <w:szCs w:val="44"/>
          <w:highlight w:val="none"/>
          <w:lang w:val="en-US" w:eastAsia="zh-CN" w:bidi="ar-SA"/>
        </w:rPr>
      </w:pPr>
      <w:r>
        <w:rPr>
          <w:rFonts w:hint="eastAsia" w:ascii="方正小标宋简体" w:hAnsi="方正小标宋简体" w:eastAsia="方正小标宋简体" w:cs="方正小标宋简体"/>
          <w:sz w:val="44"/>
          <w:szCs w:val="44"/>
          <w:highlight w:val="none"/>
          <w:lang w:val="en-US" w:eastAsia="zh-CN" w:bidi="ar-SA"/>
        </w:rPr>
        <w:t>深圳交易集团2026年等级保护测评服务需求</w:t>
      </w:r>
    </w:p>
    <w:p w14:paraId="25E9CBDF">
      <w:pPr>
        <w:pStyle w:val="2"/>
        <w:keepNext w:val="0"/>
        <w:keepLines w:val="0"/>
        <w:pageBreakBefore w:val="0"/>
        <w:widowControl/>
        <w:kinsoku/>
        <w:wordWrap/>
        <w:overflowPunct/>
        <w:topLinePunct w:val="0"/>
        <w:autoSpaceDE/>
        <w:autoSpaceDN/>
        <w:bidi w:val="0"/>
        <w:snapToGrid/>
        <w:spacing w:line="560" w:lineRule="exact"/>
        <w:rPr>
          <w:rFonts w:hint="default"/>
          <w:lang w:val="en-US" w:eastAsia="zh-CN"/>
        </w:rPr>
      </w:pPr>
    </w:p>
    <w:p w14:paraId="04EF5E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一、项目概况</w:t>
      </w:r>
    </w:p>
    <w:p w14:paraId="0FD1AB0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32"/>
          <w:szCs w:val="32"/>
        </w:rPr>
        <w:t>为进一步加强基础信息网络和重要信息系统的安全防护能力和水平，保障网络和信息系统安全、稳定地运行，依据我国网络安全法、网络安全等级保护制度以及相关的法律法规，结合</w:t>
      </w:r>
      <w:r>
        <w:rPr>
          <w:rFonts w:hint="eastAsia" w:ascii="仿宋_GB2312" w:hAnsi="仿宋_GB2312" w:eastAsia="仿宋_GB2312" w:cs="仿宋_GB2312"/>
          <w:sz w:val="32"/>
          <w:szCs w:val="32"/>
          <w:lang w:val="en-US" w:eastAsia="zh-CN"/>
        </w:rPr>
        <w:t>深圳交易集团有限公司</w:t>
      </w:r>
      <w:r>
        <w:rPr>
          <w:rFonts w:hint="eastAsia" w:ascii="仿宋_GB2312" w:hAnsi="仿宋_GB2312" w:eastAsia="仿宋_GB2312" w:cs="仿宋_GB2312"/>
          <w:sz w:val="32"/>
          <w:szCs w:val="32"/>
        </w:rPr>
        <w:t>的网络信息安全现状，采购专业的等级保护测评服务，选择一家专业的信息安全机构提供信息安全等保测评服务，为深圳市交易集团官方网站、业务系统等的日常运行保驾护航，通过等级保护测评使深圳市交易集团的主要系统达到网络安全等级保护制度的要求。</w:t>
      </w:r>
    </w:p>
    <w:p w14:paraId="4E6A0D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bidi="ar-SA"/>
        </w:rPr>
      </w:pPr>
      <w:r>
        <w:rPr>
          <w:rFonts w:hint="eastAsia" w:ascii="黑体" w:hAnsi="黑体" w:eastAsia="黑体" w:cs="黑体"/>
          <w:sz w:val="32"/>
          <w:szCs w:val="32"/>
          <w:lang w:val="en-US" w:eastAsia="zh-CN" w:bidi="ar-SA"/>
        </w:rPr>
        <w:t>二、服务需求</w:t>
      </w:r>
    </w:p>
    <w:p w14:paraId="29D00D2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1.测评范围</w:t>
      </w:r>
    </w:p>
    <w:p w14:paraId="4C8F1B6D">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包括但不限于</w:t>
      </w:r>
      <w:r>
        <w:rPr>
          <w:rFonts w:hint="eastAsia" w:ascii="仿宋_GB2312" w:hAnsi="仿宋_GB2312" w:eastAsia="仿宋_GB2312" w:cs="仿宋_GB2312"/>
          <w:sz w:val="32"/>
          <w:szCs w:val="32"/>
        </w:rPr>
        <w:t>如下内容：</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3"/>
        <w:gridCol w:w="3364"/>
        <w:gridCol w:w="3245"/>
      </w:tblGrid>
      <w:tr w14:paraId="2CEF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 w:type="pct"/>
            <w:vAlign w:val="center"/>
          </w:tcPr>
          <w:p w14:paraId="68135CA3">
            <w:pPr>
              <w:keepNext w:val="0"/>
              <w:keepLines w:val="0"/>
              <w:pageBreakBefore w:val="0"/>
              <w:kinsoku/>
              <w:wordWrap/>
              <w:overflowPunct/>
              <w:topLinePunct w:val="0"/>
              <w:autoSpaceDE/>
              <w:autoSpaceDN/>
              <w:bidi w:val="0"/>
              <w:snapToGrid/>
              <w:spacing w:line="56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973" w:type="pct"/>
            <w:vAlign w:val="center"/>
          </w:tcPr>
          <w:p w14:paraId="0DBED9F5">
            <w:pPr>
              <w:keepNext w:val="0"/>
              <w:keepLines w:val="0"/>
              <w:pageBreakBefore w:val="0"/>
              <w:kinsoku/>
              <w:wordWrap/>
              <w:overflowPunct/>
              <w:topLinePunct w:val="0"/>
              <w:autoSpaceDE/>
              <w:autoSpaceDN/>
              <w:bidi w:val="0"/>
              <w:snapToGrid/>
              <w:spacing w:line="56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等保级别</w:t>
            </w:r>
          </w:p>
        </w:tc>
        <w:tc>
          <w:tcPr>
            <w:tcW w:w="1903" w:type="pct"/>
            <w:vAlign w:val="center"/>
          </w:tcPr>
          <w:p w14:paraId="10EB0607">
            <w:pPr>
              <w:keepNext w:val="0"/>
              <w:keepLines w:val="0"/>
              <w:pageBreakBefore w:val="0"/>
              <w:kinsoku/>
              <w:wordWrap/>
              <w:overflowPunct/>
              <w:topLinePunct w:val="0"/>
              <w:autoSpaceDE/>
              <w:autoSpaceDN/>
              <w:bidi w:val="0"/>
              <w:snapToGrid/>
              <w:spacing w:line="56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最大数量</w:t>
            </w:r>
          </w:p>
        </w:tc>
      </w:tr>
      <w:tr w14:paraId="1CA9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122" w:type="pct"/>
            <w:vAlign w:val="center"/>
          </w:tcPr>
          <w:p w14:paraId="7CFDAC89">
            <w:pPr>
              <w:keepNext w:val="0"/>
              <w:keepLines w:val="0"/>
              <w:pageBreakBefore w:val="0"/>
              <w:kinsoku/>
              <w:wordWrap/>
              <w:overflowPunct/>
              <w:topLinePunct w:val="0"/>
              <w:autoSpaceDE/>
              <w:autoSpaceDN/>
              <w:bidi w:val="0"/>
              <w:snapToGrid/>
              <w:spacing w:line="56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1973" w:type="pct"/>
            <w:vAlign w:val="center"/>
          </w:tcPr>
          <w:p w14:paraId="7941CB7D">
            <w:pPr>
              <w:keepNext w:val="0"/>
              <w:keepLines w:val="0"/>
              <w:pageBreakBefore w:val="0"/>
              <w:kinsoku/>
              <w:wordWrap/>
              <w:overflowPunct/>
              <w:topLinePunct w:val="0"/>
              <w:autoSpaceDE/>
              <w:autoSpaceDN/>
              <w:bidi w:val="0"/>
              <w:snapToGrid/>
              <w:spacing w:line="56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三级测评</w:t>
            </w:r>
          </w:p>
        </w:tc>
        <w:tc>
          <w:tcPr>
            <w:tcW w:w="1903" w:type="pct"/>
            <w:vAlign w:val="center"/>
          </w:tcPr>
          <w:p w14:paraId="664D7E1E">
            <w:pPr>
              <w:keepNext w:val="0"/>
              <w:keepLines w:val="0"/>
              <w:pageBreakBefore w:val="0"/>
              <w:kinsoku/>
              <w:wordWrap/>
              <w:overflowPunct/>
              <w:topLinePunct w:val="0"/>
              <w:autoSpaceDE/>
              <w:autoSpaceDN/>
              <w:bidi w:val="0"/>
              <w:snapToGrid/>
              <w:spacing w:line="56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40</w:t>
            </w:r>
          </w:p>
        </w:tc>
      </w:tr>
      <w:tr w14:paraId="077F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122" w:type="pct"/>
            <w:vAlign w:val="center"/>
          </w:tcPr>
          <w:p w14:paraId="66CB8031">
            <w:pPr>
              <w:keepNext w:val="0"/>
              <w:keepLines w:val="0"/>
              <w:pageBreakBefore w:val="0"/>
              <w:kinsoku/>
              <w:wordWrap/>
              <w:overflowPunct/>
              <w:topLinePunct w:val="0"/>
              <w:autoSpaceDE/>
              <w:autoSpaceDN/>
              <w:bidi w:val="0"/>
              <w:snapToGrid/>
              <w:spacing w:line="56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973" w:type="pct"/>
            <w:vAlign w:val="center"/>
          </w:tcPr>
          <w:p w14:paraId="2CFA4E90">
            <w:pPr>
              <w:keepNext w:val="0"/>
              <w:keepLines w:val="0"/>
              <w:pageBreakBefore w:val="0"/>
              <w:kinsoku/>
              <w:wordWrap/>
              <w:overflowPunct/>
              <w:topLinePunct w:val="0"/>
              <w:autoSpaceDE/>
              <w:autoSpaceDN/>
              <w:bidi w:val="0"/>
              <w:snapToGrid/>
              <w:spacing w:line="56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二级测评</w:t>
            </w:r>
          </w:p>
        </w:tc>
        <w:tc>
          <w:tcPr>
            <w:tcW w:w="1903" w:type="pct"/>
            <w:vAlign w:val="center"/>
          </w:tcPr>
          <w:p w14:paraId="05689D96">
            <w:pPr>
              <w:keepNext w:val="0"/>
              <w:keepLines w:val="0"/>
              <w:pageBreakBefore w:val="0"/>
              <w:kinsoku/>
              <w:wordWrap/>
              <w:overflowPunct/>
              <w:topLinePunct w:val="0"/>
              <w:autoSpaceDE/>
              <w:autoSpaceDN/>
              <w:bidi w:val="0"/>
              <w:snapToGrid/>
              <w:spacing w:line="56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p>
        </w:tc>
      </w:tr>
    </w:tbl>
    <w:p w14:paraId="4DD330B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另包含已备案系统取消备案、调整备案。</w:t>
      </w:r>
    </w:p>
    <w:p w14:paraId="57AB289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2.项目目标</w:t>
      </w:r>
    </w:p>
    <w:p w14:paraId="6066FCA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b/>
          <w:bCs/>
          <w:sz w:val="32"/>
          <w:szCs w:val="32"/>
          <w:lang w:val="en-US" w:eastAsia="zh-CN"/>
        </w:rPr>
        <w:t>本项目的核心目标是通过对</w:t>
      </w:r>
      <w:r>
        <w:rPr>
          <w:rFonts w:hint="eastAsia" w:ascii="仿宋_GB2312" w:hAnsi="仿宋_GB2312" w:eastAsia="仿宋_GB2312" w:cs="仿宋_GB2312"/>
          <w:b/>
          <w:bCs/>
          <w:sz w:val="32"/>
          <w:szCs w:val="32"/>
          <w:lang w:val="en-US" w:eastAsia="zh-CN"/>
        </w:rPr>
        <w:t>测评范围内的信息</w:t>
      </w:r>
      <w:r>
        <w:rPr>
          <w:rFonts w:hint="default" w:ascii="仿宋_GB2312" w:hAnsi="仿宋_GB2312" w:eastAsia="仿宋_GB2312" w:cs="仿宋_GB2312"/>
          <w:b/>
          <w:bCs/>
          <w:sz w:val="32"/>
          <w:szCs w:val="32"/>
          <w:lang w:val="en-US" w:eastAsia="zh-CN"/>
        </w:rPr>
        <w:t>系统的</w:t>
      </w:r>
      <w:r>
        <w:rPr>
          <w:rFonts w:hint="eastAsia" w:ascii="仿宋_GB2312" w:hAnsi="仿宋_GB2312" w:eastAsia="仿宋_GB2312" w:cs="仿宋_GB2312"/>
          <w:b/>
          <w:bCs/>
          <w:sz w:val="32"/>
          <w:szCs w:val="32"/>
          <w:lang w:val="en-US" w:eastAsia="zh-CN"/>
        </w:rPr>
        <w:t>进行等保</w:t>
      </w:r>
      <w:r>
        <w:rPr>
          <w:rFonts w:hint="eastAsia" w:ascii="仿宋_GB2312" w:hAnsi="仿宋_GB2312" w:eastAsia="仿宋_GB2312" w:cs="仿宋_GB2312"/>
          <w:b/>
          <w:bCs/>
          <w:sz w:val="32"/>
          <w:szCs w:val="32"/>
          <w:lang w:val="en-US" w:eastAsia="zh-CN"/>
        </w:rPr>
        <w:t>复评</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完成202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年度关键业务系统等级保护测评工作，并且建立持续评估、基线保护、体系化保障深圳交易集团及下属各分公司的业务系统与IT基础设施安全的有效机制，满足交易集团信息系统高效安全稳定运行的需求；</w:t>
      </w:r>
    </w:p>
    <w:p w14:paraId="5BDC2EA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等级保护测评的基础上，结合交易集团业务发展安全保障需求、业务系统特点以及内部风险管理的要求，进行全面的安全风险分析与评估，并从企业IT治理和风险管理的角度识别存在的问题，明确风险等级，提供可行的整改建议，协调内、外部资源逐步实施控制，将安全风险降低至可接受水平。</w:t>
      </w:r>
    </w:p>
    <w:p w14:paraId="0577142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落实国家监管单位的网络安全等级保护建设要求和法规遵从，按照相关法规、标准和行业最佳实践持续运维调整，全面提高信息安全防护能力，重点保障基础信息网络和重要信息系统安全，创建安全稳定网络环境。</w:t>
      </w:r>
    </w:p>
    <w:p w14:paraId="2466CD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三、服务期限</w:t>
      </w:r>
    </w:p>
    <w:p w14:paraId="7ADBB13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自合同签订之日起1年。</w:t>
      </w:r>
    </w:p>
    <w:p w14:paraId="0545B2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四、服务地点</w:t>
      </w:r>
    </w:p>
    <w:p w14:paraId="26F6B1F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深圳交易集团有限公司及各分公司</w:t>
      </w:r>
    </w:p>
    <w:p w14:paraId="5B5D44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五、技术要求</w:t>
      </w:r>
    </w:p>
    <w:p w14:paraId="69B65202">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意向供应商</w:t>
      </w:r>
      <w:r>
        <w:rPr>
          <w:rFonts w:hint="eastAsia" w:ascii="仿宋_GB2312" w:hAnsi="仿宋_GB2312" w:eastAsia="仿宋_GB2312" w:cs="仿宋_GB2312"/>
          <w:sz w:val="32"/>
          <w:szCs w:val="32"/>
          <w:lang w:val="en-US" w:eastAsia="zh-CN"/>
        </w:rPr>
        <w:t>资质要求</w:t>
      </w:r>
    </w:p>
    <w:p w14:paraId="55C07255">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根据信息系统的安全保护等级要求，</w:t>
      </w:r>
      <w:r>
        <w:rPr>
          <w:rFonts w:hint="eastAsia" w:ascii="仿宋_GB2312" w:hAnsi="仿宋_GB2312" w:eastAsia="仿宋_GB2312" w:cs="仿宋_GB2312"/>
          <w:b/>
          <w:bCs/>
          <w:sz w:val="32"/>
          <w:szCs w:val="32"/>
          <w:lang w:eastAsia="zh-CN"/>
        </w:rPr>
        <w:t>意向供应商</w:t>
      </w:r>
      <w:r>
        <w:rPr>
          <w:rFonts w:hint="eastAsia" w:ascii="仿宋_GB2312" w:hAnsi="仿宋_GB2312" w:eastAsia="仿宋_GB2312" w:cs="仿宋_GB2312"/>
          <w:b/>
          <w:bCs/>
          <w:sz w:val="32"/>
          <w:szCs w:val="32"/>
        </w:rPr>
        <w:t>须具备公安部第三研究所颁发的“网络安全等级测评与检测评估机构服务认证证书”或“网络安全服务认证证书等级保护测评服务认证”。</w:t>
      </w:r>
    </w:p>
    <w:p w14:paraId="31CDD35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测评方案要求</w:t>
      </w:r>
    </w:p>
    <w:p w14:paraId="3383D7E5">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意向供应商</w:t>
      </w:r>
      <w:r>
        <w:rPr>
          <w:rFonts w:hint="eastAsia" w:ascii="仿宋_GB2312" w:hAnsi="仿宋_GB2312" w:eastAsia="仿宋_GB2312" w:cs="仿宋_GB2312"/>
          <w:sz w:val="32"/>
          <w:szCs w:val="32"/>
        </w:rPr>
        <w:t>应详细描述本次等级保护测评的整体实施方案，包括项目概述、等保测评方案、实施方案、测评过程中需使用设备清单、时间安排、阶段性文档提交和验收标准等。</w:t>
      </w:r>
    </w:p>
    <w:p w14:paraId="137162C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3.测评服务内容</w:t>
      </w:r>
    </w:p>
    <w:p w14:paraId="171B0220">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测评的内容包括但不限于以下内容：</w:t>
      </w:r>
    </w:p>
    <w:p w14:paraId="12A9C541">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（一）测评服务要求</w:t>
      </w:r>
    </w:p>
    <w:p w14:paraId="7E7B5AB7">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（1）物理安全</w:t>
      </w:r>
    </w:p>
    <w:p w14:paraId="3A9C4F9E">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测评内容主要包括：机房位置选择、机房物理访问控制、机房防雷击、机房防火、机房防水和防潮、机房防静电、机房温湿度控制、机房供配电、机房电磁防护、设备安全防护、存储介质安全防护等。</w:t>
      </w:r>
    </w:p>
    <w:p w14:paraId="330D6988">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（2）网络安全</w:t>
      </w:r>
    </w:p>
    <w:p w14:paraId="65CC17DB">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测评内容主要包括：网络结构安全、网络访问控制、网络安全审计、边界完整性保护、网络入侵防范、网络恶意代码防范、网络设备登录控制、网络备份与恢复等。</w:t>
      </w:r>
    </w:p>
    <w:p w14:paraId="1D841185">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（3）主机安全</w:t>
      </w:r>
    </w:p>
    <w:p w14:paraId="2DB1DC77">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测评内容主要包括：用户身份鉴别、自主访问控制、标记与强制访问控制、安全审计、入侵防范、恶意代码防范、资源控制、可信路径、可执行程序保护、备份与恢复等。</w:t>
      </w:r>
    </w:p>
    <w:p w14:paraId="13EB1114">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（4）应用安全</w:t>
      </w:r>
    </w:p>
    <w:p w14:paraId="3E15CCF3">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测评内容主要包括：用户身份鉴别、自主访问控制、标记与强制访问控制、安全审计、检错和容错、资源控制等。</w:t>
      </w:r>
    </w:p>
    <w:p w14:paraId="7C7C1D25">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（5）数据安全与备份恢复</w:t>
      </w:r>
    </w:p>
    <w:p w14:paraId="367F5220">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测评内容主要包括：数据完整性保护、数据保密性保护、数据备份与恢复等</w:t>
      </w:r>
    </w:p>
    <w:p w14:paraId="0D44D3EA">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（6）安全管理机构</w:t>
      </w:r>
    </w:p>
    <w:p w14:paraId="4D0F9A88">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测评内容主要包括：安全管理机构设置、人员配备及职责、安全授权和审批、安全沟通和合作、安全审核和检查等。</w:t>
      </w:r>
    </w:p>
    <w:p w14:paraId="0555DABA">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（7）安全管理制度</w:t>
      </w:r>
    </w:p>
    <w:p w14:paraId="030224FE">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测评内容主要包括：安全管理制度内容、制度的制定与发布、制度的评审和修订等。</w:t>
      </w:r>
    </w:p>
    <w:p w14:paraId="76604C9B">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（8）人员安全管理</w:t>
      </w:r>
    </w:p>
    <w:p w14:paraId="68CF7924">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测评内容主要包括：人员岗位管理、人员培训与考核、人员安全意识教育、外部人员访问管理等。</w:t>
      </w:r>
    </w:p>
    <w:p w14:paraId="35BCBF03">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（9）系统建设管理</w:t>
      </w:r>
    </w:p>
    <w:p w14:paraId="2A2F5060">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测评内容主要包括：安全设计管理、产品采购使用管理、自行软件开发管理、外包软件开发管理、安全工程实施管理、安全测试验收管理、安全系统交付管理、安全服务选择管理等。</w:t>
      </w:r>
    </w:p>
    <w:p w14:paraId="2A6920F5">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（10）系统运维管理</w:t>
      </w:r>
    </w:p>
    <w:p w14:paraId="5B8D20AA">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内容主要包括：运行环境管理、资产管理、存储介质管理、设备管理、安全审计管理、入侵防范管理、网络安全管理、主机系统安全管理、用户授权管理、备份与恢复管理、恶意代码防范管理、安全事件处置管理、应急响应管理等。</w:t>
      </w:r>
    </w:p>
    <w:p w14:paraId="4194410B">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（11）完成信息安全等级保护的最终测评和信息系统备案，提交各信息系统的测评报告至公安、等保办，完成测评和信息系统备案工作。</w:t>
      </w:r>
    </w:p>
    <w:p w14:paraId="751E0685">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（12）服务项目符合招标文件的服务要求和项目合同规定，对测评过程中，安全整改后进行的复测，</w:t>
      </w:r>
      <w:r>
        <w:rPr>
          <w:rFonts w:hint="eastAsia" w:ascii="仿宋_GB2312" w:hAnsi="仿宋_GB2312" w:eastAsia="仿宋_GB2312" w:cs="仿宋_GB2312"/>
          <w:sz w:val="32"/>
          <w:szCs w:val="32"/>
          <w:lang w:eastAsia="zh-CN"/>
        </w:rPr>
        <w:t>意向供应商</w:t>
      </w:r>
      <w:r>
        <w:rPr>
          <w:rFonts w:hint="eastAsia" w:ascii="仿宋_GB2312" w:hAnsi="仿宋_GB2312" w:eastAsia="仿宋_GB2312" w:cs="仿宋_GB2312"/>
          <w:sz w:val="32"/>
          <w:szCs w:val="32"/>
        </w:rPr>
        <w:t>不再收取额外的服务费用。</w:t>
      </w:r>
    </w:p>
    <w:p w14:paraId="4B124B8E">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（二）其它服务</w:t>
      </w:r>
      <w:r>
        <w:rPr>
          <w:rFonts w:hint="eastAsia" w:ascii="仿宋_GB2312" w:hAnsi="仿宋_GB2312" w:eastAsia="仿宋_GB2312" w:cs="仿宋_GB2312"/>
          <w:sz w:val="32"/>
          <w:szCs w:val="32"/>
          <w:lang w:val="en-US" w:eastAsia="zh-CN"/>
        </w:rPr>
        <w:t>内容要求</w:t>
      </w:r>
    </w:p>
    <w:p w14:paraId="0442309A">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（1）风险分析：对测评中发现的问题进行风险分析，并提出具体整改建议。</w:t>
      </w:r>
    </w:p>
    <w:p w14:paraId="1D463261">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（2）漏洞发掘：对测评过程中发现的安全漏洞进行深度挖掘，并提出建议协助修补。</w:t>
      </w:r>
    </w:p>
    <w:p w14:paraId="1DB88D26">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（3）安全管理制度：协助建立和完善信息安全管理制度，建立信息安全管理体系。</w:t>
      </w:r>
    </w:p>
    <w:p w14:paraId="364B60F5">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（4）培训：在服务期内，为</w:t>
      </w:r>
      <w:r>
        <w:rPr>
          <w:rFonts w:hint="eastAsia" w:ascii="仿宋_GB2312" w:hAnsi="仿宋_GB2312" w:eastAsia="仿宋_GB2312" w:cs="仿宋_GB2312"/>
          <w:sz w:val="32"/>
          <w:szCs w:val="32"/>
          <w:lang w:eastAsia="zh-CN"/>
        </w:rPr>
        <w:t>采购人</w:t>
      </w:r>
      <w:r>
        <w:rPr>
          <w:rFonts w:hint="eastAsia" w:ascii="仿宋_GB2312" w:hAnsi="仿宋_GB2312" w:eastAsia="仿宋_GB2312" w:cs="仿宋_GB2312"/>
          <w:sz w:val="32"/>
          <w:szCs w:val="32"/>
        </w:rPr>
        <w:t>提供相应的信息安全培训，包括安全态势、安全技术、攻防技术等内容。</w:t>
      </w:r>
    </w:p>
    <w:p w14:paraId="66A68869">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（5）为</w:t>
      </w:r>
      <w:r>
        <w:rPr>
          <w:rFonts w:hint="eastAsia" w:ascii="仿宋_GB2312" w:hAnsi="仿宋_GB2312" w:eastAsia="仿宋_GB2312" w:cs="仿宋_GB2312"/>
          <w:sz w:val="32"/>
          <w:szCs w:val="32"/>
          <w:lang w:eastAsia="zh-CN"/>
        </w:rPr>
        <w:t>采购人</w:t>
      </w:r>
      <w:r>
        <w:rPr>
          <w:rFonts w:hint="eastAsia" w:ascii="仿宋_GB2312" w:hAnsi="仿宋_GB2312" w:eastAsia="仿宋_GB2312" w:cs="仿宋_GB2312"/>
          <w:sz w:val="32"/>
          <w:szCs w:val="32"/>
        </w:rPr>
        <w:t>提供信息系统升级、改造等全过程技术咨询，确保信息系统的安全防护满足等级保护要求。</w:t>
      </w:r>
    </w:p>
    <w:p w14:paraId="66AEE533">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（6）应急响应：建立常设的专业技术支撑队伍，发生突发事件时，按照深圳市网安应急办的指令，开展应急救援。</w:t>
      </w:r>
    </w:p>
    <w:p w14:paraId="557C993F">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（7）提供本地化的网络与信息安全事件应急响应支持服务，建立专业技术支撑队伍，建立网络安全事件应急处置咨询机制，为网络安全事件的预防和处置提供技术咨询和决策建议。 </w:t>
      </w:r>
    </w:p>
    <w:p w14:paraId="205679B8">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（8）专业技术支撑队伍成员应 24 小时保持电话畅通，按需提供 7*24 小时现场或远程网络与信息安全事件应急响应安全技术专家服务，针对突发各类网络与信息安全事件等进行诊断、分析并协助解决，以及协助开展事后分析、取证并输出分析报告。</w:t>
      </w:r>
    </w:p>
    <w:p w14:paraId="64520FD7">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（9）根据《深圳市网络安全事件应急预案》以及集团应急响应文件相关要求，接到通知时，应即时响应，并按照网络安全事件级别在指定时间内（最长不超过 45 分钟）指派专业技术支撑队伍成员到达现场协助开展应急处置工作。 </w:t>
      </w:r>
    </w:p>
    <w:p w14:paraId="453CC6A4">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撰写网络安全事件报告，网络安全事件报告内容包括：事件发生时间和地点、发生事件的基础网络与信息系统名称、事件原因、信息来源、事件类型及性质、危害和损失程度、影响集团及业务、事件发展趋势、采取的处置措施等。</w:t>
      </w:r>
    </w:p>
    <w:p w14:paraId="656AF8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六、服务要求</w:t>
      </w:r>
    </w:p>
    <w:p w14:paraId="7D39EB59">
      <w:pPr>
        <w:pStyle w:val="2"/>
        <w:keepNext w:val="0"/>
        <w:keepLines w:val="0"/>
        <w:pageBreakBefore w:val="0"/>
        <w:widowControl/>
        <w:kinsoku/>
        <w:wordWrap/>
        <w:overflowPunct/>
        <w:topLinePunct w:val="0"/>
        <w:autoSpaceDE/>
        <w:autoSpaceDN/>
        <w:bidi w:val="0"/>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1.测评人员要求</w:t>
      </w:r>
    </w:p>
    <w:p w14:paraId="01715D8A">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（1）本项目负责人必须具备信息安全等级保护测评高级测评师证书，</w:t>
      </w:r>
      <w:r>
        <w:rPr>
          <w:rFonts w:hint="eastAsia" w:ascii="仿宋_GB2312" w:hAnsi="仿宋_GB2312" w:eastAsia="仿宋_GB2312" w:cs="仿宋_GB2312"/>
          <w:b/>
          <w:bCs/>
          <w:sz w:val="32"/>
          <w:szCs w:val="32"/>
        </w:rPr>
        <w:t>具有不少于7年等级保护测评项目实施经验</w:t>
      </w:r>
      <w:r>
        <w:rPr>
          <w:rFonts w:hint="eastAsia" w:ascii="仿宋_GB2312" w:hAnsi="仿宋_GB2312" w:eastAsia="仿宋_GB2312" w:cs="仿宋_GB2312"/>
          <w:sz w:val="32"/>
          <w:szCs w:val="32"/>
        </w:rPr>
        <w:t>，并参与过测评项目（中标金额不少于本项目预算金额）的实施经验。</w:t>
      </w:r>
      <w:r>
        <w:rPr>
          <w:rFonts w:hint="eastAsia" w:ascii="仿宋_GB2312" w:hAnsi="仿宋_GB2312" w:eastAsia="仿宋_GB2312" w:cs="仿宋_GB2312"/>
          <w:b/>
          <w:bCs/>
          <w:sz w:val="32"/>
          <w:szCs w:val="32"/>
        </w:rPr>
        <w:t>在现场测评时应安排不少于5名测评师，必须具备信息安全等级保护测评中级或以上测评师证书，具备不少于3年等级保护测评项目实施经验。</w:t>
      </w:r>
    </w:p>
    <w:p w14:paraId="536B6828">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意向供应商</w:t>
      </w:r>
      <w:r>
        <w:rPr>
          <w:rFonts w:hint="eastAsia" w:ascii="仿宋_GB2312" w:hAnsi="仿宋_GB2312" w:eastAsia="仿宋_GB2312" w:cs="仿宋_GB2312"/>
          <w:sz w:val="32"/>
          <w:szCs w:val="32"/>
        </w:rPr>
        <w:t>应详细描述测评人员的组成、资质及各自职责的划分。</w:t>
      </w:r>
      <w:r>
        <w:rPr>
          <w:rFonts w:hint="eastAsia" w:ascii="仿宋_GB2312" w:hAnsi="仿宋_GB2312" w:eastAsia="仿宋_GB2312" w:cs="仿宋_GB2312"/>
          <w:sz w:val="32"/>
          <w:szCs w:val="32"/>
          <w:lang w:eastAsia="zh-CN"/>
        </w:rPr>
        <w:t>意向供应商</w:t>
      </w:r>
      <w:r>
        <w:rPr>
          <w:rFonts w:hint="eastAsia" w:ascii="仿宋_GB2312" w:hAnsi="仿宋_GB2312" w:eastAsia="仿宋_GB2312" w:cs="仿宋_GB2312"/>
          <w:sz w:val="32"/>
          <w:szCs w:val="32"/>
        </w:rPr>
        <w:t>提供的测评人员必须与实际开展测评人员相同。</w:t>
      </w:r>
      <w:bookmarkStart w:id="0" w:name="_GoBack"/>
      <w:bookmarkEnd w:id="0"/>
    </w:p>
    <w:p w14:paraId="2A2E466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.测评工具环境要求</w:t>
      </w:r>
    </w:p>
    <w:p w14:paraId="15392C2C">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（1）本次等级保护测评实施过程中所使用到的各种工具软件由</w:t>
      </w:r>
      <w:r>
        <w:rPr>
          <w:rFonts w:hint="eastAsia" w:ascii="仿宋_GB2312" w:hAnsi="仿宋_GB2312" w:eastAsia="仿宋_GB2312" w:cs="仿宋_GB2312"/>
          <w:sz w:val="32"/>
          <w:szCs w:val="32"/>
          <w:lang w:eastAsia="zh-CN"/>
        </w:rPr>
        <w:t>意向供应商</w:t>
      </w:r>
      <w:r>
        <w:rPr>
          <w:rFonts w:hint="eastAsia" w:ascii="仿宋_GB2312" w:hAnsi="仿宋_GB2312" w:eastAsia="仿宋_GB2312" w:cs="仿宋_GB2312"/>
          <w:sz w:val="32"/>
          <w:szCs w:val="32"/>
        </w:rPr>
        <w:t>推荐，经</w:t>
      </w:r>
      <w:r>
        <w:rPr>
          <w:rFonts w:hint="eastAsia" w:ascii="仿宋_GB2312" w:hAnsi="仿宋_GB2312" w:eastAsia="仿宋_GB2312" w:cs="仿宋_GB2312"/>
          <w:sz w:val="32"/>
          <w:szCs w:val="32"/>
          <w:lang w:eastAsia="zh-CN"/>
        </w:rPr>
        <w:t>采购人</w:t>
      </w:r>
      <w:r>
        <w:rPr>
          <w:rFonts w:hint="eastAsia" w:ascii="仿宋_GB2312" w:hAnsi="仿宋_GB2312" w:eastAsia="仿宋_GB2312" w:cs="仿宋_GB2312"/>
          <w:sz w:val="32"/>
          <w:szCs w:val="32"/>
        </w:rPr>
        <w:t>确认后由</w:t>
      </w:r>
      <w:r>
        <w:rPr>
          <w:rFonts w:hint="eastAsia" w:ascii="仿宋_GB2312" w:hAnsi="仿宋_GB2312" w:eastAsia="仿宋_GB2312" w:cs="仿宋_GB2312"/>
          <w:sz w:val="32"/>
          <w:szCs w:val="32"/>
          <w:lang w:eastAsia="zh-CN"/>
        </w:rPr>
        <w:t>意向供应商</w:t>
      </w:r>
      <w:r>
        <w:rPr>
          <w:rFonts w:hint="eastAsia" w:ascii="仿宋_GB2312" w:hAnsi="仿宋_GB2312" w:eastAsia="仿宋_GB2312" w:cs="仿宋_GB2312"/>
          <w:sz w:val="32"/>
          <w:szCs w:val="32"/>
        </w:rPr>
        <w:t>提供并在测评中使用。在投标文件中应详细描述所使用的安全测评工具（软硬件型号、功能和性能描述）、使用的方式和时间、对环境和平台的要求以及使用可能对系统造成的风险等。</w:t>
      </w:r>
    </w:p>
    <w:p w14:paraId="32307324">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（2）安全测评工具软件运行可能需要的硬件平台和操作系统软件等由</w:t>
      </w:r>
      <w:r>
        <w:rPr>
          <w:rFonts w:hint="eastAsia" w:ascii="仿宋_GB2312" w:hAnsi="仿宋_GB2312" w:eastAsia="仿宋_GB2312" w:cs="仿宋_GB2312"/>
          <w:sz w:val="32"/>
          <w:szCs w:val="32"/>
          <w:lang w:eastAsia="zh-CN"/>
        </w:rPr>
        <w:t>意向供应商</w:t>
      </w:r>
      <w:r>
        <w:rPr>
          <w:rFonts w:hint="eastAsia" w:ascii="仿宋_GB2312" w:hAnsi="仿宋_GB2312" w:eastAsia="仿宋_GB2312" w:cs="仿宋_GB2312"/>
          <w:sz w:val="32"/>
          <w:szCs w:val="32"/>
        </w:rPr>
        <w:t>推荐，经</w:t>
      </w:r>
      <w:r>
        <w:rPr>
          <w:rFonts w:hint="eastAsia" w:ascii="仿宋_GB2312" w:hAnsi="仿宋_GB2312" w:eastAsia="仿宋_GB2312" w:cs="仿宋_GB2312"/>
          <w:sz w:val="32"/>
          <w:szCs w:val="32"/>
          <w:lang w:eastAsia="zh-CN"/>
        </w:rPr>
        <w:t>采购人</w:t>
      </w:r>
      <w:r>
        <w:rPr>
          <w:rFonts w:hint="eastAsia" w:ascii="仿宋_GB2312" w:hAnsi="仿宋_GB2312" w:eastAsia="仿宋_GB2312" w:cs="仿宋_GB2312"/>
          <w:sz w:val="32"/>
          <w:szCs w:val="32"/>
        </w:rPr>
        <w:t>确认后由</w:t>
      </w:r>
      <w:r>
        <w:rPr>
          <w:rFonts w:hint="eastAsia" w:ascii="仿宋_GB2312" w:hAnsi="仿宋_GB2312" w:eastAsia="仿宋_GB2312" w:cs="仿宋_GB2312"/>
          <w:sz w:val="32"/>
          <w:szCs w:val="32"/>
          <w:lang w:eastAsia="zh-CN"/>
        </w:rPr>
        <w:t>意向供应商</w:t>
      </w:r>
      <w:r>
        <w:rPr>
          <w:rFonts w:hint="eastAsia" w:ascii="仿宋_GB2312" w:hAnsi="仿宋_GB2312" w:eastAsia="仿宋_GB2312" w:cs="仿宋_GB2312"/>
          <w:sz w:val="32"/>
          <w:szCs w:val="32"/>
        </w:rPr>
        <w:t>提供并在测评中使用。</w:t>
      </w:r>
    </w:p>
    <w:p w14:paraId="566A2B73">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（3）安全测评需要的运行环境（如场地、网络环境等）由</w:t>
      </w:r>
      <w:r>
        <w:rPr>
          <w:rFonts w:hint="eastAsia" w:ascii="仿宋_GB2312" w:hAnsi="仿宋_GB2312" w:eastAsia="仿宋_GB2312" w:cs="仿宋_GB2312"/>
          <w:sz w:val="32"/>
          <w:szCs w:val="32"/>
          <w:lang w:eastAsia="zh-CN"/>
        </w:rPr>
        <w:t>采购人</w:t>
      </w:r>
      <w:r>
        <w:rPr>
          <w:rFonts w:hint="eastAsia" w:ascii="仿宋_GB2312" w:hAnsi="仿宋_GB2312" w:eastAsia="仿宋_GB2312" w:cs="仿宋_GB2312"/>
          <w:sz w:val="32"/>
          <w:szCs w:val="32"/>
        </w:rPr>
        <w:t>提供，</w:t>
      </w:r>
      <w:r>
        <w:rPr>
          <w:rFonts w:hint="eastAsia" w:ascii="仿宋_GB2312" w:hAnsi="仿宋_GB2312" w:eastAsia="仿宋_GB2312" w:cs="仿宋_GB2312"/>
          <w:sz w:val="32"/>
          <w:szCs w:val="32"/>
          <w:lang w:eastAsia="zh-CN"/>
        </w:rPr>
        <w:t>意向供应商</w:t>
      </w:r>
      <w:r>
        <w:rPr>
          <w:rFonts w:hint="eastAsia" w:ascii="仿宋_GB2312" w:hAnsi="仿宋_GB2312" w:eastAsia="仿宋_GB2312" w:cs="仿宋_GB2312"/>
          <w:sz w:val="32"/>
          <w:szCs w:val="32"/>
        </w:rPr>
        <w:t>应详细描述需要的运行环境的具体要求。</w:t>
      </w:r>
    </w:p>
    <w:p w14:paraId="78023DF6">
      <w:pPr>
        <w:pStyle w:val="2"/>
        <w:keepNext w:val="0"/>
        <w:keepLines w:val="0"/>
        <w:pageBreakBefore w:val="0"/>
        <w:widowControl/>
        <w:kinsoku/>
        <w:wordWrap/>
        <w:overflowPunct/>
        <w:topLinePunct w:val="0"/>
        <w:autoSpaceDE/>
        <w:autoSpaceDN/>
        <w:bidi w:val="0"/>
        <w:snapToGrid/>
        <w:spacing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测评标准要求</w:t>
      </w:r>
    </w:p>
    <w:p w14:paraId="23A758FA">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（1）GB/T 22239-2019：《信息安全技术 网络安全等级保护基本要求》</w:t>
      </w:r>
    </w:p>
    <w:p w14:paraId="06E1D198">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（2）GB/T 28448-2019：《信息安全技术 网络安全等级保护测评要求》</w:t>
      </w:r>
    </w:p>
    <w:p w14:paraId="7F79281E">
      <w:pPr>
        <w:pStyle w:val="2"/>
        <w:keepNext w:val="0"/>
        <w:keepLines w:val="0"/>
        <w:pageBreakBefore w:val="0"/>
        <w:widowControl/>
        <w:kinsoku/>
        <w:wordWrap/>
        <w:overflowPunct/>
        <w:topLinePunct w:val="0"/>
        <w:autoSpaceDE/>
        <w:autoSpaceDN/>
        <w:bidi w:val="0"/>
        <w:snapToGrid/>
        <w:spacing w:line="560" w:lineRule="exact"/>
        <w:ind w:firstLine="640" w:firstLineChars="200"/>
        <w:jc w:val="both"/>
        <w:rPr>
          <w:rFonts w:hint="eastAsia"/>
          <w:lang w:val="en-US" w:eastAsia="zh-CN"/>
        </w:rPr>
      </w:pPr>
      <w:r>
        <w:rPr>
          <w:rFonts w:hint="eastAsia" w:ascii="仿宋_GB2312" w:hAnsi="仿宋_GB2312" w:eastAsia="仿宋_GB2312" w:cs="仿宋_GB2312"/>
          <w:sz w:val="32"/>
          <w:szCs w:val="32"/>
        </w:rPr>
        <w:t>（3）GB/T 28449-2018：《信息安全技术 网络安全等级保护测评过程指南》</w:t>
      </w:r>
    </w:p>
    <w:p w14:paraId="1AC02CDE">
      <w:pPr>
        <w:pStyle w:val="2"/>
        <w:keepNext w:val="0"/>
        <w:keepLines w:val="0"/>
        <w:pageBreakBefore w:val="0"/>
        <w:widowControl/>
        <w:kinsoku/>
        <w:wordWrap/>
        <w:overflowPunct/>
        <w:topLinePunct w:val="0"/>
        <w:autoSpaceDE/>
        <w:autoSpaceDN/>
        <w:bidi w:val="0"/>
        <w:snapToGrid/>
        <w:spacing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根据最新的行业标准进行更新或补充。同时，将充分考虑集团的实际需求和业务特点，制定符合</w:t>
      </w:r>
      <w:r>
        <w:rPr>
          <w:rFonts w:hint="eastAsia" w:ascii="仿宋_GB2312" w:hAnsi="仿宋_GB2312" w:eastAsia="仿宋_GB2312" w:cs="仿宋_GB2312"/>
          <w:sz w:val="32"/>
          <w:szCs w:val="32"/>
          <w:lang w:val="en-US" w:eastAsia="zh-CN"/>
        </w:rPr>
        <w:t>交易</w:t>
      </w:r>
      <w:r>
        <w:rPr>
          <w:rFonts w:hint="default" w:ascii="仿宋_GB2312" w:hAnsi="仿宋_GB2312" w:eastAsia="仿宋_GB2312" w:cs="仿宋_GB2312"/>
          <w:sz w:val="32"/>
          <w:szCs w:val="32"/>
          <w:lang w:val="en-US" w:eastAsia="zh-CN"/>
        </w:rPr>
        <w:t>集团实际情况的测评标准。</w:t>
      </w:r>
    </w:p>
    <w:p w14:paraId="60E90E53">
      <w:pPr>
        <w:pStyle w:val="2"/>
        <w:keepNext w:val="0"/>
        <w:keepLines w:val="0"/>
        <w:pageBreakBefore w:val="0"/>
        <w:widowControl/>
        <w:kinsoku/>
        <w:wordWrap/>
        <w:overflowPunct/>
        <w:topLinePunct w:val="0"/>
        <w:autoSpaceDE/>
        <w:autoSpaceDN/>
        <w:bidi w:val="0"/>
        <w:snapToGrid/>
        <w:spacing w:line="560" w:lineRule="exact"/>
        <w:ind w:firstLine="640" w:firstLineChars="200"/>
        <w:jc w:val="both"/>
        <w:rPr>
          <w:rFonts w:hint="default"/>
          <w:lang w:val="en-US" w:eastAsia="zh-CN"/>
        </w:rPr>
      </w:pPr>
      <w:r>
        <w:rPr>
          <w:rFonts w:hint="eastAsia" w:ascii="仿宋_GB2312" w:hAnsi="仿宋_GB2312" w:eastAsia="仿宋_GB2312" w:cs="仿宋_GB2312"/>
          <w:sz w:val="32"/>
          <w:szCs w:val="32"/>
          <w:lang w:val="en-US" w:eastAsia="zh-CN"/>
        </w:rPr>
        <w:t>4.测评服务要求</w:t>
      </w:r>
    </w:p>
    <w:p w14:paraId="7419AD0B">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（1）客观性和公正性原则，测评人员应当没有偏见，在最小主观判断情形下，按照测评双方相互认可的测评方案开展。</w:t>
      </w:r>
    </w:p>
    <w:p w14:paraId="0DD5064E">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（2）保密原则，在测评过程中，需严格遵循保密原则，双方签订保密协议，对服务过程中涉及到的任何用户信息未经允许不向其他任何第三方泄漏，以及不得利用这些信息损害</w:t>
      </w:r>
      <w:r>
        <w:rPr>
          <w:rFonts w:hint="eastAsia" w:ascii="仿宋_GB2312" w:hAnsi="仿宋_GB2312" w:eastAsia="仿宋_GB2312" w:cs="仿宋_GB2312"/>
          <w:sz w:val="32"/>
          <w:szCs w:val="32"/>
          <w:lang w:val="en-US" w:eastAsia="zh-CN"/>
        </w:rPr>
        <w:t>采购人</w:t>
      </w:r>
      <w:r>
        <w:rPr>
          <w:rFonts w:hint="eastAsia" w:ascii="仿宋_GB2312" w:hAnsi="仿宋_GB2312" w:eastAsia="仿宋_GB2312" w:cs="仿宋_GB2312"/>
          <w:sz w:val="32"/>
          <w:szCs w:val="32"/>
        </w:rPr>
        <w:t>利益。</w:t>
      </w:r>
    </w:p>
    <w:p w14:paraId="0ED00D82">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（3）最小影响原则，测评工作应该尽可能小地影响系统和网络的正常运行，不能对业务的正常运行产生明显的影响（包括系统性能明显下降、网络阻塞、服务中断等），如无法避免，则应做出说明。</w:t>
      </w:r>
    </w:p>
    <w:p w14:paraId="3F317276">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（4）规范性原则，网络安全等级保护测评服务的实施必须由专业的测评服务人员依照规范的操作流程进行，对操作过程和结果要有相应的记录，并提供完整的服务报告。</w:t>
      </w:r>
    </w:p>
    <w:p w14:paraId="3B42257F">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（5）质量保障原则，在整个测评过程中，须特别重视项目质量管理。项目的实施将严格按照项目实施方案和流程进行，并由项目协调小组从中监督，控制项目的进度和质量。</w:t>
      </w:r>
    </w:p>
    <w:p w14:paraId="7A3669EC">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default"/>
          <w:lang w:val="en-US" w:eastAsia="zh-CN"/>
        </w:rPr>
      </w:pPr>
      <w:r>
        <w:rPr>
          <w:rFonts w:hint="eastAsia" w:ascii="仿宋_GB2312" w:hAnsi="仿宋_GB2312" w:eastAsia="仿宋_GB2312" w:cs="仿宋_GB2312"/>
          <w:sz w:val="32"/>
          <w:szCs w:val="32"/>
        </w:rPr>
        <w:t>（6）系统安全原则，项目工作人员需遵守等保检测规定，采用符合标准的检测工具和检测方法实施检测，如因违规操作造成对检测系统的破坏，则应承担相应责任。</w:t>
      </w:r>
    </w:p>
    <w:p w14:paraId="5C3AC8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bidi="ar-SA"/>
        </w:rPr>
      </w:pPr>
      <w:r>
        <w:rPr>
          <w:rFonts w:hint="eastAsia" w:ascii="黑体" w:hAnsi="黑体" w:eastAsia="黑体" w:cs="黑体"/>
          <w:sz w:val="32"/>
          <w:szCs w:val="32"/>
          <w:lang w:val="en-US" w:eastAsia="zh-CN" w:bidi="ar-SA"/>
        </w:rPr>
        <w:t>六、保密要求</w:t>
      </w:r>
    </w:p>
    <w:p w14:paraId="68264644">
      <w:pPr>
        <w:pStyle w:val="2"/>
        <w:keepNext w:val="0"/>
        <w:keepLines w:val="0"/>
        <w:pageBreakBefore w:val="0"/>
        <w:widowControl/>
        <w:kinsoku/>
        <w:wordWrap/>
        <w:overflowPunct/>
        <w:topLinePunct w:val="0"/>
        <w:autoSpaceDE/>
        <w:autoSpaceDN/>
        <w:bidi w:val="0"/>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意向供应商应对采购人的信息保密。未经采购人许可，不得将相关信息泄露给第三方或做其他用途，否则，采购人保留追究中标供应商法律责任的权利。</w:t>
      </w:r>
    </w:p>
    <w:p w14:paraId="2253B8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bidi="ar-SA"/>
        </w:rPr>
      </w:pPr>
      <w:r>
        <w:rPr>
          <w:rFonts w:hint="eastAsia" w:ascii="黑体" w:hAnsi="黑体" w:eastAsia="黑体" w:cs="黑体"/>
          <w:sz w:val="32"/>
          <w:szCs w:val="32"/>
          <w:lang w:val="en-US" w:eastAsia="zh-CN" w:bidi="ar-SA"/>
        </w:rPr>
        <w:t xml:space="preserve"> 七、验收要求</w:t>
      </w:r>
    </w:p>
    <w:p w14:paraId="7685D04A">
      <w:pPr>
        <w:pStyle w:val="2"/>
        <w:keepNext w:val="0"/>
        <w:keepLines w:val="0"/>
        <w:pageBreakBefore w:val="0"/>
        <w:widowControl/>
        <w:kinsoku/>
        <w:wordWrap/>
        <w:overflowPunct/>
        <w:topLinePunct w:val="0"/>
        <w:autoSpaceDE/>
        <w:autoSpaceDN/>
        <w:bidi w:val="0"/>
        <w:snapToGrid/>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
          <w:bCs/>
          <w:sz w:val="32"/>
          <w:szCs w:val="32"/>
          <w:lang w:eastAsia="zh-CN"/>
        </w:rPr>
        <w:t>意向供应商</w:t>
      </w:r>
      <w:r>
        <w:rPr>
          <w:rFonts w:hint="eastAsia" w:ascii="仿宋_GB2312" w:hAnsi="仿宋_GB2312" w:eastAsia="仿宋_GB2312" w:cs="仿宋_GB2312"/>
          <w:b/>
          <w:bCs/>
          <w:sz w:val="32"/>
          <w:szCs w:val="32"/>
        </w:rPr>
        <w:t>协助</w:t>
      </w:r>
      <w:r>
        <w:rPr>
          <w:rFonts w:hint="eastAsia" w:ascii="仿宋_GB2312" w:hAnsi="仿宋_GB2312" w:eastAsia="仿宋_GB2312" w:cs="仿宋_GB2312"/>
          <w:b/>
          <w:bCs/>
          <w:sz w:val="32"/>
          <w:szCs w:val="32"/>
          <w:lang w:eastAsia="zh-CN"/>
        </w:rPr>
        <w:t>采购人</w:t>
      </w:r>
      <w:r>
        <w:rPr>
          <w:rFonts w:hint="eastAsia" w:ascii="仿宋_GB2312" w:hAnsi="仿宋_GB2312" w:eastAsia="仿宋_GB2312" w:cs="仿宋_GB2312"/>
          <w:b/>
          <w:bCs/>
          <w:sz w:val="32"/>
          <w:szCs w:val="32"/>
        </w:rPr>
        <w:t>办理202</w:t>
      </w: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年信息系统安全保护等级备案手续，并取得备案证书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意向供应商</w:t>
      </w:r>
      <w:r>
        <w:rPr>
          <w:rFonts w:hint="eastAsia" w:ascii="仿宋_GB2312" w:hAnsi="仿宋_GB2312" w:eastAsia="仿宋_GB2312" w:cs="仿宋_GB2312"/>
          <w:sz w:val="32"/>
          <w:szCs w:val="32"/>
        </w:rPr>
        <w:t>完成测评后应提供测评差距项，提交《信息系统等级保护整改建议》，对本次测评系统不符合信息安全等级保护有关管理规范和技术标准的，</w:t>
      </w:r>
      <w:r>
        <w:rPr>
          <w:rFonts w:hint="eastAsia" w:ascii="仿宋_GB2312" w:hAnsi="仿宋_GB2312" w:eastAsia="仿宋_GB2312" w:cs="仿宋_GB2312"/>
          <w:sz w:val="32"/>
          <w:szCs w:val="32"/>
          <w:lang w:eastAsia="zh-CN"/>
        </w:rPr>
        <w:t>意向供应商</w:t>
      </w:r>
      <w:r>
        <w:rPr>
          <w:rFonts w:hint="eastAsia" w:ascii="仿宋_GB2312" w:hAnsi="仿宋_GB2312" w:eastAsia="仿宋_GB2312" w:cs="仿宋_GB2312"/>
          <w:sz w:val="32"/>
          <w:szCs w:val="32"/>
        </w:rPr>
        <w:t>出具行之有效的整改方案并协助</w:t>
      </w:r>
      <w:r>
        <w:rPr>
          <w:rFonts w:hint="eastAsia" w:ascii="仿宋_GB2312" w:hAnsi="仿宋_GB2312" w:eastAsia="仿宋_GB2312" w:cs="仿宋_GB2312"/>
          <w:sz w:val="32"/>
          <w:szCs w:val="32"/>
          <w:lang w:eastAsia="zh-CN"/>
        </w:rPr>
        <w:t>采购人</w:t>
      </w:r>
      <w:r>
        <w:rPr>
          <w:rFonts w:hint="eastAsia" w:ascii="仿宋_GB2312" w:hAnsi="仿宋_GB2312" w:eastAsia="仿宋_GB2312" w:cs="仿宋_GB2312"/>
          <w:sz w:val="32"/>
          <w:szCs w:val="32"/>
        </w:rPr>
        <w:t>进行整改，待整改完毕后再进行复核测评，确认整改达标。</w:t>
      </w:r>
    </w:p>
    <w:p w14:paraId="5530EBAA">
      <w:pPr>
        <w:pStyle w:val="2"/>
        <w:keepNext w:val="0"/>
        <w:keepLines w:val="0"/>
        <w:pageBreakBefore w:val="0"/>
        <w:widowControl/>
        <w:kinsoku/>
        <w:wordWrap/>
        <w:overflowPunct/>
        <w:topLinePunct w:val="0"/>
        <w:autoSpaceDE/>
        <w:autoSpaceDN/>
        <w:bidi w:val="0"/>
        <w:snapToGrid/>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项目验收以最终取得结果为通过的《信息系统等级保护测评报告》为准，该项目过程中产生的文档，归</w:t>
      </w:r>
      <w:r>
        <w:rPr>
          <w:rFonts w:hint="eastAsia" w:ascii="仿宋_GB2312" w:hAnsi="仿宋_GB2312" w:eastAsia="仿宋_GB2312" w:cs="仿宋_GB2312"/>
          <w:sz w:val="32"/>
          <w:szCs w:val="32"/>
          <w:lang w:eastAsia="zh-CN"/>
        </w:rPr>
        <w:t>采购人</w:t>
      </w:r>
      <w:r>
        <w:rPr>
          <w:rFonts w:hint="eastAsia" w:ascii="仿宋_GB2312" w:hAnsi="仿宋_GB2312" w:eastAsia="仿宋_GB2312" w:cs="仿宋_GB2312"/>
          <w:sz w:val="32"/>
          <w:szCs w:val="32"/>
        </w:rPr>
        <w:t>所有。</w:t>
      </w:r>
    </w:p>
    <w:p w14:paraId="79A3D13A">
      <w:pPr>
        <w:pStyle w:val="2"/>
        <w:keepNext w:val="0"/>
        <w:keepLines w:val="0"/>
        <w:pageBreakBefore w:val="0"/>
        <w:widowControl/>
        <w:kinsoku/>
        <w:wordWrap/>
        <w:overflowPunct/>
        <w:topLinePunct w:val="0"/>
        <w:autoSpaceDE/>
        <w:autoSpaceDN/>
        <w:bidi w:val="0"/>
        <w:snapToGrid/>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需要</w:t>
      </w:r>
      <w:r>
        <w:rPr>
          <w:rFonts w:hint="eastAsia" w:ascii="仿宋_GB2312" w:hAnsi="仿宋_GB2312" w:eastAsia="仿宋_GB2312" w:cs="仿宋_GB2312"/>
          <w:sz w:val="32"/>
          <w:szCs w:val="32"/>
        </w:rPr>
        <w:t>调整等级备案或者取消备案的系统，完成所需各项工作。</w:t>
      </w:r>
    </w:p>
    <w:p w14:paraId="05277F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八、报价要求</w:t>
      </w:r>
    </w:p>
    <w:p w14:paraId="3C4B0889">
      <w:pPr>
        <w:pStyle w:val="2"/>
        <w:keepNext w:val="0"/>
        <w:keepLines w:val="0"/>
        <w:pageBreakBefore w:val="0"/>
        <w:widowControl/>
        <w:kinsoku/>
        <w:wordWrap/>
        <w:overflowPunct/>
        <w:topLinePunct w:val="0"/>
        <w:autoSpaceDE/>
        <w:autoSpaceDN/>
        <w:bidi w:val="0"/>
        <w:snapToGrid/>
        <w:spacing w:line="560" w:lineRule="exact"/>
        <w:ind w:firstLine="640" w:firstLineChars="200"/>
        <w:jc w:val="both"/>
      </w:pPr>
      <w:r>
        <w:rPr>
          <w:rFonts w:hint="eastAsia" w:ascii="仿宋_GB2312" w:hAnsi="仿宋_GB2312" w:eastAsia="仿宋_GB2312" w:cs="仿宋_GB2312"/>
          <w:sz w:val="32"/>
          <w:szCs w:val="32"/>
          <w:lang w:val="en-US" w:eastAsia="zh-CN"/>
        </w:rPr>
        <w:t>意向供应商须结合本项目服务需求、服务周期、服务要求及全部工作内容，本着合理合规、务实公允的原则自主进行整体报价，报价须包含人工、耗材、上门巡检、故障处置、技术支持、授权服务、税费、运输及完成本项目维保服务所需全部费用，报价一经提交视为包含所有配套服务成本，项目实施期间不再另行产生其他额外费用，同时须列明报价明细，确保报价清晰规范、真实有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9497D"/>
    <w:rsid w:val="00980900"/>
    <w:rsid w:val="00ED1F39"/>
    <w:rsid w:val="046060B1"/>
    <w:rsid w:val="046614AE"/>
    <w:rsid w:val="05D51530"/>
    <w:rsid w:val="06BC02D5"/>
    <w:rsid w:val="099C2E8B"/>
    <w:rsid w:val="0C7C008F"/>
    <w:rsid w:val="127F2B91"/>
    <w:rsid w:val="14534CE4"/>
    <w:rsid w:val="176D73C9"/>
    <w:rsid w:val="184C751D"/>
    <w:rsid w:val="185F457F"/>
    <w:rsid w:val="234C07DB"/>
    <w:rsid w:val="23B7025B"/>
    <w:rsid w:val="27574C2C"/>
    <w:rsid w:val="28940C5A"/>
    <w:rsid w:val="29D0097F"/>
    <w:rsid w:val="2A74112A"/>
    <w:rsid w:val="2DBB5BA6"/>
    <w:rsid w:val="2E7F1256"/>
    <w:rsid w:val="31AA1310"/>
    <w:rsid w:val="352519B0"/>
    <w:rsid w:val="3B9541B1"/>
    <w:rsid w:val="3D5347E8"/>
    <w:rsid w:val="3D917CF4"/>
    <w:rsid w:val="3DC512A1"/>
    <w:rsid w:val="3EE43969"/>
    <w:rsid w:val="3F3D6BDC"/>
    <w:rsid w:val="40A21E89"/>
    <w:rsid w:val="40C132C9"/>
    <w:rsid w:val="415F10BD"/>
    <w:rsid w:val="423078E0"/>
    <w:rsid w:val="42803409"/>
    <w:rsid w:val="42A53BFD"/>
    <w:rsid w:val="4A1E149C"/>
    <w:rsid w:val="4A87228E"/>
    <w:rsid w:val="4C19380D"/>
    <w:rsid w:val="4DE4148C"/>
    <w:rsid w:val="4FBB392B"/>
    <w:rsid w:val="52BC7203"/>
    <w:rsid w:val="573C584A"/>
    <w:rsid w:val="5F001B63"/>
    <w:rsid w:val="62200D82"/>
    <w:rsid w:val="63385B0A"/>
    <w:rsid w:val="64693849"/>
    <w:rsid w:val="65E930C6"/>
    <w:rsid w:val="683B64E4"/>
    <w:rsid w:val="697C421F"/>
    <w:rsid w:val="6AB1004F"/>
    <w:rsid w:val="6D064B23"/>
    <w:rsid w:val="6D110B30"/>
    <w:rsid w:val="6DDC0DDE"/>
    <w:rsid w:val="728906EF"/>
    <w:rsid w:val="72D117E4"/>
    <w:rsid w:val="73003D49"/>
    <w:rsid w:val="73770A18"/>
    <w:rsid w:val="75226622"/>
    <w:rsid w:val="7B166879"/>
    <w:rsid w:val="7E096305"/>
    <w:rsid w:val="7E6C409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eastAsia="宋体" w:asciiTheme="minorHAnsi" w:hAnsiTheme="minorHAnsi" w:cstheme="minorBidi"/>
      <w:kern w:val="2"/>
      <w:sz w:val="21"/>
    </w:rPr>
  </w:style>
  <w:style w:type="paragraph" w:styleId="2">
    <w:name w:val="heading 2"/>
    <w:basedOn w:val="1"/>
    <w:next w:val="1"/>
    <w:qFormat/>
    <w:uiPriority w:val="0"/>
    <w:pPr>
      <w:adjustRightInd w:val="0"/>
      <w:jc w:val="center"/>
      <w:textAlignment w:val="baseline"/>
      <w:outlineLvl w:val="1"/>
    </w:pPr>
    <w:rPr>
      <w:kern w:val="0"/>
      <w:sz w:val="24"/>
      <w:szCs w:val="20"/>
    </w:rPr>
  </w:style>
  <w:style w:type="paragraph" w:styleId="3">
    <w:name w:val="heading 3"/>
    <w:basedOn w:val="1"/>
    <w:next w:val="1"/>
    <w:qFormat/>
    <w:uiPriority w:val="0"/>
    <w:pPr>
      <w:keepNext/>
      <w:keepLines/>
      <w:spacing w:before="120" w:after="120"/>
      <w:outlineLvl w:val="2"/>
    </w:pPr>
    <w:rPr>
      <w:b/>
      <w:bCs/>
      <w:sz w:val="24"/>
      <w:szCs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1874</Words>
  <Characters>1998</Characters>
  <Lines>0</Lines>
  <Paragraphs>0</Paragraphs>
  <TotalTime>1</TotalTime>
  <ScaleCrop>false</ScaleCrop>
  <LinksUpToDate>false</LinksUpToDate>
  <CharactersWithSpaces>1999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2025-12-02T07:39:00Z</dcterms:created>
  <dc:creator>Administrator</dc:creator>
  <cp:lastModifiedBy>小莫</cp:lastModifiedBy>
  <dcterms:modified xsi:type="dcterms:W3CDTF">2026-07-15T10:44:09Z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77780D59BA1E42029D9CFD0DF6D7C8B8_12</vt:lpwstr>
  </property>
  <property fmtid="{D5CDD505-2E9C-101B-9397-08002B2CF9AE}" pid="4" name="KSOTemplateDocerSaveRecord">
    <vt:lpwstr>eyJoZGlkIjoiNmQ1ZDdhZmFjNmU0ZGU3YTM2Mjg3MzM1NjM2ZTUwZTUiLCJ1c2VySWQiOiI0MTc1ODg5NzUifQ==</vt:lpwstr>
  </property>
</Properties>
</file>