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78" w:beforeLines="150" w:line="560" w:lineRule="exact"/>
        <w:rPr>
          <w:rFonts w:hint="eastAsia" w:ascii="黑体" w:hAnsi="黑体" w:eastAsia="黑体" w:cs="黑体"/>
          <w:b/>
          <w:bCs/>
          <w:sz w:val="24"/>
        </w:rPr>
      </w:pPr>
    </w:p>
    <w:p>
      <w:pPr>
        <w:pStyle w:val="17"/>
        <w:spacing w:line="560" w:lineRule="exact"/>
        <w:ind w:firstLine="210"/>
      </w:pPr>
    </w:p>
    <w:p>
      <w:pPr>
        <w:pStyle w:val="18"/>
        <w:spacing w:line="560" w:lineRule="exact"/>
        <w:ind w:firstLine="400"/>
      </w:pPr>
    </w:p>
    <w:p>
      <w:pPr>
        <w:pStyle w:val="18"/>
        <w:spacing w:line="560" w:lineRule="exact"/>
        <w:ind w:firstLine="400"/>
      </w:pP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i w:val="0"/>
          <w:iCs w:val="0"/>
          <w:sz w:val="44"/>
          <w:szCs w:val="44"/>
          <w:lang w:val="en-US" w:eastAsia="zh-CN"/>
        </w:rPr>
      </w:pPr>
      <w:r>
        <w:rPr>
          <w:rFonts w:hint="eastAsia" w:ascii="方正小标宋简体" w:hAnsi="方正小标宋简体" w:eastAsia="方正小标宋简体" w:cs="方正小标宋简体"/>
          <w:i w:val="0"/>
          <w:iCs w:val="0"/>
          <w:sz w:val="44"/>
          <w:szCs w:val="44"/>
          <w:lang w:val="en-US" w:eastAsia="zh-CN"/>
        </w:rPr>
        <w:t>企业管控类系统</w:t>
      </w:r>
    </w:p>
    <w:p>
      <w:pPr>
        <w:pStyle w:val="29"/>
        <w:spacing w:line="560" w:lineRule="exact"/>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i w:val="0"/>
          <w:iCs w:val="0"/>
          <w:sz w:val="44"/>
          <w:szCs w:val="44"/>
          <w:lang w:val="en-US" w:eastAsia="zh-CN"/>
        </w:rPr>
        <w:t>升级及运维采购项目</w:t>
      </w:r>
      <w:r>
        <w:rPr>
          <w:rFonts w:hint="eastAsia" w:ascii="方正小标宋简体" w:hAnsi="方正小标宋简体" w:eastAsia="方正小标宋简体" w:cs="方正小标宋简体"/>
          <w:kern w:val="2"/>
          <w:sz w:val="44"/>
          <w:szCs w:val="44"/>
        </w:rPr>
        <w:t>需求方案</w:t>
      </w:r>
    </w:p>
    <w:p>
      <w:pPr>
        <w:pStyle w:val="29"/>
        <w:spacing w:line="560" w:lineRule="exact"/>
        <w:jc w:val="center"/>
        <w:rPr>
          <w:rFonts w:hint="eastAsia" w:ascii="宋体" w:hAnsi="宋体" w:eastAsia="宋体"/>
          <w:kern w:val="2"/>
          <w:sz w:val="44"/>
          <w:szCs w:val="44"/>
        </w:rPr>
      </w:pPr>
    </w:p>
    <w:p>
      <w:pPr>
        <w:spacing w:line="560" w:lineRule="exact"/>
        <w:jc w:val="center"/>
        <w:rPr>
          <w:sz w:val="32"/>
          <w:szCs w:val="32"/>
        </w:rPr>
      </w:pPr>
    </w:p>
    <w:p>
      <w:pPr>
        <w:spacing w:line="560" w:lineRule="exact"/>
        <w:rPr>
          <w:sz w:val="32"/>
          <w:szCs w:val="32"/>
        </w:rPr>
      </w:pPr>
      <w:r>
        <w:rPr>
          <w:rFonts w:hint="eastAsia"/>
          <w:sz w:val="32"/>
          <w:szCs w:val="32"/>
        </w:rPr>
        <w:t xml:space="preserve"> </w:t>
      </w:r>
    </w:p>
    <w:p>
      <w:pPr>
        <w:spacing w:line="560" w:lineRule="exact"/>
        <w:rPr>
          <w:sz w:val="32"/>
          <w:szCs w:val="32"/>
        </w:rPr>
      </w:pPr>
    </w:p>
    <w:p>
      <w:pPr>
        <w:spacing w:line="560" w:lineRule="exact"/>
      </w:pPr>
    </w:p>
    <w:p>
      <w:pPr>
        <w:spacing w:line="560" w:lineRule="exact"/>
      </w:pPr>
    </w:p>
    <w:p>
      <w:pPr>
        <w:spacing w:line="560" w:lineRule="exact"/>
      </w:pPr>
    </w:p>
    <w:p>
      <w:pPr>
        <w:spacing w:line="560" w:lineRule="exact"/>
      </w:pPr>
    </w:p>
    <w:p>
      <w:pPr>
        <w:spacing w:line="560" w:lineRule="exact"/>
      </w:pPr>
    </w:p>
    <w:p>
      <w:pPr>
        <w:spacing w:line="580" w:lineRule="exact"/>
        <w:ind w:firstLine="4176" w:firstLineChars="1300"/>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需求部门：科技生态部</w:t>
      </w:r>
    </w:p>
    <w:p>
      <w:pPr>
        <w:spacing w:line="580" w:lineRule="exact"/>
        <w:ind w:firstLine="4176" w:firstLineChars="1300"/>
        <w:jc w:val="both"/>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日期：2026年7月</w:t>
      </w:r>
    </w:p>
    <w:p>
      <w:pPr>
        <w:spacing w:line="560" w:lineRule="exact"/>
      </w:pPr>
    </w:p>
    <w:p>
      <w:pPr>
        <w:pStyle w:val="6"/>
        <w:spacing w:line="560" w:lineRule="exact"/>
      </w:pPr>
    </w:p>
    <w:p>
      <w:pPr>
        <w:spacing w:line="560" w:lineRule="exact"/>
        <w:jc w:val="center"/>
        <w:rPr>
          <w:rFonts w:hint="eastAsia" w:ascii="仿宋" w:hAnsi="仿宋" w:eastAsia="仿宋" w:cs="仿宋"/>
          <w:b/>
          <w:bCs/>
          <w:sz w:val="36"/>
          <w:szCs w:val="36"/>
        </w:rPr>
      </w:pPr>
    </w:p>
    <w:p>
      <w:pPr>
        <w:spacing w:line="560" w:lineRule="exact"/>
        <w:jc w:val="center"/>
        <w:rPr>
          <w:rFonts w:hint="eastAsia" w:ascii="仿宋" w:hAnsi="仿宋" w:eastAsia="仿宋" w:cs="仿宋"/>
          <w:b/>
          <w:bCs/>
          <w:sz w:val="36"/>
          <w:szCs w:val="36"/>
        </w:rPr>
      </w:pPr>
    </w:p>
    <w:p>
      <w:pPr>
        <w:spacing w:line="560" w:lineRule="exact"/>
        <w:jc w:val="center"/>
        <w:rPr>
          <w:rFonts w:hint="eastAsia" w:ascii="仿宋" w:hAnsi="仿宋" w:eastAsia="仿宋" w:cs="仿宋"/>
          <w:b/>
          <w:bCs/>
          <w:sz w:val="36"/>
          <w:szCs w:val="36"/>
        </w:rPr>
      </w:pPr>
    </w:p>
    <w:p>
      <w:pPr>
        <w:spacing w:line="560" w:lineRule="exact"/>
        <w:rPr>
          <w:rFonts w:hint="eastAsia" w:ascii="方正小标宋简体" w:hAnsi="方正小标宋简体" w:eastAsia="方正小标宋简体" w:cs="方正小标宋简体"/>
          <w:sz w:val="44"/>
          <w:szCs w:val="44"/>
        </w:rPr>
        <w:sectPr>
          <w:pgSz w:w="11906" w:h="16838"/>
          <w:pgMar w:top="1440" w:right="1166" w:bottom="1738" w:left="1080" w:header="851" w:footer="992" w:gutter="0"/>
          <w:pgBorders>
            <w:top w:val="none" w:sz="0" w:space="0"/>
            <w:left w:val="none" w:sz="0" w:space="0"/>
            <w:bottom w:val="none" w:sz="0" w:space="0"/>
            <w:right w:val="none" w:sz="0" w:space="0"/>
          </w:pgBorders>
          <w:cols w:space="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i w:val="0"/>
          <w:iCs w:val="0"/>
          <w:sz w:val="44"/>
          <w:szCs w:val="44"/>
          <w:lang w:val="en-US" w:eastAsia="zh-CN"/>
        </w:rPr>
      </w:pPr>
      <w:r>
        <w:rPr>
          <w:rFonts w:hint="eastAsia" w:ascii="方正小标宋简体" w:hAnsi="方正小标宋简体" w:eastAsia="方正小标宋简体" w:cs="方正小标宋简体"/>
          <w:i w:val="0"/>
          <w:iCs w:val="0"/>
          <w:sz w:val="44"/>
          <w:szCs w:val="44"/>
          <w:lang w:val="en-US" w:eastAsia="zh-CN"/>
        </w:rPr>
        <w:t>企业管控类系统</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iCs w:val="0"/>
          <w:sz w:val="44"/>
          <w:szCs w:val="44"/>
          <w:lang w:val="en-US" w:eastAsia="zh-CN"/>
        </w:rPr>
        <w:t>升级及运维采购项目</w:t>
      </w:r>
      <w:r>
        <w:rPr>
          <w:rFonts w:hint="eastAsia" w:ascii="方正小标宋简体" w:hAnsi="方正小标宋简体" w:eastAsia="方正小标宋简体" w:cs="方正小标宋简体"/>
          <w:sz w:val="44"/>
          <w:szCs w:val="44"/>
        </w:rPr>
        <w:t>需求方案</w:t>
      </w:r>
    </w:p>
    <w:p>
      <w:pPr>
        <w:spacing w:line="560" w:lineRule="exact"/>
        <w:ind w:firstLine="640" w:firstLineChars="200"/>
        <w:rPr>
          <w:rFonts w:hint="eastAsia" w:ascii="黑体" w:hAnsi="黑体" w:eastAsia="黑体" w:cs="黑体"/>
          <w:sz w:val="32"/>
          <w:szCs w:val="32"/>
        </w:rPr>
      </w:pPr>
    </w:p>
    <w:p>
      <w:pPr>
        <w:widowControl w:val="0"/>
        <w:snapToGrid w:val="0"/>
        <w:spacing w:line="560" w:lineRule="exact"/>
        <w:ind w:firstLine="640" w:firstLineChars="200"/>
        <w:outlineLvl w:val="2"/>
        <w:rPr>
          <w:rFonts w:hint="eastAsia" w:ascii="黑体" w:hAnsi="黑体" w:eastAsia="黑体" w:cs="黑体"/>
          <w:sz w:val="32"/>
          <w:szCs w:val="32"/>
        </w:rPr>
      </w:pPr>
      <w:r>
        <w:rPr>
          <w:rFonts w:hint="eastAsia" w:ascii="黑体" w:hAnsi="黑体" w:eastAsia="黑体" w:cs="黑体"/>
          <w:sz w:val="32"/>
          <w:szCs w:val="32"/>
        </w:rPr>
        <w:t>一、项目背景</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以“信息技术应用创新”要求为指导方针，使系统硬件及云等基础设施、基础软件、应用软件、网络安全等IT产业链核心技术产品符合信息技术应用创新要求，增强日常信息化运维服务能力，保障各类系统的稳定运行。</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更好的适应项目需要，确保有效控制项目过程，根据工作需要将相关应用系统进行升级、适配改造及运行维护统一打包进行招标采购，通过公开招标遴选优质的服务商（成交人），充分利用服务商（成交人）的团队技术优势、经验优势、成本优势帮助采购人降低服务成本、提高工作效率、提升服务满意度，进而更好地服务交易业务。</w:t>
      </w:r>
    </w:p>
    <w:p>
      <w:pPr>
        <w:spacing w:line="560" w:lineRule="exact"/>
        <w:ind w:firstLine="640" w:firstLineChars="200"/>
        <w:rPr>
          <w:sz w:val="24"/>
        </w:rPr>
      </w:pPr>
      <w:r>
        <w:rPr>
          <w:rFonts w:hint="eastAsia" w:ascii="仿宋_GB2312" w:hAnsi="仿宋_GB2312" w:eastAsia="仿宋_GB2312" w:cs="仿宋_GB2312"/>
          <w:sz w:val="32"/>
          <w:szCs w:val="32"/>
        </w:rPr>
        <w:t>成交人应当按照采购人的要求，根据项目的具体需求编制综合服务方案，总领本项目各信息化系统子项目之间的升级和运维，提供有效的实施服务，在项目实施的全过程发挥协调管理和技术总牵头作用，达到项目要求的内容。</w:t>
      </w:r>
    </w:p>
    <w:p>
      <w:pPr>
        <w:widowControl w:val="0"/>
        <w:snapToGrid w:val="0"/>
        <w:spacing w:line="560" w:lineRule="exact"/>
        <w:ind w:firstLine="640" w:firstLineChars="200"/>
        <w:outlineLvl w:val="2"/>
        <w:rPr>
          <w:rFonts w:hint="eastAsia" w:ascii="黑体" w:hAnsi="黑体" w:eastAsia="黑体" w:cs="黑体"/>
          <w:sz w:val="32"/>
          <w:szCs w:val="32"/>
        </w:rPr>
      </w:pPr>
      <w:r>
        <w:rPr>
          <w:rFonts w:hint="eastAsia" w:ascii="黑体" w:hAnsi="黑体" w:eastAsia="黑体" w:cs="黑体"/>
          <w:sz w:val="32"/>
          <w:szCs w:val="32"/>
        </w:rPr>
        <w:t>二、项目联系人</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冯琛</w:t>
      </w:r>
      <w:r>
        <w:rPr>
          <w:rFonts w:hint="eastAsia" w:ascii="仿宋_GB2312" w:hAnsi="宋体" w:eastAsia="仿宋_GB2312" w:cs="Times New Roman"/>
          <w:sz w:val="32"/>
          <w:szCs w:val="32"/>
          <w:highlight w:val="none"/>
          <w:lang w:val="en-US" w:eastAsia="zh-CN"/>
        </w:rPr>
        <w:t>，</w:t>
      </w:r>
      <w:r>
        <w:rPr>
          <w:rFonts w:hint="eastAsia" w:ascii="仿宋_GB2312" w:hAnsi="仿宋_GB2312" w:eastAsia="仿宋_GB2312" w:cs="仿宋_GB2312"/>
          <w:color w:val="FF0000"/>
          <w:sz w:val="32"/>
          <w:szCs w:val="32"/>
          <w:highlight w:val="none"/>
          <w:lang w:val="en-US" w:eastAsia="zh-CN"/>
        </w:rPr>
        <w:t xml:space="preserve"> </w:t>
      </w:r>
      <w:r>
        <w:rPr>
          <w:rFonts w:hint="eastAsia" w:ascii="仿宋_GB2312" w:hAnsi="仿宋_GB2312" w:eastAsia="仿宋_GB2312" w:cs="仿宋_GB2312"/>
          <w:sz w:val="32"/>
          <w:szCs w:val="32"/>
          <w:highlight w:val="none"/>
        </w:rPr>
        <w:t>联系电话：</w:t>
      </w:r>
      <w:r>
        <w:rPr>
          <w:rFonts w:hint="eastAsia" w:ascii="仿宋_GB2312" w:hAnsi="宋体" w:eastAsia="仿宋_GB2312" w:cs="Times New Roman"/>
          <w:sz w:val="32"/>
          <w:szCs w:val="32"/>
          <w:lang w:val="en-US" w:eastAsia="zh-CN"/>
        </w:rPr>
        <w:t>17319213334</w:t>
      </w:r>
    </w:p>
    <w:p>
      <w:pPr>
        <w:widowControl w:val="0"/>
        <w:snapToGrid w:val="0"/>
        <w:spacing w:line="560" w:lineRule="exact"/>
        <w:ind w:firstLine="640" w:firstLineChars="200"/>
        <w:outlineLvl w:val="2"/>
        <w:rPr>
          <w:rFonts w:hint="eastAsia" w:ascii="黑体" w:hAnsi="黑体" w:eastAsia="黑体" w:cs="黑体"/>
          <w:sz w:val="32"/>
          <w:szCs w:val="32"/>
        </w:rPr>
      </w:pPr>
      <w:r>
        <w:rPr>
          <w:rFonts w:hint="eastAsia" w:ascii="黑体" w:hAnsi="黑体" w:eastAsia="黑体" w:cs="黑体"/>
          <w:sz w:val="32"/>
          <w:szCs w:val="32"/>
        </w:rPr>
        <w:t>三、采购内容及最高限价</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本项目最高总限价</w:t>
      </w:r>
      <w:r>
        <w:rPr>
          <w:rFonts w:hint="eastAsia" w:ascii="仿宋_GB2312" w:hAnsi="仿宋_GB2312" w:eastAsia="仿宋_GB2312" w:cs="仿宋_GB2312"/>
          <w:color w:val="auto"/>
          <w:sz w:val="32"/>
          <w:szCs w:val="32"/>
        </w:rPr>
        <w:t>人民</w:t>
      </w:r>
      <w:r>
        <w:rPr>
          <w:rFonts w:hint="eastAsia" w:ascii="仿宋_GB2312" w:hAnsi="仿宋_GB2312" w:eastAsia="仿宋_GB2312" w:cs="仿宋_GB2312"/>
          <w:color w:val="auto"/>
          <w:sz w:val="32"/>
          <w:szCs w:val="32"/>
          <w:highlight w:val="none"/>
        </w:rPr>
        <w:t>币</w:t>
      </w:r>
      <w:r>
        <w:rPr>
          <w:rFonts w:hint="eastAsia" w:ascii="仿宋_GB2312" w:hAnsi="仿宋_GB2312" w:eastAsia="仿宋_GB2312" w:cs="仿宋_GB2312"/>
          <w:color w:val="auto"/>
          <w:sz w:val="32"/>
          <w:szCs w:val="32"/>
          <w:highlight w:val="none"/>
          <w:lang w:val="en-US" w:eastAsia="zh-CN"/>
        </w:rPr>
        <w:t>570.2万</w:t>
      </w:r>
      <w:r>
        <w:rPr>
          <w:rFonts w:hint="eastAsia" w:ascii="仿宋_GB2312" w:hAnsi="仿宋_GB2312" w:eastAsia="仿宋_GB2312" w:cs="仿宋_GB2312"/>
          <w:color w:val="auto"/>
          <w:sz w:val="32"/>
          <w:szCs w:val="32"/>
          <w:highlight w:val="none"/>
        </w:rPr>
        <w:t>元</w:t>
      </w:r>
      <w:r>
        <w:rPr>
          <w:rFonts w:hint="eastAsia" w:ascii="仿宋_GB2312" w:hAnsi="仿宋_GB2312" w:eastAsia="仿宋_GB2312" w:cs="仿宋_GB2312"/>
          <w:sz w:val="32"/>
          <w:szCs w:val="32"/>
        </w:rPr>
        <w:t>，服务内容包括系统升级、系统运维、</w:t>
      </w:r>
      <w:r>
        <w:rPr>
          <w:rFonts w:hint="eastAsia" w:ascii="仿宋_GB2312" w:hAnsi="仿宋_GB2312" w:eastAsia="仿宋_GB2312" w:cs="仿宋_GB2312"/>
          <w:sz w:val="32"/>
          <w:szCs w:val="32"/>
          <w:lang w:eastAsia="zh-CN"/>
        </w:rPr>
        <w:t>软件开发</w:t>
      </w:r>
      <w:r>
        <w:rPr>
          <w:rFonts w:hint="eastAsia" w:ascii="仿宋_GB2312" w:hAnsi="仿宋_GB2312" w:eastAsia="仿宋_GB2312" w:cs="仿宋_GB2312"/>
          <w:sz w:val="32"/>
          <w:szCs w:val="32"/>
        </w:rPr>
        <w:t>和基础软件</w:t>
      </w:r>
      <w:r>
        <w:rPr>
          <w:rFonts w:hint="eastAsia" w:ascii="仿宋_GB2312" w:hAnsi="仿宋_GB2312" w:eastAsia="仿宋_GB2312" w:cs="仿宋_GB2312"/>
          <w:sz w:val="32"/>
          <w:szCs w:val="32"/>
          <w:lang w:val="en-US" w:eastAsia="zh-CN"/>
        </w:rPr>
        <w:t>授权</w:t>
      </w:r>
      <w:r>
        <w:rPr>
          <w:rFonts w:hint="eastAsia" w:ascii="仿宋_GB2312" w:hAnsi="仿宋_GB2312" w:eastAsia="仿宋_GB2312" w:cs="仿宋_GB2312"/>
          <w:sz w:val="32"/>
          <w:szCs w:val="32"/>
        </w:rPr>
        <w:t>等4个部分组成，其中系统升级、系统运维的为总价报价（包干价），</w:t>
      </w:r>
      <w:r>
        <w:rPr>
          <w:rFonts w:hint="eastAsia" w:ascii="仿宋_GB2312" w:hAnsi="仿宋_GB2312" w:eastAsia="仿宋_GB2312" w:cs="仿宋_GB2312"/>
          <w:sz w:val="32"/>
          <w:szCs w:val="32"/>
          <w:lang w:eastAsia="zh-CN"/>
        </w:rPr>
        <w:t>软件开发</w:t>
      </w:r>
      <w:r>
        <w:rPr>
          <w:rFonts w:hint="eastAsia" w:ascii="仿宋_GB2312" w:hAnsi="仿宋_GB2312" w:eastAsia="仿宋_GB2312" w:cs="仿宋_GB2312"/>
          <w:sz w:val="32"/>
          <w:szCs w:val="32"/>
        </w:rPr>
        <w:t>、基础软件为单价报价。</w:t>
      </w:r>
    </w:p>
    <w:p>
      <w:pPr>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投标人应当按照招标文件要求分别填报每个分项报价，投标报价应以人民币报价，该报价为包干价，包括但不限于人员薪酬福利（在派驻期间所产生的工资、社保、福利、交通费、加班费、用餐、误餐费等费用）、人员培训费用等不可预见费用、企业管理费及法定税费、运费、质保费、保险等本项目涉及的一切费用。</w:t>
      </w:r>
    </w:p>
    <w:p>
      <w:pPr>
        <w:numPr>
          <w:ilvl w:val="255"/>
          <w:numId w:val="0"/>
        </w:numPr>
        <w:spacing w:line="560" w:lineRule="exact"/>
        <w:ind w:left="640"/>
        <w:outlineLvl w:val="3"/>
        <w:rPr>
          <w:rFonts w:hint="eastAsia" w:ascii="楷体_GB2312" w:hAnsi="方正楷体_GB2312" w:eastAsia="楷体_GB2312" w:cs="方正楷体_GB2312"/>
          <w:b/>
          <w:bCs/>
          <w:sz w:val="32"/>
          <w:szCs w:val="32"/>
        </w:rPr>
      </w:pPr>
      <w:r>
        <w:rPr>
          <w:rFonts w:hint="eastAsia" w:ascii="楷体_GB2312" w:hAnsi="方正楷体_GB2312" w:eastAsia="楷体_GB2312" w:cs="方正楷体_GB2312"/>
          <w:b/>
          <w:bCs/>
          <w:sz w:val="32"/>
          <w:szCs w:val="32"/>
        </w:rPr>
        <w:t>（一）系统升级</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3056"/>
        <w:gridCol w:w="2062"/>
        <w:gridCol w:w="1329"/>
        <w:gridCol w:w="13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436"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1792"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项目名称</w:t>
            </w:r>
          </w:p>
        </w:tc>
        <w:tc>
          <w:tcPr>
            <w:tcW w:w="121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类型</w:t>
            </w:r>
          </w:p>
        </w:tc>
        <w:tc>
          <w:tcPr>
            <w:tcW w:w="78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2"/>
                <w:szCs w:val="22"/>
                <w:u w:val="none"/>
                <w:lang w:val="en-US"/>
              </w:rPr>
            </w:pPr>
            <w:r>
              <w:rPr>
                <w:rFonts w:hint="eastAsia" w:ascii="宋体" w:hAnsi="宋体" w:eastAsia="宋体" w:cs="宋体"/>
                <w:b/>
                <w:i w:val="0"/>
                <w:iCs w:val="0"/>
                <w:color w:val="000000"/>
                <w:kern w:val="0"/>
                <w:sz w:val="22"/>
                <w:szCs w:val="22"/>
                <w:u w:val="none"/>
                <w:lang w:val="en-US" w:eastAsia="zh-CN" w:bidi="ar"/>
              </w:rPr>
              <w:t>最高限价（单位：万元）</w:t>
            </w:r>
          </w:p>
        </w:tc>
        <w:tc>
          <w:tcPr>
            <w:tcW w:w="78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报价</w:t>
            </w:r>
          </w:p>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（包干价）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36"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1792"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OA系统信创改造项目</w:t>
            </w:r>
          </w:p>
        </w:tc>
        <w:tc>
          <w:tcPr>
            <w:tcW w:w="121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系统升级</w:t>
            </w:r>
          </w:p>
        </w:tc>
        <w:tc>
          <w:tcPr>
            <w:tcW w:w="78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198.00</w:t>
            </w:r>
          </w:p>
        </w:tc>
        <w:tc>
          <w:tcPr>
            <w:tcW w:w="780" w:type="pc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436"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w:t>
            </w:r>
          </w:p>
        </w:tc>
        <w:tc>
          <w:tcPr>
            <w:tcW w:w="1792"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移动办公与企业邮箱信创版本私有化部署服务项目</w:t>
            </w:r>
          </w:p>
        </w:tc>
        <w:tc>
          <w:tcPr>
            <w:tcW w:w="121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系统升级</w:t>
            </w:r>
          </w:p>
        </w:tc>
        <w:tc>
          <w:tcPr>
            <w:tcW w:w="78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74.15</w:t>
            </w:r>
          </w:p>
        </w:tc>
        <w:tc>
          <w:tcPr>
            <w:tcW w:w="780" w:type="pc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36"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w:t>
            </w:r>
          </w:p>
        </w:tc>
        <w:tc>
          <w:tcPr>
            <w:tcW w:w="1792"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人力资源系统信创改造项目</w:t>
            </w:r>
          </w:p>
        </w:tc>
        <w:tc>
          <w:tcPr>
            <w:tcW w:w="121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系统升级</w:t>
            </w:r>
          </w:p>
        </w:tc>
        <w:tc>
          <w:tcPr>
            <w:tcW w:w="78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49.30</w:t>
            </w:r>
          </w:p>
        </w:tc>
        <w:tc>
          <w:tcPr>
            <w:tcW w:w="780" w:type="pct"/>
            <w:tcBorders>
              <w:top w:val="single" w:color="auto" w:sz="4" w:space="0"/>
              <w:left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436"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w:t>
            </w:r>
          </w:p>
        </w:tc>
        <w:tc>
          <w:tcPr>
            <w:tcW w:w="1792"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印章控制系统信创改造项目</w:t>
            </w:r>
          </w:p>
        </w:tc>
        <w:tc>
          <w:tcPr>
            <w:tcW w:w="121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系统升级</w:t>
            </w:r>
          </w:p>
        </w:tc>
        <w:tc>
          <w:tcPr>
            <w:tcW w:w="78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4.44</w:t>
            </w:r>
          </w:p>
        </w:tc>
        <w:tc>
          <w:tcPr>
            <w:tcW w:w="780" w:type="pc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229" w:type="pct"/>
            <w:gridSpan w:val="2"/>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合计</w:t>
            </w:r>
          </w:p>
        </w:tc>
        <w:tc>
          <w:tcPr>
            <w:tcW w:w="121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w:t>
            </w:r>
          </w:p>
        </w:tc>
        <w:tc>
          <w:tcPr>
            <w:tcW w:w="78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default" w:ascii="宋体" w:hAnsi="宋体" w:eastAsia="宋体" w:cs="宋体"/>
                <w:i w:val="0"/>
                <w:iCs w:val="0"/>
                <w:color w:val="000000"/>
                <w:kern w:val="0"/>
                <w:sz w:val="22"/>
                <w:szCs w:val="22"/>
                <w:highlight w:val="none"/>
                <w:u w:val="none"/>
                <w:lang w:val="en-US" w:eastAsia="zh-CN" w:bidi="ar"/>
              </w:rPr>
              <w:t>325.89</w:t>
            </w:r>
          </w:p>
        </w:tc>
        <w:tc>
          <w:tcPr>
            <w:tcW w:w="780" w:type="pc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bl>
    <w:p>
      <w:pPr>
        <w:numPr>
          <w:ilvl w:val="255"/>
          <w:numId w:val="0"/>
        </w:numPr>
        <w:spacing w:line="560" w:lineRule="exact"/>
        <w:ind w:left="640"/>
        <w:outlineLvl w:val="3"/>
        <w:rPr>
          <w:rFonts w:hint="eastAsia" w:ascii="楷体_GB2312" w:hAnsi="方正楷体_GB2312" w:eastAsia="楷体_GB2312" w:cs="方正楷体_GB2312"/>
          <w:b/>
          <w:bCs/>
          <w:sz w:val="32"/>
          <w:szCs w:val="32"/>
        </w:rPr>
      </w:pPr>
      <w:r>
        <w:rPr>
          <w:rFonts w:hint="eastAsia" w:ascii="楷体_GB2312" w:hAnsi="方正楷体_GB2312" w:eastAsia="楷体_GB2312" w:cs="方正楷体_GB2312"/>
          <w:b/>
          <w:bCs/>
          <w:sz w:val="32"/>
          <w:szCs w:val="32"/>
          <w:lang w:eastAsia="zh-CN"/>
        </w:rPr>
        <w:t>（</w:t>
      </w:r>
      <w:r>
        <w:rPr>
          <w:rFonts w:hint="eastAsia" w:ascii="楷体_GB2312" w:hAnsi="方正楷体_GB2312" w:eastAsia="楷体_GB2312" w:cs="方正楷体_GB2312"/>
          <w:b/>
          <w:bCs/>
          <w:sz w:val="32"/>
          <w:szCs w:val="32"/>
          <w:lang w:val="en-US" w:eastAsia="zh-CN"/>
        </w:rPr>
        <w:t>二）</w:t>
      </w:r>
      <w:r>
        <w:rPr>
          <w:rFonts w:hint="eastAsia" w:ascii="楷体_GB2312" w:hAnsi="方正楷体_GB2312" w:eastAsia="楷体_GB2312" w:cs="方正楷体_GB2312"/>
          <w:b/>
          <w:bCs/>
          <w:sz w:val="32"/>
          <w:szCs w:val="32"/>
        </w:rPr>
        <w:t>系统运维</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9"/>
        <w:gridCol w:w="3075"/>
        <w:gridCol w:w="2148"/>
        <w:gridCol w:w="1387"/>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375"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序号</w:t>
            </w:r>
          </w:p>
        </w:tc>
        <w:tc>
          <w:tcPr>
            <w:tcW w:w="1803"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项目名称</w:t>
            </w:r>
          </w:p>
        </w:tc>
        <w:tc>
          <w:tcPr>
            <w:tcW w:w="126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类型</w:t>
            </w:r>
          </w:p>
        </w:tc>
        <w:tc>
          <w:tcPr>
            <w:tcW w:w="814"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2"/>
                <w:szCs w:val="22"/>
                <w:u w:val="none"/>
                <w:lang w:val="en-US"/>
              </w:rPr>
            </w:pPr>
            <w:r>
              <w:rPr>
                <w:rFonts w:hint="eastAsia" w:ascii="宋体" w:hAnsi="宋体" w:eastAsia="宋体" w:cs="宋体"/>
                <w:b/>
                <w:i w:val="0"/>
                <w:iCs w:val="0"/>
                <w:color w:val="000000"/>
                <w:kern w:val="0"/>
                <w:sz w:val="22"/>
                <w:szCs w:val="22"/>
                <w:u w:val="none"/>
                <w:lang w:val="en-US" w:eastAsia="zh-CN" w:bidi="ar"/>
              </w:rPr>
              <w:t>最高限价（单位：万元）</w:t>
            </w:r>
          </w:p>
        </w:tc>
        <w:tc>
          <w:tcPr>
            <w:tcW w:w="745"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报价</w:t>
            </w:r>
          </w:p>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（包干价）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75"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3"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2026-2027年财务管理系统运维</w:t>
            </w:r>
          </w:p>
        </w:tc>
        <w:tc>
          <w:tcPr>
            <w:tcW w:w="126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系统运维</w:t>
            </w:r>
          </w:p>
        </w:tc>
        <w:tc>
          <w:tcPr>
            <w:tcW w:w="814"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19.80</w:t>
            </w:r>
          </w:p>
        </w:tc>
        <w:tc>
          <w:tcPr>
            <w:tcW w:w="745" w:type="pc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375"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3"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2026-2027年资金管理系统运维</w:t>
            </w:r>
          </w:p>
        </w:tc>
        <w:tc>
          <w:tcPr>
            <w:tcW w:w="126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系统运维</w:t>
            </w:r>
          </w:p>
        </w:tc>
        <w:tc>
          <w:tcPr>
            <w:tcW w:w="814"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5.17</w:t>
            </w:r>
          </w:p>
        </w:tc>
        <w:tc>
          <w:tcPr>
            <w:tcW w:w="745" w:type="pc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179" w:type="pct"/>
            <w:gridSpan w:val="2"/>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合计</w:t>
            </w:r>
          </w:p>
        </w:tc>
        <w:tc>
          <w:tcPr>
            <w:tcW w:w="1260"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c>
          <w:tcPr>
            <w:tcW w:w="814" w:type="pc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24.97</w:t>
            </w:r>
          </w:p>
        </w:tc>
        <w:tc>
          <w:tcPr>
            <w:tcW w:w="745" w:type="pct"/>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center"/>
              <w:rPr>
                <w:rFonts w:hint="eastAsia" w:ascii="宋体" w:hAnsi="宋体" w:eastAsia="宋体" w:cs="宋体"/>
                <w:b/>
                <w:i w:val="0"/>
                <w:iCs w:val="0"/>
                <w:color w:val="000000"/>
                <w:sz w:val="22"/>
                <w:szCs w:val="22"/>
                <w:u w:val="none"/>
              </w:rPr>
            </w:pPr>
          </w:p>
        </w:tc>
      </w:tr>
    </w:tbl>
    <w:p>
      <w:pPr>
        <w:numPr>
          <w:ilvl w:val="255"/>
          <w:numId w:val="0"/>
        </w:numPr>
        <w:spacing w:line="560" w:lineRule="exact"/>
        <w:ind w:left="640"/>
        <w:outlineLvl w:val="3"/>
        <w:rPr>
          <w:rFonts w:hint="eastAsia" w:ascii="楷体_GB2312" w:hAnsi="方正楷体_GB2312" w:eastAsia="楷体_GB2312" w:cs="方正楷体_GB2312"/>
          <w:b/>
          <w:bCs/>
          <w:sz w:val="32"/>
          <w:szCs w:val="32"/>
          <w:lang w:eastAsia="zh-CN"/>
        </w:rPr>
      </w:pPr>
      <w:r>
        <w:rPr>
          <w:rFonts w:hint="eastAsia" w:ascii="楷体_GB2312" w:hAnsi="方正楷体_GB2312" w:eastAsia="楷体_GB2312" w:cs="方正楷体_GB2312"/>
          <w:b/>
          <w:bCs/>
          <w:sz w:val="32"/>
          <w:szCs w:val="32"/>
        </w:rPr>
        <w:t>（</w:t>
      </w:r>
      <w:r>
        <w:rPr>
          <w:rFonts w:hint="eastAsia" w:ascii="楷体_GB2312" w:hAnsi="方正楷体_GB2312" w:eastAsia="楷体_GB2312" w:cs="方正楷体_GB2312"/>
          <w:b/>
          <w:bCs/>
          <w:sz w:val="32"/>
          <w:szCs w:val="32"/>
          <w:lang w:val="en-US" w:eastAsia="zh-CN"/>
        </w:rPr>
        <w:t>三</w:t>
      </w:r>
      <w:r>
        <w:rPr>
          <w:rFonts w:hint="eastAsia" w:ascii="楷体_GB2312" w:hAnsi="方正楷体_GB2312" w:eastAsia="楷体_GB2312" w:cs="方正楷体_GB2312"/>
          <w:b/>
          <w:bCs/>
          <w:sz w:val="32"/>
          <w:szCs w:val="32"/>
        </w:rPr>
        <w:t>）</w:t>
      </w:r>
      <w:r>
        <w:rPr>
          <w:rFonts w:hint="eastAsia" w:ascii="楷体_GB2312" w:hAnsi="方正楷体_GB2312" w:eastAsia="楷体_GB2312" w:cs="方正楷体_GB2312"/>
          <w:b/>
          <w:bCs/>
          <w:sz w:val="32"/>
          <w:szCs w:val="32"/>
          <w:lang w:eastAsia="zh-CN"/>
        </w:rPr>
        <w:t>软件开发</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投标人应当按照招标文件要求填写单价</w:t>
      </w:r>
      <w:r>
        <w:rPr>
          <w:rFonts w:hint="eastAsia" w:ascii="仿宋_GB2312" w:hAnsi="仿宋_GB2312" w:eastAsia="仿宋_GB2312" w:cs="仿宋_GB2312"/>
          <w:sz w:val="32"/>
          <w:szCs w:val="32"/>
          <w:lang w:val="en-US" w:eastAsia="zh-CN"/>
        </w:rPr>
        <w:t>报价</w:t>
      </w:r>
      <w:r>
        <w:rPr>
          <w:rFonts w:hint="eastAsia" w:ascii="仿宋_GB2312" w:hAnsi="仿宋_GB2312" w:eastAsia="仿宋_GB2312" w:cs="仿宋_GB2312"/>
          <w:sz w:val="32"/>
          <w:szCs w:val="32"/>
        </w:rPr>
        <w:t>，采购人将根据项目实际情况据实结算，最高限价作为</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结算的费用上限，当</w:t>
      </w:r>
      <w:r>
        <w:rPr>
          <w:rFonts w:hint="eastAsia" w:ascii="仿宋_GB2312" w:hAnsi="仿宋_GB2312" w:eastAsia="仿宋_GB2312" w:cs="仿宋_GB2312"/>
          <w:sz w:val="32"/>
          <w:szCs w:val="32"/>
          <w:lang w:eastAsia="zh-CN"/>
        </w:rPr>
        <w:t>软件开发</w:t>
      </w:r>
      <w:r>
        <w:rPr>
          <w:rFonts w:hint="eastAsia" w:ascii="仿宋_GB2312" w:hAnsi="仿宋_GB2312" w:eastAsia="仿宋_GB2312" w:cs="仿宋_GB2312"/>
          <w:sz w:val="32"/>
          <w:szCs w:val="32"/>
        </w:rPr>
        <w:t>任务减少时，直接根据单价在合同总价中扣除</w:t>
      </w:r>
      <w:r>
        <w:rPr>
          <w:rFonts w:hint="eastAsia" w:ascii="仿宋_GB2312" w:hAnsi="仿宋_GB2312" w:eastAsia="仿宋_GB2312" w:cs="仿宋_GB2312"/>
          <w:sz w:val="32"/>
          <w:szCs w:val="32"/>
          <w:lang w:eastAsia="zh-CN"/>
        </w:rPr>
        <w:t>。</w:t>
      </w:r>
    </w:p>
    <w:tbl>
      <w:tblPr>
        <w:tblStyle w:val="19"/>
        <w:tblW w:w="8265" w:type="dxa"/>
        <w:tblInd w:w="2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2490"/>
        <w:gridCol w:w="1155"/>
        <w:gridCol w:w="1380"/>
        <w:gridCol w:w="1335"/>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7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both"/>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序号</w:t>
            </w:r>
          </w:p>
        </w:tc>
        <w:tc>
          <w:tcPr>
            <w:tcW w:w="249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项目名称</w:t>
            </w:r>
          </w:p>
        </w:tc>
        <w:tc>
          <w:tcPr>
            <w:tcW w:w="115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类型</w:t>
            </w:r>
          </w:p>
        </w:tc>
        <w:tc>
          <w:tcPr>
            <w:tcW w:w="13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结算上限（万元）</w:t>
            </w:r>
          </w:p>
        </w:tc>
        <w:tc>
          <w:tcPr>
            <w:tcW w:w="133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kern w:val="0"/>
                <w:sz w:val="22"/>
                <w:szCs w:val="22"/>
                <w:highlight w:val="none"/>
                <w:u w:val="none"/>
                <w:lang w:val="en-US" w:eastAsia="zh-CN" w:bidi="ar"/>
              </w:rPr>
            </w:pPr>
            <w:r>
              <w:rPr>
                <w:rFonts w:hint="eastAsia" w:ascii="宋体" w:hAnsi="宋体" w:eastAsia="宋体" w:cs="宋体"/>
                <w:b/>
                <w:i w:val="0"/>
                <w:iCs w:val="0"/>
                <w:color w:val="000000"/>
                <w:kern w:val="0"/>
                <w:sz w:val="22"/>
                <w:szCs w:val="22"/>
                <w:highlight w:val="none"/>
                <w:u w:val="none"/>
                <w:lang w:val="en-US" w:eastAsia="zh-CN" w:bidi="ar"/>
              </w:rPr>
              <w:t>最高限价</w:t>
            </w:r>
          </w:p>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（人天单价）</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报价（下浮率）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49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2026年财务系统软件开发服务</w:t>
            </w:r>
          </w:p>
        </w:tc>
        <w:tc>
          <w:tcPr>
            <w:tcW w:w="115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软件开发</w:t>
            </w:r>
          </w:p>
        </w:tc>
        <w:tc>
          <w:tcPr>
            <w:tcW w:w="13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8"/>
                <w:szCs w:val="28"/>
                <w:highlight w:val="none"/>
                <w:u w:val="none"/>
                <w:lang w:val="en-US" w:eastAsia="zh-CN" w:bidi="ar"/>
              </w:rPr>
              <w:t xml:space="preserve">29.70 </w:t>
            </w:r>
          </w:p>
        </w:tc>
        <w:tc>
          <w:tcPr>
            <w:tcW w:w="133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1379元/人/天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7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249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2026-2027年度资金管理系统软件开发</w:t>
            </w:r>
          </w:p>
        </w:tc>
        <w:tc>
          <w:tcPr>
            <w:tcW w:w="115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软件开发</w:t>
            </w:r>
          </w:p>
        </w:tc>
        <w:tc>
          <w:tcPr>
            <w:tcW w:w="13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8"/>
                <w:szCs w:val="28"/>
                <w:highlight w:val="none"/>
                <w:u w:val="none"/>
                <w:lang w:val="en-US" w:eastAsia="zh-CN" w:bidi="ar"/>
              </w:rPr>
              <w:t xml:space="preserve">12.36 </w:t>
            </w:r>
          </w:p>
        </w:tc>
        <w:tc>
          <w:tcPr>
            <w:tcW w:w="133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1379元/人/天</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snapToGrid w:val="0"/>
              <w:ind w:left="0" w:leftChars="0" w:right="0" w:rightChars="0" w:firstLine="0" w:firstLineChars="0"/>
              <w:jc w:val="cente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3270" w:type="dxa"/>
            <w:gridSpan w:val="2"/>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snapToGrid w:val="0"/>
              <w:ind w:left="0" w:leftChars="0" w:right="0" w:rightChars="0" w:firstLine="0" w:firstLineChars="0"/>
              <w:jc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合计</w:t>
            </w:r>
          </w:p>
        </w:tc>
        <w:tc>
          <w:tcPr>
            <w:tcW w:w="115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w:t>
            </w:r>
          </w:p>
        </w:tc>
        <w:tc>
          <w:tcPr>
            <w:tcW w:w="138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i w:val="0"/>
                <w:iCs w:val="0"/>
                <w:color w:val="000000"/>
                <w:kern w:val="0"/>
                <w:sz w:val="28"/>
                <w:szCs w:val="28"/>
                <w:highlight w:val="none"/>
                <w:u w:val="none"/>
                <w:lang w:val="en-US" w:eastAsia="zh-CN" w:bidi="ar"/>
              </w:rPr>
              <w:t xml:space="preserve">42.06 </w:t>
            </w:r>
          </w:p>
        </w:tc>
        <w:tc>
          <w:tcPr>
            <w:tcW w:w="133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w:t>
            </w:r>
          </w:p>
        </w:tc>
        <w:tc>
          <w:tcPr>
            <w:tcW w:w="112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snapToGrid w:val="0"/>
              <w:ind w:left="0" w:leftChars="0" w:right="0" w:rightChars="0" w:firstLine="0" w:firstLineChars="0"/>
              <w:jc w:val="center"/>
              <w:rPr>
                <w:rFonts w:hint="eastAsia" w:ascii="宋体" w:hAnsi="宋体" w:eastAsia="宋体" w:cs="宋体"/>
                <w:b/>
                <w:i w:val="0"/>
                <w:iCs w:val="0"/>
                <w:color w:val="000000"/>
                <w:sz w:val="22"/>
                <w:szCs w:val="22"/>
                <w:highlight w:val="none"/>
                <w:u w:val="none"/>
              </w:rPr>
            </w:pPr>
          </w:p>
        </w:tc>
      </w:tr>
    </w:tbl>
    <w:p>
      <w:pPr>
        <w:numPr>
          <w:ilvl w:val="255"/>
          <w:numId w:val="0"/>
        </w:numPr>
        <w:spacing w:line="560" w:lineRule="exact"/>
        <w:ind w:left="640"/>
        <w:outlineLvl w:val="3"/>
        <w:rPr>
          <w:rFonts w:hint="eastAsia" w:ascii="楷体_GB2312" w:hAnsi="方正楷体_GB2312" w:eastAsia="楷体_GB2312" w:cs="方正楷体_GB2312"/>
          <w:b/>
          <w:bCs/>
          <w:sz w:val="32"/>
          <w:szCs w:val="32"/>
        </w:rPr>
      </w:pPr>
      <w:r>
        <w:rPr>
          <w:rFonts w:hint="eastAsia" w:ascii="楷体_GB2312" w:hAnsi="方正楷体_GB2312" w:eastAsia="楷体_GB2312" w:cs="方正楷体_GB2312"/>
          <w:b/>
          <w:bCs/>
          <w:sz w:val="32"/>
          <w:szCs w:val="32"/>
        </w:rPr>
        <w:t>（三）基础软件</w:t>
      </w:r>
    </w:p>
    <w:p>
      <w:pPr>
        <w:spacing w:line="560" w:lineRule="exact"/>
        <w:ind w:firstLine="640" w:firstLineChars="200"/>
        <w:rPr>
          <w:rFonts w:hint="eastAsia" w:ascii="楷体_GB2312" w:hAnsi="方正楷体_GB2312" w:eastAsia="楷体_GB2312" w:cs="方正楷体_GB2312"/>
          <w:b/>
          <w:bCs/>
          <w:sz w:val="32"/>
          <w:szCs w:val="32"/>
        </w:rPr>
      </w:pPr>
      <w:r>
        <w:rPr>
          <w:rFonts w:hint="eastAsia" w:ascii="仿宋_GB2312" w:hAnsi="仿宋_GB2312" w:eastAsia="仿宋_GB2312" w:cs="仿宋_GB2312"/>
          <w:sz w:val="32"/>
          <w:szCs w:val="32"/>
        </w:rPr>
        <w:t>投标人应当按照招标文件要求填写单价</w:t>
      </w:r>
      <w:r>
        <w:rPr>
          <w:rFonts w:hint="eastAsia" w:ascii="仿宋_GB2312" w:hAnsi="仿宋_GB2312" w:eastAsia="仿宋_GB2312" w:cs="仿宋_GB2312"/>
          <w:sz w:val="32"/>
          <w:szCs w:val="32"/>
          <w:lang w:val="en-US" w:eastAsia="zh-CN"/>
        </w:rPr>
        <w:t>报价</w:t>
      </w:r>
      <w:r>
        <w:rPr>
          <w:rFonts w:hint="eastAsia" w:ascii="仿宋_GB2312" w:hAnsi="仿宋_GB2312" w:eastAsia="仿宋_GB2312" w:cs="仿宋_GB2312"/>
          <w:sz w:val="32"/>
          <w:szCs w:val="32"/>
        </w:rPr>
        <w:t>，采购人将根据项目实际情况据实结算，最高限价作为</w:t>
      </w:r>
      <w:r>
        <w:rPr>
          <w:rFonts w:hint="eastAsia" w:ascii="仿宋_GB2312" w:hAnsi="仿宋_GB2312" w:eastAsia="仿宋_GB2312" w:cs="仿宋_GB2312"/>
          <w:sz w:val="32"/>
          <w:szCs w:val="32"/>
          <w:lang w:val="en-US" w:eastAsia="zh-CN"/>
        </w:rPr>
        <w:t>合同</w:t>
      </w:r>
      <w:r>
        <w:rPr>
          <w:rFonts w:hint="eastAsia" w:ascii="仿宋_GB2312" w:hAnsi="仿宋_GB2312" w:eastAsia="仿宋_GB2312" w:cs="仿宋_GB2312"/>
          <w:sz w:val="32"/>
          <w:szCs w:val="32"/>
        </w:rPr>
        <w:t>结算的费用上限，当基础软件授权减少时，直接根据单价在合同总价中扣除。</w:t>
      </w:r>
    </w:p>
    <w:tbl>
      <w:tblPr>
        <w:tblStyle w:val="19"/>
        <w:tblW w:w="89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8"/>
        <w:gridCol w:w="3156"/>
        <w:gridCol w:w="1410"/>
        <w:gridCol w:w="1206"/>
        <w:gridCol w:w="1211"/>
        <w:gridCol w:w="12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序号</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产品名称</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类型</w:t>
            </w:r>
          </w:p>
        </w:tc>
        <w:tc>
          <w:tcPr>
            <w:tcW w:w="120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sz w:val="22"/>
                <w:szCs w:val="22"/>
                <w:highlight w:val="none"/>
                <w:u w:val="none"/>
                <w:lang w:val="en-US"/>
              </w:rPr>
            </w:pPr>
            <w:r>
              <w:rPr>
                <w:rFonts w:hint="eastAsia" w:ascii="宋体" w:hAnsi="宋体" w:eastAsia="宋体" w:cs="宋体"/>
                <w:b/>
                <w:i w:val="0"/>
                <w:iCs w:val="0"/>
                <w:color w:val="000000"/>
                <w:kern w:val="0"/>
                <w:sz w:val="22"/>
                <w:szCs w:val="22"/>
                <w:highlight w:val="none"/>
                <w:u w:val="none"/>
                <w:lang w:val="en-US" w:eastAsia="zh-CN" w:bidi="ar"/>
              </w:rPr>
              <w:t>结算上限（万元）</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kern w:val="0"/>
                <w:sz w:val="22"/>
                <w:szCs w:val="22"/>
                <w:highlight w:val="none"/>
                <w:u w:val="none"/>
                <w:lang w:val="en-US" w:eastAsia="zh-CN" w:bidi="ar"/>
              </w:rPr>
            </w:pPr>
            <w:r>
              <w:rPr>
                <w:rFonts w:hint="eastAsia" w:ascii="宋体" w:hAnsi="宋体" w:eastAsia="宋体" w:cs="宋体"/>
                <w:b/>
                <w:i w:val="0"/>
                <w:iCs w:val="0"/>
                <w:color w:val="000000"/>
                <w:kern w:val="0"/>
                <w:sz w:val="22"/>
                <w:szCs w:val="22"/>
                <w:highlight w:val="none"/>
                <w:u w:val="none"/>
                <w:lang w:val="en-US" w:eastAsia="zh-CN" w:bidi="ar"/>
              </w:rPr>
              <w:t>最高限价</w:t>
            </w:r>
          </w:p>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highlight w:val="none"/>
                <w:u w:val="none"/>
              </w:rPr>
            </w:pPr>
            <w:r>
              <w:rPr>
                <w:rFonts w:hint="eastAsia" w:ascii="宋体" w:hAnsi="宋体" w:eastAsia="宋体" w:cs="宋体"/>
                <w:b/>
                <w:i w:val="0"/>
                <w:iCs w:val="0"/>
                <w:color w:val="000000"/>
                <w:kern w:val="0"/>
                <w:sz w:val="22"/>
                <w:szCs w:val="22"/>
                <w:highlight w:val="none"/>
                <w:u w:val="none"/>
                <w:lang w:val="en-US" w:eastAsia="zh-CN" w:bidi="ar"/>
              </w:rPr>
              <w:t>（单价）</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b/>
                <w:i w:val="0"/>
                <w:iCs w:val="0"/>
                <w:color w:val="000000"/>
                <w:kern w:val="0"/>
                <w:sz w:val="22"/>
                <w:szCs w:val="22"/>
                <w:highlight w:val="none"/>
                <w:u w:val="none"/>
                <w:lang w:val="en-US" w:eastAsia="zh-CN" w:bidi="ar"/>
              </w:rPr>
            </w:pPr>
            <w:r>
              <w:rPr>
                <w:rFonts w:hint="eastAsia" w:ascii="宋体" w:hAnsi="宋体" w:eastAsia="宋体" w:cs="宋体"/>
                <w:b/>
                <w:i w:val="0"/>
                <w:iCs w:val="0"/>
                <w:color w:val="000000"/>
                <w:kern w:val="0"/>
                <w:sz w:val="22"/>
                <w:szCs w:val="22"/>
                <w:highlight w:val="none"/>
                <w:u w:val="none"/>
                <w:lang w:val="en-US" w:eastAsia="zh-CN" w:bidi="ar"/>
              </w:rPr>
              <w:t>报价（下浮率）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银河麒麟高级服务器操作系统V10</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操作系统</w:t>
            </w:r>
          </w:p>
        </w:tc>
        <w:tc>
          <w:tcPr>
            <w:tcW w:w="1206" w:type="dxa"/>
            <w:vMerge w:val="restart"/>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177.21</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统信服务器操作系统V20</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操作系统</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腾讯云Linux服务器操作系统-单机版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操作系统</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5992</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达梦数据库管理系统v8（单机版）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95000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达梦数据库管理系统v8（集群版）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ascii="宋体" w:hAnsi="宋体" w:eastAsia="宋体" w:cs="仿宋_GB2312"/>
                <w:i w:val="0"/>
                <w:iCs w:val="0"/>
                <w:color w:val="000000"/>
                <w:sz w:val="22"/>
                <w:szCs w:val="24"/>
                <w:highlight w:val="none"/>
                <w:u w:val="none"/>
              </w:rPr>
            </w:pPr>
            <w:r>
              <w:rPr>
                <w:rFonts w:hint="eastAsia" w:ascii="宋体" w:hAnsi="宋体" w:eastAsia="宋体" w:cs="仿宋_GB2312"/>
                <w:i w:val="0"/>
                <w:iCs w:val="0"/>
                <w:color w:val="000000"/>
                <w:kern w:val="0"/>
                <w:sz w:val="22"/>
                <w:szCs w:val="24"/>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130000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海量数据库 G100 管理系统（单机版）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仿宋_GB2312"/>
                <w:i w:val="0"/>
                <w:iCs w:val="0"/>
                <w:color w:val="000000"/>
                <w:sz w:val="22"/>
                <w:szCs w:val="24"/>
                <w:highlight w:val="none"/>
                <w:u w:val="none"/>
              </w:rPr>
            </w:pPr>
            <w:r>
              <w:rPr>
                <w:rFonts w:hint="eastAsia" w:ascii="宋体" w:hAnsi="宋体" w:eastAsia="宋体" w:cs="仿宋_GB2312"/>
                <w:i w:val="0"/>
                <w:iCs w:val="0"/>
                <w:color w:val="000000"/>
                <w:kern w:val="0"/>
                <w:sz w:val="22"/>
                <w:szCs w:val="24"/>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58500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海量数据库 G100 管理系统（集群版）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68500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腾讯云TDSQL-企业版-集中式</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仿宋_GB2312"/>
                <w:i w:val="0"/>
                <w:iCs w:val="0"/>
                <w:color w:val="000000"/>
                <w:sz w:val="22"/>
                <w:szCs w:val="24"/>
                <w:highlight w:val="none"/>
                <w:u w:val="none"/>
              </w:rPr>
            </w:pPr>
            <w:r>
              <w:rPr>
                <w:rFonts w:hint="eastAsia" w:ascii="宋体" w:hAnsi="宋体" w:eastAsia="宋体" w:cs="仿宋_GB2312"/>
                <w:i w:val="0"/>
                <w:iCs w:val="0"/>
                <w:color w:val="000000"/>
                <w:kern w:val="0"/>
                <w:sz w:val="22"/>
                <w:szCs w:val="24"/>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68800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崖山数据库管理系统（标准版）V23</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仿宋_GB2312"/>
                <w:i w:val="0"/>
                <w:iCs w:val="0"/>
                <w:color w:val="000000"/>
                <w:sz w:val="22"/>
                <w:szCs w:val="24"/>
                <w:highlight w:val="none"/>
                <w:u w:val="none"/>
              </w:rPr>
            </w:pPr>
            <w:r>
              <w:rPr>
                <w:rFonts w:hint="eastAsia" w:ascii="宋体" w:hAnsi="宋体" w:eastAsia="宋体" w:cs="仿宋_GB2312"/>
                <w:i w:val="0"/>
                <w:iCs w:val="0"/>
                <w:color w:val="000000"/>
                <w:kern w:val="0"/>
                <w:sz w:val="22"/>
                <w:szCs w:val="24"/>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65000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10</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崖山数据库管理系统V23-企业版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11</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崖山数据库管理系统V23-集群版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仿宋_GB2312"/>
                <w:i w:val="0"/>
                <w:iCs w:val="0"/>
                <w:color w:val="000000"/>
                <w:sz w:val="22"/>
                <w:szCs w:val="24"/>
                <w:highlight w:val="none"/>
                <w:u w:val="none"/>
              </w:rPr>
            </w:pPr>
            <w:r>
              <w:rPr>
                <w:rFonts w:hint="eastAsia" w:ascii="宋体" w:hAnsi="宋体" w:eastAsia="宋体" w:cs="仿宋_GB2312"/>
                <w:i w:val="0"/>
                <w:iCs w:val="0"/>
                <w:color w:val="000000"/>
                <w:kern w:val="0"/>
                <w:sz w:val="22"/>
                <w:szCs w:val="24"/>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eastAsia="宋体" w:cs="宋体"/>
                <w:i w:val="0"/>
                <w:iCs w:val="0"/>
                <w:color w:val="000000"/>
                <w:kern w:val="0"/>
                <w:sz w:val="22"/>
                <w:szCs w:val="22"/>
                <w:highlight w:val="none"/>
                <w:u w:val="none"/>
                <w:lang w:val="en-US" w:eastAsia="zh-CN" w:bidi="ar"/>
              </w:rPr>
              <w:t>12</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金仓数据库管理软件V9（单机版）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仿宋_GB2312"/>
                <w:i w:val="0"/>
                <w:iCs w:val="0"/>
                <w:color w:val="000000"/>
                <w:sz w:val="22"/>
                <w:szCs w:val="24"/>
                <w:highlight w:val="none"/>
                <w:u w:val="none"/>
              </w:rPr>
            </w:pPr>
            <w:r>
              <w:rPr>
                <w:rFonts w:hint="eastAsia" w:ascii="宋体" w:hAnsi="宋体" w:eastAsia="宋体" w:cs="仿宋_GB2312"/>
                <w:i w:val="0"/>
                <w:iCs w:val="0"/>
                <w:color w:val="000000"/>
                <w:kern w:val="0"/>
                <w:sz w:val="22"/>
                <w:szCs w:val="24"/>
                <w:highlight w:val="none"/>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highlight w:val="none"/>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68"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13</w:t>
            </w:r>
          </w:p>
        </w:tc>
        <w:tc>
          <w:tcPr>
            <w:tcW w:w="3156"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金仓数据库管理软件V9（集群版）</w:t>
            </w:r>
          </w:p>
        </w:tc>
        <w:tc>
          <w:tcPr>
            <w:tcW w:w="1410"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仿宋_GB2312"/>
                <w:i w:val="0"/>
                <w:iCs w:val="0"/>
                <w:color w:val="000000"/>
                <w:sz w:val="22"/>
                <w:szCs w:val="24"/>
                <w:u w:val="none"/>
              </w:rPr>
            </w:pPr>
            <w:r>
              <w:rPr>
                <w:rFonts w:hint="eastAsia" w:ascii="宋体" w:hAnsi="宋体" w:eastAsia="宋体" w:cs="仿宋_GB2312"/>
                <w:i w:val="0"/>
                <w:iCs w:val="0"/>
                <w:color w:val="000000"/>
                <w:kern w:val="0"/>
                <w:sz w:val="22"/>
                <w:szCs w:val="24"/>
                <w:u w:val="none"/>
                <w:lang w:val="en-US" w:eastAsia="zh-CN" w:bidi="ar"/>
              </w:rPr>
              <w:t>数据库软件</w:t>
            </w:r>
          </w:p>
        </w:tc>
        <w:tc>
          <w:tcPr>
            <w:tcW w:w="1206" w:type="dxa"/>
            <w:vMerge w:val="continue"/>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pPr>
              <w:snapToGrid w:val="0"/>
              <w:ind w:left="0" w:leftChars="0" w:right="0" w:rightChars="0" w:firstLine="0" w:firstLineChars="0"/>
              <w:jc w:val="right"/>
              <w:rPr>
                <w:rFonts w:hint="eastAsia" w:ascii="宋体" w:hAnsi="宋体" w:eastAsia="宋体" w:cs="宋体"/>
                <w:i w:val="0"/>
                <w:iCs w:val="0"/>
                <w:color w:val="000000"/>
                <w:sz w:val="22"/>
                <w:szCs w:val="22"/>
                <w:u w:val="none"/>
              </w:rPr>
            </w:pP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95000</w:t>
            </w:r>
          </w:p>
        </w:tc>
        <w:tc>
          <w:tcPr>
            <w:tcW w:w="121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kern w:val="0"/>
                <w:sz w:val="22"/>
                <w:szCs w:val="22"/>
                <w:u w:val="none"/>
                <w:lang w:val="en-US" w:eastAsia="zh-CN" w:bidi="ar"/>
              </w:rPr>
            </w:pPr>
          </w:p>
        </w:tc>
      </w:tr>
    </w:tbl>
    <w:p>
      <w:pPr>
        <w:keepNext w:val="0"/>
        <w:keepLines w:val="0"/>
        <w:widowControl/>
        <w:suppressLineNumbers w:val="0"/>
        <w:ind w:firstLine="640" w:firstLineChars="200"/>
        <w:jc w:val="left"/>
        <w:rPr>
          <w:rFonts w:hint="eastAsia" w:ascii="黑体" w:hAnsi="黑体" w:eastAsia="黑体" w:cs="黑体"/>
          <w:sz w:val="32"/>
          <w:szCs w:val="32"/>
        </w:rPr>
      </w:pPr>
      <w:r>
        <w:rPr>
          <w:rFonts w:hint="eastAsia" w:ascii="仿宋_GB2312" w:hAnsi="仿宋_GB2312" w:eastAsia="仿宋_GB2312" w:cs="仿宋_GB2312"/>
          <w:color w:val="auto"/>
          <w:sz w:val="32"/>
          <w:szCs w:val="32"/>
          <w:lang w:val="en-US" w:eastAsia="zh-CN"/>
        </w:rPr>
        <w:t>为满足后续项目使用产品库清单外基础软件产品的需求，要求投标供应商承诺不高于深圳市政府采购框架协议采购系统（kjcg.szggzy.com）中公示的价格供货。</w:t>
      </w:r>
    </w:p>
    <w:p>
      <w:pPr>
        <w:widowControl w:val="0"/>
        <w:snapToGrid w:val="0"/>
        <w:spacing w:line="560" w:lineRule="exact"/>
        <w:ind w:firstLine="640" w:firstLineChars="200"/>
        <w:outlineLvl w:val="2"/>
        <w:rPr>
          <w:rFonts w:hint="eastAsia" w:ascii="黑体" w:hAnsi="黑体" w:eastAsia="黑体" w:cs="黑体"/>
          <w:sz w:val="32"/>
          <w:szCs w:val="32"/>
        </w:rPr>
      </w:pPr>
      <w:r>
        <w:rPr>
          <w:rFonts w:hint="eastAsia" w:ascii="黑体" w:hAnsi="黑体" w:eastAsia="黑体" w:cs="黑体"/>
          <w:sz w:val="32"/>
          <w:szCs w:val="32"/>
        </w:rPr>
        <w:t>四、投标人资格要求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人为中华人民共和国境内（港、澳、台地区除外）依法注册的独立法人或其他组织，具有独立承担民事责任的能力（提供营业执照或事业单位法人证书等证明资料扫描件，原件备查，分支机构参与投标的，须同时提供总公司授权文件且授权书载明其民事责任由总公司承担）。</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总公司和分公司、同属一家公司授权的两个或以上分公司、单位负责人为同一人或者存在参股、控股、管理关系的不同投标人，不得同时参加本项目采购活动；（提供承诺函，格式自拟及《投标人控股及管理关系情况申报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投标人未被列入失信被执行人、重大税收违法案件当事人名单（重大税收违法失信主体）、政府采购严重违法失信行为记录名单（“信用中国”www.creditchina.gov.cn，查询“信用服务”栏的“重大税收违法失信主体”“失信被执行人”或者下载信用信息报告），相关信息以招标代理机构开标当日的查询结果为准，投标人无须提供证明材料。</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4.本项目不接受联合体投标；（提供承诺函，格式自拟）</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5.本项目中标后不允许转包。（提供承诺函，格式自拟）</w:t>
      </w:r>
    </w:p>
    <w:p>
      <w:pPr>
        <w:widowControl w:val="0"/>
        <w:snapToGrid w:val="0"/>
        <w:spacing w:line="560" w:lineRule="exact"/>
        <w:ind w:firstLine="640" w:firstLineChars="200"/>
        <w:outlineLvl w:val="2"/>
        <w:rPr>
          <w:rFonts w:hint="eastAsia" w:ascii="黑体" w:hAnsi="黑体" w:eastAsia="黑体" w:cs="黑体"/>
          <w:sz w:val="32"/>
          <w:szCs w:val="32"/>
        </w:rPr>
      </w:pPr>
      <w:r>
        <w:rPr>
          <w:rFonts w:hint="eastAsia" w:ascii="黑体" w:hAnsi="黑体" w:eastAsia="黑体" w:cs="黑体"/>
          <w:sz w:val="32"/>
          <w:szCs w:val="32"/>
        </w:rPr>
        <w:t>五、项目需求</w:t>
      </w:r>
    </w:p>
    <w:p>
      <w:pPr>
        <w:numPr>
          <w:ilvl w:val="255"/>
          <w:numId w:val="0"/>
        </w:numPr>
        <w:spacing w:line="560" w:lineRule="exact"/>
        <w:ind w:left="640"/>
        <w:outlineLvl w:val="3"/>
        <w:rPr>
          <w:rFonts w:hint="eastAsia" w:ascii="楷体_GB2312" w:hAnsi="方正楷体_GB2312" w:eastAsia="楷体_GB2312" w:cs="方正楷体_GB2312"/>
          <w:b/>
          <w:bCs/>
          <w:sz w:val="32"/>
          <w:szCs w:val="32"/>
          <w:lang w:val="en-US" w:eastAsia="zh-CN"/>
        </w:rPr>
      </w:pPr>
      <w:r>
        <w:rPr>
          <w:rFonts w:hint="eastAsia" w:ascii="楷体_GB2312" w:hAnsi="方正楷体_GB2312" w:eastAsia="楷体_GB2312" w:cs="方正楷体_GB2312"/>
          <w:b/>
          <w:bCs/>
          <w:sz w:val="32"/>
          <w:szCs w:val="32"/>
          <w:lang w:eastAsia="zh-CN"/>
        </w:rPr>
        <w:t>（</w:t>
      </w:r>
      <w:r>
        <w:rPr>
          <w:rFonts w:hint="eastAsia" w:ascii="楷体_GB2312" w:hAnsi="方正楷体_GB2312" w:eastAsia="楷体_GB2312" w:cs="方正楷体_GB2312"/>
          <w:b/>
          <w:bCs/>
          <w:sz w:val="32"/>
          <w:szCs w:val="32"/>
          <w:lang w:val="en-US" w:eastAsia="zh-CN"/>
        </w:rPr>
        <w:t>一</w:t>
      </w:r>
      <w:r>
        <w:rPr>
          <w:rFonts w:hint="eastAsia" w:ascii="楷体_GB2312" w:hAnsi="方正楷体_GB2312" w:eastAsia="楷体_GB2312" w:cs="方正楷体_GB2312"/>
          <w:b/>
          <w:bCs/>
          <w:sz w:val="32"/>
          <w:szCs w:val="32"/>
          <w:lang w:eastAsia="zh-CN"/>
        </w:rPr>
        <w:t>）</w:t>
      </w:r>
      <w:r>
        <w:rPr>
          <w:rFonts w:hint="eastAsia" w:ascii="楷体_GB2312" w:hAnsi="方正楷体_GB2312" w:eastAsia="楷体_GB2312" w:cs="方正楷体_GB2312"/>
          <w:b/>
          <w:bCs/>
          <w:sz w:val="32"/>
          <w:szCs w:val="32"/>
          <w:lang w:val="en-US" w:eastAsia="zh-CN"/>
        </w:rPr>
        <w:t>技术要求</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详见附件。</w:t>
      </w:r>
    </w:p>
    <w:p>
      <w:pPr>
        <w:numPr>
          <w:ilvl w:val="255"/>
          <w:numId w:val="0"/>
        </w:numPr>
        <w:spacing w:line="560" w:lineRule="exact"/>
        <w:ind w:left="640"/>
        <w:outlineLvl w:val="3"/>
        <w:rPr>
          <w:rFonts w:hint="eastAsia" w:ascii="楷体_GB2312" w:hAnsi="方正楷体_GB2312" w:eastAsia="楷体_GB2312" w:cs="方正楷体_GB2312"/>
          <w:b/>
          <w:bCs/>
          <w:sz w:val="32"/>
          <w:szCs w:val="32"/>
          <w:lang w:eastAsia="zh-CN"/>
        </w:rPr>
      </w:pPr>
      <w:r>
        <w:rPr>
          <w:rFonts w:hint="eastAsia" w:ascii="楷体_GB2312" w:hAnsi="方正楷体_GB2312" w:eastAsia="楷体_GB2312" w:cs="方正楷体_GB2312"/>
          <w:b/>
          <w:bCs/>
          <w:sz w:val="32"/>
          <w:szCs w:val="32"/>
          <w:lang w:val="en-US" w:eastAsia="zh-CN"/>
        </w:rPr>
        <w:t>（二）商务要求</w:t>
      </w:r>
    </w:p>
    <w:p>
      <w:pPr>
        <w:spacing w:line="560" w:lineRule="exact"/>
        <w:ind w:firstLine="643" w:firstLineChars="200"/>
        <w:rPr>
          <w:rFonts w:hint="eastAsia" w:ascii="仿宋_GB2312" w:hAnsi="仿宋_GB2312" w:eastAsia="仿宋_GB2312" w:cs="仿宋_GB2312"/>
          <w:b/>
          <w:bCs/>
          <w:color w:val="FF0000"/>
          <w:sz w:val="32"/>
          <w:szCs w:val="32"/>
        </w:rPr>
      </w:pPr>
      <w:r>
        <w:rPr>
          <w:rFonts w:hint="eastAsia" w:ascii="仿宋_GB2312" w:hAnsi="仿宋_GB2312" w:eastAsia="仿宋_GB2312" w:cs="仿宋_GB2312"/>
          <w:b/>
          <w:bCs/>
          <w:color w:val="FF0000"/>
          <w:sz w:val="32"/>
          <w:szCs w:val="32"/>
        </w:rPr>
        <w:t>★1</w:t>
      </w:r>
      <w:r>
        <w:rPr>
          <w:rFonts w:hint="eastAsia" w:ascii="仿宋_GB2312" w:hAnsi="仿宋_GB2312" w:eastAsia="仿宋_GB2312" w:cs="仿宋_GB2312"/>
          <w:b/>
          <w:bCs/>
          <w:color w:val="FF0000"/>
          <w:sz w:val="32"/>
          <w:szCs w:val="32"/>
          <w:lang w:val="en-US" w:eastAsia="zh-CN"/>
        </w:rPr>
        <w:t>.</w:t>
      </w:r>
      <w:r>
        <w:rPr>
          <w:rFonts w:hint="eastAsia" w:ascii="仿宋_GB2312" w:hAnsi="仿宋_GB2312" w:eastAsia="仿宋_GB2312" w:cs="仿宋_GB2312"/>
          <w:b/>
          <w:bCs/>
          <w:color w:val="FF0000"/>
          <w:sz w:val="32"/>
          <w:szCs w:val="32"/>
        </w:rPr>
        <w:t>项目服务期限</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服务期限：本项目服务期限自合同签订或约定之日起1年（或12个月）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具体按照每个子项目的要求为准</w:t>
      </w:r>
      <w:r>
        <w:rPr>
          <w:rFonts w:hint="eastAsia" w:ascii="仿宋_GB2312" w:hAnsi="仿宋_GB2312" w:eastAsia="仿宋_GB2312" w:cs="仿宋_GB2312"/>
          <w:sz w:val="32"/>
          <w:szCs w:val="32"/>
        </w:rPr>
        <w:t>。</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人员驻点要求</w:t>
      </w:r>
    </w:p>
    <w:p>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★2.1</w:t>
      </w:r>
      <w:r>
        <w:rPr>
          <w:rFonts w:hint="eastAsia" w:ascii="仿宋_GB2312" w:hAnsi="仿宋_GB2312" w:eastAsia="仿宋_GB2312" w:cs="仿宋_GB2312"/>
          <w:color w:val="FF0000"/>
          <w:sz w:val="32"/>
          <w:szCs w:val="32"/>
          <w:lang w:val="en-US" w:eastAsia="zh-CN"/>
        </w:rPr>
        <w:t xml:space="preserve"> </w:t>
      </w:r>
      <w:r>
        <w:rPr>
          <w:rFonts w:hint="eastAsia" w:ascii="仿宋_GB2312" w:hAnsi="仿宋_GB2312" w:eastAsia="仿宋_GB2312" w:cs="仿宋_GB2312"/>
          <w:color w:val="FF0000"/>
          <w:sz w:val="32"/>
          <w:szCs w:val="32"/>
        </w:rPr>
        <w:t>基本要求</w:t>
      </w:r>
    </w:p>
    <w:p>
      <w:pPr>
        <w:pStyle w:val="4"/>
        <w:rPr>
          <w:sz w:val="20"/>
          <w:szCs w:val="20"/>
        </w:rPr>
      </w:pPr>
      <w:r>
        <w:rPr>
          <w:rFonts w:hint="default" w:ascii="仿宋_GB2312" w:hAnsi="仿宋_GB2312" w:eastAsia="仿宋_GB2312" w:cs="仿宋_GB2312"/>
          <w:color w:val="auto"/>
          <w:sz w:val="32"/>
          <w:szCs w:val="32"/>
          <w:lang w:val="en-US" w:eastAsia="zh-CN"/>
        </w:rPr>
        <w:t>中标服务商</w:t>
      </w:r>
      <w:r>
        <w:rPr>
          <w:rFonts w:hint="eastAsia" w:ascii="仿宋_GB2312" w:hAnsi="仿宋_GB2312" w:eastAsia="仿宋_GB2312" w:cs="仿宋_GB2312"/>
          <w:color w:val="auto"/>
          <w:sz w:val="32"/>
          <w:szCs w:val="32"/>
          <w:lang w:val="en-US" w:eastAsia="zh-CN"/>
        </w:rPr>
        <w:t>（投标人）</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必须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指定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项目负责人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安排足够的项目管理人员，至少保证7名工程师组成项目团队，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在项目实施过程中</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需要派驻相应的专业人员进行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软件开发、改造、</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集成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、运维服务；</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随时为采购人提供服务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做好工程管理和项目管理，协助采购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完成总集成任务并提供管理和技术咨询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具体人员要求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详见下表：</w:t>
      </w:r>
    </w:p>
    <w:tbl>
      <w:tblPr>
        <w:tblStyle w:val="20"/>
        <w:tblW w:w="8099"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5129"/>
        <w:gridCol w:w="1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926" w:type="dxa"/>
            <w:vAlign w:val="center"/>
          </w:tcPr>
          <w:p>
            <w:pPr>
              <w:pStyle w:val="4"/>
              <w:ind w:firstLine="0" w:firstLineChars="0"/>
              <w:jc w:val="center"/>
              <w:rPr>
                <w:b/>
                <w:bCs/>
                <w:sz w:val="20"/>
                <w:szCs w:val="20"/>
                <w:highlight w:val="none"/>
              </w:rPr>
            </w:pPr>
            <w:r>
              <w:rPr>
                <w:rFonts w:hint="eastAsia"/>
                <w:b/>
                <w:bCs/>
                <w:sz w:val="20"/>
                <w:highlight w:val="none"/>
              </w:rPr>
              <w:t>人员</w:t>
            </w:r>
          </w:p>
        </w:tc>
        <w:tc>
          <w:tcPr>
            <w:tcW w:w="5129" w:type="dxa"/>
            <w:vAlign w:val="center"/>
          </w:tcPr>
          <w:p>
            <w:pPr>
              <w:pStyle w:val="4"/>
              <w:ind w:firstLine="0" w:firstLineChars="0"/>
              <w:jc w:val="center"/>
              <w:rPr>
                <w:b/>
                <w:bCs/>
                <w:sz w:val="20"/>
                <w:szCs w:val="20"/>
                <w:highlight w:val="none"/>
              </w:rPr>
            </w:pPr>
            <w:r>
              <w:rPr>
                <w:rFonts w:hint="eastAsia"/>
                <w:b/>
                <w:bCs/>
                <w:sz w:val="20"/>
                <w:highlight w:val="none"/>
              </w:rPr>
              <w:t>职责</w:t>
            </w:r>
          </w:p>
        </w:tc>
        <w:tc>
          <w:tcPr>
            <w:tcW w:w="1044" w:type="dxa"/>
            <w:vAlign w:val="center"/>
          </w:tcPr>
          <w:p>
            <w:pPr>
              <w:pStyle w:val="4"/>
              <w:ind w:firstLine="0" w:firstLineChars="0"/>
              <w:jc w:val="center"/>
              <w:rPr>
                <w:b/>
                <w:bCs/>
                <w:sz w:val="20"/>
                <w:szCs w:val="20"/>
                <w:highlight w:val="none"/>
              </w:rPr>
            </w:pPr>
            <w:r>
              <w:rPr>
                <w:rFonts w:hint="eastAsia"/>
                <w:b/>
                <w:bCs/>
                <w:sz w:val="20"/>
                <w:highlight w:val="none"/>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926" w:type="dxa"/>
            <w:vAlign w:val="center"/>
          </w:tcPr>
          <w:p>
            <w:pPr>
              <w:pStyle w:val="4"/>
              <w:ind w:firstLine="0" w:firstLineChars="0"/>
              <w:jc w:val="center"/>
              <w:rPr>
                <w:sz w:val="20"/>
                <w:szCs w:val="20"/>
                <w:highlight w:val="none"/>
              </w:rPr>
            </w:pPr>
            <w:r>
              <w:rPr>
                <w:sz w:val="20"/>
                <w:highlight w:val="none"/>
              </w:rPr>
              <w:t>项目负责</w:t>
            </w:r>
            <w:r>
              <w:rPr>
                <w:rFonts w:hint="eastAsia"/>
                <w:sz w:val="20"/>
                <w:highlight w:val="none"/>
              </w:rPr>
              <w:t>人</w:t>
            </w:r>
          </w:p>
        </w:tc>
        <w:tc>
          <w:tcPr>
            <w:tcW w:w="5129" w:type="dxa"/>
            <w:vAlign w:val="center"/>
          </w:tcPr>
          <w:p>
            <w:pPr>
              <w:pStyle w:val="4"/>
              <w:ind w:firstLine="0" w:firstLineChars="0"/>
              <w:jc w:val="left"/>
              <w:rPr>
                <w:sz w:val="20"/>
                <w:szCs w:val="20"/>
                <w:highlight w:val="none"/>
              </w:rPr>
            </w:pPr>
            <w:r>
              <w:rPr>
                <w:rFonts w:hint="eastAsia"/>
                <w:sz w:val="20"/>
                <w:highlight w:val="none"/>
              </w:rPr>
              <w:t>项目总体管理。</w:t>
            </w:r>
          </w:p>
        </w:tc>
        <w:tc>
          <w:tcPr>
            <w:tcW w:w="1044" w:type="dxa"/>
            <w:vAlign w:val="center"/>
          </w:tcPr>
          <w:p>
            <w:pPr>
              <w:pStyle w:val="4"/>
              <w:ind w:firstLine="0" w:firstLineChars="0"/>
              <w:jc w:val="center"/>
              <w:rPr>
                <w:sz w:val="20"/>
                <w:szCs w:val="20"/>
                <w:highlight w:val="none"/>
              </w:rPr>
            </w:pPr>
            <w:r>
              <w:rPr>
                <w:rFonts w:hint="eastAsia"/>
                <w:sz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926" w:type="dxa"/>
            <w:vAlign w:val="center"/>
          </w:tcPr>
          <w:p>
            <w:pPr>
              <w:pStyle w:val="4"/>
              <w:ind w:firstLine="0" w:firstLineChars="0"/>
              <w:jc w:val="center"/>
              <w:rPr>
                <w:sz w:val="20"/>
                <w:szCs w:val="20"/>
                <w:highlight w:val="none"/>
              </w:rPr>
            </w:pPr>
            <w:r>
              <w:rPr>
                <w:rFonts w:hint="eastAsia"/>
                <w:sz w:val="20"/>
                <w:highlight w:val="none"/>
              </w:rPr>
              <w:t>网络工程师</w:t>
            </w:r>
          </w:p>
        </w:tc>
        <w:tc>
          <w:tcPr>
            <w:tcW w:w="5129" w:type="dxa"/>
            <w:vAlign w:val="center"/>
          </w:tcPr>
          <w:p>
            <w:pPr>
              <w:pStyle w:val="4"/>
              <w:ind w:firstLine="0" w:firstLineChars="0"/>
              <w:jc w:val="left"/>
              <w:rPr>
                <w:sz w:val="20"/>
                <w:szCs w:val="20"/>
                <w:highlight w:val="none"/>
              </w:rPr>
            </w:pPr>
            <w:r>
              <w:rPr>
                <w:rFonts w:hint="eastAsia"/>
                <w:sz w:val="20"/>
                <w:highlight w:val="none"/>
              </w:rPr>
              <w:t>有网络方面（含信息安全）的集成工作。</w:t>
            </w:r>
          </w:p>
        </w:tc>
        <w:tc>
          <w:tcPr>
            <w:tcW w:w="1044" w:type="dxa"/>
            <w:vAlign w:val="center"/>
          </w:tcPr>
          <w:p>
            <w:pPr>
              <w:pStyle w:val="4"/>
              <w:ind w:firstLine="0" w:firstLineChars="0"/>
              <w:jc w:val="center"/>
              <w:rPr>
                <w:sz w:val="20"/>
                <w:szCs w:val="20"/>
                <w:highlight w:val="none"/>
              </w:rPr>
            </w:pPr>
            <w:r>
              <w:rPr>
                <w:rFonts w:hint="eastAsia"/>
                <w:sz w:val="20"/>
                <w:highlight w:val="none"/>
              </w:rPr>
              <w:t>&gt;</w:t>
            </w:r>
            <w:r>
              <w:rPr>
                <w:sz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926" w:type="dxa"/>
            <w:vAlign w:val="center"/>
          </w:tcPr>
          <w:p>
            <w:pPr>
              <w:pStyle w:val="4"/>
              <w:ind w:firstLine="0" w:firstLineChars="0"/>
              <w:jc w:val="center"/>
              <w:rPr>
                <w:sz w:val="20"/>
                <w:szCs w:val="20"/>
                <w:highlight w:val="none"/>
              </w:rPr>
            </w:pPr>
            <w:r>
              <w:rPr>
                <w:rFonts w:hint="eastAsia"/>
                <w:sz w:val="20"/>
                <w:highlight w:val="none"/>
              </w:rPr>
              <w:t>服务器工程师</w:t>
            </w:r>
          </w:p>
        </w:tc>
        <w:tc>
          <w:tcPr>
            <w:tcW w:w="5129" w:type="dxa"/>
            <w:vAlign w:val="center"/>
          </w:tcPr>
          <w:p>
            <w:pPr>
              <w:pStyle w:val="4"/>
              <w:ind w:firstLine="0" w:firstLineChars="0"/>
              <w:jc w:val="left"/>
              <w:rPr>
                <w:sz w:val="20"/>
                <w:szCs w:val="20"/>
                <w:highlight w:val="none"/>
              </w:rPr>
            </w:pPr>
            <w:r>
              <w:rPr>
                <w:rFonts w:hint="eastAsia"/>
                <w:sz w:val="20"/>
                <w:highlight w:val="none"/>
              </w:rPr>
              <w:t>服务器及存储的集成工作。</w:t>
            </w:r>
          </w:p>
        </w:tc>
        <w:tc>
          <w:tcPr>
            <w:tcW w:w="1044" w:type="dxa"/>
            <w:vAlign w:val="center"/>
          </w:tcPr>
          <w:p>
            <w:pPr>
              <w:pStyle w:val="4"/>
              <w:ind w:firstLine="0" w:firstLineChars="0"/>
              <w:jc w:val="center"/>
              <w:rPr>
                <w:sz w:val="20"/>
                <w:szCs w:val="20"/>
                <w:highlight w:val="none"/>
              </w:rPr>
            </w:pPr>
            <w:r>
              <w:rPr>
                <w:rFonts w:hint="eastAsia"/>
                <w:sz w:val="20"/>
                <w:highlight w:val="none"/>
              </w:rPr>
              <w:t>&gt;</w:t>
            </w:r>
            <w:r>
              <w:rPr>
                <w:sz w:val="20"/>
                <w:highlight w:val="none"/>
              </w:rPr>
              <w:t>=</w:t>
            </w:r>
            <w:r>
              <w:rPr>
                <w:rFonts w:hint="eastAsia"/>
                <w:sz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926" w:type="dxa"/>
            <w:vAlign w:val="center"/>
          </w:tcPr>
          <w:p>
            <w:pPr>
              <w:pStyle w:val="4"/>
              <w:ind w:firstLine="0" w:firstLineChars="0"/>
              <w:jc w:val="center"/>
              <w:rPr>
                <w:sz w:val="20"/>
                <w:szCs w:val="20"/>
                <w:highlight w:val="none"/>
              </w:rPr>
            </w:pPr>
            <w:r>
              <w:rPr>
                <w:rFonts w:hint="eastAsia"/>
                <w:sz w:val="20"/>
                <w:highlight w:val="none"/>
              </w:rPr>
              <w:t>数据库工程师</w:t>
            </w:r>
          </w:p>
        </w:tc>
        <w:tc>
          <w:tcPr>
            <w:tcW w:w="5129" w:type="dxa"/>
            <w:vAlign w:val="center"/>
          </w:tcPr>
          <w:p>
            <w:pPr>
              <w:pStyle w:val="4"/>
              <w:ind w:firstLine="0" w:firstLineChars="0"/>
              <w:jc w:val="left"/>
              <w:rPr>
                <w:sz w:val="20"/>
                <w:szCs w:val="20"/>
                <w:highlight w:val="none"/>
              </w:rPr>
            </w:pPr>
            <w:r>
              <w:rPr>
                <w:rFonts w:hint="eastAsia"/>
                <w:sz w:val="20"/>
                <w:highlight w:val="none"/>
              </w:rPr>
              <w:t>数据库系统</w:t>
            </w:r>
            <w:r>
              <w:rPr>
                <w:sz w:val="20"/>
                <w:highlight w:val="none"/>
              </w:rPr>
              <w:t>安装、调优、测试数据库。</w:t>
            </w:r>
          </w:p>
        </w:tc>
        <w:tc>
          <w:tcPr>
            <w:tcW w:w="1044" w:type="dxa"/>
            <w:vAlign w:val="center"/>
          </w:tcPr>
          <w:p>
            <w:pPr>
              <w:pStyle w:val="4"/>
              <w:ind w:firstLine="0" w:firstLineChars="0"/>
              <w:jc w:val="center"/>
              <w:rPr>
                <w:sz w:val="20"/>
                <w:szCs w:val="20"/>
                <w:highlight w:val="none"/>
              </w:rPr>
            </w:pPr>
            <w:r>
              <w:rPr>
                <w:rFonts w:hint="eastAsia"/>
                <w:sz w:val="20"/>
                <w:highlight w:val="none"/>
              </w:rPr>
              <w:t>&gt;</w:t>
            </w:r>
            <w:r>
              <w:rPr>
                <w:sz w:val="20"/>
                <w:highlight w:val="none"/>
              </w:rPr>
              <w:t>=</w:t>
            </w:r>
            <w:r>
              <w:rPr>
                <w:rFonts w:hint="eastAsia"/>
                <w:sz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926" w:type="dxa"/>
            <w:vAlign w:val="center"/>
          </w:tcPr>
          <w:p>
            <w:pPr>
              <w:pStyle w:val="4"/>
              <w:ind w:firstLine="0" w:firstLineChars="0"/>
              <w:jc w:val="center"/>
              <w:rPr>
                <w:sz w:val="20"/>
                <w:szCs w:val="20"/>
                <w:highlight w:val="none"/>
              </w:rPr>
            </w:pPr>
            <w:r>
              <w:rPr>
                <w:rFonts w:hint="eastAsia"/>
                <w:sz w:val="20"/>
                <w:highlight w:val="none"/>
              </w:rPr>
              <w:t>前端设备工程师</w:t>
            </w:r>
          </w:p>
        </w:tc>
        <w:tc>
          <w:tcPr>
            <w:tcW w:w="5129" w:type="dxa"/>
            <w:vAlign w:val="center"/>
          </w:tcPr>
          <w:p>
            <w:pPr>
              <w:pStyle w:val="4"/>
              <w:ind w:firstLine="0" w:firstLineChars="0"/>
              <w:jc w:val="left"/>
              <w:rPr>
                <w:sz w:val="20"/>
                <w:szCs w:val="20"/>
                <w:highlight w:val="none"/>
              </w:rPr>
            </w:pPr>
            <w:r>
              <w:rPr>
                <w:rFonts w:hint="eastAsia"/>
                <w:sz w:val="20"/>
                <w:highlight w:val="none"/>
              </w:rPr>
              <w:t>前端设备类的集成工作。</w:t>
            </w:r>
          </w:p>
        </w:tc>
        <w:tc>
          <w:tcPr>
            <w:tcW w:w="1044" w:type="dxa"/>
            <w:vAlign w:val="center"/>
          </w:tcPr>
          <w:p>
            <w:pPr>
              <w:pStyle w:val="4"/>
              <w:ind w:firstLine="0" w:firstLineChars="0"/>
              <w:jc w:val="center"/>
              <w:rPr>
                <w:sz w:val="20"/>
                <w:szCs w:val="20"/>
                <w:highlight w:val="none"/>
              </w:rPr>
            </w:pPr>
            <w:r>
              <w:rPr>
                <w:rFonts w:hint="eastAsia"/>
                <w:sz w:val="20"/>
                <w:highlight w:val="none"/>
              </w:rPr>
              <w:t>&gt;</w:t>
            </w:r>
            <w:r>
              <w:rPr>
                <w:sz w:val="20"/>
                <w:highlight w:val="none"/>
              </w:rPr>
              <w:t>=</w:t>
            </w:r>
            <w:r>
              <w:rPr>
                <w:rFonts w:hint="eastAsia"/>
                <w:sz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926" w:type="dxa"/>
            <w:vAlign w:val="center"/>
          </w:tcPr>
          <w:p>
            <w:pPr>
              <w:pStyle w:val="4"/>
              <w:ind w:firstLine="0" w:firstLineChars="0"/>
              <w:jc w:val="center"/>
              <w:rPr>
                <w:sz w:val="20"/>
                <w:szCs w:val="20"/>
                <w:highlight w:val="none"/>
              </w:rPr>
            </w:pPr>
            <w:r>
              <w:rPr>
                <w:rFonts w:hint="eastAsia"/>
                <w:sz w:val="20"/>
                <w:highlight w:val="none"/>
              </w:rPr>
              <w:t>应用系统工程师</w:t>
            </w:r>
          </w:p>
        </w:tc>
        <w:tc>
          <w:tcPr>
            <w:tcW w:w="5129" w:type="dxa"/>
            <w:vAlign w:val="center"/>
          </w:tcPr>
          <w:p>
            <w:pPr>
              <w:pStyle w:val="4"/>
              <w:ind w:firstLine="0" w:firstLineChars="0"/>
              <w:jc w:val="left"/>
              <w:rPr>
                <w:sz w:val="20"/>
                <w:szCs w:val="20"/>
                <w:highlight w:val="none"/>
              </w:rPr>
            </w:pPr>
            <w:r>
              <w:rPr>
                <w:rFonts w:hint="eastAsia"/>
                <w:sz w:val="20"/>
                <w:highlight w:val="none"/>
              </w:rPr>
              <w:t>软件系统的集成工作。</w:t>
            </w:r>
          </w:p>
        </w:tc>
        <w:tc>
          <w:tcPr>
            <w:tcW w:w="1044" w:type="dxa"/>
            <w:vAlign w:val="center"/>
          </w:tcPr>
          <w:p>
            <w:pPr>
              <w:pStyle w:val="4"/>
              <w:ind w:firstLine="0" w:firstLineChars="0"/>
              <w:jc w:val="center"/>
              <w:rPr>
                <w:sz w:val="20"/>
                <w:szCs w:val="20"/>
                <w:highlight w:val="none"/>
              </w:rPr>
            </w:pPr>
            <w:r>
              <w:rPr>
                <w:rFonts w:hint="eastAsia"/>
                <w:sz w:val="20"/>
                <w:highlight w:val="none"/>
              </w:rPr>
              <w:t>&gt;</w:t>
            </w:r>
            <w:r>
              <w:rPr>
                <w:sz w:val="20"/>
                <w:highlight w:val="none"/>
              </w:rPr>
              <w:t>=</w:t>
            </w:r>
            <w:r>
              <w:rPr>
                <w:rFonts w:hint="eastAsia"/>
                <w:sz w:val="20"/>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926" w:type="dxa"/>
            <w:vAlign w:val="center"/>
          </w:tcPr>
          <w:p>
            <w:pPr>
              <w:pStyle w:val="4"/>
              <w:ind w:firstLine="0" w:firstLineChars="0"/>
              <w:jc w:val="center"/>
              <w:rPr>
                <w:sz w:val="20"/>
                <w:szCs w:val="20"/>
                <w:highlight w:val="none"/>
              </w:rPr>
            </w:pPr>
            <w:r>
              <w:rPr>
                <w:rFonts w:hint="eastAsia"/>
                <w:sz w:val="20"/>
                <w:highlight w:val="none"/>
              </w:rPr>
              <w:t>文档工程师</w:t>
            </w:r>
          </w:p>
        </w:tc>
        <w:tc>
          <w:tcPr>
            <w:tcW w:w="5129" w:type="dxa"/>
            <w:vAlign w:val="center"/>
          </w:tcPr>
          <w:p>
            <w:pPr>
              <w:pStyle w:val="4"/>
              <w:ind w:firstLine="0" w:firstLineChars="0"/>
              <w:jc w:val="left"/>
              <w:rPr>
                <w:sz w:val="20"/>
                <w:szCs w:val="20"/>
                <w:highlight w:val="none"/>
              </w:rPr>
            </w:pPr>
            <w:r>
              <w:rPr>
                <w:rFonts w:hint="eastAsia"/>
                <w:sz w:val="20"/>
                <w:highlight w:val="none"/>
              </w:rPr>
              <w:t>所有文档撰写、整理；图片、音视频资料收集、整理。</w:t>
            </w:r>
          </w:p>
        </w:tc>
        <w:tc>
          <w:tcPr>
            <w:tcW w:w="1044" w:type="dxa"/>
            <w:vAlign w:val="center"/>
          </w:tcPr>
          <w:p>
            <w:pPr>
              <w:pStyle w:val="4"/>
              <w:ind w:firstLine="0" w:firstLineChars="0"/>
              <w:jc w:val="center"/>
              <w:rPr>
                <w:sz w:val="20"/>
                <w:szCs w:val="20"/>
                <w:highlight w:val="none"/>
              </w:rPr>
            </w:pPr>
            <w:r>
              <w:rPr>
                <w:rFonts w:hint="eastAsia"/>
                <w:sz w:val="20"/>
                <w:highlight w:val="none"/>
              </w:rPr>
              <w:t>&gt;</w:t>
            </w:r>
            <w:r>
              <w:rPr>
                <w:sz w:val="20"/>
                <w:highlight w:val="none"/>
              </w:rPr>
              <w:t>=</w:t>
            </w:r>
            <w:r>
              <w:rPr>
                <w:rFonts w:hint="eastAsia"/>
                <w:sz w:val="20"/>
                <w:highlight w:val="none"/>
              </w:rPr>
              <w:t>1</w:t>
            </w:r>
          </w:p>
        </w:tc>
      </w:tr>
    </w:tbl>
    <w:p>
      <w:pPr>
        <w:keepNext w:val="0"/>
        <w:keepLines w:val="0"/>
        <w:widowControl/>
        <w:suppressLineNumbers w:val="0"/>
        <w:ind w:firstLine="640" w:firstLineChars="200"/>
        <w:jc w:val="left"/>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FF0000"/>
          <w:sz w:val="32"/>
          <w:szCs w:val="32"/>
        </w:rPr>
        <w:t>★2</w:t>
      </w:r>
      <w:r>
        <w:rPr>
          <w:rFonts w:hint="eastAsia" w:ascii="仿宋_GB2312" w:hAnsi="仿宋_GB2312" w:eastAsia="仿宋_GB2312" w:cs="仿宋_GB2312"/>
          <w:color w:val="FF0000"/>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本项目运维期及运维项目</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中标服务商</w:t>
      </w:r>
      <w:r>
        <w:rPr>
          <w:rFonts w:hint="eastAsia" w:ascii="仿宋_GB2312" w:hAnsi="仿宋_GB2312" w:eastAsia="仿宋_GB2312" w:cs="仿宋_GB2312"/>
          <w:color w:val="000000" w:themeColor="text1"/>
          <w:sz w:val="32"/>
          <w:szCs w:val="32"/>
          <w14:textFill>
            <w14:solidFill>
              <w14:schemeClr w14:val="tx1"/>
            </w14:solidFill>
          </w14:textFill>
        </w:rPr>
        <w:t>（投标人）必须提供7×24小时的服务，</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配备2名驻点</w:t>
      </w:r>
      <w:r>
        <w:rPr>
          <w:rFonts w:hint="default" w:ascii="仿宋_GB2312" w:hAnsi="仿宋_GB2312" w:eastAsia="仿宋_GB2312" w:cs="仿宋_GB2312"/>
          <w:b/>
          <w:bCs/>
          <w:color w:val="000000" w:themeColor="text1"/>
          <w:sz w:val="32"/>
          <w:szCs w:val="32"/>
          <w:lang w:val="en-US" w:eastAsia="zh-CN"/>
          <w14:textFill>
            <w14:solidFill>
              <w14:schemeClr w14:val="tx1"/>
            </w14:solidFill>
          </w14:textFill>
        </w:rPr>
        <w:t>专业技术运维</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人员。</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团队人员均为自有持证员工，具备对应信息化运维、信创改造、数据库管理等专业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技能</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widowControl/>
        <w:suppressLineNumbers w:val="0"/>
        <w:ind w:firstLine="640" w:firstLineChars="200"/>
        <w:jc w:val="lef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2.3 </w:t>
      </w:r>
      <w:r>
        <w:rPr>
          <w:rFonts w:hint="default" w:ascii="仿宋_GB2312" w:hAnsi="仿宋_GB2312" w:eastAsia="仿宋_GB2312" w:cs="仿宋_GB2312"/>
          <w:color w:val="auto"/>
          <w:sz w:val="32"/>
          <w:szCs w:val="32"/>
          <w:lang w:val="en-US" w:eastAsia="zh-CN"/>
        </w:rPr>
        <w:t>中标服务商</w:t>
      </w:r>
      <w:r>
        <w:rPr>
          <w:rFonts w:hint="eastAsia" w:ascii="仿宋_GB2312" w:hAnsi="仿宋_GB2312" w:eastAsia="仿宋_GB2312" w:cs="仿宋_GB2312"/>
          <w:color w:val="auto"/>
          <w:sz w:val="32"/>
          <w:szCs w:val="32"/>
          <w:lang w:val="en-US" w:eastAsia="zh-CN"/>
        </w:rPr>
        <w:t>（投标人）</w:t>
      </w:r>
      <w:r>
        <w:rPr>
          <w:rFonts w:hint="default" w:ascii="仿宋_GB2312" w:hAnsi="仿宋_GB2312" w:eastAsia="仿宋_GB2312" w:cs="仿宋_GB2312"/>
          <w:color w:val="auto"/>
          <w:sz w:val="32"/>
          <w:szCs w:val="32"/>
          <w:lang w:val="en-US" w:eastAsia="zh-CN"/>
        </w:rPr>
        <w:t>严格保障项目团队稳定性，未经采购人同意不得随意更换核心人员，对考核不合格、服务不达标人员需按要求及时更换，全程接受采购人监督考核。</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2.4 遇国家法定节假日（含正常周末）服务商（投标人）需安排不低于2人的驻点</w:t>
      </w:r>
      <w:r>
        <w:rPr>
          <w:rFonts w:hint="default" w:ascii="仿宋_GB2312" w:hAnsi="仿宋_GB2312" w:eastAsia="仿宋_GB2312" w:cs="仿宋_GB2312"/>
          <w:color w:val="auto"/>
          <w:sz w:val="32"/>
          <w:szCs w:val="32"/>
          <w:lang w:val="en-US" w:eastAsia="zh-CN"/>
        </w:rPr>
        <w:t>运维</w:t>
      </w:r>
      <w:r>
        <w:rPr>
          <w:rFonts w:hint="eastAsia" w:ascii="仿宋_GB2312" w:hAnsi="仿宋_GB2312" w:eastAsia="仿宋_GB2312" w:cs="仿宋_GB2312"/>
          <w:color w:val="auto"/>
          <w:sz w:val="32"/>
          <w:szCs w:val="32"/>
          <w:lang w:val="en-US" w:eastAsia="zh-CN"/>
        </w:rPr>
        <w:t>人员进行驻场值班服务，保障采购人业务的正常进行。</w:t>
      </w:r>
    </w:p>
    <w:p>
      <w:pPr>
        <w:keepNext w:val="0"/>
        <w:keepLines w:val="0"/>
        <w:widowControl/>
        <w:suppressLineNumbers w:val="0"/>
        <w:ind w:firstLine="640" w:firstLineChars="200"/>
        <w:jc w:val="left"/>
        <w:rPr>
          <w:rFonts w:hint="eastAsia"/>
        </w:rPr>
      </w:pPr>
      <w:r>
        <w:rPr>
          <w:rFonts w:hint="eastAsia" w:ascii="仿宋_GB2312" w:hAnsi="仿宋_GB2312" w:eastAsia="仿宋_GB2312" w:cs="仿宋_GB2312"/>
          <w:color w:val="auto"/>
          <w:sz w:val="32"/>
          <w:szCs w:val="32"/>
          <w:lang w:val="en-US" w:eastAsia="zh-CN"/>
        </w:rPr>
        <w:t xml:space="preserve">2.5 </w:t>
      </w:r>
      <w:r>
        <w:rPr>
          <w:rFonts w:hint="default" w:ascii="仿宋_GB2312" w:hAnsi="仿宋_GB2312" w:eastAsia="仿宋_GB2312" w:cs="仿宋_GB2312"/>
          <w:color w:val="auto"/>
          <w:sz w:val="32"/>
          <w:szCs w:val="32"/>
          <w:lang w:val="en-US" w:eastAsia="zh-CN"/>
        </w:rPr>
        <w:t>中标服务商</w:t>
      </w:r>
      <w:r>
        <w:rPr>
          <w:rFonts w:hint="eastAsia" w:ascii="仿宋_GB2312" w:hAnsi="仿宋_GB2312" w:eastAsia="仿宋_GB2312" w:cs="仿宋_GB2312"/>
          <w:color w:val="auto"/>
          <w:sz w:val="32"/>
          <w:szCs w:val="32"/>
          <w:lang w:val="en-US" w:eastAsia="zh-CN"/>
        </w:rPr>
        <w:t>（投标人）须自行解决驻场人员的食宿、交通、工资等，所涉及的一切费用均包含在本项目服务费中，采购人仅提供驻场场地。</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2.6 人员工作要求</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驻点</w:t>
      </w:r>
      <w:r>
        <w:rPr>
          <w:rFonts w:hint="default" w:ascii="仿宋_GB2312" w:hAnsi="仿宋_GB2312" w:eastAsia="仿宋_GB2312" w:cs="仿宋_GB2312"/>
          <w:color w:val="auto"/>
          <w:sz w:val="32"/>
          <w:szCs w:val="32"/>
          <w:lang w:val="en-US" w:eastAsia="zh-CN"/>
        </w:rPr>
        <w:t>运维</w:t>
      </w:r>
      <w:r>
        <w:rPr>
          <w:rFonts w:hint="eastAsia" w:ascii="仿宋_GB2312" w:hAnsi="仿宋_GB2312" w:eastAsia="仿宋_GB2312" w:cs="仿宋_GB2312"/>
          <w:color w:val="auto"/>
          <w:sz w:val="32"/>
          <w:szCs w:val="32"/>
          <w:lang w:val="en-US" w:eastAsia="zh-CN"/>
        </w:rPr>
        <w:t>人员应有熟练的现场故障处理能力，驻点</w:t>
      </w:r>
      <w:r>
        <w:rPr>
          <w:rFonts w:hint="default" w:ascii="仿宋_GB2312" w:hAnsi="仿宋_GB2312" w:eastAsia="仿宋_GB2312" w:cs="仿宋_GB2312"/>
          <w:color w:val="auto"/>
          <w:sz w:val="32"/>
          <w:szCs w:val="32"/>
          <w:lang w:val="en-US" w:eastAsia="zh-CN"/>
        </w:rPr>
        <w:t>运维</w:t>
      </w:r>
      <w:r>
        <w:rPr>
          <w:rFonts w:hint="eastAsia" w:ascii="仿宋_GB2312" w:hAnsi="仿宋_GB2312" w:eastAsia="仿宋_GB2312" w:cs="仿宋_GB2312"/>
          <w:color w:val="auto"/>
          <w:sz w:val="32"/>
          <w:szCs w:val="32"/>
          <w:lang w:val="en-US" w:eastAsia="zh-CN"/>
        </w:rPr>
        <w:t>人员必须严格遵守采购人各项工作制度及规章制度，保持良好的服务态度。中标服务商（投标人）不得随意对驻点</w:t>
      </w:r>
      <w:r>
        <w:rPr>
          <w:rFonts w:hint="default" w:ascii="仿宋_GB2312" w:hAnsi="仿宋_GB2312" w:eastAsia="仿宋_GB2312" w:cs="仿宋_GB2312"/>
          <w:color w:val="auto"/>
          <w:sz w:val="32"/>
          <w:szCs w:val="32"/>
          <w:lang w:val="en-US" w:eastAsia="zh-CN"/>
        </w:rPr>
        <w:t>运维</w:t>
      </w:r>
      <w:r>
        <w:rPr>
          <w:rFonts w:hint="eastAsia" w:ascii="仿宋_GB2312" w:hAnsi="仿宋_GB2312" w:eastAsia="仿宋_GB2312" w:cs="仿宋_GB2312"/>
          <w:color w:val="auto"/>
          <w:sz w:val="32"/>
          <w:szCs w:val="32"/>
          <w:lang w:val="en-US" w:eastAsia="zh-CN"/>
        </w:rPr>
        <w:t>人员进行更换，如有特殊情况需要更换的，必须提前一个月以上经采购人主管部门同意并安排不低于当前人员技术及资质水平的人员代替，同时配合采购人主管部门提前做好相关培训及交接工作。</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2.7 人员轮转要求</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中标服务商（投标人）必须定期安排有相应同等资质和经验的人员在采购人处进行轮转实习，提前熟悉采购人的各项运维业务和技能，以应对常规驻点</w:t>
      </w:r>
      <w:r>
        <w:rPr>
          <w:rFonts w:hint="default" w:ascii="仿宋_GB2312" w:hAnsi="仿宋_GB2312" w:eastAsia="仿宋_GB2312" w:cs="仿宋_GB2312"/>
          <w:color w:val="auto"/>
          <w:sz w:val="32"/>
          <w:szCs w:val="32"/>
          <w:lang w:val="en-US" w:eastAsia="zh-CN"/>
        </w:rPr>
        <w:t>运维</w:t>
      </w:r>
      <w:r>
        <w:rPr>
          <w:rFonts w:hint="eastAsia" w:ascii="仿宋_GB2312" w:hAnsi="仿宋_GB2312" w:eastAsia="仿宋_GB2312" w:cs="仿宋_GB2312"/>
          <w:color w:val="auto"/>
          <w:sz w:val="32"/>
          <w:szCs w:val="32"/>
          <w:lang w:val="en-US" w:eastAsia="zh-CN"/>
        </w:rPr>
        <w:t>人员遇到紧急情况无法继续工作的情况。</w:t>
      </w:r>
    </w:p>
    <w:p>
      <w:pPr>
        <w:pStyle w:val="6"/>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2.8</w:t>
      </w:r>
      <w:r>
        <w:rPr>
          <w:rFonts w:hint="eastAsia" w:ascii="仿宋_GB2312" w:hAnsi="仿宋_GB2312" w:eastAsia="仿宋_GB2312" w:cs="仿宋_GB2312"/>
          <w:color w:val="auto"/>
          <w:kern w:val="2"/>
          <w:sz w:val="32"/>
          <w:szCs w:val="32"/>
          <w:lang w:val="en-US" w:eastAsia="zh-CN" w:bidi="ar-SA"/>
        </w:rPr>
        <w:t>如中标服务商（投标人）违反国家、省、市相关法律法规的有关规定，给其派出人员造成损害需要承担法律责任的，由中标人承担全部法律责任，与招标人无关。</w:t>
      </w:r>
    </w:p>
    <w:p>
      <w:pPr>
        <w:spacing w:line="56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3.故障等级划分及处理要求</w:t>
      </w:r>
    </w:p>
    <w:p>
      <w:pPr>
        <w:pStyle w:val="6"/>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3.1故障等级划分</w:t>
      </w:r>
    </w:p>
    <w:p>
      <w:pPr>
        <w:pStyle w:val="6"/>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在本项目维护服务过程中，为确保双方有效确认故障、提高维护工作的效率，将故障划分为以下四个级别：</w:t>
      </w:r>
    </w:p>
    <w:p>
      <w:pPr>
        <w:pStyle w:val="6"/>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级（P1）：系统发生处理能力、可用性等完全或部分丧失的情况，导致重大故障甚至瘫痪，或对最终用户的业务使用有严重影响，需要立即采取措施进行处理的情况，并包括招标人要求作为一级故障处理的其他情况。</w:t>
      </w:r>
    </w:p>
    <w:p>
      <w:pPr>
        <w:pStyle w:val="6"/>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二级（P2）：系统发生处理能力、可用性等降低或恶化，严重影响和限制了应用系统的使用与维护，或对部分最终用户的业务使用有较大影响的故障。 </w:t>
      </w:r>
    </w:p>
    <w:p>
      <w:pPr>
        <w:pStyle w:val="6"/>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三级（P3）：系统的可用性受损，但最终应用系统用户大部分业务操作仍可正常进行。</w:t>
      </w:r>
    </w:p>
    <w:p>
      <w:pPr>
        <w:pStyle w:val="6"/>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四级（P4）：对平台系统用户的整体业务运作无影响，但需要服务提供商提供系统功能安装或配置方面的处理或相关信息。 </w:t>
      </w:r>
    </w:p>
    <w:p>
      <w:pPr>
        <w:pStyle w:val="6"/>
        <w:ind w:firstLine="640" w:firstLineChars="200"/>
        <w:rPr>
          <w:rFonts w:hint="eastAsia" w:ascii="仿宋_GB2312" w:hAnsi="仿宋_GB2312" w:eastAsia="仿宋_GB2312" w:cs="仿宋_GB2312"/>
          <w:color w:val="auto"/>
          <w:sz w:val="32"/>
          <w:szCs w:val="32"/>
          <w:lang w:val="en-US" w:eastAsia="zh-CN"/>
        </w:rPr>
      </w:pPr>
      <w:bookmarkStart w:id="0" w:name="_Toc3693"/>
      <w:bookmarkStart w:id="1" w:name="_Toc18366"/>
      <w:bookmarkStart w:id="2" w:name="_Toc16180"/>
      <w:r>
        <w:rPr>
          <w:rFonts w:hint="eastAsia" w:ascii="仿宋_GB2312" w:hAnsi="仿宋_GB2312" w:eastAsia="仿宋_GB2312" w:cs="仿宋_GB2312"/>
          <w:color w:val="auto"/>
          <w:sz w:val="32"/>
          <w:szCs w:val="32"/>
          <w:lang w:val="en-US" w:eastAsia="zh-CN"/>
        </w:rPr>
        <w:t>3.2 故障处理要求</w:t>
      </w:r>
      <w:bookmarkEnd w:id="0"/>
      <w:bookmarkEnd w:id="1"/>
      <w:bookmarkEnd w:id="2"/>
    </w:p>
    <w:p>
      <w:pPr>
        <w:pStyle w:val="6"/>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发生故障情况时，中标人派驻的现场运维工程师须立即响应，现场运维工程师不能处理的问题，中标人应抓紧时间指派技术支援力量，并根据故障级别，按照以下处理时限要求，对系统提供7×24小时的全方位维护服务（非运维单位责任范围的时间不在考核内）。</w:t>
      </w:r>
    </w:p>
    <w:tbl>
      <w:tblPr>
        <w:tblStyle w:val="19"/>
        <w:tblW w:w="8248" w:type="dxa"/>
        <w:jc w:val="center"/>
        <w:tblLayout w:type="fixed"/>
        <w:tblCellMar>
          <w:top w:w="0" w:type="dxa"/>
          <w:left w:w="0" w:type="dxa"/>
          <w:bottom w:w="0" w:type="dxa"/>
          <w:right w:w="0" w:type="dxa"/>
        </w:tblCellMar>
      </w:tblPr>
      <w:tblGrid>
        <w:gridCol w:w="2792"/>
        <w:gridCol w:w="2701"/>
        <w:gridCol w:w="2755"/>
      </w:tblGrid>
      <w:tr>
        <w:tblPrEx>
          <w:tblCellMar>
            <w:top w:w="0" w:type="dxa"/>
            <w:left w:w="0" w:type="dxa"/>
            <w:bottom w:w="0" w:type="dxa"/>
            <w:right w:w="0" w:type="dxa"/>
          </w:tblCellMar>
        </w:tblPrEx>
        <w:trPr>
          <w:jc w:val="center"/>
        </w:trPr>
        <w:tc>
          <w:tcPr>
            <w:tcW w:w="2792"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故障等级</w:t>
            </w:r>
          </w:p>
        </w:tc>
        <w:tc>
          <w:tcPr>
            <w:tcW w:w="27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响应时限</w:t>
            </w:r>
          </w:p>
        </w:tc>
        <w:tc>
          <w:tcPr>
            <w:tcW w:w="27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恢复时限</w:t>
            </w:r>
          </w:p>
        </w:tc>
      </w:tr>
      <w:tr>
        <w:tblPrEx>
          <w:tblCellMar>
            <w:top w:w="0" w:type="dxa"/>
            <w:left w:w="0" w:type="dxa"/>
            <w:bottom w:w="0" w:type="dxa"/>
            <w:right w:w="0" w:type="dxa"/>
          </w:tblCellMar>
        </w:tblPrEx>
        <w:trPr>
          <w:jc w:val="center"/>
        </w:trPr>
        <w:tc>
          <w:tcPr>
            <w:tcW w:w="2792"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一级（P1）</w:t>
            </w:r>
          </w:p>
        </w:tc>
        <w:tc>
          <w:tcPr>
            <w:tcW w:w="2701"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&lt;5分钟</w:t>
            </w:r>
          </w:p>
        </w:tc>
        <w:tc>
          <w:tcPr>
            <w:tcW w:w="2755"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&lt;2小时</w:t>
            </w:r>
          </w:p>
        </w:tc>
      </w:tr>
      <w:tr>
        <w:tblPrEx>
          <w:tblCellMar>
            <w:top w:w="0" w:type="dxa"/>
            <w:left w:w="0" w:type="dxa"/>
            <w:bottom w:w="0" w:type="dxa"/>
            <w:right w:w="0" w:type="dxa"/>
          </w:tblCellMar>
        </w:tblPrEx>
        <w:trPr>
          <w:jc w:val="center"/>
        </w:trPr>
        <w:tc>
          <w:tcPr>
            <w:tcW w:w="2792"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二级（P2）</w:t>
            </w:r>
          </w:p>
        </w:tc>
        <w:tc>
          <w:tcPr>
            <w:tcW w:w="2701"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&lt;10分钟</w:t>
            </w:r>
          </w:p>
        </w:tc>
        <w:tc>
          <w:tcPr>
            <w:tcW w:w="2755"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&lt;4小时</w:t>
            </w:r>
          </w:p>
        </w:tc>
      </w:tr>
      <w:tr>
        <w:tblPrEx>
          <w:tblCellMar>
            <w:top w:w="0" w:type="dxa"/>
            <w:left w:w="0" w:type="dxa"/>
            <w:bottom w:w="0" w:type="dxa"/>
            <w:right w:w="0" w:type="dxa"/>
          </w:tblCellMar>
        </w:tblPrEx>
        <w:trPr>
          <w:jc w:val="center"/>
        </w:trPr>
        <w:tc>
          <w:tcPr>
            <w:tcW w:w="2792"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三级（P3）</w:t>
            </w:r>
          </w:p>
        </w:tc>
        <w:tc>
          <w:tcPr>
            <w:tcW w:w="2701"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&lt;20分钟</w:t>
            </w:r>
          </w:p>
        </w:tc>
        <w:tc>
          <w:tcPr>
            <w:tcW w:w="2755"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&lt;8小时</w:t>
            </w:r>
          </w:p>
        </w:tc>
      </w:tr>
      <w:tr>
        <w:tblPrEx>
          <w:tblCellMar>
            <w:top w:w="0" w:type="dxa"/>
            <w:left w:w="0" w:type="dxa"/>
            <w:bottom w:w="0" w:type="dxa"/>
            <w:right w:w="0" w:type="dxa"/>
          </w:tblCellMar>
        </w:tblPrEx>
        <w:trPr>
          <w:jc w:val="center"/>
        </w:trPr>
        <w:tc>
          <w:tcPr>
            <w:tcW w:w="2792"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四级（P4）</w:t>
            </w:r>
          </w:p>
        </w:tc>
        <w:tc>
          <w:tcPr>
            <w:tcW w:w="2701"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&lt;30分钟</w:t>
            </w:r>
          </w:p>
        </w:tc>
        <w:tc>
          <w:tcPr>
            <w:tcW w:w="2755"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pPr>
              <w:widowControl w:val="0"/>
              <w:snapToGrid w:val="0"/>
              <w:ind w:firstLine="0" w:firstLineChars="0"/>
              <w:jc w:val="center"/>
              <w:rPr>
                <w:rFonts w:hint="eastAsia" w:ascii="仿宋_GB2312" w:hAnsi="仿宋_GB2312" w:eastAsia="仿宋_GB2312" w:cs="仿宋_GB2312"/>
                <w:sz w:val="24"/>
              </w:rPr>
            </w:pPr>
            <w:r>
              <w:rPr>
                <w:rFonts w:hint="eastAsia" w:ascii="仿宋_GB2312" w:hAnsi="仿宋_GB2312" w:eastAsia="仿宋_GB2312" w:cs="仿宋_GB2312"/>
                <w:sz w:val="24"/>
              </w:rPr>
              <w:t>&lt;24小时</w:t>
            </w:r>
          </w:p>
        </w:tc>
      </w:tr>
    </w:tbl>
    <w:p>
      <w:pPr>
        <w:sectPr>
          <w:pgSz w:w="11906" w:h="16838"/>
          <w:pgMar w:top="1440" w:right="1800" w:bottom="1440" w:left="1800" w:header="851" w:footer="992" w:gutter="0"/>
          <w:cols w:space="720" w:num="1"/>
          <w:docGrid w:type="lines" w:linePitch="312" w:charSpace="0"/>
        </w:sectPr>
      </w:pP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4. </w:t>
      </w:r>
      <w:r>
        <w:rPr>
          <w:rFonts w:hint="eastAsia" w:ascii="仿宋_GB2312" w:hAnsi="仿宋_GB2312" w:eastAsia="仿宋_GB2312" w:cs="仿宋_GB2312"/>
          <w:b/>
          <w:bCs/>
          <w:sz w:val="32"/>
          <w:szCs w:val="32"/>
        </w:rPr>
        <w:t>服务质量考核要求</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4.1 过程文档：中标服务商（投标人）在运维服务期间必须做好值班记录、维护记录、耗材使用记录、定期巡检记录。</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 满意度管理：建立服务质量考核机制，从工单服务效率、用户反馈、服务质量满意度等方面综合考核。服务过程中配合采购人制定服务满意度调查机制，配合采购人开展满意度调查，充分了解用户满意度情况，服务满意度调查结果作为付款依据（见“结算条件”）。</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4.3 服务培训：服务商（投标人）定期对驻场运维服务人员进行与本项目维护内容相关的培训，包括项目运行维护工作流程、响应、技能及应急服务培训等。</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4.4 服务监督：采购人将不定期对服务驻场人员在岗状态、服务质量、巡查文档进行抽查，发现问题有权要求服务商（投标人）及时整改或更换服务驻场人员。</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4.5 驻场服务人员离职时服务商（投标人）须提前1个月向采购人管理部门报备，并安排后续接管服务人员完成工作交接，确保接管人员可胜任工作后，经采购人管理部门同意后原驻场服务人员方可撤场。</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采购人可按照服务质量考核方法对服务商（投标人）进行考核并处罚。服务期间服务商（投标人）提供的服务不能满足采购人服务要求的，服务商（投标人）必须提出整改方案并落实，经整改后仍达不到服务要求的，采购人有权单方面终止合同，造成的一切损失由服务商（投标人）承担。</w:t>
      </w:r>
    </w:p>
    <w:p>
      <w:pPr>
        <w:keepNext w:val="0"/>
        <w:keepLines w:val="0"/>
        <w:widowControl/>
        <w:suppressLineNumbers w:val="0"/>
        <w:ind w:firstLine="643" w:firstLineChars="20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5.结算条件</w:t>
      </w:r>
    </w:p>
    <w:p>
      <w:pPr>
        <w:bidi w:val="0"/>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（一）付款节点与比例</w:t>
      </w:r>
    </w:p>
    <w:p>
      <w:pPr>
        <w:pStyle w:val="6"/>
        <w:numPr>
          <w:ilvl w:val="0"/>
          <w:numId w:val="0"/>
        </w:numPr>
        <w:spacing w:line="360" w:lineRule="auto"/>
        <w:ind w:left="0" w:leftChars="0" w:firstLine="640" w:firstLineChars="200"/>
        <w:jc w:val="both"/>
        <w:rPr>
          <w:rFonts w:hint="eastAsia" w:ascii="仿宋_GB2312" w:hAnsi="仿宋_GB2312" w:eastAsia="仿宋_GB2312" w:cs="仿宋_GB2312"/>
          <w:b w:val="0"/>
          <w:i w:val="0"/>
          <w:strike w:val="0"/>
          <w:color w:val="auto"/>
          <w:sz w:val="32"/>
          <w:szCs w:val="32"/>
          <w:highlight w:val="none"/>
          <w:u w:val="none"/>
          <w:lang w:val="en-US" w:eastAsia="zh-CN"/>
        </w:rPr>
      </w:pPr>
      <w:r>
        <w:rPr>
          <w:rFonts w:hint="eastAsia" w:ascii="仿宋_GB2312" w:hAnsi="仿宋_GB2312" w:eastAsia="仿宋_GB2312" w:cs="仿宋_GB2312"/>
          <w:b w:val="0"/>
          <w:i w:val="0"/>
          <w:strike w:val="0"/>
          <w:color w:val="auto"/>
          <w:sz w:val="32"/>
          <w:szCs w:val="32"/>
          <w:highlight w:val="none"/>
          <w:u w:val="none"/>
          <w:lang w:val="en-US" w:eastAsia="zh-CN"/>
        </w:rPr>
        <w:t>1.承接方按照本项目需求文件及合同载明的验收标准完成对应阶段性服务内容，并通过阶段性验收后，由委托方签发验收合格文件。</w:t>
      </w:r>
    </w:p>
    <w:p>
      <w:pPr>
        <w:pStyle w:val="6"/>
        <w:numPr>
          <w:ilvl w:val="0"/>
          <w:numId w:val="0"/>
        </w:numPr>
        <w:spacing w:line="360" w:lineRule="auto"/>
        <w:ind w:left="0" w:leftChars="0" w:firstLine="640" w:firstLineChars="200"/>
        <w:jc w:val="both"/>
        <w:rPr>
          <w:rFonts w:hint="default" w:ascii="仿宋_GB2312" w:hAnsi="仿宋_GB2312" w:eastAsia="仿宋_GB2312" w:cs="仿宋_GB2312"/>
          <w:b w:val="0"/>
          <w:i w:val="0"/>
          <w:strike w:val="0"/>
          <w:color w:val="auto"/>
          <w:sz w:val="32"/>
          <w:szCs w:val="32"/>
          <w:highlight w:val="none"/>
          <w:u w:val="none"/>
          <w:lang w:val="en-US" w:eastAsia="zh-CN"/>
        </w:rPr>
      </w:pPr>
      <w:r>
        <w:rPr>
          <w:rFonts w:hint="eastAsia" w:ascii="仿宋_GB2312" w:hAnsi="仿宋_GB2312" w:eastAsia="仿宋_GB2312" w:cs="仿宋_GB2312"/>
          <w:b w:val="0"/>
          <w:i w:val="0"/>
          <w:strike w:val="0"/>
          <w:color w:val="auto"/>
          <w:sz w:val="32"/>
          <w:szCs w:val="32"/>
          <w:highlight w:val="none"/>
          <w:u w:val="none"/>
          <w:lang w:val="en-US" w:eastAsia="zh-CN"/>
        </w:rPr>
        <w:t>2.承接方应依据双方签署的合同约定的支付方式，提请付款申请，委托方向承接方支付当期服务费用（其中基本服务费占比70%，履约服务费占比30%），其中第一期基本服务费占比100%（不含履约服务费）。实际付款金额计算公式如下：实际付款金额 = 当期服务费用×70%+当期服务费用×30%×本次履约评价对应实际支付比例。</w:t>
      </w:r>
    </w:p>
    <w:p>
      <w:pPr>
        <w:pStyle w:val="6"/>
        <w:numPr>
          <w:ilvl w:val="0"/>
          <w:numId w:val="0"/>
        </w:numPr>
        <w:spacing w:line="360" w:lineRule="auto"/>
        <w:ind w:left="0" w:leftChars="0" w:firstLine="640" w:firstLineChars="200"/>
        <w:jc w:val="both"/>
        <w:rPr>
          <w:rFonts w:hint="eastAsia" w:ascii="仿宋_GB2312" w:hAnsi="仿宋_GB2312" w:eastAsia="仿宋_GB2312" w:cs="仿宋_GB2312"/>
          <w:b w:val="0"/>
          <w:i w:val="0"/>
          <w:strike w:val="0"/>
          <w:color w:val="auto"/>
          <w:sz w:val="32"/>
          <w:szCs w:val="32"/>
          <w:highlight w:val="none"/>
          <w:u w:val="none"/>
          <w:lang w:val="en-US" w:eastAsia="zh-CN"/>
        </w:rPr>
      </w:pPr>
      <w:r>
        <w:rPr>
          <w:rFonts w:hint="eastAsia" w:ascii="仿宋_GB2312" w:hAnsi="仿宋_GB2312" w:eastAsia="仿宋_GB2312" w:cs="仿宋_GB2312"/>
          <w:b w:val="0"/>
          <w:i w:val="0"/>
          <w:strike w:val="0"/>
          <w:color w:val="auto"/>
          <w:sz w:val="32"/>
          <w:szCs w:val="32"/>
          <w:highlight w:val="none"/>
          <w:u w:val="none"/>
          <w:lang w:val="en-US" w:eastAsia="zh-CN"/>
        </w:rPr>
        <w:t>3.每次付款申请，承接方须提供：</w:t>
      </w:r>
    </w:p>
    <w:p>
      <w:pPr>
        <w:pStyle w:val="6"/>
        <w:numPr>
          <w:ilvl w:val="0"/>
          <w:numId w:val="0"/>
        </w:numPr>
        <w:spacing w:line="360" w:lineRule="auto"/>
        <w:ind w:left="0" w:leftChars="0" w:firstLine="640" w:firstLineChars="200"/>
        <w:jc w:val="both"/>
        <w:rPr>
          <w:rFonts w:hint="eastAsia" w:ascii="仿宋_GB2312" w:hAnsi="仿宋_GB2312" w:eastAsia="仿宋_GB2312" w:cs="仿宋_GB2312"/>
          <w:b w:val="0"/>
          <w:i w:val="0"/>
          <w:strike w:val="0"/>
          <w:color w:val="auto"/>
          <w:sz w:val="32"/>
          <w:szCs w:val="32"/>
          <w:highlight w:val="none"/>
          <w:u w:val="none"/>
          <w:lang w:val="en-US" w:eastAsia="zh-CN"/>
        </w:rPr>
      </w:pPr>
      <w:r>
        <w:rPr>
          <w:rFonts w:hint="eastAsia" w:ascii="仿宋_GB2312" w:hAnsi="仿宋_GB2312" w:eastAsia="仿宋_GB2312" w:cs="仿宋_GB2312"/>
          <w:b w:val="0"/>
          <w:i w:val="0"/>
          <w:strike w:val="0"/>
          <w:color w:val="auto"/>
          <w:sz w:val="32"/>
          <w:szCs w:val="32"/>
          <w:highlight w:val="none"/>
          <w:u w:val="none"/>
          <w:lang w:val="en-US" w:eastAsia="zh-CN"/>
        </w:rPr>
        <w:t>（1）承接方出具的当期支付申请；</w:t>
      </w:r>
    </w:p>
    <w:p>
      <w:pPr>
        <w:pStyle w:val="6"/>
        <w:numPr>
          <w:ilvl w:val="0"/>
          <w:numId w:val="0"/>
        </w:numPr>
        <w:spacing w:line="360" w:lineRule="auto"/>
        <w:ind w:left="0" w:leftChars="0" w:firstLine="640" w:firstLineChars="200"/>
        <w:jc w:val="both"/>
        <w:rPr>
          <w:rFonts w:hint="eastAsia" w:ascii="仿宋_GB2312" w:hAnsi="仿宋_GB2312" w:eastAsia="仿宋_GB2312" w:cs="仿宋_GB2312"/>
          <w:b w:val="0"/>
          <w:i w:val="0"/>
          <w:strike w:val="0"/>
          <w:color w:val="auto"/>
          <w:sz w:val="32"/>
          <w:szCs w:val="32"/>
          <w:highlight w:val="none"/>
          <w:u w:val="none"/>
          <w:lang w:val="en-US" w:eastAsia="zh-CN"/>
        </w:rPr>
      </w:pPr>
      <w:r>
        <w:rPr>
          <w:rFonts w:hint="eastAsia" w:ascii="仿宋_GB2312" w:hAnsi="仿宋_GB2312" w:eastAsia="仿宋_GB2312" w:cs="仿宋_GB2312"/>
          <w:b w:val="0"/>
          <w:i w:val="0"/>
          <w:strike w:val="0"/>
          <w:color w:val="auto"/>
          <w:sz w:val="32"/>
          <w:szCs w:val="32"/>
          <w:highlight w:val="none"/>
          <w:u w:val="none"/>
          <w:lang w:val="en-US" w:eastAsia="zh-CN"/>
        </w:rPr>
        <w:t>（2）委托方签发的当期验收合格报告（第一期除外）；</w:t>
      </w:r>
    </w:p>
    <w:p>
      <w:pPr>
        <w:pStyle w:val="6"/>
        <w:numPr>
          <w:ilvl w:val="0"/>
          <w:numId w:val="0"/>
        </w:numPr>
        <w:spacing w:line="360" w:lineRule="auto"/>
        <w:ind w:left="0" w:leftChars="0" w:firstLine="640" w:firstLineChars="200"/>
        <w:jc w:val="both"/>
        <w:rPr>
          <w:rFonts w:hint="eastAsia" w:ascii="仿宋_GB2312" w:hAnsi="仿宋_GB2312" w:eastAsia="仿宋_GB2312" w:cs="仿宋_GB2312"/>
          <w:b w:val="0"/>
          <w:i w:val="0"/>
          <w:strike w:val="0"/>
          <w:color w:val="auto"/>
          <w:sz w:val="32"/>
          <w:szCs w:val="32"/>
          <w:highlight w:val="none"/>
          <w:u w:val="none"/>
          <w:lang w:val="en-US" w:eastAsia="zh-CN"/>
        </w:rPr>
      </w:pPr>
      <w:r>
        <w:rPr>
          <w:rFonts w:hint="eastAsia" w:ascii="仿宋_GB2312" w:hAnsi="仿宋_GB2312" w:eastAsia="仿宋_GB2312" w:cs="仿宋_GB2312"/>
          <w:b w:val="0"/>
          <w:i w:val="0"/>
          <w:strike w:val="0"/>
          <w:color w:val="auto"/>
          <w:sz w:val="32"/>
          <w:szCs w:val="32"/>
          <w:highlight w:val="none"/>
          <w:u w:val="none"/>
          <w:lang w:val="en-US" w:eastAsia="zh-CN"/>
        </w:rPr>
        <w:t>（3）当期委托方签发的履约评价表（第一期除外）；</w:t>
      </w:r>
    </w:p>
    <w:p>
      <w:pPr>
        <w:pStyle w:val="6"/>
        <w:numPr>
          <w:ilvl w:val="0"/>
          <w:numId w:val="0"/>
        </w:numPr>
        <w:spacing w:line="360" w:lineRule="auto"/>
        <w:ind w:left="0" w:leftChars="0" w:firstLine="640" w:firstLineChars="200"/>
        <w:jc w:val="both"/>
        <w:rPr>
          <w:rFonts w:hint="eastAsia" w:ascii="仿宋_GB2312" w:hAnsi="仿宋_GB2312" w:eastAsia="仿宋_GB2312" w:cs="仿宋_GB2312"/>
          <w:b w:val="0"/>
          <w:i w:val="0"/>
          <w:strike w:val="0"/>
          <w:color w:val="auto"/>
          <w:sz w:val="32"/>
          <w:szCs w:val="32"/>
          <w:highlight w:val="none"/>
          <w:u w:val="none"/>
          <w:lang w:val="en-US" w:eastAsia="zh-CN"/>
        </w:rPr>
      </w:pPr>
      <w:r>
        <w:rPr>
          <w:rFonts w:hint="eastAsia" w:ascii="仿宋_GB2312" w:hAnsi="仿宋_GB2312" w:eastAsia="仿宋_GB2312" w:cs="仿宋_GB2312"/>
          <w:b w:val="0"/>
          <w:i w:val="0"/>
          <w:strike w:val="0"/>
          <w:color w:val="auto"/>
          <w:sz w:val="32"/>
          <w:szCs w:val="32"/>
          <w:highlight w:val="none"/>
          <w:u w:val="none"/>
          <w:lang w:val="en-US" w:eastAsia="zh-CN"/>
        </w:rPr>
        <w:t>（4）承接方开具的与委托方本阶段实际支付等额的增值专用发票。</w:t>
      </w:r>
    </w:p>
    <w:p>
      <w:pPr>
        <w:bidi w:val="0"/>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（二）履约服务费</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委托方在每次付款前，将会对承接方进行履约评价，并按照履约评价结果支付履约服务费，履约服务费按履约评价结果与每阶段的基本服务费同期支付。</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1.履约评价分为五种结果，分别为优秀、良好、中等、合格、不合格。履约评价结果对应实际支付比例：</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（1）履约评价等级为优秀的，支付当期100％履约服务费。</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（2）履约评价等级为良好的，支付当期80％履约服务费。</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（3）履约评价等级为中等的，支付当期70％履约服务费。</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（4）履约评价等级为合格的，支付当期60%履约服务费。</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（5）履约评价等级为不合格的，不予支付当期履约服务费，后续履约评价及结算时均不予补发。</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2.实际支付履约服务费=应支付履约服务费*履约评价结果对应实际支付比例。</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3.因履约评价未达优秀而被扣减的履约服务费，后续亦不予补发。</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仿宋_GB2312" w:cs="仿宋_GB2312"/>
          <w:b w:val="0"/>
          <w:i w:val="0"/>
          <w:strike w:val="0"/>
          <w:color w:val="auto"/>
          <w:spacing w:val="-6"/>
          <w:kern w:val="2"/>
          <w:sz w:val="32"/>
          <w:szCs w:val="32"/>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（三）履约评价表</w:t>
      </w:r>
    </w:p>
    <w:p>
      <w:pPr>
        <w:keepNext w:val="0"/>
        <w:keepLines w:val="0"/>
        <w:pageBreakBefore w:val="0"/>
        <w:widowControl w:val="0"/>
        <w:kinsoku/>
        <w:wordWrap/>
        <w:overflowPunct/>
        <w:topLinePunct w:val="0"/>
        <w:autoSpaceDE/>
        <w:autoSpaceDN/>
        <w:bidi w:val="0"/>
        <w:adjustRightInd/>
        <w:snapToGrid/>
        <w:spacing w:after="120" w:line="360" w:lineRule="auto"/>
        <w:ind w:left="0" w:leftChars="0" w:firstLine="480" w:firstLineChars="200"/>
        <w:jc w:val="center"/>
        <w:textAlignment w:val="auto"/>
        <w:rPr>
          <w:rFonts w:hint="eastAsia" w:ascii="仿宋_GB2312" w:hAnsi="仿宋_GB2312" w:eastAsia="宋体" w:cs="仿宋_GB2312"/>
          <w:b w:val="0"/>
          <w:bCs w:val="0"/>
          <w:i w:val="0"/>
          <w:strike w:val="0"/>
          <w:color w:val="auto"/>
          <w:sz w:val="24"/>
          <w:szCs w:val="24"/>
          <w:highlight w:val="none"/>
          <w:u w:val="none"/>
          <w:lang w:eastAsia="zh-CN"/>
        </w:rPr>
      </w:pPr>
      <w:r>
        <w:rPr>
          <w:rFonts w:hint="eastAsia" w:ascii="仿宋_GB2312" w:hAnsi="仿宋_GB2312" w:eastAsia="宋体" w:cs="仿宋_GB2312"/>
          <w:b w:val="0"/>
          <w:bCs w:val="0"/>
          <w:i w:val="0"/>
          <w:strike w:val="0"/>
          <w:color w:val="auto"/>
          <w:sz w:val="24"/>
          <w:szCs w:val="24"/>
          <w:highlight w:val="none"/>
          <w:u w:val="none"/>
          <w:lang w:eastAsia="zh-CN"/>
        </w:rPr>
        <w:t>《深圳交易集团</w:t>
      </w:r>
      <w:r>
        <w:rPr>
          <w:rFonts w:hint="eastAsia" w:ascii="仿宋_GB2312" w:hAnsi="仿宋_GB2312" w:eastAsia="宋体" w:cs="仿宋_GB2312"/>
          <w:b w:val="0"/>
          <w:bCs w:val="0"/>
          <w:i w:val="0"/>
          <w:strike w:val="0"/>
          <w:color w:val="auto"/>
          <w:sz w:val="24"/>
          <w:szCs w:val="24"/>
          <w:highlight w:val="none"/>
          <w:u w:val="none"/>
          <w:lang w:val="en-US" w:eastAsia="zh-CN"/>
        </w:rPr>
        <w:t>项目</w:t>
      </w:r>
      <w:r>
        <w:rPr>
          <w:rFonts w:hint="eastAsia" w:ascii="仿宋_GB2312" w:hAnsi="仿宋_GB2312" w:eastAsia="宋体" w:cs="仿宋_GB2312"/>
          <w:b w:val="0"/>
          <w:bCs w:val="0"/>
          <w:i w:val="0"/>
          <w:strike w:val="0"/>
          <w:color w:val="auto"/>
          <w:sz w:val="24"/>
          <w:szCs w:val="24"/>
          <w:highlight w:val="none"/>
          <w:u w:val="none"/>
          <w:lang w:eastAsia="zh-CN"/>
        </w:rPr>
        <w:t>履约情况评价表》</w:t>
      </w:r>
    </w:p>
    <w:p>
      <w:pPr>
        <w:keepNext w:val="0"/>
        <w:keepLines w:val="0"/>
        <w:pageBreakBefore w:val="0"/>
        <w:widowControl w:val="0"/>
        <w:kinsoku/>
        <w:wordWrap/>
        <w:overflowPunct/>
        <w:topLinePunct w:val="0"/>
        <w:autoSpaceDE/>
        <w:autoSpaceDN/>
        <w:bidi w:val="0"/>
        <w:adjustRightInd/>
        <w:snapToGrid/>
        <w:spacing w:after="120" w:line="360" w:lineRule="auto"/>
        <w:ind w:left="0" w:leftChars="0" w:firstLine="480" w:firstLineChars="200"/>
        <w:jc w:val="both"/>
        <w:textAlignment w:val="auto"/>
        <w:rPr>
          <w:rFonts w:hint="eastAsia" w:ascii="仿宋_GB2312" w:hAnsi="仿宋_GB2312" w:eastAsia="宋体" w:cs="仿宋_GB2312"/>
          <w:b w:val="0"/>
          <w:bCs w:val="0"/>
          <w:i w:val="0"/>
          <w:strike w:val="0"/>
          <w:color w:val="auto"/>
          <w:sz w:val="24"/>
          <w:szCs w:val="24"/>
          <w:highlight w:val="none"/>
          <w:u w:val="none"/>
          <w:lang w:eastAsia="zh-CN"/>
        </w:rPr>
      </w:pPr>
      <w:r>
        <w:rPr>
          <w:rFonts w:hint="eastAsia" w:ascii="仿宋_GB2312" w:hAnsi="仿宋_GB2312" w:eastAsia="宋体" w:cs="仿宋_GB2312"/>
          <w:b w:val="0"/>
          <w:bCs w:val="0"/>
          <w:i w:val="0"/>
          <w:strike w:val="0"/>
          <w:color w:val="auto"/>
          <w:sz w:val="24"/>
          <w:szCs w:val="24"/>
          <w:highlight w:val="none"/>
          <w:u w:val="none"/>
          <w:lang w:eastAsia="zh-CN"/>
        </w:rPr>
        <w:t xml:space="preserve">评价单位：                   </w:t>
      </w:r>
      <w:r>
        <w:rPr>
          <w:rFonts w:hint="eastAsia" w:ascii="仿宋_GB2312" w:hAnsi="仿宋_GB2312" w:eastAsia="宋体" w:cs="仿宋_GB2312"/>
          <w:b w:val="0"/>
          <w:bCs w:val="0"/>
          <w:i w:val="0"/>
          <w:strike w:val="0"/>
          <w:color w:val="auto"/>
          <w:sz w:val="24"/>
          <w:szCs w:val="24"/>
          <w:highlight w:val="none"/>
          <w:u w:val="none"/>
          <w:lang w:val="en-US" w:eastAsia="zh-CN"/>
        </w:rPr>
        <w:t xml:space="preserve">        评价</w:t>
      </w:r>
      <w:r>
        <w:rPr>
          <w:rFonts w:hint="eastAsia" w:ascii="仿宋_GB2312" w:hAnsi="仿宋_GB2312" w:eastAsia="宋体" w:cs="仿宋_GB2312"/>
          <w:b w:val="0"/>
          <w:bCs w:val="0"/>
          <w:i w:val="0"/>
          <w:strike w:val="0"/>
          <w:color w:val="auto"/>
          <w:sz w:val="24"/>
          <w:szCs w:val="24"/>
          <w:highlight w:val="none"/>
          <w:u w:val="none"/>
          <w:lang w:eastAsia="zh-CN"/>
        </w:rPr>
        <w:t>人及电话：</w:t>
      </w:r>
    </w:p>
    <w:tbl>
      <w:tblPr>
        <w:tblStyle w:val="19"/>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070"/>
        <w:gridCol w:w="1604"/>
        <w:gridCol w:w="2155"/>
        <w:gridCol w:w="2158"/>
        <w:gridCol w:w="1799"/>
        <w:gridCol w:w="108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2445" w:type="pct"/>
            <w:gridSpan w:val="3"/>
            <w:vAlign w:val="center"/>
          </w:tcPr>
          <w:p>
            <w:pPr>
              <w:widowControl/>
              <w:snapToGrid w:val="0"/>
              <w:spacing w:line="360" w:lineRule="auto"/>
              <w:jc w:val="center"/>
              <w:rPr>
                <w:rFonts w:hint="eastAsia" w:ascii="仿宋_GB2312" w:hAnsi="宋体" w:eastAsia="仿宋_GB2312" w:cs="Times New Roman"/>
                <w:b w:val="0"/>
                <w:bCs w:val="0"/>
                <w:szCs w:val="21"/>
                <w:highlight w:val="none"/>
                <w:lang w:val="en-US" w:eastAsia="zh-CN"/>
              </w:rPr>
            </w:pPr>
            <w:r>
              <w:rPr>
                <w:rFonts w:hint="eastAsia" w:ascii="仿宋_GB2312" w:hAnsi="宋体" w:eastAsia="仿宋_GB2312" w:cs="Times New Roman"/>
                <w:b w:val="0"/>
                <w:bCs w:val="0"/>
                <w:szCs w:val="21"/>
                <w:highlight w:val="none"/>
                <w:lang w:val="en-US" w:eastAsia="zh-CN"/>
              </w:rPr>
              <w:t>承接方</w:t>
            </w:r>
          </w:p>
        </w:tc>
        <w:tc>
          <w:tcPr>
            <w:tcW w:w="1093" w:type="pct"/>
            <w:vAlign w:val="center"/>
          </w:tcPr>
          <w:p>
            <w:pPr>
              <w:widowControl/>
              <w:snapToGrid w:val="0"/>
              <w:ind w:firstLine="420" w:firstLineChars="200"/>
              <w:rPr>
                <w:rFonts w:hint="eastAsia" w:ascii="仿宋_GB2312" w:hAnsi="宋体" w:eastAsia="仿宋_GB2312" w:cs="Times New Roman"/>
                <w:b w:val="0"/>
                <w:bCs w:val="0"/>
                <w:szCs w:val="21"/>
                <w:highlight w:val="none"/>
              </w:rPr>
            </w:pPr>
          </w:p>
        </w:tc>
        <w:tc>
          <w:tcPr>
            <w:tcW w:w="911" w:type="pct"/>
            <w:vAlign w:val="center"/>
          </w:tcPr>
          <w:p>
            <w:pPr>
              <w:widowControl/>
              <w:snapToGrid w:val="0"/>
              <w:spacing w:line="360" w:lineRule="auto"/>
              <w:jc w:val="center"/>
              <w:rPr>
                <w:rFonts w:hint="default" w:ascii="仿宋_GB2312" w:hAnsi="宋体" w:eastAsia="仿宋_GB2312" w:cs="Times New Roman"/>
                <w:b w:val="0"/>
                <w:bCs w:val="0"/>
                <w:szCs w:val="21"/>
                <w:highlight w:val="none"/>
                <w:lang w:val="en-US"/>
              </w:rPr>
            </w:pPr>
            <w:r>
              <w:rPr>
                <w:rFonts w:hint="eastAsia" w:ascii="仿宋_GB2312" w:hAnsi="宋体" w:eastAsia="仿宋_GB2312" w:cs="Times New Roman"/>
                <w:b w:val="0"/>
                <w:bCs w:val="0"/>
                <w:szCs w:val="21"/>
                <w:highlight w:val="none"/>
                <w:lang w:val="en-US" w:eastAsia="zh-CN"/>
              </w:rPr>
              <w:t>服务周期</w:t>
            </w:r>
          </w:p>
        </w:tc>
        <w:tc>
          <w:tcPr>
            <w:tcW w:w="549" w:type="pct"/>
            <w:vAlign w:val="center"/>
          </w:tcPr>
          <w:p>
            <w:pPr>
              <w:widowControl/>
              <w:snapToGrid w:val="0"/>
              <w:spacing w:line="360" w:lineRule="auto"/>
              <w:ind w:firstLine="420" w:firstLineChars="200"/>
              <w:jc w:val="center"/>
              <w:rPr>
                <w:rFonts w:hint="eastAsia" w:ascii="仿宋_GB2312" w:hAnsi="宋体" w:eastAsia="仿宋_GB2312" w:cs="Times New Roman"/>
                <w:b w:val="0"/>
                <w:bCs w:val="0"/>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b w:val="0"/>
                <w:bCs w:val="0"/>
                <w:szCs w:val="21"/>
                <w:highlight w:val="none"/>
              </w:rPr>
            </w:pPr>
            <w:r>
              <w:rPr>
                <w:rFonts w:hint="eastAsia" w:ascii="仿宋_GB2312" w:hAnsi="宋体" w:eastAsia="仿宋_GB2312" w:cs="Times New Roman"/>
                <w:b w:val="0"/>
                <w:bCs w:val="0"/>
                <w:szCs w:val="21"/>
                <w:highlight w:val="none"/>
              </w:rPr>
              <w:t>序号</w:t>
            </w:r>
          </w:p>
        </w:tc>
        <w:tc>
          <w:tcPr>
            <w:tcW w:w="1902" w:type="pct"/>
            <w:gridSpan w:val="2"/>
            <w:vAlign w:val="center"/>
          </w:tcPr>
          <w:p>
            <w:pPr>
              <w:widowControl/>
              <w:snapToGrid w:val="0"/>
              <w:spacing w:line="360" w:lineRule="auto"/>
              <w:jc w:val="center"/>
              <w:rPr>
                <w:rFonts w:hint="eastAsia" w:ascii="仿宋_GB2312" w:hAnsi="宋体" w:eastAsia="仿宋_GB2312" w:cs="Times New Roman"/>
                <w:b w:val="0"/>
                <w:bCs w:val="0"/>
                <w:szCs w:val="21"/>
                <w:highlight w:val="none"/>
              </w:rPr>
            </w:pPr>
            <w:r>
              <w:rPr>
                <w:rFonts w:hint="eastAsia" w:ascii="仿宋_GB2312" w:hAnsi="宋体" w:eastAsia="仿宋_GB2312" w:cs="Times New Roman"/>
                <w:b w:val="0"/>
                <w:bCs w:val="0"/>
                <w:szCs w:val="21"/>
                <w:highlight w:val="none"/>
              </w:rPr>
              <w:t>评价内容</w:t>
            </w:r>
          </w:p>
        </w:tc>
        <w:tc>
          <w:tcPr>
            <w:tcW w:w="1093" w:type="pct"/>
            <w:vAlign w:val="center"/>
          </w:tcPr>
          <w:p>
            <w:pPr>
              <w:widowControl/>
              <w:snapToGrid w:val="0"/>
              <w:spacing w:line="360" w:lineRule="auto"/>
              <w:jc w:val="center"/>
              <w:rPr>
                <w:rFonts w:hint="eastAsia" w:ascii="仿宋_GB2312" w:hAnsi="宋体" w:eastAsia="仿宋_GB2312" w:cs="Times New Roman"/>
                <w:b w:val="0"/>
                <w:bCs w:val="0"/>
                <w:szCs w:val="21"/>
                <w:highlight w:val="none"/>
              </w:rPr>
            </w:pPr>
            <w:r>
              <w:rPr>
                <w:rFonts w:hint="eastAsia" w:ascii="仿宋_GB2312" w:hAnsi="宋体" w:eastAsia="仿宋_GB2312" w:cs="Times New Roman"/>
                <w:b w:val="0"/>
                <w:bCs w:val="0"/>
                <w:szCs w:val="21"/>
                <w:highlight w:val="none"/>
              </w:rPr>
              <w:t>分值（分）</w:t>
            </w:r>
          </w:p>
        </w:tc>
        <w:tc>
          <w:tcPr>
            <w:tcW w:w="911" w:type="pct"/>
            <w:vAlign w:val="center"/>
          </w:tcPr>
          <w:p>
            <w:pPr>
              <w:widowControl/>
              <w:snapToGrid w:val="0"/>
              <w:spacing w:line="360" w:lineRule="auto"/>
              <w:jc w:val="center"/>
              <w:rPr>
                <w:rFonts w:hint="eastAsia" w:ascii="仿宋_GB2312" w:hAnsi="宋体" w:eastAsia="仿宋_GB2312" w:cs="Times New Roman"/>
                <w:b w:val="0"/>
                <w:bCs w:val="0"/>
                <w:szCs w:val="21"/>
                <w:highlight w:val="none"/>
              </w:rPr>
            </w:pPr>
            <w:r>
              <w:rPr>
                <w:rFonts w:hint="eastAsia" w:ascii="仿宋_GB2312" w:hAnsi="宋体" w:eastAsia="仿宋_GB2312" w:cs="Times New Roman"/>
                <w:b w:val="0"/>
                <w:bCs w:val="0"/>
                <w:szCs w:val="21"/>
                <w:highlight w:val="none"/>
              </w:rPr>
              <w:t>实际得分</w:t>
            </w:r>
          </w:p>
        </w:tc>
        <w:tc>
          <w:tcPr>
            <w:tcW w:w="549" w:type="pct"/>
            <w:vAlign w:val="center"/>
          </w:tcPr>
          <w:p>
            <w:pPr>
              <w:widowControl/>
              <w:snapToGrid w:val="0"/>
              <w:spacing w:line="360" w:lineRule="auto"/>
              <w:jc w:val="center"/>
              <w:rPr>
                <w:rFonts w:hint="eastAsia" w:ascii="仿宋_GB2312" w:hAnsi="宋体" w:eastAsia="仿宋_GB2312" w:cs="Times New Roman"/>
                <w:b w:val="0"/>
                <w:bCs w:val="0"/>
                <w:szCs w:val="21"/>
                <w:highlight w:val="none"/>
              </w:rPr>
            </w:pPr>
            <w:r>
              <w:rPr>
                <w:rFonts w:hint="eastAsia" w:ascii="仿宋_GB2312" w:hAnsi="宋体" w:eastAsia="仿宋_GB2312" w:cs="Times New Roman"/>
                <w:b w:val="0"/>
                <w:bCs w:val="0"/>
                <w:szCs w:val="21"/>
                <w:highlight w:val="none"/>
              </w:rPr>
              <w:t>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b/>
                <w:bCs/>
                <w:szCs w:val="21"/>
                <w:highlight w:val="none"/>
              </w:rPr>
            </w:pPr>
            <w:r>
              <w:rPr>
                <w:rFonts w:hint="eastAsia" w:ascii="仿宋_GB2312" w:hAnsi="宋体" w:eastAsia="仿宋_GB2312" w:cs="Times New Roman"/>
                <w:szCs w:val="21"/>
                <w:highlight w:val="none"/>
              </w:rPr>
              <w:t>1</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lang w:val="en-US" w:eastAsia="zh-CN"/>
              </w:rPr>
              <w:t>服务</w:t>
            </w:r>
            <w:r>
              <w:rPr>
                <w:rFonts w:hint="eastAsia" w:ascii="仿宋_GB2312" w:hAnsi="宋体" w:eastAsia="仿宋_GB2312" w:cs="Times New Roman"/>
                <w:szCs w:val="21"/>
                <w:highlight w:val="none"/>
              </w:rPr>
              <w:t>内容落实与保障措施</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仿宋_GB2312" w:hAnsi="宋体" w:eastAsia="仿宋_GB2312" w:cs="Times New Roman"/>
                <w:szCs w:val="21"/>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2</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人员配备与投入</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仿宋_GB2312" w:hAnsi="宋体" w:eastAsia="仿宋_GB2312" w:cs="Times New Roman"/>
                <w:szCs w:val="21"/>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3</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服务质量</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仿宋_GB2312" w:hAnsi="宋体" w:eastAsia="仿宋_GB2312" w:cs="Times New Roman"/>
                <w:szCs w:val="21"/>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4</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服务效率</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仿宋_GB2312" w:hAnsi="宋体" w:eastAsia="仿宋_GB2312" w:cs="Times New Roman"/>
                <w:szCs w:val="21"/>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5</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服务态度</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宋体" w:hAnsi="宋体" w:eastAsia="宋体" w:cs="宋体"/>
                <w:sz w:val="18"/>
                <w:szCs w:val="18"/>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6</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安全保障</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宋体" w:hAnsi="宋体" w:eastAsia="宋体" w:cs="宋体"/>
                <w:sz w:val="18"/>
                <w:szCs w:val="18"/>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7</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项目经理履职情况</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宋体" w:hAnsi="宋体" w:eastAsia="宋体" w:cs="宋体"/>
                <w:sz w:val="18"/>
                <w:szCs w:val="18"/>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542"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8</w:t>
            </w:r>
          </w:p>
        </w:tc>
        <w:tc>
          <w:tcPr>
            <w:tcW w:w="1902" w:type="pct"/>
            <w:gridSpan w:val="2"/>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其他</w:t>
            </w:r>
          </w:p>
        </w:tc>
        <w:tc>
          <w:tcPr>
            <w:tcW w:w="1093" w:type="pct"/>
            <w:vAlign w:val="center"/>
          </w:tcPr>
          <w:p>
            <w:pPr>
              <w:widowControl/>
              <w:snapToGrid w:val="0"/>
              <w:spacing w:line="360" w:lineRule="auto"/>
              <w:jc w:val="center"/>
              <w:rPr>
                <w:rFonts w:hint="eastAsia" w:ascii="仿宋_GB2312" w:hAnsi="宋体" w:eastAsia="仿宋_GB2312" w:cs="Times New Roman"/>
                <w:szCs w:val="21"/>
                <w:highlight w:val="none"/>
              </w:rPr>
            </w:pPr>
            <w:r>
              <w:rPr>
                <w:rFonts w:hint="eastAsia" w:ascii="仿宋_GB2312" w:hAnsi="宋体" w:eastAsia="仿宋_GB2312" w:cs="Times New Roman"/>
                <w:szCs w:val="21"/>
                <w:highlight w:val="none"/>
              </w:rPr>
              <w:t>100</w:t>
            </w:r>
          </w:p>
        </w:tc>
        <w:tc>
          <w:tcPr>
            <w:tcW w:w="911" w:type="pct"/>
            <w:vAlign w:val="center"/>
          </w:tcPr>
          <w:p>
            <w:pPr>
              <w:widowControl/>
              <w:snapToGrid w:val="0"/>
              <w:spacing w:line="360" w:lineRule="auto"/>
              <w:jc w:val="center"/>
              <w:rPr>
                <w:rFonts w:hint="eastAsia" w:ascii="宋体" w:hAnsi="宋体" w:eastAsia="宋体" w:cs="宋体"/>
                <w:sz w:val="18"/>
                <w:szCs w:val="18"/>
                <w:highlight w:val="none"/>
              </w:rPr>
            </w:pPr>
          </w:p>
        </w:tc>
        <w:tc>
          <w:tcPr>
            <w:tcW w:w="549" w:type="pct"/>
            <w:vAlign w:val="center"/>
          </w:tcPr>
          <w:p>
            <w:pPr>
              <w:widowControl/>
              <w:snapToGrid w:val="0"/>
              <w:spacing w:line="360" w:lineRule="auto"/>
              <w:jc w:val="center"/>
              <w:rPr>
                <w:rFonts w:hint="eastAsia" w:ascii="仿宋_GB2312" w:hAnsi="宋体" w:eastAsia="仿宋_GB2312"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2445" w:type="pct"/>
            <w:gridSpan w:val="3"/>
            <w:vAlign w:val="center"/>
          </w:tcPr>
          <w:p>
            <w:pPr>
              <w:widowControl/>
              <w:snapToGrid w:val="0"/>
              <w:spacing w:line="360" w:lineRule="auto"/>
              <w:jc w:val="center"/>
              <w:rPr>
                <w:rFonts w:hint="eastAsia" w:ascii="仿宋_GB2312" w:hAnsi="宋体" w:eastAsia="仿宋_GB2312" w:cs="Times New Roman"/>
                <w:b/>
                <w:bCs/>
                <w:szCs w:val="21"/>
                <w:highlight w:val="none"/>
              </w:rPr>
            </w:pPr>
            <w:r>
              <w:rPr>
                <w:rFonts w:hint="eastAsia" w:ascii="仿宋_GB2312" w:hAnsi="宋体" w:eastAsia="仿宋_GB2312" w:cs="Times New Roman"/>
                <w:b/>
                <w:bCs/>
                <w:szCs w:val="21"/>
                <w:highlight w:val="none"/>
              </w:rPr>
              <w:t>综合考评总分</w:t>
            </w:r>
          </w:p>
          <w:p>
            <w:pPr>
              <w:widowControl/>
              <w:snapToGrid w:val="0"/>
              <w:spacing w:line="360" w:lineRule="auto"/>
              <w:jc w:val="center"/>
              <w:rPr>
                <w:rFonts w:hint="eastAsia" w:ascii="仿宋_GB2312" w:hAnsi="宋体" w:eastAsia="仿宋_GB2312" w:cs="Times New Roman"/>
                <w:b/>
                <w:bCs/>
                <w:szCs w:val="21"/>
                <w:highlight w:val="none"/>
              </w:rPr>
            </w:pPr>
            <w:r>
              <w:rPr>
                <w:rFonts w:hint="eastAsia" w:ascii="仿宋_GB2312" w:hAnsi="宋体" w:eastAsia="仿宋_GB2312" w:cs="Times New Roman"/>
                <w:b/>
                <w:bCs/>
                <w:szCs w:val="21"/>
                <w:highlight w:val="none"/>
              </w:rPr>
              <w:t>（即上述实际得分的平均值）</w:t>
            </w:r>
          </w:p>
        </w:tc>
        <w:tc>
          <w:tcPr>
            <w:tcW w:w="2554" w:type="pct"/>
            <w:gridSpan w:val="3"/>
            <w:vAlign w:val="center"/>
          </w:tcPr>
          <w:p>
            <w:pPr>
              <w:widowControl/>
              <w:snapToGrid w:val="0"/>
              <w:spacing w:line="360" w:lineRule="auto"/>
              <w:ind w:firstLine="420" w:firstLineChars="200"/>
              <w:rPr>
                <w:rFonts w:hint="eastAsia" w:ascii="宋体" w:hAnsi="宋体" w:eastAsia="宋体" w:cs="Times New Roman"/>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354" w:type="pct"/>
            <w:gridSpan w:val="2"/>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具体情况说明</w:t>
            </w:r>
          </w:p>
        </w:tc>
        <w:tc>
          <w:tcPr>
            <w:tcW w:w="3645" w:type="pct"/>
            <w:gridSpan w:val="4"/>
          </w:tcPr>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_GB2312" w:hAnsi="仿宋_GB2312" w:eastAsia="仿宋_GB2312" w:cs="仿宋_GB2312"/>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354" w:type="pct"/>
            <w:gridSpan w:val="2"/>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改进建议及要求</w:t>
            </w:r>
          </w:p>
        </w:tc>
        <w:tc>
          <w:tcPr>
            <w:tcW w:w="3645" w:type="pct"/>
            <w:gridSpan w:val="4"/>
            <w:vAlign w:val="center"/>
          </w:tcPr>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_GB2312" w:hAnsi="仿宋_GB2312" w:eastAsia="仿宋_GB2312" w:cs="仿宋_GB2312"/>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1354" w:type="pct"/>
            <w:gridSpan w:val="2"/>
            <w:vAlign w:val="center"/>
          </w:tcPr>
          <w:p>
            <w:pPr>
              <w:keepNext w:val="0"/>
              <w:keepLines w:val="0"/>
              <w:pageBreakBefore w:val="0"/>
              <w:widowControl w:val="0"/>
              <w:kinsoku/>
              <w:wordWrap/>
              <w:overflowPunct/>
              <w:topLinePunct w:val="0"/>
              <w:autoSpaceDE/>
              <w:autoSpaceDN/>
              <w:bidi w:val="0"/>
              <w:adjustRightInd/>
              <w:snapToGrid w:val="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评价单位意见</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（签字或盖章）</w:t>
            </w:r>
          </w:p>
        </w:tc>
        <w:tc>
          <w:tcPr>
            <w:tcW w:w="3645" w:type="pct"/>
            <w:gridSpan w:val="4"/>
            <w:vAlign w:val="center"/>
          </w:tcPr>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_GB2312" w:hAnsi="仿宋_GB2312" w:eastAsia="仿宋_GB2312" w:cs="仿宋_GB2312"/>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仿宋_GB2312" w:hAnsi="仿宋_GB2312" w:eastAsia="仿宋_GB2312" w:cs="仿宋_GB2312"/>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val="0"/>
              <w:ind w:firstLine="3360" w:firstLineChars="1400"/>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日期：   年   月   日</w:t>
            </w:r>
          </w:p>
        </w:tc>
      </w:tr>
    </w:tbl>
    <w:p>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both"/>
        <w:textAlignment w:val="auto"/>
        <w:rPr>
          <w:rFonts w:hint="eastAsia" w:ascii="仿宋_GB2312" w:hAnsi="仿宋_GB2312" w:eastAsia="宋体" w:cs="仿宋_GB2312"/>
          <w:b w:val="0"/>
          <w:i w:val="0"/>
          <w:strike w:val="0"/>
          <w:color w:val="auto"/>
          <w:sz w:val="24"/>
          <w:szCs w:val="24"/>
          <w:highlight w:val="none"/>
          <w:u w:val="none"/>
          <w:lang w:val="en-US" w:eastAsia="zh-CN"/>
        </w:rPr>
      </w:pPr>
      <w:r>
        <w:rPr>
          <w:rFonts w:hint="eastAsia" w:ascii="仿宋_GB2312" w:hAnsi="仿宋_GB2312" w:eastAsia="宋体" w:cs="仿宋_GB2312"/>
          <w:b w:val="0"/>
          <w:i w:val="0"/>
          <w:strike w:val="0"/>
          <w:color w:val="auto"/>
          <w:sz w:val="24"/>
          <w:szCs w:val="24"/>
          <w:highlight w:val="none"/>
          <w:u w:val="none"/>
          <w:lang w:val="en-US" w:eastAsia="zh-CN"/>
        </w:rPr>
        <w:t>说明：</w:t>
      </w:r>
    </w:p>
    <w:p>
      <w:pPr>
        <w:keepNext w:val="0"/>
        <w:keepLines w:val="0"/>
        <w:pageBreakBefore w:val="0"/>
        <w:widowControl w:val="0"/>
        <w:kinsoku/>
        <w:wordWrap/>
        <w:overflowPunct/>
        <w:topLinePunct w:val="0"/>
        <w:autoSpaceDE/>
        <w:autoSpaceDN/>
        <w:bidi w:val="0"/>
        <w:adjustRightInd/>
        <w:snapToGrid/>
        <w:spacing w:after="120" w:line="360" w:lineRule="auto"/>
        <w:ind w:leftChars="0" w:firstLine="480" w:firstLineChars="200"/>
        <w:jc w:val="both"/>
        <w:textAlignment w:val="auto"/>
        <w:rPr>
          <w:rFonts w:hint="eastAsia" w:ascii="仿宋_GB2312" w:hAnsi="仿宋_GB2312" w:eastAsia="宋体" w:cs="仿宋_GB2312"/>
          <w:b w:val="0"/>
          <w:i w:val="0"/>
          <w:strike w:val="0"/>
          <w:color w:val="auto"/>
          <w:sz w:val="24"/>
          <w:szCs w:val="24"/>
          <w:highlight w:val="none"/>
          <w:u w:val="none"/>
          <w:lang w:val="en-US" w:eastAsia="zh-CN"/>
        </w:rPr>
      </w:pPr>
      <w:r>
        <w:rPr>
          <w:rFonts w:hint="eastAsia" w:ascii="仿宋_GB2312" w:hAnsi="仿宋_GB2312" w:eastAsia="宋体" w:cs="仿宋_GB2312"/>
          <w:b w:val="0"/>
          <w:i w:val="0"/>
          <w:strike w:val="0"/>
          <w:color w:val="auto"/>
          <w:sz w:val="24"/>
          <w:szCs w:val="24"/>
          <w:highlight w:val="none"/>
          <w:u w:val="none"/>
          <w:lang w:val="en-US" w:eastAsia="zh-CN"/>
        </w:rPr>
        <w:t xml:space="preserve">1、履约评价内容各项采用百分制，综合考评总分（以各项实际得分平均值计算）为优秀（评分≥90分）、良好（80≤评分＜90）、中等（70≤评分＜80）、合格（60≤评分＜70）、不合格（评分＜60）五个等级。                                                                  </w:t>
      </w:r>
    </w:p>
    <w:p>
      <w:pPr>
        <w:pStyle w:val="14"/>
        <w:spacing w:after="120"/>
        <w:ind w:leftChars="0" w:firstLine="480" w:firstLineChars="200"/>
        <w:jc w:val="both"/>
        <w:rPr>
          <w:rFonts w:hint="eastAsia" w:ascii="仿宋_GB2312" w:hAnsi="仿宋_GB2312" w:eastAsia="宋体" w:cs="仿宋_GB2312"/>
          <w:b w:val="0"/>
          <w:i w:val="0"/>
          <w:strike w:val="0"/>
          <w:color w:val="auto"/>
          <w:sz w:val="24"/>
          <w:szCs w:val="24"/>
          <w:highlight w:val="none"/>
          <w:u w:val="none"/>
          <w:lang w:val="en-US" w:eastAsia="zh-CN"/>
        </w:rPr>
      </w:pPr>
      <w:r>
        <w:rPr>
          <w:rFonts w:hint="eastAsia" w:ascii="仿宋_GB2312" w:hAnsi="仿宋_GB2312" w:eastAsia="宋体" w:cs="仿宋_GB2312"/>
          <w:b w:val="0"/>
          <w:i w:val="0"/>
          <w:strike w:val="0"/>
          <w:color w:val="auto"/>
          <w:sz w:val="24"/>
          <w:szCs w:val="24"/>
          <w:highlight w:val="none"/>
          <w:u w:val="none"/>
          <w:lang w:val="en-US" w:eastAsia="zh-CN"/>
        </w:rPr>
        <w:t>2、履约评价为优秀的，履约服务费按100%支付；评价为良好的，履约服务费按80%支付；评价为中等的，履约服务费按70%支付；评价为合格的，履约服务费按60%支付；评价为不合格的，履约服务费不予支付。</w:t>
      </w:r>
    </w:p>
    <w:p>
      <w:pPr>
        <w:numPr>
          <w:ilvl w:val="255"/>
          <w:numId w:val="0"/>
        </w:numPr>
        <w:spacing w:line="560" w:lineRule="exact"/>
        <w:ind w:left="640"/>
        <w:outlineLvl w:val="3"/>
        <w:rPr>
          <w:rFonts w:hint="eastAsia" w:ascii="楷体_GB2312" w:hAnsi="方正楷体_GB2312" w:eastAsia="楷体_GB2312" w:cs="方正楷体_GB2312"/>
          <w:b/>
          <w:bCs/>
          <w:sz w:val="32"/>
          <w:szCs w:val="32"/>
          <w:lang w:val="zh-CN" w:eastAsia="zh-CN"/>
        </w:rPr>
      </w:pPr>
      <w:r>
        <w:rPr>
          <w:rFonts w:hint="eastAsia" w:ascii="楷体_GB2312" w:hAnsi="方正楷体_GB2312" w:eastAsia="楷体_GB2312" w:cs="方正楷体_GB2312"/>
          <w:b/>
          <w:bCs/>
          <w:sz w:val="32"/>
          <w:szCs w:val="32"/>
          <w:lang w:val="zh-CN" w:eastAsia="zh-CN"/>
        </w:rPr>
        <w:t>（</w:t>
      </w:r>
      <w:r>
        <w:rPr>
          <w:rFonts w:hint="eastAsia" w:ascii="楷体_GB2312" w:hAnsi="方正楷体_GB2312" w:eastAsia="楷体_GB2312" w:cs="方正楷体_GB2312"/>
          <w:b/>
          <w:bCs/>
          <w:sz w:val="32"/>
          <w:szCs w:val="32"/>
          <w:lang w:val="en-US" w:eastAsia="zh-CN"/>
        </w:rPr>
        <w:t>三</w:t>
      </w:r>
      <w:r>
        <w:rPr>
          <w:rFonts w:hint="eastAsia" w:ascii="楷体_GB2312" w:hAnsi="方正楷体_GB2312" w:eastAsia="楷体_GB2312" w:cs="方正楷体_GB2312"/>
          <w:b/>
          <w:bCs/>
          <w:sz w:val="32"/>
          <w:szCs w:val="32"/>
          <w:lang w:val="zh-CN" w:eastAsia="zh-CN"/>
        </w:rPr>
        <w:t>）知识产权</w:t>
      </w:r>
    </w:p>
    <w:p>
      <w:pPr>
        <w:keepNext w:val="0"/>
        <w:keepLines w:val="0"/>
        <w:pageBreakBefore w:val="0"/>
        <w:widowControl w:val="0"/>
        <w:kinsoku/>
        <w:wordWrap/>
        <w:overflowPunct/>
        <w:topLinePunct w:val="0"/>
        <w:autoSpaceDE/>
        <w:autoSpaceDN/>
        <w:bidi w:val="0"/>
        <w:adjustRightInd/>
        <w:snapToGrid/>
        <w:spacing w:after="120" w:line="360" w:lineRule="auto"/>
        <w:ind w:firstLine="616" w:firstLineChars="200"/>
        <w:jc w:val="both"/>
        <w:textAlignment w:val="auto"/>
        <w:rPr>
          <w:rFonts w:hint="eastAsia" w:ascii="仿宋_GB2312" w:hAnsi="仿宋_GB2312" w:eastAsia="宋体" w:cs="仿宋_GB2312"/>
          <w:b w:val="0"/>
          <w:i w:val="0"/>
          <w:strike w:val="0"/>
          <w:color w:val="auto"/>
          <w:sz w:val="24"/>
          <w:szCs w:val="24"/>
          <w:highlight w:val="none"/>
          <w:u w:val="none"/>
          <w:lang w:val="en-US" w:eastAsia="zh-CN"/>
        </w:rPr>
      </w:pPr>
      <w:r>
        <w:rPr>
          <w:rFonts w:hint="eastAsia" w:ascii="仿宋_GB2312" w:hAnsi="仿宋_GB2312" w:eastAsia="仿宋_GB2312" w:cs="仿宋_GB2312"/>
          <w:b w:val="0"/>
          <w:i w:val="0"/>
          <w:strike w:val="0"/>
          <w:color w:val="auto"/>
          <w:spacing w:val="-6"/>
          <w:kern w:val="2"/>
          <w:sz w:val="32"/>
          <w:szCs w:val="32"/>
          <w:highlight w:val="none"/>
          <w:u w:val="none"/>
          <w:lang w:val="en-US" w:eastAsia="zh-CN"/>
        </w:rPr>
        <w:t>因本项目产生的所有成果的知识产权归属采购人所有。</w:t>
      </w:r>
      <w:r>
        <w:rPr>
          <w:rFonts w:hint="eastAsia" w:ascii="仿宋_GB2312" w:hAnsi="仿宋_GB2312" w:eastAsia="仿宋_GB2312" w:cs="仿宋_GB2312"/>
          <w:color w:val="auto"/>
          <w:sz w:val="32"/>
          <w:szCs w:val="32"/>
          <w:lang w:val="en-US" w:eastAsia="zh-CN"/>
        </w:rPr>
        <w:t>中标服务商（投标人）</w:t>
      </w:r>
      <w:r>
        <w:rPr>
          <w:rFonts w:hint="eastAsia" w:ascii="仿宋_GB2312" w:hAnsi="仿宋_GB2312" w:eastAsia="仿宋_GB2312" w:cs="仿宋_GB2312"/>
          <w:b w:val="0"/>
          <w:i w:val="0"/>
          <w:strike w:val="0"/>
          <w:color w:val="auto"/>
          <w:spacing w:val="-6"/>
          <w:kern w:val="2"/>
          <w:sz w:val="32"/>
          <w:szCs w:val="32"/>
          <w:highlight w:val="none"/>
          <w:u w:val="none"/>
          <w:lang w:val="en-US" w:eastAsia="zh-CN"/>
        </w:rPr>
        <w:t>应保证本项目的投标技术、服务或其他任何一部分不会产生因第三方提出侵犯其专利权、商标权或其他知识产权而引起的法律或经济纠纷；如因第三方提出其专利权、商标权或其他知识产权的侵权之诉，则一切法律责任由</w:t>
      </w:r>
      <w:r>
        <w:rPr>
          <w:rFonts w:hint="eastAsia" w:ascii="仿宋_GB2312" w:hAnsi="仿宋_GB2312" w:eastAsia="仿宋_GB2312" w:cs="仿宋_GB2312"/>
          <w:color w:val="auto"/>
          <w:sz w:val="32"/>
          <w:szCs w:val="32"/>
          <w:lang w:val="en-US" w:eastAsia="zh-CN"/>
        </w:rPr>
        <w:t>中标服务商（投标人）</w:t>
      </w:r>
      <w:r>
        <w:rPr>
          <w:rFonts w:hint="eastAsia" w:ascii="仿宋_GB2312" w:hAnsi="仿宋_GB2312" w:eastAsia="仿宋_GB2312" w:cs="仿宋_GB2312"/>
          <w:b w:val="0"/>
          <w:i w:val="0"/>
          <w:strike w:val="0"/>
          <w:color w:val="auto"/>
          <w:spacing w:val="-6"/>
          <w:kern w:val="2"/>
          <w:sz w:val="32"/>
          <w:szCs w:val="32"/>
          <w:highlight w:val="none"/>
          <w:u w:val="none"/>
          <w:lang w:val="en-US" w:eastAsia="zh-CN"/>
        </w:rPr>
        <w:t>承担。若因为知识产权纠纷造成的一切损害赔偿及损失由</w:t>
      </w:r>
      <w:r>
        <w:rPr>
          <w:rFonts w:hint="eastAsia" w:ascii="仿宋_GB2312" w:hAnsi="仿宋_GB2312" w:eastAsia="仿宋_GB2312" w:cs="仿宋_GB2312"/>
          <w:color w:val="auto"/>
          <w:sz w:val="32"/>
          <w:szCs w:val="32"/>
          <w:lang w:val="en-US" w:eastAsia="zh-CN"/>
        </w:rPr>
        <w:t>中标服务商（投标人）</w:t>
      </w:r>
      <w:r>
        <w:rPr>
          <w:rFonts w:hint="eastAsia" w:ascii="仿宋_GB2312" w:hAnsi="仿宋_GB2312" w:eastAsia="仿宋_GB2312" w:cs="仿宋_GB2312"/>
          <w:b w:val="0"/>
          <w:i w:val="0"/>
          <w:strike w:val="0"/>
          <w:color w:val="auto"/>
          <w:spacing w:val="-6"/>
          <w:kern w:val="2"/>
          <w:sz w:val="32"/>
          <w:szCs w:val="32"/>
          <w:highlight w:val="none"/>
          <w:u w:val="none"/>
          <w:lang w:val="en-US" w:eastAsia="zh-CN"/>
        </w:rPr>
        <w:t>承担，包括但不限于实际损失、预期损失和对方要求赔偿损失及支出的律师费、交通费和差旅费等。</w:t>
      </w:r>
      <w:bookmarkStart w:id="3" w:name="_GoBack"/>
      <w:bookmarkEnd w:id="3"/>
    </w:p>
    <w:sectPr>
      <w:footerReference r:id="rId3" w:type="default"/>
      <w:pgSz w:w="11906" w:h="16838"/>
      <w:pgMar w:top="1440" w:right="1166" w:bottom="1738" w:left="1080" w:header="851" w:footer="992" w:gutter="0"/>
      <w:pgBorders>
        <w:top w:val="none" w:sz="0" w:space="0"/>
        <w:left w:val="none" w:sz="0" w:space="0"/>
        <w:bottom w:val="none" w:sz="0" w:space="0"/>
        <w:right w:val="none" w:sz="0" w:space="0"/>
      </w:pgBorders>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1"/>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iOWE3MGU0YzY3ODY0ODc1MzNmM2YwOTgyMzIyMzAifQ=="/>
  </w:docVars>
  <w:rsids>
    <w:rsidRoot w:val="2E1D56C7"/>
    <w:rsid w:val="00011F35"/>
    <w:rsid w:val="000C400C"/>
    <w:rsid w:val="00146935"/>
    <w:rsid w:val="001C38A8"/>
    <w:rsid w:val="0024183E"/>
    <w:rsid w:val="00272D84"/>
    <w:rsid w:val="00284854"/>
    <w:rsid w:val="002F5337"/>
    <w:rsid w:val="0033630A"/>
    <w:rsid w:val="0036748F"/>
    <w:rsid w:val="003A1961"/>
    <w:rsid w:val="003C71D6"/>
    <w:rsid w:val="00411EC9"/>
    <w:rsid w:val="0045007D"/>
    <w:rsid w:val="00472E1F"/>
    <w:rsid w:val="004C0604"/>
    <w:rsid w:val="004F15EE"/>
    <w:rsid w:val="00590E1A"/>
    <w:rsid w:val="005B1EDB"/>
    <w:rsid w:val="005E579B"/>
    <w:rsid w:val="0060506F"/>
    <w:rsid w:val="00614B16"/>
    <w:rsid w:val="006272B0"/>
    <w:rsid w:val="00667C37"/>
    <w:rsid w:val="006F06BE"/>
    <w:rsid w:val="00754F69"/>
    <w:rsid w:val="007776A4"/>
    <w:rsid w:val="00777C41"/>
    <w:rsid w:val="007E4A32"/>
    <w:rsid w:val="008E48A4"/>
    <w:rsid w:val="0092302D"/>
    <w:rsid w:val="009368AD"/>
    <w:rsid w:val="00964E94"/>
    <w:rsid w:val="00A2661D"/>
    <w:rsid w:val="00A67527"/>
    <w:rsid w:val="00B05EC6"/>
    <w:rsid w:val="00B30AF3"/>
    <w:rsid w:val="00B45AEA"/>
    <w:rsid w:val="00BB35D1"/>
    <w:rsid w:val="00C35FE1"/>
    <w:rsid w:val="00C3744F"/>
    <w:rsid w:val="00C46014"/>
    <w:rsid w:val="00CA7834"/>
    <w:rsid w:val="00D77221"/>
    <w:rsid w:val="00E02B7C"/>
    <w:rsid w:val="00E25FF9"/>
    <w:rsid w:val="00E50C7F"/>
    <w:rsid w:val="00E95E42"/>
    <w:rsid w:val="00EC4AF6"/>
    <w:rsid w:val="00F037E6"/>
    <w:rsid w:val="00F359E7"/>
    <w:rsid w:val="00F41522"/>
    <w:rsid w:val="0119682A"/>
    <w:rsid w:val="01625E8C"/>
    <w:rsid w:val="01695AD7"/>
    <w:rsid w:val="01821E8C"/>
    <w:rsid w:val="01D039DB"/>
    <w:rsid w:val="01FA404D"/>
    <w:rsid w:val="023709A9"/>
    <w:rsid w:val="027556C6"/>
    <w:rsid w:val="02B0607D"/>
    <w:rsid w:val="02C45140"/>
    <w:rsid w:val="02C64B8F"/>
    <w:rsid w:val="02F415D1"/>
    <w:rsid w:val="031E412A"/>
    <w:rsid w:val="033A06B2"/>
    <w:rsid w:val="03712956"/>
    <w:rsid w:val="03912994"/>
    <w:rsid w:val="03E41BDC"/>
    <w:rsid w:val="03F340C4"/>
    <w:rsid w:val="048C1AC7"/>
    <w:rsid w:val="04AE20E1"/>
    <w:rsid w:val="04C904B8"/>
    <w:rsid w:val="050406DF"/>
    <w:rsid w:val="050A7981"/>
    <w:rsid w:val="0546531E"/>
    <w:rsid w:val="054D3725"/>
    <w:rsid w:val="056E3051"/>
    <w:rsid w:val="058C4219"/>
    <w:rsid w:val="05BC1DCB"/>
    <w:rsid w:val="05D60A9C"/>
    <w:rsid w:val="060D266C"/>
    <w:rsid w:val="06550E46"/>
    <w:rsid w:val="06DB694C"/>
    <w:rsid w:val="06E03880"/>
    <w:rsid w:val="07042212"/>
    <w:rsid w:val="07474327"/>
    <w:rsid w:val="07B3282E"/>
    <w:rsid w:val="07D2582D"/>
    <w:rsid w:val="08124397"/>
    <w:rsid w:val="0838360C"/>
    <w:rsid w:val="086840FF"/>
    <w:rsid w:val="08892E87"/>
    <w:rsid w:val="089715AD"/>
    <w:rsid w:val="08B91EA3"/>
    <w:rsid w:val="08BC4608"/>
    <w:rsid w:val="090146C5"/>
    <w:rsid w:val="092F1E57"/>
    <w:rsid w:val="0969154F"/>
    <w:rsid w:val="09A92C1B"/>
    <w:rsid w:val="0A4C24DD"/>
    <w:rsid w:val="0A6C0D6F"/>
    <w:rsid w:val="0AAC13DD"/>
    <w:rsid w:val="0ABB2FF3"/>
    <w:rsid w:val="0ADC6697"/>
    <w:rsid w:val="0B5210DD"/>
    <w:rsid w:val="0B9C483C"/>
    <w:rsid w:val="0BB605EF"/>
    <w:rsid w:val="0BB75542"/>
    <w:rsid w:val="0BE661BC"/>
    <w:rsid w:val="0C394176"/>
    <w:rsid w:val="0C3F61F4"/>
    <w:rsid w:val="0C430997"/>
    <w:rsid w:val="0CC47EE3"/>
    <w:rsid w:val="0CF57712"/>
    <w:rsid w:val="0D005893"/>
    <w:rsid w:val="0D434B63"/>
    <w:rsid w:val="0D505100"/>
    <w:rsid w:val="0D53767E"/>
    <w:rsid w:val="0D555909"/>
    <w:rsid w:val="0D6C0A5C"/>
    <w:rsid w:val="0DBB5117"/>
    <w:rsid w:val="0DFA6B56"/>
    <w:rsid w:val="0DFC23B1"/>
    <w:rsid w:val="0E174532"/>
    <w:rsid w:val="0E2C2721"/>
    <w:rsid w:val="0E4D62B8"/>
    <w:rsid w:val="0E653000"/>
    <w:rsid w:val="0E887479"/>
    <w:rsid w:val="0E8F5E34"/>
    <w:rsid w:val="0EC877EB"/>
    <w:rsid w:val="0ED711EA"/>
    <w:rsid w:val="0F001DD6"/>
    <w:rsid w:val="0F0B3A8F"/>
    <w:rsid w:val="0F37726F"/>
    <w:rsid w:val="0F452E31"/>
    <w:rsid w:val="0F604FE4"/>
    <w:rsid w:val="0FCA6EB0"/>
    <w:rsid w:val="0FCC5060"/>
    <w:rsid w:val="10232AE4"/>
    <w:rsid w:val="102649D9"/>
    <w:rsid w:val="10340106"/>
    <w:rsid w:val="103F2AB9"/>
    <w:rsid w:val="107078D3"/>
    <w:rsid w:val="10931CA9"/>
    <w:rsid w:val="10AC13A7"/>
    <w:rsid w:val="10EE33F1"/>
    <w:rsid w:val="10FC386A"/>
    <w:rsid w:val="11293405"/>
    <w:rsid w:val="112C21CD"/>
    <w:rsid w:val="1149447D"/>
    <w:rsid w:val="119D5484"/>
    <w:rsid w:val="11A208A1"/>
    <w:rsid w:val="11AA5CE7"/>
    <w:rsid w:val="11AC7198"/>
    <w:rsid w:val="11E84B3D"/>
    <w:rsid w:val="11F6638D"/>
    <w:rsid w:val="125062A9"/>
    <w:rsid w:val="1254348C"/>
    <w:rsid w:val="126F2BA6"/>
    <w:rsid w:val="12794BFE"/>
    <w:rsid w:val="128033F0"/>
    <w:rsid w:val="129F4CA3"/>
    <w:rsid w:val="12C47D12"/>
    <w:rsid w:val="12D319C4"/>
    <w:rsid w:val="132A4956"/>
    <w:rsid w:val="1348190A"/>
    <w:rsid w:val="13A31C41"/>
    <w:rsid w:val="13B13D3B"/>
    <w:rsid w:val="13E9609A"/>
    <w:rsid w:val="13F866C4"/>
    <w:rsid w:val="147E3E78"/>
    <w:rsid w:val="1488271B"/>
    <w:rsid w:val="149A3C1F"/>
    <w:rsid w:val="14B35068"/>
    <w:rsid w:val="14B45D56"/>
    <w:rsid w:val="14C03686"/>
    <w:rsid w:val="14D91A7E"/>
    <w:rsid w:val="14F075E7"/>
    <w:rsid w:val="152F51BC"/>
    <w:rsid w:val="154D31EE"/>
    <w:rsid w:val="15667E71"/>
    <w:rsid w:val="15D92859"/>
    <w:rsid w:val="15F66373"/>
    <w:rsid w:val="161A4308"/>
    <w:rsid w:val="1658131E"/>
    <w:rsid w:val="166D5925"/>
    <w:rsid w:val="16936F13"/>
    <w:rsid w:val="169E7888"/>
    <w:rsid w:val="178E4EDA"/>
    <w:rsid w:val="17936223"/>
    <w:rsid w:val="17EB0932"/>
    <w:rsid w:val="181859DC"/>
    <w:rsid w:val="18423C4B"/>
    <w:rsid w:val="185F31B6"/>
    <w:rsid w:val="18D97E1C"/>
    <w:rsid w:val="18DF1CA8"/>
    <w:rsid w:val="190A5A96"/>
    <w:rsid w:val="1930519E"/>
    <w:rsid w:val="194352E5"/>
    <w:rsid w:val="197F239E"/>
    <w:rsid w:val="199E386A"/>
    <w:rsid w:val="19D16589"/>
    <w:rsid w:val="19E86E70"/>
    <w:rsid w:val="19F66AAD"/>
    <w:rsid w:val="1A1230BF"/>
    <w:rsid w:val="1A506DEC"/>
    <w:rsid w:val="1A671EBC"/>
    <w:rsid w:val="1A6B43EF"/>
    <w:rsid w:val="1ACA6100"/>
    <w:rsid w:val="1ADA283E"/>
    <w:rsid w:val="1ADE0853"/>
    <w:rsid w:val="1B37279D"/>
    <w:rsid w:val="1B3F6A15"/>
    <w:rsid w:val="1B634334"/>
    <w:rsid w:val="1BA32013"/>
    <w:rsid w:val="1BB30558"/>
    <w:rsid w:val="1BC420FA"/>
    <w:rsid w:val="1BCE1F1B"/>
    <w:rsid w:val="1BD709E8"/>
    <w:rsid w:val="1C086C0F"/>
    <w:rsid w:val="1C247BC0"/>
    <w:rsid w:val="1C401A5E"/>
    <w:rsid w:val="1C4A3CD7"/>
    <w:rsid w:val="1C5E51A8"/>
    <w:rsid w:val="1C8F2B1D"/>
    <w:rsid w:val="1D335D84"/>
    <w:rsid w:val="1D6909E3"/>
    <w:rsid w:val="1D782858"/>
    <w:rsid w:val="1DCC3E34"/>
    <w:rsid w:val="1DDA2FF7"/>
    <w:rsid w:val="1DE600F0"/>
    <w:rsid w:val="1E4805E8"/>
    <w:rsid w:val="1E5C4A0F"/>
    <w:rsid w:val="1E613314"/>
    <w:rsid w:val="1EC322AA"/>
    <w:rsid w:val="1F0F02CE"/>
    <w:rsid w:val="1F355057"/>
    <w:rsid w:val="1F391E0F"/>
    <w:rsid w:val="1F3B69BD"/>
    <w:rsid w:val="1F4934E4"/>
    <w:rsid w:val="1F494278"/>
    <w:rsid w:val="1FEB5374"/>
    <w:rsid w:val="1FF22B62"/>
    <w:rsid w:val="20746D7A"/>
    <w:rsid w:val="207D3B27"/>
    <w:rsid w:val="20824D3B"/>
    <w:rsid w:val="20A21E92"/>
    <w:rsid w:val="20AA51EA"/>
    <w:rsid w:val="20E81226"/>
    <w:rsid w:val="21372174"/>
    <w:rsid w:val="213E3A3F"/>
    <w:rsid w:val="21673420"/>
    <w:rsid w:val="216F6022"/>
    <w:rsid w:val="217C4B76"/>
    <w:rsid w:val="21A12149"/>
    <w:rsid w:val="21CF0650"/>
    <w:rsid w:val="21DE7B9A"/>
    <w:rsid w:val="21F21DE7"/>
    <w:rsid w:val="21FE4062"/>
    <w:rsid w:val="223701CE"/>
    <w:rsid w:val="225E7538"/>
    <w:rsid w:val="2265195D"/>
    <w:rsid w:val="227E19DF"/>
    <w:rsid w:val="22D92BFF"/>
    <w:rsid w:val="22E569AE"/>
    <w:rsid w:val="22F574D5"/>
    <w:rsid w:val="23000C35"/>
    <w:rsid w:val="238D1DDA"/>
    <w:rsid w:val="23A175F2"/>
    <w:rsid w:val="24240569"/>
    <w:rsid w:val="242D2020"/>
    <w:rsid w:val="24382F8F"/>
    <w:rsid w:val="24536C70"/>
    <w:rsid w:val="247D50F0"/>
    <w:rsid w:val="24DD6D70"/>
    <w:rsid w:val="24FD3AF4"/>
    <w:rsid w:val="250908D7"/>
    <w:rsid w:val="250D4FF8"/>
    <w:rsid w:val="250E5A0D"/>
    <w:rsid w:val="25291C06"/>
    <w:rsid w:val="254A6040"/>
    <w:rsid w:val="256D29B4"/>
    <w:rsid w:val="256F37F8"/>
    <w:rsid w:val="258478AA"/>
    <w:rsid w:val="25D74474"/>
    <w:rsid w:val="25DF7EC2"/>
    <w:rsid w:val="25F97D44"/>
    <w:rsid w:val="26275960"/>
    <w:rsid w:val="2696772B"/>
    <w:rsid w:val="26B564B2"/>
    <w:rsid w:val="26D52842"/>
    <w:rsid w:val="27356400"/>
    <w:rsid w:val="27624415"/>
    <w:rsid w:val="27646CF4"/>
    <w:rsid w:val="27DE7716"/>
    <w:rsid w:val="281E00BC"/>
    <w:rsid w:val="28337300"/>
    <w:rsid w:val="284303FE"/>
    <w:rsid w:val="28965E43"/>
    <w:rsid w:val="28997DE5"/>
    <w:rsid w:val="28B95D7F"/>
    <w:rsid w:val="29074D06"/>
    <w:rsid w:val="291259E7"/>
    <w:rsid w:val="291D5228"/>
    <w:rsid w:val="29637857"/>
    <w:rsid w:val="296A3E3F"/>
    <w:rsid w:val="29E0482B"/>
    <w:rsid w:val="2A1414B8"/>
    <w:rsid w:val="2A850DDE"/>
    <w:rsid w:val="2A9456CE"/>
    <w:rsid w:val="2AEF4CF7"/>
    <w:rsid w:val="2AF03ABB"/>
    <w:rsid w:val="2B320E70"/>
    <w:rsid w:val="2B3D1BB5"/>
    <w:rsid w:val="2B581539"/>
    <w:rsid w:val="2B75660C"/>
    <w:rsid w:val="2BB74D5F"/>
    <w:rsid w:val="2BBD3C5A"/>
    <w:rsid w:val="2BCF630B"/>
    <w:rsid w:val="2BFC0964"/>
    <w:rsid w:val="2C10063F"/>
    <w:rsid w:val="2C300579"/>
    <w:rsid w:val="2C657FCC"/>
    <w:rsid w:val="2C763F0F"/>
    <w:rsid w:val="2C7C4E97"/>
    <w:rsid w:val="2C8A40AF"/>
    <w:rsid w:val="2CB8580F"/>
    <w:rsid w:val="2CF148BA"/>
    <w:rsid w:val="2D0D474D"/>
    <w:rsid w:val="2D111299"/>
    <w:rsid w:val="2D950CAA"/>
    <w:rsid w:val="2D9956A0"/>
    <w:rsid w:val="2DA134D1"/>
    <w:rsid w:val="2DBC0443"/>
    <w:rsid w:val="2E143D41"/>
    <w:rsid w:val="2E1D56C7"/>
    <w:rsid w:val="2E246874"/>
    <w:rsid w:val="2E2A3CAC"/>
    <w:rsid w:val="2E3E531C"/>
    <w:rsid w:val="2E4C3819"/>
    <w:rsid w:val="2E6622B0"/>
    <w:rsid w:val="2E667B5E"/>
    <w:rsid w:val="2E9436D8"/>
    <w:rsid w:val="2EB12A8B"/>
    <w:rsid w:val="2F0057B3"/>
    <w:rsid w:val="2F06534A"/>
    <w:rsid w:val="2F0B7A0D"/>
    <w:rsid w:val="2F2773AC"/>
    <w:rsid w:val="2F2E2554"/>
    <w:rsid w:val="2F3A7358"/>
    <w:rsid w:val="2F58124C"/>
    <w:rsid w:val="2F6960B1"/>
    <w:rsid w:val="2FF36CD0"/>
    <w:rsid w:val="2FF426CD"/>
    <w:rsid w:val="305E33E0"/>
    <w:rsid w:val="309B0863"/>
    <w:rsid w:val="310B4A5D"/>
    <w:rsid w:val="317909ED"/>
    <w:rsid w:val="31877540"/>
    <w:rsid w:val="31B62AA9"/>
    <w:rsid w:val="32970B89"/>
    <w:rsid w:val="32D2041D"/>
    <w:rsid w:val="33927C1A"/>
    <w:rsid w:val="33B919E2"/>
    <w:rsid w:val="344459A1"/>
    <w:rsid w:val="346A1C24"/>
    <w:rsid w:val="347217B4"/>
    <w:rsid w:val="34806195"/>
    <w:rsid w:val="34B03199"/>
    <w:rsid w:val="34B92AD4"/>
    <w:rsid w:val="3505252A"/>
    <w:rsid w:val="35207256"/>
    <w:rsid w:val="352D65AF"/>
    <w:rsid w:val="35305B39"/>
    <w:rsid w:val="353A02FB"/>
    <w:rsid w:val="356C07C8"/>
    <w:rsid w:val="359F55D8"/>
    <w:rsid w:val="35BE2DB2"/>
    <w:rsid w:val="35EC7EE2"/>
    <w:rsid w:val="36055823"/>
    <w:rsid w:val="361006B8"/>
    <w:rsid w:val="3627042C"/>
    <w:rsid w:val="368D4995"/>
    <w:rsid w:val="369B1405"/>
    <w:rsid w:val="36A527DD"/>
    <w:rsid w:val="36A85432"/>
    <w:rsid w:val="36B578FB"/>
    <w:rsid w:val="36BE46EB"/>
    <w:rsid w:val="36C31531"/>
    <w:rsid w:val="36FF66B6"/>
    <w:rsid w:val="37552FEB"/>
    <w:rsid w:val="375E3239"/>
    <w:rsid w:val="37C36D8A"/>
    <w:rsid w:val="38696668"/>
    <w:rsid w:val="38AF73EA"/>
    <w:rsid w:val="38BA6C7D"/>
    <w:rsid w:val="38D36BCF"/>
    <w:rsid w:val="38F474CD"/>
    <w:rsid w:val="391E3325"/>
    <w:rsid w:val="39222CB3"/>
    <w:rsid w:val="39590BF6"/>
    <w:rsid w:val="396F3D01"/>
    <w:rsid w:val="399858D6"/>
    <w:rsid w:val="3A4D5445"/>
    <w:rsid w:val="3A4F4B18"/>
    <w:rsid w:val="3A512D35"/>
    <w:rsid w:val="3A8D2A79"/>
    <w:rsid w:val="3AF65DFD"/>
    <w:rsid w:val="3B4E1CDC"/>
    <w:rsid w:val="3B5F691E"/>
    <w:rsid w:val="3BAA009F"/>
    <w:rsid w:val="3BBA54EB"/>
    <w:rsid w:val="3BD25515"/>
    <w:rsid w:val="3BF37C3A"/>
    <w:rsid w:val="3C125471"/>
    <w:rsid w:val="3C154929"/>
    <w:rsid w:val="3C242C51"/>
    <w:rsid w:val="3CA80459"/>
    <w:rsid w:val="3D014EA5"/>
    <w:rsid w:val="3D0172C7"/>
    <w:rsid w:val="3D4D3CDD"/>
    <w:rsid w:val="3E25236C"/>
    <w:rsid w:val="3E623EB9"/>
    <w:rsid w:val="3E7942D4"/>
    <w:rsid w:val="3E830461"/>
    <w:rsid w:val="3E851956"/>
    <w:rsid w:val="3E8F5D1A"/>
    <w:rsid w:val="3ED4279F"/>
    <w:rsid w:val="3ED5594F"/>
    <w:rsid w:val="3F171061"/>
    <w:rsid w:val="3F6A5E19"/>
    <w:rsid w:val="3F8747DB"/>
    <w:rsid w:val="3F8E2739"/>
    <w:rsid w:val="3FE30F0D"/>
    <w:rsid w:val="3FFA78BC"/>
    <w:rsid w:val="40236A32"/>
    <w:rsid w:val="402A0DCE"/>
    <w:rsid w:val="402E695E"/>
    <w:rsid w:val="402F477A"/>
    <w:rsid w:val="40424BD9"/>
    <w:rsid w:val="40795BC6"/>
    <w:rsid w:val="40B2400C"/>
    <w:rsid w:val="40C477CD"/>
    <w:rsid w:val="40F74DFE"/>
    <w:rsid w:val="411609EC"/>
    <w:rsid w:val="413D4AF7"/>
    <w:rsid w:val="41807A0E"/>
    <w:rsid w:val="41EA5EAA"/>
    <w:rsid w:val="41FD3C34"/>
    <w:rsid w:val="420F2C6D"/>
    <w:rsid w:val="42137F9D"/>
    <w:rsid w:val="425E63FC"/>
    <w:rsid w:val="4292200F"/>
    <w:rsid w:val="42940188"/>
    <w:rsid w:val="432D62F1"/>
    <w:rsid w:val="43464AF1"/>
    <w:rsid w:val="435C0774"/>
    <w:rsid w:val="43816046"/>
    <w:rsid w:val="43B837FA"/>
    <w:rsid w:val="43CF5263"/>
    <w:rsid w:val="43D267F5"/>
    <w:rsid w:val="44156D87"/>
    <w:rsid w:val="44310FBD"/>
    <w:rsid w:val="44392D69"/>
    <w:rsid w:val="4467611D"/>
    <w:rsid w:val="44795EF4"/>
    <w:rsid w:val="448B27E0"/>
    <w:rsid w:val="44B96A51"/>
    <w:rsid w:val="44DF3E69"/>
    <w:rsid w:val="44E42625"/>
    <w:rsid w:val="45276D4F"/>
    <w:rsid w:val="45445708"/>
    <w:rsid w:val="45604312"/>
    <w:rsid w:val="4594539C"/>
    <w:rsid w:val="45D74E5A"/>
    <w:rsid w:val="46200D94"/>
    <w:rsid w:val="46563171"/>
    <w:rsid w:val="46E14C12"/>
    <w:rsid w:val="471E5EF0"/>
    <w:rsid w:val="47275824"/>
    <w:rsid w:val="473507C1"/>
    <w:rsid w:val="4738152E"/>
    <w:rsid w:val="474E24FE"/>
    <w:rsid w:val="476C5367"/>
    <w:rsid w:val="47BB5E1C"/>
    <w:rsid w:val="47BE6F94"/>
    <w:rsid w:val="47BF1938"/>
    <w:rsid w:val="47E91975"/>
    <w:rsid w:val="47F86C93"/>
    <w:rsid w:val="480E0473"/>
    <w:rsid w:val="48306769"/>
    <w:rsid w:val="4834510D"/>
    <w:rsid w:val="48775889"/>
    <w:rsid w:val="488C01CF"/>
    <w:rsid w:val="48920032"/>
    <w:rsid w:val="48A32036"/>
    <w:rsid w:val="48AE4FC8"/>
    <w:rsid w:val="48DD765B"/>
    <w:rsid w:val="48E629B4"/>
    <w:rsid w:val="49105C83"/>
    <w:rsid w:val="49506CF6"/>
    <w:rsid w:val="499C3073"/>
    <w:rsid w:val="49BA21F3"/>
    <w:rsid w:val="49C26D9E"/>
    <w:rsid w:val="49DC4EF5"/>
    <w:rsid w:val="49E03BEB"/>
    <w:rsid w:val="49E5694B"/>
    <w:rsid w:val="49FC7AC6"/>
    <w:rsid w:val="4A1415B3"/>
    <w:rsid w:val="4A346E6B"/>
    <w:rsid w:val="4A4A04DC"/>
    <w:rsid w:val="4A67402A"/>
    <w:rsid w:val="4A705488"/>
    <w:rsid w:val="4A915C71"/>
    <w:rsid w:val="4A9D3546"/>
    <w:rsid w:val="4AC31904"/>
    <w:rsid w:val="4AC33671"/>
    <w:rsid w:val="4AEE27C8"/>
    <w:rsid w:val="4B3467A2"/>
    <w:rsid w:val="4B9D10E0"/>
    <w:rsid w:val="4C142507"/>
    <w:rsid w:val="4C27508E"/>
    <w:rsid w:val="4C4519CD"/>
    <w:rsid w:val="4D015F0D"/>
    <w:rsid w:val="4D1350A9"/>
    <w:rsid w:val="4D4B54DB"/>
    <w:rsid w:val="4D661AEB"/>
    <w:rsid w:val="4DA44580"/>
    <w:rsid w:val="4DA91CB0"/>
    <w:rsid w:val="4F6C464F"/>
    <w:rsid w:val="4F843A80"/>
    <w:rsid w:val="4FBA38F0"/>
    <w:rsid w:val="4FC50654"/>
    <w:rsid w:val="4FDE7E22"/>
    <w:rsid w:val="5034769E"/>
    <w:rsid w:val="503F7818"/>
    <w:rsid w:val="50663F18"/>
    <w:rsid w:val="50886B51"/>
    <w:rsid w:val="50994497"/>
    <w:rsid w:val="50B22743"/>
    <w:rsid w:val="50B93889"/>
    <w:rsid w:val="50CD4B99"/>
    <w:rsid w:val="51483BFC"/>
    <w:rsid w:val="516E5A80"/>
    <w:rsid w:val="51736DAF"/>
    <w:rsid w:val="51C63979"/>
    <w:rsid w:val="51CB3D31"/>
    <w:rsid w:val="51CE42DB"/>
    <w:rsid w:val="51FD0995"/>
    <w:rsid w:val="521A2A9A"/>
    <w:rsid w:val="52426818"/>
    <w:rsid w:val="52452D2A"/>
    <w:rsid w:val="524B37D1"/>
    <w:rsid w:val="525279DB"/>
    <w:rsid w:val="526F21B6"/>
    <w:rsid w:val="527A41AD"/>
    <w:rsid w:val="52DA3410"/>
    <w:rsid w:val="52E51ACA"/>
    <w:rsid w:val="531A416A"/>
    <w:rsid w:val="531B63B2"/>
    <w:rsid w:val="53C77ED3"/>
    <w:rsid w:val="53F222DD"/>
    <w:rsid w:val="54594B0C"/>
    <w:rsid w:val="5473351A"/>
    <w:rsid w:val="549B59A3"/>
    <w:rsid w:val="5535581B"/>
    <w:rsid w:val="5547317F"/>
    <w:rsid w:val="554F22AF"/>
    <w:rsid w:val="55695996"/>
    <w:rsid w:val="55A20309"/>
    <w:rsid w:val="55A976BB"/>
    <w:rsid w:val="55BC4A9C"/>
    <w:rsid w:val="563E4C40"/>
    <w:rsid w:val="564C5413"/>
    <w:rsid w:val="56C04BD5"/>
    <w:rsid w:val="56C4715E"/>
    <w:rsid w:val="57466C51"/>
    <w:rsid w:val="57A15757"/>
    <w:rsid w:val="57AC4869"/>
    <w:rsid w:val="58951BD5"/>
    <w:rsid w:val="58B61E31"/>
    <w:rsid w:val="590044BF"/>
    <w:rsid w:val="598E48EC"/>
    <w:rsid w:val="5A000500"/>
    <w:rsid w:val="5A0A2630"/>
    <w:rsid w:val="5A0D0937"/>
    <w:rsid w:val="5A25798D"/>
    <w:rsid w:val="5A5B5101"/>
    <w:rsid w:val="5A6517EF"/>
    <w:rsid w:val="5A690012"/>
    <w:rsid w:val="5A7F4753"/>
    <w:rsid w:val="5A952AAA"/>
    <w:rsid w:val="5AC266B1"/>
    <w:rsid w:val="5AC32582"/>
    <w:rsid w:val="5AC37B6E"/>
    <w:rsid w:val="5AE27C83"/>
    <w:rsid w:val="5B693DA7"/>
    <w:rsid w:val="5B74073A"/>
    <w:rsid w:val="5B891745"/>
    <w:rsid w:val="5B8F454E"/>
    <w:rsid w:val="5BAB147C"/>
    <w:rsid w:val="5BCF1703"/>
    <w:rsid w:val="5BD13050"/>
    <w:rsid w:val="5BED59B0"/>
    <w:rsid w:val="5C0051C6"/>
    <w:rsid w:val="5C49697C"/>
    <w:rsid w:val="5C844C6C"/>
    <w:rsid w:val="5CEB1E15"/>
    <w:rsid w:val="5D39261D"/>
    <w:rsid w:val="5D4C66A4"/>
    <w:rsid w:val="5D8560A3"/>
    <w:rsid w:val="5E007C1C"/>
    <w:rsid w:val="5E5B0BF0"/>
    <w:rsid w:val="5E881CD8"/>
    <w:rsid w:val="5E931BB6"/>
    <w:rsid w:val="5EC678BF"/>
    <w:rsid w:val="5EE05DBA"/>
    <w:rsid w:val="5EEC351F"/>
    <w:rsid w:val="5F0B14B3"/>
    <w:rsid w:val="5F164D6F"/>
    <w:rsid w:val="5F221E14"/>
    <w:rsid w:val="5F6B439E"/>
    <w:rsid w:val="5F772534"/>
    <w:rsid w:val="5FA145C5"/>
    <w:rsid w:val="5FA44A04"/>
    <w:rsid w:val="5FC82182"/>
    <w:rsid w:val="60121433"/>
    <w:rsid w:val="603377DF"/>
    <w:rsid w:val="603B2A28"/>
    <w:rsid w:val="60703C76"/>
    <w:rsid w:val="607365A9"/>
    <w:rsid w:val="60EE3131"/>
    <w:rsid w:val="60EF6E16"/>
    <w:rsid w:val="610607D5"/>
    <w:rsid w:val="61081B84"/>
    <w:rsid w:val="611F3071"/>
    <w:rsid w:val="61977A66"/>
    <w:rsid w:val="61AF3E33"/>
    <w:rsid w:val="6249622F"/>
    <w:rsid w:val="62587C40"/>
    <w:rsid w:val="628A3DFE"/>
    <w:rsid w:val="62ED4799"/>
    <w:rsid w:val="63542DEC"/>
    <w:rsid w:val="63626C83"/>
    <w:rsid w:val="637F46F5"/>
    <w:rsid w:val="63945078"/>
    <w:rsid w:val="63AA022A"/>
    <w:rsid w:val="63C11BFC"/>
    <w:rsid w:val="63E37E98"/>
    <w:rsid w:val="63E54E2B"/>
    <w:rsid w:val="63EA73A4"/>
    <w:rsid w:val="63EB64E9"/>
    <w:rsid w:val="63F67552"/>
    <w:rsid w:val="64E54BB9"/>
    <w:rsid w:val="64F457A8"/>
    <w:rsid w:val="65126173"/>
    <w:rsid w:val="652C12F7"/>
    <w:rsid w:val="65512CB8"/>
    <w:rsid w:val="65D41DE6"/>
    <w:rsid w:val="65E43AC2"/>
    <w:rsid w:val="6615622F"/>
    <w:rsid w:val="6617677E"/>
    <w:rsid w:val="66226A50"/>
    <w:rsid w:val="66274E5C"/>
    <w:rsid w:val="66275E0C"/>
    <w:rsid w:val="6642220F"/>
    <w:rsid w:val="6689739B"/>
    <w:rsid w:val="66981E08"/>
    <w:rsid w:val="67095E88"/>
    <w:rsid w:val="671D7EA9"/>
    <w:rsid w:val="67755D90"/>
    <w:rsid w:val="67B11F87"/>
    <w:rsid w:val="67BA0765"/>
    <w:rsid w:val="68077DF9"/>
    <w:rsid w:val="683C7D1C"/>
    <w:rsid w:val="688F3898"/>
    <w:rsid w:val="68996E38"/>
    <w:rsid w:val="68B04B80"/>
    <w:rsid w:val="69045F7B"/>
    <w:rsid w:val="69297633"/>
    <w:rsid w:val="695B4C8F"/>
    <w:rsid w:val="699A2474"/>
    <w:rsid w:val="69CC779C"/>
    <w:rsid w:val="69F84AB7"/>
    <w:rsid w:val="69FF6FB4"/>
    <w:rsid w:val="6A0061F4"/>
    <w:rsid w:val="6A733AD5"/>
    <w:rsid w:val="6A895848"/>
    <w:rsid w:val="6AB131AD"/>
    <w:rsid w:val="6AB1417D"/>
    <w:rsid w:val="6ACF4FC9"/>
    <w:rsid w:val="6B30428C"/>
    <w:rsid w:val="6B36705C"/>
    <w:rsid w:val="6B530A1F"/>
    <w:rsid w:val="6B5A66B5"/>
    <w:rsid w:val="6B613576"/>
    <w:rsid w:val="6B6745AB"/>
    <w:rsid w:val="6B744042"/>
    <w:rsid w:val="6BCA186A"/>
    <w:rsid w:val="6BDE5FE9"/>
    <w:rsid w:val="6BF7147A"/>
    <w:rsid w:val="6CA0746A"/>
    <w:rsid w:val="6CA13156"/>
    <w:rsid w:val="6CED5477"/>
    <w:rsid w:val="6D352278"/>
    <w:rsid w:val="6D466D42"/>
    <w:rsid w:val="6D5055FC"/>
    <w:rsid w:val="6D59526C"/>
    <w:rsid w:val="6DC22ADE"/>
    <w:rsid w:val="6DC76A82"/>
    <w:rsid w:val="6DCE0801"/>
    <w:rsid w:val="6DDC0875"/>
    <w:rsid w:val="6DE43392"/>
    <w:rsid w:val="6E2D5095"/>
    <w:rsid w:val="6E375BA9"/>
    <w:rsid w:val="6EA461D3"/>
    <w:rsid w:val="6EAD2167"/>
    <w:rsid w:val="6EB475C6"/>
    <w:rsid w:val="6EBA6CDB"/>
    <w:rsid w:val="6EC04846"/>
    <w:rsid w:val="6EC8567E"/>
    <w:rsid w:val="6EDE3C36"/>
    <w:rsid w:val="6F15311D"/>
    <w:rsid w:val="6F937089"/>
    <w:rsid w:val="6F970FCE"/>
    <w:rsid w:val="6FFE5B01"/>
    <w:rsid w:val="70126A74"/>
    <w:rsid w:val="70150E8F"/>
    <w:rsid w:val="703F0D69"/>
    <w:rsid w:val="704F0DF2"/>
    <w:rsid w:val="706C4FD1"/>
    <w:rsid w:val="70B6077A"/>
    <w:rsid w:val="70B834F1"/>
    <w:rsid w:val="70F54423"/>
    <w:rsid w:val="71303CAD"/>
    <w:rsid w:val="71390754"/>
    <w:rsid w:val="717D7FB3"/>
    <w:rsid w:val="71972390"/>
    <w:rsid w:val="71B501EB"/>
    <w:rsid w:val="72074E53"/>
    <w:rsid w:val="72453C48"/>
    <w:rsid w:val="726758CF"/>
    <w:rsid w:val="726B3DFF"/>
    <w:rsid w:val="727C294E"/>
    <w:rsid w:val="736D34B7"/>
    <w:rsid w:val="73700840"/>
    <w:rsid w:val="73FB4EA5"/>
    <w:rsid w:val="74001C2F"/>
    <w:rsid w:val="741B6C88"/>
    <w:rsid w:val="741C4519"/>
    <w:rsid w:val="74370BFF"/>
    <w:rsid w:val="746F08B9"/>
    <w:rsid w:val="749B35BF"/>
    <w:rsid w:val="74AB0E6F"/>
    <w:rsid w:val="74D847F6"/>
    <w:rsid w:val="750D280F"/>
    <w:rsid w:val="759C3680"/>
    <w:rsid w:val="75A22368"/>
    <w:rsid w:val="75A81837"/>
    <w:rsid w:val="75B23484"/>
    <w:rsid w:val="75D7269B"/>
    <w:rsid w:val="75EF6499"/>
    <w:rsid w:val="760360A4"/>
    <w:rsid w:val="760E4F4D"/>
    <w:rsid w:val="761C61B4"/>
    <w:rsid w:val="76231834"/>
    <w:rsid w:val="76291BD2"/>
    <w:rsid w:val="769431D2"/>
    <w:rsid w:val="77316F4E"/>
    <w:rsid w:val="77376AF4"/>
    <w:rsid w:val="773962BD"/>
    <w:rsid w:val="77417055"/>
    <w:rsid w:val="774B4EF3"/>
    <w:rsid w:val="77DB62CF"/>
    <w:rsid w:val="784C1094"/>
    <w:rsid w:val="78852686"/>
    <w:rsid w:val="78852DB7"/>
    <w:rsid w:val="789461D7"/>
    <w:rsid w:val="78F47F26"/>
    <w:rsid w:val="798474FC"/>
    <w:rsid w:val="799C3ACB"/>
    <w:rsid w:val="79B2734B"/>
    <w:rsid w:val="79BD04CC"/>
    <w:rsid w:val="7A6B54B1"/>
    <w:rsid w:val="7A6E155A"/>
    <w:rsid w:val="7A7C630D"/>
    <w:rsid w:val="7ABA7FF4"/>
    <w:rsid w:val="7AD4000F"/>
    <w:rsid w:val="7B017E0A"/>
    <w:rsid w:val="7B4A1A2B"/>
    <w:rsid w:val="7B673365"/>
    <w:rsid w:val="7B8D2CFC"/>
    <w:rsid w:val="7BA46B5D"/>
    <w:rsid w:val="7BBF481B"/>
    <w:rsid w:val="7BC90FD4"/>
    <w:rsid w:val="7BD1069D"/>
    <w:rsid w:val="7BD74B4E"/>
    <w:rsid w:val="7BDE1A4E"/>
    <w:rsid w:val="7BF5023D"/>
    <w:rsid w:val="7C0A721A"/>
    <w:rsid w:val="7C814809"/>
    <w:rsid w:val="7C8C0698"/>
    <w:rsid w:val="7C8C239A"/>
    <w:rsid w:val="7C995E93"/>
    <w:rsid w:val="7CD91867"/>
    <w:rsid w:val="7D0372C4"/>
    <w:rsid w:val="7D0F3EF9"/>
    <w:rsid w:val="7D155C99"/>
    <w:rsid w:val="7D1841B2"/>
    <w:rsid w:val="7D266AF3"/>
    <w:rsid w:val="7D4A5D93"/>
    <w:rsid w:val="7D7F5DAF"/>
    <w:rsid w:val="7DA50BA9"/>
    <w:rsid w:val="7E1C4F87"/>
    <w:rsid w:val="7E242582"/>
    <w:rsid w:val="7E501CA8"/>
    <w:rsid w:val="7F0832DB"/>
    <w:rsid w:val="7F790A1A"/>
    <w:rsid w:val="7F8A566F"/>
    <w:rsid w:val="7F95485F"/>
    <w:rsid w:val="7FED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0"/>
      <w:szCs w:val="44"/>
    </w:rPr>
  </w:style>
  <w:style w:type="paragraph" w:styleId="3">
    <w:name w:val="heading 2"/>
    <w:basedOn w:val="1"/>
    <w:next w:val="1"/>
    <w:qFormat/>
    <w:uiPriority w:val="0"/>
    <w:pPr>
      <w:keepNext/>
      <w:keepLines/>
      <w:spacing w:before="240" w:after="240"/>
      <w:outlineLvl w:val="1"/>
    </w:pPr>
    <w:rPr>
      <w:rFonts w:ascii="Arial" w:hAnsi="Arial" w:eastAsia="黑体"/>
      <w:b/>
      <w:bCs/>
      <w:sz w:val="32"/>
      <w:szCs w:val="32"/>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link w:val="30"/>
    <w:qFormat/>
    <w:uiPriority w:val="0"/>
    <w:pPr>
      <w:spacing w:after="120"/>
      <w:ind w:left="420" w:leftChars="200"/>
    </w:pPr>
  </w:style>
  <w:style w:type="paragraph" w:styleId="8">
    <w:name w:val="Plain Text"/>
    <w:basedOn w:val="1"/>
    <w:unhideWhenUsed/>
    <w:qFormat/>
    <w:uiPriority w:val="99"/>
    <w:rPr>
      <w:rFonts w:ascii="宋体" w:hAnsi="Courier New" w:cs="Courier New"/>
      <w:szCs w:val="21"/>
    </w:rPr>
  </w:style>
  <w:style w:type="paragraph" w:styleId="9">
    <w:name w:val="Date"/>
    <w:basedOn w:val="1"/>
    <w:next w:val="1"/>
    <w:link w:val="28"/>
    <w:qFormat/>
    <w:uiPriority w:val="0"/>
    <w:pPr>
      <w:ind w:left="100" w:leftChars="2500"/>
    </w:pPr>
  </w:style>
  <w:style w:type="paragraph" w:styleId="10">
    <w:name w:val="Balloon Text"/>
    <w:basedOn w:val="1"/>
    <w:link w:val="32"/>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39"/>
    <w:pPr>
      <w:tabs>
        <w:tab w:val="left" w:pos="840"/>
        <w:tab w:val="right" w:leader="dot" w:pos="9629"/>
      </w:tabs>
    </w:pPr>
    <w:rPr>
      <w:rFonts w:ascii="仿宋_GB2312" w:eastAsia="仿宋_GB2312"/>
    </w:rPr>
  </w:style>
  <w:style w:type="paragraph" w:styleId="14">
    <w:name w:val="Body Text 2"/>
    <w:basedOn w:val="1"/>
    <w:qFormat/>
    <w:uiPriority w:val="0"/>
    <w:pPr>
      <w:spacing w:line="360" w:lineRule="auto"/>
    </w:pPr>
    <w:rPr>
      <w:sz w:val="24"/>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Body Text First Indent"/>
    <w:basedOn w:val="6"/>
    <w:qFormat/>
    <w:uiPriority w:val="0"/>
    <w:pPr>
      <w:ind w:firstLine="100" w:firstLineChars="100"/>
    </w:pPr>
  </w:style>
  <w:style w:type="paragraph" w:styleId="18">
    <w:name w:val="Body Text First Indent 2"/>
    <w:basedOn w:val="7"/>
    <w:link w:val="31"/>
    <w:qFormat/>
    <w:uiPriority w:val="0"/>
    <w:pPr>
      <w:tabs>
        <w:tab w:val="left" w:pos="673"/>
      </w:tabs>
      <w:spacing w:after="160" w:line="259" w:lineRule="auto"/>
      <w:ind w:left="0" w:leftChars="0" w:firstLine="420" w:firstLineChars="200"/>
    </w:pPr>
    <w:rPr>
      <w:rFonts w:ascii="Times New Roman" w:hAnsi="Times New Roman" w:eastAsia="宋体" w:cs="Times New Roman"/>
      <w:sz w:val="20"/>
      <w:szCs w:val="20"/>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paragraph" w:customStyle="1" w:styleId="25">
    <w:name w:val="*正文"/>
    <w:basedOn w:val="1"/>
    <w:qFormat/>
    <w:uiPriority w:val="0"/>
    <w:pPr>
      <w:adjustRightInd w:val="0"/>
      <w:snapToGrid w:val="0"/>
      <w:spacing w:line="579" w:lineRule="exact"/>
      <w:ind w:firstLine="200" w:firstLineChars="200"/>
    </w:pPr>
    <w:rPr>
      <w:rFonts w:ascii="宋体" w:hAnsi="宋体" w:eastAsia="仿宋"/>
      <w:sz w:val="32"/>
      <w:szCs w:val="22"/>
    </w:rPr>
  </w:style>
  <w:style w:type="paragraph" w:styleId="26">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styleId="27">
    <w:name w:val="List Paragraph"/>
    <w:basedOn w:val="1"/>
    <w:qFormat/>
    <w:uiPriority w:val="0"/>
    <w:pPr>
      <w:ind w:firstLine="420" w:firstLineChars="200"/>
    </w:pPr>
  </w:style>
  <w:style w:type="character" w:customStyle="1" w:styleId="28">
    <w:name w:val="日期 字符"/>
    <w:basedOn w:val="21"/>
    <w:link w:val="9"/>
    <w:qFormat/>
    <w:uiPriority w:val="0"/>
    <w:rPr>
      <w:rFonts w:asciiTheme="minorHAnsi" w:hAnsiTheme="minorHAnsi" w:eastAsiaTheme="minorEastAsia" w:cstheme="minorBidi"/>
      <w:kern w:val="2"/>
      <w:sz w:val="21"/>
      <w:szCs w:val="24"/>
    </w:rPr>
  </w:style>
  <w:style w:type="paragraph" w:customStyle="1" w:styleId="29">
    <w:name w:val="p0"/>
    <w:basedOn w:val="1"/>
    <w:qFormat/>
    <w:uiPriority w:val="0"/>
    <w:pPr>
      <w:widowControl/>
    </w:pPr>
    <w:rPr>
      <w:rFonts w:ascii="Calibri" w:hAnsi="Calibri" w:cs="宋体"/>
      <w:kern w:val="0"/>
      <w:sz w:val="32"/>
      <w:szCs w:val="32"/>
    </w:rPr>
  </w:style>
  <w:style w:type="character" w:customStyle="1" w:styleId="30">
    <w:name w:val="正文文本缩进 字符"/>
    <w:basedOn w:val="21"/>
    <w:link w:val="7"/>
    <w:qFormat/>
    <w:uiPriority w:val="0"/>
    <w:rPr>
      <w:rFonts w:asciiTheme="minorHAnsi" w:hAnsiTheme="minorHAnsi" w:eastAsiaTheme="minorEastAsia" w:cstheme="minorBidi"/>
      <w:kern w:val="2"/>
      <w:sz w:val="21"/>
      <w:szCs w:val="24"/>
    </w:rPr>
  </w:style>
  <w:style w:type="character" w:customStyle="1" w:styleId="31">
    <w:name w:val="正文文本首行缩进 2 字符"/>
    <w:basedOn w:val="30"/>
    <w:link w:val="18"/>
    <w:qFormat/>
    <w:uiPriority w:val="0"/>
    <w:rPr>
      <w:rFonts w:asciiTheme="minorHAnsi" w:hAnsiTheme="minorHAnsi" w:eastAsiaTheme="minorEastAsia" w:cstheme="minorBidi"/>
      <w:kern w:val="2"/>
      <w:sz w:val="21"/>
      <w:szCs w:val="24"/>
    </w:rPr>
  </w:style>
  <w:style w:type="character" w:customStyle="1" w:styleId="32">
    <w:name w:val="批注框文本 字符"/>
    <w:basedOn w:val="21"/>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5296</Words>
  <Characters>5687</Characters>
  <Lines>405</Lines>
  <Paragraphs>385</Paragraphs>
  <TotalTime>0</TotalTime>
  <ScaleCrop>false</ScaleCrop>
  <LinksUpToDate>false</LinksUpToDate>
  <CharactersWithSpaces>5819</CharactersWithSpaces>
  <Application>WPS Office_12.8.2.16927_F1E327BC-269C-435d-A152-05C5408002CA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2026-03-25T16:27:00Z</dcterms:created>
  <dc:creator>lenovo</dc:creator>
  <cp:lastModifiedBy>冯琛</cp:lastModifiedBy>
  <dcterms:modified xsi:type="dcterms:W3CDTF">2026-07-24T06:35:51Z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2052-12.8.2.16927</vt:lpwstr>
  </property>
  <property fmtid="{D5CDD505-2E9C-101B-9397-08002B2CF9AE}" pid="3" name="ICV">
    <vt:lpwstr>32D8991425A5464C8B30009F3C90CB00_13</vt:lpwstr>
  </property>
  <property fmtid="{D5CDD505-2E9C-101B-9397-08002B2CF9AE}" pid="4" name="KSOTemplateDocerSaveRecord">
    <vt:lpwstr>eyJoZGlkIjoiMWQ3NmZjYTMzYTJlYjhiYTVhNDQzZTBkMTdhMDk5ZTQiLCJ1c2VySWQiOiIxNDc4ODMwODM4In0=</vt:lpwstr>
  </property>
</Properties>
</file>