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28CF4">
      <w:pPr>
        <w:rPr>
          <w:rFonts w:hint="eastAsia" w:ascii="仿宋_GB2312" w:eastAsia="仿宋_GB2312"/>
          <w:color w:val="auto"/>
          <w:sz w:val="32"/>
          <w:szCs w:val="32"/>
        </w:rPr>
      </w:pPr>
      <w:r>
        <w:rPr>
          <w:rFonts w:hint="eastAsia" w:ascii="仿宋_GB2312" w:eastAsia="仿宋_GB2312"/>
          <w:color w:val="auto"/>
          <w:sz w:val="32"/>
          <w:szCs w:val="32"/>
        </w:rPr>
        <w:t>附件</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w:t>
      </w:r>
    </w:p>
    <w:p w14:paraId="5DDFDD52">
      <w:pPr>
        <w:spacing w:line="560" w:lineRule="exact"/>
        <w:jc w:val="center"/>
        <w:rPr>
          <w:rFonts w:hint="eastAsia" w:ascii="方正小标宋简体" w:eastAsia="方正小标宋简体"/>
          <w:color w:val="auto"/>
          <w:sz w:val="36"/>
          <w:szCs w:val="36"/>
        </w:rPr>
      </w:pPr>
      <w:r>
        <w:rPr>
          <w:rFonts w:hint="eastAsia" w:ascii="方正小标宋简体" w:eastAsia="方正小标宋简体"/>
          <w:bCs/>
          <w:color w:val="auto"/>
          <w:sz w:val="36"/>
          <w:szCs w:val="36"/>
        </w:rPr>
        <w:t>深圳交易集团深交易APP鸿蒙适配改造项目项目报价表</w:t>
      </w:r>
    </w:p>
    <w:tbl>
      <w:tblPr>
        <w:tblStyle w:val="4"/>
        <w:tblW w:w="136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496"/>
        <w:gridCol w:w="7277"/>
        <w:gridCol w:w="1272"/>
        <w:gridCol w:w="1465"/>
        <w:gridCol w:w="836"/>
      </w:tblGrid>
      <w:tr w14:paraId="4F4F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trPr>
        <w:tc>
          <w:tcPr>
            <w:tcW w:w="1350" w:type="dxa"/>
            <w:vAlign w:val="center"/>
          </w:tcPr>
          <w:p w14:paraId="5B963BD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Theme="minorEastAsia"/>
                <w:b/>
                <w:bCs/>
                <w:color w:val="auto"/>
                <w:sz w:val="24"/>
                <w:szCs w:val="24"/>
                <w:vertAlign w:val="baseline"/>
                <w:lang w:val="en-US" w:eastAsia="zh-CN"/>
              </w:rPr>
            </w:pPr>
            <w:r>
              <w:rPr>
                <w:rFonts w:hint="eastAsia"/>
                <w:b/>
                <w:bCs/>
                <w:color w:val="auto"/>
                <w:sz w:val="24"/>
                <w:szCs w:val="24"/>
                <w:vertAlign w:val="baseline"/>
                <w:lang w:val="en-US" w:eastAsia="zh-CN"/>
              </w:rPr>
              <w:t>报价大项</w:t>
            </w:r>
          </w:p>
        </w:tc>
        <w:tc>
          <w:tcPr>
            <w:tcW w:w="1496" w:type="dxa"/>
            <w:vAlign w:val="center"/>
          </w:tcPr>
          <w:p w14:paraId="1CC66ED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报价细项</w:t>
            </w:r>
          </w:p>
        </w:tc>
        <w:tc>
          <w:tcPr>
            <w:tcW w:w="7277" w:type="dxa"/>
            <w:vAlign w:val="center"/>
          </w:tcPr>
          <w:p w14:paraId="363C266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Theme="minorEastAsia"/>
                <w:b/>
                <w:bCs/>
                <w:color w:val="auto"/>
                <w:sz w:val="24"/>
                <w:szCs w:val="24"/>
                <w:vertAlign w:val="baseline"/>
                <w:lang w:val="en-US" w:eastAsia="zh-CN"/>
              </w:rPr>
            </w:pPr>
            <w:r>
              <w:rPr>
                <w:rFonts w:hint="eastAsia"/>
                <w:b/>
                <w:bCs/>
                <w:color w:val="auto"/>
                <w:sz w:val="24"/>
                <w:szCs w:val="24"/>
                <w:vertAlign w:val="baseline"/>
                <w:lang w:val="en-US" w:eastAsia="zh-CN"/>
              </w:rPr>
              <w:t>需求描述</w:t>
            </w:r>
          </w:p>
        </w:tc>
        <w:tc>
          <w:tcPr>
            <w:tcW w:w="1272" w:type="dxa"/>
            <w:vAlign w:val="center"/>
          </w:tcPr>
          <w:p w14:paraId="03524B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color w:val="auto"/>
                <w:sz w:val="24"/>
                <w:szCs w:val="24"/>
                <w:vertAlign w:val="baseline"/>
                <w:lang w:val="en-US" w:eastAsia="zh-CN"/>
              </w:rPr>
            </w:pPr>
            <w:r>
              <w:rPr>
                <w:rFonts w:hint="eastAsia"/>
                <w:b/>
                <w:bCs/>
                <w:color w:val="auto"/>
                <w:sz w:val="24"/>
                <w:szCs w:val="24"/>
                <w:vertAlign w:val="baseline"/>
                <w:lang w:val="en-US" w:eastAsia="zh-CN"/>
              </w:rPr>
              <w:t>工作量</w:t>
            </w:r>
          </w:p>
          <w:p w14:paraId="31066EB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Theme="minorEastAsia"/>
                <w:b/>
                <w:bCs/>
                <w:color w:val="auto"/>
                <w:sz w:val="24"/>
                <w:szCs w:val="24"/>
                <w:vertAlign w:val="baseline"/>
                <w:lang w:val="en-US" w:eastAsia="zh-CN"/>
              </w:rPr>
            </w:pPr>
            <w:r>
              <w:rPr>
                <w:rFonts w:hint="eastAsia"/>
                <w:b/>
                <w:bCs/>
                <w:color w:val="auto"/>
                <w:sz w:val="24"/>
                <w:szCs w:val="24"/>
                <w:vertAlign w:val="baseline"/>
                <w:lang w:val="en-US" w:eastAsia="zh-CN"/>
              </w:rPr>
              <w:t>（人天）</w:t>
            </w:r>
          </w:p>
        </w:tc>
        <w:tc>
          <w:tcPr>
            <w:tcW w:w="1465" w:type="dxa"/>
            <w:vAlign w:val="center"/>
          </w:tcPr>
          <w:p w14:paraId="11FF0AB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color w:val="auto"/>
                <w:sz w:val="24"/>
                <w:szCs w:val="24"/>
                <w:vertAlign w:val="baseline"/>
                <w:lang w:val="en-US" w:eastAsia="zh-CN"/>
              </w:rPr>
            </w:pPr>
            <w:r>
              <w:rPr>
                <w:rFonts w:hint="eastAsia"/>
                <w:b/>
                <w:bCs/>
                <w:color w:val="auto"/>
                <w:sz w:val="24"/>
                <w:szCs w:val="24"/>
                <w:vertAlign w:val="baseline"/>
                <w:lang w:val="en-US" w:eastAsia="zh-CN"/>
              </w:rPr>
              <w:t>人天单价</w:t>
            </w:r>
          </w:p>
          <w:p w14:paraId="1096740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（人天/元）</w:t>
            </w:r>
          </w:p>
        </w:tc>
        <w:tc>
          <w:tcPr>
            <w:tcW w:w="836" w:type="dxa"/>
            <w:vAlign w:val="center"/>
          </w:tcPr>
          <w:p w14:paraId="58568D2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color w:val="auto"/>
                <w:sz w:val="24"/>
                <w:szCs w:val="24"/>
                <w:vertAlign w:val="baseline"/>
                <w:lang w:val="en-US" w:eastAsia="zh-CN"/>
              </w:rPr>
            </w:pPr>
            <w:r>
              <w:rPr>
                <w:rFonts w:hint="eastAsia"/>
                <w:b/>
                <w:bCs/>
                <w:color w:val="auto"/>
                <w:sz w:val="24"/>
                <w:szCs w:val="24"/>
                <w:vertAlign w:val="baseline"/>
                <w:lang w:val="en-US" w:eastAsia="zh-CN"/>
              </w:rPr>
              <w:t>总价</w:t>
            </w:r>
          </w:p>
          <w:p w14:paraId="2116BD4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（元）</w:t>
            </w:r>
          </w:p>
        </w:tc>
      </w:tr>
      <w:tr w14:paraId="3506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350" w:type="dxa"/>
            <w:vMerge w:val="restart"/>
            <w:vAlign w:val="center"/>
          </w:tcPr>
          <w:p w14:paraId="6C17BBC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r>
              <w:rPr>
                <w:rFonts w:hint="eastAsia"/>
                <w:color w:val="auto"/>
                <w:sz w:val="24"/>
                <w:szCs w:val="24"/>
                <w:vertAlign w:val="baseline"/>
                <w:lang w:val="en-US" w:eastAsia="zh-CN"/>
              </w:rPr>
              <w:t>核心模块改造</w:t>
            </w:r>
          </w:p>
        </w:tc>
        <w:tc>
          <w:tcPr>
            <w:tcW w:w="1496" w:type="dxa"/>
            <w:vAlign w:val="center"/>
          </w:tcPr>
          <w:p w14:paraId="05761B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rPr>
              <w:t>原生UI模块</w:t>
            </w:r>
          </w:p>
        </w:tc>
        <w:tc>
          <w:tcPr>
            <w:tcW w:w="7277" w:type="dxa"/>
            <w:vAlign w:val="center"/>
          </w:tcPr>
          <w:p w14:paraId="780A271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宋体"/>
                <w:sz w:val="20"/>
                <w:szCs w:val="20"/>
                <w:lang w:val="en-US" w:eastAsia="zh-CN"/>
              </w:rPr>
            </w:pPr>
            <w:r>
              <w:rPr>
                <w:rFonts w:hint="eastAsia" w:ascii="宋体" w:hAnsi="宋体" w:eastAsia="宋体" w:cs="宋体"/>
                <w:sz w:val="20"/>
                <w:szCs w:val="20"/>
              </w:rPr>
              <w:t>用鸿蒙ArkUI组件重构安卓原生页面（底部导航、交易列表、用户中心等）</w:t>
            </w:r>
            <w:r>
              <w:rPr>
                <w:rFonts w:hint="eastAsia" w:ascii="宋体" w:hAnsi="宋体" w:eastAsia="宋体" w:cs="宋体"/>
                <w:sz w:val="20"/>
                <w:szCs w:val="20"/>
                <w:lang w:eastAsia="zh-CN"/>
              </w:rPr>
              <w:t>。</w:t>
            </w:r>
            <w:r>
              <w:rPr>
                <w:rFonts w:hint="eastAsia" w:ascii="宋体" w:hAnsi="宋体" w:eastAsia="宋体" w:cs="宋体"/>
                <w:sz w:val="20"/>
                <w:szCs w:val="20"/>
              </w:rPr>
              <w:t>布局对齐安卓版，滑动流畅（帧率≥60fps），适配鸿蒙设备屏幕</w:t>
            </w:r>
            <w:r>
              <w:rPr>
                <w:rFonts w:hint="eastAsia" w:ascii="宋体" w:hAnsi="宋体" w:eastAsia="宋体" w:cs="宋体"/>
                <w:sz w:val="20"/>
                <w:szCs w:val="20"/>
                <w:lang w:eastAsia="zh-CN"/>
              </w:rPr>
              <w:t>。</w:t>
            </w:r>
          </w:p>
        </w:tc>
        <w:tc>
          <w:tcPr>
            <w:tcW w:w="1272" w:type="dxa"/>
            <w:vAlign w:val="center"/>
          </w:tcPr>
          <w:p w14:paraId="40C0720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65" w:type="dxa"/>
            <w:vMerge w:val="restart"/>
            <w:vAlign w:val="center"/>
          </w:tcPr>
          <w:p w14:paraId="7D3A29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836" w:type="dxa"/>
            <w:vAlign w:val="center"/>
          </w:tcPr>
          <w:p w14:paraId="19DC848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414A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350" w:type="dxa"/>
            <w:vMerge w:val="continue"/>
            <w:vAlign w:val="center"/>
          </w:tcPr>
          <w:p w14:paraId="48E531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96" w:type="dxa"/>
            <w:shd w:val="clear" w:color="auto" w:fill="auto"/>
            <w:vAlign w:val="center"/>
          </w:tcPr>
          <w:p w14:paraId="677D689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H5容器模块</w:t>
            </w:r>
          </w:p>
        </w:tc>
        <w:tc>
          <w:tcPr>
            <w:tcW w:w="7277" w:type="dxa"/>
            <w:vAlign w:val="center"/>
          </w:tcPr>
          <w:p w14:paraId="5413FAF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用鸿蒙Web组件替换安卓WebView，适配JSBridge通信逻辑</w:t>
            </w:r>
            <w:r>
              <w:rPr>
                <w:rFonts w:hint="eastAsia" w:ascii="宋体" w:hAnsi="宋体" w:eastAsia="宋体" w:cs="宋体"/>
                <w:sz w:val="20"/>
                <w:szCs w:val="20"/>
                <w:lang w:eastAsia="zh-CN"/>
              </w:rPr>
              <w:t>。</w:t>
            </w:r>
            <w:r>
              <w:rPr>
                <w:rFonts w:hint="eastAsia" w:ascii="宋体" w:hAnsi="宋体" w:eastAsia="宋体" w:cs="宋体"/>
                <w:sz w:val="20"/>
                <w:szCs w:val="20"/>
              </w:rPr>
              <w:t>H5页面正常加载，与原生通信无异常，复用现有H5代码</w:t>
            </w:r>
            <w:r>
              <w:rPr>
                <w:rFonts w:hint="eastAsia" w:ascii="宋体" w:hAnsi="宋体" w:eastAsia="宋体" w:cs="宋体"/>
                <w:sz w:val="20"/>
                <w:szCs w:val="20"/>
                <w:lang w:eastAsia="zh-CN"/>
              </w:rPr>
              <w:t>。</w:t>
            </w:r>
          </w:p>
        </w:tc>
        <w:tc>
          <w:tcPr>
            <w:tcW w:w="1272" w:type="dxa"/>
            <w:vAlign w:val="center"/>
          </w:tcPr>
          <w:p w14:paraId="42DC402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65" w:type="dxa"/>
            <w:vMerge w:val="continue"/>
            <w:vAlign w:val="center"/>
          </w:tcPr>
          <w:p w14:paraId="05EC17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836" w:type="dxa"/>
            <w:vAlign w:val="center"/>
          </w:tcPr>
          <w:p w14:paraId="2769E1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42AA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350" w:type="dxa"/>
            <w:vMerge w:val="continue"/>
            <w:vAlign w:val="center"/>
          </w:tcPr>
          <w:p w14:paraId="555C4A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96" w:type="dxa"/>
            <w:shd w:val="clear" w:color="auto" w:fill="auto"/>
            <w:vAlign w:val="center"/>
          </w:tcPr>
          <w:p w14:paraId="0CCBE84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通信模块</w:t>
            </w:r>
            <w:r>
              <w:rPr>
                <w:rFonts w:hint="eastAsia" w:ascii="宋体" w:hAnsi="宋体" w:eastAsia="宋体" w:cs="宋体"/>
                <w:sz w:val="20"/>
                <w:szCs w:val="20"/>
                <w:lang w:val="en-US" w:eastAsia="zh-CN"/>
              </w:rPr>
              <w:t>造</w:t>
            </w:r>
          </w:p>
        </w:tc>
        <w:tc>
          <w:tcPr>
            <w:tcW w:w="7277" w:type="dxa"/>
            <w:vAlign w:val="center"/>
          </w:tcPr>
          <w:p w14:paraId="6DD671B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将安卓JSBridge替换为鸿蒙javaScriptProxy，保留接口名称与参数</w:t>
            </w:r>
            <w:r>
              <w:rPr>
                <w:rFonts w:hint="eastAsia" w:ascii="宋体" w:hAnsi="宋体" w:eastAsia="宋体" w:cs="宋体"/>
                <w:sz w:val="20"/>
                <w:szCs w:val="20"/>
                <w:lang w:val="en-US" w:eastAsia="zh-CN"/>
              </w:rPr>
              <w:t>。</w:t>
            </w:r>
            <w:r>
              <w:rPr>
                <w:rFonts w:hint="eastAsia" w:ascii="宋体" w:hAnsi="宋体" w:eastAsia="宋体" w:cs="宋体"/>
                <w:sz w:val="20"/>
                <w:szCs w:val="20"/>
              </w:rPr>
              <w:t>实现H5与原生双向通信（分享、获取登录态等），响应速度≤300ms</w:t>
            </w:r>
            <w:r>
              <w:rPr>
                <w:rFonts w:hint="eastAsia" w:ascii="宋体" w:hAnsi="宋体" w:eastAsia="宋体" w:cs="宋体"/>
                <w:sz w:val="20"/>
                <w:szCs w:val="20"/>
                <w:lang w:eastAsia="zh-CN"/>
              </w:rPr>
              <w:t>。</w:t>
            </w:r>
          </w:p>
        </w:tc>
        <w:tc>
          <w:tcPr>
            <w:tcW w:w="1272" w:type="dxa"/>
            <w:vAlign w:val="center"/>
          </w:tcPr>
          <w:p w14:paraId="6EFDAC2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65" w:type="dxa"/>
            <w:vMerge w:val="continue"/>
            <w:vAlign w:val="center"/>
          </w:tcPr>
          <w:p w14:paraId="7118A4C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836" w:type="dxa"/>
            <w:vAlign w:val="center"/>
          </w:tcPr>
          <w:p w14:paraId="241775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51D8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350" w:type="dxa"/>
            <w:vMerge w:val="continue"/>
            <w:vAlign w:val="center"/>
          </w:tcPr>
          <w:p w14:paraId="2105E55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96" w:type="dxa"/>
            <w:vAlign w:val="center"/>
          </w:tcPr>
          <w:p w14:paraId="7F4624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数据层模块</w:t>
            </w:r>
          </w:p>
        </w:tc>
        <w:tc>
          <w:tcPr>
            <w:tcW w:w="7277" w:type="dxa"/>
            <w:vAlign w:val="center"/>
          </w:tcPr>
          <w:p w14:paraId="5C8B205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替换安卓本地存储API（SharedPreferences→Preferences、Room→RDB），复用网络请求逻辑</w:t>
            </w:r>
            <w:r>
              <w:rPr>
                <w:rFonts w:hint="eastAsia" w:ascii="宋体" w:hAnsi="宋体" w:eastAsia="宋体" w:cs="宋体"/>
                <w:sz w:val="20"/>
                <w:szCs w:val="20"/>
                <w:lang w:val="en-US" w:eastAsia="zh-CN"/>
              </w:rPr>
              <w:t>。</w:t>
            </w:r>
            <w:r>
              <w:rPr>
                <w:rFonts w:hint="eastAsia" w:ascii="宋体" w:hAnsi="宋体" w:eastAsia="宋体" w:cs="宋体"/>
                <w:sz w:val="20"/>
                <w:szCs w:val="20"/>
              </w:rPr>
              <w:t>数据存储/读取正常，网络请求稳定，登录态同步无异常</w:t>
            </w:r>
            <w:r>
              <w:rPr>
                <w:rFonts w:hint="eastAsia" w:ascii="宋体" w:hAnsi="宋体" w:eastAsia="宋体" w:cs="宋体"/>
                <w:sz w:val="20"/>
                <w:szCs w:val="20"/>
                <w:lang w:eastAsia="zh-CN"/>
              </w:rPr>
              <w:t>。</w:t>
            </w:r>
          </w:p>
        </w:tc>
        <w:tc>
          <w:tcPr>
            <w:tcW w:w="1272" w:type="dxa"/>
            <w:vAlign w:val="center"/>
          </w:tcPr>
          <w:p w14:paraId="04F5C18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65" w:type="dxa"/>
            <w:vMerge w:val="continue"/>
            <w:vAlign w:val="center"/>
          </w:tcPr>
          <w:p w14:paraId="45BC92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836" w:type="dxa"/>
            <w:vAlign w:val="center"/>
          </w:tcPr>
          <w:p w14:paraId="3C2A09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1E2F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350" w:type="dxa"/>
            <w:vMerge w:val="continue"/>
            <w:vAlign w:val="center"/>
          </w:tcPr>
          <w:p w14:paraId="564C77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96" w:type="dxa"/>
            <w:vAlign w:val="center"/>
          </w:tcPr>
          <w:p w14:paraId="40D2036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核心功能</w:t>
            </w:r>
            <w:r>
              <w:rPr>
                <w:rFonts w:hint="eastAsia" w:ascii="宋体" w:hAnsi="宋体" w:eastAsia="宋体" w:cs="宋体"/>
                <w:sz w:val="20"/>
                <w:szCs w:val="20"/>
                <w:lang w:val="en-US" w:eastAsia="zh-CN"/>
              </w:rPr>
              <w:t>模块</w:t>
            </w:r>
          </w:p>
        </w:tc>
        <w:tc>
          <w:tcPr>
            <w:tcW w:w="7277" w:type="dxa"/>
            <w:vAlign w:val="center"/>
          </w:tcPr>
          <w:p w14:paraId="763D0C4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交易服务交易服务、交易相关反馈、收藏、分享、离线查看交易记录等核心功能适配鸿蒙API</w:t>
            </w:r>
            <w:r>
              <w:rPr>
                <w:rFonts w:hint="eastAsia" w:ascii="宋体" w:hAnsi="宋体" w:eastAsia="宋体" w:cs="宋体"/>
                <w:sz w:val="20"/>
                <w:szCs w:val="20"/>
                <w:lang w:eastAsia="zh-CN"/>
              </w:rPr>
              <w:t>。</w:t>
            </w:r>
            <w:r>
              <w:rPr>
                <w:rFonts w:hint="eastAsia" w:ascii="宋体" w:hAnsi="宋体" w:eastAsia="宋体" w:cs="宋体"/>
                <w:sz w:val="20"/>
                <w:szCs w:val="20"/>
              </w:rPr>
              <w:t>功能正常可用，与安卓版体验一致</w:t>
            </w:r>
            <w:r>
              <w:rPr>
                <w:rFonts w:hint="eastAsia" w:ascii="宋体" w:hAnsi="宋体" w:eastAsia="宋体" w:cs="宋体"/>
                <w:sz w:val="20"/>
                <w:szCs w:val="20"/>
                <w:lang w:eastAsia="zh-CN"/>
              </w:rPr>
              <w:t>。</w:t>
            </w:r>
          </w:p>
        </w:tc>
        <w:tc>
          <w:tcPr>
            <w:tcW w:w="1272" w:type="dxa"/>
            <w:vAlign w:val="center"/>
          </w:tcPr>
          <w:p w14:paraId="6BD3E2F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65" w:type="dxa"/>
            <w:vMerge w:val="continue"/>
            <w:vAlign w:val="center"/>
          </w:tcPr>
          <w:p w14:paraId="22DCCFD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836" w:type="dxa"/>
            <w:vAlign w:val="center"/>
          </w:tcPr>
          <w:p w14:paraId="5FCA9C7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33BD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350" w:type="dxa"/>
            <w:vMerge w:val="continue"/>
            <w:vAlign w:val="center"/>
          </w:tcPr>
          <w:p w14:paraId="46ED85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96" w:type="dxa"/>
            <w:vAlign w:val="center"/>
          </w:tcPr>
          <w:p w14:paraId="49D203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0"/>
                <w:szCs w:val="20"/>
              </w:rPr>
            </w:pPr>
            <w:r>
              <w:rPr>
                <w:rFonts w:hint="eastAsia" w:ascii="宋体" w:hAnsi="宋体" w:eastAsia="宋体" w:cs="宋体"/>
                <w:sz w:val="20"/>
                <w:szCs w:val="20"/>
              </w:rPr>
              <w:t>推送模块</w:t>
            </w:r>
          </w:p>
        </w:tc>
        <w:tc>
          <w:tcPr>
            <w:tcW w:w="7277" w:type="dxa"/>
            <w:vAlign w:val="center"/>
          </w:tcPr>
          <w:p w14:paraId="68EFCD4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用鸿蒙Push Kit替换安卓FCM推送，适配鸿蒙通知机制</w:t>
            </w:r>
            <w:r>
              <w:rPr>
                <w:rFonts w:hint="eastAsia" w:ascii="宋体" w:hAnsi="宋体" w:eastAsia="宋体" w:cs="宋体"/>
                <w:sz w:val="20"/>
                <w:szCs w:val="20"/>
                <w:lang w:eastAsia="zh-CN"/>
              </w:rPr>
              <w:t>。</w:t>
            </w:r>
            <w:r>
              <w:rPr>
                <w:rFonts w:hint="eastAsia" w:ascii="宋体" w:hAnsi="宋体" w:eastAsia="宋体" w:cs="宋体"/>
                <w:sz w:val="20"/>
                <w:szCs w:val="20"/>
              </w:rPr>
              <w:t>推送正常接收，点击可跳转对应页面，支持推送设置</w:t>
            </w:r>
            <w:r>
              <w:rPr>
                <w:rFonts w:hint="eastAsia" w:ascii="宋体" w:hAnsi="宋体" w:eastAsia="宋体" w:cs="宋体"/>
                <w:sz w:val="20"/>
                <w:szCs w:val="20"/>
                <w:lang w:eastAsia="zh-CN"/>
              </w:rPr>
              <w:t>。</w:t>
            </w:r>
          </w:p>
        </w:tc>
        <w:tc>
          <w:tcPr>
            <w:tcW w:w="1272" w:type="dxa"/>
            <w:vAlign w:val="center"/>
          </w:tcPr>
          <w:p w14:paraId="284032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65" w:type="dxa"/>
            <w:vMerge w:val="continue"/>
            <w:vAlign w:val="center"/>
          </w:tcPr>
          <w:p w14:paraId="735F99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836" w:type="dxa"/>
            <w:vAlign w:val="center"/>
          </w:tcPr>
          <w:p w14:paraId="5A0C60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613A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350" w:type="dxa"/>
            <w:vMerge w:val="continue"/>
            <w:vAlign w:val="center"/>
          </w:tcPr>
          <w:p w14:paraId="67CBEA1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96" w:type="dxa"/>
            <w:vAlign w:val="center"/>
          </w:tcPr>
          <w:p w14:paraId="0DEFBE8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0"/>
                <w:szCs w:val="20"/>
              </w:rPr>
            </w:pPr>
            <w:r>
              <w:rPr>
                <w:rFonts w:hint="eastAsia" w:ascii="宋体" w:hAnsi="宋体" w:eastAsia="宋体" w:cs="宋体"/>
                <w:sz w:val="20"/>
                <w:szCs w:val="20"/>
              </w:rPr>
              <w:t>个性化设置模块</w:t>
            </w:r>
          </w:p>
        </w:tc>
        <w:tc>
          <w:tcPr>
            <w:tcW w:w="7277" w:type="dxa"/>
            <w:vAlign w:val="center"/>
          </w:tcPr>
          <w:p w14:paraId="22FAFDF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夜间模式、字体大小等设置适配鸿蒙UI，同步H5页面显示</w:t>
            </w:r>
            <w:r>
              <w:rPr>
                <w:rFonts w:hint="eastAsia" w:ascii="宋体" w:hAnsi="宋体" w:eastAsia="宋体" w:cs="宋体"/>
                <w:sz w:val="20"/>
                <w:szCs w:val="20"/>
                <w:lang w:eastAsia="zh-CN"/>
              </w:rPr>
              <w:t>。</w:t>
            </w:r>
            <w:r>
              <w:rPr>
                <w:rFonts w:hint="eastAsia" w:ascii="宋体" w:hAnsi="宋体" w:eastAsia="宋体" w:cs="宋体"/>
                <w:sz w:val="20"/>
                <w:szCs w:val="20"/>
              </w:rPr>
              <w:t>设置生效正常，原生与H5页面样式统一</w:t>
            </w:r>
            <w:r>
              <w:rPr>
                <w:rFonts w:hint="eastAsia" w:ascii="宋体" w:hAnsi="宋体" w:eastAsia="宋体" w:cs="宋体"/>
                <w:sz w:val="20"/>
                <w:szCs w:val="20"/>
                <w:lang w:eastAsia="zh-CN"/>
              </w:rPr>
              <w:t>。</w:t>
            </w:r>
          </w:p>
        </w:tc>
        <w:tc>
          <w:tcPr>
            <w:tcW w:w="1272" w:type="dxa"/>
            <w:vAlign w:val="center"/>
          </w:tcPr>
          <w:p w14:paraId="5D6D7BC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65" w:type="dxa"/>
            <w:vMerge w:val="continue"/>
            <w:vAlign w:val="center"/>
          </w:tcPr>
          <w:p w14:paraId="3FF733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836" w:type="dxa"/>
            <w:vAlign w:val="center"/>
          </w:tcPr>
          <w:p w14:paraId="24F6225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248B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350" w:type="dxa"/>
            <w:vMerge w:val="restart"/>
            <w:vAlign w:val="center"/>
          </w:tcPr>
          <w:p w14:paraId="41F160B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sz w:val="24"/>
                <w:szCs w:val="24"/>
                <w:vertAlign w:val="baseline"/>
                <w:lang w:val="en-US" w:eastAsia="zh-CN"/>
              </w:rPr>
            </w:pPr>
            <w:r>
              <w:rPr>
                <w:rFonts w:hint="eastAsia"/>
                <w:color w:val="auto"/>
                <w:sz w:val="24"/>
                <w:szCs w:val="24"/>
                <w:vertAlign w:val="baseline"/>
                <w:lang w:val="en-US" w:eastAsia="zh-CN"/>
              </w:rPr>
              <w:t>适配改造内容</w:t>
            </w:r>
          </w:p>
        </w:tc>
        <w:tc>
          <w:tcPr>
            <w:tcW w:w="1496" w:type="dxa"/>
            <w:vAlign w:val="center"/>
          </w:tcPr>
          <w:p w14:paraId="39EB47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rPr>
              <w:t>深交易APP动态H5页面</w:t>
            </w:r>
          </w:p>
        </w:tc>
        <w:tc>
          <w:tcPr>
            <w:tcW w:w="7277" w:type="dxa"/>
            <w:vAlign w:val="center"/>
          </w:tcPr>
          <w:p w14:paraId="7D76FB1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宋体"/>
                <w:sz w:val="20"/>
                <w:szCs w:val="20"/>
                <w:lang w:val="en-US" w:eastAsia="zh-CN"/>
              </w:rPr>
            </w:pPr>
            <w:r>
              <w:rPr>
                <w:rFonts w:hint="eastAsia" w:ascii="宋体" w:hAnsi="宋体" w:eastAsia="宋体" w:cs="宋体"/>
                <w:sz w:val="20"/>
                <w:szCs w:val="20"/>
              </w:rPr>
              <w:t>1.涉及API兼容适配</w:t>
            </w:r>
            <w:r>
              <w:rPr>
                <w:rFonts w:hint="eastAsia" w:ascii="宋体" w:hAnsi="宋体" w:eastAsia="宋体" w:cs="宋体"/>
                <w:sz w:val="20"/>
                <w:szCs w:val="20"/>
                <w:lang w:eastAsia="zh-CN"/>
              </w:rPr>
              <w:t>：</w:t>
            </w:r>
            <w:r>
              <w:rPr>
                <w:rFonts w:hint="eastAsia" w:ascii="宋体" w:hAnsi="宋体" w:eastAsia="宋体" w:cs="宋体"/>
                <w:sz w:val="20"/>
                <w:szCs w:val="20"/>
              </w:rPr>
              <w:t>系统信息获取</w:t>
            </w:r>
            <w:r>
              <w:rPr>
                <w:rFonts w:hint="eastAsia" w:ascii="宋体" w:hAnsi="宋体" w:eastAsia="宋体" w:cs="宋体"/>
                <w:sz w:val="20"/>
                <w:szCs w:val="20"/>
                <w:lang w:eastAsia="zh-CN"/>
              </w:rPr>
              <w:t>、</w:t>
            </w:r>
            <w:r>
              <w:rPr>
                <w:rFonts w:hint="eastAsia" w:ascii="宋体" w:hAnsi="宋体" w:eastAsia="宋体" w:cs="宋体"/>
                <w:sz w:val="20"/>
                <w:szCs w:val="20"/>
              </w:rPr>
              <w:t>权限管理</w:t>
            </w:r>
            <w:r>
              <w:rPr>
                <w:rFonts w:hint="eastAsia" w:ascii="宋体" w:hAnsi="宋体" w:eastAsia="宋体" w:cs="宋体"/>
                <w:sz w:val="20"/>
                <w:szCs w:val="20"/>
                <w:lang w:eastAsia="zh-CN"/>
              </w:rPr>
              <w:t>、</w:t>
            </w:r>
            <w:r>
              <w:rPr>
                <w:rFonts w:hint="eastAsia" w:ascii="宋体" w:hAnsi="宋体" w:eastAsia="宋体" w:cs="宋体"/>
                <w:sz w:val="20"/>
                <w:szCs w:val="20"/>
              </w:rPr>
              <w:t>弹窗</w:t>
            </w:r>
            <w:r>
              <w:rPr>
                <w:rFonts w:hint="eastAsia" w:ascii="宋体" w:hAnsi="宋体" w:eastAsia="宋体" w:cs="宋体"/>
                <w:sz w:val="20"/>
                <w:szCs w:val="20"/>
                <w:lang w:eastAsia="zh-CN"/>
              </w:rPr>
              <w:t>、</w:t>
            </w:r>
            <w:r>
              <w:rPr>
                <w:rFonts w:hint="eastAsia" w:ascii="宋体" w:hAnsi="宋体" w:eastAsia="宋体" w:cs="宋体"/>
                <w:sz w:val="20"/>
                <w:szCs w:val="20"/>
              </w:rPr>
              <w:t>存储访问</w:t>
            </w:r>
            <w:r>
              <w:rPr>
                <w:rFonts w:hint="eastAsia" w:ascii="宋体" w:hAnsi="宋体" w:eastAsia="宋体" w:cs="宋体"/>
                <w:sz w:val="20"/>
                <w:szCs w:val="20"/>
              </w:rPr>
              <w:br w:type="textWrapping"/>
            </w:r>
            <w:r>
              <w:rPr>
                <w:rFonts w:hint="eastAsia" w:ascii="宋体" w:hAnsi="宋体" w:eastAsia="宋体" w:cs="宋体"/>
                <w:sz w:val="20"/>
                <w:szCs w:val="20"/>
              </w:rPr>
              <w:t>2.涉及资源适配</w:t>
            </w:r>
            <w:r>
              <w:rPr>
                <w:rFonts w:hint="eastAsia" w:ascii="宋体" w:hAnsi="宋体" w:eastAsia="宋体" w:cs="宋体"/>
                <w:sz w:val="20"/>
                <w:szCs w:val="20"/>
                <w:lang w:eastAsia="zh-CN"/>
              </w:rPr>
              <w:t>：</w:t>
            </w:r>
            <w:r>
              <w:rPr>
                <w:rFonts w:hint="eastAsia" w:ascii="宋体" w:hAnsi="宋体" w:eastAsia="宋体" w:cs="宋体"/>
                <w:sz w:val="20"/>
                <w:szCs w:val="20"/>
              </w:rPr>
              <w:t>屏幕适配</w:t>
            </w:r>
            <w:r>
              <w:rPr>
                <w:rFonts w:hint="eastAsia" w:ascii="宋体" w:hAnsi="宋体" w:eastAsia="宋体" w:cs="宋体"/>
                <w:sz w:val="20"/>
                <w:szCs w:val="20"/>
                <w:lang w:eastAsia="zh-CN"/>
              </w:rPr>
              <w:t>、</w:t>
            </w:r>
            <w:r>
              <w:rPr>
                <w:rFonts w:hint="eastAsia" w:ascii="宋体" w:hAnsi="宋体" w:eastAsia="宋体" w:cs="宋体"/>
                <w:sz w:val="20"/>
                <w:szCs w:val="20"/>
              </w:rPr>
              <w:t>资源文件规范</w:t>
            </w:r>
            <w:r>
              <w:rPr>
                <w:rFonts w:hint="eastAsia" w:ascii="宋体" w:hAnsi="宋体" w:eastAsia="宋体" w:cs="宋体"/>
                <w:sz w:val="20"/>
                <w:szCs w:val="20"/>
                <w:lang w:eastAsia="zh-CN"/>
              </w:rPr>
              <w:t>、</w:t>
            </w:r>
            <w:r>
              <w:rPr>
                <w:rFonts w:hint="eastAsia" w:ascii="宋体" w:hAnsi="宋体" w:eastAsia="宋体" w:cs="宋体"/>
                <w:sz w:val="20"/>
                <w:szCs w:val="20"/>
              </w:rPr>
              <w:t>主题适配</w:t>
            </w:r>
          </w:p>
        </w:tc>
        <w:tc>
          <w:tcPr>
            <w:tcW w:w="1272" w:type="dxa"/>
            <w:vAlign w:val="center"/>
          </w:tcPr>
          <w:p w14:paraId="75D991C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65" w:type="dxa"/>
            <w:vMerge w:val="continue"/>
            <w:vAlign w:val="center"/>
          </w:tcPr>
          <w:p w14:paraId="554B3E1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836" w:type="dxa"/>
            <w:vAlign w:val="center"/>
          </w:tcPr>
          <w:p w14:paraId="78E17C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2E8C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350" w:type="dxa"/>
            <w:vMerge w:val="continue"/>
            <w:vAlign w:val="center"/>
          </w:tcPr>
          <w:p w14:paraId="49127B1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96" w:type="dxa"/>
            <w:vAlign w:val="center"/>
          </w:tcPr>
          <w:p w14:paraId="209EC70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rPr>
              <w:t>第三方SDK</w:t>
            </w:r>
          </w:p>
        </w:tc>
        <w:tc>
          <w:tcPr>
            <w:tcW w:w="7277" w:type="dxa"/>
            <w:vAlign w:val="center"/>
          </w:tcPr>
          <w:p w14:paraId="2062252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bookmarkStart w:id="0" w:name="_GoBack"/>
            <w:bookmarkEnd w:id="0"/>
            <w:r>
              <w:rPr>
                <w:rFonts w:hint="eastAsia" w:ascii="宋体" w:hAnsi="宋体" w:eastAsia="宋体" w:cs="宋体"/>
                <w:sz w:val="20"/>
                <w:szCs w:val="20"/>
              </w:rPr>
              <w:t>外部SDK</w:t>
            </w:r>
            <w:r>
              <w:rPr>
                <w:rFonts w:hint="eastAsia" w:ascii="宋体" w:hAnsi="宋体" w:eastAsia="宋体" w:cs="宋体"/>
                <w:sz w:val="20"/>
                <w:szCs w:val="20"/>
                <w:lang w:val="en-US" w:eastAsia="zh-CN"/>
              </w:rPr>
              <w:t>和</w:t>
            </w:r>
            <w:r>
              <w:rPr>
                <w:rFonts w:hint="eastAsia" w:ascii="宋体" w:hAnsi="宋体" w:eastAsia="宋体" w:cs="宋体"/>
                <w:sz w:val="20"/>
                <w:szCs w:val="20"/>
              </w:rPr>
              <w:t>内部SDK</w:t>
            </w:r>
          </w:p>
        </w:tc>
        <w:tc>
          <w:tcPr>
            <w:tcW w:w="1272" w:type="dxa"/>
            <w:vAlign w:val="center"/>
          </w:tcPr>
          <w:p w14:paraId="0263D7B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65" w:type="dxa"/>
            <w:vMerge w:val="continue"/>
            <w:vAlign w:val="center"/>
          </w:tcPr>
          <w:p w14:paraId="157C847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836" w:type="dxa"/>
            <w:vAlign w:val="center"/>
          </w:tcPr>
          <w:p w14:paraId="12C0231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2B67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350" w:type="dxa"/>
            <w:vMerge w:val="continue"/>
            <w:vAlign w:val="center"/>
          </w:tcPr>
          <w:p w14:paraId="57BA60E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96" w:type="dxa"/>
            <w:vAlign w:val="center"/>
          </w:tcPr>
          <w:p w14:paraId="08F3F16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0"/>
                <w:szCs w:val="20"/>
              </w:rPr>
            </w:pPr>
            <w:r>
              <w:rPr>
                <w:rFonts w:hint="eastAsia" w:ascii="宋体" w:hAnsi="宋体" w:eastAsia="宋体" w:cs="宋体"/>
                <w:sz w:val="20"/>
                <w:szCs w:val="20"/>
              </w:rPr>
              <w:t>JSBridge</w:t>
            </w:r>
          </w:p>
        </w:tc>
        <w:tc>
          <w:tcPr>
            <w:tcW w:w="7277" w:type="dxa"/>
            <w:vAlign w:val="center"/>
          </w:tcPr>
          <w:p w14:paraId="760FFE51">
            <w:pPr>
              <w:keepNext w:val="0"/>
              <w:keepLines w:val="0"/>
              <w:pageBreakBefore w:val="0"/>
              <w:widowControl w:val="0"/>
              <w:numPr>
                <w:ilvl w:val="0"/>
                <w:numId w:val="1"/>
              </w:numPr>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eastAsia="zh-CN"/>
              </w:rPr>
            </w:pPr>
            <w:r>
              <w:rPr>
                <w:rFonts w:hint="eastAsia" w:ascii="宋体" w:hAnsi="宋体" w:eastAsia="宋体" w:cs="宋体"/>
                <w:sz w:val="20"/>
                <w:szCs w:val="20"/>
              </w:rPr>
              <w:t>JSBridge核心通信机制</w:t>
            </w:r>
            <w:r>
              <w:rPr>
                <w:rFonts w:hint="eastAsia" w:ascii="宋体" w:hAnsi="宋体" w:eastAsia="宋体" w:cs="宋体"/>
                <w:sz w:val="20"/>
                <w:szCs w:val="20"/>
                <w:lang w:eastAsia="zh-CN"/>
              </w:rPr>
              <w:t>；</w:t>
            </w:r>
          </w:p>
          <w:p w14:paraId="56879FF4">
            <w:pPr>
              <w:keepNext w:val="0"/>
              <w:keepLines w:val="0"/>
              <w:pageBreakBefore w:val="0"/>
              <w:widowControl w:val="0"/>
              <w:numPr>
                <w:ilvl w:val="0"/>
                <w:numId w:val="1"/>
              </w:numPr>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rPr>
            </w:pPr>
            <w:r>
              <w:rPr>
                <w:rFonts w:hint="eastAsia" w:ascii="宋体" w:hAnsi="宋体" w:eastAsia="宋体" w:cs="宋体"/>
                <w:sz w:val="20"/>
                <w:szCs w:val="20"/>
              </w:rPr>
              <w:t>2.Bridge API接口</w:t>
            </w:r>
          </w:p>
        </w:tc>
        <w:tc>
          <w:tcPr>
            <w:tcW w:w="1272" w:type="dxa"/>
            <w:vAlign w:val="center"/>
          </w:tcPr>
          <w:p w14:paraId="7A6990D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65" w:type="dxa"/>
            <w:vMerge w:val="continue"/>
            <w:vAlign w:val="center"/>
          </w:tcPr>
          <w:p w14:paraId="246BC8D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836" w:type="dxa"/>
            <w:vAlign w:val="center"/>
          </w:tcPr>
          <w:p w14:paraId="1823BCB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1086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350" w:type="dxa"/>
            <w:vMerge w:val="continue"/>
            <w:vAlign w:val="center"/>
          </w:tcPr>
          <w:p w14:paraId="30A0AD9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96" w:type="dxa"/>
            <w:vAlign w:val="center"/>
          </w:tcPr>
          <w:p w14:paraId="2248D19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hAnsi="宋体" w:cs="宋体" w:eastAsiaTheme="minorEastAsia"/>
                <w:color w:val="000000"/>
                <w:kern w:val="0"/>
                <w:sz w:val="22"/>
                <w:szCs w:val="22"/>
                <w:lang w:val="en-US" w:eastAsia="zh-CN"/>
              </w:rPr>
            </w:pPr>
            <w:r>
              <w:rPr>
                <w:rFonts w:hint="eastAsia" w:hAnsi="宋体" w:cs="宋体"/>
                <w:color w:val="000000"/>
                <w:kern w:val="0"/>
                <w:sz w:val="22"/>
                <w:szCs w:val="22"/>
                <w:lang w:val="en-US" w:eastAsia="zh-CN"/>
              </w:rPr>
              <w:t>APP功能改造</w:t>
            </w:r>
          </w:p>
        </w:tc>
        <w:tc>
          <w:tcPr>
            <w:tcW w:w="7277" w:type="dxa"/>
            <w:vAlign w:val="center"/>
          </w:tcPr>
          <w:p w14:paraId="1462B07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hAnsi="宋体" w:cs="宋体"/>
                <w:color w:val="000000"/>
                <w:kern w:val="0"/>
                <w:sz w:val="22"/>
                <w:szCs w:val="22"/>
                <w:lang w:val="en-US"/>
              </w:rPr>
            </w:pPr>
            <w:r>
              <w:rPr>
                <w:rFonts w:hint="eastAsia" w:hAnsi="宋体" w:cs="宋体"/>
                <w:color w:val="000000"/>
                <w:kern w:val="0"/>
                <w:sz w:val="22"/>
                <w:szCs w:val="22"/>
                <w:lang w:val="en-US" w:eastAsia="zh-CN"/>
              </w:rPr>
              <w:t>完成APP页面功能改造，包括但不限于首页、登录、注册、协议、服务、发现、资讯、我的页面等APP页面模块</w:t>
            </w:r>
          </w:p>
        </w:tc>
        <w:tc>
          <w:tcPr>
            <w:tcW w:w="1272" w:type="dxa"/>
            <w:vAlign w:val="center"/>
          </w:tcPr>
          <w:p w14:paraId="2E30A17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1465" w:type="dxa"/>
            <w:vMerge w:val="continue"/>
            <w:vAlign w:val="center"/>
          </w:tcPr>
          <w:p w14:paraId="23707D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c>
          <w:tcPr>
            <w:tcW w:w="836" w:type="dxa"/>
            <w:vAlign w:val="center"/>
          </w:tcPr>
          <w:p w14:paraId="3BFC10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p>
        </w:tc>
      </w:tr>
      <w:tr w14:paraId="0AB0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350" w:type="dxa"/>
            <w:vAlign w:val="center"/>
          </w:tcPr>
          <w:p w14:paraId="281085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auto"/>
                <w:sz w:val="24"/>
                <w:szCs w:val="24"/>
                <w:vertAlign w:val="baseline"/>
              </w:rPr>
            </w:pPr>
            <w:r>
              <w:rPr>
                <w:rFonts w:hint="eastAsia"/>
                <w:color w:val="auto"/>
                <w:sz w:val="24"/>
                <w:szCs w:val="24"/>
                <w:vertAlign w:val="baseline"/>
              </w:rPr>
              <w:t>运维期服务</w:t>
            </w:r>
          </w:p>
        </w:tc>
        <w:tc>
          <w:tcPr>
            <w:tcW w:w="1496" w:type="dxa"/>
            <w:vAlign w:val="center"/>
          </w:tcPr>
          <w:p w14:paraId="1B2625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hAnsi="宋体" w:cs="宋体"/>
                <w:color w:val="000000"/>
                <w:kern w:val="0"/>
                <w:sz w:val="22"/>
                <w:szCs w:val="22"/>
                <w:lang w:val="en-US" w:eastAsia="zh-CN"/>
              </w:rPr>
            </w:pPr>
            <w:r>
              <w:rPr>
                <w:rFonts w:hint="eastAsia" w:hAnsi="宋体" w:cs="宋体"/>
                <w:color w:val="000000"/>
                <w:kern w:val="0"/>
                <w:sz w:val="22"/>
                <w:szCs w:val="22"/>
                <w:lang w:val="en-US" w:eastAsia="zh-CN"/>
              </w:rPr>
              <w:t>运维期服务</w:t>
            </w:r>
          </w:p>
        </w:tc>
        <w:tc>
          <w:tcPr>
            <w:tcW w:w="7277" w:type="dxa"/>
            <w:vAlign w:val="center"/>
          </w:tcPr>
          <w:p w14:paraId="4A4CCF9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hAnsi="宋体" w:cs="宋体"/>
                <w:color w:val="000000"/>
                <w:kern w:val="0"/>
                <w:sz w:val="22"/>
                <w:szCs w:val="22"/>
                <w:lang w:val="en-US" w:eastAsia="zh-CN"/>
              </w:rPr>
            </w:pPr>
            <w:r>
              <w:rPr>
                <w:rFonts w:hint="eastAsia" w:hAnsi="宋体" w:cs="宋体"/>
                <w:color w:val="000000"/>
                <w:kern w:val="0"/>
                <w:sz w:val="22"/>
                <w:szCs w:val="22"/>
                <w:lang w:val="en-US" w:eastAsia="zh-CN"/>
              </w:rPr>
              <w:t>项目验收通过后，至少提供一年免费运维服务，免费运维结束时间不得早于2027年12月31日。服务内容包括APP对接联调服务（不限数量）、周期性漏洞扫描服务、技术支撑服务、日常运维服务</w:t>
            </w:r>
            <w:r>
              <w:rPr>
                <w:rFonts w:hint="eastAsia" w:hAnsi="宋体" w:cs="宋体"/>
                <w:color w:val="000000"/>
                <w:kern w:val="0"/>
                <w:sz w:val="22"/>
                <w:szCs w:val="22"/>
                <w:lang w:eastAsia="zh-CN"/>
              </w:rPr>
              <w:t>。对于正常工作时间内，</w:t>
            </w:r>
            <w:r>
              <w:rPr>
                <w:rFonts w:hint="eastAsia" w:hAnsi="宋体" w:cs="宋体"/>
                <w:color w:val="000000"/>
                <w:kern w:val="0"/>
                <w:sz w:val="22"/>
                <w:szCs w:val="22"/>
                <w:lang w:val="en-US" w:eastAsia="zh-CN"/>
              </w:rPr>
              <w:t>7</w:t>
            </w:r>
            <w:r>
              <w:rPr>
                <w:rFonts w:hint="eastAsia" w:hAnsi="宋体" w:cs="宋体"/>
                <w:color w:val="000000"/>
                <w:kern w:val="0"/>
                <w:sz w:val="22"/>
                <w:szCs w:val="22"/>
                <w:lang w:eastAsia="zh-CN"/>
              </w:rPr>
              <w:t>*</w:t>
            </w:r>
            <w:r>
              <w:rPr>
                <w:rFonts w:hint="eastAsia" w:hAnsi="宋体" w:cs="宋体"/>
                <w:color w:val="000000"/>
                <w:kern w:val="0"/>
                <w:sz w:val="22"/>
                <w:szCs w:val="22"/>
                <w:lang w:val="en-US" w:eastAsia="zh-CN"/>
              </w:rPr>
              <w:t>24</w:t>
            </w:r>
            <w:r>
              <w:rPr>
                <w:rFonts w:hint="eastAsia" w:hAnsi="宋体" w:cs="宋体"/>
                <w:color w:val="000000"/>
                <w:kern w:val="0"/>
                <w:sz w:val="22"/>
                <w:szCs w:val="22"/>
                <w:lang w:eastAsia="zh-CN"/>
              </w:rPr>
              <w:t>小时现场故障处理保障，对于非工作日或夜间突发故障2小时内到达现场。</w:t>
            </w:r>
          </w:p>
        </w:tc>
        <w:tc>
          <w:tcPr>
            <w:tcW w:w="1272" w:type="dxa"/>
            <w:vAlign w:val="center"/>
          </w:tcPr>
          <w:p w14:paraId="6EDF9C6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auto"/>
                <w:sz w:val="24"/>
                <w:szCs w:val="24"/>
                <w:vertAlign w:val="baseline"/>
              </w:rPr>
            </w:pPr>
          </w:p>
        </w:tc>
        <w:tc>
          <w:tcPr>
            <w:tcW w:w="1465" w:type="dxa"/>
            <w:vMerge w:val="continue"/>
            <w:vAlign w:val="center"/>
          </w:tcPr>
          <w:p w14:paraId="67D399C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auto"/>
                <w:sz w:val="24"/>
                <w:szCs w:val="24"/>
                <w:vertAlign w:val="baseline"/>
              </w:rPr>
            </w:pPr>
          </w:p>
        </w:tc>
        <w:tc>
          <w:tcPr>
            <w:tcW w:w="836" w:type="dxa"/>
            <w:vAlign w:val="center"/>
          </w:tcPr>
          <w:p w14:paraId="77FA051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auto"/>
                <w:sz w:val="24"/>
                <w:szCs w:val="24"/>
                <w:vertAlign w:val="baseline"/>
              </w:rPr>
            </w:pPr>
          </w:p>
        </w:tc>
      </w:tr>
      <w:tr w14:paraId="0EE5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860" w:type="dxa"/>
            <w:gridSpan w:val="5"/>
            <w:vAlign w:val="center"/>
          </w:tcPr>
          <w:p w14:paraId="2FAD012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4"/>
                <w:szCs w:val="24"/>
                <w:vertAlign w:val="baseline"/>
                <w:lang w:val="en-US" w:eastAsia="zh-CN"/>
              </w:rPr>
            </w:pPr>
            <w:r>
              <w:rPr>
                <w:rFonts w:hint="eastAsia"/>
                <w:color w:val="auto"/>
                <w:sz w:val="24"/>
                <w:szCs w:val="24"/>
                <w:vertAlign w:val="baseline"/>
                <w:lang w:val="en-US" w:eastAsia="zh-CN"/>
              </w:rPr>
              <w:t>合计</w:t>
            </w:r>
          </w:p>
        </w:tc>
        <w:tc>
          <w:tcPr>
            <w:tcW w:w="836" w:type="dxa"/>
          </w:tcPr>
          <w:p w14:paraId="6E0ABDE0">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sz w:val="24"/>
                <w:szCs w:val="24"/>
                <w:vertAlign w:val="baseline"/>
              </w:rPr>
            </w:pPr>
          </w:p>
        </w:tc>
      </w:tr>
    </w:tbl>
    <w:p w14:paraId="211D4792">
      <w:pPr>
        <w:rPr>
          <w:rFonts w:hint="default"/>
          <w:color w:val="auto"/>
          <w:lang w:val="en-US" w:eastAsia="zh-CN"/>
        </w:rPr>
      </w:pPr>
    </w:p>
    <w:p w14:paraId="07DB78F0">
      <w:pPr>
        <w:rPr>
          <w:rFonts w:hint="default"/>
          <w:color w:val="auto"/>
          <w:lang w:val="en-US" w:eastAsia="zh-CN"/>
        </w:rPr>
      </w:pPr>
      <w:r>
        <w:rPr>
          <w:rFonts w:hint="eastAsia"/>
          <w:color w:val="auto"/>
          <w:lang w:val="en-US" w:eastAsia="zh-CN"/>
        </w:rPr>
        <w:t>报价单位（盖章）：</w:t>
      </w:r>
    </w:p>
    <w:p w14:paraId="337C06B2">
      <w:pPr>
        <w:rPr>
          <w:rFonts w:hint="eastAsia"/>
          <w:color w:val="auto"/>
          <w:lang w:val="en-US" w:eastAsia="zh-CN"/>
        </w:rPr>
      </w:pPr>
      <w:r>
        <w:rPr>
          <w:rFonts w:hint="eastAsia"/>
          <w:color w:val="auto"/>
          <w:lang w:val="en-US" w:eastAsia="zh-CN"/>
        </w:rPr>
        <w:t>联系人及联系方式：</w:t>
      </w:r>
    </w:p>
    <w:p w14:paraId="5F830658">
      <w:pPr>
        <w:rPr>
          <w:rFonts w:hint="eastAsia"/>
          <w:color w:val="auto"/>
          <w:lang w:val="en-US" w:eastAsia="zh-CN"/>
        </w:rPr>
      </w:pPr>
      <w:r>
        <w:rPr>
          <w:rFonts w:hint="eastAsia"/>
          <w:color w:val="auto"/>
          <w:lang w:val="en-US" w:eastAsia="zh-CN"/>
        </w:rPr>
        <w:t>报价日期：</w:t>
      </w:r>
    </w:p>
    <w:p w14:paraId="427EA7D8">
      <w:pPr>
        <w:rPr>
          <w:rFonts w:hint="eastAsia"/>
          <w:color w:val="auto"/>
          <w:lang w:val="en-US" w:eastAsia="zh-CN"/>
        </w:rPr>
      </w:pPr>
      <w:r>
        <w:rPr>
          <w:rFonts w:hint="eastAsia"/>
          <w:color w:val="auto"/>
          <w:lang w:val="en-US" w:eastAsia="zh-CN"/>
        </w:rPr>
        <w:br w:type="page"/>
      </w:r>
    </w:p>
    <w:p w14:paraId="460C69B8">
      <w:pPr>
        <w:rPr>
          <w:rFonts w:hint="eastAsia"/>
          <w:color w:val="auto"/>
          <w:lang w:val="en-US" w:eastAsia="zh-CN"/>
        </w:rPr>
      </w:pPr>
    </w:p>
    <w:p w14:paraId="162F7106">
      <w:pPr>
        <w:spacing w:line="560" w:lineRule="exact"/>
        <w:jc w:val="center"/>
        <w:rPr>
          <w:rFonts w:hint="eastAsia" w:ascii="方正小标宋简体" w:eastAsia="方正小标宋简体"/>
          <w:bCs/>
          <w:color w:val="auto"/>
          <w:sz w:val="36"/>
          <w:szCs w:val="36"/>
          <w:lang w:val="en-US" w:eastAsia="zh-CN"/>
        </w:rPr>
      </w:pPr>
      <w:r>
        <w:rPr>
          <w:rFonts w:hint="eastAsia" w:ascii="方正小标宋简体" w:eastAsia="方正小标宋简体"/>
          <w:bCs/>
          <w:color w:val="auto"/>
          <w:sz w:val="36"/>
          <w:szCs w:val="36"/>
          <w:lang w:val="en-US" w:eastAsia="zh-CN"/>
        </w:rPr>
        <w:t>报价须知</w:t>
      </w:r>
    </w:p>
    <w:p w14:paraId="3305F799">
      <w:pPr>
        <w:spacing w:line="560" w:lineRule="exact"/>
        <w:jc w:val="both"/>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
          <w:bCs w:val="0"/>
          <w:color w:val="auto"/>
          <w:sz w:val="32"/>
          <w:szCs w:val="32"/>
          <w:lang w:val="en-US" w:eastAsia="zh-CN"/>
        </w:rPr>
        <w:t>1.报价范围说明：</w:t>
      </w:r>
      <w:r>
        <w:rPr>
          <w:rFonts w:hint="eastAsia" w:ascii="仿宋_GB2312" w:hAnsi="仿宋_GB2312" w:eastAsia="仿宋_GB2312" w:cs="仿宋_GB2312"/>
          <w:b w:val="0"/>
          <w:bCs/>
          <w:color w:val="auto"/>
          <w:sz w:val="32"/>
          <w:szCs w:val="32"/>
          <w:lang w:val="en-US" w:eastAsia="zh-CN"/>
        </w:rPr>
        <w:t>本报价须为包含所有税费及第三方知识产权授权费用的。</w:t>
      </w:r>
    </w:p>
    <w:p w14:paraId="07EF6EAE">
      <w:pPr>
        <w:spacing w:line="560" w:lineRule="exact"/>
        <w:jc w:val="both"/>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
          <w:bCs w:val="0"/>
          <w:color w:val="auto"/>
          <w:sz w:val="32"/>
          <w:szCs w:val="32"/>
          <w:lang w:val="en-US" w:eastAsia="zh-CN"/>
        </w:rPr>
        <w:t>2.知识产权约定</w:t>
      </w:r>
      <w:r>
        <w:rPr>
          <w:rFonts w:hint="eastAsia" w:ascii="仿宋_GB2312" w:hAnsi="仿宋_GB2312" w:eastAsia="仿宋_GB2312" w:cs="仿宋_GB2312"/>
          <w:bCs/>
          <w:color w:val="auto"/>
          <w:sz w:val="32"/>
          <w:szCs w:val="32"/>
          <w:lang w:val="en-US" w:eastAsia="zh-CN"/>
        </w:rPr>
        <w:t>：本项目所形成的阶段性文档及交付的全部工作成果和作品的所有权及知识产权归深圳交易集团所有。</w:t>
      </w:r>
    </w:p>
    <w:p w14:paraId="20A14519">
      <w:pPr>
        <w:keepNext w:val="0"/>
        <w:keepLines w:val="0"/>
        <w:widowControl/>
        <w:suppressLineNumbers w:val="0"/>
        <w:jc w:val="left"/>
      </w:pPr>
      <w:r>
        <w:rPr>
          <w:rFonts w:hint="eastAsia" w:ascii="仿宋_GB2312" w:hAnsi="仿宋_GB2312" w:eastAsia="仿宋_GB2312" w:cs="仿宋_GB2312"/>
          <w:b/>
          <w:bCs w:val="0"/>
          <w:color w:val="auto"/>
          <w:sz w:val="32"/>
          <w:szCs w:val="32"/>
          <w:lang w:val="en-US" w:eastAsia="zh-CN"/>
        </w:rPr>
        <w:t>3.项目交付要求：</w:t>
      </w:r>
      <w:r>
        <w:rPr>
          <w:rFonts w:hint="eastAsia" w:ascii="仿宋_GB2312" w:hAnsi="宋体" w:eastAsia="仿宋_GB2312" w:cs="仿宋_GB2312"/>
          <w:color w:val="000000"/>
          <w:kern w:val="0"/>
          <w:sz w:val="31"/>
          <w:szCs w:val="31"/>
          <w:lang w:val="en-US" w:eastAsia="zh-CN" w:bidi="ar"/>
        </w:rPr>
        <w:t>2026年12月底前，完成深交易APP适配改造上线。</w:t>
      </w:r>
    </w:p>
    <w:p w14:paraId="75714967">
      <w:pPr>
        <w:keepNext w:val="0"/>
        <w:keepLines w:val="0"/>
        <w:widowControl/>
        <w:suppressLineNumbers w:val="0"/>
        <w:jc w:val="left"/>
      </w:pPr>
    </w:p>
    <w:p w14:paraId="7F33BB3E">
      <w:pPr>
        <w:spacing w:line="560" w:lineRule="exact"/>
        <w:jc w:val="both"/>
        <w:rPr>
          <w:rFonts w:hint="default" w:ascii="仿宋_GB2312" w:hAnsi="仿宋_GB2312" w:eastAsia="仿宋_GB2312" w:cs="仿宋_GB2312"/>
          <w:bCs/>
          <w:color w:val="auto"/>
          <w:sz w:val="32"/>
          <w:szCs w:val="32"/>
          <w:lang w:val="en-US" w:eastAsia="zh-CN"/>
        </w:rPr>
      </w:pPr>
    </w:p>
    <w:p w14:paraId="1A1D2644">
      <w:pPr>
        <w:spacing w:line="560" w:lineRule="exact"/>
        <w:jc w:val="both"/>
        <w:rPr>
          <w:rFonts w:hint="default" w:ascii="方正小标宋简体" w:eastAsia="方正小标宋简体"/>
          <w:bCs/>
          <w:color w:val="auto"/>
          <w:sz w:val="36"/>
          <w:szCs w:val="36"/>
          <w:lang w:val="en-US" w:eastAsia="zh-CN"/>
        </w:rPr>
      </w:pPr>
    </w:p>
    <w:sectPr>
      <w:pgSz w:w="16838" w:h="11906" w:orient="landscape"/>
      <w:pgMar w:top="960" w:right="1440" w:bottom="103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C60BA865-DD37-49FB-AD5C-91D54BB5ECAB}"/>
  </w:font>
  <w:font w:name="方正小标宋简体">
    <w:panose1 w:val="02000000000000000000"/>
    <w:charset w:val="86"/>
    <w:family w:val="script"/>
    <w:pitch w:val="default"/>
    <w:sig w:usb0="00000001" w:usb1="08000000" w:usb2="00000000" w:usb3="00000000" w:csb0="00040000" w:csb1="00000000"/>
    <w:embedRegular r:id="rId2" w:fontKey="{D6235A6B-1B82-4242-B907-1B262F67031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C69DC3"/>
    <w:multiLevelType w:val="singleLevel"/>
    <w:tmpl w:val="F5C69DC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539BE"/>
    <w:rsid w:val="02A76009"/>
    <w:rsid w:val="030D2310"/>
    <w:rsid w:val="03A5079A"/>
    <w:rsid w:val="04936845"/>
    <w:rsid w:val="070457D8"/>
    <w:rsid w:val="098B21E0"/>
    <w:rsid w:val="0B517B34"/>
    <w:rsid w:val="0C14470F"/>
    <w:rsid w:val="0C937D2A"/>
    <w:rsid w:val="0FC30926"/>
    <w:rsid w:val="10C5422A"/>
    <w:rsid w:val="11A55E09"/>
    <w:rsid w:val="12C64289"/>
    <w:rsid w:val="14A95C11"/>
    <w:rsid w:val="151B08BC"/>
    <w:rsid w:val="154C5AEB"/>
    <w:rsid w:val="194B54E8"/>
    <w:rsid w:val="197B5DCD"/>
    <w:rsid w:val="1A3F113F"/>
    <w:rsid w:val="1A5328A6"/>
    <w:rsid w:val="1A710F7F"/>
    <w:rsid w:val="1BB43819"/>
    <w:rsid w:val="1E05210A"/>
    <w:rsid w:val="20801F1B"/>
    <w:rsid w:val="215809BD"/>
    <w:rsid w:val="216C24A0"/>
    <w:rsid w:val="219C7685"/>
    <w:rsid w:val="22F34C27"/>
    <w:rsid w:val="23137077"/>
    <w:rsid w:val="242A0B1C"/>
    <w:rsid w:val="25572E21"/>
    <w:rsid w:val="26B563D5"/>
    <w:rsid w:val="271D04C4"/>
    <w:rsid w:val="273F6A44"/>
    <w:rsid w:val="297442A6"/>
    <w:rsid w:val="2AA82E2B"/>
    <w:rsid w:val="2B1725AC"/>
    <w:rsid w:val="2B5B780D"/>
    <w:rsid w:val="2BF32931"/>
    <w:rsid w:val="2CB73169"/>
    <w:rsid w:val="2D3D4D5E"/>
    <w:rsid w:val="2E474078"/>
    <w:rsid w:val="2E9F2106"/>
    <w:rsid w:val="2EEB534C"/>
    <w:rsid w:val="30CE6F3A"/>
    <w:rsid w:val="32236BAB"/>
    <w:rsid w:val="3330157F"/>
    <w:rsid w:val="33F151B2"/>
    <w:rsid w:val="34060532"/>
    <w:rsid w:val="346E6803"/>
    <w:rsid w:val="3A241712"/>
    <w:rsid w:val="3B781D15"/>
    <w:rsid w:val="3D127F47"/>
    <w:rsid w:val="3D4451F7"/>
    <w:rsid w:val="3DAE643D"/>
    <w:rsid w:val="3E8C4BEC"/>
    <w:rsid w:val="3EBE0387"/>
    <w:rsid w:val="3FF102E8"/>
    <w:rsid w:val="435A7F52"/>
    <w:rsid w:val="45682DFA"/>
    <w:rsid w:val="462C3E28"/>
    <w:rsid w:val="46D30D4F"/>
    <w:rsid w:val="48FE5307"/>
    <w:rsid w:val="4A547DF1"/>
    <w:rsid w:val="4ACB447D"/>
    <w:rsid w:val="4BC0573E"/>
    <w:rsid w:val="4BD50ABE"/>
    <w:rsid w:val="4C7E2F03"/>
    <w:rsid w:val="4D665E71"/>
    <w:rsid w:val="4DE00BD8"/>
    <w:rsid w:val="4EC07803"/>
    <w:rsid w:val="4FFF435B"/>
    <w:rsid w:val="5012408F"/>
    <w:rsid w:val="502B5150"/>
    <w:rsid w:val="50A3118B"/>
    <w:rsid w:val="50A6005B"/>
    <w:rsid w:val="52287B99"/>
    <w:rsid w:val="5239273F"/>
    <w:rsid w:val="538E1B2F"/>
    <w:rsid w:val="53D1600F"/>
    <w:rsid w:val="53E45D42"/>
    <w:rsid w:val="548D0188"/>
    <w:rsid w:val="56772E9D"/>
    <w:rsid w:val="5765719A"/>
    <w:rsid w:val="5AED1980"/>
    <w:rsid w:val="5B160F72"/>
    <w:rsid w:val="5BE30FD5"/>
    <w:rsid w:val="5CF32211"/>
    <w:rsid w:val="5FD70E51"/>
    <w:rsid w:val="615D7134"/>
    <w:rsid w:val="652E1513"/>
    <w:rsid w:val="652E32C1"/>
    <w:rsid w:val="654C0361"/>
    <w:rsid w:val="67656D42"/>
    <w:rsid w:val="677D408C"/>
    <w:rsid w:val="68AF4719"/>
    <w:rsid w:val="693B0FAC"/>
    <w:rsid w:val="695452C0"/>
    <w:rsid w:val="69F60125"/>
    <w:rsid w:val="6A6E4160"/>
    <w:rsid w:val="6AFC5C0F"/>
    <w:rsid w:val="6C744321"/>
    <w:rsid w:val="6D2B6338"/>
    <w:rsid w:val="6F4B4A6F"/>
    <w:rsid w:val="6FD26F3F"/>
    <w:rsid w:val="704716DB"/>
    <w:rsid w:val="71E546CC"/>
    <w:rsid w:val="75075C6A"/>
    <w:rsid w:val="75226272"/>
    <w:rsid w:val="772B7660"/>
    <w:rsid w:val="78DE0702"/>
    <w:rsid w:val="7A9F6C91"/>
    <w:rsid w:val="7AB61937"/>
    <w:rsid w:val="7B5956F1"/>
    <w:rsid w:val="7BBD4F47"/>
    <w:rsid w:val="7C223B86"/>
    <w:rsid w:val="7D0D7808"/>
    <w:rsid w:val="7DC205F3"/>
    <w:rsid w:val="7E0C7AC0"/>
    <w:rsid w:val="7E1D1CCD"/>
    <w:rsid w:val="7E6E6E13"/>
    <w:rsid w:val="7E97382D"/>
    <w:rsid w:val="7EF944E8"/>
    <w:rsid w:val="7F671451"/>
    <w:rsid w:val="7F967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customStyle="1" w:styleId="7">
    <w:name w:val="font11"/>
    <w:basedOn w:val="5"/>
    <w:qFormat/>
    <w:uiPriority w:val="0"/>
    <w:rPr>
      <w:rFonts w:hint="eastAsia" w:ascii="宋体" w:hAnsi="宋体" w:eastAsia="宋体" w:cs="宋体"/>
      <w:color w:val="000000"/>
      <w:sz w:val="20"/>
      <w:szCs w:val="20"/>
      <w:u w:val="none"/>
    </w:rPr>
  </w:style>
  <w:style w:type="character" w:customStyle="1" w:styleId="8">
    <w:name w:val="font21"/>
    <w:basedOn w:val="5"/>
    <w:qFormat/>
    <w:uiPriority w:val="0"/>
    <w:rPr>
      <w:rFonts w:hint="eastAsia" w:ascii="宋体" w:hAnsi="宋体" w:eastAsia="宋体" w:cs="宋体"/>
      <w:b/>
      <w:bCs/>
      <w:color w:val="1A3FFC"/>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ce38cada-e018-44c3-943b-01ee6e4d629d</errorID>
      <errorWord>评审结果</errorWord>
      <group>L1_AI</group>
      <groupName>深度校对</groupName>
      <ability>L2_AI_Grammar</ability>
      <abilityName>语法纠错</abilityName>
      <candidateList>
        <item>评审</item>
      </candidateList>
      <explain/>
      <paraID>57D10662</paraID>
      <start>113</start>
      <end>115</end>
      <status>modified</status>
      <modifiedWord>评审</modifiedWord>
      <trackRevisions>false</trackRevisions>
    </reviewItem>
    <reviewItem>
      <errorID>7186db74-1c5f-46fa-99fe-aa078f5a63fc</errorID>
      <errorWord>收集</errorWord>
      <group>L1_AI</group>
      <groupName>深度校对</groupName>
      <ability>L2_AI_Word</ability>
      <abilityName>字词纠错</abilityName>
      <candidateList>
        <item>的</item>
      </candidateList>
      <explain/>
      <paraID>5D2A33F4</paraID>
      <start>31</start>
      <end>32</end>
      <status>modified</status>
      <modifiedWord>的</modifiedWord>
      <trackRevisions>false</trackRevisions>
    </reviewItem>
    <reviewItem>
      <errorID>455b6693-e9ce-4f3c-a8ae-6f33d7864a5a</errorID>
      <errorWord>进行的</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5D2A33F4</paraID>
      <start>36</start>
      <end>38</end>
      <status>modified</status>
      <modifiedWord>进行</modifiedWord>
      <trackRevisions>false</trackRevisions>
    </reviewItem>
    <reviewItem>
      <errorID>f38325fd-e7e4-4bb0-ac11-5e0f3963acc5</errorID>
      <errorWord>;</errorWord>
      <group>L1_AI</group>
      <groupName>深度校对</groupName>
      <ability>L2_AI_Punc</ability>
      <abilityName>标点纠错</abilityName>
      <candidateList>
        <item>：</item>
      </candidateList>
      <explain/>
      <paraID>337C06B2</paraID>
      <start>8</start>
      <end>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74834bf-0ae0-4eb2-a066-ff8304067e54}">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1152</Words>
  <Characters>1317</Characters>
  <Lines>0</Lines>
  <Paragraphs>0</Paragraphs>
  <TotalTime>2</TotalTime>
  <ScaleCrop>false</ScaleCrop>
  <LinksUpToDate>false</LinksUpToDate>
  <CharactersWithSpaces>1320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2025-11-14T01:43:00Z</dcterms:created>
  <dc:creator>liaok</dc:creator>
  <cp:lastModifiedBy>朱黄华</cp:lastModifiedBy>
  <dcterms:modified xsi:type="dcterms:W3CDTF">2026-05-14T09:04:44Z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eyJoZGlkIjoiOTE2OTY5ZTQyMzAwY2Y3N2M4NzFhOTI1NGRmYTczNGIiLCJ1c2VySWQiOiIxNzQ4NTA0ODUyIn0=</vt:lpwstr>
  </property>
  <property fmtid="{D5CDD505-2E9C-101B-9397-08002B2CF9AE}" pid="4" name="ICV">
    <vt:lpwstr>97FE8C89520C45F191A8D7BE2A6DFBDB_13</vt:lpwstr>
  </property>
</Properties>
</file>