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6FCC4">
      <w:pPr>
        <w:jc w:val="center"/>
        <w:rPr>
          <w:rFonts w:hint="eastAsia" w:ascii="黑体" w:hAnsi="黑体" w:eastAsia="黑体" w:cs="微软雅黑"/>
          <w:sz w:val="36"/>
          <w:szCs w:val="36"/>
        </w:rPr>
      </w:pPr>
      <w:r>
        <w:rPr>
          <w:rFonts w:hint="eastAsia" w:ascii="黑体" w:hAnsi="黑体" w:eastAsia="黑体" w:cs="微软雅黑"/>
          <w:sz w:val="36"/>
          <w:szCs w:val="36"/>
          <w:lang w:val="en-US" w:eastAsia="zh-CN"/>
        </w:rPr>
        <w:t>“风火轮”系统信息技术应用创新适配及迁移项目</w:t>
      </w:r>
      <w:r>
        <w:rPr>
          <w:rFonts w:hint="eastAsia" w:ascii="黑体" w:hAnsi="黑体" w:eastAsia="黑体" w:cs="微软雅黑"/>
          <w:sz w:val="36"/>
          <w:szCs w:val="36"/>
        </w:rPr>
        <w:t>需求</w:t>
      </w:r>
    </w:p>
    <w:p w14:paraId="427F79ED">
      <w:pPr>
        <w:spacing w:line="360" w:lineRule="auto"/>
        <w:rPr>
          <w:rFonts w:hint="eastAsia" w:asciiTheme="minorEastAsia" w:hAnsiTheme="minorEastAsia" w:eastAsiaTheme="minorEastAsia"/>
          <w:sz w:val="20"/>
          <w:lang w:val="en-US" w:eastAsia="zh-CN"/>
        </w:rPr>
      </w:pPr>
    </w:p>
    <w:p w14:paraId="2BE5DF24">
      <w:pPr>
        <w:pStyle w:val="2"/>
        <w:bidi w:val="0"/>
        <w:rPr>
          <w:rFonts w:hint="eastAsia"/>
          <w:lang w:val="en-US" w:eastAsia="zh-CN"/>
        </w:rPr>
      </w:pPr>
      <w:r>
        <w:rPr>
          <w:rFonts w:hint="eastAsia"/>
        </w:rPr>
        <w:t>一、项目概况</w:t>
      </w:r>
    </w:p>
    <w:p w14:paraId="7061E67B">
      <w:pPr>
        <w:spacing w:line="360" w:lineRule="auto"/>
        <w:ind w:firstLine="400" w:firstLineChars="200"/>
        <w:rPr>
          <w:rFonts w:hint="eastAsia" w:ascii="黑体" w:hAnsi="黑体" w:eastAsia="黑体" w:cs="黑体"/>
          <w:b/>
          <w:bCs/>
          <w:lang w:val="en-US" w:eastAsia="zh-CN"/>
        </w:rPr>
      </w:pPr>
      <w:r>
        <w:rPr>
          <w:rFonts w:hint="eastAsia" w:asciiTheme="minorEastAsia" w:hAnsiTheme="minorEastAsia" w:eastAsiaTheme="minorEastAsia"/>
          <w:sz w:val="20"/>
          <w:lang w:val="en-US" w:eastAsia="zh-CN"/>
        </w:rPr>
        <w:t>为落实信息技术应用创新要求，围绕硬件、云基础设施、基础软件、应用软件、网络安全等 IT 产业链核心技术与产品开展自主研发，响应经济发展、社会稳定运行和筑牢安全可靠的信息技术支撑体系目标，按照整体信息技术应用创新发展要求，信息技术应用创新建设从局部起步，在应用实践中迭代产品功能</w:t>
      </w:r>
      <w:r>
        <w:rPr>
          <w:rFonts w:hint="eastAsia" w:asciiTheme="minorEastAsia" w:hAnsiTheme="minorEastAsia" w:eastAsiaTheme="minorEastAsia"/>
          <w:sz w:val="20"/>
          <w:highlight w:val="none"/>
          <w:lang w:val="en-US" w:eastAsia="zh-CN"/>
        </w:rPr>
        <w:t>。本项目拟对“风火轮”系统进行</w:t>
      </w:r>
      <w:r>
        <w:rPr>
          <w:rFonts w:hint="eastAsia" w:asciiTheme="minorEastAsia" w:hAnsiTheme="minorEastAsia" w:eastAsiaTheme="minorEastAsia"/>
          <w:sz w:val="20"/>
          <w:lang w:val="en-US" w:eastAsia="zh-CN"/>
        </w:rPr>
        <w:t>信息技术应用创新</w:t>
      </w:r>
      <w:r>
        <w:rPr>
          <w:rFonts w:hint="eastAsia" w:asciiTheme="minorEastAsia" w:hAnsiTheme="minorEastAsia" w:eastAsiaTheme="minorEastAsia"/>
          <w:sz w:val="20"/>
          <w:highlight w:val="none"/>
          <w:lang w:val="en-US" w:eastAsia="zh-CN"/>
        </w:rPr>
        <w:t>适配和部署环境迁移，使系统</w:t>
      </w:r>
      <w:r>
        <w:rPr>
          <w:rFonts w:hint="eastAsia" w:asciiTheme="minorEastAsia" w:hAnsiTheme="minorEastAsia" w:eastAsiaTheme="minorEastAsia"/>
          <w:sz w:val="20"/>
          <w:highlight w:val="none"/>
        </w:rPr>
        <w:t>硬件及云等基础设施、基础软件、应用软件、网络安全等IT产业链核心技术产品</w:t>
      </w:r>
      <w:r>
        <w:rPr>
          <w:rFonts w:hint="eastAsia" w:asciiTheme="minorEastAsia" w:hAnsiTheme="minorEastAsia" w:eastAsiaTheme="minorEastAsia"/>
          <w:sz w:val="20"/>
          <w:highlight w:val="none"/>
          <w:lang w:val="en-US" w:eastAsia="zh-CN"/>
        </w:rPr>
        <w:t>符合</w:t>
      </w:r>
      <w:r>
        <w:rPr>
          <w:rFonts w:hint="eastAsia" w:asciiTheme="minorEastAsia" w:hAnsiTheme="minorEastAsia" w:eastAsiaTheme="minorEastAsia"/>
          <w:sz w:val="20"/>
          <w:highlight w:val="none"/>
        </w:rPr>
        <w:t>信息技术应用创新</w:t>
      </w:r>
      <w:r>
        <w:rPr>
          <w:rFonts w:hint="eastAsia" w:asciiTheme="minorEastAsia" w:hAnsiTheme="minorEastAsia" w:eastAsiaTheme="minorEastAsia"/>
          <w:sz w:val="20"/>
          <w:highlight w:val="none"/>
          <w:lang w:val="en-US" w:eastAsia="zh-CN"/>
        </w:rPr>
        <w:t>要求。</w:t>
      </w:r>
    </w:p>
    <w:p w14:paraId="5770167A">
      <w:pPr>
        <w:ind w:firstLine="422" w:firstLineChars="200"/>
        <w:rPr>
          <w:rFonts w:hint="eastAsia" w:ascii="黑体" w:hAnsi="黑体" w:eastAsia="黑体" w:cs="黑体"/>
          <w:b/>
          <w:bCs/>
          <w:lang w:val="en-US" w:eastAsia="zh-CN"/>
        </w:rPr>
      </w:pPr>
    </w:p>
    <w:p w14:paraId="646F887E">
      <w:pPr>
        <w:pStyle w:val="2"/>
        <w:numPr>
          <w:numId w:val="0"/>
        </w:numPr>
        <w:bidi w:val="0"/>
        <w:rPr>
          <w:rFonts w:hint="eastAsia"/>
        </w:rPr>
      </w:pPr>
      <w:r>
        <w:rPr>
          <w:rFonts w:hint="eastAsia"/>
          <w:lang w:val="en-US" w:eastAsia="zh-CN"/>
        </w:rPr>
        <w:t>二、</w:t>
      </w:r>
      <w:bookmarkStart w:id="2" w:name="_GoBack"/>
      <w:bookmarkEnd w:id="2"/>
      <w:r>
        <w:rPr>
          <w:rFonts w:hint="eastAsia"/>
          <w:lang w:val="en-US" w:eastAsia="zh-CN"/>
        </w:rPr>
        <w:t>技术需求</w:t>
      </w:r>
    </w:p>
    <w:p w14:paraId="4E6A0D7A">
      <w:pPr>
        <w:spacing w:line="360" w:lineRule="auto"/>
        <w:ind w:firstLine="422" w:firstLineChars="200"/>
        <w:rPr>
          <w:rFonts w:hint="eastAsia" w:ascii="黑体" w:hAnsi="黑体" w:eastAsia="黑体" w:cs="黑体"/>
          <w:b/>
          <w:bCs/>
        </w:rPr>
      </w:pPr>
      <w:r>
        <w:rPr>
          <w:rFonts w:hint="eastAsia" w:ascii="楷体_GB2312" w:hAnsi="楷体_GB2312" w:eastAsia="楷体_GB2312" w:cs="楷体_GB2312"/>
          <w:b/>
          <w:bCs/>
          <w:lang w:val="en-US" w:eastAsia="zh-CN"/>
        </w:rPr>
        <w:t>（一）总体技术要求</w:t>
      </w:r>
    </w:p>
    <w:p w14:paraId="0017518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通过将系统和功能建设后，使系统和功能模块在</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环境下运行</w:t>
      </w:r>
    </w:p>
    <w:p w14:paraId="01986BA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1.采用</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技术路线，所使用的产品应符合</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要求。</w:t>
      </w:r>
      <w:r>
        <w:rPr>
          <w:rFonts w:hint="eastAsia" w:asciiTheme="minorEastAsia" w:hAnsiTheme="minorEastAsia" w:eastAsiaTheme="minorEastAsia"/>
          <w:sz w:val="20"/>
          <w:lang w:val="en-US" w:eastAsia="zh-CN"/>
        </w:rPr>
        <w:t>其中</w:t>
      </w:r>
      <w:r>
        <w:rPr>
          <w:rFonts w:hint="eastAsia" w:asciiTheme="minorEastAsia" w:hAnsiTheme="minorEastAsia" w:eastAsiaTheme="minorEastAsia"/>
          <w:sz w:val="20"/>
        </w:rPr>
        <w:t>服务端</w:t>
      </w:r>
      <w:r>
        <w:rPr>
          <w:rFonts w:hint="eastAsia" w:asciiTheme="minorEastAsia" w:hAnsiTheme="minorEastAsia" w:eastAsiaTheme="minorEastAsia"/>
          <w:sz w:val="20"/>
          <w:lang w:eastAsia="zh-CN"/>
        </w:rPr>
        <w:t>适配</w:t>
      </w:r>
      <w:r>
        <w:rPr>
          <w:rFonts w:hint="eastAsia" w:asciiTheme="minorEastAsia" w:hAnsiTheme="minorEastAsia" w:eastAsiaTheme="minorEastAsia"/>
          <w:sz w:val="20"/>
        </w:rPr>
        <w:t>将现使用的服务端应用改为</w:t>
      </w:r>
      <w:r>
        <w:rPr>
          <w:rFonts w:hint="eastAsia" w:asciiTheme="minorEastAsia" w:hAnsiTheme="minorEastAsia" w:eastAsiaTheme="minorEastAsia"/>
          <w:sz w:val="20"/>
          <w:lang w:val="en-US" w:eastAsia="zh-CN"/>
        </w:rPr>
        <w:t>符合信息技术应用创新要求</w:t>
      </w:r>
      <w:r>
        <w:rPr>
          <w:rFonts w:hint="eastAsia" w:asciiTheme="minorEastAsia" w:hAnsiTheme="minorEastAsia" w:eastAsiaTheme="minorEastAsia"/>
          <w:sz w:val="20"/>
        </w:rPr>
        <w:t>的服务端应用，客户端</w:t>
      </w:r>
      <w:r>
        <w:rPr>
          <w:rFonts w:hint="eastAsia" w:asciiTheme="minorEastAsia" w:hAnsiTheme="minorEastAsia" w:eastAsiaTheme="minorEastAsia"/>
          <w:sz w:val="20"/>
          <w:lang w:eastAsia="zh-CN"/>
        </w:rPr>
        <w:t>适配</w:t>
      </w:r>
      <w:r>
        <w:rPr>
          <w:rFonts w:hint="eastAsia" w:asciiTheme="minorEastAsia" w:hAnsiTheme="minorEastAsia" w:eastAsiaTheme="minorEastAsia"/>
          <w:sz w:val="20"/>
        </w:rPr>
        <w:t>将现使用基于window内核开发的客户端程序重新</w:t>
      </w:r>
      <w:r>
        <w:rPr>
          <w:rFonts w:hint="eastAsia" w:asciiTheme="minorEastAsia" w:hAnsiTheme="minorEastAsia" w:eastAsiaTheme="minorEastAsia"/>
          <w:sz w:val="20"/>
          <w:lang w:eastAsia="zh-CN"/>
        </w:rPr>
        <w:t>适配</w:t>
      </w:r>
      <w:r>
        <w:rPr>
          <w:rFonts w:hint="eastAsia" w:asciiTheme="minorEastAsia" w:hAnsiTheme="minorEastAsia" w:eastAsiaTheme="minorEastAsia"/>
          <w:sz w:val="20"/>
        </w:rPr>
        <w:t>并编译为适用于</w:t>
      </w:r>
      <w:r>
        <w:rPr>
          <w:rFonts w:hint="eastAsia" w:asciiTheme="minorEastAsia" w:hAnsiTheme="minorEastAsia" w:eastAsiaTheme="minorEastAsia"/>
          <w:sz w:val="20"/>
          <w:lang w:val="en-US" w:eastAsia="zh-CN"/>
        </w:rPr>
        <w:t>信息技术应用创新</w:t>
      </w:r>
      <w:r>
        <w:rPr>
          <w:rFonts w:hint="eastAsia" w:asciiTheme="minorEastAsia" w:hAnsiTheme="minorEastAsia" w:eastAsiaTheme="minorEastAsia"/>
          <w:sz w:val="20"/>
        </w:rPr>
        <w:t>系统运行的客户端程序。</w:t>
      </w:r>
    </w:p>
    <w:p w14:paraId="5C8516C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2</w:t>
      </w:r>
      <w:r>
        <w:rPr>
          <w:rFonts w:hint="eastAsia" w:asciiTheme="minorEastAsia" w:hAnsiTheme="minorEastAsia" w:eastAsiaTheme="minorEastAsia"/>
          <w:sz w:val="20"/>
        </w:rPr>
        <w:t>.</w:t>
      </w:r>
      <w:r>
        <w:rPr>
          <w:rFonts w:hint="eastAsia" w:asciiTheme="minorEastAsia" w:hAnsiTheme="minorEastAsia" w:eastAsiaTheme="minorEastAsia"/>
          <w:sz w:val="20"/>
          <w:lang w:val="en-US" w:eastAsia="zh-CN"/>
        </w:rPr>
        <w:t>服务器端需支持</w:t>
      </w:r>
      <w:r>
        <w:rPr>
          <w:rFonts w:hint="eastAsia" w:asciiTheme="minorEastAsia" w:hAnsiTheme="minorEastAsia" w:eastAsiaTheme="minorEastAsia"/>
          <w:sz w:val="20"/>
        </w:rPr>
        <w:t>部署在</w:t>
      </w:r>
      <w:r>
        <w:t>TencentOS</w:t>
      </w:r>
      <w:r>
        <w:rPr>
          <w:rFonts w:hint="eastAsia"/>
          <w:lang w:eastAsia="zh-CN"/>
        </w:rPr>
        <w:t>、</w:t>
      </w:r>
      <w:r>
        <w:rPr>
          <w:rFonts w:hint="eastAsia" w:asciiTheme="minorEastAsia" w:hAnsiTheme="minorEastAsia" w:eastAsiaTheme="minorEastAsia"/>
          <w:sz w:val="20"/>
        </w:rPr>
        <w:t>麒麟、统信、欧拉、红旗、Linux等主流服务器端操作系统平台上，数据库需支持</w:t>
      </w:r>
      <w:r>
        <w:rPr>
          <w:rFonts w:hint="eastAsia" w:asciiTheme="minorEastAsia" w:hAnsiTheme="minorEastAsia" w:eastAsiaTheme="minorEastAsia"/>
          <w:sz w:val="20"/>
          <w:lang w:val="en-US" w:eastAsia="zh-CN"/>
        </w:rPr>
        <w:t>达梦、金仓、TDSQL、</w:t>
      </w:r>
      <w:r>
        <w:rPr>
          <w:rFonts w:hint="eastAsia" w:asciiTheme="minorEastAsia" w:hAnsiTheme="minorEastAsia" w:eastAsiaTheme="minorEastAsia"/>
          <w:sz w:val="20"/>
        </w:rPr>
        <w:t>高斯、崖山等国产主流常见数据库管理软件</w:t>
      </w:r>
      <w:r>
        <w:rPr>
          <w:rFonts w:hint="eastAsia" w:asciiTheme="minorEastAsia" w:hAnsiTheme="minorEastAsia" w:eastAsiaTheme="minorEastAsia"/>
          <w:sz w:val="20"/>
          <w:lang w:eastAsia="zh-CN"/>
        </w:rPr>
        <w:t>，</w:t>
      </w:r>
      <w:r>
        <w:rPr>
          <w:rFonts w:hint="eastAsia" w:asciiTheme="minorEastAsia" w:hAnsiTheme="minorEastAsia" w:eastAsiaTheme="minorEastAsia"/>
          <w:sz w:val="20"/>
          <w:lang w:val="en-US" w:eastAsia="zh-CN"/>
        </w:rPr>
        <w:t>本项目执行过程中具体须适配的软件应当在中国信息安全测评中心公示的测评结果（https://www.itsec.gov.cn/aqkkcp/cpgg/）范围内</w:t>
      </w:r>
      <w:r>
        <w:rPr>
          <w:rFonts w:hint="eastAsia" w:asciiTheme="minorEastAsia" w:hAnsiTheme="minorEastAsia" w:eastAsiaTheme="minorEastAsia"/>
          <w:sz w:val="20"/>
        </w:rPr>
        <w:t>。</w:t>
      </w:r>
    </w:p>
    <w:p w14:paraId="1AA9427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3.</w:t>
      </w:r>
      <w:r>
        <w:rPr>
          <w:rFonts w:hint="eastAsia" w:asciiTheme="minorEastAsia" w:hAnsiTheme="minorEastAsia" w:eastAsiaTheme="minorEastAsia"/>
          <w:sz w:val="20"/>
        </w:rPr>
        <w:t>能够良好的兼容国产浏览器、360、</w:t>
      </w:r>
      <w:r>
        <w:rPr>
          <w:rFonts w:hint="eastAsia" w:asciiTheme="minorEastAsia" w:hAnsiTheme="minorEastAsia" w:eastAsiaTheme="minorEastAsia"/>
          <w:sz w:val="20"/>
          <w:lang w:val="en-US" w:eastAsia="zh-CN"/>
        </w:rPr>
        <w:t>QQ、OPPO、vivo、华为、小米、夸克、统信、百度、搜狗、</w:t>
      </w:r>
      <w:r>
        <w:rPr>
          <w:rFonts w:hint="eastAsia" w:asciiTheme="minorEastAsia" w:hAnsiTheme="minorEastAsia" w:eastAsiaTheme="minorEastAsia"/>
          <w:sz w:val="20"/>
        </w:rPr>
        <w:t>IE</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Google浏览器以及其他主流浏览器；</w:t>
      </w:r>
    </w:p>
    <w:p w14:paraId="73B5757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4.</w:t>
      </w:r>
      <w:r>
        <w:rPr>
          <w:rFonts w:hint="eastAsia" w:asciiTheme="minorEastAsia" w:hAnsiTheme="minorEastAsia" w:eastAsiaTheme="minorEastAsia"/>
          <w:sz w:val="20"/>
        </w:rPr>
        <w:t>应用系统兼容适配国产终端计算机和国产终端浏览器以及国产流式文件、版</w:t>
      </w:r>
      <w:r>
        <w:rPr>
          <w:rFonts w:hint="eastAsia" w:asciiTheme="minorEastAsia" w:hAnsiTheme="minorEastAsia" w:eastAsiaTheme="minorEastAsia"/>
          <w:sz w:val="20"/>
          <w:lang w:val="en-US" w:eastAsia="zh-CN"/>
        </w:rPr>
        <w:t>式文件</w:t>
      </w:r>
      <w:r>
        <w:rPr>
          <w:rFonts w:hint="eastAsia" w:asciiTheme="minorEastAsia" w:hAnsiTheme="minorEastAsia" w:eastAsiaTheme="minorEastAsia"/>
          <w:sz w:val="20"/>
        </w:rPr>
        <w:t>、签</w:t>
      </w:r>
      <w:r>
        <w:rPr>
          <w:rFonts w:hint="eastAsia" w:asciiTheme="minorEastAsia" w:hAnsiTheme="minorEastAsia" w:eastAsiaTheme="minorEastAsia"/>
          <w:sz w:val="20"/>
          <w:lang w:val="en-US" w:eastAsia="zh-CN"/>
        </w:rPr>
        <w:t>章</w:t>
      </w:r>
      <w:r>
        <w:rPr>
          <w:rFonts w:hint="eastAsia" w:asciiTheme="minorEastAsia" w:hAnsiTheme="minorEastAsia" w:eastAsiaTheme="minorEastAsia"/>
          <w:sz w:val="20"/>
        </w:rPr>
        <w:t>等工具软件；兼容适配非国产终端计算机和非国产终端浏览器以及国产流式文件、版</w:t>
      </w:r>
      <w:r>
        <w:rPr>
          <w:rFonts w:hint="eastAsia" w:asciiTheme="minorEastAsia" w:hAnsiTheme="minorEastAsia" w:eastAsiaTheme="minorEastAsia"/>
          <w:sz w:val="20"/>
          <w:lang w:val="en-US" w:eastAsia="zh-CN"/>
        </w:rPr>
        <w:t>式文件</w:t>
      </w:r>
      <w:r>
        <w:rPr>
          <w:rFonts w:hint="eastAsia" w:asciiTheme="minorEastAsia" w:hAnsiTheme="minorEastAsia" w:eastAsiaTheme="minorEastAsia"/>
          <w:sz w:val="20"/>
        </w:rPr>
        <w:t>、签</w:t>
      </w:r>
      <w:r>
        <w:rPr>
          <w:rFonts w:hint="eastAsia" w:asciiTheme="minorEastAsia" w:hAnsiTheme="minorEastAsia" w:eastAsiaTheme="minorEastAsia"/>
          <w:sz w:val="20"/>
          <w:lang w:val="en-US" w:eastAsia="zh-CN"/>
        </w:rPr>
        <w:t>章</w:t>
      </w:r>
      <w:r>
        <w:rPr>
          <w:rFonts w:hint="eastAsia" w:asciiTheme="minorEastAsia" w:hAnsiTheme="minorEastAsia" w:eastAsiaTheme="minorEastAsia"/>
          <w:sz w:val="20"/>
        </w:rPr>
        <w:t>等工具软件，以便公众使用。</w:t>
      </w:r>
    </w:p>
    <w:p w14:paraId="575201E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5.</w:t>
      </w:r>
      <w:r>
        <w:rPr>
          <w:rFonts w:hint="eastAsia" w:asciiTheme="minorEastAsia" w:hAnsiTheme="minorEastAsia" w:eastAsiaTheme="minorEastAsia"/>
          <w:sz w:val="20"/>
        </w:rPr>
        <w:t>系统建设安全标准要求系统安全等级保护级别为等保三级</w:t>
      </w:r>
      <w:r>
        <w:rPr>
          <w:rFonts w:hint="eastAsia" w:asciiTheme="minorEastAsia" w:hAnsiTheme="minorEastAsia" w:eastAsiaTheme="minorEastAsia"/>
          <w:sz w:val="20"/>
          <w:lang w:eastAsia="zh-CN"/>
        </w:rPr>
        <w:t>，</w:t>
      </w:r>
      <w:r>
        <w:rPr>
          <w:rFonts w:hint="eastAsia" w:asciiTheme="minorEastAsia" w:hAnsiTheme="minorEastAsia" w:eastAsiaTheme="minorEastAsia"/>
          <w:sz w:val="20"/>
          <w:lang w:val="en-US" w:eastAsia="zh-CN"/>
        </w:rPr>
        <w:t>同时需符合商用密码应用安全要求。</w:t>
      </w:r>
      <w:r>
        <w:rPr>
          <w:rFonts w:hint="eastAsia" w:asciiTheme="minorEastAsia" w:hAnsiTheme="minorEastAsia" w:eastAsiaTheme="minorEastAsia"/>
          <w:sz w:val="20"/>
        </w:rPr>
        <w:t>系统</w:t>
      </w:r>
      <w:r>
        <w:rPr>
          <w:rFonts w:hint="eastAsia" w:asciiTheme="minorEastAsia" w:hAnsiTheme="minorEastAsia" w:eastAsiaTheme="minorEastAsia"/>
          <w:sz w:val="20"/>
          <w:lang w:val="en-US" w:eastAsia="zh-CN"/>
        </w:rPr>
        <w:t>在</w:t>
      </w:r>
      <w:r>
        <w:rPr>
          <w:rFonts w:hint="eastAsia" w:asciiTheme="minorEastAsia" w:hAnsiTheme="minorEastAsia" w:eastAsiaTheme="minorEastAsia"/>
          <w:sz w:val="20"/>
        </w:rPr>
        <w:t>功能、安全、网络等各方面</w:t>
      </w:r>
      <w:r>
        <w:rPr>
          <w:rFonts w:hint="eastAsia" w:asciiTheme="minorEastAsia" w:hAnsiTheme="minorEastAsia" w:eastAsiaTheme="minorEastAsia"/>
          <w:sz w:val="20"/>
          <w:lang w:val="en-US" w:eastAsia="zh-CN"/>
        </w:rPr>
        <w:t>的设计应当</w:t>
      </w:r>
      <w:r>
        <w:rPr>
          <w:rFonts w:hint="eastAsia" w:asciiTheme="minorEastAsia" w:hAnsiTheme="minorEastAsia" w:eastAsiaTheme="minorEastAsia"/>
          <w:sz w:val="20"/>
        </w:rPr>
        <w:t>符合国家网络安全和市电子政务建设等各项标准和规范。</w:t>
      </w:r>
    </w:p>
    <w:p w14:paraId="4DE9B97A">
      <w:pPr>
        <w:numPr>
          <w:ilvl w:val="0"/>
          <w:numId w:val="0"/>
        </w:numPr>
        <w:spacing w:line="360" w:lineRule="auto"/>
        <w:ind w:firstLine="400" w:firstLineChars="200"/>
        <w:rPr>
          <w:rFonts w:hint="default" w:asciiTheme="minorEastAsia" w:hAnsiTheme="minorEastAsia" w:eastAsiaTheme="minorEastAsia"/>
          <w:sz w:val="20"/>
          <w:lang w:val="en-US"/>
        </w:rPr>
      </w:pPr>
      <w:r>
        <w:rPr>
          <w:rFonts w:hint="eastAsia" w:asciiTheme="minorEastAsia" w:hAnsiTheme="minorEastAsia" w:eastAsiaTheme="minorEastAsia"/>
          <w:sz w:val="20"/>
          <w:lang w:val="en-US" w:eastAsia="zh-CN"/>
        </w:rPr>
        <w:t>6.</w:t>
      </w:r>
      <w:r>
        <w:rPr>
          <w:rFonts w:hint="eastAsia" w:asciiTheme="minorEastAsia" w:hAnsiTheme="minorEastAsia" w:eastAsiaTheme="minorEastAsia"/>
          <w:sz w:val="20"/>
        </w:rPr>
        <w:t>在系统设计上应采用国际、国内成熟的信息技术和先进的技术标准，要能与</w:t>
      </w:r>
      <w:r>
        <w:rPr>
          <w:rFonts w:hint="eastAsia" w:asciiTheme="minorEastAsia" w:hAnsiTheme="minorEastAsia" w:eastAsiaTheme="minorEastAsia"/>
          <w:sz w:val="20"/>
          <w:lang w:eastAsia="zh-CN"/>
        </w:rPr>
        <w:t>其他</w:t>
      </w:r>
      <w:r>
        <w:rPr>
          <w:rFonts w:hint="eastAsia" w:asciiTheme="minorEastAsia" w:hAnsiTheme="minorEastAsia" w:eastAsiaTheme="minorEastAsia"/>
          <w:sz w:val="20"/>
        </w:rPr>
        <w:t>系统互联互通并具备扩展性和可维护性。</w:t>
      </w:r>
    </w:p>
    <w:p w14:paraId="634993A0">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（二）组织实施要求</w:t>
      </w:r>
    </w:p>
    <w:p w14:paraId="2B24A179">
      <w:pPr>
        <w:spacing w:line="360" w:lineRule="auto"/>
        <w:ind w:firstLine="402" w:firstLineChars="200"/>
        <w:rPr>
          <w:rFonts w:hint="eastAsia" w:asciiTheme="minorEastAsia" w:hAnsiTheme="minorEastAsia" w:eastAsiaTheme="minorEastAsia"/>
          <w:b/>
          <w:bCs/>
          <w:sz w:val="20"/>
        </w:rPr>
      </w:pPr>
      <w:r>
        <w:rPr>
          <w:rFonts w:hint="eastAsia" w:asciiTheme="minorEastAsia" w:hAnsiTheme="minorEastAsia" w:eastAsiaTheme="minorEastAsia"/>
          <w:b/>
          <w:bCs/>
          <w:sz w:val="20"/>
          <w:lang w:val="en-US" w:eastAsia="zh-CN"/>
        </w:rPr>
        <w:t>1.</w:t>
      </w:r>
      <w:r>
        <w:rPr>
          <w:rFonts w:hint="eastAsia" w:asciiTheme="minorEastAsia" w:hAnsiTheme="minorEastAsia" w:eastAsiaTheme="minorEastAsia"/>
          <w:b/>
          <w:bCs/>
          <w:sz w:val="20"/>
        </w:rPr>
        <w:t>项目实施步骤要求</w:t>
      </w:r>
    </w:p>
    <w:p w14:paraId="7BEC7F1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投标人须根据本项目服务内容，制定合理可行的项目实施步骤，按照服务内容的划分，确定项目开展的先后顺序，各阶段人员组成、时间进度以及各阶段提交的交付物和质量标准，同时明确所需项目费用的依据。</w:t>
      </w:r>
    </w:p>
    <w:p w14:paraId="3AA8DEE4">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2.项目管理要求</w:t>
      </w:r>
    </w:p>
    <w:p w14:paraId="29A8146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的软件开发和实施过程要遵循统一过程标准。项目实施过程各阶段的工作安排、工作管理</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各阶段提交的工件和质量标准都要严格遵循统一过程标准要求。</w:t>
      </w:r>
    </w:p>
    <w:p w14:paraId="45D2E6C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投标人必须在投标文件中明确项目管理使用的工具，以及将项目过程数据清晰完整地交付</w:t>
      </w:r>
      <w:r>
        <w:rPr>
          <w:rFonts w:hint="eastAsia" w:asciiTheme="minorEastAsia" w:hAnsiTheme="minorEastAsia" w:eastAsiaTheme="minorEastAsia"/>
          <w:sz w:val="20"/>
          <w:lang w:val="en-US" w:eastAsia="zh-CN"/>
        </w:rPr>
        <w:t>采购人</w:t>
      </w:r>
      <w:r>
        <w:rPr>
          <w:rFonts w:hint="eastAsia" w:asciiTheme="minorEastAsia" w:hAnsiTheme="minorEastAsia" w:eastAsiaTheme="minorEastAsia"/>
          <w:sz w:val="20"/>
        </w:rPr>
        <w:t>。</w:t>
      </w:r>
    </w:p>
    <w:p w14:paraId="21A9EAB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投标人应对项目过程中使用的软件工具（设计、建模、开发、需求管理、项目管理）进行描述，并明确指出将来（即项目结束后）哪些工具可提供采购方无偿使用，哪些工具必须购买和相应的报价。</w:t>
      </w:r>
    </w:p>
    <w:p w14:paraId="705983F5">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3.质量控制要求</w:t>
      </w:r>
    </w:p>
    <w:p w14:paraId="6C1074A2">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投标人</w:t>
      </w:r>
      <w:r>
        <w:rPr>
          <w:rFonts w:hint="eastAsia" w:asciiTheme="minorEastAsia" w:hAnsiTheme="minorEastAsia" w:eastAsiaTheme="minorEastAsia"/>
          <w:sz w:val="20"/>
        </w:rPr>
        <w:t>须在投标文件中提出项目重要技术方案评审方式与要求以及项目实施中质量保障和质量控制方式。</w:t>
      </w:r>
    </w:p>
    <w:p w14:paraId="2342AE9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在项目实施全过程中，采购方有对项目进度和质量进行监督控制的职责和权利，</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应全面配合，确保人力、物力的定量投入，定期向采购方提交最新的进展情况报告。</w:t>
      </w:r>
    </w:p>
    <w:p w14:paraId="064CD95D">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4.项目团队要求</w:t>
      </w:r>
    </w:p>
    <w:p w14:paraId="7616047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必须根据本项目的特点和建设内容，组建一支技术经验丰富、人员相对稳定的项目团队为项目建设服务，并在投标文件中确定项目</w:t>
      </w:r>
      <w:r>
        <w:rPr>
          <w:rFonts w:hint="eastAsia" w:asciiTheme="minorEastAsia" w:hAnsiTheme="minorEastAsia" w:eastAsiaTheme="minorEastAsia"/>
          <w:sz w:val="20"/>
          <w:lang w:val="en-US" w:eastAsia="zh-CN"/>
        </w:rPr>
        <w:t>负责人</w:t>
      </w:r>
      <w:r>
        <w:rPr>
          <w:rFonts w:hint="eastAsia" w:asciiTheme="minorEastAsia" w:hAnsiTheme="minorEastAsia" w:eastAsiaTheme="minorEastAsia"/>
          <w:sz w:val="20"/>
        </w:rPr>
        <w:t>、</w:t>
      </w:r>
      <w:r>
        <w:rPr>
          <w:rFonts w:hint="eastAsia" w:asciiTheme="minorEastAsia" w:hAnsiTheme="minorEastAsia" w:eastAsiaTheme="minorEastAsia"/>
          <w:sz w:val="20"/>
          <w:lang w:val="en-US" w:eastAsia="zh-CN"/>
        </w:rPr>
        <w:t>技术负责人、</w:t>
      </w:r>
      <w:r>
        <w:rPr>
          <w:rFonts w:hint="eastAsia" w:asciiTheme="minorEastAsia" w:hAnsiTheme="minorEastAsia" w:eastAsiaTheme="minorEastAsia"/>
          <w:sz w:val="20"/>
        </w:rPr>
        <w:t>系统架构人员、系统分析人员、测试人员、编程人员等主要软件开发人员，说明每个人的角色、职责。相关人员的工作经验将作为评分考虑的重点。</w:t>
      </w:r>
    </w:p>
    <w:p w14:paraId="43F92CB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项目执行过程中，采购方有权对项目组人员进行考核和评价，不符合条件人员，采购方有权要求</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及时更换。</w:t>
      </w:r>
    </w:p>
    <w:p w14:paraId="73FBC07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可以根据实际需要但必须经过采购方同意方可对人员进行更换调整（原则上项目经理、系统架构师</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核心系统分析人员不得更换），但须保证所更换人员的技术素质和工作能力不低于被替换人员，且更换比例不得超过20％，否则，采购方有权提前终止合同。</w:t>
      </w:r>
    </w:p>
    <w:p w14:paraId="116CB9E5">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5.测试要求</w:t>
      </w:r>
    </w:p>
    <w:p w14:paraId="1BC25DFD">
      <w:pPr>
        <w:spacing w:line="360" w:lineRule="auto"/>
        <w:ind w:firstLine="400" w:firstLineChars="200"/>
        <w:rPr>
          <w:rFonts w:hint="default" w:asciiTheme="minorEastAsia" w:hAnsiTheme="minorEastAsia" w:eastAsiaTheme="minorEastAsia"/>
          <w:sz w:val="20"/>
          <w:lang w:val="en-US" w:eastAsia="zh-CN"/>
        </w:rPr>
      </w:pPr>
      <w:r>
        <w:rPr>
          <w:rFonts w:hint="eastAsia" w:asciiTheme="minorEastAsia" w:hAnsiTheme="minorEastAsia" w:eastAsiaTheme="minorEastAsia"/>
          <w:sz w:val="20"/>
        </w:rPr>
        <w:t>投标人必须在投标文件中提出软件测试方案。为了保障系统测试的科学性和公正性，本次项目建设采购方引入第三方测试机制，</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要积极配合第三方测评。</w:t>
      </w:r>
      <w:r>
        <w:rPr>
          <w:rFonts w:hint="eastAsia" w:asciiTheme="minorEastAsia" w:hAnsiTheme="minorEastAsia" w:eastAsiaTheme="minorEastAsia"/>
          <w:sz w:val="20"/>
          <w:lang w:val="en-US" w:eastAsia="zh-CN"/>
        </w:rPr>
        <w:t>系统测试结果应当符合以下标准，否则中标人应当积极按照要求整改：</w:t>
      </w:r>
    </w:p>
    <w:p w14:paraId="0A95D6C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（1）</w:t>
      </w:r>
      <w:r>
        <w:rPr>
          <w:rFonts w:hint="eastAsia" w:asciiTheme="minorEastAsia" w:hAnsiTheme="minorEastAsia" w:eastAsiaTheme="minorEastAsia"/>
          <w:sz w:val="20"/>
        </w:rPr>
        <w:t>交互类业务</w:t>
      </w:r>
    </w:p>
    <w:p w14:paraId="0C53AA6D">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交互类业务是指平时工作中在系统中进行的业务处理，如录入、删除、修改一条记录或发布一条信息等操作。</w:t>
      </w:r>
    </w:p>
    <w:p w14:paraId="6B4735ED">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16A46A8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峰值响应时间：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6AEF80A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批量前台经办业务数据导入（按一次2000条评估）</w:t>
      </w:r>
    </w:p>
    <w:p w14:paraId="68257B5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秒；</w:t>
      </w:r>
    </w:p>
    <w:p w14:paraId="2E8DDFA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峰值响应时间：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2C6EB3C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（2）</w:t>
      </w:r>
      <w:r>
        <w:rPr>
          <w:rFonts w:hint="eastAsia" w:asciiTheme="minorEastAsia" w:hAnsiTheme="minorEastAsia" w:eastAsiaTheme="minorEastAsia"/>
          <w:sz w:val="20"/>
        </w:rPr>
        <w:t>查询类业务</w:t>
      </w:r>
    </w:p>
    <w:p w14:paraId="6D826FF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查询业务如数据查询、统计报表生成或决策支持的信息查询等。查询业务由于受到查询的复杂程度、查询的数据量大小等因素的影响，根据具体情况而定，满足以下</w:t>
      </w:r>
      <w:r>
        <w:rPr>
          <w:rFonts w:hint="eastAsia" w:asciiTheme="minorEastAsia" w:hAnsiTheme="minorEastAsia" w:eastAsiaTheme="minorEastAsia"/>
          <w:sz w:val="20"/>
          <w:lang w:eastAsia="zh-CN"/>
        </w:rPr>
        <w:t>响应</w:t>
      </w:r>
      <w:r>
        <w:rPr>
          <w:rFonts w:hint="eastAsia" w:asciiTheme="minorEastAsia" w:hAnsiTheme="minorEastAsia" w:eastAsiaTheme="minorEastAsia"/>
          <w:sz w:val="20"/>
        </w:rPr>
        <w:t>时间：</w:t>
      </w:r>
    </w:p>
    <w:p w14:paraId="1F3FACF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简单查询平均响应时间：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7A43BBA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复杂查询平均响应时间：</w:t>
      </w:r>
      <w:r>
        <w:rPr>
          <w:rFonts w:hint="eastAsia" w:ascii="宋体" w:hAnsi="宋体" w:eastAsia="宋体" w:cs="宋体"/>
          <w:color w:val="auto"/>
          <w:sz w:val="21"/>
          <w:szCs w:val="21"/>
          <w:highlight w:val="none"/>
        </w:rPr>
        <w:t>≤800ms</w:t>
      </w:r>
      <w:r>
        <w:rPr>
          <w:rFonts w:hint="eastAsia" w:asciiTheme="minorEastAsia" w:hAnsiTheme="minorEastAsia" w:eastAsiaTheme="minorEastAsia"/>
          <w:sz w:val="20"/>
        </w:rPr>
        <w:t>；</w:t>
      </w:r>
    </w:p>
    <w:p w14:paraId="3D80DBD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视频播放平均响应时间：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037E0C4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（3）</w:t>
      </w:r>
      <w:r>
        <w:rPr>
          <w:rFonts w:hint="eastAsia" w:asciiTheme="minorEastAsia" w:hAnsiTheme="minorEastAsia" w:eastAsiaTheme="minorEastAsia"/>
          <w:sz w:val="20"/>
        </w:rPr>
        <w:t>交易接口服务（数据交换）</w:t>
      </w:r>
    </w:p>
    <w:p w14:paraId="352D3DC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单条记录交易平均响应时间：</w:t>
      </w:r>
      <w:r>
        <w:rPr>
          <w:rFonts w:hint="eastAsia" w:ascii="宋体" w:hAnsi="宋体" w:eastAsia="宋体" w:cs="宋体"/>
          <w:color w:val="auto"/>
          <w:sz w:val="21"/>
          <w:szCs w:val="21"/>
          <w:highlight w:val="none"/>
        </w:rPr>
        <w:t>≤800ms</w:t>
      </w:r>
      <w:r>
        <w:rPr>
          <w:rFonts w:hint="eastAsia" w:asciiTheme="minorEastAsia" w:hAnsiTheme="minorEastAsia" w:eastAsiaTheme="minorEastAsia"/>
          <w:sz w:val="20"/>
        </w:rPr>
        <w:t>；</w:t>
      </w:r>
    </w:p>
    <w:p w14:paraId="7C7D723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多条记录（100条）交易平均响应时间：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3F2FF27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（4）</w:t>
      </w:r>
      <w:r>
        <w:rPr>
          <w:rFonts w:hint="eastAsia" w:asciiTheme="minorEastAsia" w:hAnsiTheme="minorEastAsia" w:eastAsiaTheme="minorEastAsia"/>
          <w:sz w:val="20"/>
        </w:rPr>
        <w:t>大数据量、批量处理业务</w:t>
      </w:r>
    </w:p>
    <w:p w14:paraId="2AA8BFD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批量交易是指一次完成多笔业务处理的交易，如批量扣缴、批量核算工资等，由于批量交易的数据量不确定，具有处理复杂、操作数据量大、处理时间长等特点，极限数据查询时间：大样本量时数据查询时间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52D6A861">
      <w:pPr>
        <w:spacing w:line="360" w:lineRule="auto"/>
        <w:ind w:firstLine="400" w:firstLineChars="200"/>
        <w:rPr>
          <w:rFonts w:hint="eastAsia"/>
        </w:rPr>
      </w:pPr>
      <w:r>
        <w:rPr>
          <w:rFonts w:hint="eastAsia" w:asciiTheme="minorEastAsia" w:hAnsiTheme="minorEastAsia" w:eastAsiaTheme="minorEastAsia"/>
          <w:sz w:val="20"/>
          <w:lang w:val="en-US" w:eastAsia="zh-CN"/>
        </w:rPr>
        <w:t>（5）</w:t>
      </w:r>
      <w:r>
        <w:rPr>
          <w:rFonts w:hint="eastAsia" w:asciiTheme="minorEastAsia" w:hAnsiTheme="minorEastAsia" w:eastAsiaTheme="minorEastAsia"/>
          <w:sz w:val="20"/>
          <w:lang w:eastAsia="zh-CN"/>
        </w:rPr>
        <w:t>系统能大规模、高质量地处理数据，提供高速度、高效率、实时、及时的计算与信息处理能力，要求系统不能由于用户连接的增加明显降低系统的响应时间。</w:t>
      </w:r>
      <w:r>
        <w:rPr>
          <w:rFonts w:hint="eastAsia" w:asciiTheme="minorEastAsia" w:hAnsiTheme="minorEastAsia" w:eastAsiaTheme="minorEastAsia"/>
          <w:sz w:val="20"/>
          <w:lang w:val="en-US" w:eastAsia="zh-CN"/>
        </w:rPr>
        <w:t>应用</w:t>
      </w:r>
      <w:r>
        <w:rPr>
          <w:rFonts w:hint="eastAsia" w:asciiTheme="minorEastAsia" w:hAnsiTheme="minorEastAsia" w:eastAsiaTheme="minorEastAsia"/>
          <w:sz w:val="20"/>
        </w:rPr>
        <w:t>系统</w:t>
      </w:r>
      <w:r>
        <w:rPr>
          <w:rFonts w:hint="eastAsia" w:asciiTheme="minorEastAsia" w:hAnsiTheme="minorEastAsia" w:eastAsiaTheme="minorEastAsia"/>
          <w:sz w:val="20"/>
          <w:lang w:eastAsia="zh-CN"/>
        </w:rPr>
        <w:t>需</w:t>
      </w:r>
      <w:r>
        <w:rPr>
          <w:rFonts w:hint="eastAsia" w:asciiTheme="minorEastAsia" w:hAnsiTheme="minorEastAsia" w:eastAsiaTheme="minorEastAsia"/>
          <w:sz w:val="20"/>
        </w:rPr>
        <w:t>支持同时在线用户数为</w:t>
      </w:r>
      <w:r>
        <w:rPr>
          <w:rFonts w:hint="eastAsia" w:asciiTheme="minorEastAsia" w:hAnsiTheme="minorEastAsia" w:eastAsiaTheme="minorEastAsia"/>
          <w:sz w:val="20"/>
          <w:lang w:eastAsia="zh-CN"/>
        </w:rPr>
        <w:t>1</w:t>
      </w:r>
      <w:r>
        <w:rPr>
          <w:rFonts w:hint="eastAsia" w:asciiTheme="minorEastAsia" w:hAnsiTheme="minorEastAsia" w:eastAsiaTheme="minorEastAsia"/>
          <w:sz w:val="20"/>
          <w:lang w:val="en-US" w:eastAsia="zh-CN"/>
        </w:rPr>
        <w:t>500</w:t>
      </w:r>
      <w:r>
        <w:rPr>
          <w:rFonts w:hint="eastAsia" w:asciiTheme="minorEastAsia" w:hAnsiTheme="minorEastAsia" w:eastAsiaTheme="minorEastAsia"/>
          <w:sz w:val="20"/>
        </w:rPr>
        <w:t>人，并发用户数为</w:t>
      </w:r>
      <w:r>
        <w:rPr>
          <w:rFonts w:hint="eastAsia" w:asciiTheme="minorEastAsia" w:hAnsiTheme="minorEastAsia" w:eastAsiaTheme="minorEastAsia"/>
          <w:sz w:val="20"/>
          <w:lang w:val="en-US" w:eastAsia="zh-CN"/>
        </w:rPr>
        <w:t>200</w:t>
      </w:r>
      <w:r>
        <w:rPr>
          <w:rFonts w:hint="eastAsia" w:asciiTheme="minorEastAsia" w:hAnsiTheme="minorEastAsia" w:eastAsiaTheme="minorEastAsia"/>
          <w:sz w:val="20"/>
        </w:rPr>
        <w:t>人</w:t>
      </w:r>
      <w:r>
        <w:rPr>
          <w:rFonts w:hint="eastAsia" w:asciiTheme="minorEastAsia" w:hAnsiTheme="minorEastAsia" w:eastAsiaTheme="minorEastAsia"/>
          <w:sz w:val="20"/>
          <w:lang w:eastAsia="zh-CN"/>
        </w:rPr>
        <w:t>。</w:t>
      </w:r>
    </w:p>
    <w:p w14:paraId="23C96FE6">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6.数据迁移</w:t>
      </w:r>
    </w:p>
    <w:p w14:paraId="6954DE39">
      <w:pPr>
        <w:spacing w:line="360" w:lineRule="auto"/>
        <w:ind w:firstLine="400" w:firstLineChars="200"/>
        <w:rPr>
          <w:rFonts w:hint="default"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本项目涉及硬件和软件环境升级的，成交人负责本项目范围中所有软件系统和数据的迁移，并确保数据无丢失；涉及功能点全新开发或适配的，成交人负责所有原有数据的清洗、迁移，确保业务数据在新系统对应功能模块可查可用。</w:t>
      </w:r>
    </w:p>
    <w:p w14:paraId="5459FEAF">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7.维护计划</w:t>
      </w:r>
    </w:p>
    <w:p w14:paraId="67886BEB">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投标人必须在投标文件中明确项目投入生产后的项目维护计划。</w:t>
      </w:r>
    </w:p>
    <w:p w14:paraId="7EAFA9AF">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8.软件部署</w:t>
      </w:r>
    </w:p>
    <w:p w14:paraId="633419E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成交人</w:t>
      </w:r>
      <w:r>
        <w:rPr>
          <w:rFonts w:hint="eastAsia" w:asciiTheme="minorEastAsia" w:hAnsiTheme="minorEastAsia" w:eastAsiaTheme="minorEastAsia"/>
          <w:sz w:val="20"/>
        </w:rPr>
        <w:t>不仅承担应用系统的开发，还需要承担系统软件的安装、应用系统的部署及优化工作。</w:t>
      </w:r>
    </w:p>
    <w:p w14:paraId="70FE9C8B">
      <w:pPr>
        <w:pStyle w:val="2"/>
        <w:numPr>
          <w:ilvl w:val="0"/>
          <w:numId w:val="1"/>
        </w:numPr>
        <w:bidi w:val="0"/>
        <w:rPr>
          <w:rFonts w:hint="eastAsia"/>
          <w:b/>
          <w:lang w:val="en-US" w:eastAsia="zh-CN"/>
        </w:rPr>
      </w:pPr>
      <w:r>
        <w:rPr>
          <w:rFonts w:hint="eastAsia"/>
          <w:b/>
          <w:lang w:val="en-US" w:eastAsia="zh-CN"/>
        </w:rPr>
        <w:t>迁移实施流程</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267"/>
        <w:gridCol w:w="6384"/>
      </w:tblGrid>
      <w:tr w14:paraId="7DDA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11" w:type="pct"/>
            <w:vAlign w:val="center"/>
          </w:tcPr>
          <w:p w14:paraId="7FE7CD71">
            <w:pPr>
              <w:pStyle w:val="13"/>
            </w:pPr>
            <w:r>
              <w:rPr>
                <w:rFonts w:hint="eastAsia"/>
              </w:rPr>
              <w:t>序号</w:t>
            </w:r>
          </w:p>
        </w:tc>
        <w:tc>
          <w:tcPr>
            <w:tcW w:w="743" w:type="pct"/>
            <w:vAlign w:val="center"/>
          </w:tcPr>
          <w:p w14:paraId="1FFF6B97">
            <w:pPr>
              <w:pStyle w:val="13"/>
            </w:pPr>
            <w:r>
              <w:rPr>
                <w:rFonts w:hint="eastAsia"/>
              </w:rPr>
              <w:t>环节</w:t>
            </w:r>
          </w:p>
        </w:tc>
        <w:tc>
          <w:tcPr>
            <w:tcW w:w="3745" w:type="pct"/>
            <w:vAlign w:val="center"/>
          </w:tcPr>
          <w:p w14:paraId="1F13A79F">
            <w:pPr>
              <w:pStyle w:val="13"/>
            </w:pPr>
            <w:r>
              <w:rPr>
                <w:rFonts w:hint="eastAsia"/>
              </w:rPr>
              <w:t>实施事项</w:t>
            </w:r>
          </w:p>
        </w:tc>
      </w:tr>
      <w:tr w14:paraId="1173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511" w:type="pct"/>
            <w:vAlign w:val="center"/>
          </w:tcPr>
          <w:p w14:paraId="11082FE6">
            <w:pPr>
              <w:pStyle w:val="13"/>
              <w:rPr>
                <w:kern w:val="0"/>
              </w:rPr>
            </w:pPr>
            <w:r>
              <w:t>1</w:t>
            </w:r>
          </w:p>
        </w:tc>
        <w:tc>
          <w:tcPr>
            <w:tcW w:w="743" w:type="pct"/>
            <w:vAlign w:val="center"/>
          </w:tcPr>
          <w:p w14:paraId="0D65A7DC">
            <w:pPr>
              <w:pStyle w:val="13"/>
              <w:rPr>
                <w:kern w:val="0"/>
              </w:rPr>
            </w:pPr>
            <w:r>
              <w:t>需求沟通</w:t>
            </w:r>
          </w:p>
        </w:tc>
        <w:tc>
          <w:tcPr>
            <w:tcW w:w="3745" w:type="pct"/>
            <w:vAlign w:val="center"/>
          </w:tcPr>
          <w:p w14:paraId="50B9A005">
            <w:pPr>
              <w:pStyle w:val="13"/>
              <w:jc w:val="both"/>
              <w:rPr>
                <w:kern w:val="0"/>
              </w:rPr>
            </w:pPr>
            <w:r>
              <w:rPr>
                <w:rFonts w:hint="eastAsia"/>
                <w:lang w:val="en-US" w:eastAsia="zh-CN"/>
              </w:rPr>
              <w:t>信息系统应用创新</w:t>
            </w:r>
            <w:r>
              <w:t>需求</w:t>
            </w:r>
            <w:r>
              <w:rPr>
                <w:rFonts w:hint="eastAsia"/>
              </w:rPr>
              <w:t>确认</w:t>
            </w:r>
          </w:p>
        </w:tc>
      </w:tr>
      <w:tr w14:paraId="192D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511" w:type="pct"/>
            <w:vAlign w:val="center"/>
          </w:tcPr>
          <w:p w14:paraId="2D7A3392">
            <w:pPr>
              <w:pStyle w:val="13"/>
              <w:rPr>
                <w:kern w:val="0"/>
              </w:rPr>
            </w:pPr>
            <w:r>
              <w:t>2</w:t>
            </w:r>
          </w:p>
        </w:tc>
        <w:tc>
          <w:tcPr>
            <w:tcW w:w="743" w:type="pct"/>
            <w:vAlign w:val="center"/>
          </w:tcPr>
          <w:p w14:paraId="29B92622">
            <w:pPr>
              <w:pStyle w:val="13"/>
              <w:rPr>
                <w:kern w:val="0"/>
              </w:rPr>
            </w:pPr>
            <w:r>
              <w:t>环境确认</w:t>
            </w:r>
          </w:p>
        </w:tc>
        <w:tc>
          <w:tcPr>
            <w:tcW w:w="3745" w:type="pct"/>
            <w:vAlign w:val="center"/>
          </w:tcPr>
          <w:p w14:paraId="17F416F5">
            <w:pPr>
              <w:pStyle w:val="13"/>
              <w:jc w:val="both"/>
              <w:rPr>
                <w:kern w:val="0"/>
              </w:rPr>
            </w:pPr>
            <w:r>
              <w:t>国产化使用环境确认</w:t>
            </w:r>
            <w:r>
              <w:rPr>
                <w:rFonts w:hint="eastAsia"/>
              </w:rPr>
              <w:t>，</w:t>
            </w:r>
            <w:r>
              <w:t>基础软件</w:t>
            </w:r>
            <w:r>
              <w:rPr>
                <w:rFonts w:hint="eastAsia"/>
              </w:rPr>
              <w:t>、</w:t>
            </w:r>
            <w:r>
              <w:t>云服务软件选型确认</w:t>
            </w:r>
          </w:p>
        </w:tc>
      </w:tr>
      <w:tr w14:paraId="3850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511" w:type="pct"/>
            <w:vAlign w:val="center"/>
          </w:tcPr>
          <w:p w14:paraId="6D7492E0">
            <w:pPr>
              <w:pStyle w:val="13"/>
              <w:rPr>
                <w:kern w:val="0"/>
              </w:rPr>
            </w:pPr>
            <w:r>
              <w:t>3</w:t>
            </w:r>
          </w:p>
        </w:tc>
        <w:tc>
          <w:tcPr>
            <w:tcW w:w="743" w:type="pct"/>
            <w:vMerge w:val="restart"/>
            <w:vAlign w:val="center"/>
          </w:tcPr>
          <w:p w14:paraId="7F118D1D">
            <w:pPr>
              <w:pStyle w:val="13"/>
              <w:rPr>
                <w:kern w:val="0"/>
              </w:rPr>
            </w:pPr>
            <w:r>
              <w:t>测试验证</w:t>
            </w:r>
          </w:p>
        </w:tc>
        <w:tc>
          <w:tcPr>
            <w:tcW w:w="3745" w:type="pct"/>
            <w:vAlign w:val="center"/>
          </w:tcPr>
          <w:p w14:paraId="33E66E7D">
            <w:pPr>
              <w:pStyle w:val="13"/>
              <w:jc w:val="both"/>
              <w:rPr>
                <w:kern w:val="0"/>
              </w:rPr>
            </w:pPr>
            <w:r>
              <w:t>测试环境资源申请</w:t>
            </w:r>
          </w:p>
        </w:tc>
      </w:tr>
      <w:tr w14:paraId="1E78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900794B">
            <w:pPr>
              <w:pStyle w:val="13"/>
              <w:rPr>
                <w:kern w:val="0"/>
              </w:rPr>
            </w:pPr>
            <w:r>
              <w:t>4</w:t>
            </w:r>
          </w:p>
        </w:tc>
        <w:tc>
          <w:tcPr>
            <w:tcW w:w="743" w:type="pct"/>
            <w:vMerge w:val="continue"/>
            <w:vAlign w:val="center"/>
          </w:tcPr>
          <w:p w14:paraId="583FE6E9">
            <w:pPr>
              <w:pStyle w:val="13"/>
              <w:rPr>
                <w:kern w:val="0"/>
              </w:rPr>
            </w:pPr>
          </w:p>
        </w:tc>
        <w:tc>
          <w:tcPr>
            <w:tcW w:w="3745" w:type="pct"/>
            <w:vAlign w:val="center"/>
          </w:tcPr>
          <w:p w14:paraId="4ABF3B39">
            <w:pPr>
              <w:pStyle w:val="13"/>
              <w:jc w:val="both"/>
              <w:rPr>
                <w:kern w:val="0"/>
              </w:rPr>
            </w:pPr>
            <w:r>
              <w:t>测试环境网络打通申请</w:t>
            </w:r>
          </w:p>
        </w:tc>
      </w:tr>
      <w:tr w14:paraId="2865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11" w:type="pct"/>
            <w:vAlign w:val="center"/>
          </w:tcPr>
          <w:p w14:paraId="21B62898">
            <w:pPr>
              <w:pStyle w:val="13"/>
              <w:rPr>
                <w:kern w:val="0"/>
              </w:rPr>
            </w:pPr>
            <w:r>
              <w:t>5</w:t>
            </w:r>
          </w:p>
        </w:tc>
        <w:tc>
          <w:tcPr>
            <w:tcW w:w="743" w:type="pct"/>
            <w:vMerge w:val="continue"/>
            <w:vAlign w:val="center"/>
          </w:tcPr>
          <w:p w14:paraId="27321483">
            <w:pPr>
              <w:pStyle w:val="13"/>
              <w:rPr>
                <w:kern w:val="0"/>
              </w:rPr>
            </w:pPr>
          </w:p>
        </w:tc>
        <w:tc>
          <w:tcPr>
            <w:tcW w:w="3745" w:type="pct"/>
            <w:vAlign w:val="center"/>
          </w:tcPr>
          <w:p w14:paraId="1D13EDAD">
            <w:pPr>
              <w:pStyle w:val="13"/>
              <w:jc w:val="both"/>
              <w:rPr>
                <w:kern w:val="0"/>
              </w:rPr>
            </w:pPr>
            <w:r>
              <w:t>测试环境系统部署</w:t>
            </w:r>
          </w:p>
        </w:tc>
      </w:tr>
      <w:tr w14:paraId="4ECF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11" w:type="pct"/>
            <w:vAlign w:val="center"/>
          </w:tcPr>
          <w:p w14:paraId="16E11217">
            <w:pPr>
              <w:pStyle w:val="13"/>
              <w:rPr>
                <w:kern w:val="0"/>
              </w:rPr>
            </w:pPr>
            <w:r>
              <w:t>6</w:t>
            </w:r>
          </w:p>
        </w:tc>
        <w:tc>
          <w:tcPr>
            <w:tcW w:w="743" w:type="pct"/>
            <w:vMerge w:val="continue"/>
            <w:vAlign w:val="center"/>
          </w:tcPr>
          <w:p w14:paraId="05C505AF">
            <w:pPr>
              <w:pStyle w:val="13"/>
              <w:rPr>
                <w:kern w:val="0"/>
              </w:rPr>
            </w:pPr>
          </w:p>
        </w:tc>
        <w:tc>
          <w:tcPr>
            <w:tcW w:w="3745" w:type="pct"/>
            <w:vAlign w:val="center"/>
          </w:tcPr>
          <w:p w14:paraId="39ABE138">
            <w:pPr>
              <w:pStyle w:val="13"/>
              <w:jc w:val="both"/>
              <w:rPr>
                <w:kern w:val="0"/>
              </w:rPr>
            </w:pPr>
            <w:r>
              <w:t>测试环境数据迁移</w:t>
            </w:r>
          </w:p>
        </w:tc>
      </w:tr>
      <w:tr w14:paraId="435C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4C7207B">
            <w:pPr>
              <w:pStyle w:val="13"/>
              <w:rPr>
                <w:kern w:val="0"/>
              </w:rPr>
            </w:pPr>
            <w:r>
              <w:t>7</w:t>
            </w:r>
          </w:p>
        </w:tc>
        <w:tc>
          <w:tcPr>
            <w:tcW w:w="743" w:type="pct"/>
            <w:vMerge w:val="continue"/>
            <w:vAlign w:val="center"/>
          </w:tcPr>
          <w:p w14:paraId="4F11CE30">
            <w:pPr>
              <w:pStyle w:val="13"/>
              <w:rPr>
                <w:kern w:val="0"/>
              </w:rPr>
            </w:pPr>
          </w:p>
        </w:tc>
        <w:tc>
          <w:tcPr>
            <w:tcW w:w="3745" w:type="pct"/>
            <w:vAlign w:val="center"/>
          </w:tcPr>
          <w:p w14:paraId="55C568B3">
            <w:pPr>
              <w:pStyle w:val="13"/>
              <w:jc w:val="both"/>
              <w:rPr>
                <w:kern w:val="0"/>
              </w:rPr>
            </w:pPr>
            <w:r>
              <w:t>测试验证</w:t>
            </w:r>
          </w:p>
        </w:tc>
      </w:tr>
      <w:tr w14:paraId="607E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2B32DCA2">
            <w:pPr>
              <w:pStyle w:val="13"/>
              <w:rPr>
                <w:kern w:val="0"/>
              </w:rPr>
            </w:pPr>
            <w:r>
              <w:t>8</w:t>
            </w:r>
          </w:p>
        </w:tc>
        <w:tc>
          <w:tcPr>
            <w:tcW w:w="743" w:type="pct"/>
            <w:vMerge w:val="restart"/>
            <w:vAlign w:val="center"/>
          </w:tcPr>
          <w:p w14:paraId="5947B286">
            <w:pPr>
              <w:pStyle w:val="13"/>
              <w:rPr>
                <w:kern w:val="0"/>
              </w:rPr>
            </w:pPr>
            <w:r>
              <w:t>生产替换</w:t>
            </w:r>
          </w:p>
        </w:tc>
        <w:tc>
          <w:tcPr>
            <w:tcW w:w="3745" w:type="pct"/>
            <w:vAlign w:val="center"/>
          </w:tcPr>
          <w:p w14:paraId="5A5A0BB5">
            <w:pPr>
              <w:pStyle w:val="13"/>
              <w:jc w:val="both"/>
              <w:rPr>
                <w:kern w:val="0"/>
              </w:rPr>
            </w:pPr>
            <w:r>
              <w:t>生产环境资源申请</w:t>
            </w:r>
          </w:p>
        </w:tc>
      </w:tr>
      <w:tr w14:paraId="79A0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F1FFA19">
            <w:pPr>
              <w:pStyle w:val="13"/>
              <w:rPr>
                <w:kern w:val="0"/>
              </w:rPr>
            </w:pPr>
            <w:r>
              <w:t>9</w:t>
            </w:r>
          </w:p>
        </w:tc>
        <w:tc>
          <w:tcPr>
            <w:tcW w:w="743" w:type="pct"/>
            <w:vMerge w:val="continue"/>
            <w:vAlign w:val="center"/>
          </w:tcPr>
          <w:p w14:paraId="468D914A">
            <w:pPr>
              <w:pStyle w:val="13"/>
              <w:rPr>
                <w:kern w:val="0"/>
              </w:rPr>
            </w:pPr>
          </w:p>
        </w:tc>
        <w:tc>
          <w:tcPr>
            <w:tcW w:w="3745" w:type="pct"/>
            <w:vAlign w:val="center"/>
          </w:tcPr>
          <w:p w14:paraId="49C0A1FB">
            <w:pPr>
              <w:pStyle w:val="13"/>
              <w:jc w:val="both"/>
              <w:rPr>
                <w:kern w:val="0"/>
              </w:rPr>
            </w:pPr>
            <w:r>
              <w:t>生产环境网络打通申请</w:t>
            </w:r>
          </w:p>
        </w:tc>
      </w:tr>
      <w:tr w14:paraId="605E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4715595A">
            <w:pPr>
              <w:pStyle w:val="13"/>
              <w:rPr>
                <w:kern w:val="0"/>
              </w:rPr>
            </w:pPr>
            <w:r>
              <w:t>10</w:t>
            </w:r>
          </w:p>
        </w:tc>
        <w:tc>
          <w:tcPr>
            <w:tcW w:w="743" w:type="pct"/>
            <w:vMerge w:val="continue"/>
            <w:vAlign w:val="center"/>
          </w:tcPr>
          <w:p w14:paraId="2EBC2AB1">
            <w:pPr>
              <w:pStyle w:val="13"/>
              <w:rPr>
                <w:kern w:val="0"/>
              </w:rPr>
            </w:pPr>
          </w:p>
        </w:tc>
        <w:tc>
          <w:tcPr>
            <w:tcW w:w="3745" w:type="pct"/>
            <w:vAlign w:val="center"/>
          </w:tcPr>
          <w:p w14:paraId="0A6D7815">
            <w:pPr>
              <w:pStyle w:val="13"/>
              <w:jc w:val="both"/>
              <w:rPr>
                <w:kern w:val="0"/>
              </w:rPr>
            </w:pPr>
            <w:r>
              <w:t>生产环境系统部署</w:t>
            </w:r>
          </w:p>
        </w:tc>
      </w:tr>
      <w:tr w14:paraId="7894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6639F489">
            <w:pPr>
              <w:pStyle w:val="13"/>
              <w:rPr>
                <w:kern w:val="0"/>
              </w:rPr>
            </w:pPr>
            <w:r>
              <w:t>11</w:t>
            </w:r>
          </w:p>
        </w:tc>
        <w:tc>
          <w:tcPr>
            <w:tcW w:w="743" w:type="pct"/>
            <w:vMerge w:val="continue"/>
            <w:vAlign w:val="center"/>
          </w:tcPr>
          <w:p w14:paraId="3A95A613">
            <w:pPr>
              <w:pStyle w:val="13"/>
              <w:rPr>
                <w:kern w:val="0"/>
              </w:rPr>
            </w:pPr>
          </w:p>
        </w:tc>
        <w:tc>
          <w:tcPr>
            <w:tcW w:w="3745" w:type="pct"/>
            <w:vAlign w:val="center"/>
          </w:tcPr>
          <w:p w14:paraId="1EC42D02">
            <w:pPr>
              <w:pStyle w:val="13"/>
              <w:jc w:val="both"/>
              <w:rPr>
                <w:kern w:val="0"/>
              </w:rPr>
            </w:pPr>
            <w:r>
              <w:t>生产环境数据迁移</w:t>
            </w:r>
          </w:p>
        </w:tc>
      </w:tr>
      <w:tr w14:paraId="5C8D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4871935">
            <w:pPr>
              <w:pStyle w:val="13"/>
              <w:rPr>
                <w:kern w:val="0"/>
              </w:rPr>
            </w:pPr>
            <w:r>
              <w:t>12</w:t>
            </w:r>
          </w:p>
        </w:tc>
        <w:tc>
          <w:tcPr>
            <w:tcW w:w="743" w:type="pct"/>
            <w:vMerge w:val="continue"/>
            <w:vAlign w:val="center"/>
          </w:tcPr>
          <w:p w14:paraId="49DB44FA">
            <w:pPr>
              <w:pStyle w:val="13"/>
              <w:rPr>
                <w:kern w:val="0"/>
              </w:rPr>
            </w:pPr>
          </w:p>
        </w:tc>
        <w:tc>
          <w:tcPr>
            <w:tcW w:w="3745" w:type="pct"/>
            <w:vAlign w:val="center"/>
          </w:tcPr>
          <w:p w14:paraId="4D6A8918">
            <w:pPr>
              <w:pStyle w:val="13"/>
              <w:jc w:val="both"/>
              <w:rPr>
                <w:kern w:val="0"/>
              </w:rPr>
            </w:pPr>
            <w:r>
              <w:t>发布验证</w:t>
            </w:r>
          </w:p>
        </w:tc>
      </w:tr>
      <w:tr w14:paraId="1C4F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5CADEF2F">
            <w:pPr>
              <w:pStyle w:val="13"/>
              <w:rPr>
                <w:kern w:val="0"/>
              </w:rPr>
            </w:pPr>
            <w:r>
              <w:t>13</w:t>
            </w:r>
          </w:p>
        </w:tc>
        <w:tc>
          <w:tcPr>
            <w:tcW w:w="743" w:type="pct"/>
            <w:vMerge w:val="continue"/>
            <w:vAlign w:val="center"/>
          </w:tcPr>
          <w:p w14:paraId="28440630">
            <w:pPr>
              <w:pStyle w:val="13"/>
              <w:rPr>
                <w:kern w:val="0"/>
              </w:rPr>
            </w:pPr>
          </w:p>
        </w:tc>
        <w:tc>
          <w:tcPr>
            <w:tcW w:w="3745" w:type="pct"/>
            <w:vAlign w:val="center"/>
          </w:tcPr>
          <w:p w14:paraId="08EA5C36">
            <w:pPr>
              <w:pStyle w:val="13"/>
              <w:jc w:val="both"/>
              <w:rPr>
                <w:kern w:val="0"/>
              </w:rPr>
            </w:pPr>
            <w:r>
              <w:t>访问负载入口替换</w:t>
            </w:r>
          </w:p>
        </w:tc>
      </w:tr>
    </w:tbl>
    <w:p w14:paraId="64B840F4">
      <w:pPr>
        <w:pStyle w:val="2"/>
        <w:numPr>
          <w:ilvl w:val="0"/>
          <w:numId w:val="1"/>
        </w:numPr>
        <w:bidi w:val="0"/>
        <w:rPr>
          <w:rFonts w:hint="eastAsia"/>
          <w:b/>
          <w:lang w:val="en-US" w:eastAsia="zh-CN"/>
        </w:rPr>
      </w:pPr>
      <w:r>
        <w:rPr>
          <w:rFonts w:hint="eastAsia"/>
          <w:b/>
          <w:lang w:val="en-US" w:eastAsia="zh-CN"/>
        </w:rPr>
        <w:t>当前云资源清单</w:t>
      </w:r>
    </w:p>
    <w:p w14:paraId="6C289A42">
      <w:pPr>
        <w:rPr>
          <w:rFonts w:hint="eastAsia"/>
          <w:b/>
          <w:lang w:val="en-US" w:eastAsia="zh-CN"/>
        </w:rPr>
      </w:pPr>
    </w:p>
    <w:p w14:paraId="03215D00">
      <w:pPr>
        <w:pStyle w:val="5"/>
      </w:pPr>
      <w:r>
        <w:rPr>
          <w:rFonts w:hint="eastAsia"/>
        </w:rPr>
        <w:t>云服务器CVM清单</w:t>
      </w:r>
    </w:p>
    <w:tbl>
      <w:tblPr>
        <w:tblStyle w:val="9"/>
        <w:tblW w:w="8431" w:type="dxa"/>
        <w:jc w:val="center"/>
        <w:tblLayout w:type="fixed"/>
        <w:tblCellMar>
          <w:top w:w="15" w:type="dxa"/>
          <w:left w:w="15" w:type="dxa"/>
          <w:bottom w:w="15" w:type="dxa"/>
          <w:right w:w="15" w:type="dxa"/>
        </w:tblCellMar>
      </w:tblPr>
      <w:tblGrid>
        <w:gridCol w:w="872"/>
        <w:gridCol w:w="1371"/>
        <w:gridCol w:w="1078"/>
        <w:gridCol w:w="3332"/>
        <w:gridCol w:w="1778"/>
      </w:tblGrid>
      <w:tr w14:paraId="581F8ECB">
        <w:tblPrEx>
          <w:tblCellMar>
            <w:top w:w="15" w:type="dxa"/>
            <w:left w:w="15" w:type="dxa"/>
            <w:bottom w:w="15" w:type="dxa"/>
            <w:right w:w="15" w:type="dxa"/>
          </w:tblCellMar>
        </w:tblPrEx>
        <w:trPr>
          <w:trHeight w:val="0" w:hRule="atLeast"/>
          <w:tblHeader/>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EBD1BC6">
            <w:pPr>
              <w:pStyle w:val="13"/>
              <w:snapToGrid w:val="0"/>
              <w:ind w:left="0" w:leftChars="0" w:right="0" w:rightChars="0" w:firstLine="0" w:firstLineChars="0"/>
              <w:jc w:val="center"/>
              <w:rPr>
                <w:b/>
              </w:rPr>
            </w:pPr>
            <w:r>
              <w:rPr>
                <w:rFonts w:hint="eastAsia"/>
                <w:b/>
              </w:rPr>
              <w:t>序号</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710EEA3F">
            <w:pPr>
              <w:pStyle w:val="13"/>
              <w:snapToGrid w:val="0"/>
              <w:ind w:left="0" w:leftChars="0" w:right="0" w:rightChars="0" w:firstLine="0" w:firstLineChars="0"/>
              <w:jc w:val="center"/>
              <w:rPr>
                <w:b/>
              </w:rPr>
            </w:pPr>
            <w:r>
              <w:rPr>
                <w:rFonts w:hint="eastAsia"/>
                <w:b/>
              </w:rPr>
              <w:t>业务系统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24E90D8F">
            <w:pPr>
              <w:pStyle w:val="13"/>
              <w:snapToGrid w:val="0"/>
              <w:ind w:left="0" w:leftChars="0" w:right="0" w:rightChars="0" w:firstLine="0" w:firstLineChars="0"/>
              <w:jc w:val="center"/>
              <w:rPr>
                <w:b/>
              </w:rPr>
            </w:pPr>
            <w:r>
              <w:rPr>
                <w:rFonts w:hint="eastAsia"/>
                <w:b/>
              </w:rPr>
              <w:t>所在位置</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01B2B4AC">
            <w:pPr>
              <w:pStyle w:val="13"/>
              <w:snapToGrid w:val="0"/>
              <w:ind w:left="0" w:leftChars="0" w:right="0" w:rightChars="0" w:firstLine="0" w:firstLineChars="0"/>
              <w:jc w:val="center"/>
              <w:rPr>
                <w:b/>
              </w:rPr>
            </w:pPr>
            <w:r>
              <w:rPr>
                <w:rFonts w:hint="eastAsia"/>
                <w:b/>
              </w:rPr>
              <w:t>实例名称</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96313F1">
            <w:pPr>
              <w:pStyle w:val="13"/>
              <w:snapToGrid w:val="0"/>
              <w:ind w:left="0" w:leftChars="0" w:right="0" w:rightChars="0" w:firstLine="0" w:firstLineChars="0"/>
              <w:jc w:val="center"/>
              <w:rPr>
                <w:b/>
              </w:rPr>
            </w:pPr>
            <w:r>
              <w:rPr>
                <w:rFonts w:hint="eastAsia"/>
                <w:b/>
              </w:rPr>
              <w:t>操作系统</w:t>
            </w:r>
          </w:p>
        </w:tc>
      </w:tr>
      <w:tr w14:paraId="71BEFB30">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6590404C">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46FB0353">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4737A88B">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56D6D1D3">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合同服务中心-合同智能审核node-生产-14-132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168D7D0">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243E7200">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5B3E2B30">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41F4116E">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06E5869A">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1901853D">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合同服务中心-合同智能审核node-生产-14-242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E60F0DE">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4FAD4799">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513DB91">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4E9F6F9B">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591EBAE6">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350B6BF5">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合同服务中心-合同智能审核node-生产-17-222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77AE96F9">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254BF76C">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2EC58F5D">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56C40679">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4D8E9FD7">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E632261">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合同服务中心-合同智能审核node-生产-72-214</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65E4AA8D">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0865C049">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64F26693">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25ED4F8A">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76B7C6BB">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1F13AAC0">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合同服务中心-文件处理转换服务-生产-17-22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4D05871">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39740F01">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640938AA">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76DAD31">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4899515C">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549829AF">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合同服务中心-文件处理转换服务-生产-17-55</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E1AFE16">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3B4B906B">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7039159C">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DFFFD98">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5C77E5CD">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299DA770">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合同服务中心-应用-生产-14-163</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27101CB8">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76EC21E0">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421D217">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0C36F5AD">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2C50A207">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0FD068A3">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合同服务中心-应用-生产-14-20</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FDA71B1">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5F70DB89">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7A679B4">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9A111BB">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1E0E8A9D">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1053C2A9">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合同服务中心-在线文档服务-生产-14-143</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63E720E6">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739B3AB6">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68945EA">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8708766">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1D2D64C7">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1C65332A">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合同服务中心-在线文档服务-生产-14-202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630B40F7">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45E3B50E">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0E16C874">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EACF971">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10824ED6">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52B425AD">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合同服务中心-合同智能审核node-预生产-10-115</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523656D">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4CE90AC6">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037B3609">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767FE69">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51400D54">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3B5FD48B">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合同服务中心-合同智能审核node-预生产-10-127</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A3AC870">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24F814CF">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9B5DDB7">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273B3B68">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2EB83017">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7413E1BF">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合同服务中心-合同智能审核node-预生产-10-64</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4C63FA6">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446FCA06">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2BE69812">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263673FD">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7B8584CE">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00CCE79C">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合同服务中心-文件处理转换服务-预生产-14-70</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959D7CB">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065CC903">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AB66B77">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7B695B46">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220B8CA2">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53FD9C4B">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合同服务中心-应用-预生产-14-119</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8A663D5">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0FE864FD">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070FF736">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DC218BE">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0AB59B21">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48D9EBCE">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合同服务中心-应用-预生产-14-124</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D47F5A8">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0F9C5346">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50530FEE">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5AAC9D0B">
            <w:pPr>
              <w:pStyle w:val="13"/>
              <w:snapToGrid w:val="0"/>
              <w:ind w:left="0" w:leftChars="0" w:right="0" w:rightChars="0" w:firstLine="0" w:firstLineChars="0"/>
              <w:jc w:val="center"/>
              <w:rPr>
                <w:rFonts w:ascii="Times New Roman" w:eastAsia="宋体"/>
                <w:sz w:val="21"/>
              </w:rPr>
            </w:pPr>
            <w:r>
              <w:rPr>
                <w:rFonts w:hint="eastAsia" w:ascii="Times New Roman" w:eastAsia="宋体"/>
                <w:sz w:val="21"/>
              </w:rPr>
              <w:t>合同服务中心</w:t>
            </w:r>
          </w:p>
        </w:tc>
        <w:tc>
          <w:tcPr>
            <w:tcW w:w="1078" w:type="dxa"/>
            <w:tcBorders>
              <w:top w:val="single" w:color="000000" w:sz="4" w:space="0"/>
              <w:left w:val="single" w:color="000000" w:sz="4" w:space="0"/>
              <w:bottom w:val="single" w:color="000000" w:sz="4" w:space="0"/>
              <w:right w:val="single" w:color="000000" w:sz="4" w:space="0"/>
            </w:tcBorders>
            <w:vAlign w:val="center"/>
          </w:tcPr>
          <w:p w14:paraId="29665501">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0880786F">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合同服务中心-在线文档服务-预生产-14-95</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F1526CF">
            <w:pPr>
              <w:pStyle w:val="13"/>
              <w:snapToGrid w:val="0"/>
              <w:ind w:left="0" w:leftChars="0" w:right="0" w:rightChars="0" w:firstLine="0" w:firstLineChars="0"/>
              <w:jc w:val="left"/>
              <w:rPr>
                <w:rFonts w:ascii="Times New Roman" w:eastAsia="宋体"/>
                <w:sz w:val="21"/>
              </w:rPr>
            </w:pPr>
            <w:r>
              <w:rPr>
                <w:rFonts w:hint="eastAsia" w:ascii="Times New Roman" w:eastAsia="宋体"/>
                <w:sz w:val="21"/>
              </w:rPr>
              <w:t>CentOS 7.6 64位</w:t>
            </w:r>
          </w:p>
        </w:tc>
      </w:tr>
      <w:tr w14:paraId="72BC8C75">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03F7750">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BE5A208">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1D67EE14">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42CB9083">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产品服务管理-2.0系统后台应用-生产-17-218</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29F9CDF">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72CFC6F4">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0B474B6F">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0D815886">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7230D333">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4FBD7F3E">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产品服务管理-2.0系统后台应用-生产-17-246</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61047E32">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4C0E9361">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719331B8">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DD2FB3E">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44A6FC49">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3E113996">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产品服务管理-2.0系统前端-生产-0-134</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1901915">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2A61F5EB">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7A66B7E">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45D108DF">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3327DA47">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D1FC3CB">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产品服务管理-2.0系统前端-生产-0-81</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DF299E5">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52A29904">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9CE613D">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979E51C">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06C637B4">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314D483A">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产品服务管理-多租户产品服务后台-生产-17-42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7309970B">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4891AE6B">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0A0FCB16">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D46F408">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0F14FA19">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7D0CE0E5">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产品服务管理-多租户产品服务后台-生产-17-50</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23C0913">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5AB6323D">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7AAA721B">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5AA0C04">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4242D268">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059160E">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产品服务管理-2.0系统前端-预生产-10-130</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36DA2B6">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4FBEB0D9">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43B67CAC">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72114294">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35999790">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7C371A4B">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产品服务管理-多租户产品服务后端服务-预生产-6-133</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472F7D27">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54D98C28">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4D5E99AD">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F5EC0A2">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7F51B29C">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30141C82">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产品服务管理-多租户产品服务后端服务-预生产-6-26</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641767E3">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4F08A192">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51BDDB7F">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576CFCF5">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7B975352">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1A296DF">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产品服务管理-后端服务-预生产-2-39</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C4D470D">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5D5B8A9C">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7EF84DA2">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0D79D546">
            <w:pPr>
              <w:pStyle w:val="13"/>
              <w:snapToGrid w:val="0"/>
              <w:ind w:left="0" w:leftChars="0" w:right="0" w:rightChars="0" w:firstLine="0" w:firstLineChars="0"/>
              <w:jc w:val="center"/>
              <w:rPr>
                <w:rFonts w:ascii="Times New Roman" w:eastAsia="宋体"/>
                <w:sz w:val="21"/>
              </w:rPr>
            </w:pPr>
            <w:r>
              <w:rPr>
                <w:rFonts w:ascii="Times New Roman" w:eastAsia="宋体"/>
                <w:sz w:val="21"/>
              </w:rPr>
              <w:t>产品服务管理系统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195B5DA8">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789397A8">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产品服务管理-后端服务-预生产-2-44</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79D5F006">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04ED073D">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6A6285D5">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54102FE0">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38F0BBD5">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F505C52">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客户关系-多租户客户关系后台-生产-17-107</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BC9EBBE">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5C2B7643">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9B72E9B">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CBE8B06">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327543DD">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00454F0">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客户关系-多租户客户关系后台-生产-17-60</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20FB8E51">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5647347B">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5AE9D43">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221BD1E">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032FDECB">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3A4C6934">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客户关系-多租户主体库应用-生产-17-208</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3F5D70D">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35836B29">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078FFC2B">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5CA207B6">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23F3EBD3">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0BB6D9E">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客户关系-多租户主体库应用-生产-17-228</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72B2511A">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74D44176">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51A3CB0">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F385EDE">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4152610B">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29C8939D">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客户关系-多租户主体库应用-生产-17-47</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958EAC0">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62E3EAB3">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6DC18056">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7B758F0E">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121D2F15">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44BEE539">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客户关系-多租户主体库应用-生产-17-73</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2147F933">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51922E0E">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61418A97">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8C36EE1">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16695053">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75F09052">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客户关系-外部主体库1-生产-17-91</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ED80C36">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42618412">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5CA45B03">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AB43C00">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0518B7F6">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D3986AC">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客户关系-外部主体库2-生产-17-116</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FAD38EA">
            <w:pPr>
              <w:pStyle w:val="13"/>
              <w:snapToGrid w:val="0"/>
              <w:ind w:left="0" w:leftChars="0" w:right="0" w:rightChars="0" w:firstLine="0" w:firstLineChars="0"/>
              <w:jc w:val="left"/>
              <w:rPr>
                <w:rFonts w:ascii="Times New Roman" w:eastAsia="宋体"/>
                <w:sz w:val="21"/>
              </w:rPr>
            </w:pPr>
            <w:r>
              <w:rPr>
                <w:rFonts w:hint="eastAsia" w:ascii="Times New Roman" w:eastAsia="宋体"/>
                <w:color w:val="000000"/>
                <w:sz w:val="21"/>
                <w:szCs w:val="22"/>
              </w:rPr>
              <w:t>CentOS 7.6 64位</w:t>
            </w:r>
          </w:p>
        </w:tc>
      </w:tr>
      <w:tr w14:paraId="66D619FB">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29583EE9">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383FD04">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0A657ACB">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03A44B21">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客户关系-多租户客户关系后端服务-预生产-6-167</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49BDB3E">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045FA523">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1A9136B8">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43ED95FD">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5A15A801">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0190A6DF">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客户关系-多租户客户关系后端服务-预生产-6-62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46D3F01F">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4711E06A">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23C97833">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0A787C9D">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56AE5DC6">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66276560">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客户关系-外部主体库1-预生产-6-13</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D33DE89">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415C3ADD">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0FEDC39">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56AE7889">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04B66D73">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47ECE7BF">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客户关系-外部主体库2-预生产-6-5</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816356E">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60AB62FD">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6B41F654">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0C36FA80">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4CC5D9AD">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418F717D">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客户关系-主体库应用2-预生产-6-3</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7689A73">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5E9C1F56">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EE687D0">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1512886">
            <w:pPr>
              <w:pStyle w:val="13"/>
              <w:snapToGrid w:val="0"/>
              <w:ind w:left="0" w:leftChars="0" w:right="0" w:rightChars="0" w:firstLine="0" w:firstLineChars="0"/>
              <w:jc w:val="center"/>
              <w:rPr>
                <w:rFonts w:ascii="Times New Roman" w:eastAsia="宋体"/>
                <w:sz w:val="21"/>
              </w:rPr>
            </w:pPr>
            <w:r>
              <w:rPr>
                <w:rFonts w:ascii="Times New Roman" w:eastAsia="宋体"/>
                <w:sz w:val="21"/>
              </w:rPr>
              <w:t>客户关系管理系统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288E710E">
            <w:pPr>
              <w:pStyle w:val="13"/>
              <w:snapToGrid w:val="0"/>
              <w:ind w:left="0" w:leftChars="0" w:right="0" w:rightChars="0" w:firstLine="0" w:firstLineChars="0"/>
              <w:jc w:val="center"/>
              <w:rPr>
                <w:rFonts w:hint="eastAsia" w:ascii="Times New Roman" w:eastAsia="宋体"/>
                <w:sz w:val="21"/>
                <w:lang w:eastAsia="zh-CN"/>
              </w:rPr>
            </w:pPr>
            <w:r>
              <w:rPr>
                <w:rFonts w:hint="eastAsia" w:ascii="Times New Roman" w:eastAsia="宋体"/>
                <w:sz w:val="21"/>
                <w:lang w:eastAsia="zh-CN"/>
              </w:rPr>
              <w:t>公有云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4AF9EBF5">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客户关系-主体库应用2-预生产-6-4</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121A1740">
            <w:pPr>
              <w:pStyle w:val="13"/>
              <w:snapToGrid w:val="0"/>
              <w:ind w:left="0" w:leftChars="0" w:right="0" w:rightChars="0" w:firstLine="0" w:firstLineChars="0"/>
              <w:jc w:val="left"/>
              <w:rPr>
                <w:rFonts w:ascii="Times New Roman" w:eastAsia="宋体"/>
                <w:color w:val="000000"/>
                <w:sz w:val="21"/>
                <w:szCs w:val="22"/>
              </w:rPr>
            </w:pPr>
            <w:r>
              <w:rPr>
                <w:rFonts w:hint="eastAsia" w:ascii="Times New Roman" w:eastAsia="宋体"/>
                <w:color w:val="000000"/>
                <w:sz w:val="21"/>
                <w:szCs w:val="22"/>
              </w:rPr>
              <w:t>CentOS 7.6 64位</w:t>
            </w:r>
          </w:p>
        </w:tc>
      </w:tr>
      <w:tr w14:paraId="03AEB67E">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0AFDDBF9">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975FE56">
            <w:pPr>
              <w:pStyle w:val="13"/>
              <w:snapToGrid w:val="0"/>
              <w:ind w:left="0" w:leftChars="0" w:right="0" w:rightChars="0" w:firstLine="0" w:firstLineChars="0"/>
              <w:jc w:val="center"/>
              <w:rPr>
                <w:rFonts w:ascii="Times New Roman" w:eastAsia="宋体"/>
                <w:color w:val="auto"/>
                <w:sz w:val="21"/>
              </w:rPr>
            </w:pPr>
            <w:r>
              <w:rPr>
                <w:rFonts w:ascii="Times New Roman" w:eastAsia="宋体"/>
                <w:color w:val="auto"/>
                <w:sz w:val="21"/>
              </w:rPr>
              <w:t>灾备系统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6E11FE97">
            <w:pPr>
              <w:pStyle w:val="13"/>
              <w:snapToGrid w:val="0"/>
              <w:ind w:left="0" w:leftChars="0" w:right="0" w:rightChars="0" w:firstLine="0" w:firstLineChars="0"/>
              <w:jc w:val="center"/>
              <w:rPr>
                <w:rFonts w:ascii="Times New Roman" w:eastAsia="宋体"/>
                <w:color w:val="auto"/>
                <w:sz w:val="21"/>
              </w:rPr>
            </w:pPr>
            <w:r>
              <w:rPr>
                <w:rFonts w:hint="eastAsia" w:ascii="Times New Roman" w:eastAsia="宋体"/>
                <w:color w:val="auto"/>
                <w:sz w:val="21"/>
              </w:rPr>
              <w:t>私有云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10C359E0">
            <w:pPr>
              <w:pStyle w:val="13"/>
              <w:snapToGrid w:val="0"/>
              <w:ind w:left="0" w:leftChars="0" w:right="0" w:rightChars="0" w:firstLine="0" w:firstLineChars="0"/>
              <w:jc w:val="left"/>
              <w:rPr>
                <w:rFonts w:hint="eastAsia" w:ascii="Times New Roman" w:eastAsia="宋体"/>
                <w:sz w:val="21"/>
                <w:lang w:val="en-US" w:eastAsia="zh-CN"/>
              </w:rPr>
            </w:pPr>
            <w:r>
              <w:rPr>
                <w:rFonts w:hint="eastAsia" w:ascii="Times New Roman" w:eastAsia="宋体"/>
                <w:sz w:val="21"/>
                <w:lang w:val="en-US" w:eastAsia="zh-CN"/>
              </w:rPr>
              <w:t>略</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41C53021">
            <w:pPr>
              <w:pStyle w:val="13"/>
              <w:snapToGrid w:val="0"/>
              <w:ind w:left="0" w:leftChars="0" w:right="0" w:rightChars="0" w:firstLine="0" w:firstLineChars="0"/>
              <w:jc w:val="left"/>
              <w:rPr>
                <w:rFonts w:hint="eastAsia" w:ascii="Times New Roman" w:eastAsia="宋体"/>
                <w:sz w:val="21"/>
                <w:lang w:val="en-US" w:eastAsia="zh-CN"/>
              </w:rPr>
            </w:pPr>
            <w:r>
              <w:rPr>
                <w:rFonts w:hint="eastAsia" w:ascii="Times New Roman" w:eastAsia="宋体"/>
                <w:sz w:val="21"/>
              </w:rPr>
              <w:t>CentOS 7.</w:t>
            </w:r>
            <w:r>
              <w:rPr>
                <w:rFonts w:hint="eastAsia"/>
                <w:sz w:val="21"/>
                <w:lang w:val="en-US" w:eastAsia="zh-CN"/>
              </w:rPr>
              <w:t>9</w:t>
            </w:r>
          </w:p>
        </w:tc>
      </w:tr>
      <w:tr w14:paraId="6D5ED2B8">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448A5DB8">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62F4431">
            <w:pPr>
              <w:pStyle w:val="13"/>
              <w:snapToGrid w:val="0"/>
              <w:ind w:left="0" w:leftChars="0" w:right="0" w:rightChars="0" w:firstLine="0" w:firstLineChars="0"/>
              <w:jc w:val="center"/>
              <w:rPr>
                <w:rFonts w:ascii="Times New Roman" w:eastAsia="宋体"/>
                <w:color w:val="auto"/>
                <w:sz w:val="21"/>
              </w:rPr>
            </w:pPr>
            <w:r>
              <w:rPr>
                <w:rFonts w:ascii="Times New Roman" w:eastAsia="宋体"/>
                <w:color w:val="auto"/>
                <w:sz w:val="21"/>
              </w:rPr>
              <w:t>灾备系统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30AB902D">
            <w:pPr>
              <w:pStyle w:val="13"/>
              <w:snapToGrid w:val="0"/>
              <w:ind w:left="0" w:leftChars="0" w:right="0" w:rightChars="0" w:firstLine="0" w:firstLineChars="0"/>
              <w:jc w:val="center"/>
              <w:rPr>
                <w:rFonts w:ascii="Times New Roman" w:eastAsia="宋体"/>
                <w:color w:val="auto"/>
                <w:sz w:val="21"/>
              </w:rPr>
            </w:pPr>
            <w:r>
              <w:rPr>
                <w:rFonts w:hint="eastAsia" w:ascii="Times New Roman" w:eastAsia="宋体"/>
                <w:color w:val="auto"/>
                <w:sz w:val="21"/>
              </w:rPr>
              <w:t>私有云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29EBF908">
            <w:pPr>
              <w:snapToGrid w:val="0"/>
              <w:ind w:left="0" w:leftChars="0" w:right="0" w:rightChars="0" w:firstLine="0" w:firstLineChars="0"/>
              <w:jc w:val="left"/>
              <w:rPr>
                <w:rFonts w:ascii="Times New Roman" w:eastAsia="宋体"/>
                <w:sz w:val="21"/>
              </w:rPr>
            </w:pPr>
            <w:r>
              <w:rPr>
                <w:rFonts w:hint="eastAsia" w:ascii="Times New Roman" w:eastAsia="宋体"/>
                <w:sz w:val="21"/>
                <w:lang w:val="en-US" w:eastAsia="zh-CN"/>
              </w:rPr>
              <w:t>略</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07C22EB6">
            <w:pPr>
              <w:snapToGrid w:val="0"/>
              <w:ind w:left="0" w:leftChars="0" w:right="0" w:rightChars="0" w:firstLine="0" w:firstLineChars="0"/>
              <w:jc w:val="left"/>
              <w:rPr>
                <w:rFonts w:ascii="Times New Roman" w:eastAsia="宋体"/>
                <w:sz w:val="21"/>
              </w:rPr>
            </w:pPr>
            <w:r>
              <w:rPr>
                <w:rFonts w:hint="eastAsia" w:ascii="Times New Roman" w:eastAsia="宋体"/>
                <w:sz w:val="21"/>
              </w:rPr>
              <w:t>CentOS 7.</w:t>
            </w:r>
            <w:r>
              <w:rPr>
                <w:rFonts w:hint="eastAsia"/>
                <w:sz w:val="21"/>
                <w:lang w:val="en-US" w:eastAsia="zh-CN"/>
              </w:rPr>
              <w:t>9</w:t>
            </w:r>
          </w:p>
        </w:tc>
      </w:tr>
      <w:tr w14:paraId="1DFF1A1F">
        <w:tblPrEx>
          <w:tblCellMar>
            <w:top w:w="15" w:type="dxa"/>
            <w:left w:w="15" w:type="dxa"/>
            <w:bottom w:w="15" w:type="dxa"/>
            <w:right w:w="15" w:type="dxa"/>
          </w:tblCellMar>
        </w:tblPrEx>
        <w:trPr>
          <w:trHeight w:val="0" w:hRule="atLeast"/>
          <w:jc w:val="center"/>
        </w:trPr>
        <w:tc>
          <w:tcPr>
            <w:tcW w:w="872" w:type="dxa"/>
            <w:tcBorders>
              <w:top w:val="single" w:color="000000" w:sz="4" w:space="0"/>
              <w:left w:val="single" w:color="000000" w:sz="4" w:space="0"/>
              <w:bottom w:val="single" w:color="000000" w:sz="4" w:space="0"/>
              <w:right w:val="single" w:color="000000" w:sz="4" w:space="0"/>
            </w:tcBorders>
            <w:vAlign w:val="center"/>
          </w:tcPr>
          <w:p w14:paraId="3AC1EEE3">
            <w:pPr>
              <w:pStyle w:val="13"/>
              <w:numPr>
                <w:ilvl w:val="0"/>
                <w:numId w:val="2"/>
              </w:numPr>
              <w:snapToGrid w:val="0"/>
              <w:ind w:left="0" w:leftChars="0" w:right="0" w:rightChars="0" w:firstLine="0" w:firstLineChars="0"/>
              <w:jc w:val="center"/>
              <w:rPr>
                <w:rFonts w:ascii="Times New Roman" w:eastAsia="宋体"/>
                <w:sz w:val="21"/>
              </w:rPr>
            </w:pP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F06BF8C">
            <w:pPr>
              <w:pStyle w:val="13"/>
              <w:snapToGrid w:val="0"/>
              <w:ind w:left="0" w:leftChars="0" w:right="0" w:rightChars="0" w:firstLine="0" w:firstLineChars="0"/>
              <w:jc w:val="center"/>
              <w:rPr>
                <w:rFonts w:ascii="Times New Roman" w:eastAsia="宋体"/>
                <w:color w:val="auto"/>
                <w:sz w:val="21"/>
              </w:rPr>
            </w:pPr>
            <w:r>
              <w:rPr>
                <w:rFonts w:ascii="Times New Roman" w:eastAsia="宋体"/>
                <w:color w:val="auto"/>
                <w:sz w:val="21"/>
              </w:rPr>
              <w:t>灾备系统</w:t>
            </w:r>
          </w:p>
        </w:tc>
        <w:tc>
          <w:tcPr>
            <w:tcW w:w="1078" w:type="dxa"/>
            <w:tcBorders>
              <w:top w:val="single" w:color="000000" w:sz="4" w:space="0"/>
              <w:left w:val="single" w:color="000000" w:sz="4" w:space="0"/>
              <w:bottom w:val="single" w:color="000000" w:sz="4" w:space="0"/>
              <w:right w:val="single" w:color="000000" w:sz="4" w:space="0"/>
            </w:tcBorders>
            <w:vAlign w:val="center"/>
          </w:tcPr>
          <w:p w14:paraId="34CC9B9F">
            <w:pPr>
              <w:pStyle w:val="13"/>
              <w:snapToGrid w:val="0"/>
              <w:ind w:left="0" w:leftChars="0" w:right="0" w:rightChars="0" w:firstLine="0" w:firstLineChars="0"/>
              <w:jc w:val="center"/>
              <w:rPr>
                <w:rFonts w:ascii="Times New Roman" w:eastAsia="宋体"/>
                <w:color w:val="auto"/>
                <w:sz w:val="21"/>
              </w:rPr>
            </w:pPr>
            <w:r>
              <w:rPr>
                <w:rFonts w:hint="eastAsia" w:ascii="Times New Roman" w:eastAsia="宋体"/>
                <w:color w:val="auto"/>
                <w:sz w:val="21"/>
              </w:rPr>
              <w:t>私有云</w:t>
            </w:r>
          </w:p>
        </w:tc>
        <w:tc>
          <w:tcPr>
            <w:tcW w:w="3332" w:type="dxa"/>
            <w:tcBorders>
              <w:top w:val="single" w:color="000000" w:sz="4" w:space="0"/>
              <w:left w:val="single" w:color="000000" w:sz="4" w:space="0"/>
              <w:bottom w:val="single" w:color="000000" w:sz="4" w:space="0"/>
              <w:right w:val="single" w:color="000000" w:sz="4" w:space="0"/>
            </w:tcBorders>
            <w:noWrap/>
            <w:vAlign w:val="center"/>
          </w:tcPr>
          <w:p w14:paraId="3CD10A07">
            <w:pPr>
              <w:snapToGrid w:val="0"/>
              <w:ind w:left="0" w:leftChars="0" w:right="0" w:rightChars="0" w:firstLine="0" w:firstLineChars="0"/>
              <w:jc w:val="left"/>
              <w:rPr>
                <w:rFonts w:ascii="Times New Roman" w:eastAsia="宋体"/>
                <w:sz w:val="21"/>
              </w:rPr>
            </w:pPr>
            <w:r>
              <w:rPr>
                <w:rFonts w:hint="eastAsia" w:ascii="Times New Roman" w:eastAsia="宋体"/>
                <w:sz w:val="21"/>
                <w:lang w:val="en-US" w:eastAsia="zh-CN"/>
              </w:rPr>
              <w:t>略</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6832D4A">
            <w:pPr>
              <w:snapToGrid w:val="0"/>
              <w:ind w:left="0" w:leftChars="0" w:right="0" w:rightChars="0" w:firstLine="0" w:firstLineChars="0"/>
              <w:jc w:val="left"/>
              <w:rPr>
                <w:rFonts w:ascii="Times New Roman" w:eastAsia="宋体"/>
                <w:sz w:val="21"/>
              </w:rPr>
            </w:pPr>
            <w:r>
              <w:rPr>
                <w:rFonts w:hint="eastAsia" w:ascii="Times New Roman" w:eastAsia="宋体"/>
                <w:sz w:val="21"/>
              </w:rPr>
              <w:t>CentOS 7.</w:t>
            </w:r>
            <w:r>
              <w:rPr>
                <w:rFonts w:hint="eastAsia"/>
                <w:sz w:val="21"/>
                <w:lang w:val="en-US" w:eastAsia="zh-CN"/>
              </w:rPr>
              <w:t>9</w:t>
            </w:r>
          </w:p>
        </w:tc>
      </w:tr>
    </w:tbl>
    <w:p w14:paraId="0BC720BC">
      <w:pPr>
        <w:ind w:firstLine="0" w:firstLineChars="0"/>
      </w:pPr>
    </w:p>
    <w:p w14:paraId="15B2AB48">
      <w:pPr>
        <w:pStyle w:val="5"/>
      </w:pPr>
      <w:r>
        <w:rPr>
          <w:rFonts w:hint="eastAsia"/>
        </w:rPr>
        <w:t>云缓存REDIS清单</w:t>
      </w:r>
    </w:p>
    <w:tbl>
      <w:tblPr>
        <w:tblStyle w:val="9"/>
        <w:tblW w:w="8775" w:type="dxa"/>
        <w:jc w:val="center"/>
        <w:tblLayout w:type="fixed"/>
        <w:tblCellMar>
          <w:top w:w="15" w:type="dxa"/>
          <w:left w:w="15" w:type="dxa"/>
          <w:bottom w:w="15" w:type="dxa"/>
          <w:right w:w="15" w:type="dxa"/>
        </w:tblCellMar>
      </w:tblPr>
      <w:tblGrid>
        <w:gridCol w:w="701"/>
        <w:gridCol w:w="1925"/>
        <w:gridCol w:w="1025"/>
        <w:gridCol w:w="2994"/>
        <w:gridCol w:w="2130"/>
      </w:tblGrid>
      <w:tr w14:paraId="631CF708">
        <w:tblPrEx>
          <w:tblCellMar>
            <w:top w:w="15" w:type="dxa"/>
            <w:left w:w="15" w:type="dxa"/>
            <w:bottom w:w="15" w:type="dxa"/>
            <w:right w:w="15" w:type="dxa"/>
          </w:tblCellMar>
        </w:tblPrEx>
        <w:trPr>
          <w:trHeight w:val="360" w:hRule="atLeast"/>
          <w:tblHeader/>
          <w:jc w:val="center"/>
        </w:trPr>
        <w:tc>
          <w:tcPr>
            <w:tcW w:w="701" w:type="dxa"/>
            <w:tcBorders>
              <w:top w:val="single" w:color="000000" w:sz="4" w:space="0"/>
              <w:left w:val="single" w:color="000000" w:sz="4" w:space="0"/>
              <w:bottom w:val="single" w:color="000000" w:sz="4" w:space="0"/>
              <w:right w:val="single" w:color="000000" w:sz="4" w:space="0"/>
            </w:tcBorders>
            <w:vAlign w:val="center"/>
          </w:tcPr>
          <w:p w14:paraId="3777A40D">
            <w:pPr>
              <w:spacing w:line="240" w:lineRule="auto"/>
              <w:ind w:firstLine="0" w:firstLineChars="0"/>
              <w:jc w:val="center"/>
              <w:rPr>
                <w:sz w:val="21"/>
                <w:szCs w:val="21"/>
              </w:rPr>
            </w:pPr>
            <w:r>
              <w:rPr>
                <w:rFonts w:hint="eastAsia"/>
                <w:sz w:val="21"/>
                <w:szCs w:val="21"/>
              </w:rPr>
              <w:t>序号</w:t>
            </w:r>
          </w:p>
        </w:tc>
        <w:tc>
          <w:tcPr>
            <w:tcW w:w="1925" w:type="dxa"/>
            <w:tcBorders>
              <w:top w:val="single" w:color="000000" w:sz="4" w:space="0"/>
              <w:left w:val="single" w:color="000000" w:sz="4" w:space="0"/>
              <w:bottom w:val="single" w:color="000000" w:sz="4" w:space="0"/>
              <w:right w:val="single" w:color="000000" w:sz="4" w:space="0"/>
            </w:tcBorders>
            <w:noWrap/>
            <w:vAlign w:val="center"/>
          </w:tcPr>
          <w:p w14:paraId="58B4608D">
            <w:pPr>
              <w:spacing w:line="240" w:lineRule="auto"/>
              <w:ind w:firstLine="0" w:firstLineChars="0"/>
              <w:jc w:val="center"/>
              <w:rPr>
                <w:sz w:val="21"/>
                <w:szCs w:val="21"/>
              </w:rPr>
            </w:pPr>
            <w:r>
              <w:rPr>
                <w:rFonts w:hint="eastAsia"/>
                <w:sz w:val="21"/>
                <w:szCs w:val="21"/>
              </w:rPr>
              <w:t>业务系统</w:t>
            </w:r>
          </w:p>
        </w:tc>
        <w:tc>
          <w:tcPr>
            <w:tcW w:w="1025" w:type="dxa"/>
            <w:tcBorders>
              <w:top w:val="single" w:color="000000" w:sz="4" w:space="0"/>
              <w:left w:val="single" w:color="000000" w:sz="4" w:space="0"/>
              <w:bottom w:val="single" w:color="000000" w:sz="4" w:space="0"/>
              <w:right w:val="single" w:color="000000" w:sz="4" w:space="0"/>
            </w:tcBorders>
            <w:vAlign w:val="center"/>
          </w:tcPr>
          <w:p w14:paraId="37E92B0A">
            <w:pPr>
              <w:spacing w:line="240" w:lineRule="auto"/>
              <w:ind w:firstLine="0" w:firstLineChars="0"/>
              <w:jc w:val="center"/>
              <w:rPr>
                <w:sz w:val="21"/>
                <w:szCs w:val="21"/>
              </w:rPr>
            </w:pPr>
            <w:r>
              <w:rPr>
                <w:rFonts w:hint="eastAsia"/>
                <w:sz w:val="21"/>
                <w:szCs w:val="21"/>
              </w:rPr>
              <w:t>所在环境</w:t>
            </w:r>
          </w:p>
        </w:tc>
        <w:tc>
          <w:tcPr>
            <w:tcW w:w="2994" w:type="dxa"/>
            <w:tcBorders>
              <w:top w:val="single" w:color="000000" w:sz="4" w:space="0"/>
              <w:left w:val="single" w:color="000000" w:sz="4" w:space="0"/>
              <w:bottom w:val="single" w:color="000000" w:sz="4" w:space="0"/>
              <w:right w:val="single" w:color="000000" w:sz="4" w:space="0"/>
            </w:tcBorders>
            <w:noWrap/>
            <w:vAlign w:val="center"/>
          </w:tcPr>
          <w:p w14:paraId="4524F504">
            <w:pPr>
              <w:spacing w:line="240" w:lineRule="auto"/>
              <w:ind w:firstLine="0" w:firstLineChars="0"/>
              <w:jc w:val="center"/>
              <w:rPr>
                <w:sz w:val="21"/>
                <w:szCs w:val="21"/>
              </w:rPr>
            </w:pPr>
            <w:r>
              <w:rPr>
                <w:rFonts w:hint="eastAsia"/>
                <w:sz w:val="21"/>
                <w:szCs w:val="21"/>
              </w:rPr>
              <w:t>实例名称</w:t>
            </w: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6F87CC31">
            <w:pPr>
              <w:spacing w:line="240" w:lineRule="auto"/>
              <w:ind w:firstLine="0" w:firstLineChars="0"/>
              <w:jc w:val="center"/>
              <w:rPr>
                <w:sz w:val="21"/>
                <w:szCs w:val="21"/>
              </w:rPr>
            </w:pPr>
            <w:r>
              <w:rPr>
                <w:rFonts w:hint="eastAsia"/>
                <w:sz w:val="21"/>
                <w:szCs w:val="21"/>
              </w:rPr>
              <w:t>数据库版本</w:t>
            </w:r>
          </w:p>
        </w:tc>
      </w:tr>
      <w:tr w14:paraId="48A72F1F">
        <w:tblPrEx>
          <w:tblCellMar>
            <w:top w:w="15" w:type="dxa"/>
            <w:left w:w="15" w:type="dxa"/>
            <w:bottom w:w="15" w:type="dxa"/>
            <w:right w:w="15" w:type="dxa"/>
          </w:tblCellMar>
        </w:tblPrEx>
        <w:trPr>
          <w:trHeight w:val="36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14:paraId="5DB3C370">
            <w:pPr>
              <w:pStyle w:val="14"/>
              <w:numPr>
                <w:ilvl w:val="0"/>
                <w:numId w:val="3"/>
              </w:numPr>
              <w:spacing w:line="240" w:lineRule="auto"/>
              <w:ind w:firstLineChars="0"/>
              <w:jc w:val="center"/>
              <w:rPr>
                <w:sz w:val="21"/>
                <w:szCs w:val="21"/>
              </w:rPr>
            </w:pPr>
          </w:p>
        </w:tc>
        <w:tc>
          <w:tcPr>
            <w:tcW w:w="1925" w:type="dxa"/>
            <w:tcBorders>
              <w:top w:val="single" w:color="000000" w:sz="4" w:space="0"/>
              <w:left w:val="single" w:color="000000" w:sz="4" w:space="0"/>
              <w:bottom w:val="single" w:color="000000" w:sz="4" w:space="0"/>
              <w:right w:val="single" w:color="000000" w:sz="4" w:space="0"/>
            </w:tcBorders>
            <w:noWrap/>
            <w:vAlign w:val="center"/>
          </w:tcPr>
          <w:p w14:paraId="7755C25A">
            <w:pPr>
              <w:spacing w:line="240" w:lineRule="auto"/>
              <w:ind w:firstLine="0" w:firstLineChars="0"/>
              <w:jc w:val="center"/>
              <w:rPr>
                <w:sz w:val="21"/>
                <w:szCs w:val="21"/>
              </w:rPr>
            </w:pPr>
            <w:r>
              <w:rPr>
                <w:rFonts w:hint="eastAsia"/>
                <w:sz w:val="21"/>
                <w:szCs w:val="21"/>
              </w:rPr>
              <w:t>合同服务中心</w:t>
            </w:r>
          </w:p>
        </w:tc>
        <w:tc>
          <w:tcPr>
            <w:tcW w:w="1025" w:type="dxa"/>
            <w:tcBorders>
              <w:top w:val="single" w:color="000000" w:sz="4" w:space="0"/>
              <w:left w:val="single" w:color="000000" w:sz="4" w:space="0"/>
              <w:bottom w:val="single" w:color="000000" w:sz="4" w:space="0"/>
              <w:right w:val="single" w:color="000000" w:sz="4" w:space="0"/>
            </w:tcBorders>
            <w:vAlign w:val="center"/>
          </w:tcPr>
          <w:p w14:paraId="6C302E2E">
            <w:pPr>
              <w:spacing w:line="240" w:lineRule="auto"/>
              <w:ind w:firstLine="0" w:firstLineChars="0"/>
              <w:jc w:val="center"/>
              <w:rPr>
                <w:rFonts w:hint="eastAsia" w:eastAsia="宋体"/>
                <w:sz w:val="21"/>
                <w:szCs w:val="21"/>
                <w:lang w:eastAsia="zh-CN"/>
              </w:rPr>
            </w:pPr>
            <w:r>
              <w:rPr>
                <w:rFonts w:hint="eastAsia"/>
                <w:sz w:val="21"/>
                <w:szCs w:val="21"/>
                <w:lang w:eastAsia="zh-CN"/>
              </w:rPr>
              <w:t>公有云</w:t>
            </w:r>
          </w:p>
        </w:tc>
        <w:tc>
          <w:tcPr>
            <w:tcW w:w="2994" w:type="dxa"/>
            <w:tcBorders>
              <w:top w:val="single" w:color="000000" w:sz="4" w:space="0"/>
              <w:left w:val="single" w:color="000000" w:sz="4" w:space="0"/>
              <w:bottom w:val="single" w:color="000000" w:sz="4" w:space="0"/>
              <w:right w:val="single" w:color="000000" w:sz="4" w:space="0"/>
            </w:tcBorders>
            <w:noWrap/>
            <w:vAlign w:val="center"/>
          </w:tcPr>
          <w:p w14:paraId="00D9BFE4">
            <w:pPr>
              <w:spacing w:line="240" w:lineRule="auto"/>
              <w:ind w:firstLine="0" w:firstLineChars="0"/>
              <w:jc w:val="center"/>
              <w:rPr>
                <w:sz w:val="21"/>
                <w:szCs w:val="21"/>
              </w:rPr>
            </w:pPr>
            <w:r>
              <w:rPr>
                <w:rFonts w:hint="eastAsia"/>
                <w:sz w:val="21"/>
                <w:szCs w:val="21"/>
              </w:rPr>
              <w:t>合同服务中心-缓存-生产</w:t>
            </w: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1350C95F">
            <w:pPr>
              <w:spacing w:line="240" w:lineRule="auto"/>
              <w:ind w:firstLine="0" w:firstLineChars="0"/>
              <w:jc w:val="center"/>
              <w:rPr>
                <w:sz w:val="21"/>
                <w:szCs w:val="21"/>
              </w:rPr>
            </w:pPr>
            <w:r>
              <w:rPr>
                <w:rFonts w:hint="eastAsia"/>
                <w:sz w:val="21"/>
                <w:szCs w:val="21"/>
              </w:rPr>
              <w:t>Redis 5.0标准架构</w:t>
            </w:r>
          </w:p>
        </w:tc>
      </w:tr>
      <w:tr w14:paraId="27D6A1DA">
        <w:tblPrEx>
          <w:tblCellMar>
            <w:top w:w="15" w:type="dxa"/>
            <w:left w:w="15" w:type="dxa"/>
            <w:bottom w:w="15" w:type="dxa"/>
            <w:right w:w="15" w:type="dxa"/>
          </w:tblCellMar>
        </w:tblPrEx>
        <w:trPr>
          <w:trHeight w:val="36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14:paraId="349F02DD">
            <w:pPr>
              <w:pStyle w:val="14"/>
              <w:numPr>
                <w:ilvl w:val="0"/>
                <w:numId w:val="3"/>
              </w:numPr>
              <w:spacing w:line="240" w:lineRule="auto"/>
              <w:ind w:firstLineChars="0"/>
              <w:jc w:val="center"/>
              <w:rPr>
                <w:sz w:val="21"/>
                <w:szCs w:val="21"/>
              </w:rPr>
            </w:pPr>
          </w:p>
        </w:tc>
        <w:tc>
          <w:tcPr>
            <w:tcW w:w="1925" w:type="dxa"/>
            <w:tcBorders>
              <w:top w:val="single" w:color="000000" w:sz="4" w:space="0"/>
              <w:left w:val="single" w:color="000000" w:sz="4" w:space="0"/>
              <w:bottom w:val="single" w:color="000000" w:sz="4" w:space="0"/>
              <w:right w:val="single" w:color="000000" w:sz="4" w:space="0"/>
            </w:tcBorders>
            <w:noWrap/>
            <w:vAlign w:val="center"/>
          </w:tcPr>
          <w:p w14:paraId="461821A1">
            <w:pPr>
              <w:spacing w:line="240" w:lineRule="auto"/>
              <w:ind w:firstLine="0" w:firstLineChars="0"/>
              <w:jc w:val="center"/>
              <w:rPr>
                <w:sz w:val="21"/>
                <w:szCs w:val="21"/>
              </w:rPr>
            </w:pPr>
            <w:r>
              <w:rPr>
                <w:sz w:val="21"/>
                <w:szCs w:val="21"/>
              </w:rPr>
              <w:t>产品服务管理系统</w:t>
            </w:r>
          </w:p>
        </w:tc>
        <w:tc>
          <w:tcPr>
            <w:tcW w:w="1025" w:type="dxa"/>
            <w:vMerge w:val="restart"/>
            <w:tcBorders>
              <w:top w:val="single" w:color="000000" w:sz="4" w:space="0"/>
              <w:left w:val="single" w:color="000000" w:sz="4" w:space="0"/>
              <w:right w:val="single" w:color="000000" w:sz="4" w:space="0"/>
            </w:tcBorders>
            <w:vAlign w:val="center"/>
          </w:tcPr>
          <w:p w14:paraId="5750CAF7">
            <w:pPr>
              <w:spacing w:line="240" w:lineRule="auto"/>
              <w:ind w:firstLine="0" w:firstLineChars="0"/>
              <w:jc w:val="center"/>
              <w:rPr>
                <w:rFonts w:hint="eastAsia" w:eastAsia="宋体"/>
                <w:sz w:val="21"/>
                <w:szCs w:val="21"/>
                <w:lang w:eastAsia="zh-CN"/>
              </w:rPr>
            </w:pPr>
            <w:r>
              <w:rPr>
                <w:rFonts w:hint="eastAsia"/>
                <w:sz w:val="21"/>
                <w:szCs w:val="21"/>
                <w:lang w:eastAsia="zh-CN"/>
              </w:rPr>
              <w:t>公有云</w:t>
            </w:r>
          </w:p>
        </w:tc>
        <w:tc>
          <w:tcPr>
            <w:tcW w:w="2994" w:type="dxa"/>
            <w:vMerge w:val="restart"/>
            <w:tcBorders>
              <w:top w:val="single" w:color="000000" w:sz="4" w:space="0"/>
              <w:left w:val="single" w:color="000000" w:sz="4" w:space="0"/>
              <w:right w:val="single" w:color="000000" w:sz="4" w:space="0"/>
            </w:tcBorders>
            <w:noWrap/>
            <w:vAlign w:val="center"/>
          </w:tcPr>
          <w:p w14:paraId="403AD0B4">
            <w:pPr>
              <w:spacing w:line="240" w:lineRule="auto"/>
              <w:ind w:firstLine="0" w:firstLineChars="0"/>
              <w:jc w:val="center"/>
              <w:rPr>
                <w:sz w:val="21"/>
                <w:szCs w:val="21"/>
              </w:rPr>
            </w:pPr>
            <w:r>
              <w:rPr>
                <w:rFonts w:hint="eastAsia"/>
                <w:sz w:val="21"/>
                <w:szCs w:val="21"/>
              </w:rPr>
              <w:t>技术平台-多租户低代码开发平台_客户关系_产品管理_渠道服务_阳光租赁_重大资源-生产</w:t>
            </w:r>
          </w:p>
        </w:tc>
        <w:tc>
          <w:tcPr>
            <w:tcW w:w="2130" w:type="dxa"/>
            <w:vMerge w:val="restart"/>
            <w:tcBorders>
              <w:top w:val="single" w:color="000000" w:sz="4" w:space="0"/>
              <w:left w:val="single" w:color="000000" w:sz="4" w:space="0"/>
              <w:right w:val="single" w:color="000000" w:sz="4" w:space="0"/>
            </w:tcBorders>
            <w:noWrap/>
            <w:vAlign w:val="center"/>
          </w:tcPr>
          <w:p w14:paraId="67CDF0E8">
            <w:pPr>
              <w:spacing w:line="240" w:lineRule="auto"/>
              <w:ind w:firstLine="0" w:firstLineChars="0"/>
              <w:jc w:val="center"/>
              <w:rPr>
                <w:sz w:val="21"/>
                <w:szCs w:val="21"/>
              </w:rPr>
            </w:pPr>
            <w:r>
              <w:rPr>
                <w:rFonts w:hint="eastAsia"/>
                <w:sz w:val="21"/>
                <w:szCs w:val="21"/>
              </w:rPr>
              <w:t>Redis 5.0标准架构</w:t>
            </w:r>
          </w:p>
        </w:tc>
      </w:tr>
      <w:tr w14:paraId="0D0CBCFC">
        <w:tblPrEx>
          <w:tblCellMar>
            <w:top w:w="15" w:type="dxa"/>
            <w:left w:w="15" w:type="dxa"/>
            <w:bottom w:w="15" w:type="dxa"/>
            <w:right w:w="15" w:type="dxa"/>
          </w:tblCellMar>
        </w:tblPrEx>
        <w:trPr>
          <w:trHeight w:val="36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14:paraId="7F82060C">
            <w:pPr>
              <w:pStyle w:val="14"/>
              <w:numPr>
                <w:ilvl w:val="0"/>
                <w:numId w:val="3"/>
              </w:numPr>
              <w:spacing w:line="240" w:lineRule="auto"/>
              <w:ind w:firstLineChars="0"/>
              <w:jc w:val="center"/>
              <w:rPr>
                <w:sz w:val="21"/>
                <w:szCs w:val="21"/>
              </w:rPr>
            </w:pPr>
          </w:p>
        </w:tc>
        <w:tc>
          <w:tcPr>
            <w:tcW w:w="1925" w:type="dxa"/>
            <w:tcBorders>
              <w:top w:val="single" w:color="000000" w:sz="4" w:space="0"/>
              <w:left w:val="single" w:color="000000" w:sz="4" w:space="0"/>
              <w:bottom w:val="single" w:color="000000" w:sz="4" w:space="0"/>
              <w:right w:val="single" w:color="000000" w:sz="4" w:space="0"/>
            </w:tcBorders>
            <w:noWrap/>
            <w:vAlign w:val="center"/>
          </w:tcPr>
          <w:p w14:paraId="4EB5DAB9">
            <w:pPr>
              <w:spacing w:line="240" w:lineRule="auto"/>
              <w:ind w:firstLine="0" w:firstLineChars="0"/>
              <w:jc w:val="center"/>
              <w:rPr>
                <w:sz w:val="21"/>
                <w:szCs w:val="21"/>
              </w:rPr>
            </w:pPr>
            <w:r>
              <w:rPr>
                <w:sz w:val="21"/>
                <w:szCs w:val="21"/>
              </w:rPr>
              <w:t>客户关系管理系统</w:t>
            </w:r>
          </w:p>
        </w:tc>
        <w:tc>
          <w:tcPr>
            <w:tcW w:w="1025" w:type="dxa"/>
            <w:vMerge w:val="continue"/>
            <w:tcBorders>
              <w:left w:val="single" w:color="000000" w:sz="4" w:space="0"/>
              <w:bottom w:val="single" w:color="000000" w:sz="4" w:space="0"/>
              <w:right w:val="single" w:color="000000" w:sz="4" w:space="0"/>
            </w:tcBorders>
            <w:vAlign w:val="center"/>
          </w:tcPr>
          <w:p w14:paraId="60DBB860">
            <w:pPr>
              <w:spacing w:line="240" w:lineRule="auto"/>
              <w:ind w:firstLine="0" w:firstLineChars="0"/>
              <w:jc w:val="center"/>
              <w:rPr>
                <w:sz w:val="21"/>
                <w:szCs w:val="21"/>
              </w:rPr>
            </w:pPr>
          </w:p>
        </w:tc>
        <w:tc>
          <w:tcPr>
            <w:tcW w:w="2994" w:type="dxa"/>
            <w:vMerge w:val="continue"/>
            <w:tcBorders>
              <w:left w:val="single" w:color="000000" w:sz="4" w:space="0"/>
              <w:bottom w:val="single" w:color="000000" w:sz="4" w:space="0"/>
              <w:right w:val="single" w:color="000000" w:sz="4" w:space="0"/>
            </w:tcBorders>
            <w:noWrap/>
            <w:vAlign w:val="center"/>
          </w:tcPr>
          <w:p w14:paraId="47CB1171">
            <w:pPr>
              <w:spacing w:line="240" w:lineRule="auto"/>
              <w:ind w:firstLine="0" w:firstLineChars="0"/>
              <w:jc w:val="center"/>
              <w:rPr>
                <w:sz w:val="21"/>
                <w:szCs w:val="21"/>
              </w:rPr>
            </w:pPr>
          </w:p>
        </w:tc>
        <w:tc>
          <w:tcPr>
            <w:tcW w:w="2130" w:type="dxa"/>
            <w:vMerge w:val="continue"/>
            <w:tcBorders>
              <w:left w:val="single" w:color="000000" w:sz="4" w:space="0"/>
              <w:bottom w:val="single" w:color="000000" w:sz="4" w:space="0"/>
              <w:right w:val="single" w:color="000000" w:sz="4" w:space="0"/>
            </w:tcBorders>
            <w:noWrap/>
            <w:vAlign w:val="center"/>
          </w:tcPr>
          <w:p w14:paraId="683A0830">
            <w:pPr>
              <w:spacing w:line="240" w:lineRule="auto"/>
              <w:ind w:firstLine="0" w:firstLineChars="0"/>
              <w:jc w:val="center"/>
              <w:rPr>
                <w:sz w:val="21"/>
                <w:szCs w:val="21"/>
              </w:rPr>
            </w:pPr>
          </w:p>
        </w:tc>
      </w:tr>
      <w:tr w14:paraId="4B3B2947">
        <w:tblPrEx>
          <w:tblCellMar>
            <w:top w:w="15" w:type="dxa"/>
            <w:left w:w="15" w:type="dxa"/>
            <w:bottom w:w="15" w:type="dxa"/>
            <w:right w:w="15" w:type="dxa"/>
          </w:tblCellMar>
        </w:tblPrEx>
        <w:trPr>
          <w:trHeight w:val="36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14:paraId="610797EC">
            <w:pPr>
              <w:pStyle w:val="14"/>
              <w:numPr>
                <w:ilvl w:val="0"/>
                <w:numId w:val="3"/>
              </w:numPr>
              <w:spacing w:line="240" w:lineRule="auto"/>
              <w:ind w:firstLineChars="0"/>
              <w:jc w:val="center"/>
              <w:rPr>
                <w:sz w:val="21"/>
                <w:szCs w:val="21"/>
              </w:rPr>
            </w:pPr>
          </w:p>
        </w:tc>
        <w:tc>
          <w:tcPr>
            <w:tcW w:w="1925" w:type="dxa"/>
            <w:tcBorders>
              <w:top w:val="single" w:color="000000" w:sz="4" w:space="0"/>
              <w:left w:val="single" w:color="000000" w:sz="4" w:space="0"/>
              <w:bottom w:val="single" w:color="000000" w:sz="4" w:space="0"/>
              <w:right w:val="single" w:color="000000" w:sz="4" w:space="0"/>
            </w:tcBorders>
            <w:noWrap/>
            <w:vAlign w:val="center"/>
          </w:tcPr>
          <w:p w14:paraId="10983C76">
            <w:pPr>
              <w:spacing w:line="240" w:lineRule="auto"/>
              <w:ind w:firstLine="0" w:firstLineChars="0"/>
              <w:jc w:val="center"/>
              <w:rPr>
                <w:color w:val="auto"/>
                <w:sz w:val="21"/>
                <w:szCs w:val="21"/>
              </w:rPr>
            </w:pPr>
            <w:r>
              <w:rPr>
                <w:color w:val="auto"/>
                <w:sz w:val="21"/>
                <w:szCs w:val="21"/>
              </w:rPr>
              <w:t>灾备系统</w:t>
            </w:r>
          </w:p>
        </w:tc>
        <w:tc>
          <w:tcPr>
            <w:tcW w:w="1025" w:type="dxa"/>
            <w:tcBorders>
              <w:top w:val="single" w:color="000000" w:sz="4" w:space="0"/>
              <w:left w:val="single" w:color="000000" w:sz="4" w:space="0"/>
              <w:bottom w:val="single" w:color="000000" w:sz="4" w:space="0"/>
              <w:right w:val="single" w:color="000000" w:sz="4" w:space="0"/>
            </w:tcBorders>
            <w:vAlign w:val="center"/>
          </w:tcPr>
          <w:p w14:paraId="40E02DAD">
            <w:pPr>
              <w:spacing w:line="240" w:lineRule="auto"/>
              <w:ind w:firstLine="0" w:firstLineChars="0"/>
              <w:jc w:val="center"/>
              <w:rPr>
                <w:color w:val="auto"/>
                <w:sz w:val="21"/>
                <w:szCs w:val="21"/>
              </w:rPr>
            </w:pPr>
            <w:r>
              <w:rPr>
                <w:rFonts w:hint="eastAsia"/>
                <w:color w:val="auto"/>
                <w:sz w:val="21"/>
                <w:szCs w:val="21"/>
              </w:rPr>
              <w:t>私有云</w:t>
            </w:r>
          </w:p>
        </w:tc>
        <w:tc>
          <w:tcPr>
            <w:tcW w:w="2994" w:type="dxa"/>
            <w:tcBorders>
              <w:top w:val="single" w:color="000000" w:sz="4" w:space="0"/>
              <w:left w:val="single" w:color="000000" w:sz="4" w:space="0"/>
              <w:bottom w:val="single" w:color="000000" w:sz="4" w:space="0"/>
              <w:right w:val="single" w:color="000000" w:sz="4" w:space="0"/>
            </w:tcBorders>
            <w:noWrap/>
            <w:vAlign w:val="center"/>
          </w:tcPr>
          <w:p w14:paraId="10065A5F">
            <w:pPr>
              <w:spacing w:line="240" w:lineRule="auto"/>
              <w:ind w:firstLine="0" w:firstLineChars="0"/>
              <w:jc w:val="center"/>
              <w:rPr>
                <w:rFonts w:hint="eastAsia" w:eastAsia="宋体"/>
                <w:color w:val="auto"/>
                <w:sz w:val="21"/>
                <w:szCs w:val="21"/>
                <w:lang w:val="en-US" w:eastAsia="zh-CN"/>
              </w:rPr>
            </w:pPr>
            <w:r>
              <w:rPr>
                <w:rFonts w:hint="eastAsia"/>
                <w:color w:val="auto"/>
                <w:sz w:val="21"/>
                <w:szCs w:val="21"/>
                <w:lang w:val="en-US" w:eastAsia="zh-CN"/>
              </w:rPr>
              <w:t>略</w:t>
            </w: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71E68E47">
            <w:pPr>
              <w:spacing w:line="240" w:lineRule="auto"/>
              <w:ind w:firstLine="0" w:firstLineChars="0"/>
              <w:jc w:val="center"/>
              <w:rPr>
                <w:sz w:val="21"/>
                <w:szCs w:val="21"/>
              </w:rPr>
            </w:pPr>
            <w:r>
              <w:rPr>
                <w:rFonts w:hint="eastAsia"/>
                <w:sz w:val="21"/>
                <w:szCs w:val="21"/>
              </w:rPr>
              <w:t>MySQL</w:t>
            </w:r>
          </w:p>
        </w:tc>
      </w:tr>
    </w:tbl>
    <w:p w14:paraId="356BA802">
      <w:pPr>
        <w:ind w:firstLine="0" w:firstLineChars="0"/>
      </w:pPr>
    </w:p>
    <w:p w14:paraId="63144F55">
      <w:pPr>
        <w:pStyle w:val="5"/>
        <w:ind w:firstLine="480"/>
      </w:pPr>
      <w:r>
        <w:rPr>
          <w:rFonts w:hint="eastAsia"/>
        </w:rPr>
        <w:t>数据库清单</w:t>
      </w:r>
    </w:p>
    <w:tbl>
      <w:tblPr>
        <w:tblStyle w:val="9"/>
        <w:tblW w:w="8827" w:type="dxa"/>
        <w:jc w:val="center"/>
        <w:tblLayout w:type="fixed"/>
        <w:tblCellMar>
          <w:top w:w="15" w:type="dxa"/>
          <w:left w:w="15" w:type="dxa"/>
          <w:bottom w:w="15" w:type="dxa"/>
          <w:right w:w="15" w:type="dxa"/>
        </w:tblCellMar>
      </w:tblPr>
      <w:tblGrid>
        <w:gridCol w:w="693"/>
        <w:gridCol w:w="1960"/>
        <w:gridCol w:w="1031"/>
        <w:gridCol w:w="3043"/>
        <w:gridCol w:w="2100"/>
      </w:tblGrid>
      <w:tr w14:paraId="344DB9E2">
        <w:tblPrEx>
          <w:tblCellMar>
            <w:top w:w="15" w:type="dxa"/>
            <w:left w:w="15" w:type="dxa"/>
            <w:bottom w:w="15" w:type="dxa"/>
            <w:right w:w="15" w:type="dxa"/>
          </w:tblCellMar>
        </w:tblPrEx>
        <w:trPr>
          <w:trHeight w:val="360" w:hRule="atLeast"/>
          <w:tblHeader/>
          <w:jc w:val="center"/>
        </w:trPr>
        <w:tc>
          <w:tcPr>
            <w:tcW w:w="693" w:type="dxa"/>
            <w:tcBorders>
              <w:top w:val="single" w:color="000000" w:sz="4" w:space="0"/>
              <w:left w:val="single" w:color="000000" w:sz="4" w:space="0"/>
              <w:bottom w:val="single" w:color="000000" w:sz="4" w:space="0"/>
              <w:right w:val="single" w:color="000000" w:sz="4" w:space="0"/>
            </w:tcBorders>
            <w:vAlign w:val="center"/>
          </w:tcPr>
          <w:p w14:paraId="671098DE">
            <w:pPr>
              <w:spacing w:line="240" w:lineRule="auto"/>
              <w:ind w:firstLine="0" w:firstLineChars="0"/>
              <w:jc w:val="center"/>
              <w:rPr>
                <w:sz w:val="21"/>
                <w:szCs w:val="21"/>
              </w:rPr>
            </w:pPr>
            <w:r>
              <w:rPr>
                <w:rFonts w:hint="eastAsia"/>
                <w:sz w:val="21"/>
                <w:szCs w:val="21"/>
              </w:rPr>
              <w:t>序号</w:t>
            </w: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1466D914">
            <w:pPr>
              <w:spacing w:line="240" w:lineRule="auto"/>
              <w:ind w:firstLine="0" w:firstLineChars="0"/>
              <w:jc w:val="center"/>
              <w:rPr>
                <w:sz w:val="21"/>
                <w:szCs w:val="21"/>
              </w:rPr>
            </w:pPr>
            <w:r>
              <w:rPr>
                <w:rFonts w:hint="eastAsia"/>
                <w:sz w:val="21"/>
                <w:szCs w:val="21"/>
              </w:rPr>
              <w:t>业务系统</w:t>
            </w:r>
          </w:p>
        </w:tc>
        <w:tc>
          <w:tcPr>
            <w:tcW w:w="1031" w:type="dxa"/>
            <w:tcBorders>
              <w:top w:val="single" w:color="000000" w:sz="4" w:space="0"/>
              <w:left w:val="single" w:color="000000" w:sz="4" w:space="0"/>
              <w:bottom w:val="single" w:color="000000" w:sz="4" w:space="0"/>
              <w:right w:val="single" w:color="000000" w:sz="4" w:space="0"/>
            </w:tcBorders>
            <w:vAlign w:val="center"/>
          </w:tcPr>
          <w:p w14:paraId="5AF0165C">
            <w:pPr>
              <w:spacing w:line="240" w:lineRule="auto"/>
              <w:ind w:firstLine="0" w:firstLineChars="0"/>
              <w:jc w:val="center"/>
              <w:rPr>
                <w:sz w:val="21"/>
                <w:szCs w:val="21"/>
              </w:rPr>
            </w:pPr>
            <w:r>
              <w:rPr>
                <w:rFonts w:hint="eastAsia"/>
                <w:sz w:val="21"/>
                <w:szCs w:val="21"/>
              </w:rPr>
              <w:t>所在环境</w:t>
            </w:r>
          </w:p>
        </w:tc>
        <w:tc>
          <w:tcPr>
            <w:tcW w:w="3043" w:type="dxa"/>
            <w:tcBorders>
              <w:top w:val="single" w:color="000000" w:sz="4" w:space="0"/>
              <w:left w:val="single" w:color="000000" w:sz="4" w:space="0"/>
              <w:bottom w:val="single" w:color="000000" w:sz="4" w:space="0"/>
              <w:right w:val="single" w:color="000000" w:sz="4" w:space="0"/>
            </w:tcBorders>
            <w:noWrap/>
            <w:vAlign w:val="center"/>
          </w:tcPr>
          <w:p w14:paraId="01C2B958">
            <w:pPr>
              <w:spacing w:line="240" w:lineRule="auto"/>
              <w:ind w:firstLine="0" w:firstLineChars="0"/>
              <w:jc w:val="center"/>
              <w:rPr>
                <w:sz w:val="21"/>
                <w:szCs w:val="21"/>
              </w:rPr>
            </w:pPr>
            <w:r>
              <w:rPr>
                <w:rFonts w:hint="eastAsia"/>
                <w:sz w:val="21"/>
                <w:szCs w:val="21"/>
              </w:rPr>
              <w:t>实例名称</w:t>
            </w: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4AB3F731">
            <w:pPr>
              <w:spacing w:line="240" w:lineRule="auto"/>
              <w:ind w:firstLine="0" w:firstLineChars="0"/>
              <w:jc w:val="center"/>
              <w:rPr>
                <w:sz w:val="21"/>
                <w:szCs w:val="21"/>
              </w:rPr>
            </w:pPr>
            <w:r>
              <w:rPr>
                <w:rFonts w:hint="eastAsia"/>
                <w:sz w:val="21"/>
                <w:szCs w:val="21"/>
              </w:rPr>
              <w:t>数据库版本</w:t>
            </w:r>
          </w:p>
        </w:tc>
      </w:tr>
      <w:tr w14:paraId="40387D22">
        <w:tblPrEx>
          <w:tblCellMar>
            <w:top w:w="15" w:type="dxa"/>
            <w:left w:w="15" w:type="dxa"/>
            <w:bottom w:w="15" w:type="dxa"/>
            <w:right w:w="15" w:type="dxa"/>
          </w:tblCellMar>
        </w:tblPrEx>
        <w:trPr>
          <w:trHeight w:val="360" w:hRule="atLeast"/>
          <w:jc w:val="center"/>
        </w:trPr>
        <w:tc>
          <w:tcPr>
            <w:tcW w:w="693" w:type="dxa"/>
            <w:tcBorders>
              <w:top w:val="single" w:color="000000" w:sz="4" w:space="0"/>
              <w:left w:val="single" w:color="000000" w:sz="4" w:space="0"/>
              <w:bottom w:val="single" w:color="000000" w:sz="4" w:space="0"/>
              <w:right w:val="single" w:color="000000" w:sz="4" w:space="0"/>
            </w:tcBorders>
            <w:vAlign w:val="center"/>
          </w:tcPr>
          <w:p w14:paraId="59099729">
            <w:pPr>
              <w:pStyle w:val="14"/>
              <w:numPr>
                <w:ilvl w:val="0"/>
                <w:numId w:val="4"/>
              </w:numPr>
              <w:spacing w:line="240" w:lineRule="auto"/>
              <w:ind w:firstLineChars="0"/>
              <w:jc w:val="center"/>
              <w:rPr>
                <w:sz w:val="21"/>
                <w:szCs w:val="21"/>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17766B2C">
            <w:pPr>
              <w:spacing w:line="240" w:lineRule="auto"/>
              <w:ind w:firstLine="0" w:firstLineChars="0"/>
              <w:jc w:val="center"/>
              <w:rPr>
                <w:sz w:val="21"/>
                <w:szCs w:val="21"/>
              </w:rPr>
            </w:pPr>
            <w:r>
              <w:rPr>
                <w:rFonts w:hint="eastAsia"/>
                <w:sz w:val="21"/>
                <w:szCs w:val="21"/>
              </w:rPr>
              <w:t>合同服务中心</w:t>
            </w:r>
          </w:p>
        </w:tc>
        <w:tc>
          <w:tcPr>
            <w:tcW w:w="1031" w:type="dxa"/>
            <w:tcBorders>
              <w:top w:val="single" w:color="000000" w:sz="4" w:space="0"/>
              <w:left w:val="single" w:color="000000" w:sz="4" w:space="0"/>
              <w:bottom w:val="single" w:color="000000" w:sz="4" w:space="0"/>
              <w:right w:val="single" w:color="000000" w:sz="4" w:space="0"/>
            </w:tcBorders>
            <w:vAlign w:val="center"/>
          </w:tcPr>
          <w:p w14:paraId="32C9D12D">
            <w:pPr>
              <w:spacing w:line="240" w:lineRule="auto"/>
              <w:ind w:firstLine="0" w:firstLineChars="0"/>
              <w:jc w:val="center"/>
              <w:rPr>
                <w:rFonts w:hint="eastAsia" w:eastAsia="宋体"/>
                <w:sz w:val="21"/>
                <w:szCs w:val="21"/>
                <w:lang w:eastAsia="zh-CN"/>
              </w:rPr>
            </w:pPr>
            <w:r>
              <w:rPr>
                <w:rFonts w:hint="eastAsia"/>
                <w:sz w:val="21"/>
                <w:szCs w:val="21"/>
                <w:lang w:eastAsia="zh-CN"/>
              </w:rPr>
              <w:t>公有云</w:t>
            </w:r>
          </w:p>
        </w:tc>
        <w:tc>
          <w:tcPr>
            <w:tcW w:w="3043" w:type="dxa"/>
            <w:tcBorders>
              <w:top w:val="single" w:color="000000" w:sz="4" w:space="0"/>
              <w:left w:val="single" w:color="000000" w:sz="4" w:space="0"/>
              <w:bottom w:val="single" w:color="000000" w:sz="4" w:space="0"/>
              <w:right w:val="single" w:color="000000" w:sz="4" w:space="0"/>
            </w:tcBorders>
            <w:noWrap/>
            <w:vAlign w:val="center"/>
          </w:tcPr>
          <w:p w14:paraId="67FEC3A7">
            <w:pPr>
              <w:spacing w:line="240" w:lineRule="auto"/>
              <w:ind w:firstLine="0" w:firstLineChars="0"/>
              <w:jc w:val="center"/>
              <w:rPr>
                <w:sz w:val="21"/>
                <w:szCs w:val="21"/>
              </w:rPr>
            </w:pPr>
            <w:r>
              <w:rPr>
                <w:rFonts w:hint="eastAsia"/>
                <w:sz w:val="21"/>
                <w:szCs w:val="21"/>
              </w:rPr>
              <w:t>合同服务中心-数据库-生产</w:t>
            </w: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0FDB8A46">
            <w:pPr>
              <w:spacing w:line="240" w:lineRule="auto"/>
              <w:ind w:firstLine="0" w:firstLineChars="0"/>
              <w:jc w:val="center"/>
              <w:rPr>
                <w:sz w:val="21"/>
                <w:szCs w:val="21"/>
              </w:rPr>
            </w:pPr>
            <w:r>
              <w:rPr>
                <w:rFonts w:hint="eastAsia"/>
                <w:sz w:val="21"/>
                <w:szCs w:val="21"/>
              </w:rPr>
              <w:t>MySQL5.7</w:t>
            </w:r>
          </w:p>
        </w:tc>
      </w:tr>
      <w:tr w14:paraId="1AA85D6E">
        <w:tblPrEx>
          <w:tblCellMar>
            <w:top w:w="15" w:type="dxa"/>
            <w:left w:w="15" w:type="dxa"/>
            <w:bottom w:w="15" w:type="dxa"/>
            <w:right w:w="15" w:type="dxa"/>
          </w:tblCellMar>
        </w:tblPrEx>
        <w:trPr>
          <w:trHeight w:val="360" w:hRule="atLeast"/>
          <w:jc w:val="center"/>
        </w:trPr>
        <w:tc>
          <w:tcPr>
            <w:tcW w:w="693" w:type="dxa"/>
            <w:tcBorders>
              <w:top w:val="single" w:color="000000" w:sz="4" w:space="0"/>
              <w:left w:val="single" w:color="000000" w:sz="4" w:space="0"/>
              <w:bottom w:val="single" w:color="000000" w:sz="4" w:space="0"/>
              <w:right w:val="single" w:color="000000" w:sz="4" w:space="0"/>
            </w:tcBorders>
            <w:vAlign w:val="center"/>
          </w:tcPr>
          <w:p w14:paraId="5D97177A">
            <w:pPr>
              <w:pStyle w:val="14"/>
              <w:numPr>
                <w:ilvl w:val="0"/>
                <w:numId w:val="4"/>
              </w:numPr>
              <w:spacing w:line="240" w:lineRule="auto"/>
              <w:ind w:firstLineChars="0"/>
              <w:jc w:val="center"/>
              <w:rPr>
                <w:sz w:val="21"/>
                <w:szCs w:val="21"/>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6BFFEBD3">
            <w:pPr>
              <w:spacing w:line="240" w:lineRule="auto"/>
              <w:ind w:firstLine="0" w:firstLineChars="0"/>
              <w:jc w:val="center"/>
              <w:rPr>
                <w:sz w:val="21"/>
                <w:szCs w:val="21"/>
              </w:rPr>
            </w:pPr>
            <w:r>
              <w:rPr>
                <w:sz w:val="21"/>
                <w:szCs w:val="21"/>
              </w:rPr>
              <w:t>产品服务管理系统</w:t>
            </w:r>
          </w:p>
        </w:tc>
        <w:tc>
          <w:tcPr>
            <w:tcW w:w="1031" w:type="dxa"/>
            <w:vMerge w:val="restart"/>
            <w:tcBorders>
              <w:top w:val="single" w:color="000000" w:sz="4" w:space="0"/>
              <w:left w:val="single" w:color="000000" w:sz="4" w:space="0"/>
              <w:right w:val="single" w:color="000000" w:sz="4" w:space="0"/>
            </w:tcBorders>
            <w:vAlign w:val="center"/>
          </w:tcPr>
          <w:p w14:paraId="2CA4F769">
            <w:pPr>
              <w:spacing w:line="240" w:lineRule="auto"/>
              <w:ind w:firstLine="0" w:firstLineChars="0"/>
              <w:jc w:val="center"/>
              <w:rPr>
                <w:rFonts w:hint="eastAsia" w:eastAsia="宋体"/>
                <w:sz w:val="21"/>
                <w:szCs w:val="21"/>
                <w:lang w:eastAsia="zh-CN"/>
              </w:rPr>
            </w:pPr>
            <w:r>
              <w:rPr>
                <w:rFonts w:hint="eastAsia"/>
                <w:sz w:val="21"/>
                <w:szCs w:val="21"/>
                <w:lang w:eastAsia="zh-CN"/>
              </w:rPr>
              <w:t>公有云</w:t>
            </w:r>
          </w:p>
        </w:tc>
        <w:tc>
          <w:tcPr>
            <w:tcW w:w="3043" w:type="dxa"/>
            <w:vMerge w:val="restart"/>
            <w:tcBorders>
              <w:top w:val="single" w:color="000000" w:sz="4" w:space="0"/>
              <w:left w:val="single" w:color="000000" w:sz="4" w:space="0"/>
              <w:right w:val="single" w:color="000000" w:sz="4" w:space="0"/>
            </w:tcBorders>
            <w:noWrap/>
            <w:vAlign w:val="center"/>
          </w:tcPr>
          <w:p w14:paraId="6AEA4694">
            <w:pPr>
              <w:spacing w:line="240" w:lineRule="auto"/>
              <w:ind w:firstLine="0" w:firstLineChars="0"/>
              <w:jc w:val="center"/>
              <w:rPr>
                <w:sz w:val="21"/>
                <w:szCs w:val="21"/>
              </w:rPr>
            </w:pPr>
            <w:r>
              <w:rPr>
                <w:rFonts w:hint="eastAsia"/>
                <w:sz w:val="21"/>
                <w:szCs w:val="21"/>
              </w:rPr>
              <w:t>公共服务平台-深圳租户主体库_客户关系_产品管理-生产</w:t>
            </w:r>
          </w:p>
        </w:tc>
        <w:tc>
          <w:tcPr>
            <w:tcW w:w="2100" w:type="dxa"/>
            <w:vMerge w:val="restart"/>
            <w:tcBorders>
              <w:top w:val="single" w:color="000000" w:sz="4" w:space="0"/>
              <w:left w:val="single" w:color="000000" w:sz="4" w:space="0"/>
              <w:right w:val="single" w:color="000000" w:sz="4" w:space="0"/>
            </w:tcBorders>
            <w:noWrap/>
            <w:vAlign w:val="center"/>
          </w:tcPr>
          <w:p w14:paraId="7D51F622">
            <w:pPr>
              <w:spacing w:line="240" w:lineRule="auto"/>
              <w:ind w:firstLine="0" w:firstLineChars="0"/>
              <w:jc w:val="center"/>
              <w:rPr>
                <w:sz w:val="21"/>
                <w:szCs w:val="21"/>
              </w:rPr>
            </w:pPr>
            <w:r>
              <w:rPr>
                <w:rFonts w:hint="eastAsia"/>
                <w:sz w:val="21"/>
                <w:szCs w:val="21"/>
              </w:rPr>
              <w:t>MySQL5.7</w:t>
            </w:r>
          </w:p>
        </w:tc>
      </w:tr>
      <w:tr w14:paraId="0AEAF36F">
        <w:tblPrEx>
          <w:tblCellMar>
            <w:top w:w="15" w:type="dxa"/>
            <w:left w:w="15" w:type="dxa"/>
            <w:bottom w:w="15" w:type="dxa"/>
            <w:right w:w="15" w:type="dxa"/>
          </w:tblCellMar>
        </w:tblPrEx>
        <w:trPr>
          <w:trHeight w:val="360" w:hRule="atLeast"/>
          <w:jc w:val="center"/>
        </w:trPr>
        <w:tc>
          <w:tcPr>
            <w:tcW w:w="693" w:type="dxa"/>
            <w:tcBorders>
              <w:top w:val="single" w:color="000000" w:sz="4" w:space="0"/>
              <w:left w:val="single" w:color="000000" w:sz="4" w:space="0"/>
              <w:bottom w:val="single" w:color="000000" w:sz="4" w:space="0"/>
              <w:right w:val="single" w:color="000000" w:sz="4" w:space="0"/>
            </w:tcBorders>
            <w:vAlign w:val="center"/>
          </w:tcPr>
          <w:p w14:paraId="39BD7609">
            <w:pPr>
              <w:pStyle w:val="14"/>
              <w:numPr>
                <w:ilvl w:val="0"/>
                <w:numId w:val="4"/>
              </w:numPr>
              <w:spacing w:line="240" w:lineRule="auto"/>
              <w:ind w:firstLineChars="0"/>
              <w:jc w:val="center"/>
              <w:rPr>
                <w:sz w:val="21"/>
                <w:szCs w:val="21"/>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0E231142">
            <w:pPr>
              <w:spacing w:line="240" w:lineRule="auto"/>
              <w:ind w:firstLine="0" w:firstLineChars="0"/>
              <w:jc w:val="center"/>
              <w:rPr>
                <w:sz w:val="21"/>
                <w:szCs w:val="21"/>
              </w:rPr>
            </w:pPr>
            <w:r>
              <w:rPr>
                <w:sz w:val="21"/>
                <w:szCs w:val="21"/>
              </w:rPr>
              <w:t>客户关系管理系统</w:t>
            </w:r>
          </w:p>
        </w:tc>
        <w:tc>
          <w:tcPr>
            <w:tcW w:w="1031" w:type="dxa"/>
            <w:vMerge w:val="continue"/>
            <w:tcBorders>
              <w:left w:val="single" w:color="000000" w:sz="4" w:space="0"/>
              <w:right w:val="single" w:color="000000" w:sz="4" w:space="0"/>
            </w:tcBorders>
            <w:vAlign w:val="center"/>
          </w:tcPr>
          <w:p w14:paraId="18701C5E">
            <w:pPr>
              <w:spacing w:line="240" w:lineRule="auto"/>
              <w:ind w:firstLine="0" w:firstLineChars="0"/>
              <w:jc w:val="center"/>
              <w:rPr>
                <w:sz w:val="21"/>
                <w:szCs w:val="21"/>
              </w:rPr>
            </w:pPr>
          </w:p>
        </w:tc>
        <w:tc>
          <w:tcPr>
            <w:tcW w:w="3043" w:type="dxa"/>
            <w:vMerge w:val="continue"/>
            <w:tcBorders>
              <w:left w:val="single" w:color="000000" w:sz="4" w:space="0"/>
              <w:right w:val="single" w:color="000000" w:sz="4" w:space="0"/>
            </w:tcBorders>
            <w:noWrap/>
            <w:vAlign w:val="center"/>
          </w:tcPr>
          <w:p w14:paraId="63EA123C">
            <w:pPr>
              <w:spacing w:line="240" w:lineRule="auto"/>
              <w:ind w:firstLine="0" w:firstLineChars="0"/>
              <w:jc w:val="center"/>
              <w:rPr>
                <w:sz w:val="21"/>
                <w:szCs w:val="21"/>
              </w:rPr>
            </w:pPr>
          </w:p>
        </w:tc>
        <w:tc>
          <w:tcPr>
            <w:tcW w:w="2100" w:type="dxa"/>
            <w:vMerge w:val="continue"/>
            <w:tcBorders>
              <w:left w:val="single" w:color="000000" w:sz="4" w:space="0"/>
              <w:right w:val="single" w:color="000000" w:sz="4" w:space="0"/>
            </w:tcBorders>
            <w:noWrap/>
            <w:vAlign w:val="center"/>
          </w:tcPr>
          <w:p w14:paraId="4014A467">
            <w:pPr>
              <w:spacing w:line="240" w:lineRule="auto"/>
              <w:ind w:firstLine="0" w:firstLineChars="0"/>
              <w:jc w:val="center"/>
              <w:rPr>
                <w:sz w:val="21"/>
                <w:szCs w:val="21"/>
              </w:rPr>
            </w:pPr>
          </w:p>
        </w:tc>
      </w:tr>
      <w:tr w14:paraId="6D2AA53D">
        <w:tblPrEx>
          <w:tblCellMar>
            <w:top w:w="15" w:type="dxa"/>
            <w:left w:w="15" w:type="dxa"/>
            <w:bottom w:w="15" w:type="dxa"/>
            <w:right w:w="15" w:type="dxa"/>
          </w:tblCellMar>
        </w:tblPrEx>
        <w:trPr>
          <w:trHeight w:val="360" w:hRule="atLeast"/>
          <w:jc w:val="center"/>
        </w:trPr>
        <w:tc>
          <w:tcPr>
            <w:tcW w:w="693" w:type="dxa"/>
            <w:tcBorders>
              <w:top w:val="single" w:color="000000" w:sz="4" w:space="0"/>
              <w:left w:val="single" w:color="000000" w:sz="4" w:space="0"/>
              <w:bottom w:val="single" w:color="000000" w:sz="4" w:space="0"/>
              <w:right w:val="single" w:color="000000" w:sz="4" w:space="0"/>
            </w:tcBorders>
            <w:vAlign w:val="center"/>
          </w:tcPr>
          <w:p w14:paraId="515AFEB3">
            <w:pPr>
              <w:pStyle w:val="14"/>
              <w:numPr>
                <w:ilvl w:val="0"/>
                <w:numId w:val="4"/>
              </w:numPr>
              <w:spacing w:line="240" w:lineRule="auto"/>
              <w:ind w:firstLineChars="0"/>
              <w:jc w:val="center"/>
              <w:rPr>
                <w:sz w:val="21"/>
                <w:szCs w:val="21"/>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2C677A58">
            <w:pPr>
              <w:spacing w:line="240" w:lineRule="auto"/>
              <w:ind w:firstLine="0" w:firstLineChars="0"/>
              <w:jc w:val="center"/>
              <w:rPr>
                <w:color w:val="auto"/>
                <w:sz w:val="21"/>
                <w:szCs w:val="21"/>
              </w:rPr>
            </w:pPr>
            <w:r>
              <w:rPr>
                <w:color w:val="auto"/>
                <w:sz w:val="21"/>
                <w:szCs w:val="21"/>
              </w:rPr>
              <w:t>灾备系统</w:t>
            </w:r>
          </w:p>
        </w:tc>
        <w:tc>
          <w:tcPr>
            <w:tcW w:w="1031" w:type="dxa"/>
            <w:tcBorders>
              <w:top w:val="single" w:color="000000" w:sz="4" w:space="0"/>
              <w:left w:val="single" w:color="000000" w:sz="4" w:space="0"/>
              <w:bottom w:val="single" w:color="000000" w:sz="4" w:space="0"/>
              <w:right w:val="single" w:color="000000" w:sz="4" w:space="0"/>
            </w:tcBorders>
            <w:vAlign w:val="center"/>
          </w:tcPr>
          <w:p w14:paraId="4F03B3C4">
            <w:pPr>
              <w:spacing w:line="240" w:lineRule="auto"/>
              <w:ind w:firstLine="0" w:firstLineChars="0"/>
              <w:jc w:val="center"/>
              <w:rPr>
                <w:color w:val="auto"/>
                <w:sz w:val="21"/>
                <w:szCs w:val="21"/>
              </w:rPr>
            </w:pPr>
            <w:r>
              <w:rPr>
                <w:rFonts w:hint="eastAsia"/>
                <w:color w:val="auto"/>
                <w:sz w:val="21"/>
                <w:szCs w:val="21"/>
              </w:rPr>
              <w:t>私有云</w:t>
            </w:r>
          </w:p>
        </w:tc>
        <w:tc>
          <w:tcPr>
            <w:tcW w:w="3043" w:type="dxa"/>
            <w:tcBorders>
              <w:top w:val="single" w:color="000000" w:sz="4" w:space="0"/>
              <w:left w:val="single" w:color="000000" w:sz="4" w:space="0"/>
              <w:bottom w:val="single" w:color="000000" w:sz="4" w:space="0"/>
              <w:right w:val="single" w:color="000000" w:sz="4" w:space="0"/>
            </w:tcBorders>
            <w:noWrap/>
            <w:vAlign w:val="center"/>
          </w:tcPr>
          <w:p w14:paraId="4DABB2ED">
            <w:pPr>
              <w:spacing w:line="240" w:lineRule="auto"/>
              <w:ind w:firstLine="0" w:firstLineChars="0"/>
              <w:jc w:val="center"/>
              <w:rPr>
                <w:color w:val="auto"/>
                <w:sz w:val="21"/>
                <w:szCs w:val="21"/>
              </w:rPr>
            </w:pPr>
            <w:r>
              <w:rPr>
                <w:rFonts w:hint="eastAsia"/>
                <w:color w:val="auto"/>
                <w:sz w:val="21"/>
                <w:szCs w:val="21"/>
                <w:lang w:val="en-US" w:eastAsia="zh-CN"/>
              </w:rPr>
              <w:t>略</w:t>
            </w: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2AB0FED1">
            <w:pPr>
              <w:spacing w:line="240" w:lineRule="auto"/>
              <w:ind w:firstLine="0" w:firstLineChars="0"/>
              <w:jc w:val="center"/>
              <w:rPr>
                <w:color w:val="auto"/>
                <w:sz w:val="21"/>
                <w:szCs w:val="21"/>
              </w:rPr>
            </w:pPr>
            <w:r>
              <w:rPr>
                <w:rFonts w:hint="eastAsia"/>
                <w:sz w:val="21"/>
                <w:szCs w:val="21"/>
              </w:rPr>
              <w:t>MySQL</w:t>
            </w:r>
          </w:p>
        </w:tc>
      </w:tr>
    </w:tbl>
    <w:p w14:paraId="3D49B8D5">
      <w:pPr>
        <w:spacing w:line="360" w:lineRule="auto"/>
        <w:rPr>
          <w:rFonts w:hint="eastAsia" w:asciiTheme="minorEastAsia" w:hAnsiTheme="minorEastAsia" w:eastAsiaTheme="minorEastAsia"/>
          <w:sz w:val="20"/>
        </w:rPr>
      </w:pPr>
    </w:p>
    <w:p w14:paraId="6F35AC1D">
      <w:pPr>
        <w:spacing w:line="360" w:lineRule="auto"/>
        <w:rPr>
          <w:rFonts w:hint="eastAsia" w:asciiTheme="minorEastAsia" w:hAnsiTheme="minorEastAsia" w:eastAsiaTheme="minorEastAsia"/>
          <w:sz w:val="20"/>
        </w:rPr>
      </w:pPr>
    </w:p>
    <w:p w14:paraId="58F75B81">
      <w:pPr>
        <w:pStyle w:val="2"/>
        <w:numPr>
          <w:ilvl w:val="0"/>
          <w:numId w:val="1"/>
        </w:numPr>
        <w:bidi w:val="0"/>
        <w:rPr>
          <w:rFonts w:hint="default"/>
          <w:lang w:val="en-US" w:eastAsia="zh-CN"/>
        </w:rPr>
      </w:pPr>
      <w:r>
        <w:rPr>
          <w:rFonts w:hint="eastAsia"/>
          <w:lang w:val="en-US" w:eastAsia="zh-CN"/>
        </w:rPr>
        <w:t>功能需求</w:t>
      </w:r>
    </w:p>
    <w:p w14:paraId="0376D3C6">
      <w:pPr>
        <w:pStyle w:val="3"/>
        <w:numPr>
          <w:ilvl w:val="1"/>
          <w:numId w:val="0"/>
        </w:numPr>
        <w:ind w:leftChars="0" w:firstLine="560" w:firstLineChars="200"/>
        <w:jc w:val="both"/>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一）</w:t>
      </w:r>
      <w:r>
        <w:rPr>
          <w:rFonts w:hint="eastAsia" w:ascii="楷体_GB2312" w:hAnsi="楷体_GB2312" w:eastAsia="楷体_GB2312" w:cs="楷体_GB2312"/>
          <w:sz w:val="28"/>
          <w:szCs w:val="28"/>
        </w:rPr>
        <w:t>合同服务中心</w:t>
      </w:r>
    </w:p>
    <w:p w14:paraId="68E1A44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3367BB0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2D7E5B0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6376D57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60E7F95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3E565B6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11FD202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36C6AE8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7F21C29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4D32DD0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3355CB4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7D64410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0A207CE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1B6429B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6CA0569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5E27099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1AA8CAB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5876946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5828ABF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2B599CB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6、测试验证</w:t>
      </w:r>
    </w:p>
    <w:p w14:paraId="7FDCCC1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78261AD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（2）合同服务中心调用其他系统测试验证，包括：</w:t>
      </w:r>
    </w:p>
    <w:p w14:paraId="72574F4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AI中控：营业执照识别接口调用；</w:t>
      </w:r>
    </w:p>
    <w:p w14:paraId="09BFACB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结算系统：付款相关通用接口服务类、发票接口服务类、收付款接口服务类；</w:t>
      </w:r>
    </w:p>
    <w:p w14:paraId="59A343D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项目服务中心：查询项目更新合同数据；</w:t>
      </w:r>
    </w:p>
    <w:p w14:paraId="282E6AA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金蝶发票云：识别查验发票；</w:t>
      </w:r>
    </w:p>
    <w:p w14:paraId="032580E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文件服务中心：文件上传、文件下载、文件删除、绑定所属业务域ID；</w:t>
      </w:r>
    </w:p>
    <w:p w14:paraId="53B823C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区块链服务中心：交易数据上链；</w:t>
      </w:r>
    </w:p>
    <w:p w14:paraId="7B568E0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评价服务中心：获取评价模板列表、评价记录列表、发起合同评价、获取合同评价详情；</w:t>
      </w:r>
    </w:p>
    <w:p w14:paraId="4461C62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归档服务中心：推送归档附件信息、推送归档业务数据信息；</w:t>
      </w:r>
    </w:p>
    <w:p w14:paraId="17F1E4F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幂率：合同信息提取、智能审查、智能对比。</w:t>
      </w:r>
    </w:p>
    <w:p w14:paraId="2A3D6E0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（3）其他系统调用合同服务中心测试验证，包括：</w:t>
      </w:r>
    </w:p>
    <w:p w14:paraId="697A402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合同签署服务、合同变更服务、合同模板服务、合同条款服务、合同备案服务，提供标准的Feign内部API服务。</w:t>
      </w:r>
    </w:p>
    <w:p w14:paraId="00A7109A">
      <w:pPr>
        <w:pStyle w:val="3"/>
        <w:numPr>
          <w:ilvl w:val="1"/>
          <w:numId w:val="0"/>
        </w:numPr>
        <w:ind w:leftChars="0" w:firstLine="560" w:firstLineChars="200"/>
        <w:jc w:val="both"/>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（二）产品服务管理系统</w:t>
      </w:r>
    </w:p>
    <w:p w14:paraId="10760C8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1BCB8CE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6AE96F6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1863BB6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451A2BE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1813E91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4EE1972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3F6FB84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3BFDA68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0CEB6DD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3EE21CF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037ED2C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3367FC7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374D76F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31D8ABE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6046B6A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13D9C4F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2465F63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76A3AEE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007A286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6、测试验证</w:t>
      </w:r>
    </w:p>
    <w:p w14:paraId="100F45C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34F55D2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44047EC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客户关系主体库：获取精准推荐客户对象；</w:t>
      </w:r>
    </w:p>
    <w:p w14:paraId="17D3014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数据平台：获取产品订单信息，运营看板，获客率分析等数据。</w:t>
      </w:r>
    </w:p>
    <w:p w14:paraId="14E3D71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中控服务：用户权限管理，数据字典管理，系统管理。</w:t>
      </w:r>
    </w:p>
    <w:p w14:paraId="5ABD5EFB">
      <w:pPr>
        <w:pStyle w:val="3"/>
        <w:numPr>
          <w:ilvl w:val="1"/>
          <w:numId w:val="0"/>
        </w:numPr>
        <w:ind w:leftChars="0" w:firstLine="560" w:firstLineChars="200"/>
        <w:jc w:val="both"/>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（三）客户关系管理系统</w:t>
      </w:r>
    </w:p>
    <w:p w14:paraId="2DF19CC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2919213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441D06E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289F0C1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78A0647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3C3BF2D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62DFFD7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460AC20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25C14DB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03CE7B6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236030A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3C37262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2AC045F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2D4908B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65E05B9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6B26035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2C5B4B3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45616DB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45BC206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5D33544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04AD7CD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0E99FF5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44E5AD4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产品服务：调用产品服务获取推荐模板，以及推荐服务；</w:t>
      </w:r>
    </w:p>
    <w:p w14:paraId="3A34921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项目服务中心：项目信息同步。</w:t>
      </w:r>
    </w:p>
    <w:p w14:paraId="541234D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中控服务：用户权限管理，数据字典管理，系统管理。</w:t>
      </w:r>
    </w:p>
    <w:p w14:paraId="16AE22C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客户关系主体库：新注册的主体客户推送到CRM系统。</w:t>
      </w:r>
    </w:p>
    <w:p w14:paraId="0DB39DAA">
      <w:pPr>
        <w:pStyle w:val="3"/>
        <w:numPr>
          <w:ilvl w:val="1"/>
          <w:numId w:val="0"/>
        </w:numPr>
        <w:ind w:leftChars="0" w:firstLine="560" w:firstLineChars="200"/>
        <w:jc w:val="both"/>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（四）灾备系统</w:t>
      </w:r>
    </w:p>
    <w:p w14:paraId="0DA28F5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3062BC7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56E5580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376FF2B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5CBF4A5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3192FE9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6F3D8F5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27AFF39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241FACC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6E33795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47C23FB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021426B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5A1E8B1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60CA727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5196BEF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1F28BAE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78964FE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398569E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4E3B9F8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6062C54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0BEA0C7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单系统测试验证：对容灾管理平台数据库同步、文件同步、程序同步模拟进行全流程测试验证。</w:t>
      </w:r>
    </w:p>
    <w:p w14:paraId="731F2A31">
      <w:pPr>
        <w:spacing w:line="360" w:lineRule="auto"/>
        <w:ind w:firstLine="400" w:firstLineChars="200"/>
        <w:rPr>
          <w:rFonts w:hint="eastAsia" w:asciiTheme="minorEastAsia" w:hAnsiTheme="minorEastAsia" w:eastAsiaTheme="minorEastAsia"/>
          <w:sz w:val="20"/>
          <w:lang w:val="en-US" w:eastAsia="zh-CN"/>
        </w:rPr>
      </w:pPr>
    </w:p>
    <w:p w14:paraId="6DF0F15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7、应用系统对接与接口适配</w:t>
      </w:r>
    </w:p>
    <w:p w14:paraId="4F67769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（1）10个大屏、8个驾驶舱页面等前端应用在信息系统应用创新环境下的数据源连接调整与接口适配；</w:t>
      </w:r>
    </w:p>
    <w:p w14:paraId="4F3D4C8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（2）上报监控系统、数据上报系统等服务在信息系统应用创新中间件环境下的部署与联调；</w:t>
      </w:r>
    </w:p>
    <w:p w14:paraId="7DAECB4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（3）外部系统接口（粤公平、省2.0、交易门户等）调用逻辑在信息系统应用创新网络与安全策略下的适配验证；</w:t>
      </w:r>
    </w:p>
    <w:p w14:paraId="160C6E4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（4）主体信息服务、监管系统等独立数仓应用在信息系统应用创新环境下的适配。</w:t>
      </w:r>
    </w:p>
    <w:p w14:paraId="06514D39">
      <w:pPr>
        <w:pStyle w:val="3"/>
        <w:numPr>
          <w:ilvl w:val="1"/>
          <w:numId w:val="0"/>
        </w:numPr>
        <w:ind w:leftChars="0" w:firstLine="560" w:firstLineChars="200"/>
        <w:jc w:val="both"/>
        <w:rPr>
          <w:rFonts w:hint="eastAsia"/>
          <w:lang w:val="en-US" w:eastAsia="zh-CN"/>
        </w:rPr>
      </w:pPr>
      <w:bookmarkStart w:id="0" w:name="OLE_LINK10"/>
      <w:r>
        <w:rPr>
          <w:rFonts w:hint="eastAsia" w:ascii="楷体_GB2312" w:hAnsi="楷体_GB2312" w:eastAsia="楷体_GB2312" w:cs="楷体_GB2312"/>
          <w:sz w:val="28"/>
          <w:szCs w:val="28"/>
          <w:lang w:val="en-US" w:eastAsia="zh-CN"/>
        </w:rPr>
        <w:t>（五）门户（集团官网www.szexgrp.com、公共资源交易网www.szggzy.com及共用平台衍生的所有分子公司网站）</w:t>
      </w:r>
    </w:p>
    <w:bookmarkEnd w:id="0"/>
    <w:p w14:paraId="2D486D8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4E9F5EB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5301579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75891B4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27E88F8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1FD7A10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2E49B26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5C4F0FD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601F517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2C85426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0F526E0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6852A90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462B3FC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043A345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47F5F9C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427BB51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1EDEE18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677E343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6FA6ACD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6842E75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6DF368F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2E0F397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6010D19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外部与E交易对接、数据交易商城对接，对接数据至渠道管理系统。与认证平台对接，支持省统一身份认证平台对接要求及应用。</w:t>
      </w:r>
    </w:p>
    <w:p w14:paraId="5D2D945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内部与统一认证系统对接进行用户身份认证，与客户关系管理系统对接</w:t>
      </w:r>
      <w:bookmarkStart w:id="1" w:name="OLE_LINK9"/>
      <w:r>
        <w:rPr>
          <w:rFonts w:hint="eastAsia" w:asciiTheme="minorEastAsia" w:hAnsiTheme="minorEastAsia" w:eastAsiaTheme="minorEastAsia"/>
          <w:sz w:val="20"/>
          <w:lang w:val="en-US" w:eastAsia="zh-CN"/>
        </w:rPr>
        <w:t>实现各类要素交易的客户信息统一汇总到主体库</w:t>
      </w:r>
      <w:bookmarkEnd w:id="1"/>
      <w:r>
        <w:rPr>
          <w:rFonts w:hint="eastAsia" w:asciiTheme="minorEastAsia" w:hAnsiTheme="minorEastAsia" w:eastAsiaTheme="minorEastAsia"/>
          <w:sz w:val="20"/>
          <w:lang w:val="en-US" w:eastAsia="zh-CN"/>
        </w:rPr>
        <w:t>，与移动应用APP、小程序和企业微信对接实现公告、通知、新闻等信息披露展示，与协同办公系统对接实现集团新闻类信息同步发布。</w:t>
      </w:r>
    </w:p>
    <w:p w14:paraId="793B05EE">
      <w:pPr>
        <w:pStyle w:val="3"/>
        <w:numPr>
          <w:ilvl w:val="1"/>
          <w:numId w:val="0"/>
        </w:numPr>
        <w:ind w:leftChars="0" w:firstLine="560" w:firstLineChars="200"/>
        <w:jc w:val="both"/>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（六）移动app</w:t>
      </w:r>
    </w:p>
    <w:p w14:paraId="637DBDF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69ED6B7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543FCF8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2F09431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115F830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18335E5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05B6260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37DE149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5DC8BF3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795CA36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71F695D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1BE0368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03977FA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6609EC0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25AFF29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69FACAA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553E025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46EBFBD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6628A70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409D1F3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66C3997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78E30FD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1920675C">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a)深交易APP</w:t>
      </w:r>
    </w:p>
    <w:p w14:paraId="378C718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对接项目服务中心，从项目服务中心获取项目管理接口，用于移动端查看项目列表、项目详情，等相关功能集成</w:t>
      </w:r>
    </w:p>
    <w:p w14:paraId="21EBB39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对接统一用户中心，从用户中心调用获取个人用户注册、获取验证码、用户登录、获取用户信息、完善账号信息、修改密码、实名认证、用户退出等接口，用于用户在移动端进行用户管理、登录相关等功能集成。</w:t>
      </w:r>
    </w:p>
    <w:p w14:paraId="6A556B2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对接渠道管理系统，获取门户中的各业务交易公告、交易服务指南等信息</w:t>
      </w:r>
    </w:p>
    <w:p w14:paraId="69FC224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对接结算服务中心，从结算中心调用费用管理接口，用于用户在移动端查看费用交纳列表、交纳明细、退款列表、退款明细等内容。</w:t>
      </w:r>
    </w:p>
    <w:p w14:paraId="08BB4A8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对接竞价服务中心，支持竞价相关功能集成。</w:t>
      </w:r>
    </w:p>
    <w:p w14:paraId="4EAC15F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对接客户关系主体库，从客户关系管理-主体库调用主体信息接口，用于用户在移动端获取主体信息数据。</w:t>
      </w:r>
    </w:p>
    <w:p w14:paraId="3D9C5269">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b)联交所APP</w:t>
      </w:r>
    </w:p>
    <w:p w14:paraId="70F759F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对接竞价服务中心，支持机构竞价配置与开展。</w:t>
      </w:r>
    </w:p>
    <w:p w14:paraId="5C4367F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对接项目服务中心，项目申请、竞价公告、交易结果公示，同步项目基础信息登记、各类公告信息到项目服务中心。</w:t>
      </w:r>
    </w:p>
    <w:p w14:paraId="20F9608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对接数据平台，同步项目过程数据到数据平台</w:t>
      </w:r>
    </w:p>
    <w:p w14:paraId="19F7F78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对接统一认证系统，使用可信赖的数字证书进行用户身份认证，防范非法用户进入系统。</w:t>
      </w:r>
    </w:p>
    <w:p w14:paraId="58E0A90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对接客户管理系统，存储用户登记的基本信息，管理客户资源。</w:t>
      </w:r>
    </w:p>
    <w:p w14:paraId="77B8D51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对接档案管理系统，形成完整的项目档案，并支持档案查看功能。</w:t>
      </w:r>
    </w:p>
    <w:p w14:paraId="636630FB">
      <w:pPr>
        <w:pStyle w:val="3"/>
        <w:numPr>
          <w:ilvl w:val="1"/>
          <w:numId w:val="0"/>
        </w:numPr>
        <w:ind w:leftChars="0" w:firstLine="560" w:firstLineChars="200"/>
        <w:jc w:val="left"/>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（七）电子文档数据中心</w:t>
      </w:r>
    </w:p>
    <w:p w14:paraId="554DF34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2A7B0E1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4DD74DC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57CFE6E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5DDAA97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28A47A9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48FF174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7D2D736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53B2455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791AD02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14B149A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7064717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58612F6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2365631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0397DBF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73DEBF2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4357A03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13A9690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652EA9E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4A38C88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7F71B31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47EF6CB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69679F9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政府采购系统、重大资源系统、阳光租赁系统、土地矿业系统、建设工程系统、产权交易系统、集体要素系统、资金融通系统、建材询价系统、阳光物业系统、阳光采购系统、医用耗材系统对接档案数据服务中心，各交易业务系统在项目(标段)结束之后，调用接口，将相关数据归档至档案数据服务中心。</w:t>
      </w:r>
    </w:p>
    <w:p w14:paraId="377D659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档案数据服务中心对接同略档案管理系统，档案数据服务中心将整理好且通过审批的数据推送至同略档案管理系统，将档案数据入库，同略档案管理系统将档案数据（结构化数据）变动同步回档案数据服务中心。</w:t>
      </w:r>
    </w:p>
    <w:p w14:paraId="15EB0663">
      <w:pPr>
        <w:rPr>
          <w:rFonts w:hint="eastAsia"/>
          <w:lang w:eastAsia="zh-CN"/>
        </w:rPr>
      </w:pPr>
    </w:p>
    <w:p w14:paraId="71ABDB90">
      <w:pPr>
        <w:spacing w:line="360" w:lineRule="auto"/>
        <w:rPr>
          <w:rFonts w:hint="eastAsia" w:ascii="楷体_GB2312" w:hAnsi="楷体_GB2312" w:eastAsia="楷体_GB2312" w:cs="楷体_GB2312"/>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8BFEF"/>
    <w:multiLevelType w:val="singleLevel"/>
    <w:tmpl w:val="CFF8BFEF"/>
    <w:lvl w:ilvl="0" w:tentative="0">
      <w:start w:val="3"/>
      <w:numFmt w:val="chineseCounting"/>
      <w:suff w:val="nothing"/>
      <w:lvlText w:val="%1、"/>
      <w:lvlJc w:val="left"/>
      <w:rPr>
        <w:rFonts w:hint="eastAsia"/>
      </w:rPr>
    </w:lvl>
  </w:abstractNum>
  <w:abstractNum w:abstractNumId="1">
    <w:nsid w:val="03917BD4"/>
    <w:multiLevelType w:val="multilevel"/>
    <w:tmpl w:val="03917BD4"/>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87B5617"/>
    <w:multiLevelType w:val="multilevel"/>
    <w:tmpl w:val="187B5617"/>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5F75D56"/>
    <w:multiLevelType w:val="multilevel"/>
    <w:tmpl w:val="75F75D56"/>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7B51"/>
    <w:rsid w:val="00172A27"/>
    <w:rsid w:val="00203A88"/>
    <w:rsid w:val="003741C3"/>
    <w:rsid w:val="00525255"/>
    <w:rsid w:val="005B27CE"/>
    <w:rsid w:val="00D11B44"/>
    <w:rsid w:val="00F73FA7"/>
    <w:rsid w:val="00FA3FA8"/>
    <w:rsid w:val="067508F8"/>
    <w:rsid w:val="0B941C69"/>
    <w:rsid w:val="0D004C93"/>
    <w:rsid w:val="128A6C96"/>
    <w:rsid w:val="14011A1D"/>
    <w:rsid w:val="16542FA4"/>
    <w:rsid w:val="1DD02E8C"/>
    <w:rsid w:val="264D4DF1"/>
    <w:rsid w:val="26B159E4"/>
    <w:rsid w:val="27574C2C"/>
    <w:rsid w:val="2CAA7E2B"/>
    <w:rsid w:val="2CF46123"/>
    <w:rsid w:val="33A631D2"/>
    <w:rsid w:val="33B912B2"/>
    <w:rsid w:val="364540DD"/>
    <w:rsid w:val="367B175F"/>
    <w:rsid w:val="39652F34"/>
    <w:rsid w:val="3B304932"/>
    <w:rsid w:val="3C172960"/>
    <w:rsid w:val="3E717CAB"/>
    <w:rsid w:val="3EE43969"/>
    <w:rsid w:val="3F3D6BDC"/>
    <w:rsid w:val="40A21E89"/>
    <w:rsid w:val="50622C55"/>
    <w:rsid w:val="55562BC6"/>
    <w:rsid w:val="5F001B63"/>
    <w:rsid w:val="62200D82"/>
    <w:rsid w:val="6D6C5E06"/>
    <w:rsid w:val="72962A7B"/>
    <w:rsid w:val="73770A18"/>
    <w:rsid w:val="75C50923"/>
    <w:rsid w:val="7DDC6F3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adjustRightInd w:val="0"/>
      <w:jc w:val="center"/>
      <w:textAlignment w:val="baseline"/>
      <w:outlineLvl w:val="1"/>
    </w:pPr>
    <w:rPr>
      <w:kern w:val="0"/>
      <w:sz w:val="24"/>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ind w:firstLine="0" w:firstLineChars="0"/>
      <w:jc w:val="center"/>
    </w:pPr>
    <w:rPr>
      <w:rFonts w:eastAsia="黑体"/>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b/>
      <w:bCs/>
      <w:sz w:val="24"/>
    </w:rPr>
  </w:style>
  <w:style w:type="paragraph" w:styleId="8">
    <w:name w:val="Body Text 2"/>
    <w:basedOn w:val="1"/>
    <w:qFormat/>
    <w:uiPriority w:val="0"/>
    <w:pPr>
      <w:spacing w:line="360" w:lineRule="auto"/>
    </w:pPr>
    <w:rPr>
      <w:sz w:val="24"/>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表格文字"/>
    <w:qFormat/>
    <w:uiPriority w:val="0"/>
    <w:pPr>
      <w:widowControl w:val="0"/>
      <w:spacing w:before="25" w:after="25"/>
      <w:jc w:val="both"/>
    </w:pPr>
    <w:rPr>
      <w:rFonts w:ascii="Times New Roman" w:hAnsi="Times New Roman" w:eastAsia="宋体" w:cs="Times New Roman"/>
      <w:bCs/>
      <w:spacing w:val="10"/>
      <w:kern w:val="2"/>
      <w:sz w:val="21"/>
      <w:szCs w:val="20"/>
      <w:lang w:val="en-US" w:eastAsia="zh-CN" w:bidi="ar-SA"/>
    </w:rPr>
  </w:style>
  <w:style w:type="paragraph" w:styleId="14">
    <w:name w:val="List Paragraph"/>
    <w:basedOn w:val="1"/>
    <w:qFormat/>
    <w:uiPriority w:val="34"/>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3842</Words>
  <Characters>4030</Characters>
  <Lines>82</Lines>
  <Paragraphs>93</Paragraphs>
  <TotalTime>6</TotalTime>
  <ScaleCrop>false</ScaleCrop>
  <LinksUpToDate>false</LinksUpToDate>
  <CharactersWithSpaces>4033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2025-12-02T07:39:00Z</dcterms:created>
  <dc:creator>Administrator</dc:creator>
  <cp:lastModifiedBy>娜、子女小♂</cp:lastModifiedBy>
  <dcterms:modified xsi:type="dcterms:W3CDTF">2026-07-21T03:40:01Z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E591007726CF4E648F5ECEEDA8A9B5EB_13</vt:lpwstr>
  </property>
  <property fmtid="{D5CDD505-2E9C-101B-9397-08002B2CF9AE}" pid="4" name="KSOTemplateDocerSaveRecord">
    <vt:lpwstr>eyJoZGlkIjoiYmZkYWZmZjZiNmQ0OTJkMTM4ODIyOTkxYjJkN2NjZWYiLCJ1c2VySWQiOiIyMTY2MzcxNTkifQ==</vt:lpwstr>
  </property>
</Properties>
</file>