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64D45">
      <w:pPr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：综合评分表</w:t>
      </w:r>
      <w:bookmarkStart w:id="0" w:name="_GoBack"/>
      <w:bookmarkEnd w:id="0"/>
    </w:p>
    <w:tbl>
      <w:tblPr>
        <w:tblStyle w:val="9"/>
        <w:tblW w:w="9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82"/>
        <w:gridCol w:w="5454"/>
        <w:gridCol w:w="849"/>
        <w:gridCol w:w="1374"/>
      </w:tblGrid>
      <w:tr w14:paraId="3C2FE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0" w:type="dxa"/>
            <w:vAlign w:val="center"/>
          </w:tcPr>
          <w:p w14:paraId="36E03801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序号</w:t>
            </w:r>
          </w:p>
        </w:tc>
        <w:tc>
          <w:tcPr>
            <w:tcW w:w="1282" w:type="dxa"/>
            <w:vAlign w:val="center"/>
          </w:tcPr>
          <w:p w14:paraId="51E43638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评分项</w:t>
            </w:r>
          </w:p>
        </w:tc>
        <w:tc>
          <w:tcPr>
            <w:tcW w:w="5454" w:type="dxa"/>
            <w:vAlign w:val="center"/>
          </w:tcPr>
          <w:p w14:paraId="4715D02E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评分细则</w:t>
            </w:r>
          </w:p>
        </w:tc>
        <w:tc>
          <w:tcPr>
            <w:tcW w:w="849" w:type="dxa"/>
            <w:vAlign w:val="center"/>
          </w:tcPr>
          <w:p w14:paraId="7BD8800D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评分</w:t>
            </w:r>
          </w:p>
        </w:tc>
        <w:tc>
          <w:tcPr>
            <w:tcW w:w="1374" w:type="dxa"/>
            <w:vAlign w:val="center"/>
          </w:tcPr>
          <w:p w14:paraId="2E18732E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备注</w:t>
            </w:r>
          </w:p>
        </w:tc>
      </w:tr>
      <w:tr w14:paraId="311A9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750" w:type="dxa"/>
            <w:vAlign w:val="center"/>
          </w:tcPr>
          <w:p w14:paraId="23D971BA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1282" w:type="dxa"/>
            <w:vAlign w:val="center"/>
          </w:tcPr>
          <w:p w14:paraId="260FA32F">
            <w:pPr>
              <w:jc w:val="center"/>
              <w:rPr>
                <w:rFonts w:ascii="仿宋_GB2312" w:hAnsi="仿宋_GB2312" w:eastAsia="仿宋_GB2312" w:cs="仿宋_GB2312"/>
                <w:spacing w:val="-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同类项目履约业绩</w:t>
            </w:r>
          </w:p>
          <w:p w14:paraId="6F6B0320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（15分）</w:t>
            </w:r>
          </w:p>
        </w:tc>
        <w:tc>
          <w:tcPr>
            <w:tcW w:w="5454" w:type="dxa"/>
            <w:vAlign w:val="center"/>
          </w:tcPr>
          <w:p w14:paraId="0FDB32DE">
            <w:pPr>
              <w:pStyle w:val="12"/>
              <w:spacing w:before="29" w:line="260" w:lineRule="auto"/>
              <w:ind w:left="108" w:right="101"/>
              <w:rPr>
                <w:rFonts w:ascii="仿宋_GB2312" w:hAnsi="仿宋_GB2312" w:eastAsia="仿宋_GB2312" w:cs="仿宋_GB2312"/>
                <w:spacing w:val="-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供应商近3年内（合同签订日期在2023年9月1日以后）具有类似网络系统集成、机房设备采购或弱电智能化项目有效业绩：每提供一个有效业绩得</w:t>
            </w:r>
            <w:r>
              <w:rPr>
                <w:rFonts w:ascii="仿宋_GB2312" w:hAnsi="仿宋_GB2312" w:eastAsia="仿宋_GB2312" w:cs="仿宋_GB2312"/>
                <w:spacing w:val="-2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2"/>
              </w:rPr>
              <w:t>分，最高得15分。</w:t>
            </w:r>
          </w:p>
          <w:p w14:paraId="59E238B8"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有效业绩认定：须提供合同关键页（首页、采购内容页、金额页、签字盖章页）、验收报告（或用户出具的项目履约合格证明）复印件并加盖公章，提供合同甲方有效联系人及联系方式备查，原件备查。</w:t>
            </w:r>
          </w:p>
        </w:tc>
        <w:tc>
          <w:tcPr>
            <w:tcW w:w="849" w:type="dxa"/>
            <w:vAlign w:val="center"/>
          </w:tcPr>
          <w:p w14:paraId="05B1966A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79E036A8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1F75F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</w:trPr>
        <w:tc>
          <w:tcPr>
            <w:tcW w:w="750" w:type="dxa"/>
            <w:vAlign w:val="center"/>
          </w:tcPr>
          <w:p w14:paraId="54FC638F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1282" w:type="dxa"/>
            <w:vAlign w:val="center"/>
          </w:tcPr>
          <w:p w14:paraId="15ECC0BF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资质实力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分）</w:t>
            </w:r>
          </w:p>
        </w:tc>
        <w:tc>
          <w:tcPr>
            <w:tcW w:w="5454" w:type="dxa"/>
            <w:vAlign w:val="center"/>
          </w:tcPr>
          <w:p w14:paraId="78E21C02">
            <w:pPr>
              <w:pStyle w:val="12"/>
              <w:spacing w:before="32" w:line="267" w:lineRule="auto"/>
              <w:ind w:left="108" w:right="101"/>
              <w:rPr>
                <w:rFonts w:ascii="仿宋_GB2312" w:hAnsi="仿宋_GB2312" w:eastAsia="仿宋_GB2312" w:cs="仿宋_GB2312"/>
                <w:spacing w:val="-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供应商应具备行业相关资质认证及专业人员（提供有效证书复印件加盖公章，原件备查；人员提供三个月社保证明）：</w:t>
            </w:r>
          </w:p>
          <w:p w14:paraId="37DD9D6C">
            <w:pPr>
              <w:pStyle w:val="12"/>
              <w:spacing w:before="32" w:line="267" w:lineRule="auto"/>
              <w:ind w:left="108" w:right="101"/>
              <w:rPr>
                <w:rFonts w:ascii="仿宋_GB2312" w:hAnsi="仿宋_GB2312" w:eastAsia="仿宋_GB2312" w:cs="仿宋_GB2312"/>
                <w:spacing w:val="-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1. 具备安全生产许可证：</w:t>
            </w:r>
            <w:r>
              <w:rPr>
                <w:rFonts w:hint="eastAsia" w:ascii="仿宋_GB2312" w:hAnsi="仿宋_GB2312" w:eastAsia="仿宋_GB2312" w:cs="仿宋_GB2312"/>
                <w:spacing w:val="-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分；</w:t>
            </w:r>
          </w:p>
          <w:p w14:paraId="54B2807B">
            <w:pPr>
              <w:pStyle w:val="12"/>
              <w:spacing w:before="32" w:line="267" w:lineRule="auto"/>
              <w:ind w:left="108" w:right="101"/>
              <w:rPr>
                <w:rFonts w:ascii="仿宋_GB2312" w:hAnsi="仿宋_GB2312" w:eastAsia="仿宋_GB2312" w:cs="仿宋_GB2312"/>
                <w:spacing w:val="-8"/>
              </w:rPr>
            </w:pPr>
            <w:r>
              <w:rPr>
                <w:rFonts w:ascii="仿宋_GB2312" w:hAnsi="仿宋_GB2312" w:eastAsia="仿宋_GB2312" w:cs="仿宋_GB2312"/>
                <w:spacing w:val="-8"/>
              </w:rPr>
              <w:t xml:space="preserve">2. 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具备质量管理体系认证（ISO 9001）、环境管理体系认证（ISO 14001）、职业健康安全管理体系认证（ISO 45001），全部具备得</w:t>
            </w:r>
            <w:r>
              <w:rPr>
                <w:rFonts w:hint="eastAsia" w:ascii="仿宋_GB2312" w:hAnsi="仿宋_GB2312" w:eastAsia="仿宋_GB2312" w:cs="仿宋_GB2312"/>
                <w:spacing w:val="-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分，否则得0分；</w:t>
            </w:r>
          </w:p>
          <w:p w14:paraId="0B8389CC">
            <w:pPr>
              <w:pStyle w:val="12"/>
              <w:spacing w:before="32" w:line="267" w:lineRule="auto"/>
              <w:ind w:left="108" w:right="101"/>
              <w:rPr>
                <w:rFonts w:ascii="仿宋_GB2312" w:hAnsi="仿宋_GB2312" w:eastAsia="仿宋_GB2312" w:cs="仿宋_GB2312"/>
                <w:spacing w:val="-8"/>
              </w:rPr>
            </w:pPr>
            <w:r>
              <w:rPr>
                <w:rFonts w:ascii="仿宋_GB2312" w:hAnsi="仿宋_GB2312" w:eastAsia="仿宋_GB2312" w:cs="仿宋_GB2312"/>
                <w:spacing w:val="-8"/>
              </w:rPr>
              <w:t>3.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具备安防工程企业设计施工维护能力证书：</w:t>
            </w:r>
            <w:r>
              <w:rPr>
                <w:rFonts w:hint="eastAsia" w:ascii="仿宋_GB2312" w:hAnsi="仿宋_GB2312" w:eastAsia="仿宋_GB2312" w:cs="仿宋_GB2312"/>
                <w:spacing w:val="-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分</w:t>
            </w:r>
          </w:p>
          <w:p w14:paraId="17A1C111">
            <w:pPr>
              <w:pStyle w:val="12"/>
              <w:spacing w:before="32" w:line="267" w:lineRule="auto"/>
              <w:ind w:left="108" w:right="101"/>
              <w:rPr>
                <w:rFonts w:ascii="仿宋_GB2312" w:hAnsi="仿宋_GB2312" w:eastAsia="仿宋_GB2312" w:cs="仿宋_GB2312"/>
                <w:spacing w:val="-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4. 网络工程师认证工程师1人，具备华为HCIE或同等级别专业证书：</w:t>
            </w:r>
            <w:r>
              <w:rPr>
                <w:rFonts w:hint="eastAsia" w:ascii="仿宋_GB2312" w:hAnsi="仿宋_GB2312" w:eastAsia="仿宋_GB2312" w:cs="仿宋_GB2312"/>
                <w:spacing w:val="-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分</w:t>
            </w:r>
          </w:p>
          <w:p w14:paraId="553F3036">
            <w:pPr>
              <w:pStyle w:val="12"/>
              <w:spacing w:before="32" w:line="267" w:lineRule="auto"/>
              <w:ind w:left="108" w:right="101"/>
              <w:rPr>
                <w:rFonts w:hint="eastAsia" w:ascii="仿宋_GB2312" w:hAnsi="仿宋_GB2312" w:eastAsia="仿宋_GB2312" w:cs="仿宋_GB2312"/>
                <w:spacing w:val="-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5</w:t>
            </w:r>
            <w:r>
              <w:rPr>
                <w:rFonts w:ascii="仿宋_GB2312" w:hAnsi="仿宋_GB2312" w:eastAsia="仿宋_GB2312" w:cs="仿宋_GB2312"/>
                <w:spacing w:val="-8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电工</w:t>
            </w:r>
            <w:r>
              <w:rPr>
                <w:rFonts w:ascii="仿宋_GB2312" w:hAnsi="仿宋_GB2312" w:eastAsia="仿宋_GB2312" w:cs="仿宋_GB2312"/>
                <w:spacing w:val="-8"/>
              </w:rPr>
              <w:t>1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人，</w:t>
            </w:r>
            <w:r>
              <w:rPr>
                <w:rFonts w:ascii="仿宋_GB2312" w:hAnsi="仿宋_GB2312" w:eastAsia="仿宋_GB2312" w:cs="仿宋_GB2312"/>
                <w:spacing w:val="-8"/>
              </w:rPr>
              <w:t>具有特种作业操作证（电工作业）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、安全员C证：全部具备得</w:t>
            </w:r>
            <w:r>
              <w:rPr>
                <w:rFonts w:hint="eastAsia" w:ascii="仿宋_GB2312" w:hAnsi="仿宋_GB2312" w:eastAsia="仿宋_GB2312" w:cs="仿宋_GB2312"/>
                <w:spacing w:val="-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分，否则得0分；</w:t>
            </w:r>
          </w:p>
          <w:p w14:paraId="0FC5BF62">
            <w:pPr>
              <w:pStyle w:val="12"/>
              <w:spacing w:before="29" w:line="260" w:lineRule="auto"/>
              <w:ind w:left="108" w:right="101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本项最高得</w:t>
            </w:r>
            <w:r>
              <w:rPr>
                <w:rFonts w:hint="eastAsia" w:ascii="仿宋_GB2312" w:hAnsi="仿宋_GB2312" w:eastAsia="仿宋_GB2312" w:cs="仿宋_GB2312"/>
                <w:spacing w:val="-8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分。</w:t>
            </w:r>
          </w:p>
        </w:tc>
        <w:tc>
          <w:tcPr>
            <w:tcW w:w="849" w:type="dxa"/>
            <w:vAlign w:val="center"/>
          </w:tcPr>
          <w:p w14:paraId="045219A9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5F8380AE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07E57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750" w:type="dxa"/>
            <w:vAlign w:val="center"/>
          </w:tcPr>
          <w:p w14:paraId="7C14974C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1282" w:type="dxa"/>
            <w:vAlign w:val="center"/>
          </w:tcPr>
          <w:p w14:paraId="0583E35C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  <w:p w14:paraId="049CC0C4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企业信誉（10分）</w:t>
            </w:r>
          </w:p>
        </w:tc>
        <w:tc>
          <w:tcPr>
            <w:tcW w:w="5454" w:type="dxa"/>
            <w:vAlign w:val="center"/>
          </w:tcPr>
          <w:p w14:paraId="65FE18D9"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报价人提供通过“国家企业信用信息公示系统”（www.gsxt.gov.cn）、深圳市政府采购监管网（zfcg.sz.gov.cn)（证明资料为相关查询结果截图，加盖公章）</w:t>
            </w:r>
          </w:p>
          <w:p w14:paraId="6A62D13D"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1.对2023年8月31日（含）以来被列入行政处罚或不良记录的报价人每一条记录扣5分。</w:t>
            </w:r>
          </w:p>
          <w:p w14:paraId="09E06EE8"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2.以上合计最高扣10分。</w:t>
            </w:r>
          </w:p>
          <w:p w14:paraId="75679685"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3.如未提供完整查询结果的，则不得分</w:t>
            </w:r>
          </w:p>
        </w:tc>
        <w:tc>
          <w:tcPr>
            <w:tcW w:w="849" w:type="dxa"/>
            <w:vAlign w:val="center"/>
          </w:tcPr>
          <w:p w14:paraId="5F35CBA0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3877ABE4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02A02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50" w:type="dxa"/>
            <w:vAlign w:val="center"/>
          </w:tcPr>
          <w:p w14:paraId="1587C46D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1282" w:type="dxa"/>
            <w:vAlign w:val="center"/>
          </w:tcPr>
          <w:p w14:paraId="716F4BFA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采购技术需求匹配度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（20分）</w:t>
            </w:r>
          </w:p>
        </w:tc>
        <w:tc>
          <w:tcPr>
            <w:tcW w:w="5454" w:type="dxa"/>
            <w:vAlign w:val="center"/>
          </w:tcPr>
          <w:p w14:paraId="4763DA1C">
            <w:pPr>
              <w:pStyle w:val="12"/>
              <w:spacing w:before="29" w:line="260" w:lineRule="auto"/>
              <w:ind w:left="108" w:right="101"/>
              <w:rPr>
                <w:rFonts w:ascii="仿宋_GB2312" w:hAnsi="仿宋_GB2312" w:eastAsia="仿宋_GB2312" w:cs="仿宋_GB2312"/>
                <w:spacing w:val="3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对照《网络设备采购清单》逐项核查各设备技术参数响应情况：</w:t>
            </w:r>
          </w:p>
          <w:p w14:paraId="092AFBBB">
            <w:pPr>
              <w:pStyle w:val="12"/>
              <w:spacing w:before="29" w:line="260" w:lineRule="auto"/>
              <w:ind w:left="108" w:right="101"/>
              <w:rPr>
                <w:rFonts w:ascii="仿宋_GB2312" w:hAnsi="仿宋_GB2312" w:eastAsia="仿宋_GB2312" w:cs="仿宋_GB2312"/>
                <w:spacing w:val="3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>投标人须逐条响应并提供原厂彩页等有效证明文件；</w:t>
            </w:r>
          </w:p>
          <w:p w14:paraId="43429872">
            <w:pPr>
              <w:pStyle w:val="12"/>
              <w:spacing w:before="29" w:line="260" w:lineRule="auto"/>
              <w:ind w:left="108" w:right="101"/>
              <w:rPr>
                <w:rFonts w:ascii="仿宋_GB2312" w:hAnsi="仿宋_GB2312" w:eastAsia="仿宋_GB2312" w:cs="仿宋_GB2312"/>
                <w:spacing w:val="3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2.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>全部技术参数满足，得20分；</w:t>
            </w:r>
          </w:p>
          <w:p w14:paraId="06FD58E5">
            <w:pPr>
              <w:pStyle w:val="12"/>
              <w:spacing w:before="29" w:line="260" w:lineRule="auto"/>
              <w:ind w:left="108" w:right="101"/>
              <w:rPr>
                <w:rFonts w:ascii="仿宋_GB2312" w:hAnsi="仿宋_GB2312" w:eastAsia="仿宋_GB2312" w:cs="仿宋_GB2312"/>
                <w:spacing w:val="3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3.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>未提供证明文件或提供文件不满足参数要求的，视为负偏离；</w:t>
            </w:r>
          </w:p>
          <w:p w14:paraId="6AD5D41F">
            <w:pPr>
              <w:pStyle w:val="12"/>
              <w:spacing w:before="29" w:line="260" w:lineRule="auto"/>
              <w:ind w:left="108" w:right="101"/>
              <w:rPr>
                <w:rFonts w:hint="eastAsia" w:ascii="仿宋_GB2312" w:hAnsi="仿宋_GB2312" w:eastAsia="仿宋_GB2312" w:cs="仿宋_GB2312"/>
                <w:spacing w:val="3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4.每出现1条负偏离扣2分，扣完为止，最低得0分。</w:t>
            </w:r>
          </w:p>
          <w:p w14:paraId="2CCBE1CA">
            <w:pPr>
              <w:pStyle w:val="12"/>
              <w:spacing w:before="29" w:line="260" w:lineRule="auto"/>
              <w:ind w:left="108" w:right="101"/>
              <w:rPr>
                <w:rFonts w:hint="default" w:ascii="仿宋_GB2312" w:hAnsi="仿宋_GB2312" w:eastAsia="仿宋_GB2312" w:cs="仿宋_GB2312"/>
                <w:spacing w:val="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lang w:val="en-US" w:eastAsia="zh-CN"/>
              </w:rPr>
              <w:t>5.书面承诺无条件按甲方要求交付产品并负责设备调试等，调试过程中所需的配件、材料等需按甲方要求的品牌、规格参数无条件、零变更费用增补。无书面承诺或有条件承诺本项（</w:t>
            </w:r>
            <w:r>
              <w:rPr>
                <w:rFonts w:hint="eastAsia" w:ascii="仿宋_GB2312" w:hAnsi="仿宋_GB2312" w:eastAsia="仿宋_GB2312" w:cs="仿宋_GB2312"/>
                <w:spacing w:val="-2"/>
              </w:rPr>
              <w:t>采购技术需求匹配度</w:t>
            </w:r>
            <w:r>
              <w:rPr>
                <w:rFonts w:hint="eastAsia" w:ascii="仿宋_GB2312" w:hAnsi="仿宋_GB2312" w:eastAsia="仿宋_GB2312" w:cs="仿宋_GB2312"/>
                <w:spacing w:val="3"/>
                <w:lang w:val="en-US" w:eastAsia="zh-CN"/>
              </w:rPr>
              <w:t>）得分归零。</w:t>
            </w:r>
          </w:p>
          <w:p w14:paraId="6C723FD6"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本项最高得20分。</w:t>
            </w:r>
          </w:p>
        </w:tc>
        <w:tc>
          <w:tcPr>
            <w:tcW w:w="849" w:type="dxa"/>
            <w:vAlign w:val="center"/>
          </w:tcPr>
          <w:p w14:paraId="7FEEBB67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554DE056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628BB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50" w:type="dxa"/>
            <w:vAlign w:val="center"/>
          </w:tcPr>
          <w:p w14:paraId="3F56C452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1282" w:type="dxa"/>
            <w:vAlign w:val="center"/>
          </w:tcPr>
          <w:p w14:paraId="38BF2E23">
            <w:pPr>
              <w:jc w:val="center"/>
              <w:rPr>
                <w:rFonts w:ascii="仿宋_GB2312" w:hAnsi="仿宋_GB2312" w:eastAsia="仿宋_GB2312" w:cs="仿宋_GB2312"/>
                <w:spacing w:val="-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售后服务</w:t>
            </w:r>
          </w:p>
          <w:p w14:paraId="7FEB331B">
            <w:pPr>
              <w:pStyle w:val="2"/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分）</w:t>
            </w:r>
          </w:p>
        </w:tc>
        <w:tc>
          <w:tcPr>
            <w:tcW w:w="5454" w:type="dxa"/>
            <w:vAlign w:val="center"/>
          </w:tcPr>
          <w:p w14:paraId="0D3AB632">
            <w:pPr>
              <w:pStyle w:val="12"/>
              <w:spacing w:before="32" w:line="267" w:lineRule="auto"/>
              <w:ind w:left="108" w:right="101"/>
              <w:rPr>
                <w:rFonts w:ascii="仿宋_GB2312" w:hAnsi="仿宋_GB2312" w:eastAsia="仿宋_GB2312" w:cs="仿宋_GB2312"/>
                <w:spacing w:val="-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1.资质要求（</w:t>
            </w:r>
            <w:r>
              <w:rPr>
                <w:rFonts w:hint="eastAsia" w:ascii="仿宋_GB2312" w:hAnsi="仿宋_GB2312" w:eastAsia="仿宋_GB2312" w:cs="仿宋_GB2312"/>
                <w:spacing w:val="-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分）：具有有效的商品售后服务评价体系五星售后服务认证，满足得</w:t>
            </w:r>
            <w:r>
              <w:rPr>
                <w:rFonts w:hint="eastAsia" w:ascii="仿宋_GB2312" w:hAnsi="仿宋_GB2312" w:eastAsia="仿宋_GB2312" w:cs="仿宋_GB2312"/>
                <w:spacing w:val="-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分，不满足得0分。</w:t>
            </w:r>
          </w:p>
          <w:p w14:paraId="747B4663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2.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售后服务承诺：出具对本项目的质保年限、7×24小时响应时效、故障分级响应及修复时限、定期巡检计划、操作培训及应急保障措施的书面承诺函。满足得</w:t>
            </w:r>
            <w:r>
              <w:rPr>
                <w:rFonts w:hint="eastAsia" w:ascii="仿宋_GB2312" w:hAnsi="仿宋_GB2312" w:eastAsia="仿宋_GB2312" w:cs="仿宋_GB2312"/>
                <w:spacing w:val="-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分，不满足得0分。</w:t>
            </w:r>
          </w:p>
        </w:tc>
        <w:tc>
          <w:tcPr>
            <w:tcW w:w="849" w:type="dxa"/>
            <w:vAlign w:val="center"/>
          </w:tcPr>
          <w:p w14:paraId="66AE8CDE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7FCD0F01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5419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750" w:type="dxa"/>
            <w:vAlign w:val="center"/>
          </w:tcPr>
          <w:p w14:paraId="40713725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1282" w:type="dxa"/>
            <w:vAlign w:val="center"/>
          </w:tcPr>
          <w:p w14:paraId="178ADAB0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价格评分标准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分）</w:t>
            </w:r>
          </w:p>
        </w:tc>
        <w:tc>
          <w:tcPr>
            <w:tcW w:w="5454" w:type="dxa"/>
            <w:vAlign w:val="center"/>
          </w:tcPr>
          <w:p w14:paraId="35E06809">
            <w:pPr>
              <w:pStyle w:val="12"/>
              <w:spacing w:before="68" w:line="220" w:lineRule="auto"/>
              <w:ind w:left="158"/>
              <w:rPr>
                <w:rFonts w:ascii="仿宋_GB2312" w:hAnsi="仿宋_GB2312" w:eastAsia="仿宋_GB2312" w:cs="仿宋_GB2312"/>
                <w:spacing w:val="-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取各评标价格的最低价作为评标基准价格，等于基准价格的投标报价定为</w:t>
            </w:r>
            <w:r>
              <w:rPr>
                <w:rFonts w:hint="eastAsia" w:ascii="仿宋_GB2312" w:hAnsi="仿宋_GB2312" w:eastAsia="仿宋_GB2312" w:cs="仿宋_GB2312"/>
                <w:spacing w:val="-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pacing w:val="-2"/>
              </w:rPr>
              <w:t>分，其他供应商的价格分统一按照下列公式计算：</w:t>
            </w:r>
          </w:p>
          <w:p w14:paraId="54903659">
            <w:pPr>
              <w:pStyle w:val="12"/>
              <w:spacing w:before="68" w:line="220" w:lineRule="auto"/>
              <w:ind w:left="158"/>
              <w:rPr>
                <w:rFonts w:hint="default" w:ascii="仿宋_GB2312" w:hAnsi="仿宋_GB2312" w:eastAsia="仿宋_GB2312" w:cs="仿宋_GB2312"/>
                <w:spacing w:val="-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投标报价得分=（评标基准价/投标报价）×</w:t>
            </w:r>
            <w:r>
              <w:rPr>
                <w:rFonts w:hint="eastAsia" w:ascii="仿宋_GB2312" w:hAnsi="仿宋_GB2312" w:eastAsia="仿宋_GB2312" w:cs="仿宋_GB2312"/>
                <w:spacing w:val="-2"/>
                <w:lang w:val="en-US" w:eastAsia="zh-CN"/>
              </w:rPr>
              <w:t>20</w:t>
            </w:r>
          </w:p>
          <w:p w14:paraId="0907EF11">
            <w:pPr>
              <w:ind w:firstLine="206" w:firstLineChars="100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如此类推，算出所有投标人的价格评分</w:t>
            </w:r>
          </w:p>
        </w:tc>
        <w:tc>
          <w:tcPr>
            <w:tcW w:w="849" w:type="dxa"/>
            <w:vAlign w:val="center"/>
          </w:tcPr>
          <w:p w14:paraId="68716B89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1B2798DA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D77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5" w:hRule="atLeast"/>
        </w:trPr>
        <w:tc>
          <w:tcPr>
            <w:tcW w:w="750" w:type="dxa"/>
            <w:vAlign w:val="center"/>
          </w:tcPr>
          <w:p w14:paraId="73A25B8E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1282" w:type="dxa"/>
            <w:vAlign w:val="center"/>
          </w:tcPr>
          <w:p w14:paraId="5C1E3469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总分100</w:t>
            </w:r>
          </w:p>
        </w:tc>
        <w:tc>
          <w:tcPr>
            <w:tcW w:w="5454" w:type="dxa"/>
            <w:vAlign w:val="center"/>
          </w:tcPr>
          <w:p w14:paraId="0418C05E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2B7A2F88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06814FE3"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</w:tbl>
    <w:p w14:paraId="6D41325C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420"/>
        <w:rPr>
          <w:rFonts w:ascii="黑体" w:hAnsi="黑体" w:eastAsia="黑体" w:cs="黑体"/>
          <w:szCs w:val="21"/>
        </w:rPr>
      </w:pPr>
    </w:p>
    <w:p w14:paraId="259E30E2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420"/>
        <w:rPr>
          <w:rFonts w:ascii="黑体" w:hAnsi="黑体" w:eastAsia="黑体" w:cs="黑体"/>
          <w:szCs w:val="21"/>
        </w:rPr>
      </w:pPr>
      <w:r>
        <w:rPr>
          <w:rFonts w:ascii="黑体" w:hAnsi="黑体" w:eastAsia="黑体" w:cs="黑体"/>
          <w:szCs w:val="21"/>
        </w:rPr>
        <w:t>备注：1.各项评审打分按照四舍五入，小数点后保留2位进行计算；</w:t>
      </w:r>
    </w:p>
    <w:p w14:paraId="6D4BD093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left="1050" w:hanging="1050"/>
        <w:rPr>
          <w:rFonts w:ascii="黑体" w:hAnsi="黑体" w:eastAsia="黑体" w:cs="黑体"/>
          <w:szCs w:val="21"/>
        </w:rPr>
      </w:pPr>
      <w:r>
        <w:rPr>
          <w:rFonts w:ascii="黑体" w:hAnsi="黑体" w:eastAsia="黑体" w:cs="黑体"/>
          <w:szCs w:val="21"/>
        </w:rPr>
        <w:t xml:space="preserve">          2.</w:t>
      </w:r>
      <w:r>
        <w:rPr>
          <w:rFonts w:hint="eastAsia" w:ascii="黑体" w:hAnsi="黑体" w:eastAsia="黑体" w:cs="黑体"/>
          <w:szCs w:val="21"/>
        </w:rPr>
        <w:t>综合得分相同的，以服务方案得分高者为中标单位。</w:t>
      </w:r>
    </w:p>
    <w:p w14:paraId="60C282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05C4A"/>
    <w:rsid w:val="000C4657"/>
    <w:rsid w:val="007660DB"/>
    <w:rsid w:val="008B6E9D"/>
    <w:rsid w:val="008C37CB"/>
    <w:rsid w:val="00C8525A"/>
    <w:rsid w:val="05227176"/>
    <w:rsid w:val="0CAA0BCF"/>
    <w:rsid w:val="10DA3734"/>
    <w:rsid w:val="17F07FBD"/>
    <w:rsid w:val="18DD40DB"/>
    <w:rsid w:val="20AB492F"/>
    <w:rsid w:val="227C4964"/>
    <w:rsid w:val="25F212E3"/>
    <w:rsid w:val="26DF0C96"/>
    <w:rsid w:val="2719441C"/>
    <w:rsid w:val="28305C4A"/>
    <w:rsid w:val="2CFE48F4"/>
    <w:rsid w:val="352C2FB2"/>
    <w:rsid w:val="37A60062"/>
    <w:rsid w:val="38BD5663"/>
    <w:rsid w:val="3EEC76FF"/>
    <w:rsid w:val="42A5305A"/>
    <w:rsid w:val="4B3A0D95"/>
    <w:rsid w:val="5F7FC51B"/>
    <w:rsid w:val="60B1651C"/>
    <w:rsid w:val="656942F9"/>
    <w:rsid w:val="68DB225D"/>
    <w:rsid w:val="6C977140"/>
    <w:rsid w:val="77073972"/>
    <w:rsid w:val="7C39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99"/>
    <w:rPr>
      <w:rFonts w:ascii="宋体" w:cs="Courier New"/>
    </w:rPr>
  </w:style>
  <w:style w:type="paragraph" w:styleId="3">
    <w:name w:val="index 8"/>
    <w:basedOn w:val="1"/>
    <w:next w:val="1"/>
    <w:unhideWhenUsed/>
    <w:qFormat/>
    <w:uiPriority w:val="1"/>
    <w:pPr>
      <w:ind w:left="2940"/>
    </w:pPr>
  </w:style>
  <w:style w:type="paragraph" w:styleId="5">
    <w:name w:val="annotation text"/>
    <w:basedOn w:val="1"/>
    <w:link w:val="15"/>
    <w:qFormat/>
    <w:uiPriority w:val="0"/>
    <w:pPr>
      <w:jc w:val="left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annotation subject"/>
    <w:basedOn w:val="5"/>
    <w:next w:val="5"/>
    <w:link w:val="16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cs="宋体"/>
    </w:rPr>
  </w:style>
  <w:style w:type="table" w:customStyle="1" w:styleId="13">
    <w:name w:val="Table Normal"/>
    <w:semiHidden/>
    <w:unhideWhenUsed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批注框文本 字符"/>
    <w:basedOn w:val="10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批注文字 字符"/>
    <w:basedOn w:val="10"/>
    <w:link w:val="5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6">
    <w:name w:val="批注主题 字符"/>
    <w:basedOn w:val="15"/>
    <w:link w:val="7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1100</Words>
  <Characters>1188</Characters>
  <Lines>8</Lines>
  <Paragraphs>2</Paragraphs>
  <TotalTime>88</TotalTime>
  <ScaleCrop>false</ScaleCrop>
  <LinksUpToDate>false</LinksUpToDate>
  <CharactersWithSpaces>1204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2026-09-01T10:54:00Z</dcterms:created>
  <dc:creator>交交</dc:creator>
  <cp:lastModifiedBy>交交</cp:lastModifiedBy>
  <dcterms:modified xsi:type="dcterms:W3CDTF">2026-09-11T08:36:26Z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E8D002CA707642B7B810B9C8C71C0B0F_13</vt:lpwstr>
  </property>
  <property fmtid="{D5CDD505-2E9C-101B-9397-08002B2CF9AE}" pid="4" name="KSOTemplateDocerSaveRecord">
    <vt:lpwstr>eyJoZGlkIjoiM2JmM2ZkNDAyNzU0MjVhNWQzOGJkMDAwMDg2NWU5YTQiLCJ1c2VySWQiOiIxNjU2NDMyMDQwIn0=</vt:lpwstr>
  </property>
</Properties>
</file>