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C3139D">
      <w:pPr>
        <w:snapToGrid w:val="0"/>
        <w:spacing w:after="156" w:afterLines="50" w:line="360" w:lineRule="auto"/>
        <w:rPr>
          <w:rFonts w:hint="default" w:asciiTheme="majorEastAsia" w:hAnsiTheme="majorEastAsia" w:eastAsiaTheme="majorEastAsia"/>
          <w:b/>
          <w:color w:val="auto"/>
          <w:sz w:val="24"/>
          <w:szCs w:val="24"/>
          <w:highlight w:val="none"/>
          <w:u w:val="single"/>
          <w:lang w:val="en-US" w:eastAsia="zh-CN"/>
        </w:rPr>
      </w:pPr>
      <w:r>
        <w:rPr>
          <w:rFonts w:hint="eastAsia" w:asciiTheme="majorEastAsia" w:hAnsiTheme="majorEastAsia" w:eastAsiaTheme="majorEastAsia"/>
          <w:b/>
          <w:color w:val="auto"/>
          <w:sz w:val="24"/>
          <w:szCs w:val="24"/>
          <w:highlight w:val="none"/>
        </w:rPr>
        <w:t>合同编号：</w:t>
      </w:r>
      <w:r>
        <w:rPr>
          <w:rFonts w:hint="eastAsia" w:asciiTheme="majorEastAsia" w:hAnsiTheme="majorEastAsia" w:eastAsiaTheme="majorEastAsia"/>
          <w:b/>
          <w:color w:val="auto"/>
          <w:sz w:val="24"/>
          <w:szCs w:val="24"/>
          <w:highlight w:val="none"/>
          <w:u w:val="single"/>
          <w:lang w:val="en-US" w:eastAsia="zh-CN"/>
        </w:rPr>
        <w:t xml:space="preserve">                                                             </w:t>
      </w:r>
      <w:r>
        <w:rPr>
          <w:rFonts w:hint="eastAsia" w:asciiTheme="majorEastAsia" w:hAnsiTheme="majorEastAsia" w:eastAsiaTheme="majorEastAsia"/>
          <w:b/>
          <w:color w:val="auto"/>
          <w:sz w:val="24"/>
          <w:szCs w:val="24"/>
          <w:highlight w:val="none"/>
          <w:lang w:val="en-US" w:eastAsia="zh-CN"/>
        </w:rPr>
        <w:t xml:space="preserve">  </w:t>
      </w:r>
    </w:p>
    <w:p w14:paraId="64C8AB4F">
      <w:pPr>
        <w:snapToGrid w:val="0"/>
        <w:spacing w:after="156" w:afterLines="50" w:line="360" w:lineRule="auto"/>
        <w:rPr>
          <w:rFonts w:ascii="宋体" w:hAnsi="宋体"/>
          <w:b/>
          <w:color w:val="auto"/>
          <w:sz w:val="24"/>
          <w:highlight w:val="none"/>
        </w:rPr>
      </w:pPr>
      <w:r>
        <w:rPr>
          <w:rFonts w:hint="eastAsia" w:ascii="宋体" w:hAnsi="宋体"/>
          <w:b/>
          <w:color w:val="auto"/>
          <w:sz w:val="24"/>
          <w:highlight w:val="none"/>
        </w:rPr>
        <w:t xml:space="preserve"> </w:t>
      </w:r>
    </w:p>
    <w:p w14:paraId="281CF562">
      <w:pPr>
        <w:snapToGrid w:val="0"/>
        <w:spacing w:line="360" w:lineRule="auto"/>
        <w:jc w:val="center"/>
        <w:rPr>
          <w:rFonts w:ascii="宋体" w:hAnsi="宋体"/>
          <w:b/>
          <w:color w:val="auto"/>
          <w:spacing w:val="60"/>
          <w:sz w:val="44"/>
          <w:szCs w:val="44"/>
          <w:highlight w:val="none"/>
          <w:lang w:eastAsia="zh-Hans"/>
        </w:rPr>
      </w:pPr>
    </w:p>
    <w:p w14:paraId="5291DDEF">
      <w:pPr>
        <w:snapToGrid w:val="0"/>
        <w:spacing w:line="360" w:lineRule="auto"/>
        <w:jc w:val="center"/>
        <w:rPr>
          <w:rFonts w:ascii="宋体" w:hAnsi="宋体"/>
          <w:b/>
          <w:color w:val="auto"/>
          <w:spacing w:val="60"/>
          <w:sz w:val="44"/>
          <w:szCs w:val="44"/>
          <w:highlight w:val="none"/>
          <w:lang w:eastAsia="zh-Hans"/>
        </w:rPr>
      </w:pPr>
    </w:p>
    <w:p w14:paraId="13187736">
      <w:pPr>
        <w:snapToGrid w:val="0"/>
        <w:spacing w:line="360" w:lineRule="auto"/>
        <w:jc w:val="center"/>
        <w:rPr>
          <w:rFonts w:ascii="宋体" w:hAnsi="宋体"/>
          <w:b/>
          <w:color w:val="auto"/>
          <w:spacing w:val="60"/>
          <w:sz w:val="44"/>
          <w:szCs w:val="44"/>
          <w:highlight w:val="none"/>
          <w:lang w:eastAsia="zh-Hans"/>
        </w:rPr>
      </w:pPr>
    </w:p>
    <w:p w14:paraId="2DC1C7EA">
      <w:pPr>
        <w:snapToGrid w:val="0"/>
        <w:spacing w:line="360" w:lineRule="auto"/>
        <w:jc w:val="center"/>
        <w:rPr>
          <w:rFonts w:ascii="宋体" w:hAnsi="宋体"/>
          <w:b/>
          <w:color w:val="auto"/>
          <w:spacing w:val="60"/>
          <w:sz w:val="44"/>
          <w:szCs w:val="44"/>
          <w:highlight w:val="none"/>
          <w:lang w:eastAsia="zh-Hans"/>
        </w:rPr>
      </w:pPr>
      <w:r>
        <w:rPr>
          <w:rFonts w:hint="eastAsia" w:ascii="宋体" w:hAnsi="宋体"/>
          <w:b/>
          <w:color w:val="auto"/>
          <w:spacing w:val="60"/>
          <w:sz w:val="44"/>
          <w:szCs w:val="44"/>
          <w:highlight w:val="none"/>
          <w:lang w:eastAsia="zh-Hans"/>
        </w:rPr>
        <w:t>香港城市大学（东莞）</w:t>
      </w:r>
    </w:p>
    <w:p w14:paraId="6B81F9DF">
      <w:pPr>
        <w:snapToGrid w:val="0"/>
        <w:spacing w:line="360" w:lineRule="auto"/>
        <w:jc w:val="center"/>
        <w:rPr>
          <w:rFonts w:ascii="宋体" w:hAnsi="宋体"/>
          <w:b/>
          <w:color w:val="auto"/>
          <w:spacing w:val="60"/>
          <w:sz w:val="44"/>
          <w:szCs w:val="44"/>
          <w:highlight w:val="none"/>
        </w:rPr>
      </w:pPr>
      <w:r>
        <w:rPr>
          <w:rFonts w:hint="eastAsia" w:ascii="宋体" w:hAnsi="宋体"/>
          <w:b/>
          <w:color w:val="auto"/>
          <w:spacing w:val="60"/>
          <w:sz w:val="44"/>
          <w:szCs w:val="44"/>
          <w:highlight w:val="none"/>
          <w:lang w:eastAsia="zh-Hans"/>
        </w:rPr>
        <w:t>工程采购</w:t>
      </w:r>
      <w:r>
        <w:rPr>
          <w:rFonts w:hint="eastAsia" w:ascii="宋体" w:hAnsi="宋体"/>
          <w:b/>
          <w:color w:val="auto"/>
          <w:spacing w:val="60"/>
          <w:sz w:val="44"/>
          <w:szCs w:val="44"/>
          <w:highlight w:val="none"/>
        </w:rPr>
        <w:t>合同</w:t>
      </w:r>
    </w:p>
    <w:p w14:paraId="54F849F3">
      <w:pPr>
        <w:snapToGrid w:val="0"/>
        <w:rPr>
          <w:rFonts w:ascii="宋体" w:hAnsi="宋体"/>
          <w:b/>
          <w:color w:val="auto"/>
          <w:spacing w:val="60"/>
          <w:sz w:val="24"/>
          <w:highlight w:val="none"/>
        </w:rPr>
      </w:pPr>
    </w:p>
    <w:p w14:paraId="1C49C38D">
      <w:pPr>
        <w:snapToGrid w:val="0"/>
        <w:rPr>
          <w:rFonts w:ascii="宋体" w:hAnsi="宋体"/>
          <w:b/>
          <w:color w:val="auto"/>
          <w:spacing w:val="60"/>
          <w:sz w:val="24"/>
          <w:highlight w:val="none"/>
        </w:rPr>
      </w:pPr>
    </w:p>
    <w:p w14:paraId="6ACBFD39">
      <w:pPr>
        <w:snapToGrid w:val="0"/>
        <w:rPr>
          <w:rFonts w:ascii="宋体" w:hAnsi="宋体"/>
          <w:b/>
          <w:color w:val="auto"/>
          <w:sz w:val="24"/>
          <w:highlight w:val="none"/>
        </w:rPr>
      </w:pPr>
    </w:p>
    <w:p w14:paraId="7EB8D4FF">
      <w:pPr>
        <w:snapToGrid w:val="0"/>
        <w:spacing w:after="156" w:afterLines="50" w:line="360" w:lineRule="auto"/>
        <w:rPr>
          <w:rFonts w:ascii="宋体" w:hAnsi="宋体"/>
          <w:b/>
          <w:color w:val="auto"/>
          <w:sz w:val="24"/>
          <w:highlight w:val="none"/>
        </w:rPr>
      </w:pPr>
    </w:p>
    <w:p w14:paraId="739F8C0A">
      <w:pPr>
        <w:snapToGrid w:val="0"/>
        <w:spacing w:after="156" w:afterLines="50" w:line="360" w:lineRule="auto"/>
        <w:rPr>
          <w:rFonts w:ascii="宋体" w:hAnsi="宋体"/>
          <w:b/>
          <w:color w:val="auto"/>
          <w:sz w:val="24"/>
          <w:highlight w:val="none"/>
        </w:rPr>
      </w:pPr>
    </w:p>
    <w:p w14:paraId="4F7F2E83">
      <w:pPr>
        <w:snapToGrid w:val="0"/>
        <w:spacing w:after="156" w:afterLines="50" w:line="360" w:lineRule="auto"/>
        <w:rPr>
          <w:rFonts w:ascii="宋体" w:hAnsi="宋体"/>
          <w:b/>
          <w:color w:val="auto"/>
          <w:sz w:val="24"/>
          <w:highlight w:val="none"/>
        </w:rPr>
      </w:pPr>
    </w:p>
    <w:p w14:paraId="10E20690">
      <w:pPr>
        <w:snapToGrid w:val="0"/>
        <w:spacing w:after="156" w:afterLines="50" w:line="360" w:lineRule="auto"/>
        <w:rPr>
          <w:rFonts w:ascii="宋体" w:hAnsi="宋体"/>
          <w:b/>
          <w:color w:val="auto"/>
          <w:sz w:val="24"/>
          <w:highlight w:val="none"/>
        </w:rPr>
      </w:pPr>
    </w:p>
    <w:p w14:paraId="18F04AE8">
      <w:pPr>
        <w:snapToGrid w:val="0"/>
        <w:spacing w:after="156" w:afterLines="50" w:line="360" w:lineRule="auto"/>
        <w:rPr>
          <w:rFonts w:ascii="宋体" w:hAnsi="宋体"/>
          <w:b/>
          <w:color w:val="auto"/>
          <w:sz w:val="24"/>
          <w:highlight w:val="none"/>
        </w:rPr>
      </w:pPr>
    </w:p>
    <w:p w14:paraId="5D269AD2">
      <w:pPr>
        <w:snapToGrid w:val="0"/>
        <w:spacing w:after="156" w:afterLines="50" w:line="360" w:lineRule="auto"/>
        <w:ind w:firstLine="638" w:firstLineChars="265"/>
        <w:rPr>
          <w:rFonts w:hint="default" w:ascii="宋体" w:hAnsi="宋体" w:eastAsia="宋体"/>
          <w:b/>
          <w:color w:val="auto"/>
          <w:sz w:val="24"/>
          <w:highlight w:val="none"/>
          <w:u w:val="single"/>
          <w:lang w:val="en-US" w:eastAsia="zh-CN"/>
        </w:rPr>
      </w:pPr>
      <w:r>
        <w:rPr>
          <w:rFonts w:hint="eastAsia" w:ascii="宋体" w:hAnsi="宋体"/>
          <w:b/>
          <w:color w:val="auto"/>
          <w:sz w:val="24"/>
          <w:highlight w:val="none"/>
          <w:lang w:eastAsia="zh-Hans"/>
        </w:rPr>
        <w:t>项</w:t>
      </w:r>
      <w:r>
        <w:rPr>
          <w:rFonts w:hint="eastAsia" w:ascii="宋体" w:hAnsi="宋体"/>
          <w:b/>
          <w:color w:val="auto"/>
          <w:sz w:val="24"/>
          <w:highlight w:val="none"/>
          <w:lang w:val="en-US" w:eastAsia="zh-CN"/>
        </w:rPr>
        <w:t xml:space="preserve">  </w:t>
      </w:r>
      <w:r>
        <w:rPr>
          <w:rFonts w:hint="eastAsia" w:ascii="宋体" w:hAnsi="宋体"/>
          <w:b/>
          <w:color w:val="auto"/>
          <w:sz w:val="24"/>
          <w:highlight w:val="none"/>
          <w:lang w:eastAsia="zh-Hans"/>
        </w:rPr>
        <w:t>目</w:t>
      </w:r>
      <w:r>
        <w:rPr>
          <w:rFonts w:hint="eastAsia" w:ascii="宋体" w:hAnsi="宋体"/>
          <w:b/>
          <w:color w:val="auto"/>
          <w:sz w:val="24"/>
          <w:highlight w:val="none"/>
          <w:lang w:val="en-US" w:eastAsia="zh-CN"/>
        </w:rPr>
        <w:t xml:space="preserve"> </w:t>
      </w:r>
      <w:r>
        <w:rPr>
          <w:rFonts w:hint="eastAsia" w:ascii="宋体" w:hAnsi="宋体"/>
          <w:b/>
          <w:color w:val="auto"/>
          <w:sz w:val="24"/>
          <w:highlight w:val="none"/>
          <w:lang w:eastAsia="zh-Hans"/>
        </w:rPr>
        <w:t>名</w:t>
      </w:r>
      <w:r>
        <w:rPr>
          <w:rFonts w:hint="eastAsia" w:ascii="宋体" w:hAnsi="宋体"/>
          <w:b/>
          <w:color w:val="auto"/>
          <w:sz w:val="24"/>
          <w:highlight w:val="none"/>
          <w:lang w:val="en-US" w:eastAsia="zh-CN"/>
        </w:rPr>
        <w:t xml:space="preserve">  </w:t>
      </w:r>
      <w:r>
        <w:rPr>
          <w:rFonts w:hint="eastAsia" w:ascii="宋体" w:hAnsi="宋体"/>
          <w:b/>
          <w:color w:val="auto"/>
          <w:sz w:val="24"/>
          <w:highlight w:val="none"/>
          <w:lang w:eastAsia="zh-Hans"/>
        </w:rPr>
        <w:t>称</w:t>
      </w:r>
      <w:r>
        <w:rPr>
          <w:rFonts w:hint="eastAsia" w:ascii="宋体" w:hAnsi="宋体"/>
          <w:b/>
          <w:color w:val="auto"/>
          <w:sz w:val="24"/>
          <w:highlight w:val="none"/>
        </w:rPr>
        <w:t>：</w:t>
      </w:r>
      <w:r>
        <w:rPr>
          <w:rFonts w:hint="eastAsia" w:ascii="宋体" w:hAnsi="宋体"/>
          <w:b/>
          <w:color w:val="auto"/>
          <w:sz w:val="24"/>
          <w:highlight w:val="none"/>
          <w:u w:val="single"/>
          <w:lang w:eastAsia="zh-Hans"/>
        </w:rPr>
        <w:t>香港城市大学（东莞）</w:t>
      </w:r>
      <w:r>
        <w:rPr>
          <w:rFonts w:hint="eastAsia" w:ascii="宋体" w:hAnsi="宋体"/>
          <w:b/>
          <w:color w:val="auto"/>
          <w:sz w:val="24"/>
          <w:highlight w:val="none"/>
          <w:u w:val="single"/>
          <w:lang w:val="en-US" w:eastAsia="zh-CN"/>
        </w:rPr>
        <w:t xml:space="preserve">                                      </w:t>
      </w:r>
    </w:p>
    <w:p w14:paraId="3CC51123">
      <w:pPr>
        <w:snapToGrid w:val="0"/>
        <w:spacing w:after="156" w:afterLines="50" w:line="360" w:lineRule="auto"/>
        <w:ind w:firstLine="638" w:firstLineChars="265"/>
        <w:rPr>
          <w:rFonts w:hint="eastAsia" w:ascii="宋体" w:hAnsi="宋体"/>
          <w:b/>
          <w:color w:val="auto"/>
          <w:sz w:val="24"/>
          <w:highlight w:val="none"/>
          <w:u w:val="single"/>
          <w:lang w:val="en-US" w:eastAsia="zh-CN"/>
        </w:rPr>
      </w:pPr>
      <w:r>
        <w:rPr>
          <w:rFonts w:hint="eastAsia" w:ascii="宋体" w:hAnsi="宋体"/>
          <w:b/>
          <w:color w:val="auto"/>
          <w:sz w:val="24"/>
          <w:highlight w:val="none"/>
          <w:lang w:eastAsia="zh-Hans"/>
        </w:rPr>
        <w:t>甲方（</w:t>
      </w:r>
      <w:r>
        <w:rPr>
          <w:rFonts w:hint="eastAsia" w:ascii="宋体" w:hAnsi="宋体"/>
          <w:b/>
          <w:color w:val="auto"/>
          <w:sz w:val="24"/>
          <w:highlight w:val="none"/>
        </w:rPr>
        <w:t>发包</w:t>
      </w:r>
      <w:r>
        <w:rPr>
          <w:rFonts w:hint="eastAsia" w:ascii="宋体" w:hAnsi="宋体"/>
          <w:b/>
          <w:color w:val="auto"/>
          <w:sz w:val="24"/>
          <w:highlight w:val="none"/>
          <w:lang w:eastAsia="zh-Hans"/>
        </w:rPr>
        <w:t>方）</w:t>
      </w:r>
      <w:r>
        <w:rPr>
          <w:rFonts w:hint="eastAsia" w:ascii="宋体" w:hAnsi="宋体"/>
          <w:b/>
          <w:color w:val="auto"/>
          <w:sz w:val="24"/>
          <w:highlight w:val="none"/>
        </w:rPr>
        <w:t>：</w:t>
      </w:r>
      <w:r>
        <w:rPr>
          <w:rFonts w:hint="eastAsia" w:ascii="宋体" w:hAnsi="宋体"/>
          <w:b/>
          <w:color w:val="auto"/>
          <w:sz w:val="24"/>
          <w:highlight w:val="none"/>
          <w:u w:val="single"/>
          <w:lang w:eastAsia="zh-Hans"/>
        </w:rPr>
        <w:t>香港城市大学（东莞）</w:t>
      </w:r>
      <w:r>
        <w:rPr>
          <w:rFonts w:hint="eastAsia" w:ascii="宋体" w:hAnsi="宋体"/>
          <w:b/>
          <w:color w:val="auto"/>
          <w:sz w:val="24"/>
          <w:highlight w:val="none"/>
          <w:u w:val="single"/>
          <w:lang w:val="en-US" w:eastAsia="zh-CN"/>
        </w:rPr>
        <w:t xml:space="preserve">                                  </w:t>
      </w:r>
    </w:p>
    <w:p w14:paraId="15175D80">
      <w:pPr>
        <w:snapToGrid w:val="0"/>
        <w:spacing w:after="156" w:afterLines="50" w:line="360" w:lineRule="auto"/>
        <w:ind w:firstLine="638" w:firstLineChars="265"/>
        <w:rPr>
          <w:rFonts w:ascii="宋体" w:hAnsi="宋体"/>
          <w:b/>
          <w:color w:val="auto"/>
          <w:sz w:val="24"/>
          <w:highlight w:val="none"/>
        </w:rPr>
      </w:pPr>
      <w:r>
        <w:rPr>
          <w:rFonts w:hint="eastAsia" w:ascii="宋体" w:hAnsi="宋体"/>
          <w:b/>
          <w:color w:val="auto"/>
          <w:sz w:val="24"/>
          <w:highlight w:val="none"/>
          <w:lang w:eastAsia="zh-Hans"/>
        </w:rPr>
        <w:t>乙方（承包方）</w:t>
      </w:r>
      <w:r>
        <w:rPr>
          <w:rFonts w:hint="eastAsia" w:ascii="宋体" w:hAnsi="宋体"/>
          <w:b/>
          <w:color w:val="auto"/>
          <w:sz w:val="24"/>
          <w:highlight w:val="none"/>
        </w:rPr>
        <w:t>：</w:t>
      </w:r>
      <w:r>
        <w:rPr>
          <w:rFonts w:hint="eastAsia" w:ascii="宋体" w:hAnsi="宋体"/>
          <w:b/>
          <w:color w:val="auto"/>
          <w:sz w:val="24"/>
          <w:highlight w:val="none"/>
          <w:u w:val="single"/>
          <w:lang w:val="en-US" w:eastAsia="zh-CN"/>
        </w:rPr>
        <w:t xml:space="preserve">                                                           </w:t>
      </w:r>
    </w:p>
    <w:p w14:paraId="17BA8F45">
      <w:pPr>
        <w:snapToGrid w:val="0"/>
        <w:spacing w:after="156" w:afterLines="50" w:line="360" w:lineRule="auto"/>
        <w:ind w:firstLine="638" w:firstLineChars="265"/>
        <w:rPr>
          <w:rFonts w:ascii="宋体" w:hAnsi="宋体"/>
          <w:b/>
          <w:color w:val="auto"/>
          <w:sz w:val="24"/>
          <w:highlight w:val="none"/>
          <w:lang w:eastAsia="zh-Hans"/>
        </w:rPr>
      </w:pPr>
      <w:r>
        <w:rPr>
          <w:rFonts w:hint="eastAsia" w:ascii="宋体" w:hAnsi="宋体"/>
          <w:b/>
          <w:color w:val="auto"/>
          <w:sz w:val="24"/>
          <w:highlight w:val="none"/>
        </w:rPr>
        <w:t>签</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订</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地</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点：</w:t>
      </w:r>
      <w:r>
        <w:rPr>
          <w:rFonts w:hint="eastAsia" w:ascii="宋体" w:hAnsi="宋体"/>
          <w:b/>
          <w:color w:val="auto"/>
          <w:sz w:val="24"/>
          <w:highlight w:val="none"/>
          <w:lang w:eastAsia="zh-Hans"/>
        </w:rPr>
        <w:t>广东省东莞市松山湖园区</w:t>
      </w:r>
    </w:p>
    <w:p w14:paraId="499338C4">
      <w:pPr>
        <w:snapToGrid w:val="0"/>
        <w:spacing w:line="360" w:lineRule="auto"/>
        <w:rPr>
          <w:rFonts w:ascii="宋体" w:hAnsi="宋体"/>
          <w:color w:val="auto"/>
          <w:sz w:val="24"/>
          <w:highlight w:val="none"/>
        </w:rPr>
      </w:pPr>
    </w:p>
    <w:p w14:paraId="15BA177D">
      <w:pPr>
        <w:snapToGrid w:val="0"/>
        <w:spacing w:line="360" w:lineRule="auto"/>
        <w:rPr>
          <w:rFonts w:ascii="宋体" w:hAnsi="宋体"/>
          <w:color w:val="auto"/>
          <w:sz w:val="24"/>
          <w:highlight w:val="none"/>
        </w:rPr>
      </w:pPr>
    </w:p>
    <w:p w14:paraId="1379DDFC">
      <w:pPr>
        <w:snapToGrid w:val="0"/>
        <w:spacing w:line="360" w:lineRule="auto"/>
        <w:rPr>
          <w:rFonts w:ascii="宋体" w:hAnsi="宋体"/>
          <w:color w:val="auto"/>
          <w:sz w:val="24"/>
          <w:highlight w:val="none"/>
        </w:rPr>
      </w:pPr>
    </w:p>
    <w:p w14:paraId="4343355F">
      <w:pPr>
        <w:snapToGrid w:val="0"/>
        <w:spacing w:line="360" w:lineRule="auto"/>
        <w:rPr>
          <w:rFonts w:ascii="宋体" w:hAnsi="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0301F1FA">
      <w:pPr>
        <w:snapToGrid w:val="0"/>
        <w:spacing w:line="360" w:lineRule="auto"/>
        <w:jc w:val="center"/>
        <w:rPr>
          <w:rFonts w:ascii="宋体" w:hAnsi="宋体"/>
          <w:b/>
          <w:color w:val="auto"/>
          <w:sz w:val="24"/>
          <w:highlight w:val="none"/>
        </w:rPr>
      </w:pPr>
    </w:p>
    <w:p w14:paraId="0F05650B">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使用说明</w:t>
      </w:r>
    </w:p>
    <w:p w14:paraId="2FD08A1B">
      <w:pPr>
        <w:snapToGrid w:val="0"/>
        <w:spacing w:line="360" w:lineRule="auto"/>
        <w:ind w:firstLine="480" w:firstLineChars="200"/>
        <w:rPr>
          <w:rFonts w:ascii="宋体" w:hAnsi="宋体"/>
          <w:color w:val="auto"/>
          <w:sz w:val="24"/>
          <w:highlight w:val="none"/>
        </w:rPr>
      </w:pPr>
    </w:p>
    <w:p w14:paraId="58C71DA0">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本合同为香港城市大学（东莞）项目工程通用的标准合同模板。</w:t>
      </w:r>
    </w:p>
    <w:p w14:paraId="245A2520">
      <w:pPr>
        <w:snapToGrid w:val="0"/>
        <w:spacing w:line="360" w:lineRule="auto"/>
        <w:ind w:left="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本合同适用于香港城市大学（东莞）进行的</w:t>
      </w:r>
      <w:r>
        <w:rPr>
          <w:rFonts w:hint="eastAsia" w:asciiTheme="minorEastAsia" w:hAnsiTheme="minorEastAsia" w:eastAsiaTheme="minorEastAsia"/>
          <w:color w:val="auto"/>
          <w:sz w:val="24"/>
          <w:highlight w:val="none"/>
          <w:lang w:eastAsia="zh-Hans"/>
        </w:rPr>
        <w:t>工程项目施工行为</w:t>
      </w:r>
      <w:r>
        <w:rPr>
          <w:rFonts w:hint="eastAsia" w:asciiTheme="minorEastAsia" w:hAnsiTheme="minorEastAsia" w:eastAsiaTheme="minorEastAsia"/>
          <w:color w:val="auto"/>
          <w:sz w:val="24"/>
          <w:highlight w:val="none"/>
        </w:rPr>
        <w:t>。</w:t>
      </w:r>
    </w:p>
    <w:p w14:paraId="5E9DEBF6">
      <w:pPr>
        <w:snapToGrid w:val="0"/>
        <w:spacing w:line="360" w:lineRule="auto"/>
        <w:ind w:firstLine="480" w:firstLineChars="200"/>
        <w:rPr>
          <w:rFonts w:cs="宋体" w:asciiTheme="minorEastAsia" w:hAnsiTheme="minorEastAsia" w:eastAsiaTheme="minorEastAsia"/>
          <w:color w:val="auto"/>
          <w:kern w:val="0"/>
          <w:sz w:val="24"/>
          <w:highlight w:val="none"/>
          <w:lang w:val="zh-CN"/>
        </w:rPr>
      </w:pPr>
      <w:r>
        <w:rPr>
          <w:rFonts w:asciiTheme="minorEastAsia" w:hAnsiTheme="minorEastAsia" w:eastAsiaTheme="minorEastAsia"/>
          <w:color w:val="auto"/>
          <w:sz w:val="24"/>
          <w:highlight w:val="none"/>
        </w:rPr>
        <w:t>3</w:t>
      </w:r>
      <w:r>
        <w:rPr>
          <w:rFonts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本合同分“专用条款”、“专用条款附件”</w:t>
      </w:r>
      <w:r>
        <w:rPr>
          <w:rFonts w:hint="eastAsia" w:cs="宋体" w:asciiTheme="minorEastAsia" w:hAnsiTheme="minorEastAsia" w:eastAsiaTheme="minorEastAsia"/>
          <w:color w:val="auto"/>
          <w:kern w:val="0"/>
          <w:sz w:val="24"/>
          <w:highlight w:val="none"/>
        </w:rPr>
        <w:t>和</w:t>
      </w:r>
      <w:r>
        <w:rPr>
          <w:rFonts w:hint="eastAsia" w:cs="宋体" w:asciiTheme="minorEastAsia" w:hAnsiTheme="minorEastAsia" w:eastAsiaTheme="minorEastAsia"/>
          <w:color w:val="auto"/>
          <w:kern w:val="0"/>
          <w:sz w:val="24"/>
          <w:highlight w:val="none"/>
          <w:lang w:val="zh-CN"/>
        </w:rPr>
        <w:t>“通用条款”三个部分。</w:t>
      </w:r>
    </w:p>
    <w:p w14:paraId="760C3C77">
      <w:pPr>
        <w:snapToGrid w:val="0"/>
        <w:spacing w:line="360" w:lineRule="auto"/>
        <w:ind w:firstLine="480" w:firstLineChars="200"/>
        <w:rPr>
          <w:rFonts w:cs="宋体" w:asciiTheme="minorEastAsia" w:hAnsiTheme="minorEastAsia" w:eastAsiaTheme="minorEastAsia"/>
          <w:color w:val="auto"/>
          <w:kern w:val="0"/>
          <w:sz w:val="24"/>
          <w:highlight w:val="none"/>
          <w:lang w:val="zh-CN"/>
        </w:rPr>
      </w:pPr>
      <w:r>
        <w:rPr>
          <w:rFonts w:cs="宋体" w:asciiTheme="minorEastAsia" w:hAnsiTheme="minorEastAsia" w:eastAsiaTheme="minorEastAsia"/>
          <w:color w:val="auto"/>
          <w:kern w:val="0"/>
          <w:sz w:val="24"/>
          <w:highlight w:val="none"/>
          <w:lang w:val="zh-CN"/>
        </w:rPr>
        <w:t>4.</w:t>
      </w:r>
      <w:r>
        <w:rPr>
          <w:rFonts w:hint="eastAsia" w:cs="宋体" w:asciiTheme="minorEastAsia" w:hAnsiTheme="minorEastAsia" w:eastAsiaTheme="minorEastAsia"/>
          <w:color w:val="auto"/>
          <w:kern w:val="0"/>
          <w:sz w:val="24"/>
          <w:highlight w:val="none"/>
          <w:lang w:val="zh-CN"/>
        </w:rPr>
        <w:t>使用本合同时无约定的条款，应在该条款处注明“无”</w:t>
      </w:r>
      <w:r>
        <w:rPr>
          <w:rFonts w:hint="eastAsia" w:cs="宋体" w:asciiTheme="minorEastAsia" w:hAnsiTheme="minorEastAsia" w:eastAsiaTheme="minorEastAsia"/>
          <w:color w:val="auto"/>
          <w:kern w:val="0"/>
          <w:sz w:val="24"/>
          <w:highlight w:val="none"/>
          <w:lang w:eastAsia="zh-Hans"/>
        </w:rPr>
        <w:t>或在填写处添加“</w:t>
      </w:r>
      <w:r>
        <w:rPr>
          <w:rFonts w:cs="宋体" w:asciiTheme="minorEastAsia" w:hAnsiTheme="minorEastAsia" w:eastAsiaTheme="minorEastAsia"/>
          <w:color w:val="auto"/>
          <w:kern w:val="0"/>
          <w:sz w:val="24"/>
          <w:highlight w:val="none"/>
          <w:lang w:eastAsia="zh-Hans"/>
        </w:rPr>
        <w:t>\</w:t>
      </w:r>
      <w:r>
        <w:rPr>
          <w:rFonts w:hint="eastAsia" w:cs="宋体" w:asciiTheme="minorEastAsia" w:hAnsiTheme="minorEastAsia" w:eastAsiaTheme="minorEastAsia"/>
          <w:color w:val="auto"/>
          <w:kern w:val="0"/>
          <w:sz w:val="24"/>
          <w:highlight w:val="none"/>
          <w:lang w:eastAsia="zh-Hans"/>
        </w:rPr>
        <w:t>”</w:t>
      </w:r>
      <w:r>
        <w:rPr>
          <w:rFonts w:hint="eastAsia" w:cs="宋体" w:asciiTheme="minorEastAsia" w:hAnsiTheme="minorEastAsia" w:eastAsiaTheme="minorEastAsia"/>
          <w:color w:val="auto"/>
          <w:kern w:val="0"/>
          <w:sz w:val="24"/>
          <w:highlight w:val="none"/>
          <w:lang w:val="zh-CN"/>
        </w:rPr>
        <w:t>。</w:t>
      </w:r>
    </w:p>
    <w:p w14:paraId="37F61832">
      <w:pPr>
        <w:snapToGrid w:val="0"/>
        <w:spacing w:line="360" w:lineRule="auto"/>
        <w:ind w:firstLine="480" w:firstLineChars="200"/>
        <w:rPr>
          <w:rFonts w:cs="宋体" w:asciiTheme="minorEastAsia" w:hAnsiTheme="minorEastAsia" w:eastAsiaTheme="minorEastAsia"/>
          <w:color w:val="auto"/>
          <w:sz w:val="24"/>
          <w:highlight w:val="none"/>
          <w:lang w:val="zh-CN"/>
        </w:rPr>
      </w:pPr>
      <w:r>
        <w:rPr>
          <w:rFonts w:cs="宋体" w:asciiTheme="minorEastAsia" w:hAnsiTheme="minorEastAsia" w:eastAsiaTheme="minorEastAsia"/>
          <w:color w:val="auto"/>
          <w:sz w:val="24"/>
          <w:highlight w:val="none"/>
          <w:lang w:val="zh-CN"/>
        </w:rPr>
        <w:t>5.</w:t>
      </w:r>
      <w:r>
        <w:rPr>
          <w:rFonts w:hint="eastAsia" w:cs="宋体" w:asciiTheme="majorEastAsia" w:hAnsiTheme="majorEastAsia" w:eastAsiaTheme="majorEastAsia"/>
          <w:color w:val="auto"/>
          <w:kern w:val="0"/>
          <w:sz w:val="24"/>
          <w:highlight w:val="none"/>
          <w:lang w:val="zh-CN"/>
        </w:rPr>
        <w:t>使用本合同时需选择的条款，应在该条款“第</w:t>
      </w:r>
      <w:r>
        <w:rPr>
          <w:rFonts w:hint="eastAsia" w:cs="宋体" w:asciiTheme="majorEastAsia" w:hAnsiTheme="majorEastAsia" w:eastAsiaTheme="majorEastAsia"/>
          <w:color w:val="auto"/>
          <w:sz w:val="24"/>
          <w:highlight w:val="none"/>
          <w:lang w:val="zh-CN"/>
        </w:rPr>
        <w:t>（）项”处</w:t>
      </w:r>
      <w:r>
        <w:rPr>
          <w:rFonts w:hint="eastAsia" w:cs="宋体" w:asciiTheme="majorEastAsia" w:hAnsiTheme="majorEastAsia" w:eastAsiaTheme="majorEastAsia"/>
          <w:color w:val="auto"/>
          <w:kern w:val="0"/>
          <w:sz w:val="24"/>
          <w:highlight w:val="none"/>
          <w:lang w:val="zh-CN"/>
        </w:rPr>
        <w:t>填写具体选项内容或在</w:t>
      </w:r>
      <w:r>
        <w:rPr>
          <w:rFonts w:hint="eastAsia" w:cs="宋体" w:asciiTheme="majorEastAsia" w:hAnsiTheme="majorEastAsia" w:eastAsiaTheme="majorEastAsia"/>
          <w:color w:val="auto"/>
          <w:sz w:val="24"/>
          <w:highlight w:val="none"/>
          <w:lang w:val="zh-CN"/>
        </w:rPr>
        <w:t>“□</w:t>
      </w:r>
      <w:r>
        <w:rPr>
          <w:rFonts w:hint="eastAsia" w:cs="宋体" w:asciiTheme="majorEastAsia" w:hAnsiTheme="majorEastAsia" w:eastAsiaTheme="majorEastAsia"/>
          <w:color w:val="auto"/>
          <w:kern w:val="0"/>
          <w:sz w:val="24"/>
          <w:highlight w:val="none"/>
          <w:lang w:val="zh-CN"/>
        </w:rPr>
        <w:t>”处</w:t>
      </w:r>
      <w:r>
        <w:rPr>
          <w:rFonts w:hint="eastAsia" w:cs="宋体" w:asciiTheme="majorEastAsia" w:hAnsiTheme="majorEastAsia" w:eastAsiaTheme="majorEastAsia"/>
          <w:color w:val="auto"/>
          <w:kern w:val="0"/>
          <w:sz w:val="24"/>
          <w:highlight w:val="none"/>
          <w:lang w:val="en-US" w:eastAsia="zh-CN"/>
        </w:rPr>
        <w:t>进行选择</w:t>
      </w:r>
      <w:r>
        <w:rPr>
          <w:rFonts w:hint="eastAsia" w:cs="宋体" w:asciiTheme="majorEastAsia" w:hAnsiTheme="majorEastAsia" w:eastAsiaTheme="majorEastAsia"/>
          <w:color w:val="auto"/>
          <w:kern w:val="0"/>
          <w:sz w:val="24"/>
          <w:highlight w:val="none"/>
          <w:lang w:val="zh-CN"/>
        </w:rPr>
        <w:t>。</w:t>
      </w:r>
    </w:p>
    <w:p w14:paraId="19A340EB">
      <w:pPr>
        <w:snapToGrid w:val="0"/>
        <w:spacing w:line="360" w:lineRule="auto"/>
        <w:ind w:firstLine="480" w:firstLineChars="200"/>
        <w:rPr>
          <w:rFonts w:cs="宋体" w:asciiTheme="minorEastAsia" w:hAnsiTheme="minorEastAsia" w:eastAsiaTheme="minorEastAsia"/>
          <w:color w:val="auto"/>
          <w:sz w:val="24"/>
          <w:highlight w:val="none"/>
          <w:lang w:val="zh-CN"/>
        </w:rPr>
      </w:pPr>
      <w:r>
        <w:rPr>
          <w:rFonts w:cs="宋体"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如存在本合同模板不适用情况，以具体适用的合同模板或本合同修订后的模板为准。未经</w:t>
      </w:r>
      <w:r>
        <w:rPr>
          <w:rFonts w:hint="eastAsia" w:cs="宋体" w:asciiTheme="minorEastAsia" w:hAnsiTheme="minorEastAsia" w:eastAsiaTheme="minorEastAsia"/>
          <w:color w:val="auto"/>
          <w:sz w:val="24"/>
          <w:highlight w:val="none"/>
          <w:lang w:eastAsia="zh-Hans"/>
        </w:rPr>
        <w:t>甲、乙双方协商一致且</w:t>
      </w:r>
      <w:r>
        <w:rPr>
          <w:rFonts w:hint="eastAsia" w:asciiTheme="minorEastAsia" w:hAnsiTheme="minorEastAsia" w:eastAsiaTheme="minorEastAsia"/>
          <w:color w:val="auto"/>
          <w:sz w:val="24"/>
          <w:highlight w:val="none"/>
        </w:rPr>
        <w:t>香港城市大学（东莞）审批同意</w:t>
      </w:r>
      <w:r>
        <w:rPr>
          <w:rFonts w:hint="eastAsia" w:asciiTheme="minorEastAsia" w:hAnsiTheme="minorEastAsia" w:eastAsiaTheme="minorEastAsia"/>
          <w:color w:val="auto"/>
          <w:sz w:val="24"/>
          <w:highlight w:val="none"/>
          <w:lang w:eastAsia="zh-Hans"/>
        </w:rPr>
        <w:t>，不得</w:t>
      </w:r>
      <w:r>
        <w:rPr>
          <w:rFonts w:hint="eastAsia" w:asciiTheme="minorEastAsia" w:hAnsiTheme="minorEastAsia" w:eastAsiaTheme="minorEastAsia"/>
          <w:color w:val="auto"/>
          <w:sz w:val="24"/>
          <w:highlight w:val="none"/>
          <w:lang w:eastAsia="zh-CN"/>
        </w:rPr>
        <w:t>对</w:t>
      </w:r>
      <w:r>
        <w:rPr>
          <w:rFonts w:hint="eastAsia" w:asciiTheme="minorEastAsia" w:hAnsiTheme="minorEastAsia" w:eastAsiaTheme="minorEastAsia"/>
          <w:color w:val="auto"/>
          <w:sz w:val="24"/>
          <w:highlight w:val="none"/>
          <w:lang w:eastAsia="zh-Hans"/>
        </w:rPr>
        <w:t>本合同“通用条款”部分进行修订，对</w:t>
      </w:r>
      <w:r>
        <w:rPr>
          <w:rFonts w:cs="宋体" w:asciiTheme="minorEastAsia" w:hAnsiTheme="minorEastAsia" w:eastAsiaTheme="minorEastAsia"/>
          <w:color w:val="auto"/>
          <w:sz w:val="24"/>
          <w:highlight w:val="none"/>
          <w:lang w:val="zh-CN"/>
        </w:rPr>
        <w:t>本合同的修改或补充，可由</w:t>
      </w:r>
      <w:r>
        <w:rPr>
          <w:rFonts w:hint="eastAsia" w:cs="宋体" w:asciiTheme="minorEastAsia" w:hAnsiTheme="minorEastAsia" w:eastAsiaTheme="minorEastAsia"/>
          <w:color w:val="auto"/>
          <w:sz w:val="24"/>
          <w:highlight w:val="none"/>
          <w:lang w:eastAsia="zh-Hans"/>
        </w:rPr>
        <w:t>双方</w:t>
      </w:r>
      <w:r>
        <w:rPr>
          <w:rFonts w:cs="宋体" w:asciiTheme="minorEastAsia" w:hAnsiTheme="minorEastAsia" w:eastAsiaTheme="minorEastAsia"/>
          <w:color w:val="auto"/>
          <w:sz w:val="24"/>
          <w:highlight w:val="none"/>
          <w:lang w:val="zh-CN"/>
        </w:rPr>
        <w:t>在“专用条款”中进行约定。</w:t>
      </w:r>
    </w:p>
    <w:p w14:paraId="0B054567">
      <w:pPr>
        <w:snapToGrid w:val="0"/>
        <w:spacing w:line="360" w:lineRule="auto"/>
        <w:ind w:firstLine="480" w:firstLineChars="200"/>
        <w:rPr>
          <w:rFonts w:ascii="宋体" w:hAnsi="宋体" w:cs="宋体"/>
          <w:color w:val="F2F2F2" w:themeColor="background1" w:themeShade="F2"/>
          <w:sz w:val="24"/>
          <w:highlight w:val="none"/>
          <w:lang w:val="zh-CN"/>
        </w:rPr>
      </w:pPr>
      <w:r>
        <w:rPr>
          <w:rFonts w:hint="eastAsia" w:ascii="宋体" w:hAnsi="宋体" w:cs="宋体"/>
          <w:color w:val="F2F2F2" w:themeColor="background1" w:themeShade="F2"/>
          <w:sz w:val="24"/>
          <w:highlight w:val="none"/>
          <w:lang w:val="zh-CN"/>
        </w:rPr>
        <w:t>7.</w:t>
      </w:r>
      <w:r>
        <w:rPr>
          <w:rFonts w:hint="eastAsia" w:asciiTheme="minorEastAsia" w:hAnsiTheme="minorEastAsia" w:eastAsiaTheme="minorEastAsia"/>
          <w:color w:val="F2F2F2" w:themeColor="background1" w:themeShade="F2"/>
          <w:sz w:val="24"/>
          <w:highlight w:val="none"/>
        </w:rPr>
        <w:t>版本号：202</w:t>
      </w:r>
      <w:r>
        <w:rPr>
          <w:rFonts w:hint="eastAsia" w:asciiTheme="minorEastAsia" w:hAnsiTheme="minorEastAsia" w:eastAsiaTheme="minorEastAsia"/>
          <w:color w:val="F2F2F2" w:themeColor="background1" w:themeShade="F2"/>
          <w:sz w:val="24"/>
          <w:highlight w:val="none"/>
          <w:lang w:val="en-US" w:eastAsia="zh-CN"/>
        </w:rPr>
        <w:t>50328</w:t>
      </w:r>
      <w:r>
        <w:rPr>
          <w:rFonts w:hint="eastAsia" w:asciiTheme="minorEastAsia" w:hAnsiTheme="minorEastAsia" w:eastAsiaTheme="minorEastAsia"/>
          <w:color w:val="F2F2F2" w:themeColor="background1" w:themeShade="F2"/>
          <w:sz w:val="24"/>
          <w:highlight w:val="none"/>
        </w:rPr>
        <w:t>。</w:t>
      </w:r>
    </w:p>
    <w:p w14:paraId="3E3F9489">
      <w:pPr>
        <w:rPr>
          <w:rFonts w:ascii="宋体" w:hAnsi="宋体" w:cs="宋体"/>
          <w:color w:val="F2F2F2" w:themeColor="background1" w:themeShade="F2"/>
          <w:sz w:val="24"/>
          <w:highlight w:val="none"/>
          <w:lang w:val="zh-CN"/>
        </w:rPr>
      </w:pPr>
      <w:r>
        <w:rPr>
          <w:rFonts w:ascii="宋体" w:hAnsi="宋体" w:cs="宋体"/>
          <w:color w:val="F2F2F2" w:themeColor="background1" w:themeShade="F2"/>
          <w:sz w:val="24"/>
          <w:highlight w:val="none"/>
          <w:lang w:val="zh-CN"/>
        </w:rPr>
        <w:br w:type="page"/>
      </w:r>
      <w:bookmarkStart w:id="6" w:name="_GoBack"/>
      <w:bookmarkEnd w:id="6"/>
    </w:p>
    <w:p w14:paraId="077A68C6">
      <w:pPr>
        <w:widowControl/>
        <w:jc w:val="left"/>
        <w:rPr>
          <w:rFonts w:ascii="宋体" w:hAnsi="宋体"/>
          <w:b/>
          <w:color w:val="auto"/>
          <w:spacing w:val="60"/>
          <w:sz w:val="24"/>
          <w:highlight w:val="none"/>
          <w:lang w:eastAsia="zh-Hans"/>
        </w:rPr>
      </w:pPr>
    </w:p>
    <w:p w14:paraId="021782A0">
      <w:pPr>
        <w:snapToGrid w:val="0"/>
        <w:spacing w:line="360" w:lineRule="auto"/>
        <w:jc w:val="center"/>
        <w:rPr>
          <w:rFonts w:asciiTheme="minorEastAsia" w:hAnsiTheme="minorEastAsia" w:eastAsiaTheme="minorEastAsia"/>
          <w:b/>
          <w:color w:val="auto"/>
          <w:spacing w:val="60"/>
          <w:sz w:val="28"/>
          <w:szCs w:val="28"/>
          <w:highlight w:val="none"/>
          <w:lang w:eastAsia="zh-Hans"/>
        </w:rPr>
      </w:pPr>
      <w:r>
        <w:rPr>
          <w:rFonts w:hint="eastAsia" w:asciiTheme="minorEastAsia" w:hAnsiTheme="minorEastAsia" w:eastAsiaTheme="minorEastAsia"/>
          <w:b/>
          <w:color w:val="auto"/>
          <w:spacing w:val="60"/>
          <w:sz w:val="28"/>
          <w:szCs w:val="28"/>
          <w:highlight w:val="none"/>
          <w:lang w:eastAsia="zh-Hans"/>
        </w:rPr>
        <w:t>香港城市大学（东莞）工程采购合同</w:t>
      </w:r>
    </w:p>
    <w:p w14:paraId="03C1A0AA">
      <w:pPr>
        <w:snapToGrid w:val="0"/>
        <w:spacing w:line="360" w:lineRule="auto"/>
        <w:jc w:val="center"/>
        <w:rPr>
          <w:rFonts w:asciiTheme="minorEastAsia" w:hAnsiTheme="minorEastAsia" w:eastAsiaTheme="minorEastAsia"/>
          <w:b/>
          <w:color w:val="auto"/>
          <w:spacing w:val="60"/>
          <w:sz w:val="28"/>
          <w:szCs w:val="28"/>
          <w:highlight w:val="none"/>
          <w:lang w:eastAsia="zh-Hans"/>
        </w:rPr>
      </w:pPr>
      <w:r>
        <w:rPr>
          <w:rFonts w:hint="eastAsia" w:asciiTheme="minorEastAsia" w:hAnsiTheme="minorEastAsia" w:eastAsiaTheme="minorEastAsia"/>
          <w:b/>
          <w:color w:val="auto"/>
          <w:spacing w:val="60"/>
          <w:sz w:val="28"/>
          <w:szCs w:val="28"/>
          <w:highlight w:val="none"/>
          <w:lang w:eastAsia="zh-Hans"/>
        </w:rPr>
        <w:t xml:space="preserve"> 第</w:t>
      </w:r>
      <w:r>
        <w:rPr>
          <w:rFonts w:hint="eastAsia" w:asciiTheme="minorEastAsia" w:hAnsiTheme="minorEastAsia" w:eastAsiaTheme="minorEastAsia"/>
          <w:b/>
          <w:color w:val="auto"/>
          <w:spacing w:val="60"/>
          <w:sz w:val="28"/>
          <w:szCs w:val="28"/>
          <w:highlight w:val="none"/>
        </w:rPr>
        <w:t>一</w:t>
      </w:r>
      <w:r>
        <w:rPr>
          <w:rFonts w:hint="eastAsia" w:asciiTheme="minorEastAsia" w:hAnsiTheme="minorEastAsia" w:eastAsiaTheme="minorEastAsia"/>
          <w:b/>
          <w:color w:val="auto"/>
          <w:spacing w:val="60"/>
          <w:sz w:val="28"/>
          <w:szCs w:val="28"/>
          <w:highlight w:val="none"/>
          <w:lang w:eastAsia="zh-Hans"/>
        </w:rPr>
        <w:t>部分</w:t>
      </w:r>
      <w:r>
        <w:rPr>
          <w:rFonts w:hint="eastAsia" w:asciiTheme="minorEastAsia" w:hAnsiTheme="minorEastAsia" w:eastAsiaTheme="minorEastAsia"/>
          <w:b/>
          <w:color w:val="auto"/>
          <w:spacing w:val="60"/>
          <w:sz w:val="28"/>
          <w:szCs w:val="28"/>
          <w:highlight w:val="none"/>
        </w:rPr>
        <w:t xml:space="preserve"> </w:t>
      </w:r>
      <w:r>
        <w:rPr>
          <w:rFonts w:hint="eastAsia" w:asciiTheme="minorEastAsia" w:hAnsiTheme="minorEastAsia" w:eastAsiaTheme="minorEastAsia"/>
          <w:b/>
          <w:color w:val="auto"/>
          <w:spacing w:val="60"/>
          <w:sz w:val="28"/>
          <w:szCs w:val="28"/>
          <w:highlight w:val="none"/>
          <w:lang w:eastAsia="zh-Hans"/>
        </w:rPr>
        <w:t>合同专用条款</w:t>
      </w:r>
    </w:p>
    <w:p w14:paraId="1EEE13C0">
      <w:pPr>
        <w:snapToGrid w:val="0"/>
        <w:spacing w:line="360" w:lineRule="auto"/>
        <w:jc w:val="center"/>
        <w:rPr>
          <w:rFonts w:asciiTheme="minorEastAsia" w:hAnsiTheme="minorEastAsia" w:eastAsiaTheme="minorEastAsia"/>
          <w:b/>
          <w:color w:val="auto"/>
          <w:spacing w:val="60"/>
          <w:sz w:val="28"/>
          <w:szCs w:val="28"/>
          <w:highlight w:val="none"/>
          <w:lang w:eastAsia="zh-Hans"/>
        </w:rPr>
      </w:pPr>
    </w:p>
    <w:p w14:paraId="02133D8E">
      <w:pPr>
        <w:snapToGrid w:val="0"/>
        <w:spacing w:after="120" w:afterLines="50"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发包方（甲方）：香港城市大学（东莞）</w:t>
      </w:r>
    </w:p>
    <w:p w14:paraId="54887CA0">
      <w:pPr>
        <w:snapToGrid w:val="0"/>
        <w:spacing w:after="120" w:afterLines="50"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承包方（乙方）：</w:t>
      </w:r>
      <w:r>
        <w:rPr>
          <w:rFonts w:hint="eastAsia" w:asciiTheme="majorEastAsia" w:hAnsiTheme="majorEastAsia" w:eastAsiaTheme="majorEastAsia"/>
          <w:color w:val="auto"/>
          <w:sz w:val="24"/>
          <w:szCs w:val="24"/>
          <w:highlight w:val="none"/>
          <w:u w:val="single"/>
          <w:lang w:val="en-US" w:eastAsia="zh-CN"/>
        </w:rPr>
        <w:t xml:space="preserve">                                                      </w:t>
      </w:r>
    </w:p>
    <w:p w14:paraId="2A41E6D3">
      <w:pPr>
        <w:snapToGrid w:val="0"/>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依据《中华人民共和国民法典》及国家有关法律、行政法规的规定，遵循平等、自愿、公平和诚实信用的原则，双方就</w:t>
      </w:r>
      <w:r>
        <w:rPr>
          <w:rFonts w:hint="eastAsia" w:cs="宋体" w:asciiTheme="minorEastAsia" w:hAnsiTheme="minorEastAsia" w:eastAsiaTheme="minorEastAsia"/>
          <w:color w:val="auto"/>
          <w:sz w:val="24"/>
          <w:highlight w:val="none"/>
          <w:u w:val="single"/>
        </w:rPr>
        <w:t xml:space="preserve">香港城市大学（东莞）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rPr>
        <w:t xml:space="preserve"> </w:t>
      </w:r>
      <w:bookmarkStart w:id="0" w:name="_Hlk130827703"/>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项目</w:t>
      </w:r>
      <w:r>
        <w:rPr>
          <w:rFonts w:cs="宋体" w:asciiTheme="minorEastAsia" w:hAnsiTheme="minorEastAsia" w:eastAsiaTheme="minorEastAsia"/>
          <w:color w:val="auto"/>
          <w:sz w:val="24"/>
          <w:highlight w:val="none"/>
        </w:rPr>
        <w:t>事项协商一致</w:t>
      </w:r>
      <w:bookmarkEnd w:id="0"/>
      <w:r>
        <w:rPr>
          <w:rFonts w:hint="eastAsia" w:ascii="宋体" w:hAnsi="宋体"/>
          <w:color w:val="auto"/>
          <w:sz w:val="24"/>
          <w:highlight w:val="none"/>
        </w:rPr>
        <w:t>，特订立本合同并共同遵守</w:t>
      </w:r>
      <w:r>
        <w:rPr>
          <w:rFonts w:hint="eastAsia" w:ascii="宋体" w:hAnsi="宋体"/>
          <w:color w:val="auto"/>
          <w:sz w:val="24"/>
          <w:highlight w:val="none"/>
          <w:lang w:eastAsia="zh-CN"/>
        </w:rPr>
        <w:t>，</w:t>
      </w:r>
      <w:r>
        <w:rPr>
          <w:rFonts w:hint="eastAsia" w:ascii="宋体" w:hAnsi="宋体"/>
          <w:color w:val="auto"/>
          <w:sz w:val="24"/>
          <w:highlight w:val="none"/>
        </w:rPr>
        <w:t>具体专用条款如下</w:t>
      </w:r>
      <w:r>
        <w:rPr>
          <w:rFonts w:hint="eastAsia" w:ascii="宋体" w:hAnsi="宋体"/>
          <w:color w:val="auto"/>
          <w:sz w:val="24"/>
          <w:highlight w:val="none"/>
          <w:lang w:eastAsia="zh-CN"/>
        </w:rPr>
        <w:t>：</w:t>
      </w:r>
    </w:p>
    <w:p w14:paraId="6866FB96">
      <w:pPr>
        <w:pStyle w:val="14"/>
        <w:spacing w:line="360" w:lineRule="auto"/>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第一条 工程概况</w:t>
      </w:r>
    </w:p>
    <w:p w14:paraId="12F5B4CB">
      <w:pPr>
        <w:pStyle w:val="14"/>
        <w:spacing w:line="360" w:lineRule="auto"/>
        <w:ind w:firstLine="480" w:firstLineChars="200"/>
        <w:rPr>
          <w:rFonts w:cs="宋体"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、工程名称：</w:t>
      </w:r>
      <w:r>
        <w:rPr>
          <w:rFonts w:hint="eastAsia" w:cs="宋体" w:asciiTheme="minorEastAsia" w:hAnsiTheme="minorEastAsia" w:eastAsiaTheme="minorEastAsia"/>
          <w:color w:val="auto"/>
          <w:highlight w:val="none"/>
          <w:u w:val="single"/>
        </w:rPr>
        <w:t xml:space="preserve">                                                                 </w:t>
      </w:r>
    </w:p>
    <w:p w14:paraId="397F0E59">
      <w:pPr>
        <w:spacing w:line="360" w:lineRule="auto"/>
        <w:ind w:firstLine="480" w:firstLineChars="200"/>
        <w:jc w:val="left"/>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、工程内容：</w:t>
      </w:r>
      <w:r>
        <w:rPr>
          <w:rFonts w:hint="eastAsia" w:cs="宋体" w:asciiTheme="minorEastAsia" w:hAnsiTheme="minorEastAsia" w:eastAsiaTheme="minorEastAsia"/>
          <w:color w:val="auto"/>
          <w:sz w:val="24"/>
          <w:highlight w:val="none"/>
          <w:u w:val="single"/>
        </w:rPr>
        <w:t xml:space="preserve"> </w:t>
      </w: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w:t>
      </w:r>
      <w:r>
        <w:rPr>
          <w:rFonts w:cs="宋体" w:asciiTheme="minorEastAsia" w:hAnsiTheme="minorEastAsia" w:eastAsiaTheme="minorEastAsia"/>
          <w:color w:val="auto"/>
          <w:sz w:val="24"/>
          <w:highlight w:val="none"/>
          <w:u w:val="single"/>
        </w:rPr>
        <w:t>乙方对</w:t>
      </w:r>
      <w:r>
        <w:rPr>
          <w:rFonts w:hint="eastAsia" w:cs="宋体" w:asciiTheme="minorEastAsia" w:hAnsiTheme="minorEastAsia" w:eastAsiaTheme="minorEastAsia"/>
          <w:color w:val="auto"/>
          <w:sz w:val="24"/>
          <w:highlight w:val="none"/>
          <w:u w:val="single"/>
        </w:rPr>
        <w:t>甲方</w:t>
      </w:r>
      <w:r>
        <w:rPr>
          <w:rFonts w:cs="宋体" w:asciiTheme="minorEastAsia" w:hAnsiTheme="minorEastAsia" w:eastAsiaTheme="minorEastAsia"/>
          <w:color w:val="auto"/>
          <w:sz w:val="24"/>
          <w:highlight w:val="none"/>
          <w:u w:val="single"/>
        </w:rPr>
        <w:t>提出的工程内容和要求已完全知悉并理解</w:t>
      </w:r>
      <w:r>
        <w:rPr>
          <w:rFonts w:hint="eastAsia" w:cs="宋体" w:asciiTheme="minorEastAsia" w:hAnsiTheme="minorEastAsia" w:eastAsiaTheme="minorEastAsia"/>
          <w:color w:val="auto"/>
          <w:sz w:val="24"/>
          <w:highlight w:val="none"/>
        </w:rPr>
        <w:t>。</w:t>
      </w:r>
    </w:p>
    <w:p w14:paraId="03C71D17">
      <w:pPr>
        <w:pStyle w:val="14"/>
        <w:spacing w:line="360" w:lineRule="auto"/>
        <w:ind w:firstLine="480" w:firstLineChars="200"/>
        <w:rPr>
          <w:rFonts w:cs="宋体"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、工程地点：</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 xml:space="preserve"> </w:t>
      </w:r>
    </w:p>
    <w:p w14:paraId="67F0431D">
      <w:pPr>
        <w:pStyle w:val="14"/>
        <w:spacing w:line="360" w:lineRule="auto"/>
        <w:ind w:firstLine="482" w:firstLineChars="200"/>
        <w:rPr>
          <w:rFonts w:cs="宋体" w:asciiTheme="minorEastAsia" w:hAnsiTheme="minorEastAsia" w:eastAsiaTheme="minorEastAsia"/>
          <w:color w:val="auto"/>
          <w:highlight w:val="none"/>
        </w:rPr>
      </w:pPr>
      <w:r>
        <w:rPr>
          <w:rFonts w:cs="Times New Roman" w:asciiTheme="minorEastAsia" w:hAnsiTheme="minorEastAsia" w:eastAsiaTheme="minorEastAsia"/>
          <w:b/>
          <w:color w:val="auto"/>
          <w:highlight w:val="none"/>
        </w:rPr>
        <w:t>第二条</w:t>
      </w:r>
      <w:r>
        <w:rPr>
          <w:rFonts w:hint="eastAsia" w:cs="Times New Roman" w:asciiTheme="minorEastAsia" w:hAnsiTheme="minorEastAsia" w:eastAsiaTheme="minorEastAsia"/>
          <w:b/>
          <w:color w:val="auto"/>
          <w:highlight w:val="none"/>
        </w:rPr>
        <w:t xml:space="preserve"> </w:t>
      </w:r>
      <w:r>
        <w:rPr>
          <w:rFonts w:hint="eastAsia" w:cs="宋体" w:asciiTheme="minorEastAsia" w:hAnsiTheme="minorEastAsia" w:eastAsiaTheme="minorEastAsia"/>
          <w:b/>
          <w:color w:val="auto"/>
          <w:highlight w:val="none"/>
        </w:rPr>
        <w:t>工程总工期</w:t>
      </w:r>
      <w:r>
        <w:rPr>
          <w:rFonts w:hint="eastAsia" w:cs="宋体" w:asciiTheme="minorEastAsia" w:hAnsiTheme="minorEastAsia" w:eastAsiaTheme="minorEastAsia"/>
          <w:color w:val="auto"/>
          <w:highlight w:val="none"/>
        </w:rPr>
        <w:t>：</w:t>
      </w:r>
    </w:p>
    <w:p w14:paraId="6A1EC776">
      <w:pPr>
        <w:pStyle w:val="14"/>
        <w:spacing w:line="360" w:lineRule="auto"/>
        <w:ind w:firstLine="480" w:firstLineChars="200"/>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本合同</w:t>
      </w:r>
      <w:r>
        <w:rPr>
          <w:rFonts w:cs="宋体" w:asciiTheme="minorEastAsia" w:hAnsiTheme="minorEastAsia" w:eastAsiaTheme="minorEastAsia"/>
          <w:color w:val="auto"/>
          <w:highlight w:val="none"/>
        </w:rPr>
        <w:t>总工期</w:t>
      </w:r>
      <w:r>
        <w:rPr>
          <w:rFonts w:hint="eastAsia" w:cs="宋体" w:asciiTheme="minorEastAsia" w:hAnsiTheme="minorEastAsia" w:eastAsiaTheme="minorEastAsia"/>
          <w:color w:val="auto"/>
          <w:highlight w:val="none"/>
        </w:rPr>
        <w:t>为</w:t>
      </w:r>
      <w:r>
        <w:rPr>
          <w:rFonts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暂定开工日期为</w:t>
      </w:r>
      <w:r>
        <w:rPr>
          <w:rFonts w:cs="宋体" w:asciiTheme="minorEastAsia" w:hAnsiTheme="minorEastAsia" w:eastAsiaTheme="minorEastAsia"/>
          <w:color w:val="auto"/>
          <w:highlight w:val="none"/>
        </w:rPr>
        <w:t>202</w:t>
      </w:r>
      <w:r>
        <w:rPr>
          <w:rFonts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年</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日】，暂定竣工日期为</w:t>
      </w:r>
      <w:r>
        <w:rPr>
          <w:rFonts w:cs="宋体" w:asciiTheme="minorEastAsia" w:hAnsiTheme="minorEastAsia" w:eastAsiaTheme="minorEastAsia"/>
          <w:color w:val="auto"/>
          <w:highlight w:val="none"/>
        </w:rPr>
        <w:t>202</w:t>
      </w:r>
      <w:r>
        <w:rPr>
          <w:rFonts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年</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日，总</w:t>
      </w:r>
      <w:r>
        <w:rPr>
          <w:rFonts w:cs="宋体" w:asciiTheme="minorEastAsia" w:hAnsiTheme="minorEastAsia" w:eastAsiaTheme="minorEastAsia"/>
          <w:color w:val="auto"/>
          <w:highlight w:val="none"/>
        </w:rPr>
        <w:t>工期中包括竣工验收及整改时间。</w:t>
      </w:r>
      <w:r>
        <w:rPr>
          <w:rFonts w:hint="eastAsia" w:cs="宋体" w:asciiTheme="minorEastAsia" w:hAnsiTheme="minorEastAsia" w:eastAsiaTheme="minorEastAsia"/>
          <w:color w:val="auto"/>
          <w:highlight w:val="none"/>
        </w:rPr>
        <w:t>实际开工日期如有变化的，以甲方书面通知为准，但总工期不变。乙方应在上述期限内完成本项目并提交给甲方，经甲方书面验收合格</w:t>
      </w:r>
      <w:r>
        <w:rPr>
          <w:rFonts w:hint="eastAsia" w:cs="宋体" w:asciiTheme="minorEastAsia" w:hAnsiTheme="minorEastAsia" w:eastAsiaTheme="minorEastAsia"/>
          <w:color w:val="auto"/>
          <w:highlight w:val="none"/>
          <w:lang w:eastAsia="zh-CN"/>
        </w:rPr>
        <w:t>。</w:t>
      </w:r>
    </w:p>
    <w:p w14:paraId="51CBBAD2">
      <w:pPr>
        <w:pStyle w:val="14"/>
        <w:spacing w:line="360" w:lineRule="auto"/>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第三条 工程价款：</w:t>
      </w:r>
    </w:p>
    <w:p w14:paraId="76F4155E">
      <w:pPr>
        <w:pStyle w:val="14"/>
        <w:numPr>
          <w:ilvl w:val="0"/>
          <w:numId w:val="1"/>
        </w:numPr>
        <w:spacing w:line="360" w:lineRule="auto"/>
        <w:ind w:firstLine="63"/>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本合同按照下列</w:t>
      </w:r>
      <w:r>
        <w:rPr>
          <w:rFonts w:hint="eastAsia" w:cs="宋体" w:asciiTheme="minorEastAsia" w:hAnsiTheme="minorEastAsia" w:eastAsiaTheme="minorEastAsia"/>
          <w:color w:val="auto"/>
          <w:highlight w:val="none"/>
          <w:u w:val="single"/>
        </w:rPr>
        <w:t>第（）项</w:t>
      </w:r>
      <w:r>
        <w:rPr>
          <w:rFonts w:hint="eastAsia" w:cs="宋体" w:asciiTheme="minorEastAsia" w:hAnsiTheme="minorEastAsia" w:eastAsiaTheme="minorEastAsia"/>
          <w:color w:val="auto"/>
          <w:highlight w:val="none"/>
        </w:rPr>
        <w:t>方式包干：</w:t>
      </w:r>
    </w:p>
    <w:p w14:paraId="56B00C97">
      <w:pPr>
        <w:pStyle w:val="14"/>
        <w:spacing w:line="360" w:lineRule="auto"/>
        <w:ind w:left="42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（1）总价包干。（2）单价包干，按实结算。</w:t>
      </w:r>
    </w:p>
    <w:p w14:paraId="7CCC8CBC">
      <w:pPr>
        <w:snapToGrid w:val="0"/>
        <w:spacing w:line="360" w:lineRule="auto"/>
        <w:ind w:firstLine="480" w:firstLineChars="200"/>
        <w:rPr>
          <w:rFonts w:cs="宋体" w:asciiTheme="minorEastAsia" w:hAnsiTheme="minorEastAsia" w:eastAsiaTheme="minorEastAsia"/>
          <w:color w:val="auto"/>
          <w:sz w:val="24"/>
          <w:highlight w:val="none"/>
          <w:lang w:val="zh-CN"/>
        </w:rPr>
      </w:pPr>
      <w:r>
        <w:rPr>
          <w:rFonts w:hint="eastAsia" w:cs="宋体" w:asciiTheme="majorEastAsia" w:hAnsiTheme="majorEastAsia" w:eastAsiaTheme="majorEastAsia"/>
          <w:color w:val="auto"/>
          <w:sz w:val="24"/>
          <w:highlight w:val="none"/>
          <w:lang w:val="zh-CN"/>
        </w:rPr>
        <w:t>本合同含税总价款为</w:t>
      </w:r>
      <w:r>
        <w:rPr>
          <w:rFonts w:hint="eastAsia" w:cs="宋体" w:asciiTheme="majorEastAsia" w:hAnsiTheme="majorEastAsia" w:eastAsiaTheme="majorEastAsia"/>
          <w:color w:val="auto"/>
          <w:sz w:val="24"/>
          <w:highlight w:val="none"/>
          <w:u w:val="single"/>
          <w:lang w:val="zh-CN"/>
        </w:rPr>
        <w:t xml:space="preserve">           </w:t>
      </w:r>
      <w:r>
        <w:rPr>
          <w:rFonts w:hint="eastAsia" w:cs="宋体" w:asciiTheme="majorEastAsia" w:hAnsiTheme="majorEastAsia" w:eastAsiaTheme="majorEastAsia"/>
          <w:color w:val="auto"/>
          <w:sz w:val="24"/>
          <w:highlight w:val="none"/>
          <w:lang w:val="zh-CN"/>
        </w:rPr>
        <w:t>元（人民币大写：</w:t>
      </w:r>
      <w:r>
        <w:rPr>
          <w:rFonts w:hint="eastAsia" w:cs="宋体" w:asciiTheme="majorEastAsia" w:hAnsiTheme="majorEastAsia" w:eastAsiaTheme="majorEastAsia"/>
          <w:color w:val="auto"/>
          <w:sz w:val="24"/>
          <w:highlight w:val="none"/>
          <w:u w:val="single"/>
          <w:lang w:val="zh-CN"/>
        </w:rPr>
        <w:t xml:space="preserve">          </w:t>
      </w:r>
      <w:r>
        <w:rPr>
          <w:rFonts w:hint="eastAsia" w:cs="宋体" w:asciiTheme="majorEastAsia" w:hAnsiTheme="majorEastAsia" w:eastAsiaTheme="majorEastAsia"/>
          <w:color w:val="auto"/>
          <w:sz w:val="24"/>
          <w:highlight w:val="none"/>
          <w:lang w:val="zh-CN"/>
        </w:rPr>
        <w:t>），</w:t>
      </w:r>
      <w:r>
        <w:rPr>
          <w:rFonts w:hint="eastAsia" w:cs="宋体" w:asciiTheme="majorEastAsia" w:hAnsiTheme="majorEastAsia" w:eastAsiaTheme="majorEastAsia"/>
          <w:b/>
          <w:bCs/>
          <w:color w:val="auto"/>
          <w:sz w:val="24"/>
          <w:highlight w:val="none"/>
          <w:lang w:val="zh-CN"/>
        </w:rPr>
        <w:t>以上价格为含税价格，</w:t>
      </w:r>
      <w:r>
        <w:rPr>
          <w:rFonts w:hint="eastAsia" w:asciiTheme="majorEastAsia" w:hAnsiTheme="majorEastAsia" w:eastAsiaTheme="majorEastAsia" w:cstheme="minorEastAsia"/>
          <w:b/>
          <w:bCs/>
          <w:color w:val="auto"/>
          <w:sz w:val="24"/>
          <w:highlight w:val="none"/>
        </w:rPr>
        <w:t>乙方应向甲方提供正式足额</w:t>
      </w:r>
      <w:r>
        <w:rPr>
          <w:rFonts w:hint="eastAsia" w:asciiTheme="majorEastAsia" w:hAnsiTheme="majorEastAsia" w:eastAsiaTheme="majorEastAsia" w:cstheme="minorEastAsia"/>
          <w:b/>
          <w:bCs/>
          <w:color w:val="auto"/>
          <w:sz w:val="24"/>
          <w:highlight w:val="none"/>
          <w:u w:val="single"/>
        </w:rPr>
        <w:t>增值税专用</w:t>
      </w:r>
      <w:r>
        <w:rPr>
          <w:rFonts w:asciiTheme="majorEastAsia" w:hAnsiTheme="majorEastAsia" w:eastAsiaTheme="majorEastAsia" w:cstheme="minorEastAsia"/>
          <w:b/>
          <w:bCs/>
          <w:color w:val="auto"/>
          <w:sz w:val="24"/>
          <w:highlight w:val="none"/>
          <w:u w:val="single"/>
        </w:rPr>
        <w:t>发票</w:t>
      </w:r>
      <w:r>
        <w:rPr>
          <w:rFonts w:hint="eastAsia" w:cs="宋体" w:asciiTheme="minorEastAsia" w:hAnsiTheme="minorEastAsia" w:eastAsiaTheme="minorEastAsia"/>
          <w:color w:val="auto"/>
          <w:highlight w:val="none"/>
        </w:rPr>
        <w:t>。</w:t>
      </w:r>
      <w:r>
        <w:rPr>
          <w:rFonts w:hint="eastAsia" w:cs="宋体" w:asciiTheme="majorEastAsia" w:hAnsiTheme="majorEastAsia" w:eastAsiaTheme="majorEastAsia"/>
          <w:color w:val="auto"/>
          <w:sz w:val="24"/>
          <w:highlight w:val="none"/>
          <w:lang w:val="zh-CN"/>
        </w:rPr>
        <w:t>对此</w:t>
      </w:r>
      <w:r>
        <w:rPr>
          <w:rFonts w:hint="eastAsia" w:cs="宋体" w:asciiTheme="majorEastAsia" w:hAnsiTheme="majorEastAsia" w:eastAsiaTheme="majorEastAsia"/>
          <w:color w:val="auto"/>
          <w:sz w:val="24"/>
          <w:highlight w:val="none"/>
        </w:rPr>
        <w:t>工程</w:t>
      </w:r>
      <w:r>
        <w:rPr>
          <w:rFonts w:hint="eastAsia" w:cs="宋体" w:asciiTheme="majorEastAsia" w:hAnsiTheme="majorEastAsia" w:eastAsiaTheme="majorEastAsia"/>
          <w:color w:val="auto"/>
          <w:sz w:val="24"/>
          <w:highlight w:val="none"/>
          <w:lang w:eastAsia="zh-Hans"/>
        </w:rPr>
        <w:t>价格</w:t>
      </w:r>
      <w:r>
        <w:rPr>
          <w:rFonts w:hint="eastAsia" w:cs="宋体" w:asciiTheme="majorEastAsia" w:hAnsiTheme="majorEastAsia" w:eastAsiaTheme="majorEastAsia"/>
          <w:color w:val="auto"/>
          <w:sz w:val="24"/>
          <w:highlight w:val="none"/>
          <w:lang w:val="zh-CN"/>
        </w:rPr>
        <w:t>，甲、乙双方应承担保密责任。单价包干且按实结算项目的结算总金额不得超出本合同</w:t>
      </w:r>
      <w:r>
        <w:rPr>
          <w:rFonts w:hint="eastAsia" w:cs="宋体" w:asciiTheme="majorEastAsia" w:hAnsiTheme="majorEastAsia" w:eastAsiaTheme="majorEastAsia"/>
          <w:color w:val="auto"/>
          <w:sz w:val="24"/>
          <w:highlight w:val="none"/>
        </w:rPr>
        <w:t>工程</w:t>
      </w:r>
      <w:r>
        <w:rPr>
          <w:rFonts w:hint="eastAsia" w:cs="宋体" w:asciiTheme="majorEastAsia" w:hAnsiTheme="majorEastAsia" w:eastAsiaTheme="majorEastAsia"/>
          <w:color w:val="auto"/>
          <w:sz w:val="24"/>
          <w:highlight w:val="none"/>
          <w:lang w:val="zh-CN"/>
        </w:rPr>
        <w:t>总额，如将超出本合同</w:t>
      </w:r>
      <w:r>
        <w:rPr>
          <w:rFonts w:hint="eastAsia" w:cs="宋体" w:asciiTheme="majorEastAsia" w:hAnsiTheme="majorEastAsia" w:eastAsiaTheme="majorEastAsia"/>
          <w:color w:val="auto"/>
          <w:sz w:val="24"/>
          <w:highlight w:val="none"/>
        </w:rPr>
        <w:t>工程</w:t>
      </w:r>
      <w:r>
        <w:rPr>
          <w:rFonts w:hint="eastAsia" w:cs="宋体" w:asciiTheme="majorEastAsia" w:hAnsiTheme="majorEastAsia" w:eastAsiaTheme="majorEastAsia"/>
          <w:color w:val="auto"/>
          <w:sz w:val="24"/>
          <w:highlight w:val="none"/>
          <w:lang w:val="zh-CN"/>
        </w:rPr>
        <w:t>总额，须甲、乙双方协商同意且签订补充协议方可实施。未经甲方书面同意，乙方不得向甲方收取任何额外费用。</w:t>
      </w:r>
    </w:p>
    <w:p w14:paraId="743BFFA0">
      <w:pPr>
        <w:pStyle w:val="14"/>
        <w:numPr>
          <w:ilvl w:val="0"/>
          <w:numId w:val="1"/>
        </w:numPr>
        <w:spacing w:line="360" w:lineRule="auto"/>
        <w:ind w:firstLine="63"/>
        <w:rPr>
          <w:rFonts w:cs="宋体" w:asciiTheme="minorEastAsia" w:hAnsiTheme="minorEastAsia" w:eastAsiaTheme="minorEastAsia"/>
          <w:color w:val="auto"/>
          <w:highlight w:val="none"/>
          <w:lang w:val="zh-CN" w:eastAsia="zh-Hans"/>
        </w:rPr>
      </w:pPr>
      <w:r>
        <w:rPr>
          <w:rFonts w:hint="eastAsia" w:ascii="宋体" w:hAnsi="宋体" w:cs="宋体"/>
          <w:color w:val="auto"/>
          <w:highlight w:val="none"/>
          <w:lang w:val="zh-CN"/>
        </w:rPr>
        <w:t>支付条件及方式按照下列</w:t>
      </w:r>
      <w:r>
        <w:rPr>
          <w:rFonts w:hint="eastAsia" w:ascii="宋体" w:hAnsi="宋体" w:cs="宋体"/>
          <w:color w:val="auto"/>
          <w:highlight w:val="none"/>
          <w:u w:val="single"/>
          <w:lang w:val="zh-CN"/>
        </w:rPr>
        <w:t>第（）项</w:t>
      </w:r>
      <w:r>
        <w:rPr>
          <w:rFonts w:hint="eastAsia" w:ascii="宋体" w:hAnsi="宋体" w:cs="宋体"/>
          <w:color w:val="auto"/>
          <w:highlight w:val="none"/>
          <w:lang w:val="zh-CN"/>
        </w:rPr>
        <w:t>执行</w:t>
      </w:r>
      <w:r>
        <w:rPr>
          <w:rFonts w:hint="eastAsia" w:ascii="宋体" w:hAnsi="宋体" w:cs="宋体"/>
          <w:color w:val="auto"/>
          <w:highlight w:val="none"/>
          <w:lang w:val="zh-CN" w:eastAsia="zh-Hans"/>
        </w:rPr>
        <w:t>：</w:t>
      </w:r>
    </w:p>
    <w:p w14:paraId="18D84B94">
      <w:pPr>
        <w:pStyle w:val="14"/>
        <w:spacing w:line="360"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（1）一次性付款：</w:t>
      </w:r>
      <w:r>
        <w:rPr>
          <w:rFonts w:hint="eastAsia" w:cs="宋体" w:asciiTheme="minorEastAsia" w:hAnsiTheme="minorEastAsia" w:eastAsiaTheme="minorEastAsia"/>
          <w:color w:val="auto"/>
          <w:highlight w:val="none"/>
          <w:lang w:val="zh-CN"/>
        </w:rPr>
        <w:t>乙方完成本合同约定的工程施工后，</w:t>
      </w:r>
      <w:r>
        <w:rPr>
          <w:rFonts w:hint="eastAsia" w:cs="宋体" w:asciiTheme="minorEastAsia" w:hAnsiTheme="minorEastAsia" w:eastAsiaTheme="minorEastAsia"/>
          <w:color w:val="auto"/>
          <w:highlight w:val="none"/>
        </w:rPr>
        <w:t>按照本合同通用条款</w:t>
      </w:r>
      <w:r>
        <w:rPr>
          <w:rFonts w:hint="eastAsia" w:cs="宋体" w:asciiTheme="majorEastAsia" w:hAnsiTheme="majorEastAsia" w:eastAsiaTheme="majorEastAsia"/>
          <w:color w:val="auto"/>
          <w:highlight w:val="none"/>
          <w:lang w:eastAsia="zh-Hans"/>
        </w:rPr>
        <w:t>及专用条款附件</w:t>
      </w:r>
      <w:r>
        <w:rPr>
          <w:rFonts w:hint="eastAsia" w:cs="宋体" w:asciiTheme="minorEastAsia" w:hAnsiTheme="minorEastAsia" w:eastAsiaTheme="minorEastAsia"/>
          <w:color w:val="auto"/>
          <w:highlight w:val="none"/>
        </w:rPr>
        <w:t>约定由甲方进行</w:t>
      </w:r>
      <w:r>
        <w:rPr>
          <w:rFonts w:hint="eastAsia" w:cs="宋体" w:asciiTheme="majorEastAsia" w:hAnsiTheme="majorEastAsia" w:eastAsiaTheme="majorEastAsia"/>
          <w:color w:val="auto"/>
          <w:highlight w:val="none"/>
          <w:lang w:val="zh-CN"/>
        </w:rPr>
        <w:t>相应履约评价及验收</w:t>
      </w:r>
      <w:r>
        <w:rPr>
          <w:rFonts w:hint="eastAsia" w:cs="宋体" w:asciiTheme="minorEastAsia" w:hAnsiTheme="minorEastAsia" w:eastAsiaTheme="minorEastAsia"/>
          <w:color w:val="auto"/>
          <w:highlight w:val="none"/>
        </w:rPr>
        <w:t>，</w:t>
      </w:r>
      <w:r>
        <w:rPr>
          <w:rFonts w:hint="eastAsia" w:cs="宋体" w:asciiTheme="majorEastAsia" w:hAnsiTheme="majorEastAsia" w:eastAsiaTheme="majorEastAsia"/>
          <w:color w:val="auto"/>
          <w:highlight w:val="none"/>
          <w:lang w:val="zh-CN"/>
        </w:rPr>
        <w:t>履约评价完成且验收合格</w:t>
      </w:r>
      <w:r>
        <w:rPr>
          <w:rFonts w:hint="eastAsia" w:cs="宋体" w:asciiTheme="minorEastAsia" w:hAnsiTheme="minorEastAsia" w:eastAsiaTheme="minorEastAsia"/>
          <w:color w:val="auto"/>
          <w:highlight w:val="none"/>
        </w:rPr>
        <w:t>并收到乙方开具的正式足额增值税发票后，甲方应在30个工作日内向乙方一次性支付本合同工程款。</w:t>
      </w:r>
    </w:p>
    <w:p w14:paraId="7907A3BB">
      <w:pPr>
        <w:pStyle w:val="14"/>
        <w:spacing w:line="360" w:lineRule="auto"/>
        <w:ind w:firstLine="480" w:firstLineChars="200"/>
        <w:rPr>
          <w:rFonts w:ascii="宋体" w:hAnsi="宋体" w:cs="宋体"/>
          <w:color w:val="auto"/>
          <w:highlight w:val="none"/>
          <w:lang w:val="zh-CN"/>
        </w:rPr>
      </w:pPr>
      <w:r>
        <w:rPr>
          <w:rFonts w:hint="eastAsia" w:cs="宋体" w:asciiTheme="minorEastAsia" w:hAnsiTheme="minorEastAsia" w:eastAsiaTheme="minorEastAsia"/>
          <w:color w:val="auto"/>
          <w:highlight w:val="none"/>
        </w:rPr>
        <w:t>（2）分期付款：1）</w:t>
      </w:r>
      <w:r>
        <w:rPr>
          <w:rFonts w:hint="eastAsia" w:cs="宋体" w:asciiTheme="majorEastAsia" w:hAnsiTheme="majorEastAsia" w:eastAsiaTheme="majorEastAsia"/>
          <w:color w:val="auto"/>
          <w:highlight w:val="none"/>
          <w:lang w:eastAsia="zh-Hans"/>
        </w:rPr>
        <w:t>本合同签订</w:t>
      </w:r>
      <w:r>
        <w:rPr>
          <w:rFonts w:hint="eastAsia" w:cs="宋体" w:asciiTheme="majorEastAsia" w:hAnsiTheme="majorEastAsia" w:eastAsiaTheme="majorEastAsia"/>
          <w:color w:val="auto"/>
          <w:highlight w:val="none"/>
          <w:lang w:val="zh-CN"/>
        </w:rPr>
        <w:t>后，甲方应在</w:t>
      </w:r>
      <w:r>
        <w:rPr>
          <w:rFonts w:cs="宋体" w:asciiTheme="majorEastAsia" w:hAnsiTheme="majorEastAsia" w:eastAsiaTheme="majorEastAsia"/>
          <w:color w:val="auto"/>
          <w:highlight w:val="none"/>
          <w:lang w:val="zh-CN"/>
        </w:rPr>
        <w:t>30</w:t>
      </w:r>
      <w:r>
        <w:rPr>
          <w:rFonts w:hint="eastAsia" w:cs="宋体" w:asciiTheme="majorEastAsia" w:hAnsiTheme="majorEastAsia" w:eastAsiaTheme="majorEastAsia"/>
          <w:color w:val="auto"/>
          <w:highlight w:val="none"/>
          <w:lang w:val="zh-CN"/>
        </w:rPr>
        <w:t>个工作日内向乙方支付本合同金额</w:t>
      </w:r>
      <w:r>
        <w:rPr>
          <w:rFonts w:cs="宋体" w:asciiTheme="majorEastAsia" w:hAnsiTheme="majorEastAsia" w:eastAsiaTheme="majorEastAsia"/>
          <w:color w:val="auto"/>
          <w:highlight w:val="none"/>
          <w:u w:val="single"/>
          <w:lang w:val="zh-CN"/>
        </w:rPr>
        <w:t xml:space="preserve">  0</w:t>
      </w:r>
      <w:r>
        <w:rPr>
          <w:rFonts w:hint="eastAsia" w:cs="宋体" w:asciiTheme="majorEastAsia" w:hAnsiTheme="majorEastAsia" w:eastAsiaTheme="majorEastAsia"/>
          <w:color w:val="auto"/>
          <w:highlight w:val="none"/>
          <w:u w:val="single"/>
          <w:lang w:val="zh-CN"/>
        </w:rPr>
        <w:t>%</w:t>
      </w:r>
      <w:r>
        <w:rPr>
          <w:rFonts w:hint="eastAsia" w:cs="宋体" w:asciiTheme="majorEastAsia" w:hAnsiTheme="majorEastAsia" w:eastAsiaTheme="majorEastAsia"/>
          <w:color w:val="auto"/>
          <w:highlight w:val="none"/>
          <w:lang w:val="zh-CN"/>
        </w:rPr>
        <w:t>预付款；2）乙方</w:t>
      </w:r>
      <w:r>
        <w:rPr>
          <w:rFonts w:hint="eastAsia" w:cs="宋体" w:asciiTheme="minorEastAsia" w:hAnsiTheme="minorEastAsia" w:eastAsiaTheme="minorEastAsia"/>
          <w:color w:val="auto"/>
          <w:highlight w:val="none"/>
        </w:rPr>
        <w:t>按本合同通用条款</w:t>
      </w:r>
      <w:r>
        <w:rPr>
          <w:rFonts w:hint="eastAsia" w:cs="宋体" w:asciiTheme="majorEastAsia" w:hAnsiTheme="majorEastAsia" w:eastAsiaTheme="majorEastAsia"/>
          <w:color w:val="auto"/>
          <w:highlight w:val="none"/>
          <w:lang w:eastAsia="zh-Hans"/>
        </w:rPr>
        <w:t>及专用条款附件</w:t>
      </w:r>
      <w:r>
        <w:rPr>
          <w:rFonts w:hint="eastAsia" w:cs="宋体" w:asciiTheme="minorEastAsia" w:hAnsiTheme="minorEastAsia" w:eastAsiaTheme="minorEastAsia"/>
          <w:color w:val="auto"/>
          <w:highlight w:val="none"/>
        </w:rPr>
        <w:t>约定每月完成施工后，甲方每月向乙方支付至已完成工程量相应合同金额</w:t>
      </w:r>
      <w:r>
        <w:rPr>
          <w:rFonts w:cs="宋体" w:asciiTheme="majorEastAsia" w:hAnsiTheme="majorEastAsia" w:eastAsiaTheme="majorEastAsia"/>
          <w:color w:val="auto"/>
          <w:highlight w:val="none"/>
          <w:u w:val="single"/>
          <w:lang w:val="zh-CN"/>
        </w:rPr>
        <w:t xml:space="preserve">  0</w:t>
      </w:r>
      <w:r>
        <w:rPr>
          <w:rFonts w:hint="eastAsia" w:cs="宋体" w:asciiTheme="majorEastAsia" w:hAnsiTheme="majorEastAsia" w:eastAsiaTheme="majorEastAsia"/>
          <w:color w:val="auto"/>
          <w:highlight w:val="none"/>
          <w:u w:val="single"/>
          <w:lang w:val="zh-CN"/>
        </w:rPr>
        <w:t>%</w:t>
      </w:r>
      <w:r>
        <w:rPr>
          <w:rFonts w:hint="eastAsia" w:cs="宋体" w:asciiTheme="minorEastAsia" w:hAnsiTheme="minorEastAsia" w:eastAsiaTheme="minorEastAsia"/>
          <w:color w:val="auto"/>
          <w:highlight w:val="none"/>
        </w:rPr>
        <w:t>进度款（变更签证金额随进度款比例按月支付）；3）</w:t>
      </w:r>
      <w:r>
        <w:rPr>
          <w:rFonts w:hint="eastAsia" w:cs="宋体" w:asciiTheme="majorEastAsia" w:hAnsiTheme="majorEastAsia" w:eastAsiaTheme="majorEastAsia"/>
          <w:color w:val="auto"/>
          <w:highlight w:val="none"/>
          <w:lang w:val="zh-CN"/>
        </w:rPr>
        <w:t>乙方</w:t>
      </w:r>
      <w:r>
        <w:rPr>
          <w:rFonts w:hint="eastAsia" w:cs="宋体" w:asciiTheme="minorEastAsia" w:hAnsiTheme="minorEastAsia" w:eastAsiaTheme="minorEastAsia"/>
          <w:color w:val="auto"/>
          <w:highlight w:val="none"/>
        </w:rPr>
        <w:t>按本合同通用条款</w:t>
      </w:r>
      <w:r>
        <w:rPr>
          <w:rFonts w:hint="eastAsia" w:cs="宋体" w:asciiTheme="majorEastAsia" w:hAnsiTheme="majorEastAsia" w:eastAsiaTheme="majorEastAsia"/>
          <w:color w:val="auto"/>
          <w:highlight w:val="none"/>
          <w:lang w:eastAsia="zh-Hans"/>
        </w:rPr>
        <w:t>及专用条款附件</w:t>
      </w:r>
      <w:r>
        <w:rPr>
          <w:rFonts w:hint="eastAsia" w:cs="宋体" w:asciiTheme="minorEastAsia" w:hAnsiTheme="minorEastAsia" w:eastAsiaTheme="minorEastAsia"/>
          <w:color w:val="auto"/>
          <w:highlight w:val="none"/>
        </w:rPr>
        <w:t>约定全部完工后，</w:t>
      </w:r>
      <w:r>
        <w:rPr>
          <w:rFonts w:hint="eastAsia" w:cs="宋体" w:asciiTheme="majorEastAsia" w:hAnsiTheme="majorEastAsia" w:eastAsiaTheme="majorEastAsia"/>
          <w:color w:val="auto"/>
          <w:highlight w:val="none"/>
          <w:lang w:val="zh-CN"/>
        </w:rPr>
        <w:t>甲方按照本合同</w:t>
      </w:r>
      <w:r>
        <w:rPr>
          <w:rFonts w:hint="eastAsia" w:cs="宋体" w:asciiTheme="majorEastAsia" w:hAnsiTheme="majorEastAsia" w:eastAsiaTheme="majorEastAsia"/>
          <w:color w:val="auto"/>
          <w:highlight w:val="none"/>
          <w:lang w:eastAsia="zh-Hans"/>
        </w:rPr>
        <w:t>通用条款及专用条款附件的</w:t>
      </w:r>
      <w:r>
        <w:rPr>
          <w:rFonts w:hint="eastAsia" w:cs="宋体" w:asciiTheme="majorEastAsia" w:hAnsiTheme="majorEastAsia" w:eastAsiaTheme="majorEastAsia"/>
          <w:color w:val="auto"/>
          <w:highlight w:val="none"/>
          <w:lang w:val="zh-CN"/>
        </w:rPr>
        <w:t>约定进行相应批次履约评价及验收（</w:t>
      </w:r>
      <w:r>
        <w:rPr>
          <w:rFonts w:hint="eastAsia" w:cs="宋体" w:asciiTheme="majorEastAsia" w:hAnsiTheme="majorEastAsia" w:eastAsiaTheme="majorEastAsia"/>
          <w:color w:val="auto"/>
          <w:highlight w:val="none"/>
          <w:lang w:val="en-US" w:eastAsia="zh-CN"/>
        </w:rPr>
        <w:t>以书面验收为准</w:t>
      </w:r>
      <w:r>
        <w:rPr>
          <w:rFonts w:hint="eastAsia" w:cs="宋体" w:asciiTheme="majorEastAsia" w:hAnsiTheme="majorEastAsia" w:eastAsiaTheme="majorEastAsia"/>
          <w:color w:val="auto"/>
          <w:highlight w:val="none"/>
          <w:lang w:val="zh-CN"/>
        </w:rPr>
        <w:t>）， 履约评价完成且验收合格后，甲方应在30个工作日内向乙方支付至验收工程量相应合同金额</w:t>
      </w:r>
      <w:r>
        <w:rPr>
          <w:rFonts w:cs="宋体" w:asciiTheme="majorEastAsia" w:hAnsiTheme="majorEastAsia" w:eastAsiaTheme="majorEastAsia"/>
          <w:color w:val="auto"/>
          <w:highlight w:val="none"/>
          <w:u w:val="single"/>
          <w:lang w:val="zh-CN"/>
        </w:rPr>
        <w:t xml:space="preserve">  0</w:t>
      </w:r>
      <w:r>
        <w:rPr>
          <w:rFonts w:hint="eastAsia" w:cs="宋体" w:asciiTheme="majorEastAsia" w:hAnsiTheme="majorEastAsia" w:eastAsiaTheme="majorEastAsia"/>
          <w:color w:val="auto"/>
          <w:highlight w:val="none"/>
          <w:u w:val="single"/>
          <w:lang w:val="zh-CN"/>
        </w:rPr>
        <w:t>%</w:t>
      </w:r>
      <w:r>
        <w:rPr>
          <w:rFonts w:hint="eastAsia" w:cs="宋体" w:asciiTheme="majorEastAsia" w:hAnsiTheme="majorEastAsia" w:eastAsiaTheme="majorEastAsia"/>
          <w:color w:val="auto"/>
          <w:highlight w:val="none"/>
          <w:lang w:val="zh-CN"/>
        </w:rPr>
        <w:t>验收款</w:t>
      </w:r>
      <w:r>
        <w:rPr>
          <w:rFonts w:hint="eastAsia" w:cs="宋体" w:asciiTheme="minorEastAsia" w:hAnsiTheme="minorEastAsia" w:eastAsiaTheme="minorEastAsia"/>
          <w:color w:val="auto"/>
          <w:highlight w:val="none"/>
        </w:rPr>
        <w:t>（变更签证金额随进度款比例支付）</w:t>
      </w:r>
      <w:r>
        <w:rPr>
          <w:rFonts w:hint="eastAsia" w:cs="宋体" w:asciiTheme="majorEastAsia" w:hAnsiTheme="majorEastAsia" w:eastAsiaTheme="majorEastAsia"/>
          <w:color w:val="auto"/>
          <w:highlight w:val="none"/>
          <w:lang w:val="zh-CN"/>
        </w:rPr>
        <w:t>；</w:t>
      </w:r>
      <w:r>
        <w:rPr>
          <w:rFonts w:cs="宋体" w:asciiTheme="majorEastAsia" w:hAnsiTheme="majorEastAsia" w:eastAsiaTheme="majorEastAsia"/>
          <w:color w:val="auto"/>
          <w:highlight w:val="none"/>
          <w:lang w:val="zh-CN"/>
        </w:rPr>
        <w:t>4</w:t>
      </w:r>
      <w:r>
        <w:rPr>
          <w:rFonts w:hint="eastAsia" w:cs="宋体" w:asciiTheme="majorEastAsia" w:hAnsiTheme="majorEastAsia" w:eastAsiaTheme="majorEastAsia"/>
          <w:color w:val="auto"/>
          <w:highlight w:val="none"/>
          <w:lang w:val="zh-CN"/>
        </w:rPr>
        <w:t>）本</w:t>
      </w:r>
      <w:r>
        <w:rPr>
          <w:rFonts w:hint="eastAsia" w:cs="宋体" w:asciiTheme="minorEastAsia" w:hAnsiTheme="minorEastAsia" w:eastAsiaTheme="minorEastAsia"/>
          <w:color w:val="auto"/>
          <w:highlight w:val="none"/>
        </w:rPr>
        <w:t>工程竣工结算后，</w:t>
      </w:r>
      <w:r>
        <w:rPr>
          <w:rFonts w:hint="eastAsia" w:cs="宋体" w:asciiTheme="majorEastAsia" w:hAnsiTheme="majorEastAsia" w:eastAsiaTheme="majorEastAsia"/>
          <w:color w:val="auto"/>
          <w:highlight w:val="none"/>
          <w:lang w:val="zh-CN"/>
        </w:rPr>
        <w:t>甲方应在30个工作日内向乙方支付至结算金额</w:t>
      </w:r>
      <w:r>
        <w:rPr>
          <w:rFonts w:cs="宋体" w:asciiTheme="majorEastAsia" w:hAnsiTheme="majorEastAsia" w:eastAsiaTheme="majorEastAsia"/>
          <w:color w:val="auto"/>
          <w:highlight w:val="none"/>
          <w:u w:val="single"/>
          <w:lang w:val="zh-CN"/>
        </w:rPr>
        <w:t xml:space="preserve">  0</w:t>
      </w:r>
      <w:r>
        <w:rPr>
          <w:rFonts w:hint="eastAsia" w:cs="宋体" w:asciiTheme="majorEastAsia" w:hAnsiTheme="majorEastAsia" w:eastAsiaTheme="majorEastAsia"/>
          <w:color w:val="auto"/>
          <w:highlight w:val="none"/>
          <w:u w:val="single"/>
          <w:lang w:val="zh-CN"/>
        </w:rPr>
        <w:t>%</w:t>
      </w:r>
      <w:r>
        <w:rPr>
          <w:rFonts w:hint="eastAsia" w:cs="宋体" w:asciiTheme="majorEastAsia" w:hAnsiTheme="majorEastAsia" w:eastAsiaTheme="majorEastAsia"/>
          <w:color w:val="auto"/>
          <w:highlight w:val="none"/>
          <w:lang w:val="zh-CN"/>
        </w:rPr>
        <w:t>结算款；5）结算金额</w:t>
      </w:r>
      <w:r>
        <w:rPr>
          <w:rFonts w:cs="宋体" w:asciiTheme="majorEastAsia" w:hAnsiTheme="majorEastAsia" w:eastAsiaTheme="majorEastAsia"/>
          <w:color w:val="auto"/>
          <w:highlight w:val="none"/>
          <w:u w:val="single"/>
          <w:lang w:val="zh-CN"/>
        </w:rPr>
        <w:t>3</w:t>
      </w:r>
      <w:r>
        <w:rPr>
          <w:rFonts w:hint="eastAsia" w:cs="宋体" w:asciiTheme="majorEastAsia" w:hAnsiTheme="majorEastAsia" w:eastAsiaTheme="majorEastAsia"/>
          <w:color w:val="auto"/>
          <w:highlight w:val="none"/>
          <w:u w:val="single"/>
          <w:lang w:val="zh-CN"/>
        </w:rPr>
        <w:t>%</w:t>
      </w:r>
      <w:r>
        <w:rPr>
          <w:rFonts w:hint="eastAsia" w:cs="宋体" w:asciiTheme="minorEastAsia" w:hAnsiTheme="minorEastAsia" w:eastAsiaTheme="minorEastAsia"/>
          <w:color w:val="auto"/>
          <w:highlight w:val="none"/>
        </w:rPr>
        <w:t>的保修金待【2】年保修期满后扣除违约金（如有）、甲方支出的合理费用等后，</w:t>
      </w:r>
      <w:r>
        <w:rPr>
          <w:rFonts w:hint="eastAsia" w:cs="宋体" w:asciiTheme="majorEastAsia" w:hAnsiTheme="majorEastAsia" w:eastAsiaTheme="majorEastAsia"/>
          <w:color w:val="auto"/>
          <w:highlight w:val="none"/>
          <w:lang w:val="zh-CN"/>
        </w:rPr>
        <w:t>甲方应在30个工作日内向乙方</w:t>
      </w:r>
      <w:r>
        <w:rPr>
          <w:rFonts w:hint="eastAsia" w:cs="宋体" w:asciiTheme="minorEastAsia" w:hAnsiTheme="minorEastAsia" w:eastAsiaTheme="minorEastAsia"/>
          <w:color w:val="auto"/>
          <w:highlight w:val="none"/>
        </w:rPr>
        <w:t>无息支付。每次付款前，</w:t>
      </w:r>
      <w:r>
        <w:rPr>
          <w:rFonts w:hint="eastAsia" w:ascii="宋体" w:hAnsi="宋体" w:cs="宋体"/>
          <w:color w:val="auto"/>
          <w:highlight w:val="none"/>
          <w:lang w:val="zh-CN"/>
        </w:rPr>
        <w:t>乙方须开具正式足额的增值税发票。</w:t>
      </w:r>
    </w:p>
    <w:p w14:paraId="12A1B679">
      <w:pPr>
        <w:pStyle w:val="14"/>
        <w:spacing w:line="360" w:lineRule="auto"/>
        <w:ind w:firstLine="480" w:firstLineChars="200"/>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（3）其他付款方式：本合同乙方完成相应批次工程施工后，按照本合同通用条款及专用条款附件约定由甲方进行相应履约评价及验收。</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highlight w:val="none"/>
          <w:u w:val="single"/>
        </w:rPr>
        <w:t xml:space="preserve">                  </w:t>
      </w:r>
    </w:p>
    <w:p w14:paraId="181651AF">
      <w:pPr>
        <w:snapToGrid w:val="0"/>
        <w:spacing w:line="360" w:lineRule="auto"/>
        <w:ind w:firstLine="482" w:firstLineChars="200"/>
        <w:rPr>
          <w:rFonts w:hint="eastAsia" w:cs="宋体" w:asciiTheme="majorEastAsia" w:hAnsiTheme="majorEastAsia" w:eastAsiaTheme="majorEastAsia"/>
          <w:b/>
          <w:bCs/>
          <w:color w:val="auto"/>
          <w:sz w:val="24"/>
          <w:szCs w:val="24"/>
          <w:highlight w:val="none"/>
          <w:u w:val="none"/>
          <w:lang w:val="zh-CN" w:eastAsia="zh-CN"/>
        </w:rPr>
      </w:pPr>
      <w:r>
        <w:rPr>
          <w:rFonts w:hint="eastAsia" w:cs="宋体" w:asciiTheme="majorEastAsia" w:hAnsiTheme="majorEastAsia" w:eastAsiaTheme="majorEastAsia"/>
          <w:b/>
          <w:bCs/>
          <w:color w:val="auto"/>
          <w:sz w:val="24"/>
          <w:szCs w:val="24"/>
          <w:highlight w:val="none"/>
          <w:u w:val="none"/>
          <w:lang w:val="en-US" w:eastAsia="zh-CN"/>
        </w:rPr>
        <w:t>如</w:t>
      </w:r>
      <w:r>
        <w:rPr>
          <w:rFonts w:hint="eastAsia" w:cs="宋体" w:asciiTheme="majorEastAsia" w:hAnsiTheme="majorEastAsia" w:eastAsiaTheme="majorEastAsia"/>
          <w:b/>
          <w:bCs/>
          <w:color w:val="auto"/>
          <w:sz w:val="24"/>
          <w:szCs w:val="24"/>
          <w:highlight w:val="none"/>
          <w:u w:val="none"/>
          <w:lang w:val="zh-CN" w:eastAsia="zh-CN"/>
        </w:rPr>
        <w:t>本项目资金来源为财政资金，相关付款程序严格遵守东莞市（或项目所在镇街）政府财政资金支付程序规定。因政府原因造成迟延支付的，采购人不构成违约，无需向中标人承担违约责任。</w:t>
      </w:r>
    </w:p>
    <w:p w14:paraId="763474C6">
      <w:pPr>
        <w:snapToGrid w:val="0"/>
        <w:spacing w:line="360" w:lineRule="auto"/>
        <w:ind w:firstLine="422" w:firstLineChars="175"/>
        <w:rPr>
          <w:rStyle w:val="12"/>
          <w:rFonts w:ascii="Segoe UI" w:hAnsi="Segoe UI" w:eastAsia="Segoe UI" w:cs="Segoe UI"/>
          <w:b/>
          <w:bCs/>
          <w:i w:val="0"/>
          <w:iCs w:val="0"/>
          <w:caps w:val="0"/>
          <w:color w:val="auto"/>
          <w:spacing w:val="0"/>
          <w:sz w:val="24"/>
          <w:szCs w:val="24"/>
          <w:highlight w:val="none"/>
          <w:shd w:val="clear" w:fill="292A2D"/>
        </w:rPr>
      </w:pPr>
      <w:r>
        <w:rPr>
          <w:rFonts w:hint="eastAsia" w:ascii="宋体" w:hAnsi="宋体" w:cs="宋体"/>
          <w:b/>
          <w:bCs/>
          <w:color w:val="auto"/>
          <w:sz w:val="24"/>
          <w:highlight w:val="none"/>
          <w:lang w:val="en-US" w:eastAsia="zh-CN"/>
        </w:rPr>
        <w:t>3、</w:t>
      </w:r>
      <w:r>
        <w:rPr>
          <w:rFonts w:hint="eastAsia" w:cs="宋体" w:asciiTheme="majorEastAsia" w:hAnsiTheme="majorEastAsia" w:eastAsiaTheme="majorEastAsia"/>
          <w:b/>
          <w:bCs/>
          <w:color w:val="auto"/>
          <w:sz w:val="24"/>
          <w:szCs w:val="24"/>
          <w:highlight w:val="none"/>
        </w:rPr>
        <w:t>跨年度</w:t>
      </w:r>
      <w:r>
        <w:rPr>
          <w:rFonts w:hint="eastAsia" w:cs="宋体" w:asciiTheme="majorEastAsia" w:hAnsiTheme="majorEastAsia" w:eastAsiaTheme="majorEastAsia"/>
          <w:b/>
          <w:bCs/>
          <w:color w:val="auto"/>
          <w:sz w:val="24"/>
          <w:szCs w:val="24"/>
          <w:highlight w:val="none"/>
          <w:lang w:val="en-US" w:eastAsia="zh-CN"/>
        </w:rPr>
        <w:t>阶段性</w:t>
      </w:r>
      <w:r>
        <w:rPr>
          <w:rFonts w:hint="eastAsia" w:cs="宋体" w:asciiTheme="majorEastAsia" w:hAnsiTheme="majorEastAsia" w:eastAsiaTheme="majorEastAsia"/>
          <w:b/>
          <w:bCs/>
          <w:color w:val="auto"/>
          <w:sz w:val="24"/>
          <w:szCs w:val="24"/>
          <w:highlight w:val="none"/>
        </w:rPr>
        <w:t>支付约定</w:t>
      </w:r>
    </w:p>
    <w:p w14:paraId="02BD3AA6">
      <w:pPr>
        <w:snapToGrid w:val="0"/>
        <w:spacing w:line="360" w:lineRule="auto"/>
        <w:ind w:firstLine="420" w:firstLineChars="175"/>
        <w:rPr>
          <w:rFonts w:hint="eastAsia" w:cs="宋体" w:asciiTheme="majorEastAsia" w:hAnsiTheme="majorEastAsia" w:eastAsiaTheme="majorEastAsia"/>
          <w:b w:val="0"/>
          <w:bCs w:val="0"/>
          <w:color w:val="auto"/>
          <w:sz w:val="24"/>
          <w:szCs w:val="24"/>
          <w:highlight w:val="none"/>
        </w:rPr>
      </w:pPr>
      <w:r>
        <w:rPr>
          <w:rFonts w:hint="eastAsia" w:cs="宋体" w:asciiTheme="majorEastAsia" w:hAnsiTheme="majorEastAsia" w:eastAsiaTheme="majorEastAsia"/>
          <w:b w:val="0"/>
          <w:bCs w:val="0"/>
          <w:color w:val="auto"/>
          <w:sz w:val="24"/>
          <w:szCs w:val="24"/>
          <w:highlight w:val="none"/>
          <w:lang w:eastAsia="zh-Hans"/>
        </w:rPr>
        <w:t>（</w:t>
      </w:r>
      <w:r>
        <w:rPr>
          <w:rFonts w:hint="eastAsia" w:cs="宋体" w:asciiTheme="majorEastAsia" w:hAnsiTheme="majorEastAsia" w:eastAsiaTheme="majorEastAsia"/>
          <w:b w:val="0"/>
          <w:bCs w:val="0"/>
          <w:color w:val="auto"/>
          <w:sz w:val="24"/>
          <w:szCs w:val="24"/>
          <w:highlight w:val="none"/>
          <w:lang w:val="en-US" w:eastAsia="zh-CN"/>
        </w:rPr>
        <w:t>1</w:t>
      </w:r>
      <w:r>
        <w:rPr>
          <w:rFonts w:hint="eastAsia" w:cs="宋体" w:asciiTheme="majorEastAsia" w:hAnsiTheme="majorEastAsia" w:eastAsiaTheme="majorEastAsia"/>
          <w:b w:val="0"/>
          <w:bCs w:val="0"/>
          <w:color w:val="auto"/>
          <w:sz w:val="24"/>
          <w:szCs w:val="24"/>
          <w:highlight w:val="none"/>
          <w:lang w:eastAsia="zh-Hans"/>
        </w:rPr>
        <w:t>）</w:t>
      </w:r>
      <w:r>
        <w:rPr>
          <w:rFonts w:hint="eastAsia" w:cs="宋体" w:asciiTheme="majorEastAsia" w:hAnsiTheme="majorEastAsia" w:eastAsiaTheme="majorEastAsia"/>
          <w:b w:val="0"/>
          <w:bCs w:val="0"/>
          <w:color w:val="auto"/>
          <w:sz w:val="24"/>
          <w:szCs w:val="24"/>
          <w:highlight w:val="none"/>
        </w:rPr>
        <w:t>如本合同履行期限或</w:t>
      </w:r>
      <w:r>
        <w:rPr>
          <w:rFonts w:hint="eastAsia" w:cs="宋体" w:asciiTheme="majorEastAsia" w:hAnsiTheme="majorEastAsia" w:eastAsiaTheme="majorEastAsia"/>
          <w:b w:val="0"/>
          <w:bCs w:val="0"/>
          <w:color w:val="auto"/>
          <w:sz w:val="24"/>
          <w:szCs w:val="24"/>
          <w:highlight w:val="none"/>
          <w:lang w:val="en-US" w:eastAsia="zh-CN"/>
        </w:rPr>
        <w:t>支付条件及</w:t>
      </w:r>
      <w:r>
        <w:rPr>
          <w:rFonts w:hint="eastAsia" w:cs="宋体" w:asciiTheme="majorEastAsia" w:hAnsiTheme="majorEastAsia" w:eastAsiaTheme="majorEastAsia"/>
          <w:b w:val="0"/>
          <w:bCs w:val="0"/>
          <w:color w:val="auto"/>
          <w:sz w:val="24"/>
          <w:szCs w:val="24"/>
          <w:highlight w:val="none"/>
        </w:rPr>
        <w:t>方式涉及跨自然年度（即公历年度），甲方有权根据乙方截至</w:t>
      </w:r>
      <w:r>
        <w:rPr>
          <w:rFonts w:hint="eastAsia" w:cs="宋体" w:asciiTheme="majorEastAsia" w:hAnsiTheme="majorEastAsia" w:eastAsiaTheme="majorEastAsia"/>
          <w:b w:val="0"/>
          <w:bCs w:val="0"/>
          <w:color w:val="auto"/>
          <w:sz w:val="24"/>
          <w:szCs w:val="24"/>
          <w:highlight w:val="none"/>
          <w:lang w:val="en-US" w:eastAsia="zh-CN"/>
        </w:rPr>
        <w:t>不晚于</w:t>
      </w:r>
      <w:r>
        <w:rPr>
          <w:rFonts w:hint="eastAsia" w:cs="宋体" w:asciiTheme="majorEastAsia" w:hAnsiTheme="majorEastAsia" w:eastAsiaTheme="majorEastAsia"/>
          <w:b w:val="0"/>
          <w:bCs w:val="0"/>
          <w:color w:val="auto"/>
          <w:sz w:val="24"/>
          <w:szCs w:val="24"/>
          <w:highlight w:val="none"/>
        </w:rPr>
        <w:t>当年度12月20日实际完成部分的工作量，按双方确认</w:t>
      </w:r>
      <w:r>
        <w:rPr>
          <w:rFonts w:hint="eastAsia" w:cs="宋体" w:asciiTheme="majorEastAsia" w:hAnsiTheme="majorEastAsia" w:eastAsiaTheme="majorEastAsia"/>
          <w:b w:val="0"/>
          <w:bCs w:val="0"/>
          <w:color w:val="auto"/>
          <w:sz w:val="24"/>
          <w:szCs w:val="24"/>
          <w:highlight w:val="none"/>
          <w:lang w:val="en-US" w:eastAsia="zh-CN"/>
        </w:rPr>
        <w:t>已完成</w:t>
      </w:r>
      <w:r>
        <w:rPr>
          <w:rFonts w:hint="eastAsia" w:cs="宋体" w:asciiTheme="majorEastAsia" w:hAnsiTheme="majorEastAsia" w:eastAsiaTheme="majorEastAsia"/>
          <w:b w:val="0"/>
          <w:bCs w:val="0"/>
          <w:color w:val="auto"/>
          <w:sz w:val="24"/>
          <w:szCs w:val="24"/>
          <w:highlight w:val="none"/>
        </w:rPr>
        <w:t>工作量对应合同款项比例支付相应</w:t>
      </w:r>
      <w:r>
        <w:rPr>
          <w:rFonts w:hint="eastAsia" w:cs="宋体" w:asciiTheme="majorEastAsia" w:hAnsiTheme="majorEastAsia" w:eastAsiaTheme="majorEastAsia"/>
          <w:b w:val="0"/>
          <w:bCs w:val="0"/>
          <w:color w:val="auto"/>
          <w:sz w:val="24"/>
          <w:szCs w:val="24"/>
          <w:highlight w:val="none"/>
          <w:lang w:val="en-US" w:eastAsia="zh-CN"/>
        </w:rPr>
        <w:t>剩余</w:t>
      </w:r>
      <w:r>
        <w:rPr>
          <w:rFonts w:hint="eastAsia" w:cs="宋体" w:asciiTheme="majorEastAsia" w:hAnsiTheme="majorEastAsia" w:eastAsiaTheme="majorEastAsia"/>
          <w:b w:val="0"/>
          <w:bCs w:val="0"/>
          <w:color w:val="auto"/>
          <w:sz w:val="24"/>
          <w:szCs w:val="24"/>
          <w:highlight w:val="none"/>
        </w:rPr>
        <w:t>款项。未完成部分的支付顺延至后续年度，并</w:t>
      </w:r>
      <w:r>
        <w:rPr>
          <w:rFonts w:hint="eastAsia" w:cs="宋体" w:asciiTheme="majorEastAsia" w:hAnsiTheme="majorEastAsia" w:eastAsiaTheme="majorEastAsia"/>
          <w:b w:val="0"/>
          <w:bCs w:val="0"/>
          <w:color w:val="auto"/>
          <w:sz w:val="24"/>
          <w:szCs w:val="24"/>
          <w:highlight w:val="none"/>
          <w:lang w:val="en-US" w:eastAsia="zh-CN"/>
        </w:rPr>
        <w:t>依据</w:t>
      </w:r>
      <w:r>
        <w:rPr>
          <w:rFonts w:hint="eastAsia" w:cs="宋体" w:asciiTheme="majorEastAsia" w:hAnsiTheme="majorEastAsia" w:eastAsiaTheme="majorEastAsia"/>
          <w:b w:val="0"/>
          <w:bCs w:val="0"/>
          <w:color w:val="auto"/>
          <w:sz w:val="24"/>
          <w:szCs w:val="24"/>
          <w:highlight w:val="none"/>
        </w:rPr>
        <w:t>实际进度及合同</w:t>
      </w:r>
      <w:r>
        <w:rPr>
          <w:rFonts w:hint="eastAsia" w:cs="宋体" w:asciiTheme="majorEastAsia" w:hAnsiTheme="majorEastAsia" w:eastAsiaTheme="majorEastAsia"/>
          <w:b w:val="0"/>
          <w:bCs w:val="0"/>
          <w:color w:val="auto"/>
          <w:sz w:val="24"/>
          <w:szCs w:val="24"/>
          <w:highlight w:val="none"/>
          <w:lang w:val="en-US" w:eastAsia="zh-CN"/>
        </w:rPr>
        <w:t>支付条件及方式</w:t>
      </w:r>
      <w:r>
        <w:rPr>
          <w:rFonts w:hint="eastAsia" w:cs="宋体" w:asciiTheme="majorEastAsia" w:hAnsiTheme="majorEastAsia" w:eastAsiaTheme="majorEastAsia"/>
          <w:b w:val="0"/>
          <w:bCs w:val="0"/>
          <w:color w:val="auto"/>
          <w:sz w:val="24"/>
          <w:szCs w:val="24"/>
          <w:highlight w:val="none"/>
        </w:rPr>
        <w:t>约定进行支付。</w:t>
      </w:r>
    </w:p>
    <w:p w14:paraId="6C1433BB">
      <w:pPr>
        <w:snapToGrid w:val="0"/>
        <w:spacing w:line="360" w:lineRule="auto"/>
        <w:ind w:firstLine="420" w:firstLineChars="175"/>
        <w:rPr>
          <w:rFonts w:hint="eastAsia" w:cs="宋体" w:asciiTheme="majorEastAsia" w:hAnsiTheme="majorEastAsia" w:eastAsiaTheme="majorEastAsia"/>
          <w:b w:val="0"/>
          <w:bCs w:val="0"/>
          <w:color w:val="auto"/>
          <w:sz w:val="24"/>
          <w:szCs w:val="24"/>
          <w:highlight w:val="none"/>
          <w:lang w:val="en-US" w:eastAsia="zh-CN"/>
        </w:rPr>
      </w:pPr>
      <w:r>
        <w:rPr>
          <w:rFonts w:hint="eastAsia" w:cs="宋体" w:asciiTheme="majorEastAsia" w:hAnsiTheme="majorEastAsia" w:eastAsiaTheme="majorEastAsia"/>
          <w:b w:val="0"/>
          <w:bCs w:val="0"/>
          <w:color w:val="auto"/>
          <w:sz w:val="24"/>
          <w:szCs w:val="24"/>
          <w:highlight w:val="none"/>
          <w:lang w:eastAsia="zh-CN"/>
        </w:rPr>
        <w:t>（</w:t>
      </w:r>
      <w:r>
        <w:rPr>
          <w:rFonts w:hint="eastAsia" w:cs="宋体" w:asciiTheme="majorEastAsia" w:hAnsiTheme="majorEastAsia" w:eastAsiaTheme="majorEastAsia"/>
          <w:b w:val="0"/>
          <w:bCs w:val="0"/>
          <w:color w:val="auto"/>
          <w:sz w:val="24"/>
          <w:szCs w:val="24"/>
          <w:highlight w:val="none"/>
          <w:lang w:val="en-US" w:eastAsia="zh-CN"/>
        </w:rPr>
        <w:t>2</w:t>
      </w:r>
      <w:r>
        <w:rPr>
          <w:rFonts w:hint="eastAsia" w:cs="宋体" w:asciiTheme="majorEastAsia" w:hAnsiTheme="majorEastAsia" w:eastAsiaTheme="majorEastAsia"/>
          <w:b w:val="0"/>
          <w:bCs w:val="0"/>
          <w:color w:val="auto"/>
          <w:sz w:val="24"/>
          <w:szCs w:val="24"/>
          <w:highlight w:val="none"/>
          <w:lang w:eastAsia="zh-CN"/>
        </w:rPr>
        <w:t>）</w:t>
      </w:r>
      <w:r>
        <w:rPr>
          <w:rFonts w:hint="eastAsia" w:cs="宋体" w:asciiTheme="majorEastAsia" w:hAnsiTheme="majorEastAsia" w:eastAsiaTheme="majorEastAsia"/>
          <w:b w:val="0"/>
          <w:bCs w:val="0"/>
          <w:color w:val="auto"/>
          <w:sz w:val="24"/>
          <w:szCs w:val="24"/>
          <w:highlight w:val="none"/>
          <w:lang w:val="en-US" w:eastAsia="zh-CN"/>
        </w:rPr>
        <w:t>如甲方同意跨年度阶段性支付的，</w:t>
      </w:r>
      <w:r>
        <w:rPr>
          <w:rFonts w:hint="eastAsia" w:cs="宋体" w:asciiTheme="majorEastAsia" w:hAnsiTheme="majorEastAsia" w:eastAsiaTheme="majorEastAsia"/>
          <w:b w:val="0"/>
          <w:bCs w:val="0"/>
          <w:color w:val="auto"/>
          <w:sz w:val="24"/>
          <w:szCs w:val="24"/>
          <w:highlight w:val="none"/>
          <w:lang w:eastAsia="zh-CN"/>
        </w:rPr>
        <w:t>乙方需</w:t>
      </w:r>
      <w:r>
        <w:rPr>
          <w:rFonts w:hint="eastAsia" w:cs="宋体" w:asciiTheme="majorEastAsia" w:hAnsiTheme="majorEastAsia" w:eastAsiaTheme="majorEastAsia"/>
          <w:b w:val="0"/>
          <w:bCs w:val="0"/>
          <w:color w:val="auto"/>
          <w:sz w:val="24"/>
          <w:szCs w:val="24"/>
          <w:highlight w:val="none"/>
          <w:lang w:val="en-US" w:eastAsia="zh-CN"/>
        </w:rPr>
        <w:t>根据</w:t>
      </w:r>
      <w:r>
        <w:rPr>
          <w:rFonts w:hint="eastAsia" w:cs="宋体" w:asciiTheme="majorEastAsia" w:hAnsiTheme="majorEastAsia" w:eastAsiaTheme="majorEastAsia"/>
          <w:b w:val="0"/>
          <w:bCs w:val="0"/>
          <w:color w:val="auto"/>
          <w:sz w:val="24"/>
          <w:szCs w:val="24"/>
          <w:highlight w:val="none"/>
        </w:rPr>
        <w:t>截至</w:t>
      </w:r>
      <w:r>
        <w:rPr>
          <w:rFonts w:hint="eastAsia" w:cs="宋体" w:asciiTheme="majorEastAsia" w:hAnsiTheme="majorEastAsia" w:eastAsiaTheme="majorEastAsia"/>
          <w:b w:val="0"/>
          <w:bCs w:val="0"/>
          <w:color w:val="auto"/>
          <w:sz w:val="24"/>
          <w:szCs w:val="24"/>
          <w:highlight w:val="none"/>
          <w:lang w:val="en-US" w:eastAsia="zh-CN"/>
        </w:rPr>
        <w:t>不晚于</w:t>
      </w:r>
      <w:r>
        <w:rPr>
          <w:rFonts w:hint="eastAsia" w:cs="宋体" w:asciiTheme="majorEastAsia" w:hAnsiTheme="majorEastAsia" w:eastAsiaTheme="majorEastAsia"/>
          <w:b w:val="0"/>
          <w:bCs w:val="0"/>
          <w:color w:val="auto"/>
          <w:sz w:val="24"/>
          <w:szCs w:val="24"/>
          <w:highlight w:val="none"/>
        </w:rPr>
        <w:t>当年度12月20日实际完成部分的工作量</w:t>
      </w:r>
      <w:r>
        <w:rPr>
          <w:rFonts w:hint="eastAsia" w:cs="宋体" w:asciiTheme="majorEastAsia" w:hAnsiTheme="majorEastAsia" w:eastAsiaTheme="majorEastAsia"/>
          <w:b w:val="0"/>
          <w:bCs w:val="0"/>
          <w:color w:val="auto"/>
          <w:sz w:val="24"/>
          <w:szCs w:val="24"/>
          <w:highlight w:val="none"/>
          <w:lang w:eastAsia="zh-CN"/>
        </w:rPr>
        <w:t>，</w:t>
      </w:r>
      <w:r>
        <w:rPr>
          <w:rFonts w:hint="eastAsia" w:cs="宋体" w:asciiTheme="majorEastAsia" w:hAnsiTheme="majorEastAsia" w:eastAsiaTheme="majorEastAsia"/>
          <w:b w:val="0"/>
          <w:bCs w:val="0"/>
          <w:color w:val="auto"/>
          <w:sz w:val="24"/>
          <w:szCs w:val="24"/>
          <w:highlight w:val="none"/>
          <w:lang w:val="en-US" w:eastAsia="zh-CN"/>
        </w:rPr>
        <w:t>向甲方</w:t>
      </w:r>
      <w:r>
        <w:rPr>
          <w:rFonts w:hint="eastAsia" w:cs="宋体" w:asciiTheme="majorEastAsia" w:hAnsiTheme="majorEastAsia" w:eastAsiaTheme="majorEastAsia"/>
          <w:b w:val="0"/>
          <w:bCs w:val="0"/>
          <w:color w:val="auto"/>
          <w:sz w:val="24"/>
          <w:szCs w:val="24"/>
          <w:highlight w:val="none"/>
          <w:lang w:eastAsia="zh-CN"/>
        </w:rPr>
        <w:t>提</w:t>
      </w:r>
      <w:r>
        <w:rPr>
          <w:rFonts w:hint="eastAsia" w:cs="宋体" w:asciiTheme="majorEastAsia" w:hAnsiTheme="majorEastAsia" w:eastAsiaTheme="majorEastAsia"/>
          <w:b w:val="0"/>
          <w:bCs w:val="0"/>
          <w:color w:val="auto"/>
          <w:sz w:val="24"/>
          <w:szCs w:val="24"/>
          <w:highlight w:val="none"/>
          <w:lang w:val="en-US" w:eastAsia="zh-CN"/>
        </w:rPr>
        <w:t>供</w:t>
      </w:r>
      <w:r>
        <w:rPr>
          <w:rFonts w:hint="eastAsia" w:cs="宋体" w:asciiTheme="majorEastAsia" w:hAnsiTheme="majorEastAsia" w:eastAsiaTheme="majorEastAsia"/>
          <w:b w:val="0"/>
          <w:bCs w:val="0"/>
          <w:color w:val="auto"/>
          <w:sz w:val="24"/>
          <w:szCs w:val="24"/>
          <w:highlight w:val="none"/>
          <w:lang w:eastAsia="zh-CN"/>
        </w:rPr>
        <w:t>《</w:t>
      </w:r>
      <w:r>
        <w:rPr>
          <w:rFonts w:hint="eastAsia" w:cs="宋体" w:asciiTheme="majorEastAsia" w:hAnsiTheme="majorEastAsia" w:eastAsiaTheme="majorEastAsia"/>
          <w:b w:val="0"/>
          <w:bCs w:val="0"/>
          <w:color w:val="auto"/>
          <w:sz w:val="24"/>
          <w:szCs w:val="24"/>
          <w:highlight w:val="none"/>
          <w:lang w:val="en-US" w:eastAsia="zh-CN"/>
        </w:rPr>
        <w:t>工程阶段验收</w:t>
      </w:r>
      <w:r>
        <w:rPr>
          <w:rFonts w:hint="eastAsia" w:cs="宋体" w:asciiTheme="majorEastAsia" w:hAnsiTheme="majorEastAsia" w:eastAsiaTheme="majorEastAsia"/>
          <w:b w:val="0"/>
          <w:bCs w:val="0"/>
          <w:color w:val="auto"/>
          <w:sz w:val="24"/>
          <w:szCs w:val="24"/>
          <w:highlight w:val="none"/>
          <w:lang w:eastAsia="zh-CN"/>
        </w:rPr>
        <w:t>报告》及配套</w:t>
      </w:r>
      <w:r>
        <w:rPr>
          <w:rFonts w:hint="eastAsia" w:cs="宋体" w:asciiTheme="majorEastAsia" w:hAnsiTheme="majorEastAsia" w:eastAsiaTheme="majorEastAsia"/>
          <w:b w:val="0"/>
          <w:bCs w:val="0"/>
          <w:color w:val="auto"/>
          <w:sz w:val="24"/>
          <w:szCs w:val="24"/>
          <w:highlight w:val="none"/>
          <w:lang w:val="en-US" w:eastAsia="zh-CN"/>
        </w:rPr>
        <w:t>证明</w:t>
      </w:r>
      <w:r>
        <w:rPr>
          <w:rFonts w:hint="eastAsia" w:cs="宋体" w:asciiTheme="majorEastAsia" w:hAnsiTheme="majorEastAsia" w:eastAsiaTheme="majorEastAsia"/>
          <w:b w:val="0"/>
          <w:bCs w:val="0"/>
          <w:color w:val="auto"/>
          <w:sz w:val="24"/>
          <w:szCs w:val="24"/>
          <w:highlight w:val="none"/>
          <w:lang w:eastAsia="zh-CN"/>
        </w:rPr>
        <w:t>文件，</w:t>
      </w:r>
      <w:r>
        <w:rPr>
          <w:rFonts w:hint="eastAsia" w:cs="宋体" w:asciiTheme="majorEastAsia" w:hAnsiTheme="majorEastAsia" w:eastAsiaTheme="majorEastAsia"/>
          <w:b w:val="0"/>
          <w:bCs w:val="0"/>
          <w:color w:val="auto"/>
          <w:sz w:val="24"/>
          <w:szCs w:val="24"/>
          <w:highlight w:val="none"/>
          <w:lang w:val="en-US" w:eastAsia="zh-CN"/>
        </w:rPr>
        <w:t>甲方（或甲方授权的第三方）、乙方对相关资料进行确认。</w:t>
      </w:r>
      <w:r>
        <w:rPr>
          <w:rFonts w:hint="eastAsia" w:cs="宋体" w:asciiTheme="majorEastAsia" w:hAnsiTheme="majorEastAsia" w:eastAsiaTheme="majorEastAsia"/>
          <w:b w:val="0"/>
          <w:bCs w:val="0"/>
          <w:color w:val="auto"/>
          <w:sz w:val="24"/>
          <w:szCs w:val="24"/>
          <w:highlight w:val="none"/>
          <w:lang w:eastAsia="zh-CN"/>
        </w:rPr>
        <w:t>甲方</w:t>
      </w:r>
      <w:r>
        <w:rPr>
          <w:rFonts w:hint="eastAsia" w:cs="宋体" w:asciiTheme="majorEastAsia" w:hAnsiTheme="majorEastAsia" w:eastAsiaTheme="majorEastAsia"/>
          <w:b w:val="0"/>
          <w:bCs w:val="0"/>
          <w:color w:val="auto"/>
          <w:sz w:val="24"/>
          <w:szCs w:val="24"/>
          <w:highlight w:val="none"/>
          <w:lang w:val="en-US" w:eastAsia="zh-CN"/>
        </w:rPr>
        <w:t>（或甲方授权的第三方）</w:t>
      </w:r>
      <w:r>
        <w:rPr>
          <w:rFonts w:hint="eastAsia" w:cs="宋体" w:asciiTheme="majorEastAsia" w:hAnsiTheme="majorEastAsia" w:eastAsiaTheme="majorEastAsia"/>
          <w:b w:val="0"/>
          <w:bCs w:val="0"/>
          <w:color w:val="auto"/>
          <w:sz w:val="24"/>
          <w:szCs w:val="24"/>
          <w:highlight w:val="none"/>
          <w:lang w:eastAsia="zh-CN"/>
        </w:rPr>
        <w:t>有权对</w:t>
      </w:r>
      <w:r>
        <w:rPr>
          <w:rFonts w:hint="eastAsia" w:cs="宋体" w:asciiTheme="majorEastAsia" w:hAnsiTheme="majorEastAsia" w:eastAsiaTheme="majorEastAsia"/>
          <w:b w:val="0"/>
          <w:bCs w:val="0"/>
          <w:color w:val="auto"/>
          <w:sz w:val="24"/>
          <w:szCs w:val="24"/>
          <w:highlight w:val="none"/>
          <w:lang w:val="en-US" w:eastAsia="zh-CN"/>
        </w:rPr>
        <w:t>工程阶段验收内容</w:t>
      </w:r>
      <w:r>
        <w:rPr>
          <w:rFonts w:hint="eastAsia" w:cs="宋体" w:asciiTheme="majorEastAsia" w:hAnsiTheme="majorEastAsia" w:eastAsiaTheme="majorEastAsia"/>
          <w:b w:val="0"/>
          <w:bCs w:val="0"/>
          <w:color w:val="auto"/>
          <w:sz w:val="24"/>
          <w:szCs w:val="24"/>
          <w:highlight w:val="none"/>
          <w:lang w:eastAsia="zh-CN"/>
        </w:rPr>
        <w:t>提出修改意见，乙方需在</w:t>
      </w:r>
      <w:r>
        <w:rPr>
          <w:rFonts w:hint="eastAsia" w:cs="宋体" w:asciiTheme="majorEastAsia" w:hAnsiTheme="majorEastAsia" w:eastAsiaTheme="majorEastAsia"/>
          <w:b w:val="0"/>
          <w:bCs w:val="0"/>
          <w:color w:val="auto"/>
          <w:sz w:val="24"/>
          <w:szCs w:val="24"/>
          <w:highlight w:val="none"/>
          <w:lang w:val="en-US" w:eastAsia="zh-CN"/>
        </w:rPr>
        <w:t>甲方（或甲方授权的第三方）要求</w:t>
      </w:r>
      <w:r>
        <w:rPr>
          <w:rFonts w:hint="eastAsia" w:cs="宋体" w:asciiTheme="majorEastAsia" w:hAnsiTheme="majorEastAsia" w:eastAsiaTheme="majorEastAsia"/>
          <w:b w:val="0"/>
          <w:bCs w:val="0"/>
          <w:color w:val="auto"/>
          <w:sz w:val="24"/>
          <w:szCs w:val="24"/>
          <w:highlight w:val="none"/>
          <w:lang w:eastAsia="zh-CN"/>
        </w:rPr>
        <w:t>期限内调整，否则视为未完成</w:t>
      </w:r>
      <w:r>
        <w:rPr>
          <w:rFonts w:hint="eastAsia" w:cs="宋体" w:asciiTheme="majorEastAsia" w:hAnsiTheme="majorEastAsia" w:eastAsiaTheme="majorEastAsia"/>
          <w:b w:val="0"/>
          <w:bCs w:val="0"/>
          <w:color w:val="auto"/>
          <w:sz w:val="24"/>
          <w:szCs w:val="24"/>
          <w:highlight w:val="none"/>
          <w:lang w:val="en-US" w:eastAsia="zh-CN"/>
        </w:rPr>
        <w:t>双方确认</w:t>
      </w:r>
      <w:r>
        <w:rPr>
          <w:rFonts w:hint="eastAsia" w:cs="宋体" w:asciiTheme="majorEastAsia" w:hAnsiTheme="majorEastAsia" w:eastAsiaTheme="majorEastAsia"/>
          <w:b w:val="0"/>
          <w:bCs w:val="0"/>
          <w:color w:val="auto"/>
          <w:sz w:val="24"/>
          <w:szCs w:val="24"/>
          <w:highlight w:val="none"/>
          <w:lang w:eastAsia="zh-CN"/>
        </w:rPr>
        <w:t>。</w:t>
      </w:r>
      <w:r>
        <w:rPr>
          <w:rFonts w:hint="eastAsia" w:cs="宋体" w:asciiTheme="majorEastAsia" w:hAnsiTheme="majorEastAsia" w:eastAsiaTheme="majorEastAsia"/>
          <w:b w:val="0"/>
          <w:bCs w:val="0"/>
          <w:color w:val="auto"/>
          <w:sz w:val="24"/>
          <w:szCs w:val="24"/>
          <w:highlight w:val="none"/>
          <w:lang w:val="en-US" w:eastAsia="zh-CN"/>
        </w:rPr>
        <w:t>如甲方授权的第三方进行确认的，第三方均提供对应的《工程进度评估报告》。</w:t>
      </w:r>
    </w:p>
    <w:p w14:paraId="78B09937">
      <w:pPr>
        <w:snapToGrid w:val="0"/>
        <w:spacing w:line="360" w:lineRule="auto"/>
        <w:ind w:firstLine="420" w:firstLineChars="175"/>
        <w:rPr>
          <w:rFonts w:hint="eastAsia" w:cs="宋体" w:asciiTheme="majorEastAsia" w:hAnsiTheme="majorEastAsia" w:eastAsiaTheme="majorEastAsia"/>
          <w:b w:val="0"/>
          <w:bCs w:val="0"/>
          <w:color w:val="auto"/>
          <w:sz w:val="24"/>
          <w:szCs w:val="24"/>
          <w:highlight w:val="none"/>
          <w:lang w:eastAsia="zh-CN"/>
        </w:rPr>
      </w:pPr>
      <w:r>
        <w:rPr>
          <w:rFonts w:hint="eastAsia" w:cs="宋体" w:asciiTheme="majorEastAsia" w:hAnsiTheme="majorEastAsia" w:eastAsiaTheme="majorEastAsia"/>
          <w:b w:val="0"/>
          <w:bCs w:val="0"/>
          <w:color w:val="auto"/>
          <w:sz w:val="24"/>
          <w:szCs w:val="24"/>
          <w:highlight w:val="none"/>
          <w:lang w:eastAsia="zh-CN"/>
        </w:rPr>
        <w:t>（</w:t>
      </w:r>
      <w:r>
        <w:rPr>
          <w:rFonts w:hint="eastAsia" w:cs="宋体" w:asciiTheme="majorEastAsia" w:hAnsiTheme="majorEastAsia" w:eastAsiaTheme="majorEastAsia"/>
          <w:b w:val="0"/>
          <w:bCs w:val="0"/>
          <w:color w:val="auto"/>
          <w:sz w:val="24"/>
          <w:szCs w:val="24"/>
          <w:highlight w:val="none"/>
          <w:lang w:val="en-US" w:eastAsia="zh-CN"/>
        </w:rPr>
        <w:t>3</w:t>
      </w:r>
      <w:r>
        <w:rPr>
          <w:rFonts w:hint="eastAsia" w:cs="宋体" w:asciiTheme="majorEastAsia" w:hAnsiTheme="majorEastAsia" w:eastAsiaTheme="majorEastAsia"/>
          <w:b w:val="0"/>
          <w:bCs w:val="0"/>
          <w:color w:val="auto"/>
          <w:sz w:val="24"/>
          <w:szCs w:val="24"/>
          <w:highlight w:val="none"/>
          <w:lang w:eastAsia="zh-CN"/>
        </w:rPr>
        <w:t>）</w:t>
      </w:r>
      <w:r>
        <w:rPr>
          <w:rFonts w:hint="eastAsia" w:cs="宋体" w:asciiTheme="majorEastAsia" w:hAnsiTheme="majorEastAsia" w:eastAsiaTheme="majorEastAsia"/>
          <w:b w:val="0"/>
          <w:bCs w:val="0"/>
          <w:color w:val="auto"/>
          <w:sz w:val="24"/>
          <w:szCs w:val="24"/>
          <w:highlight w:val="none"/>
        </w:rPr>
        <w:t>本条款不排除甲方根据合同其他条款（如违约金、赔偿金等）对乙方进行款项扣减的权利。</w:t>
      </w:r>
    </w:p>
    <w:p w14:paraId="636E0693">
      <w:pPr>
        <w:snapToGrid w:val="0"/>
        <w:spacing w:line="360" w:lineRule="auto"/>
        <w:ind w:firstLine="420" w:firstLineChars="175"/>
        <w:rPr>
          <w:rFonts w:ascii="宋体" w:hAnsi="宋体" w:cs="宋体"/>
          <w:color w:val="auto"/>
          <w:sz w:val="24"/>
          <w:highlight w:val="none"/>
          <w:lang w:val="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w:t>
      </w:r>
      <w:r>
        <w:rPr>
          <w:rFonts w:hint="eastAsia" w:cs="宋体" w:asciiTheme="majorEastAsia" w:hAnsiTheme="majorEastAsia" w:eastAsiaTheme="majorEastAsia"/>
          <w:color w:val="auto"/>
          <w:sz w:val="24"/>
          <w:highlight w:val="none"/>
          <w:lang w:eastAsia="zh-Hans"/>
        </w:rPr>
        <w:t>本合同签订后，乙方</w:t>
      </w:r>
      <w:r>
        <w:rPr>
          <w:rFonts w:hint="eastAsia" w:cs="宋体" w:asciiTheme="majorEastAsia" w:hAnsiTheme="majorEastAsia" w:eastAsiaTheme="majorEastAsia"/>
          <w:color w:val="auto"/>
          <w:sz w:val="24"/>
          <w:highlight w:val="none"/>
          <w:u w:val="single"/>
          <w:lang w:eastAsia="zh-Hans"/>
        </w:rPr>
        <w:sym w:font="Wingdings 2" w:char="F0A3"/>
      </w:r>
      <w:r>
        <w:rPr>
          <w:rFonts w:hint="eastAsia" w:cs="宋体" w:asciiTheme="majorEastAsia" w:hAnsiTheme="majorEastAsia" w:eastAsiaTheme="majorEastAsia"/>
          <w:color w:val="auto"/>
          <w:sz w:val="24"/>
          <w:highlight w:val="none"/>
          <w:u w:val="single"/>
          <w:lang w:eastAsia="zh-Hans"/>
        </w:rPr>
        <w:t>需要</w:t>
      </w:r>
      <w:r>
        <w:rPr>
          <w:rFonts w:hint="eastAsia" w:cs="宋体" w:asciiTheme="majorEastAsia" w:hAnsiTheme="majorEastAsia" w:eastAsiaTheme="majorEastAsia"/>
          <w:color w:val="auto"/>
          <w:sz w:val="24"/>
          <w:highlight w:val="none"/>
          <w:u w:val="single"/>
        </w:rPr>
        <w:t>/</w:t>
      </w:r>
      <w:r>
        <w:rPr>
          <w:rFonts w:cs="宋体" w:asciiTheme="majorEastAsia" w:hAnsiTheme="majorEastAsia" w:eastAsiaTheme="majorEastAsia"/>
          <w:color w:val="auto"/>
          <w:sz w:val="24"/>
          <w:highlight w:val="none"/>
          <w:u w:val="single"/>
          <w:lang w:eastAsia="zh-Hans"/>
        </w:rPr>
        <w:sym w:font="Wingdings 2" w:char="F0A3"/>
      </w:r>
      <w:r>
        <w:rPr>
          <w:rFonts w:hint="eastAsia" w:cs="宋体" w:asciiTheme="majorEastAsia" w:hAnsiTheme="majorEastAsia" w:eastAsiaTheme="majorEastAsia"/>
          <w:color w:val="auto"/>
          <w:sz w:val="24"/>
          <w:highlight w:val="none"/>
          <w:u w:val="single"/>
        </w:rPr>
        <w:t>不需要</w:t>
      </w:r>
      <w:r>
        <w:rPr>
          <w:rFonts w:hint="eastAsia" w:cs="宋体" w:asciiTheme="majorEastAsia" w:hAnsiTheme="majorEastAsia" w:eastAsiaTheme="majorEastAsia"/>
          <w:color w:val="auto"/>
          <w:sz w:val="24"/>
          <w:highlight w:val="none"/>
          <w:lang w:eastAsia="zh-Hans"/>
        </w:rPr>
        <w:t>缴纳或提交履约保证金（如需</w:t>
      </w:r>
      <w:r>
        <w:rPr>
          <w:rFonts w:hint="eastAsia" w:ascii="宋体" w:hAnsi="宋体" w:cs="宋体"/>
          <w:color w:val="auto"/>
          <w:sz w:val="24"/>
          <w:highlight w:val="none"/>
          <w:lang w:eastAsia="zh-Hans"/>
        </w:rPr>
        <w:t>缴纳或提交</w:t>
      </w:r>
      <w:r>
        <w:rPr>
          <w:rFonts w:hint="eastAsia" w:cs="宋体" w:asciiTheme="majorEastAsia" w:hAnsiTheme="majorEastAsia" w:eastAsiaTheme="majorEastAsia"/>
          <w:color w:val="auto"/>
          <w:sz w:val="24"/>
          <w:highlight w:val="none"/>
          <w:lang w:eastAsia="zh-Hans"/>
        </w:rPr>
        <w:t>，履约保证金为合同金额的</w:t>
      </w:r>
      <w:r>
        <w:rPr>
          <w:rFonts w:hint="eastAsia" w:cs="宋体" w:asciiTheme="majorEastAsia" w:hAnsiTheme="majorEastAsia" w:eastAsiaTheme="majorEastAsia"/>
          <w:color w:val="auto"/>
          <w:sz w:val="24"/>
          <w:highlight w:val="none"/>
          <w:u w:val="single"/>
          <w:lang w:eastAsia="zh-Hans"/>
        </w:rPr>
        <w:sym w:font="Wingdings 2" w:char="F0A3"/>
      </w:r>
      <w:r>
        <w:rPr>
          <w:rFonts w:hint="eastAsia" w:cs="宋体" w:asciiTheme="majorEastAsia" w:hAnsiTheme="majorEastAsia" w:eastAsiaTheme="majorEastAsia"/>
          <w:color w:val="auto"/>
          <w:sz w:val="24"/>
          <w:highlight w:val="none"/>
          <w:u w:val="single"/>
          <w:lang w:eastAsia="zh-Hans"/>
        </w:rPr>
        <w:t>10%/</w:t>
      </w:r>
      <w:r>
        <w:rPr>
          <w:rFonts w:cs="宋体" w:asciiTheme="majorEastAsia" w:hAnsiTheme="majorEastAsia" w:eastAsiaTheme="majorEastAsia"/>
          <w:color w:val="auto"/>
          <w:sz w:val="24"/>
          <w:highlight w:val="none"/>
          <w:u w:val="single"/>
          <w:lang w:eastAsia="zh-Hans"/>
        </w:rPr>
        <w:sym w:font="Wingdings 2" w:char="F0A3"/>
      </w:r>
      <w:r>
        <w:rPr>
          <w:rFonts w:hint="eastAsia" w:cs="宋体" w:asciiTheme="majorEastAsia" w:hAnsiTheme="majorEastAsia" w:eastAsiaTheme="majorEastAsia"/>
          <w:color w:val="auto"/>
          <w:sz w:val="24"/>
          <w:highlight w:val="none"/>
          <w:u w:val="single"/>
          <w:lang w:eastAsia="zh-Hans"/>
        </w:rPr>
        <w:t>5%</w:t>
      </w:r>
      <w:r>
        <w:rPr>
          <w:rFonts w:hint="eastAsia" w:cs="宋体" w:asciiTheme="majorEastAsia" w:hAnsiTheme="majorEastAsia" w:eastAsiaTheme="majorEastAsia"/>
          <w:color w:val="auto"/>
          <w:sz w:val="24"/>
          <w:highlight w:val="none"/>
          <w:lang w:eastAsia="zh-Hans"/>
        </w:rPr>
        <w:t>），具体要求执行本合同通用条款相关</w:t>
      </w:r>
      <w:r>
        <w:rPr>
          <w:rFonts w:hint="eastAsia" w:cs="宋体" w:asciiTheme="majorEastAsia" w:hAnsiTheme="majorEastAsia" w:eastAsiaTheme="majorEastAsia"/>
          <w:color w:val="auto"/>
          <w:sz w:val="24"/>
          <w:highlight w:val="none"/>
          <w:lang w:val="zh-CN"/>
        </w:rPr>
        <w:t>约定。</w:t>
      </w:r>
    </w:p>
    <w:p w14:paraId="59D70183">
      <w:pPr>
        <w:snapToGrid w:val="0"/>
        <w:spacing w:line="360" w:lineRule="auto"/>
        <w:ind w:firstLine="422" w:firstLineChars="175"/>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第四条 甲方按照下列</w:t>
      </w:r>
      <w:r>
        <w:rPr>
          <w:rFonts w:hint="eastAsia" w:cs="宋体" w:asciiTheme="minorEastAsia" w:hAnsiTheme="minorEastAsia" w:eastAsiaTheme="minorEastAsia"/>
          <w:b/>
          <w:color w:val="auto"/>
          <w:kern w:val="0"/>
          <w:sz w:val="24"/>
          <w:highlight w:val="none"/>
          <w:u w:val="single"/>
          <w:lang w:val="en-US" w:eastAsia="zh-CN"/>
        </w:rPr>
        <w:t xml:space="preserve"> 转账方式</w:t>
      </w:r>
      <w:r>
        <w:rPr>
          <w:rFonts w:hint="eastAsia" w:cs="宋体" w:asciiTheme="minorEastAsia" w:hAnsiTheme="minorEastAsia" w:eastAsiaTheme="minorEastAsia"/>
          <w:color w:val="auto"/>
          <w:kern w:val="0"/>
          <w:sz w:val="24"/>
          <w:highlight w:val="none"/>
          <w:u w:val="single"/>
          <w:lang w:val="en-US" w:eastAsia="zh-CN"/>
        </w:rPr>
        <w:t xml:space="preserve"> </w:t>
      </w:r>
      <w:r>
        <w:rPr>
          <w:rFonts w:hint="eastAsia" w:cs="宋体" w:asciiTheme="minorEastAsia" w:hAnsiTheme="minorEastAsia" w:eastAsiaTheme="minorEastAsia"/>
          <w:b/>
          <w:color w:val="auto"/>
          <w:kern w:val="0"/>
          <w:sz w:val="24"/>
          <w:highlight w:val="none"/>
        </w:rPr>
        <w:t>向乙方付款：</w:t>
      </w:r>
    </w:p>
    <w:p w14:paraId="50A7FFE1">
      <w:pPr>
        <w:adjustRightInd w:val="0"/>
        <w:snapToGrid w:val="0"/>
        <w:spacing w:line="360" w:lineRule="auto"/>
        <w:ind w:firstLine="482" w:firstLineChars="200"/>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第五条 质量标准</w:t>
      </w:r>
    </w:p>
    <w:p w14:paraId="6064912E">
      <w:pPr>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本工程质量标准：乙方应按国家法律、法规、规章，及国家、广东省、 东莞市、行业质量检验评定的合格。若在合同履行过程中，法律、法规、规章、标准进行修改，乙方应当无条件保证提供的服务符合最新的法律、法规、规章、标准。若有多个标准的，按对乙方最严的标准执行。</w:t>
      </w:r>
    </w:p>
    <w:p w14:paraId="31499802">
      <w:pPr>
        <w:adjustRightInd w:val="0"/>
        <w:snapToGrid w:val="0"/>
        <w:spacing w:line="360" w:lineRule="auto"/>
        <w:ind w:firstLine="482" w:firstLineChars="200"/>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第六条 签署及生效</w:t>
      </w:r>
    </w:p>
    <w:p w14:paraId="674A8930">
      <w:pPr>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本合同一式肆份，甲方持叁份，乙方持壹份，均具有同等法律效力，合同签署及生效以通用条款约定为准。</w:t>
      </w:r>
    </w:p>
    <w:p w14:paraId="4C1A30C7">
      <w:pPr>
        <w:adjustRightInd w:val="0"/>
        <w:snapToGrid w:val="0"/>
        <w:spacing w:line="360" w:lineRule="auto"/>
        <w:ind w:firstLine="482" w:firstLineChars="200"/>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第七条 其他</w:t>
      </w:r>
    </w:p>
    <w:p w14:paraId="50FDA047">
      <w:pPr>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双方另行约定的内容</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如有</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w:t>
      </w:r>
    </w:p>
    <w:p w14:paraId="1437407D">
      <w:pPr>
        <w:adjustRightInd w:val="0"/>
        <w:snapToGrid w:val="0"/>
        <w:spacing w:after="200" w:line="360" w:lineRule="auto"/>
        <w:ind w:firstLine="480" w:firstLineChars="200"/>
        <w:rPr>
          <w:rFonts w:cs="宋体" w:asciiTheme="minorEastAsia" w:hAnsiTheme="minorEastAsia" w:eastAsiaTheme="minorEastAsia"/>
          <w:b/>
          <w:color w:val="auto"/>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ascii="宋体" w:hAnsi="宋体" w:cs="宋体"/>
          <w:color w:val="auto"/>
          <w:sz w:val="24"/>
          <w:highlight w:val="none"/>
          <w:u w:val="single"/>
          <w:lang w:eastAsia="zh-Hans"/>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Hans"/>
        </w:rPr>
        <w:t xml:space="preserve"> </w:t>
      </w:r>
      <w:r>
        <w:rPr>
          <w:rFonts w:ascii="宋体" w:hAnsi="宋体" w:cs="宋体"/>
          <w:color w:val="auto"/>
          <w:sz w:val="24"/>
          <w:highlight w:val="none"/>
          <w:u w:val="single"/>
          <w:lang w:eastAsia="zh-Hans"/>
        </w:rPr>
        <w:t xml:space="preserve">                                                           </w:t>
      </w:r>
    </w:p>
    <w:p w14:paraId="28DFEE0A">
      <w:pPr>
        <w:tabs>
          <w:tab w:val="left" w:pos="7425"/>
        </w:tabs>
        <w:autoSpaceDE w:val="0"/>
        <w:autoSpaceDN w:val="0"/>
        <w:adjustRightInd w:val="0"/>
        <w:spacing w:line="360" w:lineRule="auto"/>
        <w:jc w:val="left"/>
        <w:rPr>
          <w:rFonts w:cs="宋体" w:asciiTheme="minorEastAsia" w:hAnsiTheme="minorEastAsia" w:eastAsiaTheme="minorEastAsia"/>
          <w:color w:val="auto"/>
          <w:kern w:val="0"/>
          <w:sz w:val="24"/>
          <w:highlight w:val="none"/>
        </w:rPr>
      </w:pPr>
    </w:p>
    <w:p w14:paraId="54138698">
      <w:pPr>
        <w:widowControl/>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br w:type="page"/>
      </w:r>
    </w:p>
    <w:p w14:paraId="0F1AE924">
      <w:pPr>
        <w:tabs>
          <w:tab w:val="left" w:pos="7425"/>
        </w:tabs>
        <w:autoSpaceDE w:val="0"/>
        <w:autoSpaceDN w:val="0"/>
        <w:adjustRightInd w:val="0"/>
        <w:spacing w:line="360" w:lineRule="auto"/>
        <w:jc w:val="left"/>
        <w:rPr>
          <w:rFonts w:cs="宋体" w:asciiTheme="minorEastAsia" w:hAnsiTheme="minorEastAsia" w:eastAsiaTheme="minorEastAsia"/>
          <w:color w:val="auto"/>
          <w:kern w:val="0"/>
          <w:sz w:val="24"/>
          <w:highlight w:val="none"/>
        </w:rPr>
      </w:pPr>
    </w:p>
    <w:p w14:paraId="72035A73">
      <w:pPr>
        <w:snapToGrid w:val="0"/>
        <w:spacing w:line="360" w:lineRule="auto"/>
        <w:jc w:val="center"/>
        <w:rPr>
          <w:rFonts w:ascii="宋体" w:hAnsi="宋体" w:cs="宋体"/>
          <w:b/>
          <w:color w:val="auto"/>
          <w:sz w:val="24"/>
          <w:highlight w:val="none"/>
          <w:lang w:bidi="ar"/>
        </w:rPr>
      </w:pPr>
      <w:r>
        <w:rPr>
          <w:rFonts w:hint="eastAsia" w:ascii="宋体" w:hAnsi="宋体" w:cs="宋体"/>
          <w:b/>
          <w:color w:val="auto"/>
          <w:sz w:val="24"/>
          <w:highlight w:val="none"/>
          <w:u w:val="single"/>
          <w:lang w:bidi="ar"/>
        </w:rPr>
        <w:t>香港城市大学（东莞）</w:t>
      </w:r>
      <w:r>
        <w:rPr>
          <w:rFonts w:ascii="宋体" w:hAnsi="宋体" w:cs="宋体"/>
          <w:b/>
          <w:color w:val="auto"/>
          <w:sz w:val="24"/>
          <w:highlight w:val="none"/>
          <w:u w:val="single"/>
          <w:lang w:bidi="ar"/>
        </w:rPr>
        <w:t xml:space="preserve">                                 </w:t>
      </w:r>
      <w:r>
        <w:rPr>
          <w:rFonts w:hint="eastAsia" w:ascii="宋体" w:hAnsi="宋体" w:cs="宋体"/>
          <w:b/>
          <w:color w:val="auto"/>
          <w:sz w:val="24"/>
          <w:highlight w:val="none"/>
          <w:lang w:bidi="ar"/>
        </w:rPr>
        <w:t>项目</w:t>
      </w:r>
    </w:p>
    <w:p w14:paraId="3329A980">
      <w:pPr>
        <w:snapToGrid w:val="0"/>
        <w:spacing w:line="360" w:lineRule="auto"/>
        <w:jc w:val="center"/>
        <w:rPr>
          <w:rFonts w:ascii="宋体" w:hAnsi="宋体"/>
          <w:b/>
          <w:color w:val="auto"/>
          <w:sz w:val="24"/>
          <w:highlight w:val="none"/>
        </w:rPr>
      </w:pPr>
      <w:r>
        <w:rPr>
          <w:rFonts w:hint="eastAsia" w:ascii="宋体" w:hAnsi="宋体" w:cs="宋体"/>
          <w:b/>
          <w:color w:val="auto"/>
          <w:sz w:val="24"/>
          <w:highlight w:val="none"/>
          <w:lang w:bidi="ar"/>
        </w:rPr>
        <w:t>工程采购合同 签署页</w:t>
      </w:r>
    </w:p>
    <w:p w14:paraId="30CB9145">
      <w:pPr>
        <w:tabs>
          <w:tab w:val="left" w:pos="7425"/>
        </w:tabs>
        <w:autoSpaceDE w:val="0"/>
        <w:autoSpaceDN w:val="0"/>
        <w:adjustRightInd w:val="0"/>
        <w:spacing w:line="360" w:lineRule="auto"/>
        <w:jc w:val="left"/>
        <w:rPr>
          <w:rFonts w:cs="宋体" w:asciiTheme="minorEastAsia" w:hAnsiTheme="minorEastAsia" w:eastAsiaTheme="minorEastAsia"/>
          <w:color w:val="auto"/>
          <w:kern w:val="0"/>
          <w:sz w:val="24"/>
          <w:highlight w:val="none"/>
        </w:rPr>
      </w:pPr>
    </w:p>
    <w:tbl>
      <w:tblPr>
        <w:tblStyle w:val="10"/>
        <w:tblW w:w="9198" w:type="dxa"/>
        <w:jc w:val="center"/>
        <w:tblLayout w:type="fixed"/>
        <w:tblCellMar>
          <w:top w:w="0" w:type="dxa"/>
          <w:left w:w="108" w:type="dxa"/>
          <w:bottom w:w="0" w:type="dxa"/>
          <w:right w:w="108" w:type="dxa"/>
        </w:tblCellMar>
      </w:tblPr>
      <w:tblGrid>
        <w:gridCol w:w="4595"/>
        <w:gridCol w:w="4603"/>
      </w:tblGrid>
      <w:tr w14:paraId="1CA9C892">
        <w:tblPrEx>
          <w:tblCellMar>
            <w:top w:w="0" w:type="dxa"/>
            <w:left w:w="108" w:type="dxa"/>
            <w:bottom w:w="0" w:type="dxa"/>
            <w:right w:w="108" w:type="dxa"/>
          </w:tblCellMar>
        </w:tblPrEx>
        <w:trPr>
          <w:cantSplit/>
          <w:trHeight w:val="704" w:hRule="atLeast"/>
          <w:jc w:val="center"/>
        </w:trPr>
        <w:tc>
          <w:tcPr>
            <w:tcW w:w="4595" w:type="dxa"/>
            <w:tcBorders>
              <w:top w:val="nil"/>
              <w:left w:val="nil"/>
              <w:bottom w:val="nil"/>
              <w:right w:val="nil"/>
            </w:tcBorders>
            <w:shd w:val="clear" w:color="auto" w:fill="auto"/>
          </w:tcPr>
          <w:p w14:paraId="2E9CFE91">
            <w:pPr>
              <w:spacing w:line="360" w:lineRule="auto"/>
              <w:rPr>
                <w:rFonts w:ascii="宋体" w:hAnsi="宋体"/>
                <w:color w:val="auto"/>
                <w:sz w:val="24"/>
                <w:highlight w:val="none"/>
              </w:rPr>
            </w:pPr>
            <w:r>
              <w:rPr>
                <w:rFonts w:hint="eastAsia" w:ascii="宋体" w:hAnsi="宋体" w:cs="宋体"/>
                <w:color w:val="auto"/>
                <w:sz w:val="24"/>
                <w:highlight w:val="none"/>
                <w:lang w:eastAsia="zh-Hans" w:bidi="ar"/>
              </w:rPr>
              <w:t>发包方</w:t>
            </w:r>
            <w:r>
              <w:rPr>
                <w:rFonts w:hint="eastAsia" w:ascii="宋体" w:hAnsi="宋体" w:cs="宋体"/>
                <w:color w:val="auto"/>
                <w:sz w:val="24"/>
                <w:highlight w:val="none"/>
                <w:lang w:bidi="ar"/>
              </w:rPr>
              <w:t>：</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盖章</w:t>
            </w:r>
            <w:r>
              <w:rPr>
                <w:rFonts w:hint="eastAsia" w:ascii="宋体" w:hAnsi="宋体" w:cs="宋体"/>
                <w:color w:val="auto"/>
                <w:sz w:val="24"/>
                <w:highlight w:val="none"/>
                <w:lang w:eastAsia="zh-CN" w:bidi="ar"/>
              </w:rPr>
              <w:t>）</w:t>
            </w: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香港城市大学（东莞）</w:t>
            </w:r>
          </w:p>
        </w:tc>
        <w:tc>
          <w:tcPr>
            <w:tcW w:w="4603" w:type="dxa"/>
            <w:tcBorders>
              <w:top w:val="nil"/>
              <w:left w:val="nil"/>
              <w:bottom w:val="nil"/>
              <w:right w:val="nil"/>
            </w:tcBorders>
            <w:shd w:val="clear" w:color="auto" w:fill="auto"/>
          </w:tcPr>
          <w:p w14:paraId="68425FB0">
            <w:pPr>
              <w:rPr>
                <w:rFonts w:ascii="宋体" w:hAnsi="宋体"/>
                <w:color w:val="auto"/>
                <w:sz w:val="24"/>
                <w:highlight w:val="none"/>
              </w:rPr>
            </w:pPr>
            <w:r>
              <w:rPr>
                <w:rFonts w:hint="eastAsia" w:ascii="宋体" w:hAnsi="宋体" w:cs="宋体"/>
                <w:color w:val="auto"/>
                <w:sz w:val="24"/>
                <w:highlight w:val="none"/>
                <w:lang w:eastAsia="zh-Hans" w:bidi="ar"/>
              </w:rPr>
              <w:t>承包需要</w:t>
            </w:r>
            <w:r>
              <w:rPr>
                <w:rFonts w:hint="eastAsia" w:ascii="宋体" w:hAnsi="宋体" w:cs="宋体"/>
                <w:color w:val="auto"/>
                <w:sz w:val="24"/>
                <w:highlight w:val="none"/>
                <w:lang w:bidi="ar"/>
              </w:rPr>
              <w:t xml:space="preserve"> </w:t>
            </w:r>
            <w:r>
              <w:rPr>
                <w:rFonts w:hint="eastAsia" w:ascii="宋体" w:hAnsi="宋体" w:cs="宋体"/>
                <w:color w:val="auto"/>
                <w:sz w:val="24"/>
                <w:highlight w:val="none"/>
                <w:lang w:eastAsia="zh-Hans" w:bidi="ar"/>
              </w:rPr>
              <w:t>方</w:t>
            </w:r>
            <w:r>
              <w:rPr>
                <w:rFonts w:hint="eastAsia" w:ascii="宋体" w:hAnsi="宋体" w:cs="宋体"/>
                <w:color w:val="auto"/>
                <w:sz w:val="24"/>
                <w:highlight w:val="none"/>
                <w:lang w:bidi="ar"/>
              </w:rPr>
              <w:t>：（盖章）</w:t>
            </w:r>
          </w:p>
        </w:tc>
      </w:tr>
      <w:tr w14:paraId="4725AD59">
        <w:tblPrEx>
          <w:tblCellMar>
            <w:top w:w="0" w:type="dxa"/>
            <w:left w:w="108" w:type="dxa"/>
            <w:bottom w:w="0" w:type="dxa"/>
            <w:right w:w="108" w:type="dxa"/>
          </w:tblCellMar>
        </w:tblPrEx>
        <w:trPr>
          <w:cantSplit/>
          <w:trHeight w:val="1007" w:hRule="atLeast"/>
          <w:jc w:val="center"/>
        </w:trPr>
        <w:tc>
          <w:tcPr>
            <w:tcW w:w="4595" w:type="dxa"/>
            <w:tcBorders>
              <w:top w:val="nil"/>
              <w:left w:val="nil"/>
              <w:bottom w:val="nil"/>
              <w:right w:val="nil"/>
            </w:tcBorders>
            <w:shd w:val="clear" w:color="auto" w:fill="auto"/>
            <w:vAlign w:val="center"/>
          </w:tcPr>
          <w:p w14:paraId="2695EEBC">
            <w:pPr>
              <w:spacing w:line="360" w:lineRule="auto"/>
              <w:rPr>
                <w:rFonts w:ascii="宋体" w:hAnsi="宋体"/>
                <w:color w:val="auto"/>
                <w:sz w:val="24"/>
                <w:highlight w:val="none"/>
              </w:rPr>
            </w:pPr>
            <w:r>
              <w:rPr>
                <w:rFonts w:hint="eastAsia" w:ascii="宋体" w:hAnsi="宋体" w:cs="宋体"/>
                <w:color w:val="auto"/>
                <w:sz w:val="24"/>
                <w:highlight w:val="none"/>
                <w:lang w:bidi="ar"/>
              </w:rPr>
              <w:t>法定代表人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负责人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或</w:t>
            </w:r>
          </w:p>
          <w:p w14:paraId="2CF11DDA">
            <w:pPr>
              <w:spacing w:line="360" w:lineRule="auto"/>
              <w:rPr>
                <w:rFonts w:ascii="宋体" w:hAnsi="宋体"/>
                <w:color w:val="auto"/>
                <w:sz w:val="24"/>
                <w:highlight w:val="none"/>
              </w:rPr>
            </w:pPr>
            <w:r>
              <w:rPr>
                <w:rFonts w:hint="eastAsia" w:ascii="宋体" w:hAnsi="宋体" w:cs="宋体"/>
                <w:color w:val="auto"/>
                <w:sz w:val="24"/>
                <w:highlight w:val="none"/>
                <w:lang w:bidi="ar"/>
              </w:rPr>
              <w:t>授权代表（签字）：</w:t>
            </w:r>
          </w:p>
        </w:tc>
        <w:tc>
          <w:tcPr>
            <w:tcW w:w="4603" w:type="dxa"/>
            <w:tcBorders>
              <w:top w:val="nil"/>
              <w:left w:val="nil"/>
              <w:bottom w:val="nil"/>
              <w:right w:val="nil"/>
            </w:tcBorders>
            <w:shd w:val="clear" w:color="auto" w:fill="auto"/>
            <w:vAlign w:val="center"/>
          </w:tcPr>
          <w:p w14:paraId="416ABBB2">
            <w:pPr>
              <w:spacing w:line="360" w:lineRule="auto"/>
              <w:rPr>
                <w:rFonts w:ascii="宋体" w:hAnsi="宋体"/>
                <w:color w:val="auto"/>
                <w:sz w:val="24"/>
                <w:highlight w:val="none"/>
              </w:rPr>
            </w:pPr>
            <w:r>
              <w:rPr>
                <w:rFonts w:hint="eastAsia" w:ascii="宋体" w:hAnsi="宋体" w:cs="宋体"/>
                <w:color w:val="auto"/>
                <w:sz w:val="24"/>
                <w:highlight w:val="none"/>
                <w:lang w:bidi="ar"/>
              </w:rPr>
              <w:t>法定代表人（负责人）或</w:t>
            </w:r>
          </w:p>
          <w:p w14:paraId="6D0245B3">
            <w:pPr>
              <w:spacing w:line="360" w:lineRule="auto"/>
              <w:rPr>
                <w:rFonts w:ascii="宋体" w:hAnsi="宋体"/>
                <w:color w:val="auto"/>
                <w:sz w:val="24"/>
                <w:highlight w:val="none"/>
              </w:rPr>
            </w:pPr>
            <w:r>
              <w:rPr>
                <w:rFonts w:hint="eastAsia" w:ascii="宋体" w:hAnsi="宋体" w:cs="宋体"/>
                <w:color w:val="auto"/>
                <w:sz w:val="24"/>
                <w:highlight w:val="none"/>
                <w:lang w:bidi="ar"/>
              </w:rPr>
              <w:t>授权代表（签字）：</w:t>
            </w:r>
          </w:p>
        </w:tc>
      </w:tr>
      <w:tr w14:paraId="1A4E9F34">
        <w:tblPrEx>
          <w:tblCellMar>
            <w:top w:w="0" w:type="dxa"/>
            <w:left w:w="108" w:type="dxa"/>
            <w:bottom w:w="0" w:type="dxa"/>
            <w:right w:w="108" w:type="dxa"/>
          </w:tblCellMar>
        </w:tblPrEx>
        <w:trPr>
          <w:cantSplit/>
          <w:trHeight w:val="498" w:hRule="atLeast"/>
          <w:jc w:val="center"/>
        </w:trPr>
        <w:tc>
          <w:tcPr>
            <w:tcW w:w="4595" w:type="dxa"/>
            <w:tcBorders>
              <w:top w:val="nil"/>
              <w:left w:val="nil"/>
              <w:bottom w:val="nil"/>
              <w:right w:val="nil"/>
            </w:tcBorders>
            <w:shd w:val="clear" w:color="auto" w:fill="auto"/>
            <w:vAlign w:val="center"/>
          </w:tcPr>
          <w:p w14:paraId="3CBE29D0">
            <w:pPr>
              <w:spacing w:line="360" w:lineRule="auto"/>
              <w:rPr>
                <w:rFonts w:ascii="宋体" w:hAnsi="宋体"/>
                <w:color w:val="auto"/>
                <w:sz w:val="24"/>
                <w:highlight w:val="none"/>
              </w:rPr>
            </w:pPr>
            <w:r>
              <w:rPr>
                <w:rFonts w:hint="eastAsia" w:ascii="宋体" w:hAnsi="宋体" w:cs="宋体"/>
                <w:color w:val="auto"/>
                <w:sz w:val="24"/>
                <w:highlight w:val="none"/>
                <w:lang w:bidi="ar"/>
              </w:rPr>
              <w:t>签订日期：</w:t>
            </w: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 xml:space="preserve">   </w:t>
            </w:r>
            <w:r>
              <w:rPr>
                <w:rFonts w:ascii="宋体" w:hAnsi="宋体" w:cs="宋体"/>
                <w:color w:val="auto"/>
                <w:sz w:val="24"/>
                <w:highlight w:val="none"/>
                <w:lang w:bidi="ar"/>
              </w:rPr>
              <w:t xml:space="preserve"> </w:t>
            </w:r>
            <w:r>
              <w:rPr>
                <w:rFonts w:hint="eastAsia" w:ascii="宋体" w:hAnsi="宋体" w:cs="宋体"/>
                <w:color w:val="auto"/>
                <w:sz w:val="24"/>
                <w:highlight w:val="none"/>
                <w:lang w:bidi="ar"/>
              </w:rPr>
              <w:t xml:space="preserve"> 年</w:t>
            </w: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 xml:space="preserve">  </w:t>
            </w:r>
            <w:r>
              <w:rPr>
                <w:rFonts w:ascii="宋体" w:hAnsi="宋体" w:cs="宋体"/>
                <w:color w:val="auto"/>
                <w:sz w:val="24"/>
                <w:highlight w:val="none"/>
                <w:lang w:bidi="ar"/>
              </w:rPr>
              <w:t xml:space="preserve">  </w:t>
            </w:r>
            <w:r>
              <w:rPr>
                <w:rFonts w:hint="eastAsia" w:ascii="宋体" w:hAnsi="宋体" w:cs="宋体"/>
                <w:color w:val="auto"/>
                <w:sz w:val="24"/>
                <w:highlight w:val="none"/>
                <w:lang w:bidi="ar"/>
              </w:rPr>
              <w:t xml:space="preserve">月  </w:t>
            </w:r>
            <w:r>
              <w:rPr>
                <w:rFonts w:ascii="宋体" w:hAnsi="宋体" w:cs="宋体"/>
                <w:color w:val="auto"/>
                <w:sz w:val="24"/>
                <w:highlight w:val="none"/>
                <w:lang w:bidi="ar"/>
              </w:rPr>
              <w:t xml:space="preserve">   </w:t>
            </w:r>
            <w:r>
              <w:rPr>
                <w:rFonts w:hint="eastAsia" w:ascii="宋体" w:hAnsi="宋体" w:cs="宋体"/>
                <w:color w:val="auto"/>
                <w:sz w:val="24"/>
                <w:highlight w:val="none"/>
                <w:lang w:bidi="ar"/>
              </w:rPr>
              <w:t>日</w:t>
            </w:r>
          </w:p>
        </w:tc>
        <w:tc>
          <w:tcPr>
            <w:tcW w:w="4603" w:type="dxa"/>
            <w:tcBorders>
              <w:top w:val="nil"/>
              <w:left w:val="nil"/>
              <w:bottom w:val="nil"/>
              <w:right w:val="nil"/>
            </w:tcBorders>
            <w:shd w:val="clear" w:color="auto" w:fill="auto"/>
            <w:vAlign w:val="center"/>
          </w:tcPr>
          <w:p w14:paraId="1796954C">
            <w:pPr>
              <w:spacing w:line="360" w:lineRule="auto"/>
              <w:rPr>
                <w:rFonts w:ascii="宋体" w:hAnsi="宋体"/>
                <w:color w:val="auto"/>
                <w:sz w:val="24"/>
                <w:highlight w:val="none"/>
              </w:rPr>
            </w:pPr>
            <w:r>
              <w:rPr>
                <w:rFonts w:hint="eastAsia" w:ascii="宋体" w:hAnsi="宋体" w:cs="宋体"/>
                <w:color w:val="auto"/>
                <w:sz w:val="24"/>
                <w:highlight w:val="none"/>
                <w:lang w:bidi="ar"/>
              </w:rPr>
              <w:t>签订日期：</w:t>
            </w: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 xml:space="preserve">   </w:t>
            </w:r>
            <w:r>
              <w:rPr>
                <w:rFonts w:ascii="宋体" w:hAnsi="宋体" w:cs="宋体"/>
                <w:color w:val="auto"/>
                <w:sz w:val="24"/>
                <w:highlight w:val="none"/>
                <w:lang w:bidi="ar"/>
              </w:rPr>
              <w:t xml:space="preserve"> </w:t>
            </w:r>
            <w:r>
              <w:rPr>
                <w:rFonts w:hint="eastAsia" w:ascii="宋体" w:hAnsi="宋体" w:cs="宋体"/>
                <w:color w:val="auto"/>
                <w:sz w:val="24"/>
                <w:highlight w:val="none"/>
                <w:lang w:bidi="ar"/>
              </w:rPr>
              <w:t xml:space="preserve"> 年</w:t>
            </w: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 xml:space="preserve">  </w:t>
            </w:r>
            <w:r>
              <w:rPr>
                <w:rFonts w:ascii="宋体" w:hAnsi="宋体" w:cs="宋体"/>
                <w:color w:val="auto"/>
                <w:sz w:val="24"/>
                <w:highlight w:val="none"/>
                <w:lang w:bidi="ar"/>
              </w:rPr>
              <w:t xml:space="preserve">  </w:t>
            </w:r>
            <w:r>
              <w:rPr>
                <w:rFonts w:hint="eastAsia" w:ascii="宋体" w:hAnsi="宋体" w:cs="宋体"/>
                <w:color w:val="auto"/>
                <w:sz w:val="24"/>
                <w:highlight w:val="none"/>
                <w:lang w:bidi="ar"/>
              </w:rPr>
              <w:t xml:space="preserve">月  </w:t>
            </w:r>
            <w:r>
              <w:rPr>
                <w:rFonts w:ascii="宋体" w:hAnsi="宋体" w:cs="宋体"/>
                <w:color w:val="auto"/>
                <w:sz w:val="24"/>
                <w:highlight w:val="none"/>
                <w:lang w:bidi="ar"/>
              </w:rPr>
              <w:t xml:space="preserve">   </w:t>
            </w:r>
            <w:r>
              <w:rPr>
                <w:rFonts w:hint="eastAsia" w:ascii="宋体" w:hAnsi="宋体" w:cs="宋体"/>
                <w:color w:val="auto"/>
                <w:sz w:val="24"/>
                <w:highlight w:val="none"/>
                <w:lang w:bidi="ar"/>
              </w:rPr>
              <w:t>日</w:t>
            </w:r>
          </w:p>
        </w:tc>
      </w:tr>
      <w:tr w14:paraId="4C2AAA26">
        <w:tblPrEx>
          <w:tblCellMar>
            <w:top w:w="0" w:type="dxa"/>
            <w:left w:w="108" w:type="dxa"/>
            <w:bottom w:w="0" w:type="dxa"/>
            <w:right w:w="108" w:type="dxa"/>
          </w:tblCellMar>
        </w:tblPrEx>
        <w:trPr>
          <w:cantSplit/>
          <w:trHeight w:val="466" w:hRule="atLeast"/>
          <w:jc w:val="center"/>
        </w:trPr>
        <w:tc>
          <w:tcPr>
            <w:tcW w:w="4595" w:type="dxa"/>
            <w:tcBorders>
              <w:top w:val="nil"/>
              <w:left w:val="nil"/>
              <w:bottom w:val="nil"/>
              <w:right w:val="nil"/>
            </w:tcBorders>
            <w:shd w:val="clear" w:color="auto" w:fill="auto"/>
            <w:vAlign w:val="center"/>
          </w:tcPr>
          <w:p w14:paraId="7837C941">
            <w:pPr>
              <w:spacing w:line="360" w:lineRule="auto"/>
              <w:rPr>
                <w:rFonts w:ascii="宋体" w:hAnsi="宋体"/>
                <w:color w:val="auto"/>
                <w:sz w:val="24"/>
                <w:highlight w:val="none"/>
              </w:rPr>
            </w:pPr>
            <w:r>
              <w:rPr>
                <w:rFonts w:hint="eastAsia" w:ascii="宋体" w:hAnsi="宋体" w:cs="宋体"/>
                <w:color w:val="auto"/>
                <w:sz w:val="24"/>
                <w:highlight w:val="none"/>
                <w:lang w:bidi="ar"/>
              </w:rPr>
              <w:t>地址：</w:t>
            </w:r>
            <w:r>
              <w:rPr>
                <w:rFonts w:hint="eastAsia" w:cs="宋体" w:asciiTheme="minorEastAsia" w:hAnsiTheme="minorEastAsia" w:eastAsiaTheme="minorEastAsia"/>
                <w:color w:val="auto"/>
                <w:sz w:val="24"/>
                <w:highlight w:val="none"/>
                <w:lang w:bidi="ar"/>
              </w:rPr>
              <w:t>东莞市松山湖高新技术产业开发区高雄路8号香港城市大学（东莞）</w:t>
            </w:r>
          </w:p>
        </w:tc>
        <w:tc>
          <w:tcPr>
            <w:tcW w:w="4603" w:type="dxa"/>
            <w:tcBorders>
              <w:top w:val="nil"/>
              <w:left w:val="nil"/>
              <w:bottom w:val="nil"/>
              <w:right w:val="nil"/>
            </w:tcBorders>
            <w:shd w:val="clear" w:color="auto" w:fill="auto"/>
            <w:vAlign w:val="center"/>
          </w:tcPr>
          <w:p w14:paraId="0B27D17D">
            <w:pPr>
              <w:spacing w:line="360" w:lineRule="auto"/>
              <w:rPr>
                <w:rFonts w:ascii="宋体" w:hAnsi="宋体"/>
                <w:color w:val="auto"/>
                <w:sz w:val="24"/>
                <w:highlight w:val="none"/>
              </w:rPr>
            </w:pPr>
            <w:r>
              <w:rPr>
                <w:rFonts w:hint="eastAsia" w:ascii="宋体" w:hAnsi="宋体" w:cs="宋体"/>
                <w:color w:val="auto"/>
                <w:sz w:val="24"/>
                <w:highlight w:val="none"/>
                <w:lang w:bidi="ar"/>
              </w:rPr>
              <w:t>地址：</w:t>
            </w:r>
          </w:p>
        </w:tc>
      </w:tr>
      <w:tr w14:paraId="646BD59C">
        <w:tblPrEx>
          <w:tblCellMar>
            <w:top w:w="0" w:type="dxa"/>
            <w:left w:w="108" w:type="dxa"/>
            <w:bottom w:w="0" w:type="dxa"/>
            <w:right w:w="108" w:type="dxa"/>
          </w:tblCellMar>
        </w:tblPrEx>
        <w:trPr>
          <w:cantSplit/>
          <w:trHeight w:val="466" w:hRule="atLeast"/>
          <w:jc w:val="center"/>
        </w:trPr>
        <w:tc>
          <w:tcPr>
            <w:tcW w:w="4595" w:type="dxa"/>
            <w:tcBorders>
              <w:top w:val="nil"/>
              <w:left w:val="nil"/>
              <w:bottom w:val="nil"/>
              <w:right w:val="nil"/>
            </w:tcBorders>
            <w:shd w:val="clear" w:color="auto" w:fill="auto"/>
            <w:vAlign w:val="center"/>
          </w:tcPr>
          <w:p w14:paraId="0C1F6C23">
            <w:pPr>
              <w:spacing w:line="360" w:lineRule="auto"/>
              <w:rPr>
                <w:rFonts w:ascii="宋体" w:hAnsi="宋体"/>
                <w:color w:val="auto"/>
                <w:sz w:val="24"/>
                <w:highlight w:val="none"/>
              </w:rPr>
            </w:pPr>
            <w:r>
              <w:rPr>
                <w:rFonts w:hint="eastAsia" w:ascii="宋体" w:hAnsi="宋体" w:cs="宋体"/>
                <w:color w:val="auto"/>
                <w:sz w:val="24"/>
                <w:highlight w:val="none"/>
                <w:lang w:bidi="ar"/>
              </w:rPr>
              <w:t>邮编：</w:t>
            </w:r>
            <w:r>
              <w:rPr>
                <w:rFonts w:hint="eastAsia" w:cs="宋体" w:asciiTheme="majorEastAsia" w:hAnsiTheme="majorEastAsia" w:eastAsiaTheme="majorEastAsia"/>
                <w:color w:val="auto"/>
                <w:sz w:val="24"/>
                <w:highlight w:val="none"/>
                <w:lang w:bidi="ar"/>
              </w:rPr>
              <w:t>523801</w:t>
            </w:r>
          </w:p>
        </w:tc>
        <w:tc>
          <w:tcPr>
            <w:tcW w:w="4603" w:type="dxa"/>
            <w:tcBorders>
              <w:top w:val="nil"/>
              <w:left w:val="nil"/>
              <w:bottom w:val="nil"/>
              <w:right w:val="nil"/>
            </w:tcBorders>
            <w:shd w:val="clear" w:color="auto" w:fill="auto"/>
            <w:vAlign w:val="center"/>
          </w:tcPr>
          <w:p w14:paraId="29D41AC2">
            <w:pPr>
              <w:spacing w:line="360" w:lineRule="auto"/>
              <w:rPr>
                <w:rFonts w:ascii="宋体" w:hAnsi="宋体"/>
                <w:color w:val="auto"/>
                <w:sz w:val="24"/>
                <w:highlight w:val="none"/>
              </w:rPr>
            </w:pPr>
            <w:r>
              <w:rPr>
                <w:rFonts w:hint="eastAsia" w:ascii="宋体" w:hAnsi="宋体" w:cs="宋体"/>
                <w:color w:val="auto"/>
                <w:sz w:val="24"/>
                <w:highlight w:val="none"/>
                <w:lang w:bidi="ar"/>
              </w:rPr>
              <w:t>邮编：</w:t>
            </w:r>
          </w:p>
        </w:tc>
      </w:tr>
      <w:tr w14:paraId="4FA4E4DC">
        <w:tblPrEx>
          <w:tblCellMar>
            <w:top w:w="0" w:type="dxa"/>
            <w:left w:w="108" w:type="dxa"/>
            <w:bottom w:w="0" w:type="dxa"/>
            <w:right w:w="108" w:type="dxa"/>
          </w:tblCellMar>
        </w:tblPrEx>
        <w:trPr>
          <w:cantSplit/>
          <w:trHeight w:val="466" w:hRule="atLeast"/>
          <w:jc w:val="center"/>
        </w:trPr>
        <w:tc>
          <w:tcPr>
            <w:tcW w:w="4595" w:type="dxa"/>
            <w:tcBorders>
              <w:top w:val="nil"/>
              <w:left w:val="nil"/>
              <w:bottom w:val="nil"/>
              <w:right w:val="nil"/>
            </w:tcBorders>
            <w:shd w:val="clear" w:color="auto" w:fill="auto"/>
            <w:vAlign w:val="center"/>
          </w:tcPr>
          <w:p w14:paraId="6BF57327">
            <w:pPr>
              <w:spacing w:line="360" w:lineRule="auto"/>
              <w:rPr>
                <w:rFonts w:ascii="宋体" w:hAnsi="宋体"/>
                <w:color w:val="auto"/>
                <w:sz w:val="24"/>
                <w:highlight w:val="none"/>
              </w:rPr>
            </w:pPr>
            <w:r>
              <w:rPr>
                <w:rFonts w:hint="eastAsia" w:ascii="宋体" w:hAnsi="宋体" w:cs="宋体"/>
                <w:color w:val="auto"/>
                <w:sz w:val="24"/>
                <w:highlight w:val="none"/>
                <w:lang w:bidi="ar"/>
              </w:rPr>
              <w:t>联系人：</w:t>
            </w:r>
          </w:p>
        </w:tc>
        <w:tc>
          <w:tcPr>
            <w:tcW w:w="4603" w:type="dxa"/>
            <w:tcBorders>
              <w:top w:val="nil"/>
              <w:left w:val="nil"/>
              <w:bottom w:val="nil"/>
              <w:right w:val="nil"/>
            </w:tcBorders>
            <w:shd w:val="clear" w:color="auto" w:fill="auto"/>
            <w:vAlign w:val="center"/>
          </w:tcPr>
          <w:p w14:paraId="163F0E44">
            <w:pPr>
              <w:spacing w:line="360" w:lineRule="auto"/>
              <w:rPr>
                <w:rFonts w:ascii="宋体" w:hAnsi="宋体"/>
                <w:color w:val="auto"/>
                <w:sz w:val="24"/>
                <w:highlight w:val="none"/>
              </w:rPr>
            </w:pPr>
            <w:r>
              <w:rPr>
                <w:rFonts w:hint="eastAsia" w:ascii="宋体" w:hAnsi="宋体" w:cs="宋体"/>
                <w:color w:val="auto"/>
                <w:sz w:val="24"/>
                <w:highlight w:val="none"/>
                <w:lang w:bidi="ar"/>
              </w:rPr>
              <w:t>联系人：</w:t>
            </w:r>
            <w:r>
              <w:rPr>
                <w:rFonts w:hint="eastAsia" w:ascii="宋体" w:hAnsi="宋体"/>
                <w:color w:val="auto"/>
                <w:sz w:val="24"/>
                <w:highlight w:val="none"/>
                <w:lang w:bidi="ar"/>
              </w:rPr>
              <w:t xml:space="preserve"> </w:t>
            </w:r>
          </w:p>
        </w:tc>
      </w:tr>
      <w:tr w14:paraId="50F9B040">
        <w:tblPrEx>
          <w:tblCellMar>
            <w:top w:w="0" w:type="dxa"/>
            <w:left w:w="108" w:type="dxa"/>
            <w:bottom w:w="0" w:type="dxa"/>
            <w:right w:w="108" w:type="dxa"/>
          </w:tblCellMar>
        </w:tblPrEx>
        <w:trPr>
          <w:cantSplit/>
          <w:trHeight w:val="466" w:hRule="atLeast"/>
          <w:jc w:val="center"/>
        </w:trPr>
        <w:tc>
          <w:tcPr>
            <w:tcW w:w="4595" w:type="dxa"/>
            <w:tcBorders>
              <w:top w:val="nil"/>
              <w:left w:val="nil"/>
              <w:bottom w:val="nil"/>
              <w:right w:val="nil"/>
            </w:tcBorders>
            <w:shd w:val="clear" w:color="auto" w:fill="auto"/>
            <w:vAlign w:val="center"/>
          </w:tcPr>
          <w:p w14:paraId="23D4887C">
            <w:pPr>
              <w:spacing w:line="360" w:lineRule="auto"/>
              <w:rPr>
                <w:rFonts w:ascii="宋体" w:hAnsi="宋体"/>
                <w:color w:val="auto"/>
                <w:sz w:val="24"/>
                <w:highlight w:val="none"/>
              </w:rPr>
            </w:pPr>
            <w:r>
              <w:rPr>
                <w:rFonts w:hint="eastAsia" w:ascii="宋体" w:hAnsi="宋体" w:cs="宋体"/>
                <w:color w:val="auto"/>
                <w:sz w:val="24"/>
                <w:highlight w:val="none"/>
                <w:lang w:bidi="ar"/>
              </w:rPr>
              <w:t>电话：</w:t>
            </w:r>
            <w:r>
              <w:rPr>
                <w:rFonts w:ascii="宋体" w:hAnsi="宋体" w:cs="宋体"/>
                <w:color w:val="auto"/>
                <w:sz w:val="24"/>
                <w:highlight w:val="none"/>
                <w:lang w:bidi="ar"/>
              </w:rPr>
              <w:t>0769-26622690</w:t>
            </w:r>
          </w:p>
        </w:tc>
        <w:tc>
          <w:tcPr>
            <w:tcW w:w="4603" w:type="dxa"/>
            <w:tcBorders>
              <w:top w:val="nil"/>
              <w:left w:val="nil"/>
              <w:bottom w:val="nil"/>
              <w:right w:val="nil"/>
            </w:tcBorders>
            <w:shd w:val="clear" w:color="auto" w:fill="auto"/>
            <w:vAlign w:val="center"/>
          </w:tcPr>
          <w:p w14:paraId="6568360D">
            <w:pPr>
              <w:spacing w:line="360" w:lineRule="auto"/>
              <w:rPr>
                <w:rFonts w:ascii="宋体" w:hAnsi="宋体"/>
                <w:color w:val="auto"/>
                <w:sz w:val="24"/>
                <w:highlight w:val="none"/>
              </w:rPr>
            </w:pPr>
            <w:r>
              <w:rPr>
                <w:rFonts w:hint="eastAsia" w:ascii="宋体" w:hAnsi="宋体" w:cs="宋体"/>
                <w:color w:val="auto"/>
                <w:sz w:val="24"/>
                <w:highlight w:val="none"/>
                <w:lang w:bidi="ar"/>
              </w:rPr>
              <w:t>电话：</w:t>
            </w:r>
          </w:p>
        </w:tc>
      </w:tr>
      <w:tr w14:paraId="029C68CB">
        <w:tblPrEx>
          <w:tblCellMar>
            <w:top w:w="0" w:type="dxa"/>
            <w:left w:w="108" w:type="dxa"/>
            <w:bottom w:w="0" w:type="dxa"/>
            <w:right w:w="108" w:type="dxa"/>
          </w:tblCellMar>
        </w:tblPrEx>
        <w:trPr>
          <w:cantSplit/>
          <w:trHeight w:val="466" w:hRule="atLeast"/>
          <w:jc w:val="center"/>
        </w:trPr>
        <w:tc>
          <w:tcPr>
            <w:tcW w:w="4595" w:type="dxa"/>
            <w:tcBorders>
              <w:top w:val="nil"/>
              <w:left w:val="nil"/>
              <w:bottom w:val="nil"/>
              <w:right w:val="nil"/>
            </w:tcBorders>
            <w:shd w:val="clear" w:color="auto" w:fill="auto"/>
            <w:vAlign w:val="center"/>
          </w:tcPr>
          <w:p w14:paraId="46529803">
            <w:pPr>
              <w:spacing w:line="360" w:lineRule="auto"/>
              <w:rPr>
                <w:rFonts w:ascii="宋体" w:hAnsi="宋体"/>
                <w:color w:val="auto"/>
                <w:sz w:val="24"/>
                <w:highlight w:val="none"/>
              </w:rPr>
            </w:pPr>
            <w:r>
              <w:rPr>
                <w:rFonts w:hint="eastAsia" w:ascii="宋体" w:hAnsi="宋体" w:cs="宋体"/>
                <w:color w:val="auto"/>
                <w:sz w:val="24"/>
                <w:highlight w:val="none"/>
                <w:lang w:bidi="ar"/>
              </w:rPr>
              <w:t>电子邮件：</w:t>
            </w:r>
          </w:p>
        </w:tc>
        <w:tc>
          <w:tcPr>
            <w:tcW w:w="4603" w:type="dxa"/>
            <w:tcBorders>
              <w:top w:val="nil"/>
              <w:left w:val="nil"/>
              <w:bottom w:val="nil"/>
              <w:right w:val="nil"/>
            </w:tcBorders>
            <w:shd w:val="clear" w:color="auto" w:fill="auto"/>
            <w:vAlign w:val="center"/>
          </w:tcPr>
          <w:p w14:paraId="619EEF75">
            <w:pPr>
              <w:spacing w:line="360" w:lineRule="auto"/>
              <w:rPr>
                <w:rFonts w:ascii="宋体" w:hAnsi="宋体"/>
                <w:color w:val="auto"/>
                <w:sz w:val="24"/>
                <w:highlight w:val="none"/>
              </w:rPr>
            </w:pPr>
            <w:r>
              <w:rPr>
                <w:rFonts w:hint="eastAsia" w:ascii="宋体" w:hAnsi="宋体" w:cs="宋体"/>
                <w:color w:val="auto"/>
                <w:sz w:val="24"/>
                <w:highlight w:val="none"/>
                <w:lang w:bidi="ar"/>
              </w:rPr>
              <w:t>电子邮件：</w:t>
            </w:r>
          </w:p>
        </w:tc>
      </w:tr>
      <w:tr w14:paraId="550396CE">
        <w:tblPrEx>
          <w:tblCellMar>
            <w:top w:w="0" w:type="dxa"/>
            <w:left w:w="108" w:type="dxa"/>
            <w:bottom w:w="0" w:type="dxa"/>
            <w:right w:w="108" w:type="dxa"/>
          </w:tblCellMar>
        </w:tblPrEx>
        <w:trPr>
          <w:cantSplit/>
          <w:trHeight w:val="466" w:hRule="atLeast"/>
          <w:jc w:val="center"/>
        </w:trPr>
        <w:tc>
          <w:tcPr>
            <w:tcW w:w="4595" w:type="dxa"/>
            <w:tcBorders>
              <w:top w:val="nil"/>
              <w:left w:val="nil"/>
              <w:bottom w:val="nil"/>
              <w:right w:val="nil"/>
            </w:tcBorders>
            <w:shd w:val="clear" w:color="auto" w:fill="auto"/>
            <w:vAlign w:val="center"/>
          </w:tcPr>
          <w:p w14:paraId="346206F2">
            <w:pPr>
              <w:spacing w:line="360" w:lineRule="auto"/>
              <w:rPr>
                <w:rFonts w:ascii="宋体" w:hAnsi="宋体" w:cs="宋体"/>
                <w:color w:val="auto"/>
                <w:sz w:val="24"/>
                <w:highlight w:val="none"/>
                <w:lang w:bidi="ar"/>
              </w:rPr>
            </w:pPr>
            <w:r>
              <w:rPr>
                <w:rFonts w:hint="eastAsia" w:ascii="宋体" w:hAnsi="宋体" w:cs="宋体"/>
                <w:color w:val="auto"/>
                <w:sz w:val="24"/>
                <w:highlight w:val="none"/>
                <w:lang w:bidi="ar"/>
              </w:rPr>
              <w:t>开户银行：中国工商银行股份有限公司</w:t>
            </w:r>
          </w:p>
          <w:p w14:paraId="1F6962AB">
            <w:pPr>
              <w:spacing w:line="360" w:lineRule="auto"/>
              <w:rPr>
                <w:rFonts w:ascii="宋体" w:hAnsi="宋体"/>
                <w:color w:val="auto"/>
                <w:sz w:val="24"/>
                <w:highlight w:val="none"/>
              </w:rPr>
            </w:pPr>
            <w:r>
              <w:rPr>
                <w:rFonts w:hint="eastAsia" w:ascii="宋体" w:hAnsi="宋体" w:cs="宋体"/>
                <w:color w:val="auto"/>
                <w:sz w:val="24"/>
                <w:highlight w:val="none"/>
                <w:lang w:bidi="ar"/>
              </w:rPr>
              <w:t>东莞松山湖支行</w:t>
            </w:r>
          </w:p>
        </w:tc>
        <w:tc>
          <w:tcPr>
            <w:tcW w:w="4603" w:type="dxa"/>
            <w:tcBorders>
              <w:top w:val="nil"/>
              <w:left w:val="nil"/>
              <w:bottom w:val="nil"/>
              <w:right w:val="nil"/>
            </w:tcBorders>
            <w:shd w:val="clear" w:color="auto" w:fill="auto"/>
            <w:vAlign w:val="center"/>
          </w:tcPr>
          <w:p w14:paraId="07FFD67F">
            <w:pPr>
              <w:spacing w:line="360" w:lineRule="auto"/>
              <w:rPr>
                <w:rFonts w:ascii="宋体" w:hAnsi="宋体"/>
                <w:color w:val="auto"/>
                <w:sz w:val="24"/>
                <w:highlight w:val="none"/>
              </w:rPr>
            </w:pPr>
            <w:r>
              <w:rPr>
                <w:rFonts w:hint="eastAsia" w:ascii="宋体" w:hAnsi="宋体" w:cs="宋体"/>
                <w:color w:val="auto"/>
                <w:sz w:val="24"/>
                <w:highlight w:val="none"/>
                <w:lang w:bidi="ar"/>
              </w:rPr>
              <w:t>开户银行：</w:t>
            </w:r>
          </w:p>
        </w:tc>
      </w:tr>
      <w:tr w14:paraId="2D500842">
        <w:tblPrEx>
          <w:tblCellMar>
            <w:top w:w="0" w:type="dxa"/>
            <w:left w:w="108" w:type="dxa"/>
            <w:bottom w:w="0" w:type="dxa"/>
            <w:right w:w="108" w:type="dxa"/>
          </w:tblCellMar>
        </w:tblPrEx>
        <w:trPr>
          <w:cantSplit/>
          <w:trHeight w:val="466" w:hRule="atLeast"/>
          <w:jc w:val="center"/>
        </w:trPr>
        <w:tc>
          <w:tcPr>
            <w:tcW w:w="4595" w:type="dxa"/>
            <w:tcBorders>
              <w:top w:val="nil"/>
              <w:left w:val="nil"/>
              <w:bottom w:val="nil"/>
              <w:right w:val="nil"/>
            </w:tcBorders>
            <w:shd w:val="clear" w:color="auto" w:fill="auto"/>
            <w:vAlign w:val="center"/>
          </w:tcPr>
          <w:p w14:paraId="70E80498">
            <w:pPr>
              <w:spacing w:line="360" w:lineRule="auto"/>
              <w:rPr>
                <w:rFonts w:ascii="宋体" w:hAnsi="宋体"/>
                <w:color w:val="auto"/>
                <w:sz w:val="24"/>
                <w:highlight w:val="none"/>
              </w:rPr>
            </w:pPr>
            <w:r>
              <w:rPr>
                <w:rFonts w:hint="eastAsia" w:ascii="宋体" w:hAnsi="宋体" w:cs="宋体"/>
                <w:color w:val="auto"/>
                <w:sz w:val="24"/>
                <w:highlight w:val="none"/>
                <w:lang w:bidi="ar"/>
              </w:rPr>
              <w:t>账号：</w:t>
            </w:r>
            <w:r>
              <w:rPr>
                <w:rFonts w:ascii="宋体" w:hAnsi="宋体" w:cs="宋体"/>
                <w:color w:val="auto"/>
                <w:sz w:val="24"/>
                <w:highlight w:val="none"/>
                <w:lang w:bidi="ar"/>
              </w:rPr>
              <w:t>2010050409100888865</w:t>
            </w:r>
          </w:p>
        </w:tc>
        <w:tc>
          <w:tcPr>
            <w:tcW w:w="4603" w:type="dxa"/>
            <w:tcBorders>
              <w:top w:val="nil"/>
              <w:left w:val="nil"/>
              <w:bottom w:val="nil"/>
              <w:right w:val="nil"/>
            </w:tcBorders>
            <w:shd w:val="clear" w:color="auto" w:fill="auto"/>
            <w:vAlign w:val="center"/>
          </w:tcPr>
          <w:p w14:paraId="2EF4AB75">
            <w:pPr>
              <w:spacing w:line="360" w:lineRule="auto"/>
              <w:rPr>
                <w:rFonts w:ascii="宋体" w:hAnsi="宋体"/>
                <w:color w:val="auto"/>
                <w:sz w:val="24"/>
                <w:highlight w:val="none"/>
              </w:rPr>
            </w:pPr>
            <w:r>
              <w:rPr>
                <w:rFonts w:hint="eastAsia" w:ascii="宋体" w:hAnsi="宋体" w:cs="宋体"/>
                <w:color w:val="auto"/>
                <w:sz w:val="24"/>
                <w:highlight w:val="none"/>
                <w:lang w:bidi="ar"/>
              </w:rPr>
              <w:t>账号：</w:t>
            </w:r>
          </w:p>
        </w:tc>
      </w:tr>
      <w:tr w14:paraId="592C927B">
        <w:tblPrEx>
          <w:tblCellMar>
            <w:top w:w="0" w:type="dxa"/>
            <w:left w:w="108" w:type="dxa"/>
            <w:bottom w:w="0" w:type="dxa"/>
            <w:right w:w="108" w:type="dxa"/>
          </w:tblCellMar>
        </w:tblPrEx>
        <w:trPr>
          <w:cantSplit/>
          <w:trHeight w:val="466" w:hRule="atLeast"/>
          <w:jc w:val="center"/>
        </w:trPr>
        <w:tc>
          <w:tcPr>
            <w:tcW w:w="4595" w:type="dxa"/>
            <w:tcBorders>
              <w:top w:val="nil"/>
              <w:left w:val="nil"/>
              <w:bottom w:val="nil"/>
              <w:right w:val="nil"/>
            </w:tcBorders>
            <w:shd w:val="clear" w:color="auto" w:fill="auto"/>
            <w:vAlign w:val="center"/>
          </w:tcPr>
          <w:p w14:paraId="153750F3">
            <w:pPr>
              <w:spacing w:line="360" w:lineRule="auto"/>
              <w:rPr>
                <w:rFonts w:ascii="宋体" w:hAnsi="宋体"/>
                <w:color w:val="auto"/>
                <w:sz w:val="24"/>
                <w:highlight w:val="none"/>
              </w:rPr>
            </w:pPr>
            <w:r>
              <w:rPr>
                <w:rFonts w:hint="eastAsia" w:ascii="宋体" w:hAnsi="宋体" w:cs="宋体"/>
                <w:color w:val="auto"/>
                <w:sz w:val="24"/>
                <w:highlight w:val="none"/>
                <w:lang w:bidi="ar"/>
              </w:rPr>
              <w:t>税号：</w:t>
            </w:r>
            <w:r>
              <w:rPr>
                <w:rFonts w:ascii="宋体" w:hAnsi="宋体" w:cs="宋体"/>
                <w:color w:val="auto"/>
                <w:sz w:val="24"/>
                <w:highlight w:val="none"/>
                <w:lang w:bidi="ar"/>
              </w:rPr>
              <w:t>12441900MB2E36317Y</w:t>
            </w:r>
          </w:p>
        </w:tc>
        <w:tc>
          <w:tcPr>
            <w:tcW w:w="4603" w:type="dxa"/>
            <w:tcBorders>
              <w:top w:val="nil"/>
              <w:left w:val="nil"/>
              <w:bottom w:val="nil"/>
              <w:right w:val="nil"/>
            </w:tcBorders>
            <w:shd w:val="clear" w:color="auto" w:fill="auto"/>
            <w:vAlign w:val="center"/>
          </w:tcPr>
          <w:p w14:paraId="75430DFB">
            <w:pPr>
              <w:spacing w:line="360" w:lineRule="auto"/>
              <w:rPr>
                <w:rFonts w:ascii="宋体" w:hAnsi="宋体"/>
                <w:color w:val="auto"/>
                <w:sz w:val="24"/>
                <w:highlight w:val="none"/>
              </w:rPr>
            </w:pPr>
            <w:r>
              <w:rPr>
                <w:rFonts w:hint="eastAsia" w:ascii="宋体" w:hAnsi="宋体" w:cs="宋体"/>
                <w:color w:val="auto"/>
                <w:sz w:val="24"/>
                <w:highlight w:val="none"/>
                <w:lang w:bidi="ar"/>
              </w:rPr>
              <w:t>税号：</w:t>
            </w:r>
          </w:p>
        </w:tc>
      </w:tr>
    </w:tbl>
    <w:p w14:paraId="05EC836E">
      <w:pPr>
        <w:tabs>
          <w:tab w:val="left" w:pos="7425"/>
        </w:tabs>
        <w:autoSpaceDE w:val="0"/>
        <w:autoSpaceDN w:val="0"/>
        <w:adjustRightInd w:val="0"/>
        <w:spacing w:line="360" w:lineRule="auto"/>
        <w:jc w:val="left"/>
        <w:rPr>
          <w:rFonts w:cs="宋体" w:asciiTheme="minorEastAsia" w:hAnsiTheme="minorEastAsia" w:eastAsiaTheme="minorEastAsia"/>
          <w:color w:val="auto"/>
          <w:kern w:val="0"/>
          <w:sz w:val="24"/>
          <w:highlight w:val="none"/>
        </w:rPr>
      </w:pPr>
    </w:p>
    <w:p w14:paraId="4FC4EE12">
      <w:pPr>
        <w:autoSpaceDE w:val="0"/>
        <w:autoSpaceDN w:val="0"/>
        <w:adjustRightInd w:val="0"/>
        <w:jc w:val="left"/>
        <w:rPr>
          <w:rFonts w:cs="宋体" w:asciiTheme="minorEastAsia" w:hAnsiTheme="minorEastAsia" w:eastAsiaTheme="minorEastAsia"/>
          <w:color w:val="auto"/>
          <w:kern w:val="0"/>
          <w:sz w:val="24"/>
          <w:highlight w:val="none"/>
        </w:rPr>
      </w:pPr>
    </w:p>
    <w:p w14:paraId="4EEC146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3CBB611">
      <w:pPr>
        <w:snapToGrid w:val="0"/>
        <w:spacing w:line="360" w:lineRule="auto"/>
        <w:jc w:val="center"/>
        <w:rPr>
          <w:rFonts w:asciiTheme="minorEastAsia" w:hAnsiTheme="minorEastAsia" w:eastAsiaTheme="minorEastAsia"/>
          <w:b/>
          <w:color w:val="auto"/>
          <w:spacing w:val="60"/>
          <w:sz w:val="28"/>
          <w:szCs w:val="28"/>
          <w:highlight w:val="none"/>
          <w:lang w:eastAsia="zh-Hans"/>
        </w:rPr>
      </w:pPr>
      <w:r>
        <w:rPr>
          <w:rFonts w:hint="eastAsia" w:asciiTheme="minorEastAsia" w:hAnsiTheme="minorEastAsia" w:eastAsiaTheme="minorEastAsia"/>
          <w:b/>
          <w:color w:val="auto"/>
          <w:spacing w:val="60"/>
          <w:sz w:val="28"/>
          <w:szCs w:val="28"/>
          <w:highlight w:val="none"/>
          <w:lang w:eastAsia="zh-Hans"/>
        </w:rPr>
        <w:t>香港城市大学（东莞）工程采购合同</w:t>
      </w:r>
    </w:p>
    <w:p w14:paraId="5A9F36F7">
      <w:pPr>
        <w:snapToGrid w:val="0"/>
        <w:spacing w:line="360" w:lineRule="auto"/>
        <w:jc w:val="center"/>
        <w:rPr>
          <w:rFonts w:asciiTheme="minorEastAsia" w:hAnsiTheme="minorEastAsia" w:eastAsiaTheme="minorEastAsia"/>
          <w:b/>
          <w:color w:val="auto"/>
          <w:spacing w:val="60"/>
          <w:sz w:val="28"/>
          <w:szCs w:val="28"/>
          <w:highlight w:val="none"/>
          <w:lang w:eastAsia="zh-Hans"/>
        </w:rPr>
      </w:pPr>
      <w:r>
        <w:rPr>
          <w:rFonts w:hint="eastAsia" w:asciiTheme="minorEastAsia" w:hAnsiTheme="minorEastAsia" w:eastAsiaTheme="minorEastAsia"/>
          <w:b/>
          <w:color w:val="auto"/>
          <w:spacing w:val="60"/>
          <w:sz w:val="28"/>
          <w:szCs w:val="28"/>
          <w:highlight w:val="none"/>
          <w:lang w:eastAsia="zh-Hans"/>
        </w:rPr>
        <w:t xml:space="preserve"> 第</w:t>
      </w:r>
      <w:r>
        <w:rPr>
          <w:rFonts w:hint="eastAsia" w:asciiTheme="minorEastAsia" w:hAnsiTheme="minorEastAsia" w:eastAsiaTheme="minorEastAsia"/>
          <w:b/>
          <w:color w:val="auto"/>
          <w:spacing w:val="60"/>
          <w:sz w:val="28"/>
          <w:szCs w:val="28"/>
          <w:highlight w:val="none"/>
        </w:rPr>
        <w:t>二</w:t>
      </w:r>
      <w:r>
        <w:rPr>
          <w:rFonts w:hint="eastAsia" w:asciiTheme="minorEastAsia" w:hAnsiTheme="minorEastAsia" w:eastAsiaTheme="minorEastAsia"/>
          <w:b/>
          <w:color w:val="auto"/>
          <w:spacing w:val="60"/>
          <w:sz w:val="28"/>
          <w:szCs w:val="28"/>
          <w:highlight w:val="none"/>
          <w:lang w:eastAsia="zh-Hans"/>
        </w:rPr>
        <w:t>部分 合同专用条款附件</w:t>
      </w:r>
    </w:p>
    <w:p w14:paraId="0C012F1A">
      <w:pPr>
        <w:snapToGrid w:val="0"/>
        <w:spacing w:line="360" w:lineRule="auto"/>
        <w:rPr>
          <w:rFonts w:cs="宋体" w:asciiTheme="majorEastAsia" w:hAnsiTheme="majorEastAsia" w:eastAsiaTheme="majorEastAsia"/>
          <w:b/>
          <w:bCs/>
          <w:color w:val="auto"/>
          <w:sz w:val="24"/>
          <w:highlight w:val="none"/>
          <w:lang w:eastAsia="zh-Hans"/>
        </w:rPr>
      </w:pPr>
      <w:r>
        <w:rPr>
          <w:rFonts w:hint="eastAsia" w:cs="宋体" w:asciiTheme="majorEastAsia" w:hAnsiTheme="majorEastAsia" w:eastAsiaTheme="majorEastAsia"/>
          <w:b/>
          <w:bCs/>
          <w:color w:val="auto"/>
          <w:sz w:val="24"/>
          <w:highlight w:val="none"/>
          <w:lang w:eastAsia="zh-Hans"/>
        </w:rPr>
        <w:t>一、技术要求</w:t>
      </w:r>
    </w:p>
    <w:p w14:paraId="1E9F3C34">
      <w:pPr>
        <w:snapToGrid w:val="0"/>
        <w:spacing w:line="360" w:lineRule="auto"/>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1、工程交付要求</w:t>
      </w:r>
    </w:p>
    <w:p w14:paraId="4A62153F">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1）工程交付内容：按工程量价格清单内容交付；</w:t>
      </w:r>
    </w:p>
    <w:p w14:paraId="7A7C9DD4">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2）工程交付时间：自本合同签订后</w:t>
      </w:r>
      <w:r>
        <w:rPr>
          <w:rFonts w:hint="eastAsia" w:cs="宋体" w:asciiTheme="majorEastAsia" w:hAnsiTheme="majorEastAsia" w:eastAsiaTheme="majorEastAsia"/>
          <w:bCs/>
          <w:color w:val="auto"/>
          <w:sz w:val="24"/>
          <w:highlight w:val="none"/>
          <w:u w:val="single"/>
        </w:rPr>
        <w:t xml:space="preserve"> </w:t>
      </w:r>
      <w:r>
        <w:rPr>
          <w:rFonts w:cs="宋体" w:asciiTheme="majorEastAsia" w:hAnsiTheme="majorEastAsia" w:eastAsiaTheme="majorEastAsia"/>
          <w:bCs/>
          <w:color w:val="auto"/>
          <w:sz w:val="24"/>
          <w:highlight w:val="none"/>
          <w:u w:val="single"/>
        </w:rPr>
        <w:t xml:space="preserve">  </w:t>
      </w:r>
      <w:r>
        <w:rPr>
          <w:rFonts w:hint="eastAsia" w:cs="宋体" w:asciiTheme="majorEastAsia" w:hAnsiTheme="majorEastAsia" w:eastAsiaTheme="majorEastAsia"/>
          <w:bCs/>
          <w:color w:val="auto"/>
          <w:sz w:val="24"/>
          <w:highlight w:val="none"/>
        </w:rPr>
        <w:t>日内交付全部工程。工程交付按下列</w:t>
      </w:r>
    </w:p>
    <w:p w14:paraId="4AA2CDD0">
      <w:pPr>
        <w:snapToGrid w:val="0"/>
        <w:spacing w:line="360" w:lineRule="auto"/>
        <w:rPr>
          <w:rFonts w:cs="宋体" w:asciiTheme="majorEastAsia" w:hAnsiTheme="majorEastAsia" w:eastAsiaTheme="majorEastAsia"/>
          <w:bCs/>
          <w:color w:val="auto"/>
          <w:sz w:val="24"/>
          <w:highlight w:val="none"/>
          <w:u w:val="single"/>
        </w:rPr>
      </w:pPr>
      <w:r>
        <w:rPr>
          <w:rFonts w:hint="eastAsia" w:cs="宋体" w:asciiTheme="majorEastAsia" w:hAnsiTheme="majorEastAsia" w:eastAsiaTheme="majorEastAsia"/>
          <w:color w:val="auto"/>
          <w:sz w:val="24"/>
          <w:highlight w:val="none"/>
          <w:u w:val="single"/>
          <w:lang w:eastAsia="zh-Hans"/>
        </w:rPr>
        <w:sym w:font="Wingdings 2" w:char="F0A3"/>
      </w:r>
      <w:r>
        <w:rPr>
          <w:rFonts w:hint="eastAsia" w:cs="宋体" w:asciiTheme="majorEastAsia" w:hAnsiTheme="majorEastAsia" w:eastAsiaTheme="majorEastAsia"/>
          <w:color w:val="auto"/>
          <w:sz w:val="24"/>
          <w:highlight w:val="none"/>
          <w:u w:val="single"/>
          <w:lang w:eastAsia="zh-Hans"/>
        </w:rPr>
        <w:t>一次性交付</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u w:val="single"/>
          <w:lang w:eastAsia="zh-Hans"/>
        </w:rPr>
        <w:sym w:font="Wingdings 2" w:char="F0A3"/>
      </w:r>
      <w:r>
        <w:rPr>
          <w:rFonts w:hint="eastAsia" w:cs="宋体" w:asciiTheme="majorEastAsia" w:hAnsiTheme="majorEastAsia" w:eastAsiaTheme="majorEastAsia"/>
          <w:color w:val="auto"/>
          <w:sz w:val="24"/>
          <w:highlight w:val="none"/>
          <w:u w:val="single"/>
          <w:lang w:eastAsia="zh-Hans"/>
        </w:rPr>
        <w:t>分期交付</w:t>
      </w:r>
      <w:r>
        <w:rPr>
          <w:rFonts w:hint="eastAsia" w:cs="宋体" w:asciiTheme="majorEastAsia" w:hAnsiTheme="majorEastAsia" w:eastAsiaTheme="majorEastAsia"/>
          <w:color w:val="auto"/>
          <w:sz w:val="24"/>
          <w:highlight w:val="none"/>
          <w:lang w:eastAsia="zh-Hans"/>
        </w:rPr>
        <w:t>执行。</w:t>
      </w:r>
    </w:p>
    <w:p w14:paraId="1818FD56">
      <w:pPr>
        <w:snapToGrid w:val="0"/>
        <w:spacing w:line="360" w:lineRule="auto"/>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2、履约评价要求（履约评价表详见附件一）</w:t>
      </w:r>
    </w:p>
    <w:p w14:paraId="61BE0228">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本合同履约评价得分将作为合同工程验收付款凭证，履约评价将按下列</w:t>
      </w:r>
    </w:p>
    <w:p w14:paraId="3034D92F">
      <w:pPr>
        <w:snapToGrid w:val="0"/>
        <w:spacing w:line="360" w:lineRule="auto"/>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color w:val="auto"/>
          <w:sz w:val="24"/>
          <w:highlight w:val="none"/>
          <w:u w:val="single"/>
          <w:lang w:eastAsia="zh-Hans"/>
        </w:rPr>
        <w:sym w:font="Wingdings 2" w:char="F0A3"/>
      </w:r>
      <w:r>
        <w:rPr>
          <w:rFonts w:hint="eastAsia" w:cs="宋体" w:asciiTheme="majorEastAsia" w:hAnsiTheme="majorEastAsia" w:eastAsiaTheme="majorEastAsia"/>
          <w:color w:val="auto"/>
          <w:sz w:val="24"/>
          <w:highlight w:val="none"/>
          <w:u w:val="single"/>
          <w:lang w:eastAsia="zh-Hans"/>
        </w:rPr>
        <w:t>一次性评价</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u w:val="single"/>
          <w:lang w:eastAsia="zh-Hans"/>
        </w:rPr>
        <w:sym w:font="Wingdings 2" w:char="F0A3"/>
      </w:r>
      <w:r>
        <w:rPr>
          <w:rFonts w:hint="eastAsia" w:cs="宋体" w:asciiTheme="majorEastAsia" w:hAnsiTheme="majorEastAsia" w:eastAsiaTheme="majorEastAsia"/>
          <w:color w:val="auto"/>
          <w:sz w:val="24"/>
          <w:highlight w:val="none"/>
          <w:u w:val="single"/>
          <w:lang w:eastAsia="zh-Hans"/>
        </w:rPr>
        <w:t>分期评价</w:t>
      </w:r>
      <w:r>
        <w:rPr>
          <w:rFonts w:hint="eastAsia" w:cs="宋体" w:asciiTheme="majorEastAsia" w:hAnsiTheme="majorEastAsia" w:eastAsiaTheme="majorEastAsia"/>
          <w:color w:val="auto"/>
          <w:sz w:val="24"/>
          <w:highlight w:val="none"/>
          <w:lang w:eastAsia="zh-Hans"/>
        </w:rPr>
        <w:t>方式进行</w:t>
      </w:r>
      <w:r>
        <w:rPr>
          <w:rFonts w:hint="eastAsia" w:cs="宋体" w:asciiTheme="majorEastAsia" w:hAnsiTheme="majorEastAsia" w:eastAsiaTheme="majorEastAsia"/>
          <w:bCs/>
          <w:color w:val="auto"/>
          <w:sz w:val="24"/>
          <w:highlight w:val="none"/>
        </w:rPr>
        <w:t>，具体要求如下：</w:t>
      </w:r>
    </w:p>
    <w:p w14:paraId="5EDA6241">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1）履约评价【7</w:t>
      </w:r>
      <w:r>
        <w:rPr>
          <w:rFonts w:cs="宋体" w:asciiTheme="majorEastAsia" w:hAnsiTheme="majorEastAsia" w:eastAsiaTheme="majorEastAsia"/>
          <w:bCs/>
          <w:color w:val="auto"/>
          <w:sz w:val="24"/>
          <w:highlight w:val="none"/>
        </w:rPr>
        <w:t>0</w:t>
      </w:r>
      <w:r>
        <w:rPr>
          <w:rFonts w:hint="eastAsia" w:cs="宋体" w:asciiTheme="majorEastAsia" w:hAnsiTheme="majorEastAsia" w:eastAsiaTheme="majorEastAsia"/>
          <w:bCs/>
          <w:color w:val="auto"/>
          <w:sz w:val="24"/>
          <w:highlight w:val="none"/>
        </w:rPr>
        <w:t>分以下】为履约服务差，合同付款将扣除相应验收款的5%作为履约违约金不再支付；</w:t>
      </w:r>
    </w:p>
    <w:p w14:paraId="0D3A82FF">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2）履约评价【60分以下】为履约服务较差，合同付款将扣除相应验收款的10%作为履约违约金不再支付；</w:t>
      </w:r>
    </w:p>
    <w:p w14:paraId="12B5C9B4">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3）如不满足验收条件，需要整改后重新评价；</w:t>
      </w:r>
    </w:p>
    <w:p w14:paraId="40323FC6">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4）如相关内容可整改或重新评价，以最终评价得分为付款依据。</w:t>
      </w:r>
    </w:p>
    <w:p w14:paraId="68E68632">
      <w:pPr>
        <w:snapToGrid w:val="0"/>
        <w:spacing w:line="360" w:lineRule="auto"/>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3、工程验收方案或要求（联合验收表详见附件二）</w:t>
      </w:r>
    </w:p>
    <w:p w14:paraId="4B55C5FE">
      <w:pPr>
        <w:snapToGrid w:val="0"/>
        <w:spacing w:line="360" w:lineRule="auto"/>
        <w:ind w:firstLine="482" w:firstLineChars="200"/>
        <w:rPr>
          <w:rFonts w:cs="宋体" w:asciiTheme="majorEastAsia" w:hAnsiTheme="majorEastAsia" w:eastAsiaTheme="majorEastAsia"/>
          <w:b/>
          <w:bCs/>
          <w:color w:val="auto"/>
          <w:sz w:val="24"/>
          <w:highlight w:val="none"/>
        </w:rPr>
      </w:pPr>
      <w:r>
        <w:rPr>
          <w:rFonts w:cs="宋体" w:asciiTheme="majorEastAsia" w:hAnsiTheme="majorEastAsia" w:eastAsiaTheme="majorEastAsia"/>
          <w:b/>
          <w:bCs/>
          <w:color w:val="auto"/>
          <w:sz w:val="24"/>
          <w:highlight w:val="none"/>
        </w:rPr>
        <w:t>1</w:t>
      </w:r>
      <w:r>
        <w:rPr>
          <w:rFonts w:hint="eastAsia" w:cs="宋体" w:asciiTheme="majorEastAsia" w:hAnsiTheme="majorEastAsia" w:eastAsiaTheme="majorEastAsia"/>
          <w:b/>
          <w:bCs/>
          <w:color w:val="auto"/>
          <w:sz w:val="24"/>
          <w:highlight w:val="none"/>
        </w:rPr>
        <w:t>）验收时间：</w:t>
      </w:r>
      <w:r>
        <w:rPr>
          <w:rFonts w:hint="eastAsia" w:cs="宋体" w:asciiTheme="majorEastAsia" w:hAnsiTheme="majorEastAsia" w:eastAsiaTheme="majorEastAsia"/>
          <w:bCs/>
          <w:color w:val="auto"/>
          <w:sz w:val="24"/>
          <w:highlight w:val="none"/>
        </w:rPr>
        <w:t>相应批次工程交付</w:t>
      </w:r>
      <w:r>
        <w:rPr>
          <w:rFonts w:hint="eastAsia" w:cs="宋体" w:asciiTheme="majorEastAsia" w:hAnsiTheme="majorEastAsia" w:eastAsiaTheme="majorEastAsia"/>
          <w:bCs/>
          <w:color w:val="auto"/>
          <w:sz w:val="24"/>
          <w:highlight w:val="none"/>
          <w:u w:val="single"/>
        </w:rPr>
        <w:t>3</w:t>
      </w:r>
      <w:r>
        <w:rPr>
          <w:rFonts w:cs="宋体" w:asciiTheme="majorEastAsia" w:hAnsiTheme="majorEastAsia" w:eastAsiaTheme="majorEastAsia"/>
          <w:bCs/>
          <w:color w:val="auto"/>
          <w:sz w:val="24"/>
          <w:highlight w:val="none"/>
          <w:u w:val="single"/>
        </w:rPr>
        <w:t>0</w:t>
      </w:r>
      <w:r>
        <w:rPr>
          <w:rFonts w:hint="eastAsia" w:cs="宋体" w:asciiTheme="majorEastAsia" w:hAnsiTheme="majorEastAsia" w:eastAsiaTheme="majorEastAsia"/>
          <w:bCs/>
          <w:color w:val="auto"/>
          <w:sz w:val="24"/>
          <w:highlight w:val="none"/>
        </w:rPr>
        <w:t>日内完成验收；</w:t>
      </w:r>
      <w:r>
        <w:rPr>
          <w:rFonts w:cs="宋体" w:asciiTheme="majorEastAsia" w:hAnsiTheme="majorEastAsia" w:eastAsiaTheme="majorEastAsia"/>
          <w:b/>
          <w:bCs/>
          <w:color w:val="auto"/>
          <w:sz w:val="24"/>
          <w:highlight w:val="none"/>
        </w:rPr>
        <w:t xml:space="preserve"> </w:t>
      </w:r>
    </w:p>
    <w:p w14:paraId="075F50A6">
      <w:pPr>
        <w:snapToGrid w:val="0"/>
        <w:spacing w:line="360" w:lineRule="auto"/>
        <w:ind w:firstLine="482" w:firstLineChars="200"/>
        <w:rPr>
          <w:rFonts w:cs="宋体" w:asciiTheme="majorEastAsia" w:hAnsiTheme="majorEastAsia" w:eastAsiaTheme="majorEastAsia"/>
          <w:b/>
          <w:bCs/>
          <w:color w:val="auto"/>
          <w:sz w:val="24"/>
          <w:highlight w:val="none"/>
        </w:rPr>
      </w:pPr>
      <w:r>
        <w:rPr>
          <w:rFonts w:cs="宋体" w:asciiTheme="majorEastAsia" w:hAnsiTheme="majorEastAsia" w:eastAsiaTheme="majorEastAsia"/>
          <w:b/>
          <w:bCs/>
          <w:color w:val="auto"/>
          <w:sz w:val="24"/>
          <w:highlight w:val="none"/>
        </w:rPr>
        <w:t>2</w:t>
      </w:r>
      <w:r>
        <w:rPr>
          <w:rFonts w:hint="eastAsia" w:cs="宋体" w:asciiTheme="majorEastAsia" w:hAnsiTheme="majorEastAsia" w:eastAsiaTheme="majorEastAsia"/>
          <w:b/>
          <w:bCs/>
          <w:color w:val="auto"/>
          <w:sz w:val="24"/>
          <w:highlight w:val="none"/>
        </w:rPr>
        <w:t>）验收方式按下列</w:t>
      </w:r>
      <w:r>
        <w:rPr>
          <w:rFonts w:hint="eastAsia" w:cs="宋体" w:asciiTheme="majorEastAsia" w:hAnsiTheme="majorEastAsia" w:eastAsiaTheme="majorEastAsia"/>
          <w:b/>
          <w:bCs/>
          <w:color w:val="auto"/>
          <w:sz w:val="24"/>
          <w:highlight w:val="none"/>
          <w:u w:val="single"/>
        </w:rPr>
        <w:t>第（</w:t>
      </w:r>
      <w:r>
        <w:rPr>
          <w:rFonts w:cs="宋体" w:asciiTheme="majorEastAsia" w:hAnsiTheme="majorEastAsia" w:eastAsiaTheme="majorEastAsia"/>
          <w:b/>
          <w:bCs/>
          <w:color w:val="auto"/>
          <w:sz w:val="24"/>
          <w:highlight w:val="none"/>
          <w:u w:val="single"/>
        </w:rPr>
        <w:t xml:space="preserve"> </w:t>
      </w:r>
      <w:r>
        <w:rPr>
          <w:rFonts w:hint="eastAsia" w:cs="宋体" w:asciiTheme="majorEastAsia" w:hAnsiTheme="majorEastAsia" w:eastAsiaTheme="majorEastAsia"/>
          <w:b/>
          <w:bCs/>
          <w:color w:val="auto"/>
          <w:sz w:val="24"/>
          <w:highlight w:val="none"/>
          <w:u w:val="single"/>
        </w:rPr>
        <w:t>）项</w:t>
      </w:r>
      <w:r>
        <w:rPr>
          <w:rFonts w:hint="eastAsia" w:cs="宋体" w:asciiTheme="majorEastAsia" w:hAnsiTheme="majorEastAsia" w:eastAsiaTheme="majorEastAsia"/>
          <w:b/>
          <w:bCs/>
          <w:color w:val="auto"/>
          <w:sz w:val="24"/>
          <w:highlight w:val="none"/>
        </w:rPr>
        <w:t>执行：</w:t>
      </w:r>
    </w:p>
    <w:p w14:paraId="74FD6CAD">
      <w:pPr>
        <w:snapToGrid w:val="0"/>
        <w:spacing w:line="360" w:lineRule="auto"/>
        <w:ind w:firstLine="480" w:firstLineChars="200"/>
        <w:rPr>
          <w:rFonts w:cs="宋体" w:asciiTheme="majorEastAsia" w:hAnsiTheme="majorEastAsia" w:eastAsiaTheme="majorEastAsia"/>
          <w:bCs/>
          <w:color w:val="auto"/>
          <w:sz w:val="24"/>
          <w:highlight w:val="none"/>
        </w:rPr>
      </w:pPr>
      <w:bookmarkStart w:id="1" w:name="OLE_LINK2"/>
      <w:bookmarkStart w:id="2" w:name="OLE_LINK1"/>
      <w:r>
        <w:rPr>
          <w:rFonts w:hint="eastAsia" w:cs="宋体" w:asciiTheme="majorEastAsia" w:hAnsiTheme="majorEastAsia" w:eastAsiaTheme="majorEastAsia"/>
          <w:color w:val="auto"/>
          <w:sz w:val="24"/>
          <w:highlight w:val="none"/>
        </w:rPr>
        <w:t>（1）</w:t>
      </w:r>
      <w:r>
        <w:rPr>
          <w:rFonts w:hint="eastAsia" w:cs="宋体" w:asciiTheme="majorEastAsia" w:hAnsiTheme="majorEastAsia" w:eastAsiaTheme="majorEastAsia"/>
          <w:bCs/>
          <w:color w:val="auto"/>
          <w:sz w:val="24"/>
          <w:highlight w:val="none"/>
        </w:rPr>
        <w:t>采购人自行验收；</w:t>
      </w:r>
    </w:p>
    <w:p w14:paraId="5B54C06B">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color w:val="auto"/>
          <w:sz w:val="24"/>
          <w:highlight w:val="none"/>
          <w:lang w:eastAsia="zh-Hans"/>
        </w:rPr>
        <w:t>（</w:t>
      </w:r>
      <w:r>
        <w:rPr>
          <w:rFonts w:hint="eastAsia" w:cs="宋体" w:asciiTheme="majorEastAsia" w:hAnsiTheme="majorEastAsia" w:eastAsiaTheme="majorEastAsia"/>
          <w:color w:val="auto"/>
          <w:sz w:val="24"/>
          <w:highlight w:val="none"/>
        </w:rPr>
        <w:t>2</w:t>
      </w:r>
      <w:r>
        <w:rPr>
          <w:rFonts w:hint="eastAsia" w:cs="宋体" w:asciiTheme="majorEastAsia" w:hAnsiTheme="majorEastAsia" w:eastAsiaTheme="majorEastAsia"/>
          <w:color w:val="auto"/>
          <w:sz w:val="24"/>
          <w:highlight w:val="none"/>
          <w:lang w:eastAsia="zh-Hans"/>
        </w:rPr>
        <w:t>）邀请参</w:t>
      </w:r>
      <w:r>
        <w:rPr>
          <w:rFonts w:hint="eastAsia" w:cs="宋体" w:asciiTheme="majorEastAsia" w:hAnsiTheme="majorEastAsia" w:eastAsiaTheme="majorEastAsia"/>
          <w:bCs/>
          <w:color w:val="auto"/>
          <w:sz w:val="24"/>
          <w:highlight w:val="none"/>
        </w:rPr>
        <w:t>加本项目的其他供应商参与验收；</w:t>
      </w:r>
    </w:p>
    <w:p w14:paraId="0A76F941">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color w:val="auto"/>
          <w:sz w:val="24"/>
          <w:highlight w:val="none"/>
          <w:lang w:eastAsia="zh-Hans"/>
        </w:rPr>
        <w:t>（</w:t>
      </w:r>
      <w:r>
        <w:rPr>
          <w:rFonts w:hint="eastAsia" w:cs="宋体" w:asciiTheme="majorEastAsia" w:hAnsiTheme="majorEastAsia" w:eastAsiaTheme="majorEastAsia"/>
          <w:color w:val="auto"/>
          <w:sz w:val="24"/>
          <w:highlight w:val="none"/>
        </w:rPr>
        <w:t>3</w:t>
      </w:r>
      <w:r>
        <w:rPr>
          <w:rFonts w:hint="eastAsia" w:cs="宋体" w:asciiTheme="majorEastAsia" w:hAnsiTheme="majorEastAsia" w:eastAsiaTheme="majorEastAsia"/>
          <w:color w:val="auto"/>
          <w:sz w:val="24"/>
          <w:highlight w:val="none"/>
          <w:lang w:eastAsia="zh-Hans"/>
        </w:rPr>
        <w:t>）邀请</w:t>
      </w:r>
      <w:r>
        <w:rPr>
          <w:rFonts w:hint="eastAsia" w:cs="宋体" w:asciiTheme="majorEastAsia" w:hAnsiTheme="majorEastAsia" w:eastAsiaTheme="majorEastAsia"/>
          <w:bCs/>
          <w:color w:val="auto"/>
          <w:sz w:val="24"/>
          <w:highlight w:val="none"/>
        </w:rPr>
        <w:t>第三方专业机构及专家参与验收。</w:t>
      </w:r>
    </w:p>
    <w:bookmarkEnd w:id="1"/>
    <w:bookmarkEnd w:id="2"/>
    <w:p w14:paraId="0964D89F">
      <w:pPr>
        <w:snapToGrid w:val="0"/>
        <w:spacing w:line="360" w:lineRule="auto"/>
        <w:ind w:firstLine="482" w:firstLineChars="200"/>
        <w:rPr>
          <w:rFonts w:cs="宋体" w:asciiTheme="majorEastAsia" w:hAnsiTheme="majorEastAsia" w:eastAsiaTheme="majorEastAsia"/>
          <w:b/>
          <w:bCs/>
          <w:color w:val="auto"/>
          <w:sz w:val="24"/>
          <w:highlight w:val="none"/>
        </w:rPr>
      </w:pPr>
      <w:r>
        <w:rPr>
          <w:rFonts w:cs="宋体" w:asciiTheme="majorEastAsia" w:hAnsiTheme="majorEastAsia" w:eastAsiaTheme="majorEastAsia"/>
          <w:b/>
          <w:bCs/>
          <w:color w:val="auto"/>
          <w:sz w:val="24"/>
          <w:highlight w:val="none"/>
        </w:rPr>
        <w:t>3</w:t>
      </w:r>
      <w:r>
        <w:rPr>
          <w:rFonts w:hint="eastAsia" w:cs="宋体" w:asciiTheme="majorEastAsia" w:hAnsiTheme="majorEastAsia" w:eastAsiaTheme="majorEastAsia"/>
          <w:b/>
          <w:bCs/>
          <w:color w:val="auto"/>
          <w:sz w:val="24"/>
          <w:highlight w:val="none"/>
        </w:rPr>
        <w:t>）验收程序按下列顺序执行：</w:t>
      </w:r>
    </w:p>
    <w:p w14:paraId="1974E7A4">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1）乙方根据本合同约定进行自检及整改，自检具备验收条件后，将整套工程资料（含施工图纸、材料检验报告、设备使用说明书及保修书等）报甲方进行初验；所有的竣工验收资料，原件移交给甲方存档的，乙方应当制作相应的移交清单，并在移交清单上盖章确认后与原件一并提交给甲方。</w:t>
      </w:r>
    </w:p>
    <w:p w14:paraId="28A6BEFA">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w:t>
      </w:r>
      <w:r>
        <w:rPr>
          <w:rFonts w:cs="宋体" w:asciiTheme="majorEastAsia" w:hAnsiTheme="majorEastAsia" w:eastAsiaTheme="majorEastAsia"/>
          <w:bCs/>
          <w:color w:val="auto"/>
          <w:sz w:val="24"/>
          <w:highlight w:val="none"/>
        </w:rPr>
        <w:t>2</w:t>
      </w:r>
      <w:r>
        <w:rPr>
          <w:rFonts w:hint="eastAsia" w:cs="宋体" w:asciiTheme="majorEastAsia" w:hAnsiTheme="majorEastAsia" w:eastAsiaTheme="majorEastAsia"/>
          <w:bCs/>
          <w:color w:val="auto"/>
          <w:sz w:val="24"/>
          <w:highlight w:val="none"/>
        </w:rPr>
        <w:t>）甲方项目经办部门（或委托第三方）按本合同约定进行初检并要求整改，初检具备验收条件后组织甲方相关部门进行联合验收</w:t>
      </w:r>
      <w:r>
        <w:rPr>
          <w:rFonts w:hint="eastAsia" w:cs="宋体" w:asciiTheme="majorEastAsia" w:hAnsiTheme="majorEastAsia" w:eastAsiaTheme="majorEastAsia"/>
          <w:bCs/>
          <w:color w:val="auto"/>
          <w:sz w:val="24"/>
          <w:highlight w:val="none"/>
          <w:lang w:eastAsia="zh-CN"/>
        </w:rPr>
        <w:t>（</w:t>
      </w:r>
      <w:r>
        <w:rPr>
          <w:rFonts w:hint="eastAsia" w:cs="宋体" w:asciiTheme="majorEastAsia" w:hAnsiTheme="majorEastAsia" w:eastAsiaTheme="majorEastAsia"/>
          <w:bCs/>
          <w:color w:val="auto"/>
          <w:sz w:val="24"/>
          <w:highlight w:val="none"/>
          <w:lang w:val="en-US" w:eastAsia="zh-CN"/>
        </w:rPr>
        <w:t>以书面文件为准</w:t>
      </w:r>
      <w:r>
        <w:rPr>
          <w:rFonts w:hint="eastAsia" w:cs="宋体" w:asciiTheme="majorEastAsia" w:hAnsiTheme="majorEastAsia" w:eastAsiaTheme="majorEastAsia"/>
          <w:bCs/>
          <w:color w:val="auto"/>
          <w:sz w:val="24"/>
          <w:highlight w:val="none"/>
          <w:lang w:eastAsia="zh-CN"/>
        </w:rPr>
        <w:t>）</w:t>
      </w:r>
      <w:r>
        <w:rPr>
          <w:rFonts w:hint="eastAsia" w:cs="宋体" w:asciiTheme="majorEastAsia" w:hAnsiTheme="majorEastAsia" w:eastAsiaTheme="majorEastAsia"/>
          <w:bCs/>
          <w:color w:val="auto"/>
          <w:sz w:val="24"/>
          <w:highlight w:val="none"/>
        </w:rPr>
        <w:t>；</w:t>
      </w:r>
    </w:p>
    <w:p w14:paraId="5B8AE2AF">
      <w:pPr>
        <w:snapToGrid w:val="0"/>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（3）甲方相关部门按本合同约定进行联合验收</w:t>
      </w:r>
      <w:r>
        <w:rPr>
          <w:rFonts w:hint="eastAsia" w:cs="宋体" w:asciiTheme="majorEastAsia" w:hAnsiTheme="majorEastAsia" w:eastAsiaTheme="majorEastAsia"/>
          <w:bCs/>
          <w:color w:val="auto"/>
          <w:sz w:val="24"/>
          <w:highlight w:val="none"/>
          <w:lang w:eastAsia="zh-CN"/>
        </w:rPr>
        <w:t>（</w:t>
      </w:r>
      <w:r>
        <w:rPr>
          <w:rFonts w:hint="eastAsia" w:cs="宋体" w:asciiTheme="majorEastAsia" w:hAnsiTheme="majorEastAsia" w:eastAsiaTheme="majorEastAsia"/>
          <w:bCs/>
          <w:color w:val="auto"/>
          <w:sz w:val="24"/>
          <w:highlight w:val="none"/>
          <w:lang w:val="en-US" w:eastAsia="zh-CN"/>
        </w:rPr>
        <w:t>以书面文件为准</w:t>
      </w:r>
      <w:r>
        <w:rPr>
          <w:rFonts w:hint="eastAsia" w:cs="宋体" w:asciiTheme="majorEastAsia" w:hAnsiTheme="majorEastAsia" w:eastAsiaTheme="majorEastAsia"/>
          <w:bCs/>
          <w:color w:val="auto"/>
          <w:sz w:val="24"/>
          <w:highlight w:val="none"/>
          <w:lang w:eastAsia="zh-CN"/>
        </w:rPr>
        <w:t>）</w:t>
      </w:r>
      <w:r>
        <w:rPr>
          <w:rFonts w:hint="eastAsia" w:cs="宋体" w:asciiTheme="majorEastAsia" w:hAnsiTheme="majorEastAsia" w:eastAsiaTheme="majorEastAsia"/>
          <w:bCs/>
          <w:color w:val="auto"/>
          <w:sz w:val="24"/>
          <w:highlight w:val="none"/>
        </w:rPr>
        <w:t>并要求整改，验收合格后签署联合验收表。</w:t>
      </w:r>
    </w:p>
    <w:p w14:paraId="2FAD56D9">
      <w:pPr>
        <w:snapToGrid w:val="0"/>
        <w:spacing w:line="360" w:lineRule="auto"/>
        <w:rPr>
          <w:rFonts w:cs="宋体" w:asciiTheme="majorEastAsia" w:hAnsiTheme="majorEastAsia" w:eastAsiaTheme="majorEastAsia"/>
          <w:b/>
          <w:bCs/>
          <w:color w:val="auto"/>
          <w:sz w:val="24"/>
          <w:highlight w:val="none"/>
        </w:rPr>
      </w:pPr>
      <w:r>
        <w:rPr>
          <w:rFonts w:cs="宋体" w:asciiTheme="majorEastAsia" w:hAnsiTheme="majorEastAsia" w:eastAsiaTheme="majorEastAsia"/>
          <w:b/>
          <w:bCs/>
          <w:color w:val="auto"/>
          <w:sz w:val="24"/>
          <w:highlight w:val="none"/>
        </w:rPr>
        <w:t>4</w:t>
      </w:r>
      <w:r>
        <w:rPr>
          <w:rFonts w:hint="eastAsia" w:cs="宋体" w:asciiTheme="majorEastAsia" w:hAnsiTheme="majorEastAsia" w:eastAsiaTheme="majorEastAsia"/>
          <w:b/>
          <w:bCs/>
          <w:color w:val="auto"/>
          <w:sz w:val="24"/>
          <w:highlight w:val="none"/>
        </w:rPr>
        <w:t>、其他技术要求（如有，详见附件《</w:t>
      </w:r>
      <w:r>
        <w:rPr>
          <w:rFonts w:hint="eastAsia" w:cs="宋体" w:asciiTheme="majorEastAsia" w:hAnsiTheme="majorEastAsia" w:eastAsiaTheme="majorEastAsia"/>
          <w:b/>
          <w:bCs/>
          <w:color w:val="auto"/>
          <w:sz w:val="24"/>
          <w:highlight w:val="none"/>
          <w:u w:val="single"/>
          <w:lang w:val="en-US" w:eastAsia="zh-CN"/>
        </w:rPr>
        <w:t xml:space="preserve">                                    </w:t>
      </w:r>
      <w:r>
        <w:rPr>
          <w:rFonts w:hint="eastAsia" w:cs="宋体" w:asciiTheme="majorEastAsia" w:hAnsiTheme="majorEastAsia" w:eastAsiaTheme="majorEastAsia"/>
          <w:b/>
          <w:bCs/>
          <w:color w:val="auto"/>
          <w:sz w:val="24"/>
          <w:highlight w:val="none"/>
        </w:rPr>
        <w:t>》）</w:t>
      </w:r>
    </w:p>
    <w:p w14:paraId="5AD9990C">
      <w:pPr>
        <w:snapToGrid w:val="0"/>
        <w:spacing w:line="360" w:lineRule="auto"/>
        <w:rPr>
          <w:rFonts w:cs="宋体" w:asciiTheme="majorEastAsia" w:hAnsiTheme="majorEastAsia" w:eastAsiaTheme="majorEastAsia"/>
          <w:b/>
          <w:bCs/>
          <w:color w:val="auto"/>
          <w:sz w:val="24"/>
          <w:highlight w:val="none"/>
          <w:lang w:eastAsia="zh-Hans"/>
        </w:rPr>
      </w:pPr>
    </w:p>
    <w:p w14:paraId="16D7E165">
      <w:pPr>
        <w:snapToGrid w:val="0"/>
        <w:spacing w:line="360" w:lineRule="auto"/>
        <w:rPr>
          <w:rFonts w:cs="宋体" w:asciiTheme="majorEastAsia" w:hAnsiTheme="majorEastAsia" w:eastAsiaTheme="majorEastAsia"/>
          <w:b/>
          <w:bCs/>
          <w:color w:val="auto"/>
          <w:sz w:val="24"/>
          <w:highlight w:val="none"/>
          <w:lang w:eastAsia="zh-Hans"/>
        </w:rPr>
      </w:pPr>
      <w:r>
        <w:rPr>
          <w:rFonts w:hint="eastAsia" w:cs="宋体" w:asciiTheme="majorEastAsia" w:hAnsiTheme="majorEastAsia" w:eastAsiaTheme="majorEastAsia"/>
          <w:b/>
          <w:bCs/>
          <w:color w:val="auto"/>
          <w:sz w:val="24"/>
          <w:highlight w:val="none"/>
          <w:lang w:eastAsia="zh-Hans"/>
        </w:rPr>
        <w:t>二、商务要求</w:t>
      </w:r>
    </w:p>
    <w:p w14:paraId="205F9BEB">
      <w:pPr>
        <w:snapToGrid w:val="0"/>
        <w:spacing w:line="360" w:lineRule="auto"/>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1、</w:t>
      </w:r>
      <w:bookmarkStart w:id="3" w:name="_Hlk131003500"/>
      <w:r>
        <w:rPr>
          <w:rFonts w:hint="eastAsia" w:cs="宋体" w:asciiTheme="majorEastAsia" w:hAnsiTheme="majorEastAsia" w:eastAsiaTheme="majorEastAsia"/>
          <w:b/>
          <w:bCs/>
          <w:color w:val="auto"/>
          <w:sz w:val="24"/>
          <w:highlight w:val="none"/>
        </w:rPr>
        <w:t>工程量价格清单</w:t>
      </w:r>
      <w:bookmarkEnd w:id="3"/>
      <w:r>
        <w:rPr>
          <w:rFonts w:hint="eastAsia" w:cs="宋体" w:asciiTheme="majorEastAsia" w:hAnsiTheme="majorEastAsia" w:eastAsiaTheme="majorEastAsia"/>
          <w:b/>
          <w:bCs/>
          <w:color w:val="auto"/>
          <w:sz w:val="24"/>
          <w:highlight w:val="none"/>
        </w:rPr>
        <w:t>，详见附件《</w:t>
      </w:r>
      <w:r>
        <w:rPr>
          <w:rFonts w:hint="eastAsia" w:cs="宋体" w:asciiTheme="majorEastAsia" w:hAnsiTheme="majorEastAsia" w:eastAsiaTheme="majorEastAsia"/>
          <w:b/>
          <w:bCs/>
          <w:color w:val="auto"/>
          <w:sz w:val="24"/>
          <w:highlight w:val="none"/>
          <w:u w:val="single"/>
          <w:lang w:val="en-US" w:eastAsia="zh-CN"/>
        </w:rPr>
        <w:t xml:space="preserve">                                        </w:t>
      </w:r>
      <w:r>
        <w:rPr>
          <w:rFonts w:hint="eastAsia" w:cs="宋体" w:asciiTheme="majorEastAsia" w:hAnsiTheme="majorEastAsia" w:eastAsiaTheme="majorEastAsia"/>
          <w:b/>
          <w:bCs/>
          <w:color w:val="auto"/>
          <w:sz w:val="24"/>
          <w:highlight w:val="none"/>
        </w:rPr>
        <w:t>》</w:t>
      </w:r>
    </w:p>
    <w:p w14:paraId="6388985C">
      <w:pPr>
        <w:snapToGrid w:val="0"/>
        <w:spacing w:line="360" w:lineRule="auto"/>
        <w:rPr>
          <w:rFonts w:ascii="仿宋" w:hAnsi="仿宋" w:eastAsia="仿宋"/>
          <w:b/>
          <w:bCs/>
          <w:color w:val="auto"/>
          <w:sz w:val="32"/>
          <w:szCs w:val="32"/>
          <w:highlight w:val="none"/>
        </w:rPr>
      </w:pPr>
      <w:r>
        <w:rPr>
          <w:rFonts w:hint="eastAsia" w:cs="宋体" w:asciiTheme="majorEastAsia" w:hAnsiTheme="majorEastAsia" w:eastAsiaTheme="majorEastAsia"/>
          <w:b/>
          <w:bCs/>
          <w:color w:val="auto"/>
          <w:sz w:val="24"/>
          <w:highlight w:val="none"/>
        </w:rPr>
        <w:t>2、其他商务要求（如有，详见附件《</w:t>
      </w:r>
      <w:r>
        <w:rPr>
          <w:rFonts w:hint="eastAsia" w:cs="宋体" w:asciiTheme="majorEastAsia" w:hAnsiTheme="majorEastAsia" w:eastAsiaTheme="majorEastAsia"/>
          <w:b/>
          <w:bCs/>
          <w:color w:val="auto"/>
          <w:sz w:val="24"/>
          <w:highlight w:val="none"/>
          <w:u w:val="single"/>
          <w:lang w:val="en-US" w:eastAsia="zh-CN"/>
        </w:rPr>
        <w:t xml:space="preserve">                                    </w:t>
      </w:r>
      <w:r>
        <w:rPr>
          <w:rFonts w:hint="eastAsia" w:cs="宋体" w:asciiTheme="majorEastAsia" w:hAnsiTheme="majorEastAsia" w:eastAsiaTheme="majorEastAsia"/>
          <w:b/>
          <w:bCs/>
          <w:color w:val="auto"/>
          <w:sz w:val="24"/>
          <w:highlight w:val="none"/>
        </w:rPr>
        <w:t>》）</w:t>
      </w:r>
      <w:r>
        <w:rPr>
          <w:rFonts w:ascii="仿宋" w:hAnsi="仿宋" w:eastAsia="仿宋"/>
          <w:b/>
          <w:bCs/>
          <w:color w:val="auto"/>
          <w:sz w:val="32"/>
          <w:szCs w:val="32"/>
          <w:highlight w:val="none"/>
        </w:rPr>
        <w:br w:type="page"/>
      </w:r>
    </w:p>
    <w:tbl>
      <w:tblPr>
        <w:tblStyle w:val="10"/>
        <w:tblW w:w="9639" w:type="dxa"/>
        <w:jc w:val="center"/>
        <w:tblLayout w:type="autofit"/>
        <w:tblCellMar>
          <w:top w:w="0" w:type="dxa"/>
          <w:left w:w="108" w:type="dxa"/>
          <w:bottom w:w="0" w:type="dxa"/>
          <w:right w:w="108" w:type="dxa"/>
        </w:tblCellMar>
      </w:tblPr>
      <w:tblGrid>
        <w:gridCol w:w="610"/>
        <w:gridCol w:w="1188"/>
        <w:gridCol w:w="567"/>
        <w:gridCol w:w="4440"/>
        <w:gridCol w:w="1830"/>
        <w:gridCol w:w="1004"/>
      </w:tblGrid>
      <w:tr w14:paraId="546A99E0">
        <w:tblPrEx>
          <w:tblCellMar>
            <w:top w:w="0" w:type="dxa"/>
            <w:left w:w="108" w:type="dxa"/>
            <w:bottom w:w="0" w:type="dxa"/>
            <w:right w:w="108" w:type="dxa"/>
          </w:tblCellMar>
        </w:tblPrEx>
        <w:trPr>
          <w:trHeight w:val="520" w:hRule="atLeast"/>
          <w:jc w:val="center"/>
        </w:trPr>
        <w:tc>
          <w:tcPr>
            <w:tcW w:w="9639" w:type="dxa"/>
            <w:gridSpan w:val="6"/>
            <w:tcBorders>
              <w:top w:val="nil"/>
              <w:left w:val="nil"/>
              <w:bottom w:val="nil"/>
              <w:right w:val="nil"/>
            </w:tcBorders>
            <w:shd w:val="clear" w:color="auto" w:fill="auto"/>
            <w:vAlign w:val="center"/>
          </w:tcPr>
          <w:p w14:paraId="6B21CD0F">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附件一</w:t>
            </w:r>
          </w:p>
          <w:p w14:paraId="18471B3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香港城市大学（东莞）工程</w:t>
            </w:r>
            <w:r>
              <w:rPr>
                <w:rFonts w:hint="eastAsia" w:ascii="宋体" w:hAnsi="宋体" w:cs="宋体"/>
                <w:b/>
                <w:bCs/>
                <w:color w:val="auto"/>
                <w:kern w:val="0"/>
                <w:szCs w:val="21"/>
                <w:highlight w:val="none"/>
                <w:u w:val="single"/>
              </w:rPr>
              <w:t>类</w:t>
            </w:r>
            <w:r>
              <w:rPr>
                <w:rFonts w:hint="eastAsia" w:ascii="宋体" w:hAnsi="宋体" w:cs="宋体"/>
                <w:b/>
                <w:bCs/>
                <w:color w:val="auto"/>
                <w:kern w:val="0"/>
                <w:szCs w:val="21"/>
                <w:highlight w:val="none"/>
              </w:rPr>
              <w:t>供应商（通用）履约评价表</w:t>
            </w:r>
          </w:p>
        </w:tc>
      </w:tr>
      <w:tr w14:paraId="061D4937">
        <w:tblPrEx>
          <w:tblCellMar>
            <w:top w:w="0" w:type="dxa"/>
            <w:left w:w="108" w:type="dxa"/>
            <w:bottom w:w="0" w:type="dxa"/>
            <w:right w:w="108" w:type="dxa"/>
          </w:tblCellMar>
        </w:tblPrEx>
        <w:trPr>
          <w:trHeight w:val="324" w:hRule="atLeast"/>
          <w:jc w:val="center"/>
        </w:trPr>
        <w:tc>
          <w:tcPr>
            <w:tcW w:w="6805"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7C516BF3">
            <w:pPr>
              <w:widowControl/>
              <w:spacing w:line="200" w:lineRule="exact"/>
              <w:jc w:val="left"/>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合同名称：</w:t>
            </w:r>
          </w:p>
        </w:tc>
        <w:tc>
          <w:tcPr>
            <w:tcW w:w="2834" w:type="dxa"/>
            <w:gridSpan w:val="2"/>
            <w:tcBorders>
              <w:top w:val="single" w:color="auto" w:sz="4" w:space="0"/>
              <w:left w:val="nil"/>
              <w:bottom w:val="single" w:color="auto" w:sz="4" w:space="0"/>
              <w:right w:val="single" w:color="000000" w:sz="4" w:space="0"/>
            </w:tcBorders>
            <w:shd w:val="clear" w:color="auto" w:fill="auto"/>
            <w:vAlign w:val="center"/>
          </w:tcPr>
          <w:p w14:paraId="3F95A4B6">
            <w:pPr>
              <w:widowControl/>
              <w:spacing w:line="200" w:lineRule="exact"/>
              <w:jc w:val="left"/>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合同签订时间：</w:t>
            </w:r>
          </w:p>
        </w:tc>
      </w:tr>
      <w:tr w14:paraId="02FA4CEC">
        <w:tblPrEx>
          <w:tblCellMar>
            <w:top w:w="0" w:type="dxa"/>
            <w:left w:w="108" w:type="dxa"/>
            <w:bottom w:w="0" w:type="dxa"/>
            <w:right w:w="108" w:type="dxa"/>
          </w:tblCellMar>
        </w:tblPrEx>
        <w:trPr>
          <w:trHeight w:val="394" w:hRule="atLeast"/>
          <w:jc w:val="center"/>
        </w:trPr>
        <w:tc>
          <w:tcPr>
            <w:tcW w:w="680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3473A1B">
            <w:pPr>
              <w:widowControl/>
              <w:spacing w:line="200" w:lineRule="exact"/>
              <w:jc w:val="left"/>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乙方名称：</w:t>
            </w:r>
          </w:p>
        </w:tc>
        <w:tc>
          <w:tcPr>
            <w:tcW w:w="2834" w:type="dxa"/>
            <w:gridSpan w:val="2"/>
            <w:tcBorders>
              <w:top w:val="single" w:color="auto" w:sz="4" w:space="0"/>
              <w:left w:val="nil"/>
              <w:bottom w:val="single" w:color="auto" w:sz="4" w:space="0"/>
              <w:right w:val="single" w:color="000000" w:sz="4" w:space="0"/>
            </w:tcBorders>
            <w:shd w:val="clear" w:color="auto" w:fill="auto"/>
            <w:vAlign w:val="center"/>
          </w:tcPr>
          <w:p w14:paraId="31B96E54">
            <w:pPr>
              <w:widowControl/>
              <w:spacing w:line="200" w:lineRule="exact"/>
              <w:jc w:val="left"/>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履约评价：</w:t>
            </w:r>
            <w:r>
              <w:rPr>
                <w:rFonts w:ascii="宋体" w:hAnsi="宋体" w:cs="宋体"/>
                <w:b/>
                <w:bCs/>
                <w:color w:val="auto"/>
                <w:kern w:val="0"/>
                <w:sz w:val="13"/>
                <w:szCs w:val="13"/>
                <w:highlight w:val="none"/>
              </w:rPr>
              <w:t></w:t>
            </w:r>
            <w:r>
              <w:rPr>
                <w:rFonts w:hint="eastAsia" w:ascii="宋体" w:hAnsi="宋体" w:cs="宋体"/>
                <w:b/>
                <w:bCs/>
                <w:color w:val="auto"/>
                <w:kern w:val="0"/>
                <w:sz w:val="13"/>
                <w:szCs w:val="13"/>
                <w:highlight w:val="none"/>
              </w:rPr>
              <w:sym w:font="Wingdings 2" w:char="F0A3"/>
            </w:r>
            <w:r>
              <w:rPr>
                <w:rFonts w:hint="eastAsia" w:ascii="宋体" w:hAnsi="宋体" w:cs="宋体"/>
                <w:b/>
                <w:bCs/>
                <w:color w:val="auto"/>
                <w:kern w:val="0"/>
                <w:sz w:val="13"/>
                <w:szCs w:val="13"/>
                <w:highlight w:val="none"/>
              </w:rPr>
              <w:t>一次性</w:t>
            </w:r>
            <w:r>
              <w:rPr>
                <w:rFonts w:ascii="宋体" w:hAnsi="宋体" w:cs="宋体"/>
                <w:b/>
                <w:bCs/>
                <w:color w:val="auto"/>
                <w:kern w:val="0"/>
                <w:sz w:val="13"/>
                <w:szCs w:val="13"/>
                <w:highlight w:val="none"/>
              </w:rPr>
              <w:t>/</w:t>
            </w:r>
            <w:r>
              <w:rPr>
                <w:rFonts w:hint="eastAsia" w:ascii="宋体" w:hAnsi="宋体" w:cs="宋体"/>
                <w:b/>
                <w:bCs/>
                <w:color w:val="auto"/>
                <w:kern w:val="0"/>
                <w:sz w:val="13"/>
                <w:szCs w:val="13"/>
                <w:highlight w:val="none"/>
                <w:lang w:val="en-US" w:eastAsia="zh-CN"/>
              </w:rPr>
              <w:t xml:space="preserve"> </w:t>
            </w:r>
            <w:r>
              <w:rPr>
                <w:rFonts w:hint="eastAsia" w:ascii="宋体" w:hAnsi="宋体" w:cs="宋体"/>
                <w:b/>
                <w:bCs/>
                <w:color w:val="auto"/>
                <w:kern w:val="0"/>
                <w:sz w:val="13"/>
                <w:szCs w:val="13"/>
                <w:highlight w:val="none"/>
              </w:rPr>
              <w:sym w:font="Wingdings 2" w:char="F0A3"/>
            </w:r>
            <w:r>
              <w:rPr>
                <w:rFonts w:hint="eastAsia" w:ascii="宋体" w:hAnsi="宋体" w:cs="宋体"/>
                <w:b/>
                <w:bCs/>
                <w:color w:val="auto"/>
                <w:kern w:val="0"/>
                <w:sz w:val="13"/>
                <w:szCs w:val="13"/>
                <w:highlight w:val="none"/>
              </w:rPr>
              <w:t>分期</w:t>
            </w:r>
            <w:r>
              <w:rPr>
                <w:rFonts w:hint="eastAsia" w:ascii="宋体" w:hAnsi="宋体" w:cs="宋体"/>
                <w:b/>
                <w:bCs/>
                <w:color w:val="auto"/>
                <w:kern w:val="0"/>
                <w:sz w:val="13"/>
                <w:szCs w:val="13"/>
                <w:highlight w:val="none"/>
                <w:lang w:eastAsia="zh-CN"/>
              </w:rPr>
              <w:t>（</w:t>
            </w:r>
            <w:r>
              <w:rPr>
                <w:rFonts w:hint="eastAsia" w:ascii="宋体" w:hAnsi="宋体" w:cs="宋体"/>
                <w:b/>
                <w:bCs/>
                <w:color w:val="auto"/>
                <w:kern w:val="0"/>
                <w:sz w:val="13"/>
                <w:szCs w:val="13"/>
                <w:highlight w:val="none"/>
              </w:rPr>
              <w:t xml:space="preserve">第 </w:t>
            </w:r>
            <w:r>
              <w:rPr>
                <w:rFonts w:ascii="宋体" w:hAnsi="宋体" w:cs="宋体"/>
                <w:b/>
                <w:bCs/>
                <w:color w:val="auto"/>
                <w:kern w:val="0"/>
                <w:sz w:val="13"/>
                <w:szCs w:val="13"/>
                <w:highlight w:val="none"/>
              </w:rPr>
              <w:t xml:space="preserve"> </w:t>
            </w:r>
            <w:r>
              <w:rPr>
                <w:rFonts w:hint="eastAsia" w:ascii="宋体" w:hAnsi="宋体" w:cs="宋体"/>
                <w:b/>
                <w:bCs/>
                <w:color w:val="auto"/>
                <w:kern w:val="0"/>
                <w:sz w:val="13"/>
                <w:szCs w:val="13"/>
                <w:highlight w:val="none"/>
              </w:rPr>
              <w:t>期</w:t>
            </w:r>
            <w:r>
              <w:rPr>
                <w:rFonts w:hint="eastAsia" w:ascii="宋体" w:hAnsi="宋体" w:cs="宋体"/>
                <w:b/>
                <w:bCs/>
                <w:color w:val="auto"/>
                <w:kern w:val="0"/>
                <w:sz w:val="13"/>
                <w:szCs w:val="13"/>
                <w:highlight w:val="none"/>
                <w:lang w:eastAsia="zh-CN"/>
              </w:rPr>
              <w:t>）</w:t>
            </w:r>
            <w:r>
              <w:rPr>
                <w:rFonts w:hint="eastAsia" w:ascii="宋体" w:hAnsi="宋体" w:cs="宋体"/>
                <w:b/>
                <w:bCs/>
                <w:color w:val="auto"/>
                <w:kern w:val="0"/>
                <w:sz w:val="13"/>
                <w:szCs w:val="13"/>
                <w:highlight w:val="none"/>
              </w:rPr>
              <w:t xml:space="preserve"> </w:t>
            </w:r>
            <w:r>
              <w:rPr>
                <w:rFonts w:ascii="宋体" w:hAnsi="宋体" w:cs="宋体"/>
                <w:b/>
                <w:bCs/>
                <w:color w:val="auto"/>
                <w:kern w:val="0"/>
                <w:sz w:val="13"/>
                <w:szCs w:val="13"/>
                <w:highlight w:val="none"/>
              </w:rPr>
              <w:t xml:space="preserve">          </w:t>
            </w:r>
          </w:p>
        </w:tc>
      </w:tr>
      <w:tr w14:paraId="2F25F52C">
        <w:tblPrEx>
          <w:tblCellMar>
            <w:top w:w="0" w:type="dxa"/>
            <w:left w:w="108" w:type="dxa"/>
            <w:bottom w:w="0" w:type="dxa"/>
            <w:right w:w="108" w:type="dxa"/>
          </w:tblCellMar>
        </w:tblPrEx>
        <w:trPr>
          <w:trHeight w:val="520" w:hRule="atLeast"/>
          <w:jc w:val="center"/>
        </w:trPr>
        <w:tc>
          <w:tcPr>
            <w:tcW w:w="610" w:type="dxa"/>
            <w:tcBorders>
              <w:top w:val="nil"/>
              <w:left w:val="single" w:color="auto" w:sz="4" w:space="0"/>
              <w:bottom w:val="single" w:color="auto" w:sz="4" w:space="0"/>
              <w:right w:val="single" w:color="auto" w:sz="4" w:space="0"/>
            </w:tcBorders>
            <w:shd w:val="clear" w:color="auto" w:fill="auto"/>
            <w:vAlign w:val="center"/>
          </w:tcPr>
          <w:p w14:paraId="3EF17648">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类型</w:t>
            </w:r>
          </w:p>
        </w:tc>
        <w:tc>
          <w:tcPr>
            <w:tcW w:w="1188" w:type="dxa"/>
            <w:tcBorders>
              <w:top w:val="nil"/>
              <w:left w:val="nil"/>
              <w:bottom w:val="single" w:color="auto" w:sz="4" w:space="0"/>
              <w:right w:val="single" w:color="auto" w:sz="4" w:space="0"/>
            </w:tcBorders>
            <w:shd w:val="clear" w:color="auto" w:fill="auto"/>
            <w:vAlign w:val="center"/>
          </w:tcPr>
          <w:p w14:paraId="50B8F9B4">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评价维度及阶段</w:t>
            </w:r>
          </w:p>
        </w:tc>
        <w:tc>
          <w:tcPr>
            <w:tcW w:w="567" w:type="dxa"/>
            <w:tcBorders>
              <w:top w:val="nil"/>
              <w:left w:val="nil"/>
              <w:bottom w:val="single" w:color="auto" w:sz="4" w:space="0"/>
              <w:right w:val="single" w:color="auto" w:sz="4" w:space="0"/>
            </w:tcBorders>
            <w:shd w:val="clear" w:color="auto" w:fill="auto"/>
            <w:vAlign w:val="center"/>
          </w:tcPr>
          <w:p w14:paraId="6B186342">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分值</w:t>
            </w:r>
          </w:p>
        </w:tc>
        <w:tc>
          <w:tcPr>
            <w:tcW w:w="4440" w:type="dxa"/>
            <w:tcBorders>
              <w:top w:val="nil"/>
              <w:left w:val="nil"/>
              <w:bottom w:val="single" w:color="auto" w:sz="4" w:space="0"/>
              <w:right w:val="single" w:color="auto" w:sz="4" w:space="0"/>
            </w:tcBorders>
            <w:shd w:val="clear" w:color="auto" w:fill="auto"/>
            <w:vAlign w:val="center"/>
          </w:tcPr>
          <w:p w14:paraId="4BDF6D36">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评价标准</w:t>
            </w:r>
          </w:p>
        </w:tc>
        <w:tc>
          <w:tcPr>
            <w:tcW w:w="1830" w:type="dxa"/>
            <w:tcBorders>
              <w:top w:val="nil"/>
              <w:left w:val="nil"/>
              <w:bottom w:val="single" w:color="auto" w:sz="4" w:space="0"/>
              <w:right w:val="single" w:color="auto" w:sz="4" w:space="0"/>
            </w:tcBorders>
            <w:shd w:val="clear" w:color="auto" w:fill="auto"/>
            <w:vAlign w:val="center"/>
          </w:tcPr>
          <w:p w14:paraId="34DC912D">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评分</w:t>
            </w:r>
          </w:p>
        </w:tc>
        <w:tc>
          <w:tcPr>
            <w:tcW w:w="1004" w:type="dxa"/>
            <w:tcBorders>
              <w:top w:val="nil"/>
              <w:left w:val="nil"/>
              <w:bottom w:val="single" w:color="auto" w:sz="4" w:space="0"/>
              <w:right w:val="single" w:color="auto" w:sz="4" w:space="0"/>
            </w:tcBorders>
            <w:shd w:val="clear" w:color="auto" w:fill="auto"/>
            <w:vAlign w:val="center"/>
          </w:tcPr>
          <w:p w14:paraId="091CC37B">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备注</w:t>
            </w:r>
          </w:p>
        </w:tc>
      </w:tr>
      <w:tr w14:paraId="28E3BD1B">
        <w:tblPrEx>
          <w:tblCellMar>
            <w:top w:w="0" w:type="dxa"/>
            <w:left w:w="108" w:type="dxa"/>
            <w:bottom w:w="0" w:type="dxa"/>
            <w:right w:w="108" w:type="dxa"/>
          </w:tblCellMar>
        </w:tblPrEx>
        <w:trPr>
          <w:trHeight w:val="175" w:hRule="atLeast"/>
          <w:jc w:val="center"/>
        </w:trPr>
        <w:tc>
          <w:tcPr>
            <w:tcW w:w="610" w:type="dxa"/>
            <w:vMerge w:val="restart"/>
            <w:tcBorders>
              <w:top w:val="nil"/>
              <w:left w:val="single" w:color="auto" w:sz="4" w:space="0"/>
              <w:bottom w:val="single" w:color="000000" w:sz="4" w:space="0"/>
              <w:right w:val="single" w:color="auto" w:sz="4" w:space="0"/>
            </w:tcBorders>
            <w:shd w:val="clear" w:color="auto" w:fill="auto"/>
            <w:vAlign w:val="center"/>
          </w:tcPr>
          <w:p w14:paraId="782C3D2E">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商务</w:t>
            </w:r>
          </w:p>
          <w:p w14:paraId="09BCF155">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配合</w:t>
            </w:r>
          </w:p>
        </w:tc>
        <w:tc>
          <w:tcPr>
            <w:tcW w:w="1188" w:type="dxa"/>
            <w:tcBorders>
              <w:top w:val="nil"/>
              <w:left w:val="nil"/>
              <w:bottom w:val="single" w:color="auto" w:sz="4" w:space="0"/>
              <w:right w:val="single" w:color="auto" w:sz="4" w:space="0"/>
            </w:tcBorders>
            <w:shd w:val="clear" w:color="auto" w:fill="auto"/>
            <w:vAlign w:val="center"/>
          </w:tcPr>
          <w:p w14:paraId="16EC77E1">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报价、合同签订配合</w:t>
            </w:r>
          </w:p>
        </w:tc>
        <w:tc>
          <w:tcPr>
            <w:tcW w:w="567" w:type="dxa"/>
            <w:tcBorders>
              <w:top w:val="nil"/>
              <w:left w:val="nil"/>
              <w:bottom w:val="single" w:color="auto" w:sz="4" w:space="0"/>
              <w:right w:val="single" w:color="auto" w:sz="4" w:space="0"/>
            </w:tcBorders>
            <w:shd w:val="clear" w:color="auto" w:fill="auto"/>
            <w:vAlign w:val="center"/>
          </w:tcPr>
          <w:p w14:paraId="2C2D73DB">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5</w:t>
            </w:r>
          </w:p>
        </w:tc>
        <w:tc>
          <w:tcPr>
            <w:tcW w:w="4440" w:type="dxa"/>
            <w:tcBorders>
              <w:top w:val="nil"/>
              <w:left w:val="nil"/>
              <w:bottom w:val="single" w:color="auto" w:sz="4" w:space="0"/>
              <w:right w:val="single" w:color="auto" w:sz="4" w:space="0"/>
            </w:tcBorders>
            <w:shd w:val="clear" w:color="auto" w:fill="auto"/>
            <w:vAlign w:val="center"/>
          </w:tcPr>
          <w:p w14:paraId="40AD3B8A">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•良好（5分）：按要求提供报价和合同资料，存在问题能及时整改</w:t>
            </w:r>
          </w:p>
          <w:p w14:paraId="49F6726D">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•合格（3-4分）：报价和合同资料多次修改，存在问题基本解决</w:t>
            </w:r>
          </w:p>
          <w:p w14:paraId="4F118F7F">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•不合格（3分以下）：报价和合同资料多次修改，存在问题整改困难</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44A3466A">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568938F">
            <w:pPr>
              <w:widowControl/>
              <w:spacing w:line="200" w:lineRule="exact"/>
              <w:jc w:val="center"/>
              <w:rPr>
                <w:rFonts w:ascii="宋体" w:hAnsi="宋体" w:cs="宋体"/>
                <w:b/>
                <w:bCs/>
                <w:color w:val="auto"/>
                <w:kern w:val="0"/>
                <w:sz w:val="13"/>
                <w:szCs w:val="13"/>
                <w:highlight w:val="none"/>
              </w:rPr>
            </w:pPr>
          </w:p>
        </w:tc>
      </w:tr>
      <w:tr w14:paraId="7D7CF4C9">
        <w:tblPrEx>
          <w:tblCellMar>
            <w:top w:w="0" w:type="dxa"/>
            <w:left w:w="108" w:type="dxa"/>
            <w:bottom w:w="0" w:type="dxa"/>
            <w:right w:w="108" w:type="dxa"/>
          </w:tblCellMar>
        </w:tblPrEx>
        <w:trPr>
          <w:trHeight w:val="419" w:hRule="atLeast"/>
          <w:jc w:val="center"/>
        </w:trPr>
        <w:tc>
          <w:tcPr>
            <w:tcW w:w="610" w:type="dxa"/>
            <w:vMerge w:val="continue"/>
            <w:tcBorders>
              <w:top w:val="nil"/>
              <w:left w:val="single" w:color="auto" w:sz="4" w:space="0"/>
              <w:bottom w:val="single" w:color="000000" w:sz="4" w:space="0"/>
              <w:right w:val="single" w:color="auto" w:sz="4" w:space="0"/>
            </w:tcBorders>
            <w:vAlign w:val="center"/>
          </w:tcPr>
          <w:p w14:paraId="4C74A344">
            <w:pPr>
              <w:widowControl/>
              <w:spacing w:line="200" w:lineRule="exact"/>
              <w:jc w:val="center"/>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3485640B">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结算付款配合</w:t>
            </w:r>
          </w:p>
        </w:tc>
        <w:tc>
          <w:tcPr>
            <w:tcW w:w="567" w:type="dxa"/>
            <w:tcBorders>
              <w:top w:val="nil"/>
              <w:left w:val="nil"/>
              <w:bottom w:val="single" w:color="auto" w:sz="4" w:space="0"/>
              <w:right w:val="single" w:color="auto" w:sz="4" w:space="0"/>
            </w:tcBorders>
            <w:shd w:val="clear" w:color="auto" w:fill="auto"/>
            <w:vAlign w:val="center"/>
          </w:tcPr>
          <w:p w14:paraId="1A8F23E9">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5</w:t>
            </w:r>
          </w:p>
        </w:tc>
        <w:tc>
          <w:tcPr>
            <w:tcW w:w="4440" w:type="dxa"/>
            <w:tcBorders>
              <w:top w:val="nil"/>
              <w:left w:val="nil"/>
              <w:bottom w:val="single" w:color="auto" w:sz="4" w:space="0"/>
              <w:right w:val="single" w:color="auto" w:sz="4" w:space="0"/>
            </w:tcBorders>
            <w:shd w:val="clear" w:color="auto" w:fill="auto"/>
            <w:vAlign w:val="center"/>
          </w:tcPr>
          <w:p w14:paraId="2AFE22E9">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•良好（5分）：按要求提供付款资料，存在问题能及时整改</w:t>
            </w:r>
          </w:p>
          <w:p w14:paraId="4635103B">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•合格（3-4分）：付款资料多次修改，存在问题基本解决</w:t>
            </w:r>
          </w:p>
          <w:p w14:paraId="37AD6A6A">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•不合格（3分以下）：付款资料多次修改，存在问题整改困难</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5E23D20E">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37DBE2A6">
            <w:pPr>
              <w:widowControl/>
              <w:spacing w:line="200" w:lineRule="exact"/>
              <w:jc w:val="center"/>
              <w:rPr>
                <w:rFonts w:ascii="宋体" w:hAnsi="宋体" w:cs="宋体"/>
                <w:b/>
                <w:bCs/>
                <w:color w:val="auto"/>
                <w:kern w:val="0"/>
                <w:sz w:val="13"/>
                <w:szCs w:val="13"/>
                <w:highlight w:val="none"/>
              </w:rPr>
            </w:pPr>
          </w:p>
        </w:tc>
      </w:tr>
      <w:tr w14:paraId="5A73B068">
        <w:tblPrEx>
          <w:tblCellMar>
            <w:top w:w="0" w:type="dxa"/>
            <w:left w:w="108" w:type="dxa"/>
            <w:bottom w:w="0" w:type="dxa"/>
            <w:right w:w="108" w:type="dxa"/>
          </w:tblCellMar>
        </w:tblPrEx>
        <w:trPr>
          <w:trHeight w:val="87" w:hRule="atLeast"/>
          <w:jc w:val="center"/>
        </w:trPr>
        <w:tc>
          <w:tcPr>
            <w:tcW w:w="610" w:type="dxa"/>
            <w:vMerge w:val="continue"/>
            <w:tcBorders>
              <w:top w:val="nil"/>
              <w:left w:val="single" w:color="auto" w:sz="4" w:space="0"/>
              <w:bottom w:val="single" w:color="000000" w:sz="4" w:space="0"/>
              <w:right w:val="single" w:color="auto" w:sz="4" w:space="0"/>
            </w:tcBorders>
            <w:vAlign w:val="center"/>
          </w:tcPr>
          <w:p w14:paraId="66C7B3D7">
            <w:pPr>
              <w:widowControl/>
              <w:spacing w:line="200" w:lineRule="exact"/>
              <w:jc w:val="center"/>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03F84252">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验收配合</w:t>
            </w:r>
          </w:p>
        </w:tc>
        <w:tc>
          <w:tcPr>
            <w:tcW w:w="567" w:type="dxa"/>
            <w:tcBorders>
              <w:top w:val="nil"/>
              <w:left w:val="nil"/>
              <w:bottom w:val="single" w:color="auto" w:sz="4" w:space="0"/>
              <w:right w:val="single" w:color="auto" w:sz="4" w:space="0"/>
            </w:tcBorders>
            <w:shd w:val="clear" w:color="auto" w:fill="auto"/>
            <w:vAlign w:val="center"/>
          </w:tcPr>
          <w:p w14:paraId="54BBE940">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5</w:t>
            </w:r>
          </w:p>
        </w:tc>
        <w:tc>
          <w:tcPr>
            <w:tcW w:w="4440" w:type="dxa"/>
            <w:tcBorders>
              <w:top w:val="nil"/>
              <w:left w:val="nil"/>
              <w:bottom w:val="single" w:color="auto" w:sz="4" w:space="0"/>
              <w:right w:val="single" w:color="auto" w:sz="4" w:space="0"/>
            </w:tcBorders>
            <w:shd w:val="clear" w:color="auto" w:fill="auto"/>
            <w:vAlign w:val="center"/>
          </w:tcPr>
          <w:p w14:paraId="7538FF00">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•良好（5分）：按要求提供验收资料，存在问题能及时整改</w:t>
            </w:r>
          </w:p>
          <w:p w14:paraId="60347385">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•合格（3-4分）：验收资料多次修改，存在问题基本解决</w:t>
            </w:r>
          </w:p>
          <w:p w14:paraId="39AEE082">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•不合格（3分以下）：验收资料多次修改，存在问题整改困难</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F832DF1">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5B2ABF1">
            <w:pPr>
              <w:widowControl/>
              <w:spacing w:line="200" w:lineRule="exact"/>
              <w:jc w:val="center"/>
              <w:rPr>
                <w:rFonts w:ascii="宋体" w:hAnsi="宋体" w:cs="宋体"/>
                <w:b/>
                <w:bCs/>
                <w:color w:val="auto"/>
                <w:kern w:val="0"/>
                <w:sz w:val="13"/>
                <w:szCs w:val="13"/>
                <w:highlight w:val="none"/>
              </w:rPr>
            </w:pPr>
          </w:p>
        </w:tc>
      </w:tr>
      <w:tr w14:paraId="7743B0BC">
        <w:tblPrEx>
          <w:tblCellMar>
            <w:top w:w="0" w:type="dxa"/>
            <w:left w:w="108" w:type="dxa"/>
            <w:bottom w:w="0" w:type="dxa"/>
            <w:right w:w="108" w:type="dxa"/>
          </w:tblCellMar>
        </w:tblPrEx>
        <w:trPr>
          <w:trHeight w:val="73" w:hRule="atLeast"/>
          <w:jc w:val="center"/>
        </w:trPr>
        <w:tc>
          <w:tcPr>
            <w:tcW w:w="610" w:type="dxa"/>
            <w:tcBorders>
              <w:top w:val="nil"/>
              <w:left w:val="single" w:color="auto" w:sz="4" w:space="0"/>
              <w:bottom w:val="single" w:color="auto" w:sz="4" w:space="0"/>
              <w:right w:val="single" w:color="auto" w:sz="4" w:space="0"/>
            </w:tcBorders>
            <w:shd w:val="clear" w:color="auto" w:fill="auto"/>
            <w:vAlign w:val="center"/>
          </w:tcPr>
          <w:p w14:paraId="5409048F">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质量</w:t>
            </w:r>
          </w:p>
        </w:tc>
        <w:tc>
          <w:tcPr>
            <w:tcW w:w="1188" w:type="dxa"/>
            <w:tcBorders>
              <w:top w:val="nil"/>
              <w:left w:val="nil"/>
              <w:bottom w:val="single" w:color="auto" w:sz="4" w:space="0"/>
              <w:right w:val="single" w:color="auto" w:sz="4" w:space="0"/>
            </w:tcBorders>
            <w:shd w:val="clear" w:color="auto" w:fill="auto"/>
            <w:vAlign w:val="center"/>
          </w:tcPr>
          <w:p w14:paraId="6646EEE5">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工程实体质量</w:t>
            </w:r>
          </w:p>
        </w:tc>
        <w:tc>
          <w:tcPr>
            <w:tcW w:w="567" w:type="dxa"/>
            <w:tcBorders>
              <w:top w:val="nil"/>
              <w:left w:val="nil"/>
              <w:bottom w:val="single" w:color="auto" w:sz="4" w:space="0"/>
              <w:right w:val="single" w:color="auto" w:sz="4" w:space="0"/>
            </w:tcBorders>
            <w:shd w:val="clear" w:color="auto" w:fill="auto"/>
            <w:noWrap/>
            <w:vAlign w:val="center"/>
          </w:tcPr>
          <w:p w14:paraId="2334B38C">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20</w:t>
            </w:r>
          </w:p>
        </w:tc>
        <w:tc>
          <w:tcPr>
            <w:tcW w:w="4440" w:type="dxa"/>
            <w:tcBorders>
              <w:top w:val="nil"/>
              <w:left w:val="nil"/>
              <w:bottom w:val="single" w:color="auto" w:sz="4" w:space="0"/>
              <w:right w:val="single" w:color="auto" w:sz="4" w:space="0"/>
            </w:tcBorders>
            <w:shd w:val="clear" w:color="auto" w:fill="auto"/>
            <w:vAlign w:val="center"/>
          </w:tcPr>
          <w:p w14:paraId="55E5224D">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•良好（17-20分）：完全落实合约和承诺的工程质量要求</w:t>
            </w:r>
          </w:p>
          <w:p w14:paraId="5713105A">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•合格（12-16分）：基本落实合约和承诺的工程质量要求</w:t>
            </w:r>
          </w:p>
          <w:p w14:paraId="73EC2E8C">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•不合格（12分以下）：多次整改后基本落实合约和承诺的工程质量要求</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7B74430">
            <w:pPr>
              <w:widowControl/>
              <w:spacing w:line="200" w:lineRule="exact"/>
              <w:jc w:val="left"/>
              <w:rPr>
                <w:rFonts w:ascii="宋体" w:hAnsi="宋体" w:cs="宋体"/>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AF57183">
            <w:pPr>
              <w:widowControl/>
              <w:spacing w:line="200" w:lineRule="exact"/>
              <w:jc w:val="center"/>
              <w:rPr>
                <w:rFonts w:ascii="宋体" w:hAnsi="宋体" w:cs="宋体"/>
                <w:b/>
                <w:bCs/>
                <w:color w:val="auto"/>
                <w:kern w:val="0"/>
                <w:sz w:val="13"/>
                <w:szCs w:val="13"/>
                <w:highlight w:val="none"/>
              </w:rPr>
            </w:pPr>
          </w:p>
        </w:tc>
      </w:tr>
      <w:tr w14:paraId="40175F66">
        <w:tblPrEx>
          <w:tblCellMar>
            <w:top w:w="0" w:type="dxa"/>
            <w:left w:w="108" w:type="dxa"/>
            <w:bottom w:w="0" w:type="dxa"/>
            <w:right w:w="108" w:type="dxa"/>
          </w:tblCellMar>
        </w:tblPrEx>
        <w:trPr>
          <w:trHeight w:val="73" w:hRule="atLeast"/>
          <w:jc w:val="center"/>
        </w:trPr>
        <w:tc>
          <w:tcPr>
            <w:tcW w:w="610" w:type="dxa"/>
            <w:tcBorders>
              <w:top w:val="nil"/>
              <w:left w:val="single" w:color="auto" w:sz="4" w:space="0"/>
              <w:bottom w:val="single" w:color="auto" w:sz="4" w:space="0"/>
              <w:right w:val="single" w:color="auto" w:sz="4" w:space="0"/>
            </w:tcBorders>
            <w:shd w:val="clear" w:color="auto" w:fill="auto"/>
            <w:vAlign w:val="center"/>
          </w:tcPr>
          <w:p w14:paraId="7B99D766">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进度</w:t>
            </w:r>
          </w:p>
        </w:tc>
        <w:tc>
          <w:tcPr>
            <w:tcW w:w="1188" w:type="dxa"/>
            <w:tcBorders>
              <w:top w:val="nil"/>
              <w:left w:val="nil"/>
              <w:bottom w:val="single" w:color="auto" w:sz="4" w:space="0"/>
              <w:right w:val="single" w:color="auto" w:sz="4" w:space="0"/>
            </w:tcBorders>
            <w:shd w:val="clear" w:color="auto" w:fill="auto"/>
            <w:vAlign w:val="center"/>
          </w:tcPr>
          <w:p w14:paraId="3D2A422C">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进度计划完成情况</w:t>
            </w:r>
          </w:p>
        </w:tc>
        <w:tc>
          <w:tcPr>
            <w:tcW w:w="567" w:type="dxa"/>
            <w:tcBorders>
              <w:top w:val="nil"/>
              <w:left w:val="nil"/>
              <w:bottom w:val="single" w:color="auto" w:sz="4" w:space="0"/>
              <w:right w:val="single" w:color="auto" w:sz="4" w:space="0"/>
            </w:tcBorders>
            <w:shd w:val="clear" w:color="auto" w:fill="auto"/>
            <w:noWrap/>
            <w:vAlign w:val="center"/>
          </w:tcPr>
          <w:p w14:paraId="6630AD05">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10</w:t>
            </w:r>
          </w:p>
        </w:tc>
        <w:tc>
          <w:tcPr>
            <w:tcW w:w="4440" w:type="dxa"/>
            <w:tcBorders>
              <w:top w:val="nil"/>
              <w:left w:val="nil"/>
              <w:bottom w:val="single" w:color="auto" w:sz="4" w:space="0"/>
              <w:right w:val="single" w:color="auto" w:sz="4" w:space="0"/>
            </w:tcBorders>
            <w:shd w:val="clear" w:color="auto" w:fill="auto"/>
            <w:vAlign w:val="center"/>
          </w:tcPr>
          <w:p w14:paraId="306E66B4">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•良好（9-10分）：提前完成工程施工，提前验收</w:t>
            </w:r>
          </w:p>
          <w:p w14:paraId="0E732F28">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•合格（6-8分）：基本按计划完成工程施工，及时验收</w:t>
            </w:r>
          </w:p>
          <w:p w14:paraId="0EDA8BDF">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•不合格（6分以下）：工程施工未按计划实施，影响验收</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1F72C917">
            <w:pPr>
              <w:widowControl/>
              <w:spacing w:line="200" w:lineRule="exact"/>
              <w:jc w:val="left"/>
              <w:rPr>
                <w:rFonts w:ascii="宋体" w:hAnsi="宋体" w:cs="宋体"/>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8742463">
            <w:pPr>
              <w:widowControl/>
              <w:spacing w:line="200" w:lineRule="exact"/>
              <w:jc w:val="center"/>
              <w:rPr>
                <w:rFonts w:ascii="宋体" w:hAnsi="宋体" w:cs="宋体"/>
                <w:b/>
                <w:bCs/>
                <w:color w:val="auto"/>
                <w:kern w:val="0"/>
                <w:sz w:val="13"/>
                <w:szCs w:val="13"/>
                <w:highlight w:val="none"/>
              </w:rPr>
            </w:pPr>
          </w:p>
        </w:tc>
      </w:tr>
      <w:tr w14:paraId="5800FD57">
        <w:tblPrEx>
          <w:tblCellMar>
            <w:top w:w="0" w:type="dxa"/>
            <w:left w:w="108" w:type="dxa"/>
            <w:bottom w:w="0" w:type="dxa"/>
            <w:right w:w="108" w:type="dxa"/>
          </w:tblCellMar>
        </w:tblPrEx>
        <w:trPr>
          <w:trHeight w:val="73" w:hRule="atLeast"/>
          <w:jc w:val="center"/>
        </w:trPr>
        <w:tc>
          <w:tcPr>
            <w:tcW w:w="610" w:type="dxa"/>
            <w:vMerge w:val="restart"/>
            <w:tcBorders>
              <w:top w:val="nil"/>
              <w:left w:val="single" w:color="auto" w:sz="4" w:space="0"/>
              <w:right w:val="single" w:color="auto" w:sz="4" w:space="0"/>
            </w:tcBorders>
            <w:shd w:val="clear" w:color="auto" w:fill="auto"/>
            <w:vAlign w:val="center"/>
          </w:tcPr>
          <w:p w14:paraId="676C5FF0">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综合实力及合同履约</w:t>
            </w:r>
          </w:p>
        </w:tc>
        <w:tc>
          <w:tcPr>
            <w:tcW w:w="1188" w:type="dxa"/>
            <w:tcBorders>
              <w:top w:val="nil"/>
              <w:left w:val="nil"/>
              <w:bottom w:val="single" w:color="auto" w:sz="4" w:space="0"/>
              <w:right w:val="single" w:color="auto" w:sz="4" w:space="0"/>
            </w:tcBorders>
            <w:shd w:val="clear" w:color="auto" w:fill="auto"/>
            <w:vAlign w:val="center"/>
          </w:tcPr>
          <w:p w14:paraId="22E7B843">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综合投入</w:t>
            </w:r>
          </w:p>
        </w:tc>
        <w:tc>
          <w:tcPr>
            <w:tcW w:w="567" w:type="dxa"/>
            <w:tcBorders>
              <w:top w:val="nil"/>
              <w:left w:val="nil"/>
              <w:bottom w:val="single" w:color="auto" w:sz="4" w:space="0"/>
              <w:right w:val="single" w:color="auto" w:sz="4" w:space="0"/>
            </w:tcBorders>
            <w:shd w:val="clear" w:color="auto" w:fill="auto"/>
            <w:noWrap/>
            <w:vAlign w:val="center"/>
          </w:tcPr>
          <w:p w14:paraId="124E38F3">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10</w:t>
            </w:r>
          </w:p>
        </w:tc>
        <w:tc>
          <w:tcPr>
            <w:tcW w:w="4440" w:type="dxa"/>
            <w:tcBorders>
              <w:top w:val="nil"/>
              <w:left w:val="nil"/>
              <w:bottom w:val="single" w:color="auto" w:sz="4" w:space="0"/>
              <w:right w:val="single" w:color="auto" w:sz="4" w:space="0"/>
            </w:tcBorders>
            <w:shd w:val="clear" w:color="auto" w:fill="auto"/>
            <w:vAlign w:val="center"/>
          </w:tcPr>
          <w:p w14:paraId="54E8FB95">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•良好（9-10分）：人员、材料及设备等综合投入良好，满足需要</w:t>
            </w:r>
          </w:p>
          <w:p w14:paraId="6A72AF00">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•合格（6-8分）：人员、材料及设备等综合投入一般，基本满足需要</w:t>
            </w:r>
          </w:p>
          <w:p w14:paraId="7577B8B4">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•不合格（6分以下）：人员、材料及设备等综合投入不足，不满足需要</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25098156">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3B05BF49">
            <w:pPr>
              <w:widowControl/>
              <w:spacing w:line="200" w:lineRule="exact"/>
              <w:jc w:val="center"/>
              <w:rPr>
                <w:rFonts w:ascii="宋体" w:hAnsi="宋体" w:cs="宋体"/>
                <w:b/>
                <w:bCs/>
                <w:color w:val="auto"/>
                <w:kern w:val="0"/>
                <w:sz w:val="13"/>
                <w:szCs w:val="13"/>
                <w:highlight w:val="none"/>
              </w:rPr>
            </w:pPr>
          </w:p>
        </w:tc>
      </w:tr>
      <w:tr w14:paraId="66B5260A">
        <w:tblPrEx>
          <w:tblCellMar>
            <w:top w:w="0" w:type="dxa"/>
            <w:left w:w="108" w:type="dxa"/>
            <w:bottom w:w="0" w:type="dxa"/>
            <w:right w:w="108" w:type="dxa"/>
          </w:tblCellMar>
        </w:tblPrEx>
        <w:trPr>
          <w:trHeight w:val="73" w:hRule="atLeast"/>
          <w:jc w:val="center"/>
        </w:trPr>
        <w:tc>
          <w:tcPr>
            <w:tcW w:w="610" w:type="dxa"/>
            <w:vMerge w:val="continue"/>
            <w:tcBorders>
              <w:left w:val="single" w:color="auto" w:sz="4" w:space="0"/>
              <w:bottom w:val="single" w:color="000000" w:sz="4" w:space="0"/>
              <w:right w:val="single" w:color="auto" w:sz="4" w:space="0"/>
            </w:tcBorders>
            <w:shd w:val="clear" w:color="auto" w:fill="auto"/>
            <w:vAlign w:val="center"/>
          </w:tcPr>
          <w:p w14:paraId="14CADA26">
            <w:pPr>
              <w:widowControl/>
              <w:spacing w:line="200" w:lineRule="exact"/>
              <w:jc w:val="center"/>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0E1FC5E8">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项目经理管理能力</w:t>
            </w:r>
          </w:p>
        </w:tc>
        <w:tc>
          <w:tcPr>
            <w:tcW w:w="567" w:type="dxa"/>
            <w:tcBorders>
              <w:top w:val="nil"/>
              <w:left w:val="nil"/>
              <w:bottom w:val="single" w:color="auto" w:sz="4" w:space="0"/>
              <w:right w:val="single" w:color="auto" w:sz="4" w:space="0"/>
            </w:tcBorders>
            <w:shd w:val="clear" w:color="auto" w:fill="auto"/>
            <w:noWrap/>
            <w:vAlign w:val="center"/>
          </w:tcPr>
          <w:p w14:paraId="4CB9E77B">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10</w:t>
            </w:r>
          </w:p>
        </w:tc>
        <w:tc>
          <w:tcPr>
            <w:tcW w:w="4440" w:type="dxa"/>
            <w:tcBorders>
              <w:top w:val="nil"/>
              <w:left w:val="nil"/>
              <w:bottom w:val="single" w:color="auto" w:sz="4" w:space="0"/>
              <w:right w:val="single" w:color="auto" w:sz="4" w:space="0"/>
            </w:tcBorders>
            <w:shd w:val="clear" w:color="auto" w:fill="auto"/>
            <w:vAlign w:val="center"/>
          </w:tcPr>
          <w:p w14:paraId="2F129F88">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•良好（9-10分）：项目经理管理能力良好，满足业务需要</w:t>
            </w:r>
          </w:p>
          <w:p w14:paraId="1D70574A">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•合格（6-8分）：项目经理管理能力一般，基本满足业务需要</w:t>
            </w:r>
          </w:p>
          <w:p w14:paraId="3A453F9F">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•不合格（6分以下）：项目经理管理能力不佳，不满足业务需要</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7AAB3D45">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E47C580">
            <w:pPr>
              <w:widowControl/>
              <w:spacing w:line="200" w:lineRule="exact"/>
              <w:jc w:val="center"/>
              <w:rPr>
                <w:rFonts w:ascii="宋体" w:hAnsi="宋体" w:cs="宋体"/>
                <w:b/>
                <w:bCs/>
                <w:color w:val="auto"/>
                <w:kern w:val="0"/>
                <w:sz w:val="13"/>
                <w:szCs w:val="13"/>
                <w:highlight w:val="none"/>
              </w:rPr>
            </w:pPr>
          </w:p>
        </w:tc>
      </w:tr>
      <w:tr w14:paraId="34DF829E">
        <w:tblPrEx>
          <w:tblCellMar>
            <w:top w:w="0" w:type="dxa"/>
            <w:left w:w="108" w:type="dxa"/>
            <w:bottom w:w="0" w:type="dxa"/>
            <w:right w:w="108" w:type="dxa"/>
          </w:tblCellMar>
        </w:tblPrEx>
        <w:trPr>
          <w:trHeight w:val="73" w:hRule="atLeast"/>
          <w:jc w:val="center"/>
        </w:trPr>
        <w:tc>
          <w:tcPr>
            <w:tcW w:w="610" w:type="dxa"/>
            <w:vMerge w:val="continue"/>
            <w:tcBorders>
              <w:left w:val="single" w:color="auto" w:sz="4" w:space="0"/>
              <w:bottom w:val="single" w:color="000000" w:sz="4" w:space="0"/>
              <w:right w:val="single" w:color="auto" w:sz="4" w:space="0"/>
            </w:tcBorders>
            <w:shd w:val="clear" w:color="auto" w:fill="auto"/>
            <w:vAlign w:val="center"/>
          </w:tcPr>
          <w:p w14:paraId="03774DFB">
            <w:pPr>
              <w:widowControl/>
              <w:spacing w:line="200" w:lineRule="exact"/>
              <w:jc w:val="center"/>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38D77777">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突发性业务需求变更响应</w:t>
            </w:r>
          </w:p>
        </w:tc>
        <w:tc>
          <w:tcPr>
            <w:tcW w:w="567" w:type="dxa"/>
            <w:tcBorders>
              <w:top w:val="nil"/>
              <w:left w:val="nil"/>
              <w:bottom w:val="single" w:color="auto" w:sz="4" w:space="0"/>
              <w:right w:val="single" w:color="auto" w:sz="4" w:space="0"/>
            </w:tcBorders>
            <w:shd w:val="clear" w:color="auto" w:fill="auto"/>
            <w:noWrap/>
            <w:vAlign w:val="center"/>
          </w:tcPr>
          <w:p w14:paraId="4B4F4FF5">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5</w:t>
            </w:r>
          </w:p>
        </w:tc>
        <w:tc>
          <w:tcPr>
            <w:tcW w:w="4440" w:type="dxa"/>
            <w:tcBorders>
              <w:top w:val="nil"/>
              <w:left w:val="nil"/>
              <w:bottom w:val="single" w:color="auto" w:sz="4" w:space="0"/>
              <w:right w:val="single" w:color="auto" w:sz="4" w:space="0"/>
            </w:tcBorders>
            <w:shd w:val="clear" w:color="auto" w:fill="auto"/>
            <w:vAlign w:val="center"/>
          </w:tcPr>
          <w:p w14:paraId="7E5F972A">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•良好（5分）：主动响应业务需求变更，满足业务需要</w:t>
            </w:r>
          </w:p>
          <w:p w14:paraId="355E3966">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•合格（3-4分）：被动响应业务需求变更，基本满足业务需要</w:t>
            </w:r>
          </w:p>
          <w:p w14:paraId="1335468C">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•不合格（3分以下）：未响应业务需求变更，或不满足业务需要</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381D5B48">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52CEB05">
            <w:pPr>
              <w:widowControl/>
              <w:spacing w:line="200" w:lineRule="exact"/>
              <w:jc w:val="center"/>
              <w:rPr>
                <w:rFonts w:ascii="宋体" w:hAnsi="宋体" w:cs="宋体"/>
                <w:b/>
                <w:bCs/>
                <w:color w:val="auto"/>
                <w:kern w:val="0"/>
                <w:sz w:val="13"/>
                <w:szCs w:val="13"/>
                <w:highlight w:val="none"/>
              </w:rPr>
            </w:pPr>
          </w:p>
        </w:tc>
      </w:tr>
      <w:tr w14:paraId="5B60E861">
        <w:tblPrEx>
          <w:tblCellMar>
            <w:top w:w="0" w:type="dxa"/>
            <w:left w:w="108" w:type="dxa"/>
            <w:bottom w:w="0" w:type="dxa"/>
            <w:right w:w="108" w:type="dxa"/>
          </w:tblCellMar>
        </w:tblPrEx>
        <w:trPr>
          <w:trHeight w:val="73" w:hRule="atLeast"/>
          <w:jc w:val="center"/>
        </w:trPr>
        <w:tc>
          <w:tcPr>
            <w:tcW w:w="610" w:type="dxa"/>
            <w:vMerge w:val="restart"/>
            <w:tcBorders>
              <w:top w:val="nil"/>
              <w:left w:val="single" w:color="auto" w:sz="4" w:space="0"/>
              <w:bottom w:val="single" w:color="000000" w:sz="4" w:space="0"/>
              <w:right w:val="single" w:color="auto" w:sz="4" w:space="0"/>
            </w:tcBorders>
            <w:shd w:val="clear" w:color="auto" w:fill="auto"/>
            <w:vAlign w:val="center"/>
          </w:tcPr>
          <w:p w14:paraId="60FFD7B6">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现场管理及配合</w:t>
            </w:r>
          </w:p>
        </w:tc>
        <w:tc>
          <w:tcPr>
            <w:tcW w:w="1188" w:type="dxa"/>
            <w:tcBorders>
              <w:top w:val="nil"/>
              <w:left w:val="nil"/>
              <w:bottom w:val="single" w:color="auto" w:sz="4" w:space="0"/>
              <w:right w:val="single" w:color="auto" w:sz="4" w:space="0"/>
            </w:tcBorders>
            <w:shd w:val="clear" w:color="auto" w:fill="auto"/>
            <w:vAlign w:val="center"/>
          </w:tcPr>
          <w:p w14:paraId="79B4B829">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施工自身组织</w:t>
            </w:r>
          </w:p>
        </w:tc>
        <w:tc>
          <w:tcPr>
            <w:tcW w:w="567" w:type="dxa"/>
            <w:tcBorders>
              <w:top w:val="nil"/>
              <w:left w:val="nil"/>
              <w:bottom w:val="single" w:color="auto" w:sz="4" w:space="0"/>
              <w:right w:val="single" w:color="auto" w:sz="4" w:space="0"/>
            </w:tcBorders>
            <w:shd w:val="clear" w:color="auto" w:fill="auto"/>
            <w:noWrap/>
            <w:vAlign w:val="center"/>
          </w:tcPr>
          <w:p w14:paraId="18DD5273">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10 </w:t>
            </w:r>
          </w:p>
        </w:tc>
        <w:tc>
          <w:tcPr>
            <w:tcW w:w="4440" w:type="dxa"/>
            <w:tcBorders>
              <w:top w:val="nil"/>
              <w:left w:val="nil"/>
              <w:bottom w:val="single" w:color="auto" w:sz="4" w:space="0"/>
              <w:right w:val="single" w:color="auto" w:sz="4" w:space="0"/>
            </w:tcBorders>
            <w:shd w:val="clear" w:color="auto" w:fill="auto"/>
            <w:vAlign w:val="center"/>
          </w:tcPr>
          <w:p w14:paraId="4F3A48DF">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•良好（9-10分）：施工自身组织表现良好，自行开展业务表现顺畅</w:t>
            </w:r>
          </w:p>
          <w:p w14:paraId="6B25DFF6">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•合格（6-8分）：施工自身组织表现一般，自行开展业务表现一般</w:t>
            </w:r>
          </w:p>
          <w:p w14:paraId="2BAC8FB4">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•不合格（6分以下）：施工自身组织表现不佳，自行开展业务表现不畅</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77BDB081">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121409A">
            <w:pPr>
              <w:widowControl/>
              <w:spacing w:line="200" w:lineRule="exact"/>
              <w:jc w:val="center"/>
              <w:rPr>
                <w:rFonts w:ascii="宋体" w:hAnsi="宋体" w:cs="宋体"/>
                <w:b/>
                <w:bCs/>
                <w:color w:val="auto"/>
                <w:kern w:val="0"/>
                <w:sz w:val="13"/>
                <w:szCs w:val="13"/>
                <w:highlight w:val="none"/>
              </w:rPr>
            </w:pPr>
          </w:p>
        </w:tc>
      </w:tr>
      <w:tr w14:paraId="3CA29AAE">
        <w:tblPrEx>
          <w:tblCellMar>
            <w:top w:w="0" w:type="dxa"/>
            <w:left w:w="108" w:type="dxa"/>
            <w:bottom w:w="0" w:type="dxa"/>
            <w:right w:w="108" w:type="dxa"/>
          </w:tblCellMar>
        </w:tblPrEx>
        <w:trPr>
          <w:trHeight w:val="611" w:hRule="atLeast"/>
          <w:jc w:val="center"/>
        </w:trPr>
        <w:tc>
          <w:tcPr>
            <w:tcW w:w="610" w:type="dxa"/>
            <w:vMerge w:val="continue"/>
            <w:tcBorders>
              <w:top w:val="nil"/>
              <w:left w:val="single" w:color="auto" w:sz="4" w:space="0"/>
              <w:bottom w:val="single" w:color="000000" w:sz="4" w:space="0"/>
              <w:right w:val="single" w:color="auto" w:sz="4" w:space="0"/>
            </w:tcBorders>
            <w:vAlign w:val="center"/>
          </w:tcPr>
          <w:p w14:paraId="701C0370">
            <w:pPr>
              <w:widowControl/>
              <w:spacing w:line="200" w:lineRule="exact"/>
              <w:jc w:val="left"/>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3EE7308E">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现场安全文明状况</w:t>
            </w:r>
          </w:p>
        </w:tc>
        <w:tc>
          <w:tcPr>
            <w:tcW w:w="567" w:type="dxa"/>
            <w:tcBorders>
              <w:top w:val="nil"/>
              <w:left w:val="nil"/>
              <w:bottom w:val="single" w:color="auto" w:sz="4" w:space="0"/>
              <w:right w:val="single" w:color="auto" w:sz="4" w:space="0"/>
            </w:tcBorders>
            <w:shd w:val="clear" w:color="auto" w:fill="auto"/>
            <w:noWrap/>
            <w:vAlign w:val="center"/>
          </w:tcPr>
          <w:p w14:paraId="27116421">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5</w:t>
            </w:r>
          </w:p>
        </w:tc>
        <w:tc>
          <w:tcPr>
            <w:tcW w:w="4440" w:type="dxa"/>
            <w:tcBorders>
              <w:top w:val="nil"/>
              <w:left w:val="nil"/>
              <w:bottom w:val="single" w:color="auto" w:sz="4" w:space="0"/>
              <w:right w:val="single" w:color="auto" w:sz="4" w:space="0"/>
            </w:tcBorders>
            <w:shd w:val="clear" w:color="auto" w:fill="auto"/>
            <w:vAlign w:val="center"/>
          </w:tcPr>
          <w:p w14:paraId="72B52261">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•良好（5分）：现场安全文明状况良好，未影响周边环境</w:t>
            </w:r>
          </w:p>
          <w:p w14:paraId="205BE9DE">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•合格（3-4分）：现场安全文明状况一般，未影响正常办公</w:t>
            </w:r>
          </w:p>
          <w:p w14:paraId="7E6A3870">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•不合格（3分以下）：现场安全文明状况不佳，影响周边环境或正常办公</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21742916">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21FE512">
            <w:pPr>
              <w:widowControl/>
              <w:spacing w:line="200" w:lineRule="exact"/>
              <w:jc w:val="center"/>
              <w:rPr>
                <w:rFonts w:ascii="宋体" w:hAnsi="宋体" w:cs="宋体"/>
                <w:b/>
                <w:bCs/>
                <w:color w:val="auto"/>
                <w:kern w:val="0"/>
                <w:sz w:val="13"/>
                <w:szCs w:val="13"/>
                <w:highlight w:val="none"/>
              </w:rPr>
            </w:pPr>
          </w:p>
        </w:tc>
      </w:tr>
      <w:tr w14:paraId="3BE0CE9A">
        <w:tblPrEx>
          <w:tblCellMar>
            <w:top w:w="0" w:type="dxa"/>
            <w:left w:w="108" w:type="dxa"/>
            <w:bottom w:w="0" w:type="dxa"/>
            <w:right w:w="108" w:type="dxa"/>
          </w:tblCellMar>
        </w:tblPrEx>
        <w:trPr>
          <w:trHeight w:val="611" w:hRule="atLeast"/>
          <w:jc w:val="center"/>
        </w:trPr>
        <w:tc>
          <w:tcPr>
            <w:tcW w:w="610" w:type="dxa"/>
            <w:vMerge w:val="continue"/>
            <w:tcBorders>
              <w:top w:val="nil"/>
              <w:left w:val="single" w:color="auto" w:sz="4" w:space="0"/>
              <w:bottom w:val="single" w:color="000000" w:sz="4" w:space="0"/>
              <w:right w:val="single" w:color="auto" w:sz="4" w:space="0"/>
            </w:tcBorders>
            <w:vAlign w:val="center"/>
          </w:tcPr>
          <w:p w14:paraId="629ACE7A">
            <w:pPr>
              <w:widowControl/>
              <w:spacing w:line="200" w:lineRule="exact"/>
              <w:jc w:val="left"/>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6B3AA17A">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过程报送资料质量、时效</w:t>
            </w:r>
          </w:p>
        </w:tc>
        <w:tc>
          <w:tcPr>
            <w:tcW w:w="567" w:type="dxa"/>
            <w:tcBorders>
              <w:top w:val="nil"/>
              <w:left w:val="nil"/>
              <w:bottom w:val="single" w:color="auto" w:sz="4" w:space="0"/>
              <w:right w:val="single" w:color="auto" w:sz="4" w:space="0"/>
            </w:tcBorders>
            <w:shd w:val="clear" w:color="auto" w:fill="auto"/>
            <w:noWrap/>
            <w:vAlign w:val="center"/>
          </w:tcPr>
          <w:p w14:paraId="3E94CD08">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10 </w:t>
            </w:r>
          </w:p>
        </w:tc>
        <w:tc>
          <w:tcPr>
            <w:tcW w:w="4440" w:type="dxa"/>
            <w:tcBorders>
              <w:top w:val="nil"/>
              <w:left w:val="nil"/>
              <w:bottom w:val="single" w:color="auto" w:sz="4" w:space="0"/>
              <w:right w:val="single" w:color="auto" w:sz="4" w:space="0"/>
            </w:tcBorders>
            <w:shd w:val="clear" w:color="auto" w:fill="auto"/>
            <w:vAlign w:val="center"/>
          </w:tcPr>
          <w:p w14:paraId="4C53F88E">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•良好（9-10分）：主动提交工程计划和工程管理资料等过程资料，相关内容较为完整、准确，满足项目资料归档需要</w:t>
            </w:r>
          </w:p>
          <w:p w14:paraId="6F4E109A">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•合格（6-8分）：能够提交工程计划和工程管理资料等过程资料，相关内容基本完整，基本满足项目资料归档需要</w:t>
            </w:r>
          </w:p>
          <w:p w14:paraId="7BE304F4">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•不合格（6分以下）：未能提交工程计划和工程管理资料等过程资料，或相关内容不齐全，或不满足项目资料归档需要</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204BC9D">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82B20BD">
            <w:pPr>
              <w:widowControl/>
              <w:spacing w:line="200" w:lineRule="exact"/>
              <w:jc w:val="center"/>
              <w:rPr>
                <w:rFonts w:ascii="宋体" w:hAnsi="宋体" w:cs="宋体"/>
                <w:b/>
                <w:bCs/>
                <w:color w:val="auto"/>
                <w:kern w:val="0"/>
                <w:sz w:val="13"/>
                <w:szCs w:val="13"/>
                <w:highlight w:val="none"/>
              </w:rPr>
            </w:pPr>
          </w:p>
        </w:tc>
      </w:tr>
      <w:tr w14:paraId="4660543F">
        <w:tblPrEx>
          <w:tblCellMar>
            <w:top w:w="0" w:type="dxa"/>
            <w:left w:w="108" w:type="dxa"/>
            <w:bottom w:w="0" w:type="dxa"/>
            <w:right w:w="108" w:type="dxa"/>
          </w:tblCellMar>
        </w:tblPrEx>
        <w:trPr>
          <w:trHeight w:val="611" w:hRule="atLeast"/>
          <w:jc w:val="center"/>
        </w:trPr>
        <w:tc>
          <w:tcPr>
            <w:tcW w:w="610" w:type="dxa"/>
            <w:vMerge w:val="continue"/>
            <w:tcBorders>
              <w:top w:val="nil"/>
              <w:left w:val="single" w:color="auto" w:sz="4" w:space="0"/>
              <w:bottom w:val="single" w:color="000000" w:sz="4" w:space="0"/>
              <w:right w:val="single" w:color="auto" w:sz="4" w:space="0"/>
            </w:tcBorders>
            <w:vAlign w:val="center"/>
          </w:tcPr>
          <w:p w14:paraId="7DA731F3">
            <w:pPr>
              <w:widowControl/>
              <w:spacing w:line="200" w:lineRule="exact"/>
              <w:jc w:val="left"/>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71EFE3D8">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解决投诉，及时反馈处理结果</w:t>
            </w:r>
          </w:p>
        </w:tc>
        <w:tc>
          <w:tcPr>
            <w:tcW w:w="567" w:type="dxa"/>
            <w:tcBorders>
              <w:top w:val="nil"/>
              <w:left w:val="nil"/>
              <w:bottom w:val="single" w:color="auto" w:sz="4" w:space="0"/>
              <w:right w:val="single" w:color="auto" w:sz="4" w:space="0"/>
            </w:tcBorders>
            <w:shd w:val="clear" w:color="auto" w:fill="auto"/>
            <w:noWrap/>
            <w:vAlign w:val="center"/>
          </w:tcPr>
          <w:p w14:paraId="20BFDB28">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5</w:t>
            </w:r>
          </w:p>
        </w:tc>
        <w:tc>
          <w:tcPr>
            <w:tcW w:w="4440" w:type="dxa"/>
            <w:tcBorders>
              <w:top w:val="nil"/>
              <w:left w:val="nil"/>
              <w:bottom w:val="single" w:color="auto" w:sz="4" w:space="0"/>
              <w:right w:val="single" w:color="auto" w:sz="4" w:space="0"/>
            </w:tcBorders>
            <w:shd w:val="clear" w:color="auto" w:fill="auto"/>
            <w:vAlign w:val="center"/>
          </w:tcPr>
          <w:p w14:paraId="53674431">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•良好（5分）：及时妥善解决履约过程的投诉，积极反馈投诉处理结果</w:t>
            </w:r>
          </w:p>
          <w:p w14:paraId="27BCB831">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•合格（3-4分）：基本解决履约过程的投诉，能够反馈投诉处理结果</w:t>
            </w:r>
          </w:p>
          <w:p w14:paraId="347EA318">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•不合格（3分以下）：未及时解决履约过程的投诉，未反馈投诉处理结果</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4D75E6DD">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C382C7A">
            <w:pPr>
              <w:widowControl/>
              <w:spacing w:line="200" w:lineRule="exact"/>
              <w:jc w:val="center"/>
              <w:rPr>
                <w:rFonts w:ascii="宋体" w:hAnsi="宋体" w:cs="宋体"/>
                <w:b/>
                <w:bCs/>
                <w:color w:val="auto"/>
                <w:kern w:val="0"/>
                <w:sz w:val="13"/>
                <w:szCs w:val="13"/>
                <w:highlight w:val="none"/>
              </w:rPr>
            </w:pPr>
          </w:p>
        </w:tc>
      </w:tr>
      <w:tr w14:paraId="414DAB08">
        <w:tblPrEx>
          <w:tblCellMar>
            <w:top w:w="0" w:type="dxa"/>
            <w:left w:w="108" w:type="dxa"/>
            <w:bottom w:w="0" w:type="dxa"/>
            <w:right w:w="108" w:type="dxa"/>
          </w:tblCellMar>
        </w:tblPrEx>
        <w:trPr>
          <w:trHeight w:val="285" w:hRule="atLeast"/>
          <w:jc w:val="center"/>
        </w:trPr>
        <w:tc>
          <w:tcPr>
            <w:tcW w:w="17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8F0A1A">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合计（基准得分）</w:t>
            </w:r>
          </w:p>
        </w:tc>
        <w:tc>
          <w:tcPr>
            <w:tcW w:w="567" w:type="dxa"/>
            <w:tcBorders>
              <w:top w:val="nil"/>
              <w:left w:val="nil"/>
              <w:bottom w:val="single" w:color="auto" w:sz="4" w:space="0"/>
              <w:right w:val="single" w:color="auto" w:sz="4" w:space="0"/>
            </w:tcBorders>
            <w:shd w:val="clear" w:color="auto" w:fill="auto"/>
            <w:vAlign w:val="center"/>
          </w:tcPr>
          <w:p w14:paraId="63C77942">
            <w:pPr>
              <w:widowControl/>
              <w:spacing w:line="200" w:lineRule="exact"/>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100 </w:t>
            </w:r>
          </w:p>
        </w:tc>
        <w:tc>
          <w:tcPr>
            <w:tcW w:w="4440" w:type="dxa"/>
            <w:tcBorders>
              <w:top w:val="nil"/>
              <w:left w:val="nil"/>
              <w:bottom w:val="single" w:color="auto" w:sz="4" w:space="0"/>
              <w:right w:val="single" w:color="auto" w:sz="4" w:space="0"/>
            </w:tcBorders>
            <w:shd w:val="clear" w:color="auto" w:fill="auto"/>
            <w:vAlign w:val="center"/>
          </w:tcPr>
          <w:p w14:paraId="5EC7CB65">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基准得分满分1</w:t>
            </w:r>
            <w:r>
              <w:rPr>
                <w:rFonts w:ascii="宋体" w:hAnsi="宋体" w:cs="宋体"/>
                <w:b/>
                <w:bCs/>
                <w:color w:val="auto"/>
                <w:kern w:val="0"/>
                <w:sz w:val="13"/>
                <w:szCs w:val="13"/>
                <w:highlight w:val="none"/>
              </w:rPr>
              <w:t>00</w:t>
            </w:r>
            <w:r>
              <w:rPr>
                <w:rFonts w:hint="eastAsia" w:ascii="宋体" w:hAnsi="宋体" w:cs="宋体"/>
                <w:b/>
                <w:bCs/>
                <w:color w:val="auto"/>
                <w:kern w:val="0"/>
                <w:sz w:val="13"/>
                <w:szCs w:val="13"/>
                <w:highlight w:val="none"/>
              </w:rPr>
              <w:t>分</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56CB80EA">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19172DA">
            <w:pPr>
              <w:widowControl/>
              <w:spacing w:line="200" w:lineRule="exact"/>
              <w:jc w:val="center"/>
              <w:rPr>
                <w:rFonts w:ascii="宋体" w:hAnsi="宋体" w:cs="宋体"/>
                <w:b/>
                <w:bCs/>
                <w:color w:val="auto"/>
                <w:kern w:val="0"/>
                <w:sz w:val="13"/>
                <w:szCs w:val="13"/>
                <w:highlight w:val="none"/>
              </w:rPr>
            </w:pPr>
          </w:p>
        </w:tc>
      </w:tr>
      <w:tr w14:paraId="38298B85">
        <w:tblPrEx>
          <w:tblCellMar>
            <w:top w:w="0" w:type="dxa"/>
            <w:left w:w="108" w:type="dxa"/>
            <w:bottom w:w="0" w:type="dxa"/>
            <w:right w:w="108" w:type="dxa"/>
          </w:tblCellMar>
        </w:tblPrEx>
        <w:trPr>
          <w:trHeight w:val="73" w:hRule="atLeast"/>
          <w:jc w:val="center"/>
        </w:trPr>
        <w:tc>
          <w:tcPr>
            <w:tcW w:w="610" w:type="dxa"/>
            <w:tcBorders>
              <w:top w:val="nil"/>
              <w:left w:val="single" w:color="auto" w:sz="4" w:space="0"/>
              <w:bottom w:val="single" w:color="auto" w:sz="4" w:space="0"/>
              <w:right w:val="single" w:color="auto" w:sz="4" w:space="0"/>
            </w:tcBorders>
            <w:shd w:val="clear" w:color="auto" w:fill="auto"/>
            <w:vAlign w:val="center"/>
          </w:tcPr>
          <w:p w14:paraId="37DDAB2D">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加分项</w:t>
            </w:r>
          </w:p>
        </w:tc>
        <w:tc>
          <w:tcPr>
            <w:tcW w:w="1188" w:type="dxa"/>
            <w:tcBorders>
              <w:top w:val="nil"/>
              <w:left w:val="nil"/>
              <w:bottom w:val="single" w:color="auto" w:sz="4" w:space="0"/>
              <w:right w:val="single" w:color="auto" w:sz="4" w:space="0"/>
            </w:tcBorders>
            <w:shd w:val="clear" w:color="auto" w:fill="auto"/>
            <w:noWrap/>
            <w:vAlign w:val="center"/>
          </w:tcPr>
          <w:p w14:paraId="3C68DEB8">
            <w:pPr>
              <w:widowControl/>
              <w:spacing w:line="200" w:lineRule="exact"/>
              <w:jc w:val="left"/>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提供增值服务</w:t>
            </w:r>
          </w:p>
        </w:tc>
        <w:tc>
          <w:tcPr>
            <w:tcW w:w="567" w:type="dxa"/>
            <w:tcBorders>
              <w:top w:val="nil"/>
              <w:left w:val="nil"/>
              <w:bottom w:val="single" w:color="auto" w:sz="4" w:space="0"/>
              <w:right w:val="single" w:color="auto" w:sz="4" w:space="0"/>
            </w:tcBorders>
            <w:shd w:val="clear" w:color="auto" w:fill="auto"/>
            <w:vAlign w:val="center"/>
          </w:tcPr>
          <w:p w14:paraId="048513DB">
            <w:pPr>
              <w:spacing w:line="200" w:lineRule="exact"/>
              <w:jc w:val="center"/>
              <w:rPr>
                <w:rFonts w:ascii="宋体" w:hAnsi="宋体" w:cs="宋体"/>
                <w:bCs/>
                <w:color w:val="auto"/>
                <w:kern w:val="0"/>
                <w:sz w:val="13"/>
                <w:szCs w:val="13"/>
                <w:highlight w:val="none"/>
              </w:rPr>
            </w:pPr>
            <w:r>
              <w:rPr>
                <w:rFonts w:hint="eastAsia" w:ascii="宋体" w:hAnsi="宋体" w:cs="宋体"/>
                <w:bCs/>
                <w:color w:val="auto"/>
                <w:kern w:val="0"/>
                <w:sz w:val="13"/>
                <w:szCs w:val="13"/>
                <w:highlight w:val="none"/>
              </w:rPr>
              <w:t xml:space="preserve">10 </w:t>
            </w:r>
          </w:p>
        </w:tc>
        <w:tc>
          <w:tcPr>
            <w:tcW w:w="4440" w:type="dxa"/>
            <w:tcBorders>
              <w:top w:val="nil"/>
              <w:left w:val="nil"/>
              <w:bottom w:val="single" w:color="auto" w:sz="4" w:space="0"/>
              <w:right w:val="single" w:color="auto" w:sz="4" w:space="0"/>
            </w:tcBorders>
            <w:shd w:val="clear" w:color="auto" w:fill="auto"/>
            <w:vAlign w:val="center"/>
          </w:tcPr>
          <w:p w14:paraId="05E7E2FB">
            <w:pPr>
              <w:spacing w:line="200" w:lineRule="exact"/>
              <w:jc w:val="left"/>
              <w:rPr>
                <w:rFonts w:ascii="宋体" w:hAnsi="宋体" w:cs="宋体"/>
                <w:bCs/>
                <w:color w:val="auto"/>
                <w:kern w:val="0"/>
                <w:sz w:val="13"/>
                <w:szCs w:val="13"/>
                <w:highlight w:val="none"/>
              </w:rPr>
            </w:pPr>
            <w:r>
              <w:rPr>
                <w:rFonts w:hint="eastAsia" w:ascii="宋体" w:hAnsi="宋体" w:cs="宋体"/>
                <w:bCs/>
                <w:color w:val="auto"/>
                <w:kern w:val="0"/>
                <w:sz w:val="13"/>
                <w:szCs w:val="13"/>
                <w:highlight w:val="none"/>
              </w:rPr>
              <w:t>提供合同范围外的增值服务或服务质量明显高于合同要求，酌情加0-10分</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11CAA189">
            <w:pPr>
              <w:widowControl/>
              <w:spacing w:line="200" w:lineRule="exact"/>
              <w:jc w:val="left"/>
              <w:rPr>
                <w:rFonts w:ascii="宋体" w:hAnsi="宋体" w:cs="宋体"/>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F91D900">
            <w:pPr>
              <w:widowControl/>
              <w:spacing w:line="200" w:lineRule="exact"/>
              <w:jc w:val="center"/>
              <w:rPr>
                <w:rFonts w:ascii="宋体" w:hAnsi="宋体" w:cs="宋体"/>
                <w:b/>
                <w:bCs/>
                <w:color w:val="auto"/>
                <w:kern w:val="0"/>
                <w:sz w:val="13"/>
                <w:szCs w:val="13"/>
                <w:highlight w:val="none"/>
              </w:rPr>
            </w:pPr>
          </w:p>
        </w:tc>
      </w:tr>
      <w:tr w14:paraId="7DAEA1C9">
        <w:tblPrEx>
          <w:tblCellMar>
            <w:top w:w="0" w:type="dxa"/>
            <w:left w:w="108" w:type="dxa"/>
            <w:bottom w:w="0" w:type="dxa"/>
            <w:right w:w="108" w:type="dxa"/>
          </w:tblCellMar>
        </w:tblPrEx>
        <w:trPr>
          <w:trHeight w:val="73" w:hRule="atLeast"/>
          <w:jc w:val="center"/>
        </w:trPr>
        <w:tc>
          <w:tcPr>
            <w:tcW w:w="610" w:type="dxa"/>
            <w:vMerge w:val="restart"/>
            <w:tcBorders>
              <w:top w:val="nil"/>
              <w:left w:val="single" w:color="auto" w:sz="4" w:space="0"/>
              <w:right w:val="single" w:color="auto" w:sz="4" w:space="0"/>
            </w:tcBorders>
            <w:shd w:val="clear" w:color="auto" w:fill="auto"/>
            <w:vAlign w:val="center"/>
          </w:tcPr>
          <w:p w14:paraId="34679E21">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扣分项</w:t>
            </w:r>
          </w:p>
        </w:tc>
        <w:tc>
          <w:tcPr>
            <w:tcW w:w="1188" w:type="dxa"/>
            <w:tcBorders>
              <w:top w:val="nil"/>
              <w:left w:val="nil"/>
              <w:bottom w:val="single" w:color="auto" w:sz="4" w:space="0"/>
              <w:right w:val="single" w:color="auto" w:sz="4" w:space="0"/>
            </w:tcBorders>
            <w:shd w:val="clear" w:color="auto" w:fill="auto"/>
            <w:vAlign w:val="center"/>
          </w:tcPr>
          <w:p w14:paraId="2A686794">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施工人员权益、品牌事件</w:t>
            </w:r>
          </w:p>
        </w:tc>
        <w:tc>
          <w:tcPr>
            <w:tcW w:w="567" w:type="dxa"/>
            <w:tcBorders>
              <w:top w:val="nil"/>
              <w:left w:val="nil"/>
              <w:bottom w:val="single" w:color="auto" w:sz="4" w:space="0"/>
              <w:right w:val="single" w:color="auto" w:sz="4" w:space="0"/>
            </w:tcBorders>
            <w:shd w:val="clear" w:color="auto" w:fill="auto"/>
            <w:vAlign w:val="center"/>
          </w:tcPr>
          <w:p w14:paraId="2474168E">
            <w:pPr>
              <w:spacing w:line="200" w:lineRule="exact"/>
              <w:jc w:val="center"/>
              <w:rPr>
                <w:rFonts w:ascii="宋体" w:hAnsi="宋体" w:cs="宋体"/>
                <w:bCs/>
                <w:color w:val="auto"/>
                <w:kern w:val="0"/>
                <w:sz w:val="13"/>
                <w:szCs w:val="13"/>
                <w:highlight w:val="none"/>
              </w:rPr>
            </w:pPr>
            <w:r>
              <w:rPr>
                <w:rFonts w:hint="eastAsia"/>
                <w:color w:val="auto"/>
                <w:sz w:val="18"/>
                <w:szCs w:val="18"/>
                <w:highlight w:val="none"/>
              </w:rPr>
              <w:t xml:space="preserve">-5 </w:t>
            </w:r>
          </w:p>
        </w:tc>
        <w:tc>
          <w:tcPr>
            <w:tcW w:w="4440" w:type="dxa"/>
            <w:tcBorders>
              <w:top w:val="nil"/>
              <w:left w:val="nil"/>
              <w:bottom w:val="single" w:color="auto" w:sz="4" w:space="0"/>
              <w:right w:val="single" w:color="auto" w:sz="4" w:space="0"/>
            </w:tcBorders>
            <w:shd w:val="clear" w:color="auto" w:fill="auto"/>
            <w:vAlign w:val="center"/>
          </w:tcPr>
          <w:p w14:paraId="761289A8">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一般事件扣1分，较大事件扣2—3分，重大事件扣4—5分，品牌、民工权益分共5分，扣完为止。</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7CAE009">
            <w:pPr>
              <w:widowControl/>
              <w:spacing w:line="200" w:lineRule="exact"/>
              <w:jc w:val="left"/>
              <w:rPr>
                <w:rFonts w:ascii="宋体" w:hAnsi="宋体" w:cs="宋体"/>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B7345E4">
            <w:pPr>
              <w:widowControl/>
              <w:spacing w:line="200" w:lineRule="exact"/>
              <w:jc w:val="center"/>
              <w:rPr>
                <w:rFonts w:ascii="宋体" w:hAnsi="宋体" w:cs="宋体"/>
                <w:b/>
                <w:bCs/>
                <w:color w:val="auto"/>
                <w:kern w:val="0"/>
                <w:sz w:val="13"/>
                <w:szCs w:val="13"/>
                <w:highlight w:val="none"/>
              </w:rPr>
            </w:pPr>
          </w:p>
        </w:tc>
      </w:tr>
      <w:tr w14:paraId="38F90B24">
        <w:tblPrEx>
          <w:tblCellMar>
            <w:top w:w="0" w:type="dxa"/>
            <w:left w:w="108" w:type="dxa"/>
            <w:bottom w:w="0" w:type="dxa"/>
            <w:right w:w="108" w:type="dxa"/>
          </w:tblCellMar>
        </w:tblPrEx>
        <w:trPr>
          <w:trHeight w:val="73"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253F4A68">
            <w:pPr>
              <w:widowControl/>
              <w:spacing w:line="200" w:lineRule="exact"/>
              <w:jc w:val="center"/>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78A8537B">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质量管控</w:t>
            </w:r>
          </w:p>
        </w:tc>
        <w:tc>
          <w:tcPr>
            <w:tcW w:w="567" w:type="dxa"/>
            <w:tcBorders>
              <w:top w:val="nil"/>
              <w:left w:val="nil"/>
              <w:bottom w:val="single" w:color="auto" w:sz="4" w:space="0"/>
              <w:right w:val="single" w:color="auto" w:sz="4" w:space="0"/>
            </w:tcBorders>
            <w:shd w:val="clear" w:color="auto" w:fill="auto"/>
            <w:vAlign w:val="center"/>
          </w:tcPr>
          <w:p w14:paraId="5DDF6CC7">
            <w:pPr>
              <w:spacing w:line="200" w:lineRule="exact"/>
              <w:jc w:val="center"/>
              <w:rPr>
                <w:rFonts w:ascii="宋体" w:hAnsi="宋体" w:cs="宋体"/>
                <w:bCs/>
                <w:color w:val="auto"/>
                <w:kern w:val="0"/>
                <w:sz w:val="13"/>
                <w:szCs w:val="13"/>
                <w:highlight w:val="none"/>
              </w:rPr>
            </w:pPr>
            <w:r>
              <w:rPr>
                <w:rFonts w:hint="eastAsia"/>
                <w:color w:val="auto"/>
                <w:sz w:val="18"/>
                <w:szCs w:val="18"/>
                <w:highlight w:val="none"/>
              </w:rPr>
              <w:t xml:space="preserve">-20 </w:t>
            </w:r>
          </w:p>
        </w:tc>
        <w:tc>
          <w:tcPr>
            <w:tcW w:w="4440" w:type="dxa"/>
            <w:tcBorders>
              <w:top w:val="nil"/>
              <w:left w:val="nil"/>
              <w:bottom w:val="single" w:color="auto" w:sz="4" w:space="0"/>
              <w:right w:val="single" w:color="auto" w:sz="4" w:space="0"/>
            </w:tcBorders>
            <w:shd w:val="clear" w:color="auto" w:fill="auto"/>
            <w:vAlign w:val="center"/>
          </w:tcPr>
          <w:p w14:paraId="58A38DB1">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出现重大质量事故或被政府、媒体负面质量通报，酌情扣分，上限扣20分</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68D00DF8">
            <w:pPr>
              <w:widowControl/>
              <w:spacing w:line="200" w:lineRule="exact"/>
              <w:jc w:val="left"/>
              <w:rPr>
                <w:rFonts w:ascii="宋体" w:hAnsi="宋体" w:cs="宋体"/>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67FC484">
            <w:pPr>
              <w:widowControl/>
              <w:spacing w:line="200" w:lineRule="exact"/>
              <w:jc w:val="center"/>
              <w:rPr>
                <w:rFonts w:ascii="宋体" w:hAnsi="宋体" w:cs="宋体"/>
                <w:b/>
                <w:bCs/>
                <w:color w:val="auto"/>
                <w:kern w:val="0"/>
                <w:sz w:val="13"/>
                <w:szCs w:val="13"/>
                <w:highlight w:val="none"/>
              </w:rPr>
            </w:pPr>
          </w:p>
        </w:tc>
      </w:tr>
      <w:tr w14:paraId="7E5B4AE0">
        <w:tblPrEx>
          <w:tblCellMar>
            <w:top w:w="0" w:type="dxa"/>
            <w:left w:w="108" w:type="dxa"/>
            <w:bottom w:w="0" w:type="dxa"/>
            <w:right w:w="108" w:type="dxa"/>
          </w:tblCellMar>
        </w:tblPrEx>
        <w:trPr>
          <w:trHeight w:val="73"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4D3D4C1F">
            <w:pPr>
              <w:widowControl/>
              <w:spacing w:line="200" w:lineRule="exact"/>
              <w:jc w:val="center"/>
              <w:rPr>
                <w:rFonts w:ascii="宋体" w:hAnsi="宋体" w:cs="宋体"/>
                <w:b/>
                <w:bCs/>
                <w:color w:val="auto"/>
                <w:kern w:val="0"/>
                <w:sz w:val="13"/>
                <w:szCs w:val="13"/>
                <w:highlight w:val="none"/>
              </w:rPr>
            </w:pPr>
          </w:p>
        </w:tc>
        <w:tc>
          <w:tcPr>
            <w:tcW w:w="1188" w:type="dxa"/>
            <w:tcBorders>
              <w:top w:val="nil"/>
              <w:left w:val="nil"/>
              <w:bottom w:val="single" w:color="auto" w:sz="4" w:space="0"/>
              <w:right w:val="single" w:color="auto" w:sz="4" w:space="0"/>
            </w:tcBorders>
            <w:shd w:val="clear" w:color="auto" w:fill="auto"/>
            <w:vAlign w:val="center"/>
          </w:tcPr>
          <w:p w14:paraId="096A3186">
            <w:pPr>
              <w:widowControl/>
              <w:spacing w:line="200" w:lineRule="exact"/>
              <w:jc w:val="left"/>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安全生产</w:t>
            </w:r>
          </w:p>
        </w:tc>
        <w:tc>
          <w:tcPr>
            <w:tcW w:w="567" w:type="dxa"/>
            <w:tcBorders>
              <w:top w:val="nil"/>
              <w:left w:val="nil"/>
              <w:bottom w:val="single" w:color="auto" w:sz="4" w:space="0"/>
              <w:right w:val="single" w:color="auto" w:sz="4" w:space="0"/>
            </w:tcBorders>
            <w:shd w:val="clear" w:color="auto" w:fill="auto"/>
            <w:vAlign w:val="center"/>
          </w:tcPr>
          <w:p w14:paraId="233E1E8E">
            <w:pPr>
              <w:spacing w:line="200" w:lineRule="exact"/>
              <w:jc w:val="center"/>
              <w:rPr>
                <w:rFonts w:ascii="宋体" w:hAnsi="宋体" w:cs="宋体"/>
                <w:bCs/>
                <w:color w:val="auto"/>
                <w:kern w:val="0"/>
                <w:sz w:val="13"/>
                <w:szCs w:val="13"/>
                <w:highlight w:val="none"/>
              </w:rPr>
            </w:pPr>
            <w:r>
              <w:rPr>
                <w:rFonts w:hint="eastAsia"/>
                <w:color w:val="auto"/>
                <w:sz w:val="18"/>
                <w:szCs w:val="18"/>
                <w:highlight w:val="none"/>
              </w:rPr>
              <w:t xml:space="preserve">-20 </w:t>
            </w:r>
          </w:p>
        </w:tc>
        <w:tc>
          <w:tcPr>
            <w:tcW w:w="4440" w:type="dxa"/>
            <w:tcBorders>
              <w:top w:val="nil"/>
              <w:left w:val="nil"/>
              <w:bottom w:val="single" w:color="auto" w:sz="4" w:space="0"/>
              <w:right w:val="single" w:color="auto" w:sz="4" w:space="0"/>
            </w:tcBorders>
            <w:shd w:val="clear" w:color="auto" w:fill="auto"/>
            <w:vAlign w:val="center"/>
          </w:tcPr>
          <w:p w14:paraId="54E248FD">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•现场因安全生产或事故等原因被</w:t>
            </w:r>
            <w:r>
              <w:rPr>
                <w:rFonts w:hint="eastAsia" w:ascii="宋体" w:hAnsi="宋体" w:cs="宋体"/>
                <w:color w:val="auto"/>
                <w:kern w:val="0"/>
                <w:sz w:val="13"/>
                <w:szCs w:val="13"/>
                <w:highlight w:val="none"/>
                <w:lang w:eastAsia="zh-CN"/>
              </w:rPr>
              <w:t>责令</w:t>
            </w:r>
            <w:r>
              <w:rPr>
                <w:rFonts w:hint="eastAsia" w:ascii="宋体" w:hAnsi="宋体" w:cs="宋体"/>
                <w:color w:val="auto"/>
                <w:kern w:val="0"/>
                <w:sz w:val="13"/>
                <w:szCs w:val="13"/>
                <w:highlight w:val="none"/>
              </w:rPr>
              <w:t xml:space="preserve">停工整改的；酌情扣分，上限扣20分                                           </w:t>
            </w:r>
          </w:p>
          <w:p w14:paraId="0F956DBC">
            <w:pPr>
              <w:spacing w:line="180" w:lineRule="exact"/>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•当期出现伤亡事故的，酌情扣分，上限20分</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318CE96D">
            <w:pPr>
              <w:widowControl/>
              <w:spacing w:line="200" w:lineRule="exact"/>
              <w:jc w:val="left"/>
              <w:rPr>
                <w:rFonts w:ascii="宋体" w:hAnsi="宋体" w:cs="宋体"/>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4540C665">
            <w:pPr>
              <w:widowControl/>
              <w:spacing w:line="200" w:lineRule="exact"/>
              <w:jc w:val="center"/>
              <w:rPr>
                <w:rFonts w:ascii="宋体" w:hAnsi="宋体" w:cs="宋体"/>
                <w:b/>
                <w:bCs/>
                <w:color w:val="auto"/>
                <w:kern w:val="0"/>
                <w:sz w:val="13"/>
                <w:szCs w:val="13"/>
                <w:highlight w:val="none"/>
              </w:rPr>
            </w:pPr>
          </w:p>
        </w:tc>
      </w:tr>
      <w:tr w14:paraId="259DCDFD">
        <w:tblPrEx>
          <w:tblCellMar>
            <w:top w:w="0" w:type="dxa"/>
            <w:left w:w="108" w:type="dxa"/>
            <w:bottom w:w="0" w:type="dxa"/>
            <w:right w:w="108" w:type="dxa"/>
          </w:tblCellMar>
        </w:tblPrEx>
        <w:trPr>
          <w:trHeight w:val="385" w:hRule="atLeast"/>
          <w:jc w:val="center"/>
        </w:trPr>
        <w:tc>
          <w:tcPr>
            <w:tcW w:w="17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262690">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合计（最终得分）</w:t>
            </w:r>
          </w:p>
        </w:tc>
        <w:tc>
          <w:tcPr>
            <w:tcW w:w="567" w:type="dxa"/>
            <w:tcBorders>
              <w:top w:val="nil"/>
              <w:left w:val="nil"/>
              <w:bottom w:val="single" w:color="auto" w:sz="4" w:space="0"/>
              <w:right w:val="single" w:color="auto" w:sz="4" w:space="0"/>
            </w:tcBorders>
            <w:shd w:val="clear" w:color="auto" w:fill="auto"/>
            <w:vAlign w:val="center"/>
          </w:tcPr>
          <w:p w14:paraId="24D616CD">
            <w:pPr>
              <w:widowControl/>
              <w:spacing w:line="200" w:lineRule="exact"/>
              <w:jc w:val="left"/>
              <w:rPr>
                <w:rFonts w:ascii="宋体" w:hAnsi="宋体" w:cs="宋体"/>
                <w:b/>
                <w:bCs/>
                <w:color w:val="auto"/>
                <w:kern w:val="0"/>
                <w:sz w:val="13"/>
                <w:szCs w:val="13"/>
                <w:highlight w:val="none"/>
              </w:rPr>
            </w:pPr>
          </w:p>
        </w:tc>
        <w:tc>
          <w:tcPr>
            <w:tcW w:w="4440" w:type="dxa"/>
            <w:tcBorders>
              <w:top w:val="nil"/>
              <w:left w:val="nil"/>
              <w:bottom w:val="single" w:color="auto" w:sz="4" w:space="0"/>
              <w:right w:val="single" w:color="auto" w:sz="4" w:space="0"/>
            </w:tcBorders>
            <w:shd w:val="clear" w:color="auto" w:fill="auto"/>
            <w:vAlign w:val="center"/>
          </w:tcPr>
          <w:p w14:paraId="4F4D2AB1">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最终得分满分1</w:t>
            </w:r>
            <w:r>
              <w:rPr>
                <w:rFonts w:ascii="宋体" w:hAnsi="宋体" w:cs="宋体"/>
                <w:b/>
                <w:bCs/>
                <w:color w:val="auto"/>
                <w:kern w:val="0"/>
                <w:sz w:val="13"/>
                <w:szCs w:val="13"/>
                <w:highlight w:val="none"/>
              </w:rPr>
              <w:t>00</w:t>
            </w:r>
            <w:r>
              <w:rPr>
                <w:rFonts w:hint="eastAsia" w:ascii="宋体" w:hAnsi="宋体" w:cs="宋体"/>
                <w:b/>
                <w:bCs/>
                <w:color w:val="auto"/>
                <w:kern w:val="0"/>
                <w:sz w:val="13"/>
                <w:szCs w:val="13"/>
                <w:highlight w:val="none"/>
              </w:rPr>
              <w:t>分</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4AE9FFCF">
            <w:pPr>
              <w:widowControl/>
              <w:spacing w:line="200" w:lineRule="exact"/>
              <w:jc w:val="center"/>
              <w:rPr>
                <w:rFonts w:ascii="宋体" w:hAnsi="宋体" w:cs="宋体"/>
                <w:b/>
                <w:bCs/>
                <w:color w:val="auto"/>
                <w:kern w:val="0"/>
                <w:sz w:val="13"/>
                <w:szCs w:val="13"/>
                <w:highlight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EE3FD3D">
            <w:pPr>
              <w:widowControl/>
              <w:spacing w:line="200" w:lineRule="exact"/>
              <w:jc w:val="center"/>
              <w:rPr>
                <w:rFonts w:ascii="宋体" w:hAnsi="宋体" w:cs="宋体"/>
                <w:b/>
                <w:bCs/>
                <w:color w:val="auto"/>
                <w:kern w:val="0"/>
                <w:sz w:val="13"/>
                <w:szCs w:val="13"/>
                <w:highlight w:val="none"/>
              </w:rPr>
            </w:pPr>
          </w:p>
        </w:tc>
      </w:tr>
      <w:tr w14:paraId="4964DF06">
        <w:tblPrEx>
          <w:tblCellMar>
            <w:top w:w="0" w:type="dxa"/>
            <w:left w:w="108" w:type="dxa"/>
            <w:bottom w:w="0" w:type="dxa"/>
            <w:right w:w="108" w:type="dxa"/>
          </w:tblCellMar>
        </w:tblPrEx>
        <w:trPr>
          <w:trHeight w:val="535" w:hRule="atLeast"/>
          <w:jc w:val="center"/>
        </w:trPr>
        <w:tc>
          <w:tcPr>
            <w:tcW w:w="2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0AD3B4">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甲方履约评价结果确认（签字）</w:t>
            </w:r>
          </w:p>
        </w:tc>
        <w:tc>
          <w:tcPr>
            <w:tcW w:w="7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C1B718">
            <w:pPr>
              <w:widowControl/>
              <w:spacing w:line="200" w:lineRule="exact"/>
              <w:jc w:val="left"/>
              <w:rPr>
                <w:rFonts w:ascii="宋体" w:hAnsi="宋体" w:cs="宋体"/>
                <w:b/>
                <w:bCs/>
                <w:color w:val="auto"/>
                <w:kern w:val="0"/>
                <w:sz w:val="13"/>
                <w:szCs w:val="13"/>
                <w:highlight w:val="none"/>
              </w:rPr>
            </w:pPr>
          </w:p>
        </w:tc>
      </w:tr>
      <w:tr w14:paraId="44A84825">
        <w:tblPrEx>
          <w:tblCellMar>
            <w:top w:w="0" w:type="dxa"/>
            <w:left w:w="108" w:type="dxa"/>
            <w:bottom w:w="0" w:type="dxa"/>
            <w:right w:w="108" w:type="dxa"/>
          </w:tblCellMar>
        </w:tblPrEx>
        <w:trPr>
          <w:trHeight w:val="213" w:hRule="atLeast"/>
          <w:jc w:val="center"/>
        </w:trPr>
        <w:tc>
          <w:tcPr>
            <w:tcW w:w="610" w:type="dxa"/>
            <w:tcBorders>
              <w:top w:val="single" w:color="auto" w:sz="4" w:space="0"/>
              <w:left w:val="nil"/>
              <w:bottom w:val="nil"/>
              <w:right w:val="nil"/>
            </w:tcBorders>
            <w:shd w:val="clear" w:color="auto" w:fill="auto"/>
            <w:noWrap/>
          </w:tcPr>
          <w:p w14:paraId="2A0ACA9B">
            <w:pPr>
              <w:widowControl/>
              <w:spacing w:line="200" w:lineRule="exact"/>
              <w:jc w:val="left"/>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说明</w:t>
            </w:r>
          </w:p>
        </w:tc>
        <w:tc>
          <w:tcPr>
            <w:tcW w:w="9029" w:type="dxa"/>
            <w:gridSpan w:val="5"/>
            <w:tcBorders>
              <w:top w:val="single" w:color="auto" w:sz="4" w:space="0"/>
              <w:left w:val="nil"/>
              <w:bottom w:val="nil"/>
              <w:right w:val="nil"/>
            </w:tcBorders>
            <w:shd w:val="clear" w:color="auto" w:fill="auto"/>
            <w:noWrap/>
            <w:vAlign w:val="center"/>
          </w:tcPr>
          <w:p w14:paraId="0508928A">
            <w:pPr>
              <w:pStyle w:val="21"/>
              <w:widowControl/>
              <w:numPr>
                <w:ilvl w:val="0"/>
                <w:numId w:val="2"/>
              </w:numPr>
              <w:spacing w:line="200" w:lineRule="exact"/>
              <w:ind w:firstLineChars="0"/>
              <w:rPr>
                <w:rFonts w:ascii="宋体" w:hAnsi="宋体" w:cs="宋体"/>
                <w:color w:val="auto"/>
                <w:kern w:val="0"/>
                <w:sz w:val="13"/>
                <w:szCs w:val="13"/>
                <w:highlight w:val="none"/>
              </w:rPr>
            </w:pPr>
            <w:r>
              <w:rPr>
                <w:rFonts w:hint="eastAsia" w:ascii="宋体" w:hAnsi="宋体" w:cs="宋体"/>
                <w:color w:val="auto"/>
                <w:kern w:val="0"/>
                <w:sz w:val="13"/>
                <w:szCs w:val="13"/>
                <w:highlight w:val="none"/>
              </w:rPr>
              <w:t>不合格【</w:t>
            </w:r>
            <w:r>
              <w:rPr>
                <w:rFonts w:ascii="宋体" w:hAnsi="宋体" w:cs="宋体"/>
                <w:color w:val="auto"/>
                <w:kern w:val="0"/>
                <w:sz w:val="13"/>
                <w:szCs w:val="13"/>
                <w:highlight w:val="none"/>
              </w:rPr>
              <w:t>7</w:t>
            </w:r>
            <w:r>
              <w:rPr>
                <w:rFonts w:hint="eastAsia" w:ascii="宋体" w:hAnsi="宋体" w:cs="宋体"/>
                <w:color w:val="auto"/>
                <w:kern w:val="0"/>
                <w:sz w:val="13"/>
                <w:szCs w:val="13"/>
                <w:highlight w:val="none"/>
              </w:rPr>
              <w:t>0分以下】；良好【</w:t>
            </w:r>
            <w:r>
              <w:rPr>
                <w:rFonts w:ascii="宋体" w:hAnsi="宋体" w:cs="宋体"/>
                <w:color w:val="auto"/>
                <w:kern w:val="0"/>
                <w:sz w:val="13"/>
                <w:szCs w:val="13"/>
                <w:highlight w:val="none"/>
              </w:rPr>
              <w:t>70</w:t>
            </w:r>
            <w:r>
              <w:rPr>
                <w:rFonts w:hint="eastAsia" w:ascii="宋体" w:hAnsi="宋体" w:cs="宋体"/>
                <w:color w:val="auto"/>
                <w:kern w:val="0"/>
                <w:sz w:val="13"/>
                <w:szCs w:val="13"/>
                <w:highlight w:val="none"/>
              </w:rPr>
              <w:t>分-100分】；</w:t>
            </w:r>
            <w:r>
              <w:rPr>
                <w:rFonts w:ascii="宋体" w:hAnsi="宋体" w:cs="宋体"/>
                <w:color w:val="auto"/>
                <w:kern w:val="0"/>
                <w:sz w:val="13"/>
                <w:szCs w:val="13"/>
                <w:highlight w:val="none"/>
              </w:rPr>
              <w:t xml:space="preserve"> </w:t>
            </w:r>
          </w:p>
          <w:p w14:paraId="0329CDC1">
            <w:pPr>
              <w:pStyle w:val="21"/>
              <w:widowControl/>
              <w:numPr>
                <w:ilvl w:val="0"/>
                <w:numId w:val="2"/>
              </w:numPr>
              <w:spacing w:line="200" w:lineRule="exact"/>
              <w:ind w:firstLineChars="0"/>
              <w:rPr>
                <w:rFonts w:eastAsiaTheme="minorEastAsia"/>
                <w:color w:val="auto"/>
                <w:kern w:val="0"/>
                <w:sz w:val="13"/>
                <w:szCs w:val="13"/>
                <w:highlight w:val="none"/>
              </w:rPr>
            </w:pPr>
            <w:r>
              <w:rPr>
                <w:rFonts w:hint="eastAsia" w:ascii="宋体" w:hAnsi="宋体" w:cs="宋体"/>
                <w:color w:val="auto"/>
                <w:kern w:val="0"/>
                <w:sz w:val="13"/>
                <w:szCs w:val="13"/>
                <w:highlight w:val="none"/>
              </w:rPr>
              <w:t>履约评价【70分以下】为履约服务差，合同付款将扣除相应货款的</w:t>
            </w:r>
            <w:r>
              <w:rPr>
                <w:rFonts w:ascii="宋体" w:hAnsi="宋体" w:cs="宋体"/>
                <w:color w:val="auto"/>
                <w:kern w:val="0"/>
                <w:sz w:val="13"/>
                <w:szCs w:val="13"/>
                <w:highlight w:val="none"/>
              </w:rPr>
              <w:t>5%</w:t>
            </w:r>
            <w:r>
              <w:rPr>
                <w:rFonts w:hint="eastAsia" w:ascii="宋体" w:hAnsi="宋体" w:cs="宋体"/>
                <w:color w:val="auto"/>
                <w:kern w:val="0"/>
                <w:sz w:val="13"/>
                <w:szCs w:val="13"/>
                <w:highlight w:val="none"/>
              </w:rPr>
              <w:t>作为履约违约金不再支付；</w:t>
            </w:r>
            <w:r>
              <w:rPr>
                <w:rFonts w:eastAsiaTheme="minorEastAsia"/>
                <w:color w:val="auto"/>
                <w:kern w:val="0"/>
                <w:sz w:val="13"/>
                <w:szCs w:val="13"/>
                <w:highlight w:val="none"/>
              </w:rPr>
              <w:t xml:space="preserve"> </w:t>
            </w:r>
          </w:p>
          <w:p w14:paraId="43AE7DCA">
            <w:pPr>
              <w:pStyle w:val="21"/>
              <w:widowControl/>
              <w:numPr>
                <w:ilvl w:val="0"/>
                <w:numId w:val="2"/>
              </w:numPr>
              <w:spacing w:line="200" w:lineRule="exact"/>
              <w:ind w:firstLineChars="0"/>
              <w:rPr>
                <w:rFonts w:eastAsiaTheme="minorEastAsia"/>
                <w:color w:val="auto"/>
                <w:kern w:val="0"/>
                <w:sz w:val="13"/>
                <w:szCs w:val="13"/>
                <w:highlight w:val="none"/>
              </w:rPr>
            </w:pPr>
            <w:r>
              <w:rPr>
                <w:rFonts w:hint="eastAsia" w:ascii="宋体" w:hAnsi="宋体" w:cs="宋体"/>
                <w:color w:val="auto"/>
                <w:kern w:val="0"/>
                <w:sz w:val="13"/>
                <w:szCs w:val="13"/>
                <w:highlight w:val="none"/>
              </w:rPr>
              <w:t>履约评价【60分以下】为履约服务较差，合同付款将扣除相应货款的</w:t>
            </w:r>
            <w:r>
              <w:rPr>
                <w:rFonts w:ascii="宋体" w:hAnsi="宋体" w:cs="宋体"/>
                <w:color w:val="auto"/>
                <w:kern w:val="0"/>
                <w:sz w:val="13"/>
                <w:szCs w:val="13"/>
                <w:highlight w:val="none"/>
              </w:rPr>
              <w:t>10%</w:t>
            </w:r>
            <w:r>
              <w:rPr>
                <w:rFonts w:hint="eastAsia" w:ascii="宋体" w:hAnsi="宋体" w:cs="宋体"/>
                <w:color w:val="auto"/>
                <w:kern w:val="0"/>
                <w:sz w:val="13"/>
                <w:szCs w:val="13"/>
                <w:highlight w:val="none"/>
              </w:rPr>
              <w:t>作为履约违约金不再支付；</w:t>
            </w:r>
          </w:p>
          <w:p w14:paraId="7823ED25">
            <w:pPr>
              <w:pStyle w:val="21"/>
              <w:widowControl/>
              <w:numPr>
                <w:ilvl w:val="0"/>
                <w:numId w:val="2"/>
              </w:numPr>
              <w:spacing w:line="200" w:lineRule="exact"/>
              <w:ind w:firstLineChars="0"/>
              <w:rPr>
                <w:rFonts w:eastAsiaTheme="minorEastAsia"/>
                <w:color w:val="auto"/>
                <w:kern w:val="0"/>
                <w:sz w:val="13"/>
                <w:szCs w:val="13"/>
                <w:highlight w:val="none"/>
              </w:rPr>
            </w:pPr>
            <w:r>
              <w:rPr>
                <w:rFonts w:hint="eastAsia" w:ascii="宋体" w:hAnsi="宋体" w:cs="宋体"/>
                <w:color w:val="auto"/>
                <w:kern w:val="0"/>
                <w:sz w:val="13"/>
                <w:szCs w:val="13"/>
                <w:highlight w:val="none"/>
              </w:rPr>
              <w:t>如不满足验收条件，需要整改后重新评价；</w:t>
            </w:r>
          </w:p>
          <w:p w14:paraId="66215A82">
            <w:pPr>
              <w:pStyle w:val="21"/>
              <w:widowControl/>
              <w:numPr>
                <w:ilvl w:val="0"/>
                <w:numId w:val="2"/>
              </w:numPr>
              <w:spacing w:line="200" w:lineRule="exact"/>
              <w:ind w:firstLineChars="0"/>
              <w:rPr>
                <w:rFonts w:eastAsiaTheme="minorEastAsia"/>
                <w:color w:val="auto"/>
                <w:kern w:val="0"/>
                <w:sz w:val="13"/>
                <w:szCs w:val="13"/>
                <w:highlight w:val="none"/>
              </w:rPr>
            </w:pPr>
            <w:r>
              <w:rPr>
                <w:rFonts w:hint="eastAsia" w:ascii="宋体" w:hAnsi="宋体" w:cs="宋体"/>
                <w:color w:val="auto"/>
                <w:kern w:val="0"/>
                <w:sz w:val="13"/>
                <w:szCs w:val="13"/>
                <w:highlight w:val="none"/>
              </w:rPr>
              <w:t>如相关内容可整改并重新评价，以最终评价得分为付款依据；</w:t>
            </w:r>
          </w:p>
          <w:p w14:paraId="26DAEE3C">
            <w:pPr>
              <w:pStyle w:val="21"/>
              <w:widowControl/>
              <w:numPr>
                <w:ilvl w:val="0"/>
                <w:numId w:val="2"/>
              </w:numPr>
              <w:spacing w:line="200" w:lineRule="exact"/>
              <w:ind w:firstLineChars="0"/>
              <w:rPr>
                <w:rFonts w:eastAsiaTheme="minorEastAsia"/>
                <w:color w:val="auto"/>
                <w:kern w:val="0"/>
                <w:sz w:val="13"/>
                <w:szCs w:val="13"/>
                <w:highlight w:val="none"/>
              </w:rPr>
            </w:pPr>
            <w:r>
              <w:rPr>
                <w:rFonts w:hint="eastAsia" w:eastAsiaTheme="minorEastAsia"/>
                <w:color w:val="auto"/>
                <w:kern w:val="0"/>
                <w:sz w:val="13"/>
                <w:szCs w:val="13"/>
                <w:highlight w:val="none"/>
              </w:rPr>
              <w:t>甲方履约评价结果确认由实际需求部门负责签字。</w:t>
            </w:r>
          </w:p>
        </w:tc>
      </w:tr>
    </w:tbl>
    <w:p w14:paraId="0DB77510">
      <w:pPr>
        <w:rPr>
          <w:color w:val="auto"/>
          <w:highlight w:val="none"/>
        </w:rPr>
      </w:pPr>
      <w:bookmarkStart w:id="4" w:name="RANGE!A1:K21"/>
      <w:r>
        <w:rPr>
          <w:color w:val="auto"/>
          <w:highlight w:val="none"/>
        </w:rPr>
        <w:br w:type="page"/>
      </w:r>
    </w:p>
    <w:tbl>
      <w:tblPr>
        <w:tblStyle w:val="10"/>
        <w:tblW w:w="9639" w:type="dxa"/>
        <w:jc w:val="center"/>
        <w:tblLayout w:type="autofit"/>
        <w:tblCellMar>
          <w:top w:w="0" w:type="dxa"/>
          <w:left w:w="108" w:type="dxa"/>
          <w:bottom w:w="0" w:type="dxa"/>
          <w:right w:w="108" w:type="dxa"/>
        </w:tblCellMar>
      </w:tblPr>
      <w:tblGrid>
        <w:gridCol w:w="521"/>
        <w:gridCol w:w="1277"/>
        <w:gridCol w:w="145"/>
        <w:gridCol w:w="1981"/>
        <w:gridCol w:w="567"/>
        <w:gridCol w:w="571"/>
        <w:gridCol w:w="1656"/>
        <w:gridCol w:w="47"/>
        <w:gridCol w:w="1274"/>
        <w:gridCol w:w="1600"/>
      </w:tblGrid>
      <w:tr w14:paraId="4108A559">
        <w:tblPrEx>
          <w:tblCellMar>
            <w:top w:w="0" w:type="dxa"/>
            <w:left w:w="108" w:type="dxa"/>
            <w:bottom w:w="0" w:type="dxa"/>
            <w:right w:w="108" w:type="dxa"/>
          </w:tblCellMar>
        </w:tblPrEx>
        <w:trPr>
          <w:trHeight w:val="499" w:hRule="atLeast"/>
          <w:jc w:val="center"/>
        </w:trPr>
        <w:tc>
          <w:tcPr>
            <w:tcW w:w="9639" w:type="dxa"/>
            <w:gridSpan w:val="10"/>
            <w:tcBorders>
              <w:top w:val="nil"/>
              <w:left w:val="nil"/>
              <w:bottom w:val="single" w:color="auto" w:sz="4" w:space="0"/>
              <w:right w:val="nil"/>
            </w:tcBorders>
            <w:shd w:val="clear" w:color="auto" w:fill="auto"/>
            <w:vAlign w:val="center"/>
          </w:tcPr>
          <w:p w14:paraId="69602798">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附件二</w:t>
            </w:r>
          </w:p>
          <w:p w14:paraId="34E542A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香港城市大学（东莞）工程类采购项目联合验收表</w:t>
            </w:r>
            <w:bookmarkEnd w:id="4"/>
          </w:p>
        </w:tc>
      </w:tr>
      <w:tr w14:paraId="164B3907">
        <w:tblPrEx>
          <w:tblCellMar>
            <w:top w:w="0" w:type="dxa"/>
            <w:left w:w="108" w:type="dxa"/>
            <w:bottom w:w="0" w:type="dxa"/>
            <w:right w:w="108" w:type="dxa"/>
          </w:tblCellMar>
        </w:tblPrEx>
        <w:trPr>
          <w:trHeight w:val="425" w:hRule="atLeast"/>
          <w:jc w:val="center"/>
        </w:trPr>
        <w:tc>
          <w:tcPr>
            <w:tcW w:w="19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3740C1">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项目名称</w:t>
            </w:r>
          </w:p>
        </w:tc>
        <w:tc>
          <w:tcPr>
            <w:tcW w:w="48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4BA6616">
            <w:pPr>
              <w:widowControl/>
              <w:spacing w:line="200" w:lineRule="exact"/>
              <w:jc w:val="center"/>
              <w:rPr>
                <w:rFonts w:ascii="宋体" w:hAnsi="宋体" w:cs="宋体"/>
                <w:color w:val="auto"/>
                <w:kern w:val="0"/>
                <w:sz w:val="13"/>
                <w:szCs w:val="13"/>
                <w:highlight w:val="none"/>
              </w:rPr>
            </w:pPr>
          </w:p>
        </w:tc>
        <w:tc>
          <w:tcPr>
            <w:tcW w:w="1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224AE">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项目编号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4547F0A1">
            <w:pPr>
              <w:widowControl/>
              <w:spacing w:line="200" w:lineRule="exact"/>
              <w:jc w:val="left"/>
              <w:rPr>
                <w:rFonts w:ascii="宋体" w:hAnsi="宋体" w:cs="宋体"/>
                <w:color w:val="auto"/>
                <w:kern w:val="0"/>
                <w:sz w:val="13"/>
                <w:szCs w:val="13"/>
                <w:highlight w:val="none"/>
              </w:rPr>
            </w:pPr>
          </w:p>
        </w:tc>
      </w:tr>
      <w:tr w14:paraId="03796FB4">
        <w:tblPrEx>
          <w:tblCellMar>
            <w:top w:w="0" w:type="dxa"/>
            <w:left w:w="108" w:type="dxa"/>
            <w:bottom w:w="0" w:type="dxa"/>
            <w:right w:w="108" w:type="dxa"/>
          </w:tblCellMar>
        </w:tblPrEx>
        <w:trPr>
          <w:trHeight w:val="404" w:hRule="atLeast"/>
          <w:jc w:val="center"/>
        </w:trPr>
        <w:tc>
          <w:tcPr>
            <w:tcW w:w="194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2AEBE1">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乙方（盖章）</w:t>
            </w:r>
          </w:p>
        </w:tc>
        <w:tc>
          <w:tcPr>
            <w:tcW w:w="4822"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4020C3">
            <w:pPr>
              <w:widowControl/>
              <w:spacing w:line="200" w:lineRule="exact"/>
              <w:jc w:val="center"/>
              <w:rPr>
                <w:rFonts w:ascii="宋体" w:hAnsi="宋体" w:cs="宋体"/>
                <w:color w:val="auto"/>
                <w:kern w:val="0"/>
                <w:sz w:val="13"/>
                <w:szCs w:val="13"/>
                <w:highlight w:val="none"/>
              </w:rPr>
            </w:pPr>
          </w:p>
        </w:tc>
        <w:tc>
          <w:tcPr>
            <w:tcW w:w="1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4E833">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合同金额</w:t>
            </w:r>
            <w:r>
              <w:rPr>
                <w:rFonts w:hint="eastAsia" w:ascii="宋体" w:hAnsi="宋体" w:cs="宋体"/>
                <w:b/>
                <w:bCs/>
                <w:color w:val="auto"/>
                <w:kern w:val="0"/>
                <w:sz w:val="13"/>
                <w:szCs w:val="13"/>
                <w:highlight w:val="none"/>
                <w:lang w:eastAsia="zh-CN"/>
              </w:rPr>
              <w:t>（</w:t>
            </w:r>
            <w:r>
              <w:rPr>
                <w:rFonts w:hint="eastAsia" w:ascii="宋体" w:hAnsi="宋体" w:cs="宋体"/>
                <w:b/>
                <w:bCs/>
                <w:color w:val="auto"/>
                <w:kern w:val="0"/>
                <w:sz w:val="13"/>
                <w:szCs w:val="13"/>
                <w:highlight w:val="none"/>
              </w:rPr>
              <w:t>元</w:t>
            </w:r>
            <w:r>
              <w:rPr>
                <w:rFonts w:hint="eastAsia" w:ascii="宋体" w:hAnsi="宋体" w:cs="宋体"/>
                <w:b/>
                <w:bCs/>
                <w:color w:val="auto"/>
                <w:kern w:val="0"/>
                <w:sz w:val="13"/>
                <w:szCs w:val="13"/>
                <w:highlight w:val="none"/>
                <w:lang w:eastAsia="zh-CN"/>
              </w:rPr>
              <w:t>）</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4BA49">
            <w:pPr>
              <w:widowControl/>
              <w:spacing w:line="200" w:lineRule="exact"/>
              <w:jc w:val="left"/>
              <w:rPr>
                <w:rFonts w:ascii="宋体" w:hAnsi="宋体" w:cs="宋体"/>
                <w:color w:val="auto"/>
                <w:kern w:val="0"/>
                <w:sz w:val="13"/>
                <w:szCs w:val="13"/>
                <w:highlight w:val="none"/>
              </w:rPr>
            </w:pPr>
          </w:p>
        </w:tc>
      </w:tr>
      <w:tr w14:paraId="1FBA5C4D">
        <w:tblPrEx>
          <w:tblCellMar>
            <w:top w:w="0" w:type="dxa"/>
            <w:left w:w="108" w:type="dxa"/>
            <w:bottom w:w="0" w:type="dxa"/>
            <w:right w:w="108" w:type="dxa"/>
          </w:tblCellMar>
        </w:tblPrEx>
        <w:trPr>
          <w:trHeight w:val="409" w:hRule="atLeast"/>
          <w:jc w:val="center"/>
        </w:trPr>
        <w:tc>
          <w:tcPr>
            <w:tcW w:w="1943" w:type="dxa"/>
            <w:gridSpan w:val="3"/>
            <w:vMerge w:val="continue"/>
            <w:tcBorders>
              <w:top w:val="single" w:color="auto" w:sz="4" w:space="0"/>
              <w:left w:val="single" w:color="auto" w:sz="4" w:space="0"/>
              <w:bottom w:val="single" w:color="auto" w:sz="4" w:space="0"/>
              <w:right w:val="single" w:color="auto" w:sz="4" w:space="0"/>
            </w:tcBorders>
            <w:vAlign w:val="center"/>
          </w:tcPr>
          <w:p w14:paraId="535040E4">
            <w:pPr>
              <w:widowControl/>
              <w:spacing w:line="200" w:lineRule="exact"/>
              <w:jc w:val="left"/>
              <w:rPr>
                <w:rFonts w:ascii="宋体" w:hAnsi="宋体" w:cs="宋体"/>
                <w:b/>
                <w:bCs/>
                <w:color w:val="auto"/>
                <w:kern w:val="0"/>
                <w:sz w:val="13"/>
                <w:szCs w:val="13"/>
                <w:highlight w:val="none"/>
              </w:rPr>
            </w:pPr>
          </w:p>
        </w:tc>
        <w:tc>
          <w:tcPr>
            <w:tcW w:w="4822" w:type="dxa"/>
            <w:gridSpan w:val="5"/>
            <w:vMerge w:val="continue"/>
            <w:tcBorders>
              <w:top w:val="single" w:color="auto" w:sz="4" w:space="0"/>
              <w:left w:val="single" w:color="auto" w:sz="4" w:space="0"/>
              <w:bottom w:val="single" w:color="auto" w:sz="4" w:space="0"/>
              <w:right w:val="single" w:color="auto" w:sz="4" w:space="0"/>
            </w:tcBorders>
            <w:vAlign w:val="center"/>
          </w:tcPr>
          <w:p w14:paraId="1C29CF31">
            <w:pPr>
              <w:widowControl/>
              <w:spacing w:line="200" w:lineRule="exact"/>
              <w:jc w:val="left"/>
              <w:rPr>
                <w:rFonts w:ascii="宋体" w:hAnsi="宋体" w:cs="宋体"/>
                <w:color w:val="auto"/>
                <w:kern w:val="0"/>
                <w:sz w:val="13"/>
                <w:szCs w:val="13"/>
                <w:highlight w:val="none"/>
              </w:rPr>
            </w:pPr>
          </w:p>
        </w:tc>
        <w:tc>
          <w:tcPr>
            <w:tcW w:w="1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ABB2D">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本次验收金额（元）</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29909">
            <w:pPr>
              <w:widowControl/>
              <w:spacing w:line="200" w:lineRule="exact"/>
              <w:jc w:val="left"/>
              <w:rPr>
                <w:rFonts w:ascii="宋体" w:hAnsi="宋体" w:cs="宋体"/>
                <w:color w:val="auto"/>
                <w:kern w:val="0"/>
                <w:sz w:val="13"/>
                <w:szCs w:val="13"/>
                <w:highlight w:val="none"/>
              </w:rPr>
            </w:pPr>
          </w:p>
        </w:tc>
      </w:tr>
      <w:tr w14:paraId="21415F1E">
        <w:tblPrEx>
          <w:tblCellMar>
            <w:top w:w="0" w:type="dxa"/>
            <w:left w:w="108" w:type="dxa"/>
            <w:bottom w:w="0" w:type="dxa"/>
            <w:right w:w="108" w:type="dxa"/>
          </w:tblCellMar>
        </w:tblPrEx>
        <w:trPr>
          <w:trHeight w:val="81" w:hRule="atLeast"/>
          <w:jc w:val="center"/>
        </w:trPr>
        <w:tc>
          <w:tcPr>
            <w:tcW w:w="19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700B49">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乙方自检情况</w:t>
            </w:r>
          </w:p>
        </w:tc>
        <w:tc>
          <w:tcPr>
            <w:tcW w:w="4822" w:type="dxa"/>
            <w:gridSpan w:val="5"/>
            <w:tcBorders>
              <w:top w:val="single" w:color="auto" w:sz="4" w:space="0"/>
              <w:left w:val="nil"/>
              <w:bottom w:val="single" w:color="auto" w:sz="4" w:space="0"/>
              <w:right w:val="single" w:color="auto" w:sz="4" w:space="0"/>
            </w:tcBorders>
            <w:shd w:val="clear" w:color="auto" w:fill="auto"/>
            <w:vAlign w:val="center"/>
          </w:tcPr>
          <w:p w14:paraId="3EB007C6">
            <w:pPr>
              <w:widowControl/>
              <w:spacing w:line="200" w:lineRule="exact"/>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按合同清单完成</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框架协议，按批次实际清单完成</w:t>
            </w:r>
            <w:r>
              <w:rPr>
                <w:rFonts w:ascii="Wingdings 2" w:hAnsi="Wingdings 2" w:cs="宋体"/>
                <w:color w:val="auto"/>
                <w:kern w:val="0"/>
                <w:sz w:val="13"/>
                <w:szCs w:val="13"/>
                <w:highlight w:val="none"/>
              </w:rPr>
              <w:t></w:t>
            </w:r>
          </w:p>
          <w:p w14:paraId="6148AECB">
            <w:pPr>
              <w:widowControl/>
              <w:spacing w:line="200" w:lineRule="exact"/>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未按合同清单完成，未完成部分费用核减</w:t>
            </w:r>
          </w:p>
        </w:tc>
        <w:tc>
          <w:tcPr>
            <w:tcW w:w="1274" w:type="dxa"/>
            <w:tcBorders>
              <w:top w:val="single" w:color="auto" w:sz="4" w:space="0"/>
              <w:left w:val="nil"/>
              <w:bottom w:val="single" w:color="auto" w:sz="4" w:space="0"/>
              <w:right w:val="single" w:color="auto" w:sz="4" w:space="0"/>
            </w:tcBorders>
            <w:shd w:val="clear" w:color="auto" w:fill="auto"/>
            <w:vAlign w:val="center"/>
          </w:tcPr>
          <w:p w14:paraId="7C840D95">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乙方签字</w:t>
            </w:r>
          </w:p>
        </w:tc>
        <w:tc>
          <w:tcPr>
            <w:tcW w:w="1600" w:type="dxa"/>
            <w:tcBorders>
              <w:top w:val="single" w:color="auto" w:sz="4" w:space="0"/>
              <w:left w:val="nil"/>
              <w:bottom w:val="single" w:color="auto" w:sz="4" w:space="0"/>
              <w:right w:val="single" w:color="auto" w:sz="4" w:space="0"/>
            </w:tcBorders>
            <w:shd w:val="clear" w:color="auto" w:fill="auto"/>
            <w:vAlign w:val="center"/>
          </w:tcPr>
          <w:p w14:paraId="5C18DF7B">
            <w:pPr>
              <w:widowControl/>
              <w:spacing w:line="200" w:lineRule="exact"/>
              <w:jc w:val="left"/>
              <w:rPr>
                <w:rFonts w:ascii="宋体" w:hAnsi="宋体" w:cs="宋体"/>
                <w:color w:val="auto"/>
                <w:kern w:val="0"/>
                <w:sz w:val="13"/>
                <w:szCs w:val="13"/>
                <w:highlight w:val="none"/>
              </w:rPr>
            </w:pPr>
          </w:p>
        </w:tc>
      </w:tr>
      <w:tr w14:paraId="32EEEF25">
        <w:tblPrEx>
          <w:tblCellMar>
            <w:top w:w="0" w:type="dxa"/>
            <w:left w:w="108" w:type="dxa"/>
            <w:bottom w:w="0" w:type="dxa"/>
            <w:right w:w="108" w:type="dxa"/>
          </w:tblCellMar>
        </w:tblPrEx>
        <w:trPr>
          <w:trHeight w:val="81" w:hRule="atLeast"/>
          <w:jc w:val="center"/>
        </w:trPr>
        <w:tc>
          <w:tcPr>
            <w:tcW w:w="19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468560">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项目经办部门初检情况</w:t>
            </w:r>
          </w:p>
        </w:tc>
        <w:tc>
          <w:tcPr>
            <w:tcW w:w="4822" w:type="dxa"/>
            <w:gridSpan w:val="5"/>
            <w:tcBorders>
              <w:top w:val="single" w:color="auto" w:sz="4" w:space="0"/>
              <w:left w:val="nil"/>
              <w:bottom w:val="single" w:color="auto" w:sz="4" w:space="0"/>
              <w:right w:val="single" w:color="auto" w:sz="4" w:space="0"/>
            </w:tcBorders>
            <w:shd w:val="clear" w:color="auto" w:fill="auto"/>
            <w:vAlign w:val="center"/>
          </w:tcPr>
          <w:p w14:paraId="2210C84A">
            <w:pPr>
              <w:widowControl/>
              <w:spacing w:line="200" w:lineRule="exact"/>
              <w:jc w:val="left"/>
              <w:rPr>
                <w:rFonts w:ascii="宋体" w:hAnsi="宋体"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达到质量及检测要求，按上述清单初检合格，具备联合验收条件 </w:t>
            </w:r>
          </w:p>
          <w:p w14:paraId="62D3F388">
            <w:pPr>
              <w:widowControl/>
              <w:spacing w:line="200" w:lineRule="exact"/>
              <w:jc w:val="left"/>
              <w:rPr>
                <w:rFonts w:ascii="宋体" w:hAnsi="宋体"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不具备联合验收条件，待整改后验收</w:t>
            </w:r>
          </w:p>
        </w:tc>
        <w:tc>
          <w:tcPr>
            <w:tcW w:w="1274" w:type="dxa"/>
            <w:tcBorders>
              <w:top w:val="single" w:color="auto" w:sz="4" w:space="0"/>
              <w:left w:val="nil"/>
              <w:bottom w:val="single" w:color="auto" w:sz="4" w:space="0"/>
              <w:right w:val="single" w:color="auto" w:sz="4" w:space="0"/>
            </w:tcBorders>
            <w:shd w:val="clear" w:color="auto" w:fill="auto"/>
            <w:vAlign w:val="center"/>
          </w:tcPr>
          <w:p w14:paraId="7F792FF9">
            <w:pPr>
              <w:widowControl/>
              <w:spacing w:line="200" w:lineRule="exact"/>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项目经办部门签字</w:t>
            </w:r>
          </w:p>
        </w:tc>
        <w:tc>
          <w:tcPr>
            <w:tcW w:w="1600" w:type="dxa"/>
            <w:tcBorders>
              <w:top w:val="single" w:color="auto" w:sz="4" w:space="0"/>
              <w:left w:val="nil"/>
              <w:bottom w:val="single" w:color="auto" w:sz="4" w:space="0"/>
              <w:right w:val="single" w:color="auto" w:sz="4" w:space="0"/>
            </w:tcBorders>
            <w:shd w:val="clear" w:color="auto" w:fill="auto"/>
            <w:vAlign w:val="center"/>
          </w:tcPr>
          <w:p w14:paraId="6440F563">
            <w:pPr>
              <w:widowControl/>
              <w:spacing w:line="200" w:lineRule="exact"/>
              <w:jc w:val="left"/>
              <w:rPr>
                <w:rFonts w:ascii="宋体" w:hAnsi="宋体" w:cs="宋体"/>
                <w:color w:val="auto"/>
                <w:kern w:val="0"/>
                <w:sz w:val="13"/>
                <w:szCs w:val="13"/>
                <w:highlight w:val="none"/>
              </w:rPr>
            </w:pPr>
          </w:p>
        </w:tc>
      </w:tr>
      <w:tr w14:paraId="3468E9D7">
        <w:tblPrEx>
          <w:tblCellMar>
            <w:top w:w="0" w:type="dxa"/>
            <w:left w:w="108" w:type="dxa"/>
            <w:bottom w:w="0" w:type="dxa"/>
            <w:right w:w="108" w:type="dxa"/>
          </w:tblCellMar>
        </w:tblPrEx>
        <w:trPr>
          <w:trHeight w:val="65" w:hRule="atLeast"/>
          <w:jc w:val="center"/>
        </w:trPr>
        <w:tc>
          <w:tcPr>
            <w:tcW w:w="963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774CC90">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服务成果交付验收清单</w:t>
            </w:r>
          </w:p>
        </w:tc>
      </w:tr>
      <w:tr w14:paraId="1AFFE1C9">
        <w:tblPrEx>
          <w:tblCellMar>
            <w:top w:w="0" w:type="dxa"/>
            <w:left w:w="108" w:type="dxa"/>
            <w:bottom w:w="0" w:type="dxa"/>
            <w:right w:w="108" w:type="dxa"/>
          </w:tblCellMar>
        </w:tblPrEx>
        <w:trPr>
          <w:trHeight w:val="452" w:hRule="atLeast"/>
          <w:jc w:val="center"/>
        </w:trPr>
        <w:tc>
          <w:tcPr>
            <w:tcW w:w="521" w:type="dxa"/>
            <w:tcBorders>
              <w:top w:val="nil"/>
              <w:left w:val="single" w:color="auto" w:sz="4" w:space="0"/>
              <w:bottom w:val="single" w:color="auto" w:sz="4" w:space="0"/>
              <w:right w:val="single" w:color="auto" w:sz="4" w:space="0"/>
            </w:tcBorders>
            <w:shd w:val="clear" w:color="auto" w:fill="auto"/>
            <w:vAlign w:val="center"/>
          </w:tcPr>
          <w:p w14:paraId="5E1D053C">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序号</w:t>
            </w:r>
          </w:p>
        </w:tc>
        <w:tc>
          <w:tcPr>
            <w:tcW w:w="1422" w:type="dxa"/>
            <w:gridSpan w:val="2"/>
            <w:tcBorders>
              <w:top w:val="nil"/>
              <w:left w:val="nil"/>
              <w:bottom w:val="single" w:color="auto" w:sz="4" w:space="0"/>
              <w:right w:val="single" w:color="auto" w:sz="4" w:space="0"/>
            </w:tcBorders>
            <w:shd w:val="clear" w:color="auto" w:fill="auto"/>
            <w:vAlign w:val="center"/>
          </w:tcPr>
          <w:p w14:paraId="1CCCCC47">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项目名称</w:t>
            </w:r>
          </w:p>
        </w:tc>
        <w:tc>
          <w:tcPr>
            <w:tcW w:w="1981" w:type="dxa"/>
            <w:tcBorders>
              <w:top w:val="nil"/>
              <w:left w:val="nil"/>
              <w:bottom w:val="single" w:color="auto" w:sz="4" w:space="0"/>
              <w:right w:val="single" w:color="auto" w:sz="4" w:space="0"/>
            </w:tcBorders>
            <w:shd w:val="clear" w:color="auto" w:fill="auto"/>
            <w:vAlign w:val="center"/>
          </w:tcPr>
          <w:p w14:paraId="2B290011">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具体要求</w:t>
            </w:r>
          </w:p>
        </w:tc>
        <w:tc>
          <w:tcPr>
            <w:tcW w:w="567" w:type="dxa"/>
            <w:tcBorders>
              <w:top w:val="nil"/>
              <w:left w:val="nil"/>
              <w:bottom w:val="single" w:color="auto" w:sz="4" w:space="0"/>
              <w:right w:val="single" w:color="auto" w:sz="4" w:space="0"/>
            </w:tcBorders>
            <w:shd w:val="clear" w:color="auto" w:fill="auto"/>
            <w:vAlign w:val="center"/>
          </w:tcPr>
          <w:p w14:paraId="26DE9CE0">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单位</w:t>
            </w:r>
          </w:p>
        </w:tc>
        <w:tc>
          <w:tcPr>
            <w:tcW w:w="571" w:type="dxa"/>
            <w:tcBorders>
              <w:top w:val="nil"/>
              <w:left w:val="nil"/>
              <w:bottom w:val="single" w:color="auto" w:sz="4" w:space="0"/>
              <w:right w:val="single" w:color="auto" w:sz="4" w:space="0"/>
            </w:tcBorders>
            <w:shd w:val="clear" w:color="auto" w:fill="auto"/>
            <w:vAlign w:val="center"/>
          </w:tcPr>
          <w:p w14:paraId="6143FBC4">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数量</w:t>
            </w:r>
          </w:p>
        </w:tc>
        <w:tc>
          <w:tcPr>
            <w:tcW w:w="1656" w:type="dxa"/>
            <w:tcBorders>
              <w:top w:val="nil"/>
              <w:left w:val="nil"/>
              <w:bottom w:val="single" w:color="auto" w:sz="4" w:space="0"/>
              <w:right w:val="single" w:color="auto" w:sz="4" w:space="0"/>
            </w:tcBorders>
            <w:shd w:val="clear" w:color="auto" w:fill="auto"/>
            <w:vAlign w:val="center"/>
          </w:tcPr>
          <w:p w14:paraId="338702D3">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小计金额</w:t>
            </w:r>
            <w:r>
              <w:rPr>
                <w:rFonts w:hint="eastAsia" w:ascii="宋体" w:hAnsi="宋体" w:cs="宋体"/>
                <w:b/>
                <w:color w:val="auto"/>
                <w:kern w:val="0"/>
                <w:sz w:val="13"/>
                <w:szCs w:val="13"/>
                <w:highlight w:val="none"/>
              </w:rPr>
              <w:t>（元）</w:t>
            </w:r>
          </w:p>
        </w:tc>
        <w:tc>
          <w:tcPr>
            <w:tcW w:w="2921" w:type="dxa"/>
            <w:gridSpan w:val="3"/>
            <w:tcBorders>
              <w:top w:val="single" w:color="auto" w:sz="4" w:space="0"/>
              <w:left w:val="nil"/>
              <w:bottom w:val="single" w:color="auto" w:sz="4" w:space="0"/>
              <w:right w:val="single" w:color="000000" w:sz="4" w:space="0"/>
            </w:tcBorders>
            <w:shd w:val="clear" w:color="auto" w:fill="auto"/>
            <w:vAlign w:val="center"/>
          </w:tcPr>
          <w:p w14:paraId="4A2E139B">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验收初检意见</w:t>
            </w:r>
          </w:p>
        </w:tc>
      </w:tr>
      <w:tr w14:paraId="17210041">
        <w:tblPrEx>
          <w:tblCellMar>
            <w:top w:w="0" w:type="dxa"/>
            <w:left w:w="108" w:type="dxa"/>
            <w:bottom w:w="0" w:type="dxa"/>
            <w:right w:w="108" w:type="dxa"/>
          </w:tblCellMar>
        </w:tblPrEx>
        <w:trPr>
          <w:trHeight w:val="533" w:hRule="atLeast"/>
          <w:jc w:val="center"/>
        </w:trPr>
        <w:tc>
          <w:tcPr>
            <w:tcW w:w="521" w:type="dxa"/>
            <w:tcBorders>
              <w:top w:val="nil"/>
              <w:left w:val="single" w:color="auto" w:sz="4" w:space="0"/>
              <w:bottom w:val="single" w:color="auto" w:sz="4" w:space="0"/>
              <w:right w:val="single" w:color="auto" w:sz="4" w:space="0"/>
            </w:tcBorders>
            <w:shd w:val="clear" w:color="auto" w:fill="auto"/>
            <w:vAlign w:val="center"/>
          </w:tcPr>
          <w:p w14:paraId="351B3385">
            <w:pPr>
              <w:widowControl/>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1</w:t>
            </w:r>
          </w:p>
        </w:tc>
        <w:tc>
          <w:tcPr>
            <w:tcW w:w="1422" w:type="dxa"/>
            <w:gridSpan w:val="2"/>
            <w:tcBorders>
              <w:top w:val="nil"/>
              <w:left w:val="nil"/>
              <w:bottom w:val="single" w:color="auto" w:sz="4" w:space="0"/>
              <w:right w:val="single" w:color="auto" w:sz="4" w:space="0"/>
            </w:tcBorders>
            <w:shd w:val="clear" w:color="auto" w:fill="auto"/>
            <w:noWrap/>
            <w:vAlign w:val="center"/>
          </w:tcPr>
          <w:p w14:paraId="50852F10">
            <w:pPr>
              <w:widowControl/>
              <w:jc w:val="left"/>
              <w:rPr>
                <w:rFonts w:ascii="宋体" w:hAnsi="宋体" w:cs="宋体"/>
                <w:color w:val="auto"/>
                <w:kern w:val="0"/>
                <w:sz w:val="13"/>
                <w:szCs w:val="13"/>
                <w:highlight w:val="none"/>
              </w:rPr>
            </w:pPr>
          </w:p>
        </w:tc>
        <w:tc>
          <w:tcPr>
            <w:tcW w:w="1981" w:type="dxa"/>
            <w:tcBorders>
              <w:top w:val="nil"/>
              <w:left w:val="nil"/>
              <w:bottom w:val="single" w:color="auto" w:sz="4" w:space="0"/>
              <w:right w:val="single" w:color="auto" w:sz="4" w:space="0"/>
            </w:tcBorders>
            <w:shd w:val="clear" w:color="auto" w:fill="auto"/>
            <w:noWrap/>
            <w:vAlign w:val="center"/>
          </w:tcPr>
          <w:p w14:paraId="7B42BAD1">
            <w:pPr>
              <w:widowControl/>
              <w:jc w:val="left"/>
              <w:rPr>
                <w:rFonts w:ascii="宋体" w:hAnsi="宋体" w:cs="宋体"/>
                <w:color w:val="auto"/>
                <w:kern w:val="0"/>
                <w:sz w:val="13"/>
                <w:szCs w:val="13"/>
                <w:highlight w:val="none"/>
              </w:rPr>
            </w:pPr>
          </w:p>
        </w:tc>
        <w:tc>
          <w:tcPr>
            <w:tcW w:w="567" w:type="dxa"/>
            <w:tcBorders>
              <w:top w:val="nil"/>
              <w:left w:val="nil"/>
              <w:bottom w:val="single" w:color="auto" w:sz="4" w:space="0"/>
              <w:right w:val="single" w:color="auto" w:sz="4" w:space="0"/>
            </w:tcBorders>
            <w:shd w:val="clear" w:color="auto" w:fill="auto"/>
            <w:noWrap/>
            <w:vAlign w:val="center"/>
          </w:tcPr>
          <w:p w14:paraId="7437F5F7">
            <w:pPr>
              <w:widowControl/>
              <w:jc w:val="left"/>
              <w:rPr>
                <w:rFonts w:ascii="宋体" w:hAnsi="宋体" w:cs="宋体"/>
                <w:color w:val="auto"/>
                <w:kern w:val="0"/>
                <w:sz w:val="13"/>
                <w:szCs w:val="13"/>
                <w:highlight w:val="none"/>
              </w:rPr>
            </w:pPr>
          </w:p>
        </w:tc>
        <w:tc>
          <w:tcPr>
            <w:tcW w:w="571" w:type="dxa"/>
            <w:tcBorders>
              <w:top w:val="nil"/>
              <w:left w:val="nil"/>
              <w:bottom w:val="single" w:color="auto" w:sz="4" w:space="0"/>
              <w:right w:val="single" w:color="auto" w:sz="4" w:space="0"/>
            </w:tcBorders>
            <w:shd w:val="clear" w:color="auto" w:fill="auto"/>
            <w:noWrap/>
            <w:vAlign w:val="center"/>
          </w:tcPr>
          <w:p w14:paraId="73EB8A56">
            <w:pPr>
              <w:widowControl/>
              <w:jc w:val="left"/>
              <w:rPr>
                <w:rFonts w:ascii="宋体" w:hAnsi="宋体" w:cs="宋体"/>
                <w:color w:val="auto"/>
                <w:kern w:val="0"/>
                <w:sz w:val="13"/>
                <w:szCs w:val="13"/>
                <w:highlight w:val="none"/>
              </w:rPr>
            </w:pPr>
          </w:p>
        </w:tc>
        <w:tc>
          <w:tcPr>
            <w:tcW w:w="1656" w:type="dxa"/>
            <w:tcBorders>
              <w:top w:val="nil"/>
              <w:left w:val="nil"/>
              <w:bottom w:val="single" w:color="auto" w:sz="4" w:space="0"/>
              <w:right w:val="single" w:color="auto" w:sz="4" w:space="0"/>
            </w:tcBorders>
            <w:shd w:val="clear" w:color="auto" w:fill="auto"/>
            <w:noWrap/>
            <w:vAlign w:val="center"/>
          </w:tcPr>
          <w:p w14:paraId="31775950">
            <w:pPr>
              <w:widowControl/>
              <w:jc w:val="right"/>
              <w:rPr>
                <w:rFonts w:ascii="宋体" w:hAnsi="宋体" w:cs="宋体"/>
                <w:color w:val="auto"/>
                <w:kern w:val="0"/>
                <w:sz w:val="13"/>
                <w:szCs w:val="13"/>
                <w:highlight w:val="none"/>
              </w:rPr>
            </w:pPr>
          </w:p>
        </w:tc>
        <w:tc>
          <w:tcPr>
            <w:tcW w:w="2921" w:type="dxa"/>
            <w:gridSpan w:val="3"/>
            <w:tcBorders>
              <w:top w:val="single" w:color="auto" w:sz="4" w:space="0"/>
              <w:left w:val="nil"/>
              <w:bottom w:val="single" w:color="auto" w:sz="4" w:space="0"/>
              <w:right w:val="single" w:color="000000" w:sz="4" w:space="0"/>
            </w:tcBorders>
            <w:shd w:val="clear" w:color="auto" w:fill="auto"/>
          </w:tcPr>
          <w:p w14:paraId="0C38A186">
            <w:pPr>
              <w:widowControl/>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存在整改事宜，具体如下：</w:t>
            </w:r>
          </w:p>
        </w:tc>
      </w:tr>
      <w:tr w14:paraId="6F22F59A">
        <w:tblPrEx>
          <w:tblCellMar>
            <w:top w:w="0" w:type="dxa"/>
            <w:left w:w="108" w:type="dxa"/>
            <w:bottom w:w="0" w:type="dxa"/>
            <w:right w:w="108" w:type="dxa"/>
          </w:tblCellMar>
        </w:tblPrEx>
        <w:trPr>
          <w:trHeight w:val="555" w:hRule="atLeast"/>
          <w:jc w:val="center"/>
        </w:trPr>
        <w:tc>
          <w:tcPr>
            <w:tcW w:w="521" w:type="dxa"/>
            <w:tcBorders>
              <w:top w:val="nil"/>
              <w:left w:val="single" w:color="auto" w:sz="4" w:space="0"/>
              <w:bottom w:val="single" w:color="auto" w:sz="4" w:space="0"/>
              <w:right w:val="single" w:color="auto" w:sz="4" w:space="0"/>
            </w:tcBorders>
            <w:shd w:val="clear" w:color="auto" w:fill="auto"/>
            <w:vAlign w:val="center"/>
          </w:tcPr>
          <w:p w14:paraId="1798C46F">
            <w:pPr>
              <w:widowControl/>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2</w:t>
            </w:r>
          </w:p>
        </w:tc>
        <w:tc>
          <w:tcPr>
            <w:tcW w:w="1422" w:type="dxa"/>
            <w:gridSpan w:val="2"/>
            <w:tcBorders>
              <w:top w:val="nil"/>
              <w:left w:val="nil"/>
              <w:bottom w:val="single" w:color="auto" w:sz="4" w:space="0"/>
              <w:right w:val="single" w:color="auto" w:sz="4" w:space="0"/>
            </w:tcBorders>
            <w:shd w:val="clear" w:color="auto" w:fill="auto"/>
            <w:vAlign w:val="center"/>
          </w:tcPr>
          <w:p w14:paraId="1027A144">
            <w:pPr>
              <w:widowControl/>
              <w:jc w:val="left"/>
              <w:rPr>
                <w:rFonts w:ascii="宋体" w:hAnsi="宋体" w:cs="宋体"/>
                <w:color w:val="auto"/>
                <w:kern w:val="0"/>
                <w:sz w:val="13"/>
                <w:szCs w:val="13"/>
                <w:highlight w:val="none"/>
              </w:rPr>
            </w:pPr>
          </w:p>
        </w:tc>
        <w:tc>
          <w:tcPr>
            <w:tcW w:w="1981" w:type="dxa"/>
            <w:tcBorders>
              <w:top w:val="nil"/>
              <w:left w:val="nil"/>
              <w:bottom w:val="single" w:color="auto" w:sz="4" w:space="0"/>
              <w:right w:val="single" w:color="auto" w:sz="4" w:space="0"/>
            </w:tcBorders>
            <w:shd w:val="clear" w:color="auto" w:fill="auto"/>
            <w:noWrap/>
            <w:vAlign w:val="center"/>
          </w:tcPr>
          <w:p w14:paraId="1AA40BC2">
            <w:pPr>
              <w:widowControl/>
              <w:jc w:val="left"/>
              <w:rPr>
                <w:rFonts w:ascii="宋体" w:hAnsi="宋体" w:cs="宋体"/>
                <w:color w:val="auto"/>
                <w:kern w:val="0"/>
                <w:sz w:val="13"/>
                <w:szCs w:val="13"/>
                <w:highlight w:val="none"/>
              </w:rPr>
            </w:pPr>
          </w:p>
        </w:tc>
        <w:tc>
          <w:tcPr>
            <w:tcW w:w="567" w:type="dxa"/>
            <w:tcBorders>
              <w:top w:val="nil"/>
              <w:left w:val="nil"/>
              <w:bottom w:val="single" w:color="auto" w:sz="4" w:space="0"/>
              <w:right w:val="single" w:color="auto" w:sz="4" w:space="0"/>
            </w:tcBorders>
            <w:shd w:val="clear" w:color="auto" w:fill="auto"/>
            <w:vAlign w:val="center"/>
          </w:tcPr>
          <w:p w14:paraId="43571641">
            <w:pPr>
              <w:widowControl/>
              <w:jc w:val="center"/>
              <w:rPr>
                <w:rFonts w:ascii="宋体" w:hAnsi="宋体" w:cs="宋体"/>
                <w:color w:val="auto"/>
                <w:kern w:val="0"/>
                <w:sz w:val="13"/>
                <w:szCs w:val="13"/>
                <w:highlight w:val="none"/>
              </w:rPr>
            </w:pPr>
          </w:p>
        </w:tc>
        <w:tc>
          <w:tcPr>
            <w:tcW w:w="571" w:type="dxa"/>
            <w:tcBorders>
              <w:top w:val="nil"/>
              <w:left w:val="nil"/>
              <w:bottom w:val="single" w:color="auto" w:sz="4" w:space="0"/>
              <w:right w:val="single" w:color="auto" w:sz="4" w:space="0"/>
            </w:tcBorders>
            <w:shd w:val="clear" w:color="auto" w:fill="auto"/>
            <w:vAlign w:val="center"/>
          </w:tcPr>
          <w:p w14:paraId="15D1B8CD">
            <w:pPr>
              <w:widowControl/>
              <w:jc w:val="center"/>
              <w:rPr>
                <w:rFonts w:ascii="宋体" w:hAnsi="宋体" w:cs="宋体"/>
                <w:color w:val="auto"/>
                <w:kern w:val="0"/>
                <w:sz w:val="13"/>
                <w:szCs w:val="13"/>
                <w:highlight w:val="none"/>
              </w:rPr>
            </w:pPr>
          </w:p>
        </w:tc>
        <w:tc>
          <w:tcPr>
            <w:tcW w:w="1656" w:type="dxa"/>
            <w:tcBorders>
              <w:top w:val="nil"/>
              <w:left w:val="nil"/>
              <w:bottom w:val="single" w:color="auto" w:sz="4" w:space="0"/>
              <w:right w:val="single" w:color="auto" w:sz="4" w:space="0"/>
            </w:tcBorders>
            <w:shd w:val="clear" w:color="auto" w:fill="auto"/>
            <w:vAlign w:val="center"/>
          </w:tcPr>
          <w:p w14:paraId="07D41285">
            <w:pPr>
              <w:widowControl/>
              <w:jc w:val="right"/>
              <w:rPr>
                <w:rFonts w:ascii="宋体" w:hAnsi="宋体" w:cs="宋体"/>
                <w:color w:val="auto"/>
                <w:kern w:val="0"/>
                <w:sz w:val="13"/>
                <w:szCs w:val="13"/>
                <w:highlight w:val="none"/>
              </w:rPr>
            </w:pPr>
          </w:p>
        </w:tc>
        <w:tc>
          <w:tcPr>
            <w:tcW w:w="2921" w:type="dxa"/>
            <w:gridSpan w:val="3"/>
            <w:tcBorders>
              <w:top w:val="single" w:color="auto" w:sz="4" w:space="0"/>
              <w:left w:val="nil"/>
              <w:bottom w:val="single" w:color="auto" w:sz="4" w:space="0"/>
              <w:right w:val="single" w:color="000000" w:sz="4" w:space="0"/>
            </w:tcBorders>
            <w:shd w:val="clear" w:color="auto" w:fill="auto"/>
          </w:tcPr>
          <w:p w14:paraId="443DD042">
            <w:pPr>
              <w:widowControl/>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存在整改事宜，具体如下：</w:t>
            </w:r>
          </w:p>
        </w:tc>
      </w:tr>
      <w:tr w14:paraId="045E7339">
        <w:tblPrEx>
          <w:tblCellMar>
            <w:top w:w="0" w:type="dxa"/>
            <w:left w:w="108" w:type="dxa"/>
            <w:bottom w:w="0" w:type="dxa"/>
            <w:right w:w="108" w:type="dxa"/>
          </w:tblCellMar>
        </w:tblPrEx>
        <w:trPr>
          <w:trHeight w:val="562" w:hRule="atLeast"/>
          <w:jc w:val="center"/>
        </w:trPr>
        <w:tc>
          <w:tcPr>
            <w:tcW w:w="521" w:type="dxa"/>
            <w:tcBorders>
              <w:top w:val="nil"/>
              <w:left w:val="single" w:color="auto" w:sz="4" w:space="0"/>
              <w:bottom w:val="single" w:color="auto" w:sz="4" w:space="0"/>
              <w:right w:val="single" w:color="auto" w:sz="4" w:space="0"/>
            </w:tcBorders>
            <w:shd w:val="clear" w:color="auto" w:fill="auto"/>
            <w:vAlign w:val="center"/>
          </w:tcPr>
          <w:p w14:paraId="418BCAF9">
            <w:pPr>
              <w:widowControl/>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3</w:t>
            </w:r>
          </w:p>
        </w:tc>
        <w:tc>
          <w:tcPr>
            <w:tcW w:w="1422" w:type="dxa"/>
            <w:gridSpan w:val="2"/>
            <w:tcBorders>
              <w:top w:val="nil"/>
              <w:left w:val="nil"/>
              <w:bottom w:val="single" w:color="auto" w:sz="4" w:space="0"/>
              <w:right w:val="single" w:color="auto" w:sz="4" w:space="0"/>
            </w:tcBorders>
            <w:shd w:val="clear" w:color="auto" w:fill="auto"/>
            <w:vAlign w:val="center"/>
          </w:tcPr>
          <w:p w14:paraId="2534CBD6">
            <w:pPr>
              <w:widowControl/>
              <w:jc w:val="left"/>
              <w:rPr>
                <w:rFonts w:ascii="宋体" w:hAnsi="宋体" w:cs="宋体"/>
                <w:color w:val="auto"/>
                <w:kern w:val="0"/>
                <w:sz w:val="13"/>
                <w:szCs w:val="13"/>
                <w:highlight w:val="none"/>
              </w:rPr>
            </w:pPr>
          </w:p>
        </w:tc>
        <w:tc>
          <w:tcPr>
            <w:tcW w:w="1981" w:type="dxa"/>
            <w:tcBorders>
              <w:top w:val="nil"/>
              <w:left w:val="nil"/>
              <w:bottom w:val="single" w:color="auto" w:sz="4" w:space="0"/>
              <w:right w:val="single" w:color="auto" w:sz="4" w:space="0"/>
            </w:tcBorders>
            <w:shd w:val="clear" w:color="auto" w:fill="auto"/>
            <w:noWrap/>
            <w:vAlign w:val="center"/>
          </w:tcPr>
          <w:p w14:paraId="2DB8704B">
            <w:pPr>
              <w:widowControl/>
              <w:jc w:val="left"/>
              <w:rPr>
                <w:rFonts w:ascii="宋体" w:hAnsi="宋体" w:cs="宋体"/>
                <w:color w:val="auto"/>
                <w:kern w:val="0"/>
                <w:sz w:val="13"/>
                <w:szCs w:val="13"/>
                <w:highlight w:val="none"/>
              </w:rPr>
            </w:pPr>
          </w:p>
        </w:tc>
        <w:tc>
          <w:tcPr>
            <w:tcW w:w="567" w:type="dxa"/>
            <w:tcBorders>
              <w:top w:val="nil"/>
              <w:left w:val="nil"/>
              <w:bottom w:val="single" w:color="auto" w:sz="4" w:space="0"/>
              <w:right w:val="single" w:color="auto" w:sz="4" w:space="0"/>
            </w:tcBorders>
            <w:shd w:val="clear" w:color="auto" w:fill="auto"/>
            <w:vAlign w:val="center"/>
          </w:tcPr>
          <w:p w14:paraId="416ABE0E">
            <w:pPr>
              <w:widowControl/>
              <w:jc w:val="center"/>
              <w:rPr>
                <w:rFonts w:ascii="宋体" w:hAnsi="宋体" w:cs="宋体"/>
                <w:color w:val="auto"/>
                <w:kern w:val="0"/>
                <w:sz w:val="13"/>
                <w:szCs w:val="13"/>
                <w:highlight w:val="none"/>
              </w:rPr>
            </w:pPr>
          </w:p>
        </w:tc>
        <w:tc>
          <w:tcPr>
            <w:tcW w:w="571" w:type="dxa"/>
            <w:tcBorders>
              <w:top w:val="nil"/>
              <w:left w:val="nil"/>
              <w:bottom w:val="single" w:color="auto" w:sz="4" w:space="0"/>
              <w:right w:val="single" w:color="auto" w:sz="4" w:space="0"/>
            </w:tcBorders>
            <w:shd w:val="clear" w:color="auto" w:fill="auto"/>
            <w:vAlign w:val="center"/>
          </w:tcPr>
          <w:p w14:paraId="18BF97C3">
            <w:pPr>
              <w:widowControl/>
              <w:jc w:val="center"/>
              <w:rPr>
                <w:rFonts w:ascii="宋体" w:hAnsi="宋体" w:cs="宋体"/>
                <w:color w:val="auto"/>
                <w:kern w:val="0"/>
                <w:sz w:val="13"/>
                <w:szCs w:val="13"/>
                <w:highlight w:val="none"/>
              </w:rPr>
            </w:pPr>
          </w:p>
        </w:tc>
        <w:tc>
          <w:tcPr>
            <w:tcW w:w="1656" w:type="dxa"/>
            <w:tcBorders>
              <w:top w:val="nil"/>
              <w:left w:val="nil"/>
              <w:bottom w:val="single" w:color="auto" w:sz="4" w:space="0"/>
              <w:right w:val="single" w:color="auto" w:sz="4" w:space="0"/>
            </w:tcBorders>
            <w:shd w:val="clear" w:color="auto" w:fill="auto"/>
            <w:vAlign w:val="center"/>
          </w:tcPr>
          <w:p w14:paraId="66E25E8B">
            <w:pPr>
              <w:widowControl/>
              <w:jc w:val="right"/>
              <w:rPr>
                <w:rFonts w:ascii="宋体" w:hAnsi="宋体" w:cs="宋体"/>
                <w:color w:val="auto"/>
                <w:kern w:val="0"/>
                <w:sz w:val="13"/>
                <w:szCs w:val="13"/>
                <w:highlight w:val="none"/>
              </w:rPr>
            </w:pPr>
          </w:p>
        </w:tc>
        <w:tc>
          <w:tcPr>
            <w:tcW w:w="2921" w:type="dxa"/>
            <w:gridSpan w:val="3"/>
            <w:tcBorders>
              <w:top w:val="single" w:color="auto" w:sz="4" w:space="0"/>
              <w:left w:val="nil"/>
              <w:bottom w:val="single" w:color="auto" w:sz="4" w:space="0"/>
              <w:right w:val="single" w:color="000000" w:sz="4" w:space="0"/>
            </w:tcBorders>
            <w:shd w:val="clear" w:color="auto" w:fill="auto"/>
          </w:tcPr>
          <w:p w14:paraId="69DF34D4">
            <w:pPr>
              <w:widowControl/>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存在整改事宜，具体如下：</w:t>
            </w:r>
          </w:p>
        </w:tc>
      </w:tr>
      <w:tr w14:paraId="76E2C862">
        <w:tblPrEx>
          <w:tblCellMar>
            <w:top w:w="0" w:type="dxa"/>
            <w:left w:w="108" w:type="dxa"/>
            <w:bottom w:w="0" w:type="dxa"/>
            <w:right w:w="108" w:type="dxa"/>
          </w:tblCellMar>
        </w:tblPrEx>
        <w:trPr>
          <w:trHeight w:val="543" w:hRule="atLeast"/>
          <w:jc w:val="center"/>
        </w:trPr>
        <w:tc>
          <w:tcPr>
            <w:tcW w:w="521" w:type="dxa"/>
            <w:tcBorders>
              <w:top w:val="nil"/>
              <w:left w:val="single" w:color="auto" w:sz="4" w:space="0"/>
              <w:bottom w:val="single" w:color="auto" w:sz="4" w:space="0"/>
              <w:right w:val="single" w:color="auto" w:sz="4" w:space="0"/>
            </w:tcBorders>
            <w:shd w:val="clear" w:color="auto" w:fill="auto"/>
            <w:vAlign w:val="center"/>
          </w:tcPr>
          <w:p w14:paraId="05C5C043">
            <w:pPr>
              <w:widowControl/>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4</w:t>
            </w:r>
          </w:p>
        </w:tc>
        <w:tc>
          <w:tcPr>
            <w:tcW w:w="1422" w:type="dxa"/>
            <w:gridSpan w:val="2"/>
            <w:tcBorders>
              <w:top w:val="nil"/>
              <w:left w:val="nil"/>
              <w:bottom w:val="single" w:color="auto" w:sz="4" w:space="0"/>
              <w:right w:val="single" w:color="auto" w:sz="4" w:space="0"/>
            </w:tcBorders>
            <w:shd w:val="clear" w:color="auto" w:fill="auto"/>
            <w:vAlign w:val="center"/>
          </w:tcPr>
          <w:p w14:paraId="5BC21BA1">
            <w:pPr>
              <w:widowControl/>
              <w:jc w:val="left"/>
              <w:rPr>
                <w:rFonts w:ascii="宋体" w:hAnsi="宋体" w:cs="宋体"/>
                <w:color w:val="auto"/>
                <w:kern w:val="0"/>
                <w:sz w:val="13"/>
                <w:szCs w:val="13"/>
                <w:highlight w:val="none"/>
              </w:rPr>
            </w:pPr>
          </w:p>
        </w:tc>
        <w:tc>
          <w:tcPr>
            <w:tcW w:w="1981" w:type="dxa"/>
            <w:tcBorders>
              <w:top w:val="nil"/>
              <w:left w:val="nil"/>
              <w:bottom w:val="single" w:color="auto" w:sz="4" w:space="0"/>
              <w:right w:val="single" w:color="auto" w:sz="4" w:space="0"/>
            </w:tcBorders>
            <w:shd w:val="clear" w:color="auto" w:fill="auto"/>
            <w:noWrap/>
            <w:vAlign w:val="center"/>
          </w:tcPr>
          <w:p w14:paraId="00F3313C">
            <w:pPr>
              <w:widowControl/>
              <w:jc w:val="left"/>
              <w:rPr>
                <w:rFonts w:ascii="宋体" w:hAnsi="宋体" w:cs="宋体"/>
                <w:color w:val="auto"/>
                <w:kern w:val="0"/>
                <w:sz w:val="13"/>
                <w:szCs w:val="13"/>
                <w:highlight w:val="none"/>
              </w:rPr>
            </w:pPr>
          </w:p>
        </w:tc>
        <w:tc>
          <w:tcPr>
            <w:tcW w:w="567" w:type="dxa"/>
            <w:tcBorders>
              <w:top w:val="nil"/>
              <w:left w:val="nil"/>
              <w:bottom w:val="single" w:color="auto" w:sz="4" w:space="0"/>
              <w:right w:val="single" w:color="auto" w:sz="4" w:space="0"/>
            </w:tcBorders>
            <w:shd w:val="clear" w:color="auto" w:fill="auto"/>
            <w:vAlign w:val="center"/>
          </w:tcPr>
          <w:p w14:paraId="719F386A">
            <w:pPr>
              <w:widowControl/>
              <w:jc w:val="center"/>
              <w:rPr>
                <w:rFonts w:ascii="宋体" w:hAnsi="宋体" w:cs="宋体"/>
                <w:color w:val="auto"/>
                <w:kern w:val="0"/>
                <w:sz w:val="13"/>
                <w:szCs w:val="13"/>
                <w:highlight w:val="none"/>
              </w:rPr>
            </w:pPr>
          </w:p>
        </w:tc>
        <w:tc>
          <w:tcPr>
            <w:tcW w:w="571" w:type="dxa"/>
            <w:tcBorders>
              <w:top w:val="nil"/>
              <w:left w:val="nil"/>
              <w:bottom w:val="single" w:color="auto" w:sz="4" w:space="0"/>
              <w:right w:val="single" w:color="auto" w:sz="4" w:space="0"/>
            </w:tcBorders>
            <w:shd w:val="clear" w:color="auto" w:fill="auto"/>
            <w:vAlign w:val="center"/>
          </w:tcPr>
          <w:p w14:paraId="4E7EFA6C">
            <w:pPr>
              <w:widowControl/>
              <w:jc w:val="center"/>
              <w:rPr>
                <w:rFonts w:ascii="宋体" w:hAnsi="宋体" w:cs="宋体"/>
                <w:color w:val="auto"/>
                <w:kern w:val="0"/>
                <w:sz w:val="13"/>
                <w:szCs w:val="13"/>
                <w:highlight w:val="none"/>
              </w:rPr>
            </w:pPr>
          </w:p>
        </w:tc>
        <w:tc>
          <w:tcPr>
            <w:tcW w:w="1656" w:type="dxa"/>
            <w:tcBorders>
              <w:top w:val="nil"/>
              <w:left w:val="nil"/>
              <w:bottom w:val="single" w:color="auto" w:sz="4" w:space="0"/>
              <w:right w:val="single" w:color="auto" w:sz="4" w:space="0"/>
            </w:tcBorders>
            <w:shd w:val="clear" w:color="auto" w:fill="auto"/>
            <w:vAlign w:val="center"/>
          </w:tcPr>
          <w:p w14:paraId="3493D6E4">
            <w:pPr>
              <w:widowControl/>
              <w:jc w:val="right"/>
              <w:rPr>
                <w:rFonts w:ascii="宋体" w:hAnsi="宋体" w:cs="宋体"/>
                <w:color w:val="auto"/>
                <w:kern w:val="0"/>
                <w:sz w:val="13"/>
                <w:szCs w:val="13"/>
                <w:highlight w:val="none"/>
              </w:rPr>
            </w:pPr>
          </w:p>
        </w:tc>
        <w:tc>
          <w:tcPr>
            <w:tcW w:w="2921" w:type="dxa"/>
            <w:gridSpan w:val="3"/>
            <w:tcBorders>
              <w:top w:val="single" w:color="auto" w:sz="4" w:space="0"/>
              <w:left w:val="nil"/>
              <w:bottom w:val="single" w:color="auto" w:sz="4" w:space="0"/>
              <w:right w:val="single" w:color="000000" w:sz="4" w:space="0"/>
            </w:tcBorders>
            <w:shd w:val="clear" w:color="auto" w:fill="auto"/>
          </w:tcPr>
          <w:p w14:paraId="1025B5AA">
            <w:pPr>
              <w:widowControl/>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存在整改事宜，具体如下：</w:t>
            </w:r>
          </w:p>
        </w:tc>
      </w:tr>
      <w:tr w14:paraId="60785901">
        <w:tblPrEx>
          <w:tblCellMar>
            <w:top w:w="0" w:type="dxa"/>
            <w:left w:w="108" w:type="dxa"/>
            <w:bottom w:w="0" w:type="dxa"/>
            <w:right w:w="108" w:type="dxa"/>
          </w:tblCellMar>
        </w:tblPrEx>
        <w:trPr>
          <w:trHeight w:val="543" w:hRule="atLeast"/>
          <w:jc w:val="center"/>
        </w:trPr>
        <w:tc>
          <w:tcPr>
            <w:tcW w:w="521" w:type="dxa"/>
            <w:tcBorders>
              <w:top w:val="nil"/>
              <w:left w:val="single" w:color="auto" w:sz="4" w:space="0"/>
              <w:bottom w:val="single" w:color="auto" w:sz="4" w:space="0"/>
              <w:right w:val="single" w:color="auto" w:sz="4" w:space="0"/>
            </w:tcBorders>
            <w:shd w:val="clear" w:color="auto" w:fill="auto"/>
            <w:vAlign w:val="center"/>
          </w:tcPr>
          <w:p w14:paraId="31B6A347">
            <w:pPr>
              <w:widowControl/>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5</w:t>
            </w:r>
          </w:p>
        </w:tc>
        <w:tc>
          <w:tcPr>
            <w:tcW w:w="1422" w:type="dxa"/>
            <w:gridSpan w:val="2"/>
            <w:tcBorders>
              <w:top w:val="nil"/>
              <w:left w:val="nil"/>
              <w:bottom w:val="single" w:color="auto" w:sz="4" w:space="0"/>
              <w:right w:val="single" w:color="auto" w:sz="4" w:space="0"/>
            </w:tcBorders>
            <w:shd w:val="clear" w:color="auto" w:fill="auto"/>
            <w:vAlign w:val="center"/>
          </w:tcPr>
          <w:p w14:paraId="3419D020">
            <w:pPr>
              <w:widowControl/>
              <w:jc w:val="left"/>
              <w:rPr>
                <w:rFonts w:ascii="宋体" w:hAnsi="宋体" w:cs="宋体"/>
                <w:color w:val="auto"/>
                <w:kern w:val="0"/>
                <w:sz w:val="13"/>
                <w:szCs w:val="13"/>
                <w:highlight w:val="none"/>
              </w:rPr>
            </w:pPr>
          </w:p>
        </w:tc>
        <w:tc>
          <w:tcPr>
            <w:tcW w:w="1981" w:type="dxa"/>
            <w:tcBorders>
              <w:top w:val="nil"/>
              <w:left w:val="nil"/>
              <w:bottom w:val="single" w:color="auto" w:sz="4" w:space="0"/>
              <w:right w:val="single" w:color="auto" w:sz="4" w:space="0"/>
            </w:tcBorders>
            <w:shd w:val="clear" w:color="auto" w:fill="auto"/>
            <w:noWrap/>
            <w:vAlign w:val="center"/>
          </w:tcPr>
          <w:p w14:paraId="5BC8931E">
            <w:pPr>
              <w:widowControl/>
              <w:jc w:val="left"/>
              <w:rPr>
                <w:rFonts w:ascii="宋体" w:hAnsi="宋体" w:cs="宋体"/>
                <w:color w:val="auto"/>
                <w:kern w:val="0"/>
                <w:sz w:val="13"/>
                <w:szCs w:val="13"/>
                <w:highlight w:val="none"/>
              </w:rPr>
            </w:pPr>
          </w:p>
        </w:tc>
        <w:tc>
          <w:tcPr>
            <w:tcW w:w="567" w:type="dxa"/>
            <w:tcBorders>
              <w:top w:val="nil"/>
              <w:left w:val="nil"/>
              <w:bottom w:val="single" w:color="auto" w:sz="4" w:space="0"/>
              <w:right w:val="single" w:color="auto" w:sz="4" w:space="0"/>
            </w:tcBorders>
            <w:shd w:val="clear" w:color="auto" w:fill="auto"/>
            <w:vAlign w:val="center"/>
          </w:tcPr>
          <w:p w14:paraId="2B152651">
            <w:pPr>
              <w:widowControl/>
              <w:jc w:val="center"/>
              <w:rPr>
                <w:rFonts w:ascii="宋体" w:hAnsi="宋体" w:cs="宋体"/>
                <w:color w:val="auto"/>
                <w:kern w:val="0"/>
                <w:sz w:val="13"/>
                <w:szCs w:val="13"/>
                <w:highlight w:val="none"/>
              </w:rPr>
            </w:pPr>
          </w:p>
        </w:tc>
        <w:tc>
          <w:tcPr>
            <w:tcW w:w="571" w:type="dxa"/>
            <w:tcBorders>
              <w:top w:val="nil"/>
              <w:left w:val="nil"/>
              <w:bottom w:val="single" w:color="auto" w:sz="4" w:space="0"/>
              <w:right w:val="single" w:color="auto" w:sz="4" w:space="0"/>
            </w:tcBorders>
            <w:shd w:val="clear" w:color="auto" w:fill="auto"/>
            <w:vAlign w:val="center"/>
          </w:tcPr>
          <w:p w14:paraId="566A6C00">
            <w:pPr>
              <w:widowControl/>
              <w:jc w:val="center"/>
              <w:rPr>
                <w:rFonts w:ascii="宋体" w:hAnsi="宋体" w:cs="宋体"/>
                <w:color w:val="auto"/>
                <w:kern w:val="0"/>
                <w:sz w:val="13"/>
                <w:szCs w:val="13"/>
                <w:highlight w:val="none"/>
              </w:rPr>
            </w:pPr>
          </w:p>
        </w:tc>
        <w:tc>
          <w:tcPr>
            <w:tcW w:w="1656" w:type="dxa"/>
            <w:tcBorders>
              <w:top w:val="nil"/>
              <w:left w:val="nil"/>
              <w:bottom w:val="single" w:color="auto" w:sz="4" w:space="0"/>
              <w:right w:val="single" w:color="auto" w:sz="4" w:space="0"/>
            </w:tcBorders>
            <w:shd w:val="clear" w:color="auto" w:fill="auto"/>
            <w:vAlign w:val="center"/>
          </w:tcPr>
          <w:p w14:paraId="12398C4E">
            <w:pPr>
              <w:widowControl/>
              <w:jc w:val="right"/>
              <w:rPr>
                <w:rFonts w:ascii="宋体" w:hAnsi="宋体" w:cs="宋体"/>
                <w:color w:val="auto"/>
                <w:kern w:val="0"/>
                <w:sz w:val="13"/>
                <w:szCs w:val="13"/>
                <w:highlight w:val="none"/>
              </w:rPr>
            </w:pPr>
          </w:p>
        </w:tc>
        <w:tc>
          <w:tcPr>
            <w:tcW w:w="2921" w:type="dxa"/>
            <w:gridSpan w:val="3"/>
            <w:tcBorders>
              <w:top w:val="single" w:color="auto" w:sz="4" w:space="0"/>
              <w:left w:val="nil"/>
              <w:bottom w:val="single" w:color="auto" w:sz="4" w:space="0"/>
              <w:right w:val="single" w:color="000000" w:sz="4" w:space="0"/>
            </w:tcBorders>
            <w:shd w:val="clear" w:color="auto" w:fill="auto"/>
          </w:tcPr>
          <w:p w14:paraId="2F81A31D">
            <w:pPr>
              <w:widowControl/>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存在整改事宜，具体如下：</w:t>
            </w:r>
          </w:p>
        </w:tc>
      </w:tr>
      <w:tr w14:paraId="661A4A6C">
        <w:tblPrEx>
          <w:tblCellMar>
            <w:top w:w="0" w:type="dxa"/>
            <w:left w:w="108" w:type="dxa"/>
            <w:bottom w:w="0" w:type="dxa"/>
            <w:right w:w="108" w:type="dxa"/>
          </w:tblCellMar>
        </w:tblPrEx>
        <w:trPr>
          <w:trHeight w:val="543" w:hRule="atLeast"/>
          <w:jc w:val="center"/>
        </w:trPr>
        <w:tc>
          <w:tcPr>
            <w:tcW w:w="521" w:type="dxa"/>
            <w:tcBorders>
              <w:top w:val="nil"/>
              <w:left w:val="single" w:color="auto" w:sz="4" w:space="0"/>
              <w:bottom w:val="single" w:color="auto" w:sz="4" w:space="0"/>
              <w:right w:val="single" w:color="auto" w:sz="4" w:space="0"/>
            </w:tcBorders>
            <w:shd w:val="clear" w:color="auto" w:fill="auto"/>
            <w:vAlign w:val="center"/>
          </w:tcPr>
          <w:p w14:paraId="6BDFD707">
            <w:pPr>
              <w:widowControl/>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6</w:t>
            </w:r>
          </w:p>
        </w:tc>
        <w:tc>
          <w:tcPr>
            <w:tcW w:w="1422" w:type="dxa"/>
            <w:gridSpan w:val="2"/>
            <w:tcBorders>
              <w:top w:val="nil"/>
              <w:left w:val="nil"/>
              <w:bottom w:val="single" w:color="auto" w:sz="4" w:space="0"/>
              <w:right w:val="single" w:color="auto" w:sz="4" w:space="0"/>
            </w:tcBorders>
            <w:shd w:val="clear" w:color="auto" w:fill="auto"/>
            <w:vAlign w:val="center"/>
          </w:tcPr>
          <w:p w14:paraId="05CB2515">
            <w:pPr>
              <w:widowControl/>
              <w:jc w:val="left"/>
              <w:rPr>
                <w:rFonts w:ascii="宋体" w:hAnsi="宋体" w:cs="宋体"/>
                <w:color w:val="auto"/>
                <w:kern w:val="0"/>
                <w:sz w:val="13"/>
                <w:szCs w:val="13"/>
                <w:highlight w:val="none"/>
              </w:rPr>
            </w:pPr>
          </w:p>
        </w:tc>
        <w:tc>
          <w:tcPr>
            <w:tcW w:w="1981" w:type="dxa"/>
            <w:tcBorders>
              <w:top w:val="nil"/>
              <w:left w:val="nil"/>
              <w:bottom w:val="single" w:color="auto" w:sz="4" w:space="0"/>
              <w:right w:val="single" w:color="auto" w:sz="4" w:space="0"/>
            </w:tcBorders>
            <w:shd w:val="clear" w:color="auto" w:fill="auto"/>
            <w:noWrap/>
            <w:vAlign w:val="center"/>
          </w:tcPr>
          <w:p w14:paraId="73A73D40">
            <w:pPr>
              <w:widowControl/>
              <w:jc w:val="left"/>
              <w:rPr>
                <w:rFonts w:ascii="宋体" w:hAnsi="宋体" w:cs="宋体"/>
                <w:color w:val="auto"/>
                <w:kern w:val="0"/>
                <w:sz w:val="13"/>
                <w:szCs w:val="13"/>
                <w:highlight w:val="none"/>
              </w:rPr>
            </w:pPr>
          </w:p>
        </w:tc>
        <w:tc>
          <w:tcPr>
            <w:tcW w:w="567" w:type="dxa"/>
            <w:tcBorders>
              <w:top w:val="nil"/>
              <w:left w:val="nil"/>
              <w:bottom w:val="single" w:color="auto" w:sz="4" w:space="0"/>
              <w:right w:val="single" w:color="auto" w:sz="4" w:space="0"/>
            </w:tcBorders>
            <w:shd w:val="clear" w:color="auto" w:fill="auto"/>
            <w:vAlign w:val="center"/>
          </w:tcPr>
          <w:p w14:paraId="30501CDE">
            <w:pPr>
              <w:widowControl/>
              <w:jc w:val="center"/>
              <w:rPr>
                <w:rFonts w:ascii="宋体" w:hAnsi="宋体" w:cs="宋体"/>
                <w:color w:val="auto"/>
                <w:kern w:val="0"/>
                <w:sz w:val="13"/>
                <w:szCs w:val="13"/>
                <w:highlight w:val="none"/>
              </w:rPr>
            </w:pPr>
          </w:p>
        </w:tc>
        <w:tc>
          <w:tcPr>
            <w:tcW w:w="571" w:type="dxa"/>
            <w:tcBorders>
              <w:top w:val="nil"/>
              <w:left w:val="nil"/>
              <w:bottom w:val="single" w:color="auto" w:sz="4" w:space="0"/>
              <w:right w:val="single" w:color="auto" w:sz="4" w:space="0"/>
            </w:tcBorders>
            <w:shd w:val="clear" w:color="auto" w:fill="auto"/>
            <w:vAlign w:val="center"/>
          </w:tcPr>
          <w:p w14:paraId="0322C603">
            <w:pPr>
              <w:widowControl/>
              <w:jc w:val="center"/>
              <w:rPr>
                <w:rFonts w:ascii="宋体" w:hAnsi="宋体" w:cs="宋体"/>
                <w:color w:val="auto"/>
                <w:kern w:val="0"/>
                <w:sz w:val="13"/>
                <w:szCs w:val="13"/>
                <w:highlight w:val="none"/>
              </w:rPr>
            </w:pPr>
          </w:p>
        </w:tc>
        <w:tc>
          <w:tcPr>
            <w:tcW w:w="1656" w:type="dxa"/>
            <w:tcBorders>
              <w:top w:val="nil"/>
              <w:left w:val="nil"/>
              <w:bottom w:val="single" w:color="auto" w:sz="4" w:space="0"/>
              <w:right w:val="single" w:color="auto" w:sz="4" w:space="0"/>
            </w:tcBorders>
            <w:shd w:val="clear" w:color="auto" w:fill="auto"/>
            <w:vAlign w:val="center"/>
          </w:tcPr>
          <w:p w14:paraId="78475D69">
            <w:pPr>
              <w:widowControl/>
              <w:jc w:val="right"/>
              <w:rPr>
                <w:rFonts w:ascii="宋体" w:hAnsi="宋体" w:cs="宋体"/>
                <w:color w:val="auto"/>
                <w:kern w:val="0"/>
                <w:sz w:val="13"/>
                <w:szCs w:val="13"/>
                <w:highlight w:val="none"/>
              </w:rPr>
            </w:pPr>
          </w:p>
        </w:tc>
        <w:tc>
          <w:tcPr>
            <w:tcW w:w="2921" w:type="dxa"/>
            <w:gridSpan w:val="3"/>
            <w:tcBorders>
              <w:top w:val="single" w:color="auto" w:sz="4" w:space="0"/>
              <w:left w:val="nil"/>
              <w:bottom w:val="single" w:color="auto" w:sz="4" w:space="0"/>
              <w:right w:val="single" w:color="000000" w:sz="4" w:space="0"/>
            </w:tcBorders>
            <w:shd w:val="clear" w:color="auto" w:fill="auto"/>
          </w:tcPr>
          <w:p w14:paraId="40A12A09">
            <w:pPr>
              <w:widowControl/>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存在整改事宜，具体如下：</w:t>
            </w:r>
          </w:p>
        </w:tc>
      </w:tr>
      <w:tr w14:paraId="341F8B24">
        <w:tblPrEx>
          <w:tblCellMar>
            <w:top w:w="0" w:type="dxa"/>
            <w:left w:w="108" w:type="dxa"/>
            <w:bottom w:w="0" w:type="dxa"/>
            <w:right w:w="108" w:type="dxa"/>
          </w:tblCellMar>
        </w:tblPrEx>
        <w:trPr>
          <w:trHeight w:val="594" w:hRule="atLeast"/>
          <w:jc w:val="center"/>
        </w:trPr>
        <w:tc>
          <w:tcPr>
            <w:tcW w:w="521" w:type="dxa"/>
            <w:tcBorders>
              <w:top w:val="nil"/>
              <w:left w:val="single" w:color="auto" w:sz="4" w:space="0"/>
              <w:bottom w:val="single" w:color="auto" w:sz="4" w:space="0"/>
              <w:right w:val="single" w:color="auto" w:sz="4" w:space="0"/>
            </w:tcBorders>
            <w:shd w:val="clear" w:color="auto" w:fill="auto"/>
            <w:vAlign w:val="center"/>
          </w:tcPr>
          <w:p w14:paraId="6EBB3D7E">
            <w:pPr>
              <w:widowControl/>
              <w:jc w:val="center"/>
              <w:rPr>
                <w:rFonts w:ascii="宋体" w:hAnsi="宋体" w:cs="宋体"/>
                <w:color w:val="auto"/>
                <w:kern w:val="0"/>
                <w:sz w:val="13"/>
                <w:szCs w:val="13"/>
                <w:highlight w:val="none"/>
              </w:rPr>
            </w:pPr>
            <w:r>
              <w:rPr>
                <w:rFonts w:ascii="宋体" w:hAnsi="宋体" w:cs="宋体"/>
                <w:color w:val="auto"/>
                <w:kern w:val="0"/>
                <w:sz w:val="13"/>
                <w:szCs w:val="13"/>
                <w:highlight w:val="none"/>
              </w:rPr>
              <w:t>7</w:t>
            </w:r>
          </w:p>
        </w:tc>
        <w:tc>
          <w:tcPr>
            <w:tcW w:w="1422" w:type="dxa"/>
            <w:gridSpan w:val="2"/>
            <w:tcBorders>
              <w:top w:val="nil"/>
              <w:left w:val="nil"/>
              <w:bottom w:val="single" w:color="auto" w:sz="4" w:space="0"/>
              <w:right w:val="single" w:color="auto" w:sz="4" w:space="0"/>
            </w:tcBorders>
            <w:shd w:val="clear" w:color="auto" w:fill="auto"/>
            <w:vAlign w:val="center"/>
          </w:tcPr>
          <w:p w14:paraId="5EE2DDA3">
            <w:pPr>
              <w:widowControl/>
              <w:jc w:val="left"/>
              <w:rPr>
                <w:rFonts w:ascii="宋体" w:hAnsi="宋体" w:cs="宋体"/>
                <w:color w:val="auto"/>
                <w:kern w:val="0"/>
                <w:sz w:val="13"/>
                <w:szCs w:val="13"/>
                <w:highlight w:val="none"/>
              </w:rPr>
            </w:pPr>
          </w:p>
        </w:tc>
        <w:tc>
          <w:tcPr>
            <w:tcW w:w="1981" w:type="dxa"/>
            <w:tcBorders>
              <w:top w:val="nil"/>
              <w:left w:val="nil"/>
              <w:bottom w:val="single" w:color="auto" w:sz="4" w:space="0"/>
              <w:right w:val="single" w:color="auto" w:sz="4" w:space="0"/>
            </w:tcBorders>
            <w:shd w:val="clear" w:color="auto" w:fill="auto"/>
            <w:noWrap/>
            <w:vAlign w:val="center"/>
          </w:tcPr>
          <w:p w14:paraId="171E11F3">
            <w:pPr>
              <w:widowControl/>
              <w:jc w:val="left"/>
              <w:rPr>
                <w:rFonts w:ascii="宋体" w:hAnsi="宋体" w:cs="宋体"/>
                <w:color w:val="auto"/>
                <w:kern w:val="0"/>
                <w:sz w:val="13"/>
                <w:szCs w:val="13"/>
                <w:highlight w:val="none"/>
              </w:rPr>
            </w:pPr>
          </w:p>
        </w:tc>
        <w:tc>
          <w:tcPr>
            <w:tcW w:w="567" w:type="dxa"/>
            <w:tcBorders>
              <w:top w:val="nil"/>
              <w:left w:val="nil"/>
              <w:bottom w:val="single" w:color="auto" w:sz="4" w:space="0"/>
              <w:right w:val="single" w:color="auto" w:sz="4" w:space="0"/>
            </w:tcBorders>
            <w:shd w:val="clear" w:color="auto" w:fill="auto"/>
            <w:vAlign w:val="center"/>
          </w:tcPr>
          <w:p w14:paraId="6D5AAE36">
            <w:pPr>
              <w:widowControl/>
              <w:jc w:val="center"/>
              <w:rPr>
                <w:rFonts w:ascii="宋体" w:hAnsi="宋体" w:cs="宋体"/>
                <w:color w:val="auto"/>
                <w:kern w:val="0"/>
                <w:sz w:val="13"/>
                <w:szCs w:val="13"/>
                <w:highlight w:val="none"/>
              </w:rPr>
            </w:pPr>
          </w:p>
        </w:tc>
        <w:tc>
          <w:tcPr>
            <w:tcW w:w="571" w:type="dxa"/>
            <w:tcBorders>
              <w:top w:val="nil"/>
              <w:left w:val="nil"/>
              <w:bottom w:val="single" w:color="auto" w:sz="4" w:space="0"/>
              <w:right w:val="single" w:color="auto" w:sz="4" w:space="0"/>
            </w:tcBorders>
            <w:shd w:val="clear" w:color="auto" w:fill="auto"/>
            <w:vAlign w:val="center"/>
          </w:tcPr>
          <w:p w14:paraId="0510D907">
            <w:pPr>
              <w:widowControl/>
              <w:jc w:val="center"/>
              <w:rPr>
                <w:rFonts w:ascii="宋体" w:hAnsi="宋体" w:cs="宋体"/>
                <w:color w:val="auto"/>
                <w:kern w:val="0"/>
                <w:sz w:val="13"/>
                <w:szCs w:val="13"/>
                <w:highlight w:val="none"/>
              </w:rPr>
            </w:pPr>
          </w:p>
        </w:tc>
        <w:tc>
          <w:tcPr>
            <w:tcW w:w="1656" w:type="dxa"/>
            <w:tcBorders>
              <w:top w:val="nil"/>
              <w:left w:val="nil"/>
              <w:bottom w:val="single" w:color="auto" w:sz="4" w:space="0"/>
              <w:right w:val="single" w:color="auto" w:sz="4" w:space="0"/>
            </w:tcBorders>
            <w:shd w:val="clear" w:color="auto" w:fill="auto"/>
            <w:vAlign w:val="center"/>
          </w:tcPr>
          <w:p w14:paraId="11497825">
            <w:pPr>
              <w:widowControl/>
              <w:jc w:val="right"/>
              <w:rPr>
                <w:rFonts w:ascii="宋体" w:hAnsi="宋体" w:cs="宋体"/>
                <w:color w:val="auto"/>
                <w:kern w:val="0"/>
                <w:sz w:val="13"/>
                <w:szCs w:val="13"/>
                <w:highlight w:val="none"/>
              </w:rPr>
            </w:pPr>
          </w:p>
        </w:tc>
        <w:tc>
          <w:tcPr>
            <w:tcW w:w="2921" w:type="dxa"/>
            <w:gridSpan w:val="3"/>
            <w:tcBorders>
              <w:top w:val="single" w:color="auto" w:sz="4" w:space="0"/>
              <w:left w:val="nil"/>
              <w:bottom w:val="single" w:color="auto" w:sz="4" w:space="0"/>
              <w:right w:val="single" w:color="000000" w:sz="4" w:space="0"/>
            </w:tcBorders>
            <w:shd w:val="clear" w:color="auto" w:fill="auto"/>
          </w:tcPr>
          <w:p w14:paraId="3DED2B71">
            <w:pPr>
              <w:widowControl/>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微软雅黑" w:hAnsi="微软雅黑" w:eastAsia="微软雅黑" w:cs="宋体"/>
                <w:color w:val="auto"/>
                <w:kern w:val="0"/>
                <w:sz w:val="13"/>
                <w:szCs w:val="13"/>
                <w:highlight w:val="none"/>
              </w:rPr>
              <w:t>存在整改事宜，具体如下：</w:t>
            </w:r>
          </w:p>
        </w:tc>
      </w:tr>
      <w:tr w14:paraId="2FDBC8A6">
        <w:tblPrEx>
          <w:tblCellMar>
            <w:top w:w="0" w:type="dxa"/>
            <w:left w:w="108" w:type="dxa"/>
            <w:bottom w:w="0" w:type="dxa"/>
            <w:right w:w="108" w:type="dxa"/>
          </w:tblCellMar>
        </w:tblPrEx>
        <w:trPr>
          <w:trHeight w:val="547" w:hRule="atLeast"/>
          <w:jc w:val="center"/>
        </w:trPr>
        <w:tc>
          <w:tcPr>
            <w:tcW w:w="3924" w:type="dxa"/>
            <w:gridSpan w:val="4"/>
            <w:tcBorders>
              <w:top w:val="nil"/>
              <w:left w:val="single" w:color="auto" w:sz="4" w:space="0"/>
              <w:bottom w:val="single" w:color="auto" w:sz="4" w:space="0"/>
              <w:right w:val="single" w:color="auto" w:sz="4" w:space="0"/>
            </w:tcBorders>
            <w:shd w:val="clear" w:color="auto" w:fill="auto"/>
            <w:vAlign w:val="center"/>
          </w:tcPr>
          <w:p w14:paraId="352BB5FD">
            <w:pPr>
              <w:widowControl/>
              <w:jc w:val="center"/>
              <w:rPr>
                <w:rFonts w:ascii="宋体" w:hAnsi="宋体" w:cs="宋体"/>
                <w:b/>
                <w:color w:val="auto"/>
                <w:kern w:val="0"/>
                <w:sz w:val="13"/>
                <w:szCs w:val="13"/>
                <w:highlight w:val="none"/>
              </w:rPr>
            </w:pPr>
            <w:r>
              <w:rPr>
                <w:rFonts w:hint="eastAsia" w:ascii="宋体" w:hAnsi="宋体" w:cs="宋体"/>
                <w:b/>
                <w:color w:val="auto"/>
                <w:kern w:val="0"/>
                <w:sz w:val="13"/>
                <w:szCs w:val="13"/>
                <w:highlight w:val="none"/>
              </w:rPr>
              <w:t>合计（元）</w:t>
            </w:r>
          </w:p>
        </w:tc>
        <w:tc>
          <w:tcPr>
            <w:tcW w:w="567" w:type="dxa"/>
            <w:tcBorders>
              <w:top w:val="nil"/>
              <w:left w:val="nil"/>
              <w:bottom w:val="single" w:color="auto" w:sz="4" w:space="0"/>
              <w:right w:val="single" w:color="auto" w:sz="4" w:space="0"/>
            </w:tcBorders>
            <w:shd w:val="clear" w:color="auto" w:fill="auto"/>
            <w:vAlign w:val="center"/>
          </w:tcPr>
          <w:p w14:paraId="36E61A02">
            <w:pPr>
              <w:widowControl/>
              <w:jc w:val="center"/>
              <w:rPr>
                <w:rFonts w:ascii="宋体" w:hAnsi="宋体" w:cs="宋体"/>
                <w:color w:val="auto"/>
                <w:kern w:val="0"/>
                <w:sz w:val="13"/>
                <w:szCs w:val="13"/>
                <w:highlight w:val="none"/>
              </w:rPr>
            </w:pPr>
          </w:p>
        </w:tc>
        <w:tc>
          <w:tcPr>
            <w:tcW w:w="571" w:type="dxa"/>
            <w:tcBorders>
              <w:top w:val="nil"/>
              <w:left w:val="nil"/>
              <w:bottom w:val="single" w:color="auto" w:sz="4" w:space="0"/>
              <w:right w:val="single" w:color="auto" w:sz="4" w:space="0"/>
            </w:tcBorders>
            <w:shd w:val="clear" w:color="auto" w:fill="auto"/>
            <w:vAlign w:val="center"/>
          </w:tcPr>
          <w:p w14:paraId="0AD8325F">
            <w:pPr>
              <w:widowControl/>
              <w:jc w:val="center"/>
              <w:rPr>
                <w:rFonts w:ascii="宋体" w:hAnsi="宋体" w:cs="宋体"/>
                <w:color w:val="auto"/>
                <w:kern w:val="0"/>
                <w:sz w:val="13"/>
                <w:szCs w:val="13"/>
                <w:highlight w:val="none"/>
              </w:rPr>
            </w:pPr>
          </w:p>
        </w:tc>
        <w:tc>
          <w:tcPr>
            <w:tcW w:w="1656" w:type="dxa"/>
            <w:tcBorders>
              <w:top w:val="nil"/>
              <w:left w:val="nil"/>
              <w:bottom w:val="single" w:color="auto" w:sz="4" w:space="0"/>
              <w:right w:val="single" w:color="auto" w:sz="4" w:space="0"/>
            </w:tcBorders>
            <w:shd w:val="clear" w:color="auto" w:fill="auto"/>
            <w:vAlign w:val="center"/>
          </w:tcPr>
          <w:p w14:paraId="58B7CC81">
            <w:pPr>
              <w:widowControl/>
              <w:jc w:val="right"/>
              <w:rPr>
                <w:rFonts w:ascii="宋体" w:hAnsi="宋体" w:cs="宋体"/>
                <w:color w:val="auto"/>
                <w:kern w:val="0"/>
                <w:sz w:val="13"/>
                <w:szCs w:val="13"/>
                <w:highlight w:val="none"/>
              </w:rPr>
            </w:pPr>
          </w:p>
        </w:tc>
        <w:tc>
          <w:tcPr>
            <w:tcW w:w="2921" w:type="dxa"/>
            <w:gridSpan w:val="3"/>
            <w:tcBorders>
              <w:top w:val="single" w:color="auto" w:sz="4" w:space="0"/>
              <w:left w:val="nil"/>
              <w:bottom w:val="single" w:color="auto" w:sz="4" w:space="0"/>
              <w:right w:val="single" w:color="000000" w:sz="4" w:space="0"/>
            </w:tcBorders>
            <w:shd w:val="clear" w:color="auto" w:fill="auto"/>
          </w:tcPr>
          <w:p w14:paraId="68E7AA17">
            <w:pPr>
              <w:widowControl/>
              <w:jc w:val="left"/>
              <w:rPr>
                <w:rFonts w:ascii="Wingdings 2" w:hAnsi="Wingdings 2"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b/>
                <w:color w:val="auto"/>
                <w:kern w:val="0"/>
                <w:sz w:val="13"/>
                <w:szCs w:val="13"/>
                <w:highlight w:val="none"/>
              </w:rPr>
              <w:t>含附件清单</w:t>
            </w:r>
          </w:p>
        </w:tc>
      </w:tr>
      <w:tr w14:paraId="1067E18E">
        <w:tblPrEx>
          <w:tblCellMar>
            <w:top w:w="0" w:type="dxa"/>
            <w:left w:w="108" w:type="dxa"/>
            <w:bottom w:w="0" w:type="dxa"/>
            <w:right w:w="108" w:type="dxa"/>
          </w:tblCellMar>
        </w:tblPrEx>
        <w:trPr>
          <w:trHeight w:val="379" w:hRule="atLeast"/>
          <w:jc w:val="center"/>
        </w:trPr>
        <w:tc>
          <w:tcPr>
            <w:tcW w:w="521" w:type="dxa"/>
            <w:vMerge w:val="restart"/>
            <w:tcBorders>
              <w:top w:val="nil"/>
              <w:left w:val="single" w:color="auto" w:sz="4" w:space="0"/>
              <w:bottom w:val="single" w:color="auto" w:sz="4" w:space="0"/>
              <w:right w:val="single" w:color="auto" w:sz="4" w:space="0"/>
            </w:tcBorders>
            <w:shd w:val="clear" w:color="auto" w:fill="auto"/>
            <w:vAlign w:val="center"/>
          </w:tcPr>
          <w:p w14:paraId="78C9BD8D">
            <w:pPr>
              <w:widowControl/>
              <w:jc w:val="left"/>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验收意见</w:t>
            </w:r>
          </w:p>
        </w:tc>
        <w:tc>
          <w:tcPr>
            <w:tcW w:w="1277" w:type="dxa"/>
            <w:tcBorders>
              <w:top w:val="nil"/>
              <w:left w:val="nil"/>
              <w:bottom w:val="single" w:color="auto" w:sz="4" w:space="0"/>
              <w:right w:val="single" w:color="auto" w:sz="4" w:space="0"/>
            </w:tcBorders>
            <w:shd w:val="clear" w:color="auto" w:fill="auto"/>
            <w:vAlign w:val="center"/>
          </w:tcPr>
          <w:p w14:paraId="78AE0157">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验收部门</w:t>
            </w:r>
          </w:p>
        </w:tc>
        <w:tc>
          <w:tcPr>
            <w:tcW w:w="3264" w:type="dxa"/>
            <w:gridSpan w:val="4"/>
            <w:tcBorders>
              <w:top w:val="single" w:color="auto" w:sz="4" w:space="0"/>
              <w:left w:val="nil"/>
              <w:bottom w:val="single" w:color="auto" w:sz="4" w:space="0"/>
              <w:right w:val="single" w:color="auto" w:sz="4" w:space="0"/>
            </w:tcBorders>
            <w:shd w:val="clear" w:color="auto" w:fill="auto"/>
            <w:vAlign w:val="center"/>
          </w:tcPr>
          <w:p w14:paraId="07D3357F">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验收意见</w:t>
            </w:r>
          </w:p>
        </w:tc>
        <w:tc>
          <w:tcPr>
            <w:tcW w:w="4577" w:type="dxa"/>
            <w:gridSpan w:val="4"/>
            <w:tcBorders>
              <w:top w:val="single" w:color="auto" w:sz="4" w:space="0"/>
              <w:left w:val="nil"/>
              <w:bottom w:val="single" w:color="auto" w:sz="4" w:space="0"/>
              <w:right w:val="single" w:color="auto" w:sz="4" w:space="0"/>
            </w:tcBorders>
            <w:shd w:val="clear" w:color="auto" w:fill="auto"/>
            <w:vAlign w:val="center"/>
          </w:tcPr>
          <w:p w14:paraId="6F006B11">
            <w:pPr>
              <w:widowControl/>
              <w:jc w:val="center"/>
              <w:rPr>
                <w:rFonts w:ascii="宋体" w:hAnsi="宋体" w:cs="宋体"/>
                <w:b/>
                <w:bCs/>
                <w:color w:val="auto"/>
                <w:kern w:val="0"/>
                <w:sz w:val="13"/>
                <w:szCs w:val="13"/>
                <w:highlight w:val="none"/>
              </w:rPr>
            </w:pPr>
            <w:r>
              <w:rPr>
                <w:rFonts w:hint="eastAsia" w:ascii="宋体" w:hAnsi="宋体" w:cs="宋体"/>
                <w:b/>
                <w:bCs/>
                <w:color w:val="auto"/>
                <w:kern w:val="0"/>
                <w:sz w:val="13"/>
                <w:szCs w:val="13"/>
                <w:highlight w:val="none"/>
              </w:rPr>
              <w:t>整改复验意见</w:t>
            </w:r>
          </w:p>
        </w:tc>
      </w:tr>
      <w:tr w14:paraId="609CD8B7">
        <w:tblPrEx>
          <w:tblCellMar>
            <w:top w:w="0" w:type="dxa"/>
            <w:left w:w="108" w:type="dxa"/>
            <w:bottom w:w="0" w:type="dxa"/>
            <w:right w:w="108" w:type="dxa"/>
          </w:tblCellMar>
        </w:tblPrEx>
        <w:trPr>
          <w:trHeight w:val="878"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04815651">
            <w:pPr>
              <w:widowControl/>
              <w:jc w:val="left"/>
              <w:rPr>
                <w:rFonts w:ascii="宋体" w:hAnsi="宋体" w:cs="宋体"/>
                <w:b/>
                <w:bCs/>
                <w:color w:val="auto"/>
                <w:kern w:val="0"/>
                <w:sz w:val="13"/>
                <w:szCs w:val="13"/>
                <w:highlight w:val="none"/>
              </w:rPr>
            </w:pPr>
          </w:p>
        </w:tc>
        <w:tc>
          <w:tcPr>
            <w:tcW w:w="1277" w:type="dxa"/>
            <w:vMerge w:val="restart"/>
            <w:tcBorders>
              <w:top w:val="nil"/>
              <w:left w:val="single" w:color="auto" w:sz="4" w:space="0"/>
              <w:bottom w:val="single" w:color="auto" w:sz="4" w:space="0"/>
              <w:right w:val="single" w:color="auto" w:sz="4" w:space="0"/>
            </w:tcBorders>
            <w:shd w:val="clear" w:color="auto" w:fill="auto"/>
          </w:tcPr>
          <w:p w14:paraId="50CBE3AA">
            <w:pPr>
              <w:widowControl/>
              <w:jc w:val="center"/>
              <w:rPr>
                <w:rFonts w:ascii="宋体" w:hAnsi="宋体" w:cs="宋体"/>
                <w:color w:val="auto"/>
                <w:kern w:val="0"/>
                <w:sz w:val="13"/>
                <w:szCs w:val="13"/>
                <w:highlight w:val="none"/>
              </w:rPr>
            </w:pPr>
          </w:p>
        </w:tc>
        <w:tc>
          <w:tcPr>
            <w:tcW w:w="3264" w:type="dxa"/>
            <w:gridSpan w:val="4"/>
            <w:tcBorders>
              <w:top w:val="single" w:color="auto" w:sz="4" w:space="0"/>
              <w:left w:val="nil"/>
              <w:bottom w:val="single" w:color="auto" w:sz="4" w:space="0"/>
              <w:right w:val="single" w:color="auto" w:sz="4" w:space="0"/>
            </w:tcBorders>
            <w:shd w:val="clear" w:color="auto" w:fill="auto"/>
          </w:tcPr>
          <w:p w14:paraId="01912E3B">
            <w:pPr>
              <w:widowControl/>
              <w:jc w:val="left"/>
              <w:rPr>
                <w:rFonts w:ascii="宋体" w:hAnsi="宋体"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存在整改事宜，待复验</w:t>
            </w:r>
          </w:p>
        </w:tc>
        <w:tc>
          <w:tcPr>
            <w:tcW w:w="4577" w:type="dxa"/>
            <w:gridSpan w:val="4"/>
            <w:tcBorders>
              <w:top w:val="single" w:color="auto" w:sz="4" w:space="0"/>
              <w:left w:val="nil"/>
              <w:bottom w:val="single" w:color="auto" w:sz="4" w:space="0"/>
              <w:right w:val="single" w:color="auto" w:sz="4" w:space="0"/>
            </w:tcBorders>
            <w:shd w:val="clear" w:color="auto" w:fill="auto"/>
          </w:tcPr>
          <w:p w14:paraId="4E3DA5A9">
            <w:pPr>
              <w:widowControl/>
              <w:jc w:val="left"/>
              <w:rPr>
                <w:rFonts w:ascii="宋体" w:hAnsi="宋体"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存在整改事宜，待复验</w:t>
            </w:r>
          </w:p>
        </w:tc>
      </w:tr>
      <w:tr w14:paraId="7382FD95">
        <w:tblPrEx>
          <w:tblCellMar>
            <w:top w:w="0" w:type="dxa"/>
            <w:left w:w="108" w:type="dxa"/>
            <w:bottom w:w="0" w:type="dxa"/>
            <w:right w:w="108" w:type="dxa"/>
          </w:tblCellMar>
        </w:tblPrEx>
        <w:trPr>
          <w:trHeight w:val="54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0074F939">
            <w:pPr>
              <w:widowControl/>
              <w:jc w:val="left"/>
              <w:rPr>
                <w:rFonts w:ascii="宋体" w:hAnsi="宋体" w:cs="宋体"/>
                <w:b/>
                <w:bCs/>
                <w:color w:val="auto"/>
                <w:kern w:val="0"/>
                <w:sz w:val="13"/>
                <w:szCs w:val="13"/>
                <w:highlight w:val="none"/>
              </w:rPr>
            </w:pPr>
          </w:p>
        </w:tc>
        <w:tc>
          <w:tcPr>
            <w:tcW w:w="1277" w:type="dxa"/>
            <w:vMerge w:val="continue"/>
            <w:tcBorders>
              <w:top w:val="nil"/>
              <w:left w:val="single" w:color="auto" w:sz="4" w:space="0"/>
              <w:bottom w:val="single" w:color="auto" w:sz="4" w:space="0"/>
              <w:right w:val="single" w:color="auto" w:sz="4" w:space="0"/>
            </w:tcBorders>
            <w:vAlign w:val="center"/>
          </w:tcPr>
          <w:p w14:paraId="2781C7C8">
            <w:pPr>
              <w:widowControl/>
              <w:jc w:val="left"/>
              <w:rPr>
                <w:rFonts w:ascii="宋体" w:hAnsi="宋体" w:cs="宋体"/>
                <w:color w:val="auto"/>
                <w:kern w:val="0"/>
                <w:sz w:val="13"/>
                <w:szCs w:val="13"/>
                <w:highlight w:val="none"/>
              </w:rPr>
            </w:pPr>
          </w:p>
        </w:tc>
        <w:tc>
          <w:tcPr>
            <w:tcW w:w="3264" w:type="dxa"/>
            <w:gridSpan w:val="4"/>
            <w:tcBorders>
              <w:top w:val="single" w:color="auto" w:sz="4" w:space="0"/>
              <w:left w:val="nil"/>
              <w:bottom w:val="single" w:color="auto" w:sz="4" w:space="0"/>
              <w:right w:val="single" w:color="auto" w:sz="4" w:space="0"/>
            </w:tcBorders>
            <w:shd w:val="clear" w:color="auto" w:fill="auto"/>
            <w:vAlign w:val="center"/>
          </w:tcPr>
          <w:p w14:paraId="12FB6701">
            <w:pPr>
              <w:widowControl/>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验收人：                    年    月    日   </w:t>
            </w:r>
          </w:p>
        </w:tc>
        <w:tc>
          <w:tcPr>
            <w:tcW w:w="4577" w:type="dxa"/>
            <w:gridSpan w:val="4"/>
            <w:tcBorders>
              <w:top w:val="single" w:color="auto" w:sz="4" w:space="0"/>
              <w:left w:val="nil"/>
              <w:bottom w:val="single" w:color="auto" w:sz="4" w:space="0"/>
              <w:right w:val="single" w:color="auto" w:sz="4" w:space="0"/>
            </w:tcBorders>
            <w:shd w:val="clear" w:color="auto" w:fill="auto"/>
            <w:vAlign w:val="center"/>
          </w:tcPr>
          <w:p w14:paraId="359FDC68">
            <w:pPr>
              <w:widowControl/>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验收人：                                                年    月    日   </w:t>
            </w:r>
          </w:p>
        </w:tc>
      </w:tr>
      <w:tr w14:paraId="2AD55EB1">
        <w:tblPrEx>
          <w:tblCellMar>
            <w:top w:w="0" w:type="dxa"/>
            <w:left w:w="108" w:type="dxa"/>
            <w:bottom w:w="0" w:type="dxa"/>
            <w:right w:w="108" w:type="dxa"/>
          </w:tblCellMar>
        </w:tblPrEx>
        <w:trPr>
          <w:trHeight w:val="998"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3269795D">
            <w:pPr>
              <w:widowControl/>
              <w:jc w:val="left"/>
              <w:rPr>
                <w:rFonts w:ascii="宋体" w:hAnsi="宋体" w:cs="宋体"/>
                <w:b/>
                <w:bCs/>
                <w:color w:val="auto"/>
                <w:kern w:val="0"/>
                <w:sz w:val="13"/>
                <w:szCs w:val="13"/>
                <w:highlight w:val="none"/>
              </w:rPr>
            </w:pPr>
          </w:p>
        </w:tc>
        <w:tc>
          <w:tcPr>
            <w:tcW w:w="1277" w:type="dxa"/>
            <w:vMerge w:val="restart"/>
            <w:tcBorders>
              <w:top w:val="nil"/>
              <w:left w:val="single" w:color="auto" w:sz="4" w:space="0"/>
              <w:bottom w:val="single" w:color="auto" w:sz="4" w:space="0"/>
              <w:right w:val="single" w:color="auto" w:sz="4" w:space="0"/>
            </w:tcBorders>
            <w:shd w:val="clear" w:color="auto" w:fill="auto"/>
          </w:tcPr>
          <w:p w14:paraId="52DA45EB">
            <w:pPr>
              <w:widowControl/>
              <w:jc w:val="center"/>
              <w:rPr>
                <w:rFonts w:ascii="宋体" w:hAnsi="宋体" w:cs="宋体"/>
                <w:color w:val="auto"/>
                <w:kern w:val="0"/>
                <w:sz w:val="13"/>
                <w:szCs w:val="13"/>
                <w:highlight w:val="none"/>
              </w:rPr>
            </w:pPr>
          </w:p>
        </w:tc>
        <w:tc>
          <w:tcPr>
            <w:tcW w:w="3264" w:type="dxa"/>
            <w:gridSpan w:val="4"/>
            <w:tcBorders>
              <w:top w:val="single" w:color="auto" w:sz="4" w:space="0"/>
              <w:left w:val="nil"/>
              <w:bottom w:val="single" w:color="auto" w:sz="4" w:space="0"/>
              <w:right w:val="single" w:color="auto" w:sz="4" w:space="0"/>
            </w:tcBorders>
            <w:shd w:val="clear" w:color="auto" w:fill="auto"/>
          </w:tcPr>
          <w:p w14:paraId="524E38C2">
            <w:pPr>
              <w:widowControl/>
              <w:jc w:val="left"/>
              <w:rPr>
                <w:rFonts w:ascii="宋体" w:hAnsi="宋体"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存在整改事宜，待复验</w:t>
            </w:r>
          </w:p>
        </w:tc>
        <w:tc>
          <w:tcPr>
            <w:tcW w:w="4577" w:type="dxa"/>
            <w:gridSpan w:val="4"/>
            <w:tcBorders>
              <w:top w:val="single" w:color="auto" w:sz="4" w:space="0"/>
              <w:left w:val="nil"/>
              <w:bottom w:val="single" w:color="auto" w:sz="4" w:space="0"/>
              <w:right w:val="single" w:color="auto" w:sz="4" w:space="0"/>
            </w:tcBorders>
            <w:shd w:val="clear" w:color="auto" w:fill="auto"/>
          </w:tcPr>
          <w:p w14:paraId="4C52C345">
            <w:pPr>
              <w:widowControl/>
              <w:jc w:val="left"/>
              <w:rPr>
                <w:rFonts w:ascii="宋体" w:hAnsi="宋体"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存在整改事宜，待复验</w:t>
            </w:r>
          </w:p>
        </w:tc>
      </w:tr>
      <w:tr w14:paraId="0F5E3C76">
        <w:tblPrEx>
          <w:tblCellMar>
            <w:top w:w="0" w:type="dxa"/>
            <w:left w:w="108" w:type="dxa"/>
            <w:bottom w:w="0" w:type="dxa"/>
            <w:right w:w="108" w:type="dxa"/>
          </w:tblCellMar>
        </w:tblPrEx>
        <w:trPr>
          <w:trHeight w:val="54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1FB97D15">
            <w:pPr>
              <w:widowControl/>
              <w:jc w:val="left"/>
              <w:rPr>
                <w:rFonts w:ascii="宋体" w:hAnsi="宋体" w:cs="宋体"/>
                <w:b/>
                <w:bCs/>
                <w:color w:val="auto"/>
                <w:kern w:val="0"/>
                <w:sz w:val="13"/>
                <w:szCs w:val="13"/>
                <w:highlight w:val="none"/>
              </w:rPr>
            </w:pPr>
          </w:p>
        </w:tc>
        <w:tc>
          <w:tcPr>
            <w:tcW w:w="1277" w:type="dxa"/>
            <w:vMerge w:val="continue"/>
            <w:tcBorders>
              <w:top w:val="nil"/>
              <w:left w:val="single" w:color="auto" w:sz="4" w:space="0"/>
              <w:bottom w:val="single" w:color="auto" w:sz="4" w:space="0"/>
              <w:right w:val="single" w:color="auto" w:sz="4" w:space="0"/>
            </w:tcBorders>
            <w:vAlign w:val="center"/>
          </w:tcPr>
          <w:p w14:paraId="670A6099">
            <w:pPr>
              <w:widowControl/>
              <w:jc w:val="left"/>
              <w:rPr>
                <w:rFonts w:ascii="宋体" w:hAnsi="宋体" w:cs="宋体"/>
                <w:color w:val="auto"/>
                <w:kern w:val="0"/>
                <w:sz w:val="13"/>
                <w:szCs w:val="13"/>
                <w:highlight w:val="none"/>
              </w:rPr>
            </w:pPr>
          </w:p>
        </w:tc>
        <w:tc>
          <w:tcPr>
            <w:tcW w:w="3264" w:type="dxa"/>
            <w:gridSpan w:val="4"/>
            <w:tcBorders>
              <w:top w:val="single" w:color="auto" w:sz="4" w:space="0"/>
              <w:left w:val="nil"/>
              <w:bottom w:val="single" w:color="auto" w:sz="4" w:space="0"/>
              <w:right w:val="single" w:color="auto" w:sz="4" w:space="0"/>
            </w:tcBorders>
            <w:shd w:val="clear" w:color="auto" w:fill="auto"/>
            <w:vAlign w:val="center"/>
          </w:tcPr>
          <w:p w14:paraId="0AEBD1E6">
            <w:pPr>
              <w:widowControl/>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验收人：                    年    月    日   </w:t>
            </w:r>
          </w:p>
        </w:tc>
        <w:tc>
          <w:tcPr>
            <w:tcW w:w="4577" w:type="dxa"/>
            <w:gridSpan w:val="4"/>
            <w:tcBorders>
              <w:top w:val="single" w:color="auto" w:sz="4" w:space="0"/>
              <w:left w:val="nil"/>
              <w:bottom w:val="single" w:color="auto" w:sz="4" w:space="0"/>
              <w:right w:val="single" w:color="auto" w:sz="4" w:space="0"/>
            </w:tcBorders>
            <w:shd w:val="clear" w:color="auto" w:fill="auto"/>
            <w:vAlign w:val="center"/>
          </w:tcPr>
          <w:p w14:paraId="0AA7A45D">
            <w:pPr>
              <w:widowControl/>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验收人：                                                年    月    日   </w:t>
            </w:r>
          </w:p>
        </w:tc>
      </w:tr>
      <w:tr w14:paraId="25A3C2EF">
        <w:tblPrEx>
          <w:tblCellMar>
            <w:top w:w="0" w:type="dxa"/>
            <w:left w:w="108" w:type="dxa"/>
            <w:bottom w:w="0" w:type="dxa"/>
            <w:right w:w="108" w:type="dxa"/>
          </w:tblCellMar>
        </w:tblPrEx>
        <w:trPr>
          <w:trHeight w:val="986"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2DA580EE">
            <w:pPr>
              <w:widowControl/>
              <w:jc w:val="left"/>
              <w:rPr>
                <w:rFonts w:ascii="宋体" w:hAnsi="宋体" w:cs="宋体"/>
                <w:b/>
                <w:bCs/>
                <w:color w:val="auto"/>
                <w:kern w:val="0"/>
                <w:sz w:val="13"/>
                <w:szCs w:val="13"/>
                <w:highlight w:val="none"/>
              </w:rPr>
            </w:pPr>
          </w:p>
        </w:tc>
        <w:tc>
          <w:tcPr>
            <w:tcW w:w="1277" w:type="dxa"/>
            <w:vMerge w:val="restart"/>
            <w:tcBorders>
              <w:top w:val="nil"/>
              <w:left w:val="single" w:color="auto" w:sz="4" w:space="0"/>
              <w:bottom w:val="single" w:color="auto" w:sz="4" w:space="0"/>
              <w:right w:val="single" w:color="auto" w:sz="4" w:space="0"/>
            </w:tcBorders>
            <w:shd w:val="clear" w:color="auto" w:fill="auto"/>
          </w:tcPr>
          <w:p w14:paraId="4636EC42">
            <w:pPr>
              <w:widowControl/>
              <w:jc w:val="center"/>
              <w:rPr>
                <w:rFonts w:ascii="宋体" w:hAnsi="宋体" w:cs="宋体"/>
                <w:color w:val="auto"/>
                <w:kern w:val="0"/>
                <w:sz w:val="13"/>
                <w:szCs w:val="13"/>
                <w:highlight w:val="none"/>
              </w:rPr>
            </w:pPr>
          </w:p>
        </w:tc>
        <w:tc>
          <w:tcPr>
            <w:tcW w:w="3264" w:type="dxa"/>
            <w:gridSpan w:val="4"/>
            <w:tcBorders>
              <w:top w:val="single" w:color="auto" w:sz="4" w:space="0"/>
              <w:left w:val="nil"/>
              <w:bottom w:val="single" w:color="auto" w:sz="4" w:space="0"/>
              <w:right w:val="single" w:color="auto" w:sz="4" w:space="0"/>
            </w:tcBorders>
            <w:shd w:val="clear" w:color="auto" w:fill="auto"/>
          </w:tcPr>
          <w:p w14:paraId="50165091">
            <w:pPr>
              <w:widowControl/>
              <w:jc w:val="left"/>
              <w:rPr>
                <w:rFonts w:ascii="宋体" w:hAnsi="宋体"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存在整改事宜，待复验</w:t>
            </w:r>
          </w:p>
        </w:tc>
        <w:tc>
          <w:tcPr>
            <w:tcW w:w="4577" w:type="dxa"/>
            <w:gridSpan w:val="4"/>
            <w:tcBorders>
              <w:top w:val="single" w:color="auto" w:sz="4" w:space="0"/>
              <w:left w:val="nil"/>
              <w:bottom w:val="single" w:color="auto" w:sz="4" w:space="0"/>
              <w:right w:val="single" w:color="auto" w:sz="4" w:space="0"/>
            </w:tcBorders>
            <w:shd w:val="clear" w:color="auto" w:fill="auto"/>
          </w:tcPr>
          <w:p w14:paraId="4F55A923">
            <w:pPr>
              <w:widowControl/>
              <w:jc w:val="left"/>
              <w:rPr>
                <w:rFonts w:ascii="宋体" w:hAnsi="宋体" w:cs="宋体"/>
                <w:color w:val="auto"/>
                <w:kern w:val="0"/>
                <w:sz w:val="13"/>
                <w:szCs w:val="13"/>
                <w:highlight w:val="none"/>
              </w:rPr>
            </w:pP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 xml:space="preserve">不合格 </w:t>
            </w:r>
            <w:r>
              <w:rPr>
                <w:rFonts w:ascii="Wingdings 2" w:hAnsi="Wingdings 2" w:cs="宋体"/>
                <w:color w:val="auto"/>
                <w:kern w:val="0"/>
                <w:sz w:val="13"/>
                <w:szCs w:val="13"/>
                <w:highlight w:val="none"/>
              </w:rPr>
              <w:t></w:t>
            </w:r>
            <w:r>
              <w:rPr>
                <w:rFonts w:hint="eastAsia" w:ascii="宋体" w:hAnsi="宋体" w:cs="宋体"/>
                <w:color w:val="auto"/>
                <w:kern w:val="0"/>
                <w:sz w:val="13"/>
                <w:szCs w:val="13"/>
                <w:highlight w:val="none"/>
              </w:rPr>
              <w:t>存在整改事宜，待复验</w:t>
            </w:r>
          </w:p>
        </w:tc>
      </w:tr>
      <w:tr w14:paraId="49A972A7">
        <w:tblPrEx>
          <w:tblCellMar>
            <w:top w:w="0" w:type="dxa"/>
            <w:left w:w="108" w:type="dxa"/>
            <w:bottom w:w="0" w:type="dxa"/>
            <w:right w:w="108" w:type="dxa"/>
          </w:tblCellMar>
        </w:tblPrEx>
        <w:trPr>
          <w:trHeight w:val="54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29B701E5">
            <w:pPr>
              <w:widowControl/>
              <w:jc w:val="left"/>
              <w:rPr>
                <w:rFonts w:ascii="宋体" w:hAnsi="宋体" w:cs="宋体"/>
                <w:b/>
                <w:bCs/>
                <w:color w:val="auto"/>
                <w:kern w:val="0"/>
                <w:sz w:val="13"/>
                <w:szCs w:val="13"/>
                <w:highlight w:val="none"/>
              </w:rPr>
            </w:pPr>
          </w:p>
        </w:tc>
        <w:tc>
          <w:tcPr>
            <w:tcW w:w="1277" w:type="dxa"/>
            <w:vMerge w:val="continue"/>
            <w:tcBorders>
              <w:top w:val="nil"/>
              <w:left w:val="single" w:color="auto" w:sz="4" w:space="0"/>
              <w:bottom w:val="single" w:color="auto" w:sz="4" w:space="0"/>
              <w:right w:val="single" w:color="auto" w:sz="4" w:space="0"/>
            </w:tcBorders>
            <w:vAlign w:val="center"/>
          </w:tcPr>
          <w:p w14:paraId="72DF9A1F">
            <w:pPr>
              <w:widowControl/>
              <w:jc w:val="left"/>
              <w:rPr>
                <w:rFonts w:ascii="宋体" w:hAnsi="宋体" w:cs="宋体"/>
                <w:color w:val="auto"/>
                <w:kern w:val="0"/>
                <w:sz w:val="13"/>
                <w:szCs w:val="13"/>
                <w:highlight w:val="none"/>
              </w:rPr>
            </w:pPr>
          </w:p>
        </w:tc>
        <w:tc>
          <w:tcPr>
            <w:tcW w:w="3264" w:type="dxa"/>
            <w:gridSpan w:val="4"/>
            <w:tcBorders>
              <w:top w:val="single" w:color="auto" w:sz="4" w:space="0"/>
              <w:left w:val="nil"/>
              <w:bottom w:val="single" w:color="auto" w:sz="4" w:space="0"/>
              <w:right w:val="single" w:color="auto" w:sz="4" w:space="0"/>
            </w:tcBorders>
            <w:shd w:val="clear" w:color="auto" w:fill="auto"/>
            <w:vAlign w:val="center"/>
          </w:tcPr>
          <w:p w14:paraId="66586694">
            <w:pPr>
              <w:widowControl/>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验收人：                    年    月    日   </w:t>
            </w:r>
          </w:p>
        </w:tc>
        <w:tc>
          <w:tcPr>
            <w:tcW w:w="4577" w:type="dxa"/>
            <w:gridSpan w:val="4"/>
            <w:tcBorders>
              <w:top w:val="single" w:color="auto" w:sz="4" w:space="0"/>
              <w:left w:val="nil"/>
              <w:bottom w:val="single" w:color="auto" w:sz="4" w:space="0"/>
              <w:right w:val="single" w:color="auto" w:sz="4" w:space="0"/>
            </w:tcBorders>
            <w:shd w:val="clear" w:color="auto" w:fill="auto"/>
            <w:vAlign w:val="center"/>
          </w:tcPr>
          <w:p w14:paraId="7D7D6BF8">
            <w:pPr>
              <w:widowControl/>
              <w:jc w:val="left"/>
              <w:rPr>
                <w:rFonts w:ascii="宋体" w:hAnsi="宋体" w:cs="宋体"/>
                <w:color w:val="auto"/>
                <w:kern w:val="0"/>
                <w:sz w:val="13"/>
                <w:szCs w:val="13"/>
                <w:highlight w:val="none"/>
              </w:rPr>
            </w:pPr>
            <w:r>
              <w:rPr>
                <w:rFonts w:hint="eastAsia" w:ascii="宋体" w:hAnsi="宋体" w:cs="宋体"/>
                <w:color w:val="auto"/>
                <w:kern w:val="0"/>
                <w:sz w:val="13"/>
                <w:szCs w:val="13"/>
                <w:highlight w:val="none"/>
              </w:rPr>
              <w:t xml:space="preserve">验收人：                                                年    月    日   </w:t>
            </w:r>
          </w:p>
        </w:tc>
      </w:tr>
      <w:tr w14:paraId="18BCA3C1">
        <w:tblPrEx>
          <w:tblCellMar>
            <w:top w:w="0" w:type="dxa"/>
            <w:left w:w="108" w:type="dxa"/>
            <w:bottom w:w="0" w:type="dxa"/>
            <w:right w:w="108" w:type="dxa"/>
          </w:tblCellMar>
        </w:tblPrEx>
        <w:trPr>
          <w:trHeight w:val="561" w:hRule="atLeast"/>
          <w:jc w:val="center"/>
        </w:trPr>
        <w:tc>
          <w:tcPr>
            <w:tcW w:w="9639" w:type="dxa"/>
            <w:gridSpan w:val="10"/>
            <w:tcBorders>
              <w:top w:val="single" w:color="auto" w:sz="4" w:space="0"/>
              <w:left w:val="nil"/>
              <w:bottom w:val="nil"/>
              <w:right w:val="nil"/>
            </w:tcBorders>
            <w:shd w:val="clear" w:color="auto" w:fill="auto"/>
            <w:noWrap/>
            <w:vAlign w:val="center"/>
          </w:tcPr>
          <w:p w14:paraId="76C510E7">
            <w:pPr>
              <w:widowControl/>
              <w:jc w:val="left"/>
              <w:rPr>
                <w:rFonts w:eastAsia="Times New Roman"/>
                <w:color w:val="auto"/>
                <w:kern w:val="0"/>
                <w:sz w:val="13"/>
                <w:szCs w:val="13"/>
                <w:highlight w:val="none"/>
              </w:rPr>
            </w:pPr>
            <w:r>
              <w:rPr>
                <w:rFonts w:hint="eastAsia" w:ascii="宋体" w:hAnsi="宋体" w:cs="宋体"/>
                <w:color w:val="auto"/>
                <w:kern w:val="0"/>
                <w:sz w:val="13"/>
                <w:szCs w:val="13"/>
                <w:highlight w:val="none"/>
              </w:rPr>
              <w:t>注：本报告一式二联，政府采购项目按政府采购履约验收报告（参考模板）相关格式文件验收</w:t>
            </w:r>
          </w:p>
        </w:tc>
      </w:tr>
    </w:tbl>
    <w:p w14:paraId="22EB21D8">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附件三（如有）</w:t>
      </w:r>
    </w:p>
    <w:p w14:paraId="0805AA19">
      <w:pPr>
        <w:rPr>
          <w:rFonts w:ascii="宋体" w:hAnsi="宋体"/>
          <w:b/>
          <w:color w:val="auto"/>
          <w:spacing w:val="60"/>
          <w:sz w:val="24"/>
          <w:highlight w:val="none"/>
          <w:lang w:eastAsia="zh-Hans"/>
        </w:rPr>
      </w:pPr>
    </w:p>
    <w:p w14:paraId="3D71D801">
      <w:pPr>
        <w:rPr>
          <w:rFonts w:ascii="宋体" w:hAnsi="宋体"/>
          <w:b/>
          <w:color w:val="auto"/>
          <w:spacing w:val="60"/>
          <w:sz w:val="24"/>
          <w:highlight w:val="none"/>
          <w:lang w:eastAsia="zh-Hans"/>
        </w:rPr>
      </w:pPr>
      <w:r>
        <w:rPr>
          <w:rFonts w:hint="eastAsia" w:ascii="宋体" w:hAnsi="宋体"/>
          <w:b/>
          <w:color w:val="auto"/>
          <w:spacing w:val="60"/>
          <w:sz w:val="24"/>
          <w:highlight w:val="none"/>
          <w:lang w:eastAsia="zh-Hans"/>
        </w:rPr>
        <w:br w:type="page"/>
      </w:r>
    </w:p>
    <w:p w14:paraId="2E10525C">
      <w:pPr>
        <w:snapToGrid w:val="0"/>
        <w:spacing w:line="480" w:lineRule="auto"/>
        <w:jc w:val="center"/>
        <w:rPr>
          <w:rFonts w:ascii="宋体" w:hAnsi="宋体"/>
          <w:b/>
          <w:color w:val="auto"/>
          <w:spacing w:val="60"/>
          <w:sz w:val="24"/>
          <w:highlight w:val="none"/>
        </w:rPr>
      </w:pPr>
      <w:r>
        <w:rPr>
          <w:rFonts w:hint="eastAsia" w:ascii="宋体" w:hAnsi="宋体"/>
          <w:b/>
          <w:color w:val="auto"/>
          <w:spacing w:val="60"/>
          <w:sz w:val="24"/>
          <w:highlight w:val="none"/>
          <w:lang w:eastAsia="zh-Hans"/>
        </w:rPr>
        <w:t>香港城市大学（东莞）工程采购</w:t>
      </w:r>
      <w:r>
        <w:rPr>
          <w:rFonts w:hint="eastAsia" w:ascii="宋体" w:hAnsi="宋体"/>
          <w:b/>
          <w:color w:val="auto"/>
          <w:spacing w:val="60"/>
          <w:sz w:val="24"/>
          <w:highlight w:val="none"/>
        </w:rPr>
        <w:t>合同</w:t>
      </w:r>
    </w:p>
    <w:p w14:paraId="54997DAF">
      <w:pPr>
        <w:pStyle w:val="2"/>
        <w:spacing w:line="360" w:lineRule="auto"/>
        <w:ind w:left="482"/>
        <w:rPr>
          <w:rFonts w:ascii="宋体" w:hAnsi="宋体" w:eastAsia="宋体"/>
          <w:color w:val="auto"/>
          <w:sz w:val="24"/>
          <w:szCs w:val="24"/>
          <w:highlight w:val="none"/>
        </w:rPr>
      </w:pPr>
      <w:r>
        <w:rPr>
          <w:rFonts w:hint="eastAsia" w:ascii="宋体" w:hAnsi="宋体" w:eastAsia="宋体"/>
          <w:color w:val="auto"/>
          <w:sz w:val="24"/>
          <w:szCs w:val="24"/>
          <w:highlight w:val="none"/>
        </w:rPr>
        <w:t>第三部分 合同通用条款</w:t>
      </w:r>
    </w:p>
    <w:p w14:paraId="70D6623E">
      <w:pPr>
        <w:pStyle w:val="21"/>
        <w:snapToGrid w:val="0"/>
        <w:spacing w:after="120" w:afterLines="50" w:line="360" w:lineRule="auto"/>
        <w:ind w:left="420" w:firstLine="0" w:firstLineChars="0"/>
        <w:rPr>
          <w:rFonts w:asciiTheme="minorEastAsia" w:hAnsiTheme="minorEastAsia" w:eastAsiaTheme="minorEastAsia"/>
          <w:color w:val="auto"/>
          <w:sz w:val="24"/>
          <w:highlight w:val="none"/>
          <w:lang w:eastAsia="zh-Hans"/>
        </w:rPr>
      </w:pPr>
    </w:p>
    <w:p w14:paraId="03BA4D4D">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根据《中华人民共和国民法典》规定，甲、乙双方本着诚实信用、互惠互利的原则，</w:t>
      </w:r>
      <w:r>
        <w:rPr>
          <w:rFonts w:cs="宋体" w:asciiTheme="majorEastAsia" w:hAnsiTheme="majorEastAsia" w:eastAsiaTheme="majorEastAsia"/>
          <w:color w:val="auto"/>
          <w:sz w:val="24"/>
          <w:highlight w:val="none"/>
        </w:rPr>
        <w:t>就</w:t>
      </w:r>
      <w:r>
        <w:rPr>
          <w:rFonts w:hint="eastAsia" w:cs="宋体" w:asciiTheme="majorEastAsia" w:hAnsiTheme="majorEastAsia" w:eastAsiaTheme="majorEastAsia"/>
          <w:color w:val="auto"/>
          <w:sz w:val="24"/>
          <w:highlight w:val="none"/>
          <w:u w:val="none"/>
          <w:lang w:val="en-US" w:eastAsia="zh-CN"/>
        </w:rPr>
        <w:t>本</w:t>
      </w:r>
      <w:r>
        <w:rPr>
          <w:rFonts w:hint="eastAsia" w:cs="宋体" w:asciiTheme="majorEastAsia" w:hAnsiTheme="majorEastAsia" w:eastAsiaTheme="majorEastAsia"/>
          <w:color w:val="auto"/>
          <w:sz w:val="24"/>
          <w:highlight w:val="none"/>
        </w:rPr>
        <w:t>项目</w:t>
      </w:r>
      <w:r>
        <w:rPr>
          <w:rFonts w:cs="宋体" w:asciiTheme="minorEastAsia" w:hAnsiTheme="minorEastAsia" w:eastAsiaTheme="minorEastAsia"/>
          <w:color w:val="auto"/>
          <w:sz w:val="24"/>
          <w:highlight w:val="none"/>
        </w:rPr>
        <w:t>事项协商一致</w:t>
      </w:r>
      <w:r>
        <w:rPr>
          <w:rFonts w:hint="eastAsia" w:asciiTheme="minorEastAsia" w:hAnsiTheme="minorEastAsia" w:eastAsiaTheme="minorEastAsia"/>
          <w:color w:val="auto"/>
          <w:sz w:val="24"/>
          <w:highlight w:val="none"/>
        </w:rPr>
        <w:t>，特订立本合同并共同遵守</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具体通用条款如下</w:t>
      </w:r>
      <w:r>
        <w:rPr>
          <w:rFonts w:hint="eastAsia" w:asciiTheme="minorEastAsia" w:hAnsiTheme="minorEastAsia" w:eastAsiaTheme="minorEastAsia"/>
          <w:color w:val="auto"/>
          <w:sz w:val="24"/>
          <w:highlight w:val="none"/>
          <w:lang w:eastAsia="zh-CN"/>
        </w:rPr>
        <w:t>：</w:t>
      </w:r>
    </w:p>
    <w:p w14:paraId="1FCFA3FD">
      <w:pPr>
        <w:snapToGrid w:val="0"/>
        <w:spacing w:line="360" w:lineRule="auto"/>
        <w:rPr>
          <w:rFonts w:ascii="宋体" w:hAnsi="宋体" w:cs="宋体"/>
          <w:b/>
          <w:bCs/>
          <w:color w:val="auto"/>
          <w:sz w:val="24"/>
          <w:highlight w:val="none"/>
          <w:lang w:eastAsia="zh-Hans"/>
        </w:rPr>
      </w:pPr>
    </w:p>
    <w:p w14:paraId="7AB77623">
      <w:pPr>
        <w:pStyle w:val="14"/>
        <w:spacing w:line="360" w:lineRule="auto"/>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第一条 甲方责任</w:t>
      </w:r>
    </w:p>
    <w:p w14:paraId="0849A90F">
      <w:pPr>
        <w:pStyle w:val="14"/>
        <w:spacing w:line="360" w:lineRule="auto"/>
        <w:ind w:firstLine="480" w:firstLineChars="200"/>
        <w:rPr>
          <w:rFonts w:cs="宋体"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、确认施工时间并及时</w:t>
      </w:r>
      <w:r>
        <w:rPr>
          <w:rFonts w:cs="宋体" w:asciiTheme="minorEastAsia" w:hAnsiTheme="minorEastAsia" w:eastAsiaTheme="minorEastAsia"/>
          <w:color w:val="auto"/>
          <w:highlight w:val="none"/>
        </w:rPr>
        <w:t>书面</w:t>
      </w:r>
      <w:r>
        <w:rPr>
          <w:rFonts w:hint="eastAsia" w:cs="宋体" w:asciiTheme="minorEastAsia" w:hAnsiTheme="minorEastAsia" w:eastAsiaTheme="minorEastAsia"/>
          <w:color w:val="auto"/>
          <w:highlight w:val="none"/>
        </w:rPr>
        <w:t>通知乙方开工。</w:t>
      </w:r>
    </w:p>
    <w:p w14:paraId="24A96289">
      <w:pPr>
        <w:pStyle w:val="14"/>
        <w:spacing w:line="360" w:lineRule="auto"/>
        <w:ind w:firstLine="480" w:firstLineChars="200"/>
        <w:rPr>
          <w:rFonts w:cs="宋体"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、协调项目的整体进度。</w:t>
      </w:r>
    </w:p>
    <w:p w14:paraId="7BC3D14E">
      <w:pPr>
        <w:pStyle w:val="14"/>
        <w:spacing w:line="360" w:lineRule="auto"/>
        <w:ind w:firstLine="480" w:firstLineChars="200"/>
        <w:rPr>
          <w:rFonts w:hint="eastAsia" w:cs="宋体"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、甲方负责合同履行并对工程质量、进度进行监督检查，联系协同办理验收及其他有关事项。</w:t>
      </w:r>
    </w:p>
    <w:p w14:paraId="7489A3B5">
      <w:pPr>
        <w:pStyle w:val="14"/>
        <w:spacing w:line="360" w:lineRule="auto"/>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4、如乙方工作人员严重违规施工，则甲方有权要求乙方更换工作人员，乙方应在甲方指定期限内进行更换，乙方拒绝更换或更换逾期超过</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日或更换人员后仍不符合要求的，甲方有权单方解除本合同，乙方应按照本合同向甲方承担违约责任。</w:t>
      </w:r>
    </w:p>
    <w:p w14:paraId="66AFBB53">
      <w:pPr>
        <w:pStyle w:val="14"/>
        <w:spacing w:line="360" w:lineRule="auto"/>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5、如乙方不及时履行本合同义务，甲方应书面通知乙方及时履行合同义务，乙方如收到甲方书面通知之日起   日内仍拒不履行合同义务的，甲方有权立即聘请第三方执行本合同内容，由此产生的一切费用由乙方承担，同时甲方可用乙方应取得的合同款抵扣前述费用。</w:t>
      </w:r>
    </w:p>
    <w:p w14:paraId="099BD252">
      <w:pPr>
        <w:pStyle w:val="14"/>
        <w:spacing w:line="360" w:lineRule="auto"/>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6、甲方有权监督了解乙方的工作情况，并向乙方提</w:t>
      </w:r>
      <w:r>
        <w:rPr>
          <w:rFonts w:hint="eastAsia" w:cs="宋体" w:asciiTheme="minorEastAsia" w:hAnsiTheme="minorEastAsia" w:eastAsiaTheme="minorEastAsia"/>
          <w:color w:val="auto"/>
          <w:highlight w:val="none"/>
          <w:lang w:eastAsia="zh-CN"/>
        </w:rPr>
        <w:t>出</w:t>
      </w:r>
      <w:r>
        <w:rPr>
          <w:rFonts w:hint="eastAsia" w:cs="宋体" w:asciiTheme="minorEastAsia" w:hAnsiTheme="minorEastAsia" w:eastAsiaTheme="minorEastAsia"/>
          <w:color w:val="auto"/>
          <w:highlight w:val="none"/>
        </w:rPr>
        <w:t>整改意见或建议，乙方应按照甲方的合理要求在甲方指定的合理期限内进行整改并向甲方反馈。</w:t>
      </w:r>
    </w:p>
    <w:p w14:paraId="0A72CD1E">
      <w:pPr>
        <w:pStyle w:val="14"/>
        <w:spacing w:line="360" w:lineRule="auto"/>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第二条 乙方责任</w:t>
      </w:r>
    </w:p>
    <w:p w14:paraId="3B9C0752">
      <w:pPr>
        <w:pStyle w:val="14"/>
        <w:spacing w:line="360" w:lineRule="auto"/>
        <w:ind w:firstLine="480" w:firstLineChars="200"/>
        <w:rPr>
          <w:rFonts w:cs="宋体"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乙方严格按照规范进行施工，做好各项质量检查记录；参加竣工验收；编制工程结算。</w:t>
      </w:r>
    </w:p>
    <w:p w14:paraId="6F53D818">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乙方承诺具有真实、合法、合格的施工资质，保证提供的资质材料真实、准确、完整，不进行非法转包、违法分包和挂靠，履行合同约定采购合格的材料和工程设备。</w:t>
      </w:r>
    </w:p>
    <w:p w14:paraId="1AD82D7F">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、乙方在施工过程中负责保护建筑物及装修、设备管线等，如造成损失承担相应赔偿责任。</w:t>
      </w:r>
    </w:p>
    <w:p w14:paraId="2D0D105B">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kern w:val="0"/>
          <w:sz w:val="24"/>
          <w:highlight w:val="none"/>
        </w:rPr>
        <w:t>、乙方在施工过程中未经甲方同意或有关部门批准，不得随意拆改原建筑物结构及各种设备管线。如经甲方书面同意需要拆改原建筑结构或设备管线，由乙方负责到有关部门办理相应手续。手续未办理完毕前，不得进行拆改。</w:t>
      </w:r>
    </w:p>
    <w:p w14:paraId="439ECA98">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cs="宋体" w:asciiTheme="minorEastAsia" w:hAnsiTheme="minorEastAsia" w:eastAsiaTheme="minorEastAsia"/>
          <w:color w:val="auto"/>
          <w:kern w:val="0"/>
          <w:sz w:val="24"/>
          <w:highlight w:val="none"/>
        </w:rPr>
        <w:t>、乙方负责做好施工现场保护、消防、垃圾处理等工作。</w:t>
      </w:r>
    </w:p>
    <w:p w14:paraId="264A1850">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6</w:t>
      </w:r>
      <w:r>
        <w:rPr>
          <w:rFonts w:hint="eastAsia" w:cs="宋体" w:asciiTheme="minorEastAsia" w:hAnsiTheme="minorEastAsia" w:eastAsiaTheme="minorEastAsia"/>
          <w:color w:val="auto"/>
          <w:kern w:val="0"/>
          <w:sz w:val="24"/>
          <w:highlight w:val="none"/>
        </w:rPr>
        <w:t>、乙方严格执行施工规范、安全操作规程、防火安全规定、环境保护规定以及甲方相关规定。</w:t>
      </w:r>
    </w:p>
    <w:p w14:paraId="6628D45D">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7</w:t>
      </w:r>
      <w:r>
        <w:rPr>
          <w:rFonts w:hint="eastAsia" w:cs="宋体" w:asciiTheme="minorEastAsia" w:hAnsiTheme="minorEastAsia" w:eastAsiaTheme="minorEastAsia"/>
          <w:color w:val="auto"/>
          <w:kern w:val="0"/>
          <w:sz w:val="24"/>
          <w:highlight w:val="none"/>
        </w:rPr>
        <w:t>、乙方负责合同履行。按合同及合同组成文件的要求组织施工，保质、保量、按期完成施工任务，解决由乙方负责的各项事宜；乙方应严格按照图纸或做法说明进行施工，做好各项质量检查记录。如乙方工期、质量不能按本合同约定条款履行，甲方有权责令其停工和返工，相关费用由乙方承担，工期不予顺延。</w:t>
      </w:r>
    </w:p>
    <w:p w14:paraId="64B731C3">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8</w:t>
      </w:r>
      <w:r>
        <w:rPr>
          <w:rFonts w:hint="eastAsia" w:cs="宋体" w:asciiTheme="minorEastAsia" w:hAnsiTheme="minorEastAsia" w:eastAsiaTheme="minorEastAsia"/>
          <w:color w:val="auto"/>
          <w:kern w:val="0"/>
          <w:sz w:val="24"/>
          <w:highlight w:val="none"/>
        </w:rPr>
        <w:t>、遵守政府和有关部门对施工场地交通、施工噪声、施工现场环境卫生和场外污染等规定；乙方应按照有关规定保证安全文明施工并做好围闭、警示工作，如果施工过程中发生任何安全事故及经济赔偿全部由乙方负责。做好施工现场保卫、垃圾、消防等工作，处理好由于施工带来的扰民问题及与周围单位的关系。</w:t>
      </w:r>
    </w:p>
    <w:p w14:paraId="2553FDDF">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9</w:t>
      </w:r>
      <w:r>
        <w:rPr>
          <w:rFonts w:hint="eastAsia" w:cs="宋体" w:asciiTheme="minorEastAsia" w:hAnsiTheme="minorEastAsia" w:eastAsiaTheme="minorEastAsia"/>
          <w:color w:val="auto"/>
          <w:kern w:val="0"/>
          <w:sz w:val="24"/>
          <w:highlight w:val="none"/>
        </w:rPr>
        <w:t>、施工组织机构图待开工前递交甲方，特殊工种操作人员需有操作证；</w:t>
      </w:r>
    </w:p>
    <w:p w14:paraId="210CBF94">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10</w:t>
      </w:r>
      <w:r>
        <w:rPr>
          <w:rFonts w:hint="eastAsia" w:cs="宋体" w:asciiTheme="minorEastAsia" w:hAnsiTheme="minorEastAsia" w:eastAsiaTheme="minorEastAsia"/>
          <w:color w:val="auto"/>
          <w:kern w:val="0"/>
          <w:sz w:val="24"/>
          <w:highlight w:val="none"/>
        </w:rPr>
        <w:t>、竣工后规定的保修期内，由于施工原因造成的质量问题，乙方接到通知后按甲方要求无条件免费保修。属甲方故意非规范使用造成工程质量问题，乙方可给予返修，但返修费用由甲方承担；</w:t>
      </w:r>
    </w:p>
    <w:p w14:paraId="50FC6FC3">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11</w:t>
      </w:r>
      <w:r>
        <w:rPr>
          <w:rFonts w:hint="eastAsia" w:cs="宋体" w:asciiTheme="minorEastAsia" w:hAnsiTheme="minorEastAsia" w:eastAsiaTheme="minorEastAsia"/>
          <w:color w:val="auto"/>
          <w:kern w:val="0"/>
          <w:sz w:val="24"/>
          <w:highlight w:val="none"/>
        </w:rPr>
        <w:t>、乙方在施工中发生的一切安全事故（包括工伤事故）及事故处理费用均由乙方承担并立即报告甲方，并会同相关人员处理，由于乙方原因造成质量事故，工期不顺延；甲方被迫参加相关的纠纷解决程序的，乙方须承担甲方为此而支出的诉讼费（仲裁费）、保全费、律师费等，乙方最终承担全部不利后果</w:t>
      </w:r>
      <w:r>
        <w:rPr>
          <w:rFonts w:cs="宋体" w:asciiTheme="minorEastAsia" w:hAnsiTheme="minorEastAsia" w:eastAsiaTheme="minorEastAsia"/>
          <w:color w:val="auto"/>
          <w:kern w:val="0"/>
          <w:sz w:val="24"/>
          <w:highlight w:val="none"/>
        </w:rPr>
        <w:t>；</w:t>
      </w:r>
    </w:p>
    <w:p w14:paraId="3B25A759">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12</w:t>
      </w:r>
      <w:r>
        <w:rPr>
          <w:rFonts w:hint="eastAsia" w:cs="宋体" w:asciiTheme="minorEastAsia" w:hAnsiTheme="minorEastAsia" w:eastAsiaTheme="minorEastAsia"/>
          <w:color w:val="auto"/>
          <w:kern w:val="0"/>
          <w:sz w:val="24"/>
          <w:highlight w:val="none"/>
        </w:rPr>
        <w:t>、工程竣工未经验收合格移交甲方之前，乙方负责对现场的一切设施和工程成品进行保护；</w:t>
      </w:r>
    </w:p>
    <w:p w14:paraId="6DEF708B">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13</w:t>
      </w:r>
      <w:r>
        <w:rPr>
          <w:rFonts w:hint="eastAsia" w:cs="宋体" w:asciiTheme="minorEastAsia" w:hAnsiTheme="minorEastAsia" w:eastAsiaTheme="minorEastAsia"/>
          <w:color w:val="auto"/>
          <w:kern w:val="0"/>
          <w:sz w:val="24"/>
          <w:highlight w:val="none"/>
        </w:rPr>
        <w:t>、工程竣工后清理现场，做到工完场清。施工现场的竣工退场费用由乙方承担。乙方应在办理竣工结算</w:t>
      </w:r>
      <w:r>
        <w:rPr>
          <w:rFonts w:cs="宋体" w:asciiTheme="minorEastAsia" w:hAnsiTheme="minorEastAsia" w:eastAsiaTheme="minorEastAsia"/>
          <w:color w:val="auto"/>
          <w:kern w:val="0"/>
          <w:sz w:val="24"/>
          <w:highlight w:val="none"/>
        </w:rPr>
        <w:t>前</w:t>
      </w:r>
      <w:r>
        <w:rPr>
          <w:rFonts w:hint="eastAsia" w:cs="宋体" w:asciiTheme="minorEastAsia" w:hAnsiTheme="minorEastAsia" w:eastAsiaTheme="minorEastAsia"/>
          <w:color w:val="auto"/>
          <w:kern w:val="0"/>
          <w:sz w:val="24"/>
          <w:highlight w:val="none"/>
        </w:rPr>
        <w:t>完成退场，逾期未完成的，甲方有权出售或另行处理乙方遗留的物品，由此支出的费用由乙方承担，甲方出售乙方遗留物品所得款项在扣除</w:t>
      </w:r>
      <w:r>
        <w:rPr>
          <w:rFonts w:hint="eastAsia" w:cs="宋体" w:asciiTheme="minorEastAsia" w:hAnsiTheme="minorEastAsia" w:eastAsiaTheme="minorEastAsia"/>
          <w:color w:val="auto"/>
          <w:kern w:val="0"/>
          <w:sz w:val="24"/>
          <w:highlight w:val="none"/>
          <w:lang w:eastAsia="zh-Hans"/>
        </w:rPr>
        <w:t>甲方已支出</w:t>
      </w:r>
      <w:r>
        <w:rPr>
          <w:rFonts w:hint="eastAsia" w:cs="宋体" w:asciiTheme="minorEastAsia" w:hAnsiTheme="minorEastAsia" w:eastAsiaTheme="minorEastAsia"/>
          <w:color w:val="auto"/>
          <w:kern w:val="0"/>
          <w:sz w:val="24"/>
          <w:highlight w:val="none"/>
        </w:rPr>
        <w:t>费用</w:t>
      </w:r>
      <w:r>
        <w:rPr>
          <w:rFonts w:hint="eastAsia" w:cs="宋体" w:asciiTheme="minorEastAsia" w:hAnsiTheme="minorEastAsia" w:eastAsiaTheme="minorEastAsia"/>
          <w:color w:val="auto"/>
          <w:kern w:val="0"/>
          <w:sz w:val="24"/>
          <w:highlight w:val="none"/>
          <w:lang w:eastAsia="zh-Hans"/>
        </w:rPr>
        <w:t>及乙方应承担违约赔偿等如有剩余的</w:t>
      </w:r>
      <w:r>
        <w:rPr>
          <w:rFonts w:hint="eastAsia" w:cs="宋体" w:asciiTheme="minorEastAsia" w:hAnsiTheme="minorEastAsia" w:eastAsiaTheme="minorEastAsia"/>
          <w:color w:val="auto"/>
          <w:kern w:val="0"/>
          <w:sz w:val="24"/>
          <w:highlight w:val="none"/>
        </w:rPr>
        <w:t>应</w:t>
      </w:r>
      <w:r>
        <w:rPr>
          <w:rFonts w:hint="eastAsia" w:cs="宋体" w:asciiTheme="minorEastAsia" w:hAnsiTheme="minorEastAsia" w:eastAsiaTheme="minorEastAsia"/>
          <w:color w:val="auto"/>
          <w:kern w:val="0"/>
          <w:sz w:val="24"/>
          <w:highlight w:val="none"/>
          <w:lang w:eastAsia="zh-Hans"/>
        </w:rPr>
        <w:t>无息</w:t>
      </w:r>
      <w:r>
        <w:rPr>
          <w:rFonts w:hint="eastAsia" w:cs="宋体" w:asciiTheme="minorEastAsia" w:hAnsiTheme="minorEastAsia" w:eastAsiaTheme="minorEastAsia"/>
          <w:color w:val="auto"/>
          <w:kern w:val="0"/>
          <w:sz w:val="24"/>
          <w:highlight w:val="none"/>
        </w:rPr>
        <w:t>返还乙方。</w:t>
      </w:r>
    </w:p>
    <w:p w14:paraId="2DB742A5">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14、</w:t>
      </w:r>
      <w:r>
        <w:rPr>
          <w:rFonts w:cs="宋体" w:asciiTheme="minorEastAsia" w:hAnsiTheme="minorEastAsia" w:eastAsiaTheme="minorEastAsia"/>
          <w:color w:val="auto"/>
          <w:kern w:val="0"/>
          <w:sz w:val="24"/>
          <w:highlight w:val="none"/>
        </w:rPr>
        <w:t>在施工期间，乙方需遵守</w:t>
      </w:r>
      <w:r>
        <w:rPr>
          <w:rFonts w:hint="eastAsia" w:cs="宋体" w:asciiTheme="minorEastAsia" w:hAnsiTheme="minorEastAsia" w:eastAsiaTheme="minorEastAsia"/>
          <w:color w:val="auto"/>
          <w:kern w:val="0"/>
          <w:sz w:val="24"/>
          <w:highlight w:val="none"/>
        </w:rPr>
        <w:t>甲方、</w:t>
      </w:r>
      <w:r>
        <w:rPr>
          <w:rFonts w:cs="宋体" w:asciiTheme="minorEastAsia" w:hAnsiTheme="minorEastAsia" w:eastAsiaTheme="minorEastAsia"/>
          <w:color w:val="auto"/>
          <w:kern w:val="0"/>
          <w:sz w:val="24"/>
          <w:highlight w:val="none"/>
        </w:rPr>
        <w:t>物业及物业使用人</w:t>
      </w:r>
      <w:r>
        <w:rPr>
          <w:rFonts w:hint="eastAsia" w:cs="宋体" w:asciiTheme="minorEastAsia" w:hAnsiTheme="minorEastAsia" w:eastAsiaTheme="minorEastAsia"/>
          <w:color w:val="auto"/>
          <w:kern w:val="0"/>
          <w:sz w:val="24"/>
          <w:highlight w:val="none"/>
        </w:rPr>
        <w:t>的</w:t>
      </w:r>
      <w:r>
        <w:rPr>
          <w:rFonts w:cs="宋体" w:asciiTheme="minorEastAsia" w:hAnsiTheme="minorEastAsia" w:eastAsiaTheme="minorEastAsia"/>
          <w:color w:val="auto"/>
          <w:kern w:val="0"/>
          <w:sz w:val="24"/>
          <w:highlight w:val="none"/>
        </w:rPr>
        <w:t>工地安全、消防</w:t>
      </w:r>
      <w:r>
        <w:rPr>
          <w:rFonts w:hint="eastAsia" w:cs="宋体" w:asciiTheme="minorEastAsia" w:hAnsiTheme="minorEastAsia" w:eastAsiaTheme="minorEastAsia"/>
          <w:color w:val="auto"/>
          <w:kern w:val="0"/>
          <w:sz w:val="24"/>
          <w:highlight w:val="none"/>
        </w:rPr>
        <w:t>要求</w:t>
      </w:r>
      <w:r>
        <w:rPr>
          <w:rFonts w:cs="宋体" w:asciiTheme="minorEastAsia" w:hAnsiTheme="minorEastAsia" w:eastAsiaTheme="minorEastAsia"/>
          <w:color w:val="auto"/>
          <w:kern w:val="0"/>
          <w:sz w:val="24"/>
          <w:highlight w:val="none"/>
        </w:rPr>
        <w:t>并做好安全保卫及承购安全保险工作，按国家</w:t>
      </w:r>
      <w:r>
        <w:rPr>
          <w:rFonts w:hint="eastAsia" w:cs="宋体" w:asciiTheme="minorEastAsia" w:hAnsiTheme="minorEastAsia" w:eastAsiaTheme="minorEastAsia"/>
          <w:color w:val="auto"/>
          <w:kern w:val="0"/>
          <w:sz w:val="24"/>
          <w:highlight w:val="none"/>
        </w:rPr>
        <w:t>、地方</w:t>
      </w:r>
      <w:r>
        <w:rPr>
          <w:rFonts w:cs="宋体" w:asciiTheme="minorEastAsia" w:hAnsiTheme="minorEastAsia" w:eastAsiaTheme="minorEastAsia"/>
          <w:color w:val="auto"/>
          <w:kern w:val="0"/>
          <w:sz w:val="24"/>
          <w:highlight w:val="none"/>
        </w:rPr>
        <w:t>及行业要求做好安全防护工作。</w:t>
      </w:r>
    </w:p>
    <w:p w14:paraId="3F0B7C6C">
      <w:pPr>
        <w:spacing w:line="360" w:lineRule="auto"/>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15、乙方与其工作人员之间为劳动关系，乙方负责工作人员的工资、 五险一金、福利、人身意外保险、工伤保险等相关事项并承担费用。若发生纠纷的， 由乙方自行解决纠纷，甲方因此产生的一切费用</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包括但不限于对乙方工作人员的补偿、赔偿、律师费、诉讼费、人工费等</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，甲方有权全额向乙方追偿。</w:t>
      </w:r>
    </w:p>
    <w:p w14:paraId="0AF572E7">
      <w:pPr>
        <w:spacing w:line="360" w:lineRule="auto"/>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16、在施工过程中造成乙方员工或第三人人身或财产损害的，由乙方承担全部责任，乙方不得因此影响本合同的履行，且应立即报告甲方。</w:t>
      </w:r>
    </w:p>
    <w:p w14:paraId="00EFEE1B">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17、乙方保证提供的设备和材料必须符合现行国家行业标准有关的规定，且完整无损、全新，各种材料均有产品合格证，符合工程设计规格质量要求。对于质量不合格的产品甲方有权拒收。</w:t>
      </w:r>
    </w:p>
    <w:p w14:paraId="37936956">
      <w:pPr>
        <w:snapToGrid w:val="0"/>
        <w:spacing w:line="360" w:lineRule="auto"/>
        <w:ind w:firstLine="42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eastAsia="zh-Hans"/>
        </w:rPr>
        <w:t>第三条</w:t>
      </w:r>
      <w:r>
        <w:rPr>
          <w:rFonts w:hint="eastAsia" w:cs="宋体" w:asciiTheme="minorEastAsia" w:hAnsiTheme="minorEastAsia" w:eastAsiaTheme="minorEastAsia"/>
          <w:b/>
          <w:color w:val="auto"/>
          <w:sz w:val="24"/>
          <w:highlight w:val="none"/>
        </w:rPr>
        <w:t xml:space="preserve"> 履约保证金</w:t>
      </w:r>
    </w:p>
    <w:p w14:paraId="28FE0010">
      <w:pPr>
        <w:snapToGrid w:val="0"/>
        <w:spacing w:line="360" w:lineRule="auto"/>
        <w:ind w:firstLine="420"/>
        <w:rPr>
          <w:rFonts w:cs="宋体" w:asciiTheme="minorEastAsia" w:hAnsiTheme="minorEastAsia" w:eastAsiaTheme="minorEastAsia"/>
          <w:color w:val="auto"/>
          <w:sz w:val="24"/>
          <w:highlight w:val="none"/>
          <w:lang w:eastAsia="zh-Hans"/>
        </w:rPr>
      </w:pPr>
      <w:r>
        <w:rPr>
          <w:rFonts w:hint="eastAsia" w:cs="宋体" w:asciiTheme="majorEastAsia" w:hAnsiTheme="majorEastAsia" w:eastAsiaTheme="majorEastAsia"/>
          <w:color w:val="auto"/>
          <w:sz w:val="24"/>
          <w:highlight w:val="none"/>
          <w:lang w:eastAsia="zh-Hans"/>
        </w:rPr>
        <w:t>履约保证金根据专用条款约定是否需要</w:t>
      </w:r>
      <w:r>
        <w:rPr>
          <w:rFonts w:hint="eastAsia" w:ascii="宋体" w:hAnsi="宋体" w:cs="宋体"/>
          <w:color w:val="auto"/>
          <w:sz w:val="24"/>
          <w:highlight w:val="none"/>
          <w:lang w:eastAsia="zh-Hans"/>
        </w:rPr>
        <w:t>缴纳或提交</w:t>
      </w:r>
      <w:r>
        <w:rPr>
          <w:rFonts w:hint="eastAsia" w:cs="宋体" w:asciiTheme="majorEastAsia" w:hAnsiTheme="majorEastAsia" w:eastAsiaTheme="majorEastAsia"/>
          <w:color w:val="auto"/>
          <w:sz w:val="24"/>
          <w:highlight w:val="none"/>
          <w:lang w:eastAsia="zh-Hans"/>
        </w:rPr>
        <w:t>。如需</w:t>
      </w:r>
      <w:r>
        <w:rPr>
          <w:rFonts w:hint="eastAsia" w:ascii="宋体" w:hAnsi="宋体" w:cs="宋体"/>
          <w:color w:val="auto"/>
          <w:sz w:val="24"/>
          <w:highlight w:val="none"/>
          <w:lang w:eastAsia="zh-Hans"/>
        </w:rPr>
        <w:t>缴纳或提交</w:t>
      </w:r>
      <w:r>
        <w:rPr>
          <w:rFonts w:hint="eastAsia" w:cs="宋体" w:asciiTheme="majorEastAsia" w:hAnsiTheme="majorEastAsia" w:eastAsiaTheme="majorEastAsia"/>
          <w:color w:val="auto"/>
          <w:sz w:val="24"/>
          <w:highlight w:val="none"/>
          <w:lang w:eastAsia="zh-Hans"/>
        </w:rPr>
        <w:t>，</w:t>
      </w:r>
      <w:r>
        <w:rPr>
          <w:rFonts w:hint="eastAsia" w:cs="宋体" w:asciiTheme="minorEastAsia" w:hAnsiTheme="minorEastAsia" w:eastAsiaTheme="minorEastAsia"/>
          <w:color w:val="auto"/>
          <w:sz w:val="24"/>
          <w:highlight w:val="none"/>
          <w:lang w:eastAsia="zh-Hans"/>
        </w:rPr>
        <w:t>履约保证金为合同金额的10%，大中型企业与小微企业组成联合体或中小企业收取5%，乙方自主选择以现金或保函形式缴纳或提交，须在合同签订后10个工作日内提交。履约保证金</w:t>
      </w:r>
      <w:bookmarkStart w:id="5" w:name="_Hlk136333369"/>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eastAsia="zh-Hans"/>
        </w:rPr>
        <w:t>现金缴纳部分</w:t>
      </w:r>
      <w:r>
        <w:rPr>
          <w:rFonts w:hint="eastAsia" w:cs="宋体" w:asciiTheme="minorEastAsia" w:hAnsiTheme="minorEastAsia" w:eastAsiaTheme="minorEastAsia"/>
          <w:color w:val="auto"/>
          <w:sz w:val="24"/>
          <w:highlight w:val="none"/>
          <w:lang w:eastAsia="zh-CN"/>
        </w:rPr>
        <w:t>）</w:t>
      </w:r>
      <w:bookmarkEnd w:id="5"/>
      <w:r>
        <w:rPr>
          <w:rFonts w:hint="eastAsia" w:cs="宋体" w:asciiTheme="minorEastAsia" w:hAnsiTheme="minorEastAsia" w:eastAsiaTheme="minorEastAsia"/>
          <w:color w:val="auto"/>
          <w:sz w:val="24"/>
          <w:highlight w:val="none"/>
          <w:lang w:eastAsia="zh-Hans"/>
        </w:rPr>
        <w:t>自所有分批项目验收合格</w:t>
      </w:r>
      <w:r>
        <w:rPr>
          <w:rFonts w:hint="eastAsia" w:cs="宋体" w:asciiTheme="majorEastAsia" w:hAnsiTheme="majorEastAsia" w:eastAsiaTheme="majorEastAsia"/>
          <w:color w:val="auto"/>
          <w:sz w:val="24"/>
          <w:highlight w:val="none"/>
          <w:lang w:eastAsia="zh-Hans"/>
        </w:rPr>
        <w:t>并提交退还申请</w:t>
      </w:r>
      <w:r>
        <w:rPr>
          <w:rFonts w:hint="eastAsia" w:cs="宋体" w:asciiTheme="minorEastAsia" w:hAnsiTheme="minorEastAsia" w:eastAsiaTheme="minorEastAsia"/>
          <w:color w:val="auto"/>
          <w:sz w:val="24"/>
          <w:highlight w:val="none"/>
          <w:lang w:eastAsia="zh-Hans"/>
        </w:rPr>
        <w:t>之日起</w:t>
      </w:r>
      <w:r>
        <w:rPr>
          <w:rFonts w:cs="宋体" w:asciiTheme="minorEastAsia" w:hAnsiTheme="minorEastAsia" w:eastAsiaTheme="minorEastAsia"/>
          <w:color w:val="auto"/>
          <w:sz w:val="24"/>
          <w:highlight w:val="none"/>
          <w:lang w:eastAsia="zh-Hans"/>
        </w:rPr>
        <w:t>30</w:t>
      </w:r>
      <w:r>
        <w:rPr>
          <w:rFonts w:hint="eastAsia" w:cs="宋体" w:asciiTheme="minorEastAsia" w:hAnsiTheme="minorEastAsia" w:eastAsiaTheme="minorEastAsia"/>
          <w:color w:val="auto"/>
          <w:sz w:val="24"/>
          <w:highlight w:val="none"/>
          <w:lang w:eastAsia="zh-Hans"/>
        </w:rPr>
        <w:t>个工作日内退还，不计利息。</w:t>
      </w:r>
      <w:r>
        <w:rPr>
          <w:rFonts w:cs="宋体" w:asciiTheme="minorEastAsia" w:hAnsiTheme="minorEastAsia" w:eastAsiaTheme="minorEastAsia"/>
          <w:color w:val="auto"/>
          <w:sz w:val="24"/>
          <w:highlight w:val="none"/>
          <w:lang w:eastAsia="zh-Hans"/>
        </w:rPr>
        <w:t>甲方</w:t>
      </w:r>
      <w:r>
        <w:rPr>
          <w:rFonts w:hint="eastAsia" w:cs="宋体" w:asciiTheme="minorEastAsia" w:hAnsiTheme="minorEastAsia" w:eastAsiaTheme="minorEastAsia"/>
          <w:color w:val="auto"/>
          <w:sz w:val="24"/>
          <w:highlight w:val="none"/>
          <w:lang w:eastAsia="zh-Hans"/>
        </w:rPr>
        <w:t>逾期退还履约保证金的，逾期期间应以逾期付款总价为基数，按中国工商银行同期活期存款利率向乙方支付利息。因</w:t>
      </w:r>
      <w:r>
        <w:rPr>
          <w:rFonts w:cs="宋体" w:asciiTheme="minorEastAsia" w:hAnsiTheme="minorEastAsia" w:eastAsiaTheme="minorEastAsia"/>
          <w:color w:val="auto"/>
          <w:sz w:val="24"/>
          <w:highlight w:val="none"/>
          <w:lang w:eastAsia="zh-Hans"/>
        </w:rPr>
        <w:t>乙方</w:t>
      </w:r>
      <w:r>
        <w:rPr>
          <w:rFonts w:hint="eastAsia" w:cs="宋体" w:asciiTheme="minorEastAsia" w:hAnsiTheme="minorEastAsia" w:eastAsiaTheme="minorEastAsia"/>
          <w:color w:val="auto"/>
          <w:sz w:val="24"/>
          <w:highlight w:val="none"/>
          <w:lang w:eastAsia="zh-Hans"/>
        </w:rPr>
        <w:t>原因而未能达到本项目验收标准或验收不通过的，履约保证金不予退还。</w:t>
      </w:r>
    </w:p>
    <w:p w14:paraId="11455053">
      <w:pPr>
        <w:autoSpaceDE w:val="0"/>
        <w:autoSpaceDN w:val="0"/>
        <w:adjustRightInd w:val="0"/>
        <w:spacing w:line="360" w:lineRule="auto"/>
        <w:ind w:firstLine="482" w:firstLineChars="200"/>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第四条 工程质量及验收</w:t>
      </w:r>
    </w:p>
    <w:p w14:paraId="5C6D8472">
      <w:pPr>
        <w:snapToGrid w:val="0"/>
        <w:spacing w:line="360" w:lineRule="auto"/>
        <w:ind w:firstLine="480" w:firstLineChars="200"/>
        <w:rPr>
          <w:rFonts w:cs="宋体" w:asciiTheme="minorEastAsia" w:hAnsiTheme="minorEastAsia" w:eastAsiaTheme="minorEastAsia"/>
          <w:color w:val="auto"/>
          <w:sz w:val="24"/>
          <w:highlight w:val="none"/>
          <w:lang w:eastAsia="zh-Hans"/>
        </w:rPr>
      </w:pPr>
      <w:r>
        <w:rPr>
          <w:rFonts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、本工程质量要求达到</w:t>
      </w:r>
      <w:r>
        <w:rPr>
          <w:rFonts w:cs="宋体" w:asciiTheme="minorEastAsia" w:hAnsiTheme="minorEastAsia" w:eastAsiaTheme="minorEastAsia"/>
          <w:color w:val="auto"/>
          <w:kern w:val="0"/>
          <w:sz w:val="24"/>
          <w:highlight w:val="none"/>
        </w:rPr>
        <w:t>国家现行</w:t>
      </w:r>
      <w:r>
        <w:rPr>
          <w:rFonts w:hint="eastAsia" w:cs="宋体" w:asciiTheme="minorEastAsia" w:hAnsiTheme="minorEastAsia" w:eastAsiaTheme="minorEastAsia"/>
          <w:color w:val="auto"/>
          <w:kern w:val="0"/>
          <w:sz w:val="24"/>
          <w:highlight w:val="none"/>
        </w:rPr>
        <w:t>相关</w:t>
      </w:r>
      <w:r>
        <w:rPr>
          <w:rFonts w:cs="宋体" w:asciiTheme="minorEastAsia" w:hAnsiTheme="minorEastAsia" w:eastAsiaTheme="minorEastAsia"/>
          <w:color w:val="auto"/>
          <w:kern w:val="0"/>
          <w:sz w:val="24"/>
          <w:highlight w:val="none"/>
        </w:rPr>
        <w:t>施工及验收规范的</w:t>
      </w:r>
      <w:r>
        <w:rPr>
          <w:rFonts w:hint="eastAsia" w:cs="宋体" w:asciiTheme="minorEastAsia" w:hAnsiTheme="minorEastAsia" w:eastAsiaTheme="minorEastAsia"/>
          <w:color w:val="auto"/>
          <w:kern w:val="0"/>
          <w:sz w:val="24"/>
          <w:highlight w:val="none"/>
        </w:rPr>
        <w:t>合格</w:t>
      </w:r>
      <w:r>
        <w:rPr>
          <w:rFonts w:cs="宋体" w:asciiTheme="minorEastAsia" w:hAnsiTheme="minorEastAsia" w:eastAsiaTheme="minorEastAsia"/>
          <w:color w:val="auto"/>
          <w:kern w:val="0"/>
          <w:sz w:val="24"/>
          <w:highlight w:val="none"/>
        </w:rPr>
        <w:t>标准和</w:t>
      </w:r>
      <w:r>
        <w:rPr>
          <w:rFonts w:hint="eastAsia" w:cs="宋体" w:asciiTheme="minorEastAsia" w:hAnsiTheme="minorEastAsia" w:eastAsiaTheme="minorEastAsia"/>
          <w:color w:val="auto"/>
          <w:kern w:val="0"/>
          <w:sz w:val="24"/>
          <w:highlight w:val="none"/>
        </w:rPr>
        <w:t>甲方要求。</w:t>
      </w:r>
      <w:r>
        <w:rPr>
          <w:rFonts w:hint="eastAsia" w:cs="宋体" w:asciiTheme="minorEastAsia" w:hAnsiTheme="minorEastAsia" w:eastAsiaTheme="minorEastAsia"/>
          <w:color w:val="auto"/>
          <w:sz w:val="24"/>
          <w:highlight w:val="none"/>
          <w:lang w:eastAsia="zh-Hans"/>
        </w:rPr>
        <w:t>相关标准如有更新或调整，执行现行适用于该项目的最新标准。存在两个以上标准要求的，适用于对于乙方更为严格的标准。</w:t>
      </w:r>
    </w:p>
    <w:p w14:paraId="0CE06EF4">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、乙方认为工程具备竣工验收条件后，应于竣工验收前向甲方提供完整的竣工图纸</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结算资料、</w:t>
      </w:r>
      <w:r>
        <w:rPr>
          <w:rFonts w:cs="宋体" w:asciiTheme="minorEastAsia" w:hAnsiTheme="minorEastAsia" w:eastAsiaTheme="minorEastAsia"/>
          <w:color w:val="auto"/>
          <w:kern w:val="0"/>
          <w:sz w:val="24"/>
          <w:highlight w:val="none"/>
        </w:rPr>
        <w:t>竣工</w:t>
      </w:r>
      <w:r>
        <w:rPr>
          <w:rFonts w:hint="eastAsia" w:cs="宋体" w:asciiTheme="minorEastAsia" w:hAnsiTheme="minorEastAsia" w:eastAsiaTheme="minorEastAsia"/>
          <w:color w:val="auto"/>
          <w:kern w:val="0"/>
          <w:sz w:val="24"/>
          <w:highlight w:val="none"/>
        </w:rPr>
        <w:t>资料和竣工验收报告。甲方代表收到报告后需组织有关部门进行验收；逾期需及时通知乙方，另定验收日期。</w:t>
      </w:r>
    </w:p>
    <w:p w14:paraId="462AAAF2">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、由于乙方施工原因工程达不到竣工验收要求，乙方应按要求重新施工，并承担重新施工的费用，工期不予顺延。</w:t>
      </w:r>
    </w:p>
    <w:p w14:paraId="0205D054">
      <w:pPr>
        <w:spacing w:line="360" w:lineRule="auto"/>
        <w:ind w:firstLine="482" w:firstLineChars="200"/>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第五条 工程价款及结算</w:t>
      </w:r>
    </w:p>
    <w:p w14:paraId="7596B76D">
      <w:pPr>
        <w:spacing w:line="360" w:lineRule="auto"/>
        <w:ind w:firstLine="480" w:firstLineChars="200"/>
        <w:rPr>
          <w:rFonts w:cs="Arial" w:asciiTheme="minorEastAsia" w:hAnsiTheme="minorEastAsia" w:eastAsiaTheme="minorEastAsia"/>
          <w:color w:val="auto"/>
          <w:sz w:val="24"/>
          <w:highlight w:val="none"/>
        </w:rPr>
      </w:pPr>
      <w:r>
        <w:rPr>
          <w:rFonts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、工程总价：此合同总价是乙方完成本工程施工范围内全部施工内容的全部费用，包括所有的材料设备费、材料设备的检测检验费和垂直运输费、人工费、机械使用费、施工措施费、水电费</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施工管理费、利润、税金、因质量问题引起的维修和更换等所发生的一切费用，并且包安全、包质量、包进度等所有费用，</w:t>
      </w:r>
      <w:r>
        <w:rPr>
          <w:rFonts w:cs="宋体" w:asciiTheme="minorEastAsia" w:hAnsiTheme="minorEastAsia" w:eastAsiaTheme="minorEastAsia"/>
          <w:color w:val="auto"/>
          <w:kern w:val="0"/>
          <w:sz w:val="24"/>
          <w:highlight w:val="none"/>
        </w:rPr>
        <w:t>无论何种原因均不予调整</w:t>
      </w:r>
      <w:r>
        <w:rPr>
          <w:rFonts w:hint="eastAsia" w:cs="宋体" w:asciiTheme="minorEastAsia" w:hAnsiTheme="minorEastAsia" w:eastAsiaTheme="minorEastAsia"/>
          <w:color w:val="auto"/>
          <w:kern w:val="0"/>
          <w:sz w:val="24"/>
          <w:highlight w:val="none"/>
        </w:rPr>
        <w:t>。</w:t>
      </w:r>
    </w:p>
    <w:p w14:paraId="5BF461BD">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、工程</w:t>
      </w:r>
      <w:r>
        <w:rPr>
          <w:rFonts w:cs="宋体" w:asciiTheme="minorEastAsia" w:hAnsiTheme="minorEastAsia" w:eastAsiaTheme="minorEastAsia"/>
          <w:color w:val="auto"/>
          <w:kern w:val="0"/>
          <w:sz w:val="24"/>
          <w:highlight w:val="none"/>
        </w:rPr>
        <w:t>进度实际完成的工程量和价款、</w:t>
      </w:r>
      <w:r>
        <w:rPr>
          <w:rFonts w:hint="eastAsia" w:cs="宋体" w:asciiTheme="minorEastAsia" w:hAnsiTheme="minorEastAsia" w:eastAsiaTheme="minorEastAsia"/>
          <w:color w:val="auto"/>
          <w:kern w:val="0"/>
          <w:sz w:val="24"/>
          <w:highlight w:val="none"/>
        </w:rPr>
        <w:t>竣工</w:t>
      </w:r>
      <w:r>
        <w:rPr>
          <w:rFonts w:cs="宋体" w:asciiTheme="minorEastAsia" w:hAnsiTheme="minorEastAsia" w:eastAsiaTheme="minorEastAsia"/>
          <w:color w:val="auto"/>
          <w:kern w:val="0"/>
          <w:sz w:val="24"/>
          <w:highlight w:val="none"/>
        </w:rPr>
        <w:t>结算工程量和价款等，均</w:t>
      </w:r>
      <w:r>
        <w:rPr>
          <w:rFonts w:hint="eastAsia" w:cs="宋体" w:asciiTheme="minorEastAsia" w:hAnsiTheme="minorEastAsia" w:eastAsiaTheme="minorEastAsia"/>
          <w:color w:val="auto"/>
          <w:kern w:val="0"/>
          <w:sz w:val="24"/>
          <w:highlight w:val="none"/>
        </w:rPr>
        <w:t>以</w:t>
      </w:r>
      <w:r>
        <w:rPr>
          <w:rFonts w:cs="宋体" w:asciiTheme="minorEastAsia" w:hAnsiTheme="minorEastAsia" w:eastAsiaTheme="minorEastAsia"/>
          <w:color w:val="auto"/>
          <w:kern w:val="0"/>
          <w:sz w:val="24"/>
          <w:highlight w:val="none"/>
        </w:rPr>
        <w:t>甲方（含甲方委托的造价</w:t>
      </w:r>
      <w:r>
        <w:rPr>
          <w:rFonts w:hint="eastAsia" w:cs="宋体" w:asciiTheme="minorEastAsia" w:hAnsiTheme="minorEastAsia" w:eastAsiaTheme="minorEastAsia"/>
          <w:color w:val="auto"/>
          <w:kern w:val="0"/>
          <w:sz w:val="24"/>
          <w:highlight w:val="none"/>
        </w:rPr>
        <w:t>咨询</w:t>
      </w:r>
      <w:r>
        <w:rPr>
          <w:rFonts w:cs="宋体" w:asciiTheme="minorEastAsia" w:hAnsiTheme="minorEastAsia" w:eastAsiaTheme="minorEastAsia"/>
          <w:color w:val="auto"/>
          <w:kern w:val="0"/>
          <w:sz w:val="24"/>
          <w:highlight w:val="none"/>
        </w:rPr>
        <w:t>机构）和监理最终</w:t>
      </w:r>
      <w:r>
        <w:rPr>
          <w:rFonts w:hint="eastAsia" w:cs="宋体" w:asciiTheme="minorEastAsia" w:hAnsiTheme="minorEastAsia" w:eastAsiaTheme="minorEastAsia"/>
          <w:color w:val="auto"/>
          <w:kern w:val="0"/>
          <w:sz w:val="24"/>
          <w:highlight w:val="none"/>
        </w:rPr>
        <w:t>审核</w:t>
      </w:r>
      <w:r>
        <w:rPr>
          <w:rFonts w:cs="宋体" w:asciiTheme="minorEastAsia" w:hAnsiTheme="minorEastAsia" w:eastAsiaTheme="minorEastAsia"/>
          <w:color w:val="auto"/>
          <w:kern w:val="0"/>
          <w:sz w:val="24"/>
          <w:highlight w:val="none"/>
        </w:rPr>
        <w:t>确定的</w:t>
      </w:r>
      <w:r>
        <w:rPr>
          <w:rFonts w:hint="eastAsia" w:cs="宋体" w:asciiTheme="minorEastAsia" w:hAnsiTheme="minorEastAsia" w:eastAsiaTheme="minorEastAsia"/>
          <w:color w:val="auto"/>
          <w:kern w:val="0"/>
          <w:sz w:val="24"/>
          <w:highlight w:val="none"/>
        </w:rPr>
        <w:t>工程量</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金额</w:t>
      </w:r>
      <w:r>
        <w:rPr>
          <w:rFonts w:cs="宋体" w:asciiTheme="minorEastAsia" w:hAnsiTheme="minorEastAsia" w:eastAsiaTheme="minorEastAsia"/>
          <w:color w:val="auto"/>
          <w:kern w:val="0"/>
          <w:sz w:val="24"/>
          <w:highlight w:val="none"/>
        </w:rPr>
        <w:t>为准。</w:t>
      </w:r>
    </w:p>
    <w:p w14:paraId="426E0C61">
      <w:pPr>
        <w:autoSpaceDE w:val="0"/>
        <w:autoSpaceDN w:val="0"/>
        <w:adjustRightInd w:val="0"/>
        <w:spacing w:line="360" w:lineRule="auto"/>
        <w:ind w:firstLine="482"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24"/>
          <w:highlight w:val="none"/>
        </w:rPr>
        <w:t>3、</w:t>
      </w:r>
      <w:r>
        <w:rPr>
          <w:rFonts w:cs="宋体" w:asciiTheme="minorEastAsia" w:hAnsiTheme="minorEastAsia" w:eastAsiaTheme="minorEastAsia"/>
          <w:color w:val="auto"/>
          <w:kern w:val="0"/>
          <w:sz w:val="24"/>
          <w:highlight w:val="none"/>
        </w:rPr>
        <w:t>甲方</w:t>
      </w:r>
      <w:r>
        <w:rPr>
          <w:rFonts w:hint="eastAsia" w:cs="宋体" w:asciiTheme="minorEastAsia" w:hAnsiTheme="minorEastAsia" w:eastAsiaTheme="minorEastAsia"/>
          <w:color w:val="auto"/>
          <w:kern w:val="0"/>
          <w:sz w:val="24"/>
          <w:highlight w:val="none"/>
        </w:rPr>
        <w:t>每次付款前乙方需提供等额</w:t>
      </w:r>
      <w:r>
        <w:rPr>
          <w:rFonts w:cs="宋体" w:asciiTheme="minorEastAsia" w:hAnsiTheme="minorEastAsia" w:eastAsiaTheme="minorEastAsia"/>
          <w:color w:val="auto"/>
          <w:kern w:val="0"/>
          <w:sz w:val="24"/>
          <w:highlight w:val="none"/>
        </w:rPr>
        <w:t>的合法有效的</w:t>
      </w:r>
      <w:r>
        <w:rPr>
          <w:rFonts w:hint="eastAsia" w:asciiTheme="majorEastAsia" w:hAnsiTheme="majorEastAsia" w:eastAsiaTheme="majorEastAsia" w:cstheme="minorEastAsia"/>
          <w:color w:val="auto"/>
          <w:sz w:val="24"/>
          <w:highlight w:val="none"/>
        </w:rPr>
        <w:t>增值税</w:t>
      </w:r>
      <w:r>
        <w:rPr>
          <w:rFonts w:asciiTheme="majorEastAsia" w:hAnsiTheme="majorEastAsia" w:eastAsiaTheme="majorEastAsia" w:cstheme="minorEastAsia"/>
          <w:color w:val="auto"/>
          <w:sz w:val="24"/>
          <w:highlight w:val="none"/>
        </w:rPr>
        <w:t>发票</w:t>
      </w:r>
      <w:r>
        <w:rPr>
          <w:rFonts w:hint="eastAsia" w:cs="宋体" w:asciiTheme="minorEastAsia" w:hAnsiTheme="minorEastAsia" w:eastAsiaTheme="minorEastAsia"/>
          <w:b/>
          <w:bCs/>
          <w:color w:val="auto"/>
          <w:kern w:val="0"/>
          <w:sz w:val="24"/>
          <w:highlight w:val="none"/>
        </w:rPr>
        <w:t>。</w:t>
      </w:r>
      <w:r>
        <w:rPr>
          <w:rFonts w:hint="eastAsia" w:cs="宋体" w:asciiTheme="minorEastAsia" w:hAnsiTheme="minorEastAsia" w:eastAsiaTheme="minorEastAsia"/>
          <w:color w:val="auto"/>
          <w:kern w:val="0"/>
          <w:sz w:val="24"/>
          <w:highlight w:val="none"/>
        </w:rPr>
        <w:t>如乙方未提供、迟延提供该发票或者提供的发票不合格的，甲方有权中止付款，且不负迟延付款的违约责任。</w:t>
      </w:r>
    </w:p>
    <w:p w14:paraId="19D0C3E0">
      <w:pPr>
        <w:autoSpaceDE w:val="0"/>
        <w:autoSpaceDN w:val="0"/>
        <w:adjustRightInd w:val="0"/>
        <w:spacing w:line="360" w:lineRule="auto"/>
        <w:ind w:firstLine="482" w:firstLineChars="200"/>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第六条 违约责任</w:t>
      </w:r>
    </w:p>
    <w:p w14:paraId="5011690C">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履行中任何一方无正当理由而单方提出终止合同，均属单方违约，因甲方单方终止合同的，已实施工程按实结算；因乙方单方终止合同的，乙方应当退还甲方已支付的所有工程款项并向甲方支付合同总额10%的违约金。</w:t>
      </w:r>
    </w:p>
    <w:p w14:paraId="0C22ED51">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、乙方未按合同规定的工期完成施工，每逾期一天乙方应按合同总金额万分之一支付违约金，并赔偿因此给甲方造成的一切损失，逾期</w:t>
      </w:r>
      <w:r>
        <w:rPr>
          <w:rFonts w:cs="宋体"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日未完工，甲方有权单方面解除合同，乙方应支付合同总金额的3</w:t>
      </w:r>
      <w:r>
        <w:rPr>
          <w:rFonts w:cs="宋体" w:asciiTheme="minorEastAsia" w:hAnsiTheme="minorEastAsia" w:eastAsiaTheme="minorEastAsia"/>
          <w:color w:val="auto"/>
          <w:kern w:val="0"/>
          <w:sz w:val="24"/>
          <w:highlight w:val="none"/>
        </w:rPr>
        <w:t>0</w:t>
      </w:r>
      <w:r>
        <w:rPr>
          <w:rFonts w:hint="eastAsia" w:cs="宋体" w:asciiTheme="minorEastAsia" w:hAnsiTheme="minorEastAsia" w:eastAsiaTheme="minorEastAsia"/>
          <w:color w:val="auto"/>
          <w:kern w:val="0"/>
          <w:sz w:val="24"/>
          <w:highlight w:val="none"/>
        </w:rPr>
        <w:t>%作为违约金并赔偿损失。此损失包括但不限于甲方另外委托其他施工单位完成工程所支出款项。</w:t>
      </w:r>
    </w:p>
    <w:p w14:paraId="3C63013F">
      <w:pPr>
        <w:autoSpaceDE w:val="0"/>
        <w:autoSpaceDN w:val="0"/>
        <w:adjustRightInd w:val="0"/>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、因乙方原因致使未能一次通过竣工验收的，乙方应立即采取返工修理、重</w:t>
      </w:r>
      <w:r>
        <w:rPr>
          <w:rFonts w:hint="eastAsia" w:cs="宋体" w:asciiTheme="minorEastAsia" w:hAnsiTheme="minorEastAsia" w:eastAsiaTheme="minorEastAsia"/>
          <w:color w:val="auto"/>
          <w:kern w:val="0"/>
          <w:sz w:val="24"/>
          <w:highlight w:val="none"/>
          <w:lang w:eastAsia="zh-CN"/>
        </w:rPr>
        <w:t>做</w:t>
      </w:r>
      <w:r>
        <w:rPr>
          <w:rFonts w:hint="eastAsia" w:cs="宋体" w:asciiTheme="minorEastAsia" w:hAnsiTheme="minorEastAsia" w:eastAsiaTheme="minorEastAsia"/>
          <w:color w:val="auto"/>
          <w:kern w:val="0"/>
          <w:sz w:val="24"/>
          <w:highlight w:val="none"/>
        </w:rPr>
        <w:t>等措施（工期不顺延），并承担相应费用，如因此造成工期延误的，按本合同第六条第</w:t>
      </w:r>
      <w:r>
        <w:rPr>
          <w:rFonts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款约定处理。</w:t>
      </w:r>
    </w:p>
    <w:p w14:paraId="316714E1">
      <w:pPr>
        <w:autoSpaceDE w:val="0"/>
        <w:autoSpaceDN w:val="0"/>
        <w:adjustRightInd w:val="0"/>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4、对未经甲方同意，乙方擅自实施的工程变更，乙方应向甲方支付合同价    %的违约金。如工程变更后满足使用要求的，乙方应无条件配合履行变更手续，变更后工程价款减少的，甲方按变更后减少的价款支付工程价款，变更后工程价款增加的，甲方不予支付因变更增加的工程价款。如工程变更后不满足使用要求的，乙方应无条件拆除重新施工，如工程变更给甲方造成损失的，乙方应赔偿甲方的直接损失和间接损失，乙方还应赔偿甲方为实现本合同项下权力而产生的律师费、保全费、公证费、担保费、鉴定费、专家论证费等一切费用。</w:t>
      </w:r>
    </w:p>
    <w:p w14:paraId="1C075BD6">
      <w:pPr>
        <w:numPr>
          <w:ilvl w:val="-1"/>
          <w:numId w:val="0"/>
        </w:numPr>
        <w:snapToGrid w:val="0"/>
        <w:spacing w:line="360" w:lineRule="auto"/>
        <w:ind w:left="0" w:firstLine="480" w:firstLineChars="200"/>
        <w:rPr>
          <w:rFonts w:cs="宋体" w:asciiTheme="majorEastAsia" w:hAnsiTheme="majorEastAsia" w:eastAsiaTheme="majorEastAsia"/>
          <w:color w:val="auto"/>
          <w:sz w:val="24"/>
          <w:szCs w:val="24"/>
          <w:highlight w:val="none"/>
          <w:lang w:val="zh-CN"/>
        </w:rPr>
      </w:pPr>
      <w:r>
        <w:rPr>
          <w:rFonts w:hint="eastAsia" w:cs="宋体" w:asciiTheme="minorEastAsia" w:hAnsiTheme="minorEastAsia" w:eastAsiaTheme="minorEastAsia"/>
          <w:color w:val="auto"/>
          <w:kern w:val="0"/>
          <w:sz w:val="24"/>
          <w:highlight w:val="none"/>
          <w:lang w:val="en-US" w:eastAsia="zh-CN"/>
        </w:rPr>
        <w:t>5、</w:t>
      </w:r>
      <w:r>
        <w:rPr>
          <w:rFonts w:hint="eastAsia" w:cs="宋体" w:asciiTheme="majorEastAsia" w:hAnsiTheme="majorEastAsia" w:eastAsiaTheme="majorEastAsia"/>
          <w:color w:val="auto"/>
          <w:sz w:val="24"/>
          <w:szCs w:val="24"/>
          <w:highlight w:val="none"/>
          <w:lang w:val="zh-CN"/>
        </w:rPr>
        <w:t>如甲方按合同付款时间向政府财政等相关支付部门提交支付申请手续。因甲方使用的是财政资金或专项债资金，相关款项的支付，须向政府财政等相关支付部门提交办理财政支付等相关申请手续并经审核同意后才可完成转账到款。政府财政等相关支付部门议付审核转账期间视为付款宽限期，乙方不得追索主张该宽限期间的任何资金利息、费用、违约金或损失，亦不得拒绝履行合同义务。</w:t>
      </w:r>
    </w:p>
    <w:p w14:paraId="2BC749A5">
      <w:pPr>
        <w:autoSpaceDE w:val="0"/>
        <w:autoSpaceDN w:val="0"/>
        <w:adjustRightInd w:val="0"/>
        <w:spacing w:line="360" w:lineRule="auto"/>
        <w:ind w:firstLine="480" w:firstLineChars="200"/>
        <w:jc w:val="left"/>
        <w:rPr>
          <w:rFonts w:hint="default" w:cs="宋体" w:asciiTheme="minorEastAsia" w:hAnsiTheme="minorEastAsia" w:eastAsiaTheme="minorEastAsia"/>
          <w:color w:val="auto"/>
          <w:kern w:val="0"/>
          <w:sz w:val="24"/>
          <w:highlight w:val="none"/>
          <w:lang w:val="en-US" w:eastAsia="zh-CN"/>
        </w:rPr>
      </w:pPr>
    </w:p>
    <w:p w14:paraId="6FA48962">
      <w:pPr>
        <w:autoSpaceDE w:val="0"/>
        <w:autoSpaceDN w:val="0"/>
        <w:adjustRightInd w:val="0"/>
        <w:spacing w:line="360" w:lineRule="auto"/>
        <w:ind w:firstLine="480" w:firstLineChars="200"/>
        <w:jc w:val="left"/>
        <w:rPr>
          <w:rFonts w:hint="default" w:cs="宋体" w:asciiTheme="minorEastAsia" w:hAnsiTheme="minorEastAsia" w:eastAsiaTheme="minorEastAsia"/>
          <w:color w:val="auto"/>
          <w:kern w:val="0"/>
          <w:sz w:val="24"/>
          <w:highlight w:val="none"/>
          <w:lang w:val="en-US" w:eastAsia="zh-CN"/>
        </w:rPr>
      </w:pPr>
    </w:p>
    <w:p w14:paraId="51820C5B">
      <w:pPr>
        <w:autoSpaceDE w:val="0"/>
        <w:autoSpaceDN w:val="0"/>
        <w:adjustRightInd w:val="0"/>
        <w:spacing w:line="360" w:lineRule="auto"/>
        <w:ind w:firstLine="480" w:firstLineChars="200"/>
        <w:jc w:val="left"/>
        <w:rPr>
          <w:rFonts w:hint="eastAsia" w:cs="宋体" w:asciiTheme="minorEastAsia" w:hAnsiTheme="minorEastAsia" w:eastAsiaTheme="minorEastAsia"/>
          <w:color w:val="auto"/>
          <w:kern w:val="0"/>
          <w:sz w:val="24"/>
          <w:highlight w:val="none"/>
        </w:rPr>
      </w:pPr>
    </w:p>
    <w:p w14:paraId="18E2E64D">
      <w:pPr>
        <w:autoSpaceDE w:val="0"/>
        <w:autoSpaceDN w:val="0"/>
        <w:adjustRightInd w:val="0"/>
        <w:spacing w:line="360" w:lineRule="auto"/>
        <w:ind w:firstLine="482"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color w:val="auto"/>
          <w:kern w:val="0"/>
          <w:sz w:val="24"/>
          <w:highlight w:val="none"/>
        </w:rPr>
        <w:t>第七条 保修责任</w:t>
      </w:r>
    </w:p>
    <w:p w14:paraId="12B9081F">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、本合同项下乙方所做工程（含使用原材料）不应低于国家和地方的强制质量标准。</w:t>
      </w:r>
    </w:p>
    <w:p w14:paraId="41A19D23">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、保修期限以甲方在竣工验收证书签字盖章之日起计算，本合同项下所有工程的保修期为</w:t>
      </w:r>
      <w:r>
        <w:rPr>
          <w:rFonts w:hint="eastAsia" w:cs="宋体" w:asciiTheme="minorEastAsia" w:hAnsiTheme="minorEastAsia" w:eastAsiaTheme="minorEastAsia"/>
          <w:color w:val="auto"/>
          <w:kern w:val="0"/>
          <w:sz w:val="24"/>
          <w:highlight w:val="none"/>
          <w:u w:val="single"/>
        </w:rPr>
        <w:t xml:space="preserve">专用条款约定或国家和地方强制标准 </w:t>
      </w:r>
      <w:r>
        <w:rPr>
          <w:rFonts w:hint="eastAsia" w:cs="宋体" w:asciiTheme="minorEastAsia" w:hAnsiTheme="minorEastAsia" w:eastAsiaTheme="minorEastAsia"/>
          <w:color w:val="auto"/>
          <w:kern w:val="0"/>
          <w:sz w:val="24"/>
          <w:highlight w:val="none"/>
        </w:rPr>
        <w:t>。存在两个以上标准要求的，适用于对于乙方更为严格的标准。</w:t>
      </w:r>
    </w:p>
    <w:p w14:paraId="1D54F2A4">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、保修期内因工程质量出现问题，影响甲方正常生产的，乙方须在接到通知（包括口头通知）后</w:t>
      </w:r>
      <w:r>
        <w:rPr>
          <w:rFonts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kern w:val="0"/>
          <w:sz w:val="24"/>
          <w:highlight w:val="none"/>
        </w:rPr>
        <w:t>小时内赶到现场并于</w:t>
      </w:r>
      <w:r>
        <w:rPr>
          <w:rFonts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小时内完成维修，对</w:t>
      </w:r>
      <w:r>
        <w:rPr>
          <w:rFonts w:asciiTheme="minorEastAsia" w:hAnsiTheme="minorEastAsia" w:eastAsiaTheme="minorEastAsia"/>
          <w:color w:val="auto"/>
          <w:kern w:val="0"/>
          <w:sz w:val="24"/>
          <w:highlight w:val="none"/>
        </w:rPr>
        <w:t>8</w:t>
      </w:r>
      <w:r>
        <w:rPr>
          <w:rFonts w:hint="eastAsia" w:cs="宋体" w:asciiTheme="minorEastAsia" w:hAnsiTheme="minorEastAsia" w:eastAsiaTheme="minorEastAsia"/>
          <w:color w:val="auto"/>
          <w:kern w:val="0"/>
          <w:sz w:val="24"/>
          <w:highlight w:val="none"/>
        </w:rPr>
        <w:t>小时内无法修复的严重故障，乙方须提供解决方案保证正常运行，最晚应保证在</w:t>
      </w:r>
      <w:r>
        <w:rPr>
          <w:rFonts w:asciiTheme="minorEastAsia" w:hAnsiTheme="minorEastAsia" w:eastAsiaTheme="minorEastAsia"/>
          <w:color w:val="auto"/>
          <w:kern w:val="0"/>
          <w:sz w:val="24"/>
          <w:highlight w:val="none"/>
        </w:rPr>
        <w:t>24</w:t>
      </w:r>
      <w:r>
        <w:rPr>
          <w:rFonts w:hint="eastAsia" w:cs="宋体" w:asciiTheme="minorEastAsia" w:hAnsiTheme="minorEastAsia" w:eastAsiaTheme="minorEastAsia"/>
          <w:color w:val="auto"/>
          <w:kern w:val="0"/>
          <w:sz w:val="24"/>
          <w:highlight w:val="none"/>
        </w:rPr>
        <w:t>小时内维修完毕并恢复正常生产。</w:t>
      </w:r>
    </w:p>
    <w:p w14:paraId="2320CA78">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当乙方未按以上规定完成保修的情况下，甲方有权委派他方处理，因此发生的费用甲方有权要求乙方</w:t>
      </w:r>
      <w:r>
        <w:rPr>
          <w:rFonts w:cs="宋体" w:asciiTheme="minorEastAsia" w:hAnsiTheme="minorEastAsia" w:eastAsiaTheme="minorEastAsia"/>
          <w:color w:val="auto"/>
          <w:kern w:val="0"/>
          <w:sz w:val="24"/>
          <w:highlight w:val="none"/>
        </w:rPr>
        <w:t>予以支付，</w:t>
      </w:r>
      <w:r>
        <w:rPr>
          <w:rFonts w:hint="eastAsia" w:cs="宋体" w:asciiTheme="minorEastAsia" w:hAnsiTheme="minorEastAsia" w:eastAsiaTheme="minorEastAsia"/>
          <w:color w:val="auto"/>
          <w:kern w:val="0"/>
          <w:sz w:val="24"/>
          <w:highlight w:val="none"/>
        </w:rPr>
        <w:t>并且乙方需承担由此给甲方造成损失的赔偿责任。</w:t>
      </w:r>
    </w:p>
    <w:p w14:paraId="1D60C212">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在保修期满后乙方仍须按规范以及政府有关部门规定承担保修责任并对本工程继续进行跟踪服务以及提供优质、低价的服务。</w:t>
      </w:r>
    </w:p>
    <w:p w14:paraId="50AAF060">
      <w:pPr>
        <w:autoSpaceDE w:val="0"/>
        <w:autoSpaceDN w:val="0"/>
        <w:adjustRightInd w:val="0"/>
        <w:spacing w:line="360" w:lineRule="auto"/>
        <w:ind w:firstLine="482" w:firstLineChars="200"/>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第八条 不可抗力</w:t>
      </w:r>
    </w:p>
    <w:p w14:paraId="1DC9D86B">
      <w:pPr>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、合同一方遇到不可抗力事件，使其履行合同义务</w:t>
      </w:r>
      <w:r>
        <w:rPr>
          <w:rFonts w:hint="eastAsia" w:cs="宋体" w:asciiTheme="minorEastAsia" w:hAnsiTheme="minorEastAsia" w:eastAsiaTheme="minorEastAsia"/>
          <w:color w:val="auto"/>
          <w:kern w:val="0"/>
          <w:sz w:val="24"/>
          <w:highlight w:val="none"/>
          <w:lang w:eastAsia="zh-CN"/>
        </w:rPr>
        <w:t>受到</w:t>
      </w:r>
      <w:r>
        <w:rPr>
          <w:rFonts w:hint="eastAsia" w:cs="宋体" w:asciiTheme="minorEastAsia" w:hAnsiTheme="minorEastAsia" w:eastAsiaTheme="minorEastAsia"/>
          <w:color w:val="auto"/>
          <w:kern w:val="0"/>
          <w:sz w:val="24"/>
          <w:highlight w:val="none"/>
        </w:rPr>
        <w:t>阻碍的，应立即通知对方，书面说明不可抗力和受阻碍的详细情况，并提供必要的证明。双方均应采取措施尽量避免和减少损失的扩大，任何一方没有采取有效措施导致损失扩大的，应对扩大的损失承担责任。</w:t>
      </w:r>
    </w:p>
    <w:p w14:paraId="79CD0BFB">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2、因不可抗力导致的损失和费用增加，双方各自承担。</w:t>
      </w:r>
    </w:p>
    <w:p w14:paraId="5A37591F">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、合同一方当事人迟延履行合同期间发生不可抗力的，不免除其违约责任。</w:t>
      </w:r>
    </w:p>
    <w:p w14:paraId="19E39A6F">
      <w:pPr>
        <w:autoSpaceDE w:val="0"/>
        <w:autoSpaceDN w:val="0"/>
        <w:adjustRightInd w:val="0"/>
        <w:spacing w:line="360" w:lineRule="auto"/>
        <w:ind w:firstLine="482" w:firstLineChars="200"/>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第九条 通知与送达</w:t>
      </w:r>
    </w:p>
    <w:p w14:paraId="7318D6FF">
      <w:pPr>
        <w:snapToGrid w:val="0"/>
        <w:spacing w:line="360" w:lineRule="auto"/>
        <w:ind w:firstLine="480" w:firstLineChars="200"/>
        <w:rPr>
          <w:rFonts w:ascii="宋体" w:hAnsi="宋体" w:cs="宋体"/>
          <w:color w:val="auto"/>
          <w:sz w:val="24"/>
          <w:highlight w:val="none"/>
          <w:lang w:eastAsia="zh-Hans"/>
        </w:rPr>
      </w:pPr>
      <w:r>
        <w:rPr>
          <w:rFonts w:hint="eastAsia" w:ascii="宋体" w:hAnsi="宋体" w:cs="宋体"/>
          <w:color w:val="auto"/>
          <w:sz w:val="24"/>
          <w:highlight w:val="none"/>
        </w:rPr>
        <w:t>1、</w:t>
      </w:r>
      <w:r>
        <w:rPr>
          <w:rFonts w:hint="eastAsia" w:ascii="宋体" w:hAnsi="宋体" w:cs="宋体"/>
          <w:color w:val="auto"/>
          <w:sz w:val="24"/>
          <w:highlight w:val="none"/>
          <w:lang w:eastAsia="zh-Hans"/>
        </w:rPr>
        <w:t>本合同所称送达或书面通知包括邮寄送达、电子送达等通知方式。甲方对</w:t>
      </w:r>
      <w:r>
        <w:rPr>
          <w:rFonts w:hint="eastAsia" w:ascii="宋体" w:hAnsi="宋体" w:cs="宋体"/>
          <w:color w:val="auto"/>
          <w:sz w:val="24"/>
          <w:highlight w:val="none"/>
          <w:lang w:eastAsia="zh-CN"/>
        </w:rPr>
        <w:t>其</w:t>
      </w:r>
      <w:r>
        <w:rPr>
          <w:rFonts w:hint="eastAsia" w:ascii="宋体" w:hAnsi="宋体" w:cs="宋体"/>
          <w:color w:val="auto"/>
          <w:sz w:val="24"/>
          <w:highlight w:val="none"/>
          <w:lang w:eastAsia="zh-Hans"/>
        </w:rPr>
        <w:t>在本合同签署页中向乙方提供的甲方通讯地址、电子邮件、手机号码等通讯信息均予以认可。采用邮寄送达的，按照甲方提供的通讯地址交邮后的第三日即视为送达；采用电子送达的（电子送达的方式包括但不限于向甲方发送电子邮件、手机短信），以电子方式作出通知之时即视为送达。</w:t>
      </w:r>
    </w:p>
    <w:p w14:paraId="482D7408">
      <w:pPr>
        <w:snapToGrid w:val="0"/>
        <w:spacing w:line="360" w:lineRule="auto"/>
        <w:ind w:firstLine="480" w:firstLineChars="200"/>
        <w:rPr>
          <w:rFonts w:ascii="宋体" w:hAnsi="宋体" w:cs="宋体"/>
          <w:color w:val="auto"/>
          <w:sz w:val="24"/>
          <w:highlight w:val="none"/>
          <w:lang w:eastAsia="zh-Hans"/>
        </w:rPr>
      </w:pPr>
      <w:r>
        <w:rPr>
          <w:rFonts w:hint="eastAsia" w:ascii="宋体" w:hAnsi="宋体" w:cs="宋体"/>
          <w:color w:val="auto"/>
          <w:sz w:val="24"/>
          <w:highlight w:val="none"/>
        </w:rPr>
        <w:t>2、</w:t>
      </w:r>
      <w:r>
        <w:rPr>
          <w:rFonts w:hint="eastAsia" w:ascii="宋体" w:hAnsi="宋体" w:cs="宋体"/>
          <w:color w:val="auto"/>
          <w:sz w:val="24"/>
          <w:highlight w:val="none"/>
          <w:lang w:eastAsia="zh-Hans"/>
        </w:rPr>
        <w:t>甲方发送给乙方的任何书面通知或文件于乙方实际收到时视为送达。</w:t>
      </w:r>
    </w:p>
    <w:p w14:paraId="383DB8A1">
      <w:pPr>
        <w:snapToGrid w:val="0"/>
        <w:spacing w:line="360" w:lineRule="auto"/>
        <w:ind w:firstLine="480" w:firstLineChars="200"/>
        <w:rPr>
          <w:rFonts w:ascii="宋体" w:hAnsi="宋体" w:cs="宋体"/>
          <w:color w:val="auto"/>
          <w:sz w:val="24"/>
          <w:highlight w:val="none"/>
          <w:lang w:eastAsia="zh-Hans"/>
        </w:rPr>
      </w:pPr>
      <w:r>
        <w:rPr>
          <w:rFonts w:ascii="宋体" w:hAnsi="宋体" w:cs="宋体"/>
          <w:color w:val="auto"/>
          <w:sz w:val="24"/>
          <w:highlight w:val="none"/>
          <w:lang w:eastAsia="zh-Hans"/>
        </w:rPr>
        <w:t>3</w:t>
      </w:r>
      <w:r>
        <w:rPr>
          <w:rFonts w:hint="eastAsia" w:ascii="宋体" w:hAnsi="宋体" w:cs="宋体"/>
          <w:color w:val="auto"/>
          <w:sz w:val="24"/>
          <w:highlight w:val="none"/>
        </w:rPr>
        <w:t>、</w:t>
      </w:r>
      <w:r>
        <w:rPr>
          <w:rFonts w:hint="eastAsia" w:ascii="宋体" w:hAnsi="宋体" w:cs="宋体"/>
          <w:color w:val="auto"/>
          <w:sz w:val="24"/>
          <w:highlight w:val="none"/>
          <w:lang w:eastAsia="zh-Hans"/>
        </w:rPr>
        <w:t>如本合同甲方为两人或以上，则乙方发送给甲方的任何书面通知或文件，一旦送达甲方中的任何一人，即视为已送达甲方全体，甲方中的任何一人不得以未收到相关通知或文件为由主张任何权利或要求减轻或免除其在本合同项下的任何责任或义务。</w:t>
      </w:r>
    </w:p>
    <w:p w14:paraId="3C8F9B6F">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宋体" w:hAnsi="宋体" w:cs="宋体"/>
          <w:color w:val="auto"/>
          <w:sz w:val="24"/>
          <w:highlight w:val="none"/>
          <w:lang w:eastAsia="zh-Hans"/>
        </w:rPr>
        <w:t>4</w:t>
      </w:r>
      <w:r>
        <w:rPr>
          <w:rFonts w:hint="eastAsia" w:ascii="宋体" w:hAnsi="宋体" w:cs="宋体"/>
          <w:color w:val="auto"/>
          <w:sz w:val="24"/>
          <w:highlight w:val="none"/>
        </w:rPr>
        <w:t>、</w:t>
      </w:r>
      <w:r>
        <w:rPr>
          <w:rFonts w:hint="eastAsia" w:ascii="宋体" w:hAnsi="宋体" w:cs="宋体"/>
          <w:color w:val="auto"/>
          <w:sz w:val="24"/>
          <w:highlight w:val="none"/>
          <w:lang w:eastAsia="zh-Hans"/>
        </w:rPr>
        <w:t>本合同项下任何通知或函件或法律文书（包括但不限于执行证书、各类诉讼文书和仲裁文书）的送达均应以书面形式按照本条第1款约定的方式送达。上述约定适用于各个司法</w:t>
      </w:r>
      <w:r>
        <w:rPr>
          <w:rFonts w:hint="eastAsia" w:cs="宋体" w:asciiTheme="minorEastAsia" w:hAnsiTheme="minorEastAsia" w:eastAsiaTheme="minorEastAsia"/>
          <w:color w:val="auto"/>
          <w:kern w:val="0"/>
          <w:sz w:val="24"/>
          <w:highlight w:val="none"/>
        </w:rPr>
        <w:t>阶段，包括但不限于一审、二审、再审、执行以及督促程序等。</w:t>
      </w:r>
    </w:p>
    <w:p w14:paraId="601A156C">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5、一方联系方式如有任何变动均应提前5日以书面形式通知对方，否则视为未变更。</w:t>
      </w:r>
    </w:p>
    <w:p w14:paraId="0C7A7B8D">
      <w:pPr>
        <w:autoSpaceDE w:val="0"/>
        <w:autoSpaceDN w:val="0"/>
        <w:adjustRightInd w:val="0"/>
        <w:spacing w:line="360" w:lineRule="auto"/>
        <w:ind w:firstLine="482" w:firstLineChars="200"/>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第十条 争议解决</w:t>
      </w:r>
    </w:p>
    <w:p w14:paraId="4A5D2737">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、乙方保证其签订本合同已获得所有必要的授权和批准，其签订及履行本合同并不违反其章程或其内部规则的规定。</w:t>
      </w:r>
    </w:p>
    <w:p w14:paraId="0F045C54">
      <w:pPr>
        <w:snapToGrid w:val="0"/>
        <w:spacing w:line="360" w:lineRule="auto"/>
        <w:ind w:firstLine="420"/>
        <w:rPr>
          <w:rFonts w:ascii="宋体" w:hAnsi="宋体" w:cs="宋体"/>
          <w:color w:val="auto"/>
          <w:sz w:val="24"/>
          <w:highlight w:val="none"/>
          <w:lang w:val="zh-CN"/>
        </w:rPr>
      </w:pPr>
      <w:r>
        <w:rPr>
          <w:rFonts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w:t>
      </w:r>
      <w:r>
        <w:rPr>
          <w:rFonts w:hint="eastAsia" w:ascii="宋体" w:hAnsi="宋体" w:cs="宋体"/>
          <w:color w:val="auto"/>
          <w:sz w:val="24"/>
          <w:highlight w:val="none"/>
          <w:lang w:val="zh-CN"/>
        </w:rPr>
        <w:t>本合同的订立、生效、履行、解释、修改、争议解决和终止等事项适用中华人民共和国法律、法规及规章（基于本合同的目的，在此不包括香港、澳门特别行政区和台湾地区法律），并按其解释。有关本合同的一切争议可通过友好协商解决；协商不成的，提交</w:t>
      </w:r>
      <w:r>
        <w:rPr>
          <w:rFonts w:hint="eastAsia" w:ascii="宋体" w:hAnsi="宋体" w:cs="宋体"/>
          <w:color w:val="auto"/>
          <w:sz w:val="24"/>
          <w:highlight w:val="none"/>
          <w:lang w:eastAsia="zh-Hans"/>
        </w:rPr>
        <w:t>甲方所在地</w:t>
      </w:r>
      <w:r>
        <w:rPr>
          <w:rFonts w:hint="eastAsia" w:ascii="宋体" w:hAnsi="宋体" w:cs="宋体"/>
          <w:color w:val="auto"/>
          <w:sz w:val="24"/>
          <w:highlight w:val="none"/>
          <w:lang w:val="zh-CN"/>
        </w:rPr>
        <w:t>有管辖权的人民法院提起诉讼：若</w:t>
      </w:r>
      <w:r>
        <w:rPr>
          <w:rFonts w:hint="eastAsia" w:ascii="宋体" w:hAnsi="宋体" w:cs="宋体"/>
          <w:color w:val="auto"/>
          <w:sz w:val="24"/>
          <w:highlight w:val="none"/>
          <w:lang w:eastAsia="zh-Hans"/>
        </w:rPr>
        <w:t>甲方</w:t>
      </w:r>
      <w:r>
        <w:rPr>
          <w:rFonts w:hint="eastAsia" w:ascii="宋体" w:hAnsi="宋体" w:cs="宋体"/>
          <w:color w:val="auto"/>
          <w:sz w:val="24"/>
          <w:highlight w:val="none"/>
          <w:lang w:val="zh-CN"/>
        </w:rPr>
        <w:t>将其在本合同项下的</w:t>
      </w:r>
      <w:r>
        <w:rPr>
          <w:rFonts w:hint="eastAsia" w:ascii="宋体" w:hAnsi="宋体" w:cs="宋体"/>
          <w:color w:val="auto"/>
          <w:sz w:val="24"/>
          <w:highlight w:val="none"/>
          <w:lang w:eastAsia="zh-Hans"/>
        </w:rPr>
        <w:t>权利</w:t>
      </w:r>
      <w:r>
        <w:rPr>
          <w:rFonts w:hint="eastAsia" w:ascii="宋体" w:hAnsi="宋体" w:cs="宋体"/>
          <w:color w:val="auto"/>
          <w:sz w:val="24"/>
          <w:highlight w:val="none"/>
          <w:lang w:val="zh-CN"/>
        </w:rPr>
        <w:t>转让给第三人，则</w:t>
      </w:r>
      <w:r>
        <w:rPr>
          <w:rFonts w:hint="eastAsia" w:ascii="宋体" w:hAnsi="宋体" w:cs="宋体"/>
          <w:color w:val="auto"/>
          <w:sz w:val="24"/>
          <w:highlight w:val="none"/>
          <w:lang w:eastAsia="zh-Hans"/>
        </w:rPr>
        <w:t>乙方</w:t>
      </w:r>
      <w:r>
        <w:rPr>
          <w:rFonts w:hint="eastAsia" w:ascii="宋体" w:hAnsi="宋体" w:cs="宋体"/>
          <w:color w:val="auto"/>
          <w:sz w:val="24"/>
          <w:highlight w:val="none"/>
          <w:lang w:val="zh-CN"/>
        </w:rPr>
        <w:t>、受让人均应向合同签订地有管辖权的人民法院提起诉讼。在诉讼过程中，除双方有争议正在进行诉讼的事项外，双方应继续履行其他部分的义务。</w:t>
      </w:r>
    </w:p>
    <w:p w14:paraId="2BF9FF4B">
      <w:pPr>
        <w:autoSpaceDE w:val="0"/>
        <w:autoSpaceDN w:val="0"/>
        <w:adjustRightInd w:val="0"/>
        <w:spacing w:line="360" w:lineRule="auto"/>
        <w:ind w:firstLine="482" w:firstLineChars="200"/>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第</w:t>
      </w:r>
      <w:r>
        <w:rPr>
          <w:rFonts w:cs="宋体" w:asciiTheme="minorEastAsia" w:hAnsiTheme="minorEastAsia" w:eastAsiaTheme="minorEastAsia"/>
          <w:b/>
          <w:color w:val="auto"/>
          <w:kern w:val="0"/>
          <w:sz w:val="24"/>
          <w:highlight w:val="none"/>
        </w:rPr>
        <w:t>十</w:t>
      </w:r>
      <w:r>
        <w:rPr>
          <w:rFonts w:hint="eastAsia" w:cs="宋体" w:asciiTheme="minorEastAsia" w:hAnsiTheme="minorEastAsia" w:eastAsiaTheme="minorEastAsia"/>
          <w:b/>
          <w:color w:val="auto"/>
          <w:kern w:val="0"/>
          <w:sz w:val="24"/>
          <w:highlight w:val="none"/>
        </w:rPr>
        <w:t>一条 合同的生效与修改</w:t>
      </w:r>
    </w:p>
    <w:p w14:paraId="27523BB7">
      <w:pPr>
        <w:snapToGrid w:val="0"/>
        <w:spacing w:line="360" w:lineRule="auto"/>
        <w:ind w:firstLine="480" w:firstLineChars="200"/>
        <w:rPr>
          <w:color w:val="auto"/>
          <w:highlight w:val="none"/>
        </w:rPr>
      </w:pPr>
      <w:r>
        <w:rPr>
          <w:rFonts w:cs="宋体" w:asciiTheme="minorEastAsia" w:hAnsiTheme="minorEastAsia" w:eastAsiaTheme="minorEastAsia"/>
          <w:color w:val="auto"/>
          <w:kern w:val="0"/>
          <w:sz w:val="24"/>
          <w:highlight w:val="none"/>
        </w:rPr>
        <w:t>1、</w:t>
      </w:r>
      <w:r>
        <w:rPr>
          <w:rFonts w:hint="eastAsia" w:ascii="宋体" w:hAnsi="宋体" w:cs="宋体"/>
          <w:color w:val="auto"/>
          <w:sz w:val="24"/>
          <w:highlight w:val="none"/>
          <w:lang w:bidi="ar"/>
        </w:rPr>
        <w:t>本合同壹式肆份，甲乙双方签章后即时生效，甲方持叁份，乙方持壹份，每份均具有同等法律效力。</w:t>
      </w:r>
    </w:p>
    <w:p w14:paraId="1E799729">
      <w:pPr>
        <w:autoSpaceDE w:val="0"/>
        <w:autoSpaceDN w:val="0"/>
        <w:adjustRightInd w:val="0"/>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2、合同附件</w:t>
      </w:r>
      <w:r>
        <w:rPr>
          <w:rFonts w:cs="宋体" w:asciiTheme="minorEastAsia" w:hAnsiTheme="minorEastAsia" w:eastAsiaTheme="minorEastAsia"/>
          <w:color w:val="auto"/>
          <w:kern w:val="0"/>
          <w:sz w:val="24"/>
          <w:highlight w:val="none"/>
        </w:rPr>
        <w:t>及</w:t>
      </w:r>
      <w:r>
        <w:rPr>
          <w:rFonts w:hint="eastAsia" w:cs="宋体" w:asciiTheme="minorEastAsia" w:hAnsiTheme="minorEastAsia" w:eastAsiaTheme="minorEastAsia"/>
          <w:color w:val="auto"/>
          <w:kern w:val="0"/>
          <w:sz w:val="24"/>
          <w:highlight w:val="none"/>
        </w:rPr>
        <w:t>所有在执行本合同的过程中经甲乙双方签署确认的与本合同有关的文件（包括但不限于施工方案、图纸、进度计划等）</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均构成</w:t>
      </w:r>
      <w:r>
        <w:rPr>
          <w:rFonts w:cs="宋体" w:asciiTheme="minorEastAsia" w:hAnsiTheme="minorEastAsia" w:eastAsiaTheme="minorEastAsia"/>
          <w:color w:val="auto"/>
          <w:kern w:val="0"/>
          <w:sz w:val="24"/>
          <w:highlight w:val="none"/>
        </w:rPr>
        <w:t>本</w:t>
      </w:r>
      <w:r>
        <w:rPr>
          <w:rFonts w:hint="eastAsia" w:cs="宋体" w:asciiTheme="minorEastAsia" w:hAnsiTheme="minorEastAsia" w:eastAsiaTheme="minorEastAsia"/>
          <w:color w:val="auto"/>
          <w:kern w:val="0"/>
          <w:sz w:val="24"/>
          <w:highlight w:val="none"/>
        </w:rPr>
        <w:t>合同的</w:t>
      </w:r>
      <w:r>
        <w:rPr>
          <w:rFonts w:cs="宋体" w:asciiTheme="minorEastAsia" w:hAnsiTheme="minorEastAsia" w:eastAsiaTheme="minorEastAsia"/>
          <w:color w:val="auto"/>
          <w:kern w:val="0"/>
          <w:sz w:val="24"/>
          <w:highlight w:val="none"/>
        </w:rPr>
        <w:t>有效组成</w:t>
      </w:r>
      <w:r>
        <w:rPr>
          <w:rFonts w:hint="eastAsia" w:cs="宋体" w:asciiTheme="minorEastAsia" w:hAnsiTheme="minorEastAsia" w:eastAsiaTheme="minorEastAsia"/>
          <w:color w:val="auto"/>
          <w:kern w:val="0"/>
          <w:sz w:val="24"/>
          <w:highlight w:val="none"/>
        </w:rPr>
        <w:t>部分</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其生效日期为</w:t>
      </w:r>
      <w:r>
        <w:rPr>
          <w:rFonts w:cs="宋体" w:asciiTheme="minorEastAsia" w:hAnsiTheme="minorEastAsia" w:eastAsiaTheme="minorEastAsia"/>
          <w:color w:val="auto"/>
          <w:kern w:val="0"/>
          <w:sz w:val="24"/>
          <w:highlight w:val="none"/>
        </w:rPr>
        <w:t>双方签字盖章之日起</w:t>
      </w:r>
      <w:r>
        <w:rPr>
          <w:rFonts w:hint="eastAsia" w:cs="宋体" w:asciiTheme="minorEastAsia" w:hAnsiTheme="minorEastAsia" w:eastAsiaTheme="minorEastAsia"/>
          <w:color w:val="auto"/>
          <w:kern w:val="0"/>
          <w:sz w:val="24"/>
          <w:highlight w:val="none"/>
        </w:rPr>
        <w:t>。</w:t>
      </w:r>
    </w:p>
    <w:p w14:paraId="60783F61">
      <w:pPr>
        <w:autoSpaceDE w:val="0"/>
        <w:autoSpaceDN w:val="0"/>
        <w:adjustRightIn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3、本合同生效后至办完工程验收交接和竣工验收结算，保修期期满乙方解决全部保修问题后，合同终止。</w:t>
      </w:r>
    </w:p>
    <w:p w14:paraId="3200C9B3">
      <w:pPr>
        <w:autoSpaceDE w:val="0"/>
        <w:autoSpaceDN w:val="0"/>
        <w:adjustRightIn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合同涂改或手写修改部分应有双方公章确认，否则无效。</w:t>
      </w:r>
    </w:p>
    <w:p w14:paraId="0AC7C165">
      <w:pPr>
        <w:widowControl/>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br w:type="page"/>
      </w:r>
    </w:p>
    <w:p w14:paraId="7A2F3A44">
      <w:pPr>
        <w:widowControl/>
        <w:spacing w:line="360" w:lineRule="auto"/>
        <w:jc w:val="center"/>
        <w:rPr>
          <w:rFonts w:asciiTheme="minorEastAsia" w:hAnsiTheme="minorEastAsia" w:eastAsiaTheme="minorEastAsia"/>
          <w:b/>
          <w:bCs/>
          <w:color w:val="auto"/>
          <w:sz w:val="32"/>
          <w:szCs w:val="32"/>
          <w:highlight w:val="none"/>
        </w:rPr>
      </w:pPr>
    </w:p>
    <w:p w14:paraId="0AFFF314">
      <w:pPr>
        <w:widowControl/>
        <w:spacing w:line="360" w:lineRule="auto"/>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廉 政 承 诺 书</w:t>
      </w:r>
    </w:p>
    <w:p w14:paraId="7D116EC2">
      <w:pPr>
        <w:tabs>
          <w:tab w:val="left" w:pos="6379"/>
        </w:tabs>
        <w:spacing w:line="360" w:lineRule="auto"/>
        <w:jc w:val="center"/>
        <w:rPr>
          <w:rFonts w:asciiTheme="minorEastAsia" w:hAnsiTheme="minorEastAsia" w:eastAsiaTheme="minorEastAsia"/>
          <w:b/>
          <w:bCs/>
          <w:color w:val="auto"/>
          <w:sz w:val="32"/>
          <w:szCs w:val="32"/>
          <w:highlight w:val="none"/>
        </w:rPr>
      </w:pPr>
    </w:p>
    <w:p w14:paraId="05C0F22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本公司知悉香港城市大学（东莞）（以下统称“港城大（东莞）”）以廉洁、公平、公正为宗旨，遵守中华人民共和国及其他海外地区之防止贿赂条例或同等意义的法律、法规，严格限制任何职员收受私人利益（包括礼物、回佣或任何形式之报酬）。本公司承诺与港城大（东莞）之一切交易往来，将会严格遵守本承诺书，不会利诱或试图利诱港城大（东莞）的任何职员。除受有关合约监管外，亦受本承诺书的约束。如</w:t>
      </w:r>
      <w:r>
        <w:rPr>
          <w:rFonts w:hint="eastAsia" w:asciiTheme="minorEastAsia" w:hAnsiTheme="minorEastAsia" w:eastAsiaTheme="minorEastAsia"/>
          <w:color w:val="auto"/>
          <w:highlight w:val="none"/>
          <w:lang w:eastAsia="zh-CN"/>
        </w:rPr>
        <w:t>有关于</w:t>
      </w:r>
      <w:r>
        <w:rPr>
          <w:rFonts w:hint="eastAsia" w:asciiTheme="minorEastAsia" w:hAnsiTheme="minorEastAsia" w:eastAsiaTheme="minorEastAsia"/>
          <w:color w:val="auto"/>
          <w:highlight w:val="none"/>
        </w:rPr>
        <w:t>合约与本承诺书之条款有任何歧义或冲突之处，则以本承诺书为准。</w:t>
      </w:r>
    </w:p>
    <w:p w14:paraId="7D736F08">
      <w:pPr>
        <w:spacing w:line="360" w:lineRule="auto"/>
        <w:ind w:firstLine="422" w:firstLineChars="20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本公司对港城大（东莞）承诺如下：</w:t>
      </w:r>
    </w:p>
    <w:p w14:paraId="445D4DAA">
      <w:pPr>
        <w:numPr>
          <w:ilvl w:val="0"/>
          <w:numId w:val="3"/>
        </w:numPr>
        <w:autoSpaceDE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本公司及职员不向港城大（东莞）职员给予任何影响正常公务执行的利益，包括礼品、礼金、消费卡（</w:t>
      </w:r>
      <w:r>
        <w:rPr>
          <w:rFonts w:hint="eastAsia" w:asciiTheme="minorEastAsia" w:hAnsiTheme="minorEastAsia" w:eastAsiaTheme="minorEastAsia"/>
          <w:color w:val="auto"/>
          <w:highlight w:val="none"/>
          <w:lang w:eastAsia="zh-CN"/>
        </w:rPr>
        <w:t>券</w:t>
      </w:r>
      <w:r>
        <w:rPr>
          <w:rFonts w:hint="eastAsia" w:asciiTheme="minorEastAsia" w:hAnsiTheme="minorEastAsia" w:eastAsiaTheme="minorEastAsia"/>
          <w:color w:val="auto"/>
          <w:highlight w:val="none"/>
        </w:rPr>
        <w:t>）和有价证券、股权及其他金融产品等财物，也包括中国传统节日（如春节、端午、中秋等）所收到礼品等。</w:t>
      </w:r>
    </w:p>
    <w:p w14:paraId="28D5F774">
      <w:pPr>
        <w:numPr>
          <w:ilvl w:val="0"/>
          <w:numId w:val="3"/>
        </w:numPr>
        <w:autoSpaceDE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本公司若获知港城大（东莞</w:t>
      </w:r>
      <w:r>
        <w:rPr>
          <w:rFonts w:hint="eastAsia" w:asciiTheme="minorEastAsia" w:hAnsiTheme="minorEastAsia" w:eastAsiaTheme="minorEastAsia"/>
          <w:color w:val="auto"/>
          <w:highlight w:val="none"/>
          <w:lang w:eastAsia="zh-CN"/>
        </w:rPr>
        <w:t>）及</w:t>
      </w:r>
      <w:r>
        <w:rPr>
          <w:rFonts w:hint="eastAsia" w:asciiTheme="minorEastAsia" w:hAnsiTheme="minorEastAsia" w:eastAsiaTheme="minorEastAsia"/>
          <w:color w:val="auto"/>
          <w:highlight w:val="none"/>
        </w:rPr>
        <w:t>其理事会成员或职员与本公司任何职员有亲属或利益关系，将会于五个工作日内以书面形式通知港城大（东莞）采购中心、审计处。</w:t>
      </w:r>
    </w:p>
    <w:p w14:paraId="65777F1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本公司及职员如违反本承诺书之任何条款，本公司同意港城大（东莞）可立即终止与此有关联的买卖合同、服务合同、工程合同及其他有关联之业务，并永久终止日后的一切业务往来，包括但不限于买卖、服务、工程及其他交易。同时，本公司愿意赔偿港城大（东莞）的有关一切损失，同时亦同意港城大（东莞）将相关事宜呈交有关执法机关查办。</w:t>
      </w:r>
    </w:p>
    <w:p w14:paraId="462A42D2">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4、本公司及职员若发现港城大（东莞）职员索取任何私人报酬或利益，应立即通知港城大（东莞）采购中心、审计处。本公司同意港城大（东莞）对本承诺书内容有保留增减或修改之权利，</w:t>
      </w:r>
      <w:r>
        <w:rPr>
          <w:rFonts w:hint="eastAsia" w:asciiTheme="minorEastAsia" w:hAnsiTheme="minorEastAsia" w:eastAsiaTheme="minorEastAsia"/>
          <w:color w:val="auto"/>
          <w:highlight w:val="none"/>
          <w:lang w:eastAsia="zh-CN"/>
        </w:rPr>
        <w:t>有关于</w:t>
      </w:r>
      <w:r>
        <w:rPr>
          <w:rFonts w:hint="eastAsia" w:asciiTheme="minorEastAsia" w:hAnsiTheme="minorEastAsia" w:eastAsiaTheme="minorEastAsia"/>
          <w:color w:val="auto"/>
          <w:highlight w:val="none"/>
        </w:rPr>
        <w:t>增减或修改应以书面形式通知本公司。</w:t>
      </w:r>
    </w:p>
    <w:p w14:paraId="0F75EC1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 本承诺书的任何条款不影响港城大（东莞）在任何情况下一切有关法律赋予之权益。</w:t>
      </w:r>
    </w:p>
    <w:p w14:paraId="6AF07BD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 本公司及授权代</w:t>
      </w:r>
      <w:r>
        <w:rPr>
          <w:rFonts w:hint="eastAsia" w:asciiTheme="minorEastAsia" w:hAnsiTheme="minorEastAsia" w:eastAsiaTheme="minorEastAsia"/>
          <w:color w:val="auto"/>
          <w:highlight w:val="none"/>
          <w:lang w:eastAsia="zh-CN"/>
        </w:rPr>
        <w:t>表人</w:t>
      </w:r>
      <w:r>
        <w:rPr>
          <w:rFonts w:hint="eastAsia" w:asciiTheme="minorEastAsia" w:hAnsiTheme="minorEastAsia" w:eastAsiaTheme="minorEastAsia"/>
          <w:color w:val="auto"/>
          <w:highlight w:val="none"/>
        </w:rPr>
        <w:t xml:space="preserve">已详细阅读本承诺书之所有内容，同时也完全明白、理解并自愿遵守本承诺书之所有内容。 </w:t>
      </w:r>
    </w:p>
    <w:p w14:paraId="3322ED47">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承诺人（名称、盖章）：</w:t>
      </w:r>
    </w:p>
    <w:p w14:paraId="4CDA9ED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法定代表人或授权代表人（签字）：</w:t>
      </w:r>
    </w:p>
    <w:p w14:paraId="2B616AE7">
      <w:pPr>
        <w:spacing w:line="360" w:lineRule="auto"/>
        <w:ind w:firstLine="420"/>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年     月    日</w:t>
      </w:r>
    </w:p>
    <w:p w14:paraId="3410F44C">
      <w:pPr>
        <w:spacing w:line="360" w:lineRule="auto"/>
        <w:ind w:firstLine="420"/>
        <w:jc w:val="right"/>
        <w:rPr>
          <w:rFonts w:asciiTheme="minorEastAsia" w:hAnsiTheme="minorEastAsia" w:eastAsiaTheme="minorEastAsia"/>
          <w:color w:val="auto"/>
          <w:highlight w:val="none"/>
        </w:rPr>
      </w:pPr>
    </w:p>
    <w:p w14:paraId="7D39E091">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投诉举报方式如下：</w:t>
      </w:r>
    </w:p>
    <w:p w14:paraId="218B12D8">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1、熊</w:t>
      </w:r>
      <w:r>
        <w:rPr>
          <w:rFonts w:hint="eastAsia" w:asciiTheme="minorEastAsia" w:hAnsiTheme="minorEastAsia" w:eastAsiaTheme="minorEastAsia"/>
          <w:color w:val="auto"/>
          <w:highlight w:val="none"/>
          <w:lang w:val="en-US" w:eastAsia="zh-CN"/>
        </w:rPr>
        <w:t>老师</w:t>
      </w:r>
      <w:r>
        <w:rPr>
          <w:rFonts w:hint="eastAsia" w:asciiTheme="minorEastAsia" w:hAnsiTheme="minorEastAsia" w:eastAsiaTheme="minorEastAsia"/>
          <w:color w:val="auto"/>
          <w:highlight w:val="none"/>
        </w:rPr>
        <w:t xml:space="preserve">（招标采购管理中心）0769-21183091；jeff.xiong@cityu-dg.edu.cn  </w:t>
      </w:r>
    </w:p>
    <w:p w14:paraId="45B5C74B">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2、包文</w:t>
      </w:r>
      <w:r>
        <w:rPr>
          <w:rFonts w:hint="eastAsia" w:asciiTheme="minorEastAsia" w:hAnsiTheme="minorEastAsia" w:eastAsiaTheme="minorEastAsia"/>
          <w:color w:val="auto"/>
          <w:highlight w:val="none"/>
          <w:lang w:val="en-US" w:eastAsia="zh-CN"/>
        </w:rPr>
        <w:t>老师</w:t>
      </w:r>
      <w:r>
        <w:rPr>
          <w:rFonts w:hint="eastAsia" w:asciiTheme="minorEastAsia" w:hAnsiTheme="minorEastAsia" w:eastAsiaTheme="minorEastAsia"/>
          <w:color w:val="auto"/>
          <w:highlight w:val="none"/>
        </w:rPr>
        <w:t>（审计处）0769-21183035；wds.bao@cityu-dg.edu.cn</w:t>
      </w:r>
    </w:p>
    <w:p w14:paraId="49B451EF">
      <w:pPr>
        <w:tabs>
          <w:tab w:val="left" w:pos="6379"/>
        </w:tabs>
        <w:spacing w:line="276"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通讯地址：广东省东莞市松山湖高新技术产业开发区高雄路8号香港城市大学（东莞）</w:t>
      </w:r>
    </w:p>
    <w:p w14:paraId="1692508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14:paraId="7A6F6041">
      <w:pPr>
        <w:keepNext w:val="0"/>
        <w:keepLines w:val="0"/>
        <w:pageBreakBefore w:val="0"/>
        <w:widowControl w:val="0"/>
        <w:kinsoku/>
        <w:wordWrap/>
        <w:overflowPunct/>
        <w:topLinePunct w:val="0"/>
        <w:autoSpaceDE/>
        <w:autoSpaceDN/>
        <w:bidi w:val="0"/>
        <w:snapToGrid/>
        <w:spacing w:line="300" w:lineRule="auto"/>
        <w:jc w:val="center"/>
        <w:textAlignment w:val="auto"/>
        <w:rPr>
          <w:rFonts w:eastAsia="黑体"/>
          <w:b/>
          <w:color w:val="auto"/>
          <w:sz w:val="36"/>
          <w:highlight w:val="none"/>
        </w:rPr>
      </w:pPr>
      <w:r>
        <w:rPr>
          <w:rFonts w:hint="eastAsia" w:eastAsia="黑体"/>
          <w:b/>
          <w:color w:val="auto"/>
          <w:sz w:val="36"/>
          <w:highlight w:val="none"/>
        </w:rPr>
        <w:t>保 密 协 议</w:t>
      </w:r>
    </w:p>
    <w:p w14:paraId="107925B9">
      <w:pPr>
        <w:keepNext w:val="0"/>
        <w:keepLines w:val="0"/>
        <w:pageBreakBefore w:val="0"/>
        <w:widowControl w:val="0"/>
        <w:kinsoku/>
        <w:wordWrap/>
        <w:overflowPunct/>
        <w:topLinePunct w:val="0"/>
        <w:autoSpaceDE/>
        <w:autoSpaceDN/>
        <w:bidi w:val="0"/>
        <w:snapToGrid/>
        <w:spacing w:line="300" w:lineRule="auto"/>
        <w:ind w:firstLine="454"/>
        <w:textAlignment w:val="auto"/>
        <w:rPr>
          <w:rFonts w:hint="eastAsia"/>
          <w:b/>
          <w:bCs/>
          <w:color w:val="auto"/>
          <w:highlight w:val="none"/>
        </w:rPr>
      </w:pPr>
    </w:p>
    <w:p w14:paraId="15C6B137">
      <w:pPr>
        <w:keepNext w:val="0"/>
        <w:keepLines w:val="0"/>
        <w:pageBreakBefore w:val="0"/>
        <w:widowControl w:val="0"/>
        <w:kinsoku/>
        <w:wordWrap/>
        <w:overflowPunct/>
        <w:topLinePunct w:val="0"/>
        <w:autoSpaceDE/>
        <w:autoSpaceDN/>
        <w:bidi w:val="0"/>
        <w:snapToGrid/>
        <w:spacing w:line="300" w:lineRule="auto"/>
        <w:ind w:firstLine="454"/>
        <w:textAlignment w:val="auto"/>
        <w:rPr>
          <w:color w:val="auto"/>
          <w:highlight w:val="none"/>
        </w:rPr>
      </w:pPr>
      <w:r>
        <w:rPr>
          <w:rFonts w:hint="eastAsia"/>
          <w:color w:val="auto"/>
          <w:highlight w:val="none"/>
        </w:rPr>
        <w:t>本协议中披露保密信息的一方</w:t>
      </w:r>
      <w:r>
        <w:rPr>
          <w:rFonts w:hint="eastAsia"/>
          <w:color w:val="auto"/>
          <w:highlight w:val="none"/>
          <w:lang w:eastAsia="zh-CN"/>
        </w:rPr>
        <w:t>（</w:t>
      </w:r>
      <w:r>
        <w:rPr>
          <w:rFonts w:hint="eastAsia"/>
          <w:color w:val="auto"/>
          <w:highlight w:val="none"/>
          <w:lang w:val="en-US" w:eastAsia="zh-CN"/>
        </w:rPr>
        <w:t>甲方</w:t>
      </w:r>
      <w:r>
        <w:rPr>
          <w:rFonts w:hint="eastAsia"/>
          <w:color w:val="auto"/>
          <w:highlight w:val="none"/>
          <w:lang w:eastAsia="zh-CN"/>
        </w:rPr>
        <w:t>）</w:t>
      </w:r>
      <w:r>
        <w:rPr>
          <w:rFonts w:hint="eastAsia"/>
          <w:color w:val="auto"/>
          <w:highlight w:val="none"/>
        </w:rPr>
        <w:t>称为“披露方”，接收保密信息的一方</w:t>
      </w:r>
      <w:r>
        <w:rPr>
          <w:rFonts w:hint="eastAsia"/>
          <w:color w:val="auto"/>
          <w:highlight w:val="none"/>
          <w:lang w:eastAsia="zh-CN"/>
        </w:rPr>
        <w:t>（</w:t>
      </w:r>
      <w:r>
        <w:rPr>
          <w:rFonts w:hint="eastAsia"/>
          <w:color w:val="auto"/>
          <w:highlight w:val="none"/>
          <w:lang w:val="en-US" w:eastAsia="zh-CN"/>
        </w:rPr>
        <w:t>乙方</w:t>
      </w:r>
      <w:r>
        <w:rPr>
          <w:rFonts w:hint="eastAsia"/>
          <w:color w:val="auto"/>
          <w:highlight w:val="none"/>
          <w:lang w:eastAsia="zh-CN"/>
        </w:rPr>
        <w:t>）</w:t>
      </w:r>
      <w:r>
        <w:rPr>
          <w:rFonts w:hint="eastAsia"/>
          <w:color w:val="auto"/>
          <w:highlight w:val="none"/>
        </w:rPr>
        <w:t>称为“接收方”。</w:t>
      </w:r>
    </w:p>
    <w:p w14:paraId="323008C4">
      <w:pPr>
        <w:keepNext w:val="0"/>
        <w:keepLines w:val="0"/>
        <w:pageBreakBefore w:val="0"/>
        <w:widowControl w:val="0"/>
        <w:kinsoku/>
        <w:wordWrap/>
        <w:overflowPunct/>
        <w:topLinePunct w:val="0"/>
        <w:autoSpaceDE/>
        <w:autoSpaceDN/>
        <w:bidi w:val="0"/>
        <w:snapToGrid/>
        <w:spacing w:line="300" w:lineRule="auto"/>
        <w:ind w:firstLine="454"/>
        <w:textAlignment w:val="auto"/>
        <w:rPr>
          <w:color w:val="auto"/>
          <w:highlight w:val="none"/>
        </w:rPr>
      </w:pPr>
      <w:r>
        <w:rPr>
          <w:rFonts w:hint="eastAsia"/>
          <w:color w:val="auto"/>
          <w:highlight w:val="none"/>
        </w:rPr>
        <w:t>鉴于合同双方</w:t>
      </w:r>
      <w:r>
        <w:rPr>
          <w:rFonts w:hint="eastAsia" w:eastAsia="宋体"/>
          <w:color w:val="auto"/>
          <w:highlight w:val="none"/>
        </w:rPr>
        <w:t>拟在</w:t>
      </w:r>
      <w:r>
        <w:rPr>
          <w:rFonts w:hint="eastAsia" w:eastAsia="宋体"/>
          <w:color w:val="auto"/>
          <w:highlight w:val="none"/>
          <w:lang w:val="en-US" w:eastAsia="zh-CN"/>
        </w:rPr>
        <w:t>本</w:t>
      </w:r>
      <w:r>
        <w:rPr>
          <w:rFonts w:hint="eastAsia" w:eastAsia="宋体"/>
          <w:color w:val="auto"/>
          <w:highlight w:val="none"/>
        </w:rPr>
        <w:t>项目上建立合</w:t>
      </w:r>
      <w:r>
        <w:rPr>
          <w:rFonts w:hint="eastAsia"/>
          <w:color w:val="auto"/>
          <w:highlight w:val="none"/>
        </w:rPr>
        <w:t>作关系，而披露方将因此向接收方披露本协议定义的保密信息。为保证此类信息不被未经授权地披露、使用，经友好协商，双方就如下条款达成本协议。</w:t>
      </w:r>
    </w:p>
    <w:p w14:paraId="63B22DA2">
      <w:pPr>
        <w:keepNext w:val="0"/>
        <w:keepLines w:val="0"/>
        <w:pageBreakBefore w:val="0"/>
        <w:widowControl w:val="0"/>
        <w:kinsoku/>
        <w:wordWrap/>
        <w:overflowPunct/>
        <w:topLinePunct w:val="0"/>
        <w:autoSpaceDE/>
        <w:autoSpaceDN/>
        <w:bidi w:val="0"/>
        <w:snapToGrid/>
        <w:spacing w:line="300" w:lineRule="auto"/>
        <w:textAlignment w:val="auto"/>
        <w:rPr>
          <w:color w:val="auto"/>
          <w:highlight w:val="none"/>
        </w:rPr>
      </w:pPr>
    </w:p>
    <w:p w14:paraId="6AFE151F">
      <w:pPr>
        <w:keepNext w:val="0"/>
        <w:keepLines w:val="0"/>
        <w:pageBreakBefore w:val="0"/>
        <w:widowControl w:val="0"/>
        <w:numPr>
          <w:ilvl w:val="0"/>
          <w:numId w:val="4"/>
        </w:numPr>
        <w:kinsoku/>
        <w:wordWrap/>
        <w:overflowPunct/>
        <w:topLinePunct w:val="0"/>
        <w:autoSpaceDE/>
        <w:autoSpaceDN/>
        <w:bidi w:val="0"/>
        <w:adjustRightInd w:val="0"/>
        <w:snapToGrid/>
        <w:spacing w:line="300" w:lineRule="auto"/>
        <w:ind w:right="85"/>
        <w:textAlignment w:val="auto"/>
        <w:rPr>
          <w:b/>
          <w:bCs/>
          <w:color w:val="auto"/>
          <w:highlight w:val="none"/>
        </w:rPr>
      </w:pPr>
      <w:r>
        <w:rPr>
          <w:rFonts w:hint="eastAsia"/>
          <w:b/>
          <w:color w:val="auto"/>
          <w:highlight w:val="none"/>
        </w:rPr>
        <w:t>定义</w:t>
      </w:r>
    </w:p>
    <w:p w14:paraId="7A6A0001">
      <w:pPr>
        <w:keepNext w:val="0"/>
        <w:keepLines w:val="0"/>
        <w:pageBreakBefore w:val="0"/>
        <w:widowControl w:val="0"/>
        <w:numPr>
          <w:ilvl w:val="1"/>
          <w:numId w:val="5"/>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
          <w:color w:val="auto"/>
          <w:highlight w:val="none"/>
        </w:rPr>
        <w:t>保密信息：</w:t>
      </w:r>
      <w:r>
        <w:rPr>
          <w:rFonts w:hint="eastAsia"/>
          <w:bCs/>
          <w:color w:val="auto"/>
          <w:highlight w:val="none"/>
        </w:rPr>
        <w:t>属于披露方的</w:t>
      </w:r>
      <w:r>
        <w:rPr>
          <w:rFonts w:hint="eastAsia"/>
          <w:color w:val="auto"/>
          <w:highlight w:val="none"/>
        </w:rPr>
        <w:t>保密信息、专有信息和商业秘密信息（以下统称“保密信息”）是指披露方拥有或持有的、不为外界所公知的、与披露方的业务、服务、产品相关的信</w:t>
      </w:r>
      <w:r>
        <w:rPr>
          <w:rFonts w:hint="eastAsia"/>
          <w:bCs/>
          <w:color w:val="auto"/>
          <w:highlight w:val="none"/>
        </w:rPr>
        <w:t>息，包括但不限于以下信息：由披露方在本协议签署之后披露给接收方，（1）技术信息：包括披露方拥有或获得的有关生产和产品销售的技术方案、制造方法、工艺流程、计算机软件、会员数据库与其他数据库、实验结果、技术数据、图纸、样品、样机、模型、模具、说明书、操作手册、技术资料或文档、涉及商业秘密的业务函电或其他未在任何地方公开过其完整形式的、未作为工业产权来保护的其他技术等一切有关的信息；（</w:t>
      </w:r>
      <w:r>
        <w:rPr>
          <w:bCs/>
          <w:color w:val="auto"/>
          <w:highlight w:val="none"/>
        </w:rPr>
        <w:t>2</w:t>
      </w:r>
      <w:r>
        <w:rPr>
          <w:rFonts w:hint="eastAsia"/>
          <w:bCs/>
          <w:color w:val="auto"/>
          <w:highlight w:val="none"/>
        </w:rPr>
        <w:t>）</w:t>
      </w:r>
      <w:r>
        <w:rPr>
          <w:rFonts w:ascii="宋体" w:hAnsi="宋体"/>
          <w:color w:val="auto"/>
          <w:highlight w:val="none"/>
        </w:rPr>
        <w:t>经营信息</w:t>
      </w:r>
      <w:r>
        <w:rPr>
          <w:rFonts w:hint="eastAsia" w:ascii="宋体" w:hAnsi="宋体"/>
          <w:color w:val="auto"/>
          <w:highlight w:val="none"/>
        </w:rPr>
        <w:t>：</w:t>
      </w:r>
      <w:r>
        <w:rPr>
          <w:rFonts w:ascii="宋体" w:hAnsi="宋体"/>
          <w:color w:val="auto"/>
          <w:highlight w:val="none"/>
        </w:rPr>
        <w:t>包括有关披露方商业活动的市场营销策略、销售制度、营运制度、销售业绩、销售渠道、货源情报、采购资料、定价政策、不公开或尚未公开的财务资料、合同信息与交易相对人资料、营销计划、新产品上市和新市场开发、公司人事档案及信息（含工资及劳务性收入等）、公司客户名单与客户信息（不限于会员店及经销商）、公司会员名单与会员信息、公司投资方信息</w:t>
      </w:r>
      <w:r>
        <w:rPr>
          <w:rFonts w:hint="eastAsia" w:ascii="宋体" w:hAnsi="宋体"/>
          <w:color w:val="auto"/>
          <w:highlight w:val="none"/>
        </w:rPr>
        <w:t>、</w:t>
      </w:r>
      <w:r>
        <w:rPr>
          <w:rFonts w:ascii="宋体" w:hAnsi="宋体"/>
          <w:color w:val="auto"/>
          <w:highlight w:val="none"/>
        </w:rPr>
        <w:t>披露方组织架构信息等任何或所有的商业信息</w:t>
      </w:r>
      <w:r>
        <w:rPr>
          <w:rFonts w:hint="eastAsia"/>
          <w:bCs/>
          <w:color w:val="auto"/>
          <w:highlight w:val="none"/>
        </w:rPr>
        <w:t>。保密信息既包括书面认定为保密或专有的，又包括口头给予，并在披露后三十（30）天内被书面确认为保密或专有的。</w:t>
      </w:r>
    </w:p>
    <w:p w14:paraId="49DA6013">
      <w:pPr>
        <w:keepNext w:val="0"/>
        <w:keepLines w:val="0"/>
        <w:pageBreakBefore w:val="0"/>
        <w:widowControl w:val="0"/>
        <w:numPr>
          <w:ilvl w:val="1"/>
          <w:numId w:val="5"/>
        </w:numPr>
        <w:kinsoku/>
        <w:wordWrap/>
        <w:overflowPunct/>
        <w:topLinePunct w:val="0"/>
        <w:autoSpaceDE/>
        <w:autoSpaceDN/>
        <w:bidi w:val="0"/>
        <w:adjustRightInd w:val="0"/>
        <w:snapToGrid/>
        <w:spacing w:line="300" w:lineRule="auto"/>
        <w:ind w:right="84" w:rightChars="40"/>
        <w:textAlignment w:val="auto"/>
        <w:rPr>
          <w:color w:val="auto"/>
          <w:highlight w:val="none"/>
        </w:rPr>
      </w:pPr>
      <w:r>
        <w:rPr>
          <w:rFonts w:hint="eastAsia"/>
          <w:b/>
          <w:color w:val="auto"/>
          <w:highlight w:val="none"/>
        </w:rPr>
        <w:t>关联公司：</w:t>
      </w:r>
      <w:r>
        <w:rPr>
          <w:rFonts w:hint="eastAsia" w:ascii="宋体"/>
          <w:color w:val="auto"/>
          <w:highlight w:val="none"/>
        </w:rPr>
        <w:t>一方的关联公司是指由一方直接控制或间接</w:t>
      </w:r>
      <w:r>
        <w:rPr>
          <w:rFonts w:hint="eastAsia" w:ascii="PMingLiU" w:hAnsi="PMingLiU"/>
          <w:color w:val="auto"/>
          <w:highlight w:val="none"/>
        </w:rPr>
        <w:t>控制</w:t>
      </w:r>
      <w:r>
        <w:rPr>
          <w:rFonts w:hint="eastAsia" w:ascii="宋体"/>
          <w:color w:val="auto"/>
          <w:highlight w:val="none"/>
        </w:rPr>
        <w:t>；或直接或间接控制一方；或与一方共同控制同一家公司或能对其施加重大影响；或与一方受同一家公司直接或间接控制的公司。包括但不限于一方的母公司、子公司；与一方受同一母公司控制的子公司；一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14:paraId="6264B91B">
      <w:pPr>
        <w:keepNext w:val="0"/>
        <w:keepLines w:val="0"/>
        <w:pageBreakBefore w:val="0"/>
        <w:widowControl w:val="0"/>
        <w:numPr>
          <w:ilvl w:val="1"/>
          <w:numId w:val="5"/>
        </w:numPr>
        <w:kinsoku/>
        <w:wordWrap/>
        <w:overflowPunct/>
        <w:topLinePunct w:val="0"/>
        <w:autoSpaceDE/>
        <w:autoSpaceDN/>
        <w:bidi w:val="0"/>
        <w:adjustRightInd w:val="0"/>
        <w:snapToGrid/>
        <w:spacing w:line="300" w:lineRule="auto"/>
        <w:ind w:right="84" w:rightChars="40"/>
        <w:textAlignment w:val="auto"/>
        <w:rPr>
          <w:color w:val="auto"/>
          <w:highlight w:val="none"/>
        </w:rPr>
      </w:pPr>
      <w:r>
        <w:rPr>
          <w:rFonts w:hint="eastAsia"/>
          <w:color w:val="auto"/>
          <w:highlight w:val="none"/>
        </w:rPr>
        <w:t>本协议所定义的“保密信息”不包括以下信息和资料：</w:t>
      </w:r>
    </w:p>
    <w:p w14:paraId="2395FF62">
      <w:pPr>
        <w:keepNext w:val="0"/>
        <w:keepLines w:val="0"/>
        <w:pageBreakBefore w:val="0"/>
        <w:widowControl w:val="0"/>
        <w:kinsoku/>
        <w:wordWrap/>
        <w:overflowPunct/>
        <w:topLinePunct w:val="0"/>
        <w:autoSpaceDE/>
        <w:autoSpaceDN/>
        <w:bidi w:val="0"/>
        <w:adjustRightInd w:val="0"/>
        <w:snapToGrid/>
        <w:spacing w:line="300" w:lineRule="auto"/>
        <w:ind w:left="992" w:right="84" w:rightChars="40"/>
        <w:textAlignment w:val="auto"/>
        <w:rPr>
          <w:color w:val="auto"/>
          <w:highlight w:val="none"/>
        </w:rPr>
      </w:pPr>
      <w:r>
        <w:rPr>
          <w:rFonts w:hint="eastAsia"/>
          <w:color w:val="auto"/>
          <w:highlight w:val="none"/>
        </w:rPr>
        <w:t>a) 在披露时已被公众所知，或可被公众所得，或在披露后由于非接收方的原因被公众所知，或可被公众所得的信息或资料；</w:t>
      </w:r>
    </w:p>
    <w:p w14:paraId="21EA6FB5">
      <w:pPr>
        <w:keepNext w:val="0"/>
        <w:keepLines w:val="0"/>
        <w:pageBreakBefore w:val="0"/>
        <w:widowControl w:val="0"/>
        <w:kinsoku/>
        <w:wordWrap/>
        <w:overflowPunct/>
        <w:topLinePunct w:val="0"/>
        <w:autoSpaceDE/>
        <w:autoSpaceDN/>
        <w:bidi w:val="0"/>
        <w:adjustRightInd w:val="0"/>
        <w:snapToGrid/>
        <w:spacing w:line="300" w:lineRule="auto"/>
        <w:ind w:left="992" w:right="84" w:rightChars="40"/>
        <w:textAlignment w:val="auto"/>
        <w:rPr>
          <w:color w:val="auto"/>
          <w:highlight w:val="none"/>
        </w:rPr>
      </w:pPr>
      <w:r>
        <w:rPr>
          <w:rFonts w:hint="eastAsia"/>
          <w:color w:val="auto"/>
          <w:highlight w:val="none"/>
        </w:rPr>
        <w:t>b) 在披露时已被接收方合法所知的信息或资料；</w:t>
      </w:r>
    </w:p>
    <w:p w14:paraId="324018F2">
      <w:pPr>
        <w:keepNext w:val="0"/>
        <w:keepLines w:val="0"/>
        <w:pageBreakBefore w:val="0"/>
        <w:widowControl w:val="0"/>
        <w:kinsoku/>
        <w:wordWrap/>
        <w:overflowPunct/>
        <w:topLinePunct w:val="0"/>
        <w:autoSpaceDE/>
        <w:autoSpaceDN/>
        <w:bidi w:val="0"/>
        <w:adjustRightInd w:val="0"/>
        <w:snapToGrid/>
        <w:spacing w:line="300" w:lineRule="auto"/>
        <w:ind w:left="992" w:right="84" w:rightChars="40"/>
        <w:textAlignment w:val="auto"/>
        <w:rPr>
          <w:color w:val="auto"/>
          <w:highlight w:val="none"/>
        </w:rPr>
      </w:pPr>
      <w:r>
        <w:rPr>
          <w:rFonts w:hint="eastAsia"/>
          <w:color w:val="auto"/>
          <w:highlight w:val="none"/>
        </w:rPr>
        <w:t>c) 由披露方提供给不负有保密义务的第三方的信息或资料；</w:t>
      </w:r>
    </w:p>
    <w:p w14:paraId="7DF04A01">
      <w:pPr>
        <w:keepNext w:val="0"/>
        <w:keepLines w:val="0"/>
        <w:pageBreakBefore w:val="0"/>
        <w:widowControl w:val="0"/>
        <w:kinsoku/>
        <w:wordWrap/>
        <w:overflowPunct/>
        <w:topLinePunct w:val="0"/>
        <w:autoSpaceDE/>
        <w:autoSpaceDN/>
        <w:bidi w:val="0"/>
        <w:adjustRightInd w:val="0"/>
        <w:snapToGrid/>
        <w:spacing w:line="300" w:lineRule="auto"/>
        <w:ind w:left="992" w:right="84" w:rightChars="40"/>
        <w:textAlignment w:val="auto"/>
        <w:rPr>
          <w:color w:val="auto"/>
          <w:highlight w:val="none"/>
        </w:rPr>
      </w:pPr>
      <w:r>
        <w:rPr>
          <w:rFonts w:hint="eastAsia"/>
          <w:color w:val="auto"/>
          <w:highlight w:val="none"/>
        </w:rPr>
        <w:t>d) 由合法获得保密信息并有权披露的第三方提供给接收方的信息或资料；</w:t>
      </w:r>
    </w:p>
    <w:p w14:paraId="7CF7C769">
      <w:pPr>
        <w:keepNext w:val="0"/>
        <w:keepLines w:val="0"/>
        <w:pageBreakBefore w:val="0"/>
        <w:widowControl w:val="0"/>
        <w:kinsoku/>
        <w:wordWrap/>
        <w:overflowPunct/>
        <w:topLinePunct w:val="0"/>
        <w:autoSpaceDE/>
        <w:autoSpaceDN/>
        <w:bidi w:val="0"/>
        <w:adjustRightInd w:val="0"/>
        <w:snapToGrid/>
        <w:spacing w:line="300" w:lineRule="auto"/>
        <w:ind w:left="992" w:right="84" w:rightChars="40"/>
        <w:textAlignment w:val="auto"/>
        <w:rPr>
          <w:color w:val="auto"/>
          <w:highlight w:val="none"/>
        </w:rPr>
      </w:pPr>
      <w:r>
        <w:rPr>
          <w:rFonts w:hint="eastAsia"/>
          <w:color w:val="auto"/>
          <w:highlight w:val="none"/>
        </w:rPr>
        <w:t>e) 由接收方独立开发且接收方可提供独立开发记录的信息或资料；</w:t>
      </w:r>
    </w:p>
    <w:p w14:paraId="0A7ABAB6">
      <w:pPr>
        <w:keepNext w:val="0"/>
        <w:keepLines w:val="0"/>
        <w:pageBreakBefore w:val="0"/>
        <w:widowControl w:val="0"/>
        <w:kinsoku/>
        <w:wordWrap/>
        <w:overflowPunct/>
        <w:topLinePunct w:val="0"/>
        <w:autoSpaceDE/>
        <w:autoSpaceDN/>
        <w:bidi w:val="0"/>
        <w:adjustRightInd w:val="0"/>
        <w:snapToGrid/>
        <w:spacing w:line="300" w:lineRule="auto"/>
        <w:ind w:left="992" w:right="84" w:rightChars="40"/>
        <w:textAlignment w:val="auto"/>
        <w:rPr>
          <w:color w:val="auto"/>
          <w:highlight w:val="none"/>
        </w:rPr>
      </w:pPr>
      <w:r>
        <w:rPr>
          <w:rFonts w:hint="eastAsia"/>
          <w:color w:val="auto"/>
          <w:highlight w:val="none"/>
        </w:rPr>
        <w:t>f) 接收方事先征得披露方书面同意而发布的。</w:t>
      </w:r>
    </w:p>
    <w:p w14:paraId="710C06C9">
      <w:pPr>
        <w:keepNext w:val="0"/>
        <w:keepLines w:val="0"/>
        <w:pageBreakBefore w:val="0"/>
        <w:widowControl w:val="0"/>
        <w:kinsoku/>
        <w:wordWrap/>
        <w:overflowPunct/>
        <w:topLinePunct w:val="0"/>
        <w:autoSpaceDE/>
        <w:autoSpaceDN/>
        <w:bidi w:val="0"/>
        <w:adjustRightInd w:val="0"/>
        <w:snapToGrid/>
        <w:spacing w:line="300" w:lineRule="auto"/>
        <w:ind w:left="992" w:right="84" w:rightChars="40"/>
        <w:textAlignment w:val="auto"/>
        <w:rPr>
          <w:color w:val="auto"/>
          <w:highlight w:val="none"/>
        </w:rPr>
      </w:pPr>
    </w:p>
    <w:p w14:paraId="48CF366E">
      <w:pPr>
        <w:keepNext w:val="0"/>
        <w:keepLines w:val="0"/>
        <w:pageBreakBefore w:val="0"/>
        <w:widowControl w:val="0"/>
        <w:numPr>
          <w:ilvl w:val="0"/>
          <w:numId w:val="4"/>
        </w:numPr>
        <w:kinsoku/>
        <w:wordWrap/>
        <w:overflowPunct/>
        <w:topLinePunct w:val="0"/>
        <w:autoSpaceDE/>
        <w:autoSpaceDN/>
        <w:bidi w:val="0"/>
        <w:snapToGrid/>
        <w:spacing w:line="300" w:lineRule="auto"/>
        <w:textAlignment w:val="auto"/>
        <w:rPr>
          <w:b/>
          <w:color w:val="auto"/>
          <w:highlight w:val="none"/>
        </w:rPr>
      </w:pPr>
      <w:r>
        <w:rPr>
          <w:rFonts w:hint="eastAsia"/>
          <w:b/>
          <w:color w:val="auto"/>
          <w:highlight w:val="none"/>
        </w:rPr>
        <w:t>保密义务</w:t>
      </w:r>
    </w:p>
    <w:p w14:paraId="6F01279A">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接收方将仅限于为评估其是否将与披露方建立合作关系，以及在合作关系建立后为执行合作关系之必要而使用披露方的保密信息。</w:t>
      </w:r>
    </w:p>
    <w:p w14:paraId="685C53E9">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接收方同意严格控制披露方所披露的保密信息，保护的程度不能低于接收方保护自己保密信息的程度。但无论如何，接收方对该保密信息的保护程度不能低于一个管理良好的技术企业对自己的保密信息保护的程度。</w:t>
      </w:r>
    </w:p>
    <w:p w14:paraId="4906028E">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接收方保证采取所有必要的方法对披露方提供的保密信息进行保密，包括但不限于执行和坚持适当的作业程序（如接收方规章制度或为执行本协议而特别制定的规定等）来避免非经授权而披露、使用或复制保密信息。</w:t>
      </w:r>
    </w:p>
    <w:p w14:paraId="68B10A43">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未经披露方事先书面同意，接收方保证不会为任何与本协议或双方合作规定不符的目的向任何第三方披露本协议所涉及的任何保密信息。</w:t>
      </w:r>
    </w:p>
    <w:p w14:paraId="313DEBAF">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一旦接收方发现任何人错误地获得或使用了披露方披露的保密信息，接收方将立即书面通知披露方。</w:t>
      </w:r>
    </w:p>
    <w:p w14:paraId="4F2D4AE9">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在合作关系未能建立或终止时，或根据披露方的要求，接收方应即时返还或销毁所有根据本协议所接收的披露方的保密信息（包括但不限于以任何形式存在的保密信息的原件、复印件、复制品和对保密信息的概述摘要），并向披露方提供已经返还或销毁的书面确认。</w:t>
      </w:r>
    </w:p>
    <w:p w14:paraId="2E5307E1">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任一方欲将本合作事项对外公布、宣传前，应确保不泄露另一方的保密信息，亦不会使另一方对任何第三方承担任何责任（包括但不限于赔偿金、政府处罚等），双方均保证在对外公布、宣传中不发表任何对另一方或另一方的关联公司不利的或容易引起误导的言论，包括但不限于发布有损另一方产品、品牌形象的信息，否则应承担违约责任并赔偿由此给另一方造成的损失。</w:t>
      </w:r>
    </w:p>
    <w:p w14:paraId="5F94B3E6">
      <w:pPr>
        <w:keepNext w:val="0"/>
        <w:keepLines w:val="0"/>
        <w:pageBreakBefore w:val="0"/>
        <w:widowControl w:val="0"/>
        <w:kinsoku/>
        <w:wordWrap/>
        <w:overflowPunct/>
        <w:topLinePunct w:val="0"/>
        <w:autoSpaceDE/>
        <w:autoSpaceDN/>
        <w:bidi w:val="0"/>
        <w:adjustRightInd w:val="0"/>
        <w:snapToGrid/>
        <w:spacing w:line="300" w:lineRule="auto"/>
        <w:ind w:left="425" w:right="84" w:rightChars="40"/>
        <w:textAlignment w:val="auto"/>
        <w:rPr>
          <w:bCs/>
          <w:color w:val="auto"/>
          <w:highlight w:val="none"/>
        </w:rPr>
      </w:pPr>
    </w:p>
    <w:p w14:paraId="6B0E520E">
      <w:pPr>
        <w:keepNext w:val="0"/>
        <w:keepLines w:val="0"/>
        <w:pageBreakBefore w:val="0"/>
        <w:widowControl w:val="0"/>
        <w:numPr>
          <w:ilvl w:val="0"/>
          <w:numId w:val="4"/>
        </w:numPr>
        <w:kinsoku/>
        <w:wordWrap/>
        <w:overflowPunct/>
        <w:topLinePunct w:val="0"/>
        <w:autoSpaceDE/>
        <w:autoSpaceDN/>
        <w:bidi w:val="0"/>
        <w:snapToGrid/>
        <w:spacing w:line="300" w:lineRule="auto"/>
        <w:textAlignment w:val="auto"/>
        <w:rPr>
          <w:b/>
          <w:color w:val="auto"/>
          <w:highlight w:val="none"/>
        </w:rPr>
      </w:pPr>
      <w:r>
        <w:rPr>
          <w:rFonts w:hint="eastAsia"/>
          <w:b/>
          <w:color w:val="auto"/>
          <w:highlight w:val="none"/>
        </w:rPr>
        <w:t>使用方式和不使用的义务</w:t>
      </w:r>
    </w:p>
    <w:p w14:paraId="722BED64">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除直接参与本协议项下工作的公司职员之外，在未经披露方事先书面许可，且未与第三方另行签订不低于本协议保护程度的正式书面保密协议的情形下，接收方不能将保密信息披露给其它任何第三方，但接收方的关联公司，或其法律顾问、审计部门除外。</w:t>
      </w:r>
    </w:p>
    <w:p w14:paraId="03FD5510">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接收方应当告知并以适当的有效方式约束上述接触保密信息的</w:t>
      </w:r>
    </w:p>
    <w:p w14:paraId="5C8D327E">
      <w:pPr>
        <w:keepNext w:val="0"/>
        <w:keepLines w:val="0"/>
        <w:pageBreakBefore w:val="0"/>
        <w:widowControl w:val="0"/>
        <w:numPr>
          <w:ilvl w:val="0"/>
          <w:numId w:val="6"/>
        </w:numPr>
        <w:tabs>
          <w:tab w:val="clear" w:pos="2134"/>
        </w:tabs>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公司职员，使其无论是在职中还是离职后；</w:t>
      </w:r>
    </w:p>
    <w:p w14:paraId="70BB6019">
      <w:pPr>
        <w:keepNext w:val="0"/>
        <w:keepLines w:val="0"/>
        <w:pageBreakBefore w:val="0"/>
        <w:widowControl w:val="0"/>
        <w:numPr>
          <w:ilvl w:val="0"/>
          <w:numId w:val="6"/>
        </w:numPr>
        <w:tabs>
          <w:tab w:val="clear" w:pos="2134"/>
        </w:tabs>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关联公司（定义见1.2），使其无论是在接收方的控制中，还是脱离接收方的控制后；</w:t>
      </w:r>
    </w:p>
    <w:p w14:paraId="01324589">
      <w:pPr>
        <w:keepNext w:val="0"/>
        <w:keepLines w:val="0"/>
        <w:pageBreakBefore w:val="0"/>
        <w:widowControl w:val="0"/>
        <w:numPr>
          <w:ilvl w:val="0"/>
          <w:numId w:val="6"/>
        </w:numPr>
        <w:tabs>
          <w:tab w:val="clear" w:pos="2134"/>
        </w:tabs>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法律顾问及审计部门；</w:t>
      </w:r>
    </w:p>
    <w:p w14:paraId="512B9257">
      <w:pPr>
        <w:pStyle w:val="5"/>
        <w:keepNext w:val="0"/>
        <w:keepLines w:val="0"/>
        <w:pageBreakBefore w:val="0"/>
        <w:widowControl w:val="0"/>
        <w:kinsoku/>
        <w:wordWrap/>
        <w:overflowPunct/>
        <w:topLinePunct w:val="0"/>
        <w:autoSpaceDE/>
        <w:autoSpaceDN/>
        <w:bidi w:val="0"/>
        <w:snapToGrid/>
        <w:spacing w:line="300" w:lineRule="auto"/>
        <w:textAlignment w:val="auto"/>
        <w:rPr>
          <w:color w:val="auto"/>
          <w:highlight w:val="none"/>
        </w:rPr>
      </w:pPr>
      <w:r>
        <w:rPr>
          <w:rFonts w:hint="eastAsia"/>
          <w:color w:val="auto"/>
          <w:highlight w:val="none"/>
        </w:rPr>
        <w:t>均承担与本协议规定相同的保密义务。若由于接收方未履行事先告知并以适当的有效方式约束公司职员、关联公司、法律顾问及审计部门而出现上述人员或公司泄露保密信息，视为接收方违约，接收方应赔偿披露方的损失。</w:t>
      </w:r>
    </w:p>
    <w:p w14:paraId="653AC3DF">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接收方承诺在保密期限内，接收方将不会为任何与本协议规定不符的目的，自己或允许他人使用保密信息的全部或任何部分。</w:t>
      </w:r>
    </w:p>
    <w:p w14:paraId="75EA1CA6">
      <w:pPr>
        <w:keepNext w:val="0"/>
        <w:keepLines w:val="0"/>
        <w:pageBreakBefore w:val="0"/>
        <w:widowControl w:val="0"/>
        <w:kinsoku/>
        <w:wordWrap/>
        <w:overflowPunct/>
        <w:topLinePunct w:val="0"/>
        <w:autoSpaceDE/>
        <w:autoSpaceDN/>
        <w:bidi w:val="0"/>
        <w:adjustRightInd w:val="0"/>
        <w:snapToGrid/>
        <w:spacing w:line="300" w:lineRule="auto"/>
        <w:ind w:left="425" w:right="84" w:rightChars="40"/>
        <w:textAlignment w:val="auto"/>
        <w:rPr>
          <w:bCs/>
          <w:color w:val="auto"/>
          <w:highlight w:val="none"/>
        </w:rPr>
      </w:pPr>
    </w:p>
    <w:p w14:paraId="67EDA48E">
      <w:pPr>
        <w:keepNext w:val="0"/>
        <w:keepLines w:val="0"/>
        <w:pageBreakBefore w:val="0"/>
        <w:widowControl w:val="0"/>
        <w:numPr>
          <w:ilvl w:val="0"/>
          <w:numId w:val="4"/>
        </w:numPr>
        <w:kinsoku/>
        <w:wordWrap/>
        <w:overflowPunct/>
        <w:topLinePunct w:val="0"/>
        <w:autoSpaceDE/>
        <w:autoSpaceDN/>
        <w:bidi w:val="0"/>
        <w:snapToGrid/>
        <w:spacing w:line="300" w:lineRule="auto"/>
        <w:textAlignment w:val="auto"/>
        <w:rPr>
          <w:b/>
          <w:color w:val="auto"/>
          <w:highlight w:val="none"/>
        </w:rPr>
      </w:pPr>
      <w:r>
        <w:rPr>
          <w:rFonts w:hint="eastAsia"/>
          <w:b/>
          <w:color w:val="auto"/>
          <w:highlight w:val="none"/>
        </w:rPr>
        <w:t>例外情况</w:t>
      </w:r>
    </w:p>
    <w:p w14:paraId="289159A1">
      <w:pPr>
        <w:keepNext w:val="0"/>
        <w:keepLines w:val="0"/>
        <w:pageBreakBefore w:val="0"/>
        <w:widowControl w:val="0"/>
        <w:kinsoku/>
        <w:wordWrap/>
        <w:overflowPunct/>
        <w:topLinePunct w:val="0"/>
        <w:autoSpaceDE/>
        <w:autoSpaceDN/>
        <w:bidi w:val="0"/>
        <w:snapToGrid/>
        <w:spacing w:line="300" w:lineRule="auto"/>
        <w:ind w:left="630" w:leftChars="300"/>
        <w:textAlignment w:val="auto"/>
        <w:rPr>
          <w:bCs/>
          <w:color w:val="auto"/>
          <w:highlight w:val="none"/>
        </w:rPr>
      </w:pPr>
      <w:r>
        <w:rPr>
          <w:rFonts w:hint="eastAsia"/>
          <w:bCs/>
          <w:color w:val="auto"/>
          <w:highlight w:val="none"/>
        </w:rPr>
        <w:t>如果接收方基于法律、法规、判决、裁定（包括按照传票、法院或政府处理程序）的要求</w:t>
      </w:r>
      <w:r>
        <w:rPr>
          <w:rFonts w:hint="eastAsia"/>
          <w:bCs/>
          <w:color w:val="auto"/>
          <w:highlight w:val="none"/>
          <w:lang w:eastAsia="zh-CN"/>
        </w:rPr>
        <w:t>，或者</w:t>
      </w:r>
      <w:r>
        <w:rPr>
          <w:rFonts w:hint="eastAsia"/>
          <w:bCs/>
          <w:color w:val="auto"/>
          <w:highlight w:val="none"/>
        </w:rPr>
        <w:t>受到国内及海外政府主管机构、司法机关的要求或者为了获得和维持知识产权权利人的授权许可而需披露保密信息，则接收方应当在法律许可的范围内事先尽快通知披露方，如不能事先通知亦应在该行为发生后24小时内通知披露方；同时，接收方应当尽最大努力帮助披露方有效限制该保密信息的披露范围。</w:t>
      </w:r>
    </w:p>
    <w:p w14:paraId="0A018D05">
      <w:pPr>
        <w:keepNext w:val="0"/>
        <w:keepLines w:val="0"/>
        <w:pageBreakBefore w:val="0"/>
        <w:widowControl w:val="0"/>
        <w:kinsoku/>
        <w:wordWrap/>
        <w:overflowPunct/>
        <w:topLinePunct w:val="0"/>
        <w:autoSpaceDE/>
        <w:autoSpaceDN/>
        <w:bidi w:val="0"/>
        <w:adjustRightInd w:val="0"/>
        <w:snapToGrid/>
        <w:spacing w:line="300" w:lineRule="auto"/>
        <w:ind w:left="840" w:right="84" w:rightChars="40" w:firstLine="1064"/>
        <w:textAlignment w:val="auto"/>
        <w:rPr>
          <w:color w:val="auto"/>
          <w:highlight w:val="none"/>
        </w:rPr>
      </w:pPr>
    </w:p>
    <w:p w14:paraId="478831F2">
      <w:pPr>
        <w:keepNext w:val="0"/>
        <w:keepLines w:val="0"/>
        <w:pageBreakBefore w:val="0"/>
        <w:widowControl w:val="0"/>
        <w:numPr>
          <w:ilvl w:val="0"/>
          <w:numId w:val="4"/>
        </w:numPr>
        <w:kinsoku/>
        <w:wordWrap/>
        <w:overflowPunct/>
        <w:topLinePunct w:val="0"/>
        <w:autoSpaceDE/>
        <w:autoSpaceDN/>
        <w:bidi w:val="0"/>
        <w:snapToGrid/>
        <w:spacing w:line="300" w:lineRule="auto"/>
        <w:textAlignment w:val="auto"/>
        <w:rPr>
          <w:b/>
          <w:bCs/>
          <w:color w:val="auto"/>
          <w:highlight w:val="none"/>
        </w:rPr>
      </w:pPr>
      <w:r>
        <w:rPr>
          <w:rFonts w:hint="eastAsia"/>
          <w:b/>
          <w:color w:val="auto"/>
          <w:highlight w:val="none"/>
        </w:rPr>
        <w:t>否认许可</w:t>
      </w:r>
    </w:p>
    <w:p w14:paraId="32D43875">
      <w:pPr>
        <w:keepNext w:val="0"/>
        <w:keepLines w:val="0"/>
        <w:pageBreakBefore w:val="0"/>
        <w:widowControl w:val="0"/>
        <w:kinsoku/>
        <w:wordWrap/>
        <w:overflowPunct/>
        <w:topLinePunct w:val="0"/>
        <w:autoSpaceDE/>
        <w:autoSpaceDN/>
        <w:bidi w:val="0"/>
        <w:snapToGrid/>
        <w:spacing w:line="300" w:lineRule="auto"/>
        <w:ind w:left="630" w:leftChars="300"/>
        <w:textAlignment w:val="auto"/>
        <w:rPr>
          <w:color w:val="auto"/>
          <w:highlight w:val="none"/>
        </w:rPr>
      </w:pPr>
      <w:r>
        <w:rPr>
          <w:rFonts w:hint="eastAsia"/>
          <w:color w:val="auto"/>
          <w:highlight w:val="none"/>
        </w:rPr>
        <w:t>除非披露方另行明确书面授权，接收方不能认为据本协议披露方授予了接收方包含该保密信息的任何专利申请权或专利权、商标权、著作权等知识产权，或该知识产权的使用权。</w:t>
      </w:r>
    </w:p>
    <w:p w14:paraId="02235966">
      <w:pPr>
        <w:pStyle w:val="4"/>
        <w:keepNext w:val="0"/>
        <w:keepLines w:val="0"/>
        <w:pageBreakBefore w:val="0"/>
        <w:widowControl w:val="0"/>
        <w:kinsoku/>
        <w:wordWrap/>
        <w:overflowPunct/>
        <w:topLinePunct w:val="0"/>
        <w:autoSpaceDE/>
        <w:autoSpaceDN/>
        <w:bidi w:val="0"/>
        <w:snapToGrid/>
        <w:spacing w:line="300" w:lineRule="auto"/>
        <w:ind w:left="0"/>
        <w:textAlignment w:val="auto"/>
        <w:rPr>
          <w:color w:val="auto"/>
          <w:highlight w:val="none"/>
        </w:rPr>
      </w:pPr>
    </w:p>
    <w:p w14:paraId="66FE86B6">
      <w:pPr>
        <w:keepNext w:val="0"/>
        <w:keepLines w:val="0"/>
        <w:pageBreakBefore w:val="0"/>
        <w:widowControl w:val="0"/>
        <w:numPr>
          <w:ilvl w:val="0"/>
          <w:numId w:val="4"/>
        </w:numPr>
        <w:kinsoku/>
        <w:wordWrap/>
        <w:overflowPunct/>
        <w:topLinePunct w:val="0"/>
        <w:autoSpaceDE/>
        <w:autoSpaceDN/>
        <w:bidi w:val="0"/>
        <w:snapToGrid/>
        <w:spacing w:line="300" w:lineRule="auto"/>
        <w:textAlignment w:val="auto"/>
        <w:rPr>
          <w:b/>
          <w:color w:val="auto"/>
          <w:highlight w:val="none"/>
        </w:rPr>
      </w:pPr>
      <w:r>
        <w:rPr>
          <w:rFonts w:hint="eastAsia"/>
          <w:b/>
          <w:color w:val="auto"/>
          <w:highlight w:val="none"/>
        </w:rPr>
        <w:t>保密期限</w:t>
      </w:r>
    </w:p>
    <w:p w14:paraId="2C3B3629">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color w:val="auto"/>
          <w:highlight w:val="none"/>
        </w:rPr>
      </w:pPr>
      <w:r>
        <w:rPr>
          <w:rFonts w:hint="eastAsia"/>
          <w:color w:val="auto"/>
          <w:highlight w:val="none"/>
        </w:rPr>
        <w:t>本协议有效期</w:t>
      </w:r>
      <w:r>
        <w:rPr>
          <w:rFonts w:hint="eastAsia"/>
          <w:color w:val="auto"/>
          <w:highlight w:val="none"/>
          <w:u w:val="single"/>
          <w:lang w:val="en-US" w:eastAsia="zh-CN"/>
        </w:rPr>
        <w:t>15</w:t>
      </w:r>
      <w:r>
        <w:rPr>
          <w:rFonts w:hint="eastAsia"/>
          <w:color w:val="auto"/>
          <w:highlight w:val="none"/>
          <w:u w:val="single"/>
        </w:rPr>
        <w:t>年</w:t>
      </w:r>
      <w:r>
        <w:rPr>
          <w:rFonts w:hint="eastAsia"/>
          <w:color w:val="auto"/>
          <w:highlight w:val="none"/>
        </w:rPr>
        <w:t>，自本协议生效之日起，双方就建立合作关系可行性的任何沟通以及在建立合作关系后的任何信息交流均受本协议条件和条款的约束。</w:t>
      </w:r>
    </w:p>
    <w:p w14:paraId="439C5239">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color w:val="auto"/>
          <w:highlight w:val="none"/>
        </w:rPr>
      </w:pPr>
      <w:r>
        <w:rPr>
          <w:rFonts w:hint="eastAsia"/>
          <w:color w:val="auto"/>
          <w:highlight w:val="none"/>
        </w:rPr>
        <w:t>本协议项下接收方的保密期限为保密协议期满后</w:t>
      </w:r>
      <w:r>
        <w:rPr>
          <w:rFonts w:hint="eastAsia"/>
          <w:color w:val="auto"/>
          <w:highlight w:val="none"/>
          <w:u w:val="single"/>
          <w:lang w:val="en-US" w:eastAsia="zh-CN"/>
        </w:rPr>
        <w:t>5</w:t>
      </w:r>
      <w:r>
        <w:rPr>
          <w:rFonts w:hint="eastAsia"/>
          <w:color w:val="auto"/>
          <w:highlight w:val="none"/>
          <w:u w:val="single"/>
        </w:rPr>
        <w:t>年</w:t>
      </w:r>
      <w:r>
        <w:rPr>
          <w:rFonts w:hint="eastAsia"/>
          <w:color w:val="auto"/>
          <w:highlight w:val="none"/>
        </w:rPr>
        <w:t>。</w:t>
      </w:r>
    </w:p>
    <w:p w14:paraId="6694F8B1">
      <w:pPr>
        <w:keepNext w:val="0"/>
        <w:keepLines w:val="0"/>
        <w:pageBreakBefore w:val="0"/>
        <w:widowControl w:val="0"/>
        <w:kinsoku/>
        <w:wordWrap/>
        <w:overflowPunct/>
        <w:topLinePunct w:val="0"/>
        <w:autoSpaceDE/>
        <w:autoSpaceDN/>
        <w:bidi w:val="0"/>
        <w:snapToGrid/>
        <w:spacing w:line="300" w:lineRule="auto"/>
        <w:ind w:left="425"/>
        <w:textAlignment w:val="auto"/>
        <w:rPr>
          <w:color w:val="auto"/>
          <w:highlight w:val="none"/>
        </w:rPr>
      </w:pPr>
    </w:p>
    <w:p w14:paraId="4690F679">
      <w:pPr>
        <w:keepNext w:val="0"/>
        <w:keepLines w:val="0"/>
        <w:pageBreakBefore w:val="0"/>
        <w:widowControl w:val="0"/>
        <w:numPr>
          <w:ilvl w:val="0"/>
          <w:numId w:val="4"/>
        </w:numPr>
        <w:kinsoku/>
        <w:wordWrap/>
        <w:overflowPunct/>
        <w:topLinePunct w:val="0"/>
        <w:autoSpaceDE/>
        <w:autoSpaceDN/>
        <w:bidi w:val="0"/>
        <w:snapToGrid/>
        <w:spacing w:line="300" w:lineRule="auto"/>
        <w:textAlignment w:val="auto"/>
        <w:rPr>
          <w:b/>
          <w:color w:val="auto"/>
          <w:highlight w:val="none"/>
        </w:rPr>
      </w:pPr>
      <w:r>
        <w:rPr>
          <w:rFonts w:hint="eastAsia"/>
          <w:b/>
          <w:color w:val="auto"/>
          <w:highlight w:val="none"/>
        </w:rPr>
        <w:t>救济方法</w:t>
      </w:r>
    </w:p>
    <w:p w14:paraId="424C6016">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双方承认，披露方披露的保密信息是有价值的商业秘密，是披露方所有的独特而重要的资产；遵守本协议的条款和条件对于保护保密信息的秘密是有必要的。</w:t>
      </w:r>
    </w:p>
    <w:p w14:paraId="1B6B54DC">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双方同意，若违约行为发生时，除其他可以采取的补救措施外，披露方有权从接收方获得其所遭受损害的赔偿。</w:t>
      </w:r>
    </w:p>
    <w:p w14:paraId="53143DCC">
      <w:pPr>
        <w:keepNext w:val="0"/>
        <w:keepLines w:val="0"/>
        <w:pageBreakBefore w:val="0"/>
        <w:widowControl w:val="0"/>
        <w:numPr>
          <w:ilvl w:val="0"/>
          <w:numId w:val="4"/>
        </w:numPr>
        <w:kinsoku/>
        <w:wordWrap/>
        <w:overflowPunct/>
        <w:topLinePunct w:val="0"/>
        <w:autoSpaceDE/>
        <w:autoSpaceDN/>
        <w:bidi w:val="0"/>
        <w:snapToGrid/>
        <w:spacing w:line="300" w:lineRule="auto"/>
        <w:textAlignment w:val="auto"/>
        <w:rPr>
          <w:b/>
          <w:color w:val="auto"/>
          <w:highlight w:val="none"/>
        </w:rPr>
      </w:pPr>
      <w:r>
        <w:rPr>
          <w:rFonts w:hint="eastAsia"/>
          <w:b/>
          <w:color w:val="auto"/>
          <w:highlight w:val="none"/>
        </w:rPr>
        <w:t>附则</w:t>
      </w:r>
    </w:p>
    <w:p w14:paraId="689CB400">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本协议对每一方的继承人和合法受让人均具有约束力；但是，未经另一方事先书面同意，任何一方均不得对本协议进行全部或部分的转让（无论是通过法律运作、证券或资产的销售、合并或其他方式）。任何违反本条规定的转让均为无效。</w:t>
      </w:r>
    </w:p>
    <w:p w14:paraId="4F5C46AE">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任何一方未行使其于本协议项下的任何权利均不得构成或被视为该方对这些权利或其它权利的放弃或丧失。</w:t>
      </w:r>
    </w:p>
    <w:p w14:paraId="7250D656">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如果本协议中的任何条款被法庭认定非法、无效或不可执行，则除这些条款以外的其他条款的合法性、有效性、可执行性将不因此而受到任何影响。</w:t>
      </w:r>
    </w:p>
    <w:p w14:paraId="5F899643">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披露方应保证向接收方所披露保密信息的准确性与完整性，并承担接受方因披露的信息所造成的损失。</w:t>
      </w:r>
    </w:p>
    <w:p w14:paraId="44A8883E">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本协议依中华人民共和国法律解释，受中华人民共和国法律管辖。由本协议产生的一切争议由双方友好协商解决，协商解决不成的，双方应将争议提交甲方所在地人民法院裁决。</w:t>
      </w:r>
    </w:p>
    <w:p w14:paraId="7F8DC338">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bCs/>
          <w:color w:val="auto"/>
          <w:highlight w:val="none"/>
        </w:rPr>
      </w:pPr>
      <w:r>
        <w:rPr>
          <w:rFonts w:hint="eastAsia"/>
          <w:bCs/>
          <w:color w:val="auto"/>
          <w:highlight w:val="none"/>
        </w:rPr>
        <w:t>双方一致同意本协议经各方盖章之日起开始生效，任何于本协议签订前经双方协商但未记载于本协议之事项，对双方均无约束力。</w:t>
      </w:r>
    </w:p>
    <w:p w14:paraId="7D9A746B">
      <w:pPr>
        <w:keepNext w:val="0"/>
        <w:keepLines w:val="0"/>
        <w:pageBreakBefore w:val="0"/>
        <w:widowControl w:val="0"/>
        <w:numPr>
          <w:ilvl w:val="1"/>
          <w:numId w:val="4"/>
        </w:numPr>
        <w:kinsoku/>
        <w:wordWrap/>
        <w:overflowPunct/>
        <w:topLinePunct w:val="0"/>
        <w:autoSpaceDE/>
        <w:autoSpaceDN/>
        <w:bidi w:val="0"/>
        <w:adjustRightInd w:val="0"/>
        <w:snapToGrid/>
        <w:spacing w:line="300" w:lineRule="auto"/>
        <w:ind w:right="84" w:rightChars="40"/>
        <w:textAlignment w:val="auto"/>
        <w:rPr>
          <w:rFonts w:ascii="Eras Bk BT" w:hAnsi="Eras Bk BT"/>
          <w:color w:val="auto"/>
          <w:highlight w:val="none"/>
        </w:rPr>
      </w:pPr>
      <w:r>
        <w:rPr>
          <w:rFonts w:hint="eastAsia"/>
          <w:bCs/>
          <w:color w:val="auto"/>
          <w:highlight w:val="none"/>
        </w:rPr>
        <w:t>本协议一式</w:t>
      </w:r>
      <w:r>
        <w:rPr>
          <w:rFonts w:hint="eastAsia"/>
          <w:bCs/>
          <w:color w:val="auto"/>
          <w:highlight w:val="none"/>
        </w:rPr>
        <w:fldChar w:fldCharType="begin"/>
      </w:r>
      <w:r>
        <w:rPr>
          <w:rFonts w:hint="eastAsia"/>
          <w:bCs/>
          <w:color w:val="auto"/>
          <w:highlight w:val="none"/>
        </w:rPr>
        <w:instrText xml:space="preserve"> = 4 \* CHINESENUM2 \* MERGEFORMAT </w:instrText>
      </w:r>
      <w:r>
        <w:rPr>
          <w:rFonts w:hint="eastAsia"/>
          <w:bCs/>
          <w:color w:val="auto"/>
          <w:highlight w:val="none"/>
        </w:rPr>
        <w:fldChar w:fldCharType="separate"/>
      </w:r>
      <w:r>
        <w:rPr>
          <w:color w:val="auto"/>
          <w:highlight w:val="none"/>
        </w:rPr>
        <w:t>肆</w:t>
      </w:r>
      <w:r>
        <w:rPr>
          <w:rFonts w:hint="eastAsia"/>
          <w:bCs/>
          <w:color w:val="auto"/>
          <w:highlight w:val="none"/>
        </w:rPr>
        <w:fldChar w:fldCharType="end"/>
      </w:r>
      <w:r>
        <w:rPr>
          <w:rFonts w:hint="eastAsia"/>
          <w:bCs/>
          <w:color w:val="auto"/>
          <w:highlight w:val="none"/>
        </w:rPr>
        <w:t>份，</w:t>
      </w:r>
      <w:r>
        <w:rPr>
          <w:rFonts w:hint="eastAsia"/>
          <w:bCs/>
          <w:color w:val="auto"/>
          <w:highlight w:val="none"/>
          <w:lang w:val="en-US" w:eastAsia="zh-CN"/>
        </w:rPr>
        <w:t>甲方</w:t>
      </w:r>
      <w:r>
        <w:rPr>
          <w:rFonts w:hint="eastAsia"/>
          <w:bCs/>
          <w:color w:val="auto"/>
          <w:highlight w:val="none"/>
        </w:rPr>
        <w:t>执</w:t>
      </w:r>
      <w:r>
        <w:rPr>
          <w:rFonts w:hint="eastAsia"/>
          <w:bCs/>
          <w:color w:val="auto"/>
          <w:highlight w:val="none"/>
          <w:lang w:val="en-US" w:eastAsia="zh-CN"/>
        </w:rPr>
        <w:t>叁</w:t>
      </w:r>
      <w:r>
        <w:rPr>
          <w:rFonts w:hint="eastAsia"/>
          <w:bCs/>
          <w:color w:val="auto"/>
          <w:highlight w:val="none"/>
        </w:rPr>
        <w:t>份</w:t>
      </w:r>
      <w:r>
        <w:rPr>
          <w:rFonts w:hint="eastAsia"/>
          <w:bCs/>
          <w:color w:val="auto"/>
          <w:highlight w:val="none"/>
          <w:lang w:eastAsia="zh-CN"/>
        </w:rPr>
        <w:t>，</w:t>
      </w:r>
      <w:r>
        <w:rPr>
          <w:rFonts w:hint="eastAsia"/>
          <w:bCs/>
          <w:color w:val="auto"/>
          <w:highlight w:val="none"/>
          <w:lang w:val="en-US" w:eastAsia="zh-CN"/>
        </w:rPr>
        <w:t>乙方</w:t>
      </w:r>
      <w:r>
        <w:rPr>
          <w:rFonts w:hint="eastAsia"/>
          <w:bCs/>
          <w:color w:val="auto"/>
          <w:highlight w:val="none"/>
        </w:rPr>
        <w:t>各壹份，具有同等法律效力。</w:t>
      </w:r>
    </w:p>
    <w:p w14:paraId="28F84F25">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left="420" w:leftChars="0" w:right="84" w:rightChars="40" w:firstLine="420" w:firstLineChars="200"/>
        <w:textAlignment w:val="auto"/>
        <w:rPr>
          <w:rFonts w:ascii="Eras Bk BT" w:hAnsi="Eras Bk BT"/>
          <w:color w:val="auto"/>
          <w:highlight w:val="none"/>
        </w:rPr>
      </w:pPr>
      <w:r>
        <w:rPr>
          <w:rFonts w:hint="eastAsia"/>
          <w:bCs/>
          <w:color w:val="auto"/>
          <w:highlight w:val="none"/>
        </w:rPr>
        <w:t>【以下为签字部分，无正文】</w:t>
      </w:r>
    </w:p>
    <w:p w14:paraId="0A368301">
      <w:pPr>
        <w:keepNext w:val="0"/>
        <w:keepLines w:val="0"/>
        <w:pageBreakBefore w:val="0"/>
        <w:widowControl w:val="0"/>
        <w:kinsoku/>
        <w:wordWrap/>
        <w:overflowPunct/>
        <w:topLinePunct w:val="0"/>
        <w:autoSpaceDE/>
        <w:autoSpaceDN/>
        <w:bidi w:val="0"/>
        <w:snapToGrid/>
        <w:spacing w:line="300" w:lineRule="auto"/>
        <w:textAlignment w:val="auto"/>
        <w:rPr>
          <w:rFonts w:ascii="宋体" w:hAnsi="宋体"/>
          <w:b/>
          <w:color w:val="auto"/>
          <w:szCs w:val="21"/>
          <w:highlight w:val="none"/>
        </w:rPr>
      </w:pPr>
    </w:p>
    <w:p w14:paraId="574C694C">
      <w:pPr>
        <w:keepNext w:val="0"/>
        <w:keepLines w:val="0"/>
        <w:pageBreakBefore w:val="0"/>
        <w:widowControl w:val="0"/>
        <w:kinsoku/>
        <w:wordWrap/>
        <w:overflowPunct/>
        <w:topLinePunct w:val="0"/>
        <w:autoSpaceDE/>
        <w:autoSpaceDN/>
        <w:bidi w:val="0"/>
        <w:snapToGrid/>
        <w:spacing w:line="300" w:lineRule="auto"/>
        <w:textAlignment w:val="auto"/>
        <w:rPr>
          <w:rFonts w:ascii="宋体" w:hAnsi="宋体"/>
          <w:b/>
          <w:color w:val="auto"/>
          <w:szCs w:val="21"/>
          <w:highlight w:val="none"/>
        </w:rPr>
      </w:pPr>
    </w:p>
    <w:p w14:paraId="393B55CD">
      <w:pPr>
        <w:keepNext w:val="0"/>
        <w:keepLines w:val="0"/>
        <w:pageBreakBefore w:val="0"/>
        <w:widowControl w:val="0"/>
        <w:kinsoku/>
        <w:wordWrap/>
        <w:overflowPunct/>
        <w:topLinePunct w:val="0"/>
        <w:autoSpaceDE/>
        <w:autoSpaceDN/>
        <w:bidi w:val="0"/>
        <w:snapToGrid/>
        <w:spacing w:line="300" w:lineRule="auto"/>
        <w:textAlignment w:val="auto"/>
        <w:rPr>
          <w:rFonts w:ascii="宋体" w:hAnsi="宋体"/>
          <w:b/>
          <w:color w:val="auto"/>
          <w:szCs w:val="21"/>
          <w:highlight w:val="none"/>
        </w:rPr>
      </w:pPr>
      <w:r>
        <w:rPr>
          <w:rFonts w:hint="eastAsia" w:ascii="宋体" w:hAnsi="宋体"/>
          <w:b/>
          <w:color w:val="auto"/>
          <w:szCs w:val="21"/>
          <w:highlight w:val="none"/>
        </w:rPr>
        <w:t>甲方：（盖章）                              乙方：（盖章）</w:t>
      </w:r>
    </w:p>
    <w:p w14:paraId="4C896297">
      <w:pPr>
        <w:keepNext w:val="0"/>
        <w:keepLines w:val="0"/>
        <w:pageBreakBefore w:val="0"/>
        <w:widowControl w:val="0"/>
        <w:kinsoku/>
        <w:wordWrap/>
        <w:overflowPunct/>
        <w:topLinePunct w:val="0"/>
        <w:autoSpaceDE/>
        <w:autoSpaceDN/>
        <w:bidi w:val="0"/>
        <w:snapToGrid/>
        <w:spacing w:line="300" w:lineRule="auto"/>
        <w:textAlignment w:val="auto"/>
        <w:rPr>
          <w:rFonts w:ascii="宋体" w:hAnsi="宋体"/>
          <w:b/>
          <w:color w:val="auto"/>
          <w:szCs w:val="21"/>
          <w:highlight w:val="none"/>
        </w:rPr>
      </w:pPr>
    </w:p>
    <w:p w14:paraId="7CA9A6AB">
      <w:pPr>
        <w:keepNext w:val="0"/>
        <w:keepLines w:val="0"/>
        <w:pageBreakBefore w:val="0"/>
        <w:widowControl w:val="0"/>
        <w:kinsoku/>
        <w:wordWrap/>
        <w:overflowPunct/>
        <w:topLinePunct w:val="0"/>
        <w:autoSpaceDE/>
        <w:autoSpaceDN/>
        <w:bidi w:val="0"/>
        <w:snapToGrid/>
        <w:spacing w:line="300" w:lineRule="auto"/>
        <w:textAlignment w:val="auto"/>
        <w:rPr>
          <w:rFonts w:ascii="宋体" w:hAnsi="宋体"/>
          <w:b/>
          <w:color w:val="auto"/>
          <w:szCs w:val="21"/>
          <w:highlight w:val="none"/>
        </w:rPr>
      </w:pPr>
      <w:r>
        <w:rPr>
          <w:rFonts w:hint="eastAsia" w:ascii="宋体" w:hAnsi="宋体"/>
          <w:b/>
          <w:color w:val="auto"/>
          <w:szCs w:val="21"/>
          <w:highlight w:val="none"/>
        </w:rPr>
        <w:t xml:space="preserve">授权代表签字：                </w:t>
      </w:r>
      <w:r>
        <w:rPr>
          <w:rFonts w:hint="eastAsia" w:ascii="宋体" w:hAnsi="宋体"/>
          <w:b/>
          <w:color w:val="auto"/>
          <w:szCs w:val="21"/>
          <w:highlight w:val="none"/>
        </w:rPr>
        <w:tab/>
      </w:r>
      <w:r>
        <w:rPr>
          <w:rFonts w:hint="eastAsia" w:ascii="宋体" w:hAnsi="宋体"/>
          <w:b/>
          <w:color w:val="auto"/>
          <w:szCs w:val="21"/>
          <w:highlight w:val="none"/>
        </w:rPr>
        <w:tab/>
      </w:r>
      <w:r>
        <w:rPr>
          <w:rFonts w:hint="eastAsia" w:ascii="宋体" w:hAnsi="宋体"/>
          <w:b/>
          <w:color w:val="auto"/>
          <w:szCs w:val="21"/>
          <w:highlight w:val="none"/>
        </w:rPr>
        <w:tab/>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授权代表签字：</w:t>
      </w:r>
    </w:p>
    <w:p w14:paraId="4072DACA">
      <w:pPr>
        <w:keepNext w:val="0"/>
        <w:keepLines w:val="0"/>
        <w:pageBreakBefore w:val="0"/>
        <w:widowControl w:val="0"/>
        <w:kinsoku/>
        <w:wordWrap/>
        <w:overflowPunct/>
        <w:topLinePunct w:val="0"/>
        <w:autoSpaceDE/>
        <w:autoSpaceDN/>
        <w:bidi w:val="0"/>
        <w:snapToGrid/>
        <w:spacing w:line="300" w:lineRule="auto"/>
        <w:textAlignment w:val="auto"/>
        <w:rPr>
          <w:rFonts w:ascii="宋体" w:hAnsi="宋体"/>
          <w:b/>
          <w:color w:val="auto"/>
          <w:szCs w:val="21"/>
          <w:highlight w:val="none"/>
        </w:rPr>
      </w:pPr>
    </w:p>
    <w:p w14:paraId="3EAA5447">
      <w:pPr>
        <w:tabs>
          <w:tab w:val="left" w:pos="6379"/>
        </w:tabs>
        <w:spacing w:line="276" w:lineRule="auto"/>
        <w:rPr>
          <w:rFonts w:hint="eastAsia" w:asciiTheme="minorEastAsia" w:hAnsiTheme="minorEastAsia" w:eastAsiaTheme="minorEastAsia"/>
          <w:color w:val="auto"/>
          <w:highlight w:val="none"/>
        </w:rPr>
      </w:pPr>
      <w:r>
        <w:rPr>
          <w:rFonts w:hint="eastAsia" w:ascii="宋体" w:hAnsi="宋体"/>
          <w:b/>
          <w:color w:val="auto"/>
          <w:szCs w:val="21"/>
          <w:highlight w:val="none"/>
        </w:rPr>
        <w:t>签订时间：</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 xml:space="preserve"> </w:t>
      </w:r>
      <w:r>
        <w:rPr>
          <w:rFonts w:hint="eastAsia" w:ascii="宋体" w:hAnsi="宋体"/>
          <w:b/>
          <w:color w:val="auto"/>
          <w:szCs w:val="21"/>
          <w:highlight w:val="none"/>
          <w:u w:val="single"/>
        </w:rPr>
        <w:t xml:space="preserve"> </w:t>
      </w:r>
      <w:r>
        <w:rPr>
          <w:rFonts w:hint="eastAsia" w:ascii="宋体" w:hAnsi="宋体"/>
          <w:b/>
          <w:color w:val="auto"/>
          <w:szCs w:val="21"/>
          <w:highlight w:val="none"/>
        </w:rPr>
        <w:t>年</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 xml:space="preserve"> </w:t>
      </w:r>
      <w:r>
        <w:rPr>
          <w:rFonts w:hint="eastAsia" w:ascii="宋体" w:hAnsi="宋体"/>
          <w:b/>
          <w:color w:val="auto"/>
          <w:szCs w:val="21"/>
          <w:highlight w:val="none"/>
          <w:u w:val="single"/>
        </w:rPr>
        <w:t xml:space="preserve"> </w:t>
      </w:r>
      <w:r>
        <w:rPr>
          <w:rFonts w:hint="eastAsia" w:ascii="宋体" w:hAnsi="宋体"/>
          <w:b/>
          <w:color w:val="auto"/>
          <w:szCs w:val="21"/>
          <w:highlight w:val="none"/>
        </w:rPr>
        <w:t>月</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 xml:space="preserve"> </w:t>
      </w:r>
      <w:r>
        <w:rPr>
          <w:rFonts w:hint="eastAsia" w:ascii="宋体" w:hAnsi="宋体"/>
          <w:b/>
          <w:color w:val="auto"/>
          <w:szCs w:val="21"/>
          <w:highlight w:val="none"/>
          <w:u w:val="single"/>
        </w:rPr>
        <w:t xml:space="preserve"> </w:t>
      </w:r>
      <w:r>
        <w:rPr>
          <w:rFonts w:hint="eastAsia" w:ascii="宋体" w:hAnsi="宋体"/>
          <w:b/>
          <w:color w:val="auto"/>
          <w:szCs w:val="21"/>
          <w:highlight w:val="none"/>
        </w:rPr>
        <w:t>日</w:t>
      </w:r>
    </w:p>
    <w:sectPr>
      <w:pgSz w:w="11906" w:h="17338"/>
      <w:pgMar w:top="1418" w:right="1701" w:bottom="1418" w:left="1701" w:header="720" w:footer="720" w:gutter="0"/>
      <w:pgBorders>
        <w:top w:val="none" w:sz="0" w:space="0"/>
        <w:left w:val="none" w:sz="0" w:space="0"/>
        <w:bottom w:val="none" w:sz="0" w:space="0"/>
        <w:right w:val="none" w:sz="0" w:space="0"/>
      </w:pgBorders>
      <w:pgNumType w:start="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0"/>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Eras Bk BT">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968375"/>
    </w:sdtPr>
    <w:sdtContent>
      <w:p w14:paraId="3C6782E4">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BF0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94C3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13C7D">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113C7D">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2F05">
    <w:pPr>
      <w:pStyle w:val="8"/>
      <w:pBdr>
        <w:bottom w:val="none" w:color="auto" w:sz="0" w:space="0"/>
      </w:pBdr>
    </w:pPr>
    <w:r>
      <w:rPr>
        <w:rFonts w:hint="eastAsia" w:eastAsia="宋体"/>
        <w:lang w:eastAsia="zh-CN"/>
      </w:rPr>
      <w:drawing>
        <wp:anchor distT="0" distB="0" distL="114300" distR="114300" simplePos="0" relativeHeight="251660288" behindDoc="0" locked="0" layoutInCell="1" allowOverlap="1">
          <wp:simplePos x="0" y="0"/>
          <wp:positionH relativeFrom="column">
            <wp:posOffset>-863600</wp:posOffset>
          </wp:positionH>
          <wp:positionV relativeFrom="paragraph">
            <wp:posOffset>-254635</wp:posOffset>
          </wp:positionV>
          <wp:extent cx="2637790" cy="807720"/>
          <wp:effectExtent l="0" t="0" r="0" b="0"/>
          <wp:wrapNone/>
          <wp:docPr id="1" name="图片 1" descr="CityUHK(DG)_30th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tyUHK(DG)_30th_Logo_Horizontal"/>
                  <pic:cNvPicPr>
                    <a:picLocks noChangeAspect="1"/>
                  </pic:cNvPicPr>
                </pic:nvPicPr>
                <pic:blipFill>
                  <a:blip r:embed="rId1"/>
                  <a:stretch>
                    <a:fillRect/>
                  </a:stretch>
                </pic:blipFill>
                <pic:spPr>
                  <a:xfrm>
                    <a:off x="0" y="0"/>
                    <a:ext cx="2637790" cy="807720"/>
                  </a:xfrm>
                  <a:prstGeom prst="rect">
                    <a:avLst/>
                  </a:prstGeom>
                </pic:spPr>
              </pic:pic>
            </a:graphicData>
          </a:graphic>
        </wp:anchor>
      </w:drawing>
    </w:r>
  </w:p>
  <w:p w14:paraId="0D281BE5">
    <w:pPr>
      <w:pStyle w:val="8"/>
      <w:pBdr>
        <w:bottom w:val="none" w:color="auto" w:sz="0" w:space="0"/>
      </w:pBdr>
    </w:pPr>
  </w:p>
  <w:p w14:paraId="109B4C9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C78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EE9A">
    <w:pPr>
      <w:pStyle w:val="8"/>
      <w:pBdr>
        <w:bottom w:val="none" w:color="auto" w:sz="0" w:space="0"/>
      </w:pBdr>
      <w:jc w:val="center"/>
      <w:rPr>
        <w:rFonts w:hint="eastAsia"/>
        <w:color w:val="F2F2F2" w:themeColor="background1" w:themeShade="F2"/>
        <w:lang w:val="en-US"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-831850</wp:posOffset>
          </wp:positionH>
          <wp:positionV relativeFrom="paragraph">
            <wp:posOffset>-337820</wp:posOffset>
          </wp:positionV>
          <wp:extent cx="2637790" cy="807720"/>
          <wp:effectExtent l="0" t="0" r="0" b="0"/>
          <wp:wrapNone/>
          <wp:docPr id="4" name="图片 4" descr="CityUHK(DG)_30th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tyUHK(DG)_30th_Logo_Horizontal"/>
                  <pic:cNvPicPr>
                    <a:picLocks noChangeAspect="1"/>
                  </pic:cNvPicPr>
                </pic:nvPicPr>
                <pic:blipFill>
                  <a:blip r:embed="rId1"/>
                  <a:stretch>
                    <a:fillRect/>
                  </a:stretch>
                </pic:blipFill>
                <pic:spPr>
                  <a:xfrm>
                    <a:off x="0" y="0"/>
                    <a:ext cx="2637790" cy="807720"/>
                  </a:xfrm>
                  <a:prstGeom prst="rect">
                    <a:avLst/>
                  </a:prstGeom>
                </pic:spPr>
              </pic:pic>
            </a:graphicData>
          </a:graphic>
        </wp:anchor>
      </w:drawing>
    </w:r>
  </w:p>
  <w:p w14:paraId="7C2ECDD5">
    <w:pPr>
      <w:pStyle w:val="8"/>
      <w:pBdr>
        <w:bottom w:val="none" w:color="auto" w:sz="0" w:space="0"/>
      </w:pBdr>
      <w:jc w:val="right"/>
    </w:pPr>
    <w:r>
      <w:rPr>
        <w:rFonts w:hint="eastAsia"/>
        <w:color w:val="F2F2F2" w:themeColor="background1" w:themeShade="F2"/>
      </w:rPr>
      <w:t>版本号：2024</w:t>
    </w:r>
    <w:r>
      <w:rPr>
        <w:rFonts w:hint="eastAsia"/>
        <w:color w:val="F2F2F2" w:themeColor="background1" w:themeShade="F2"/>
        <w:lang w:val="en-US" w:eastAsia="zh-CN"/>
      </w:rPr>
      <w:t>1231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第%1条"/>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multilevel"/>
    <w:tmpl w:val="00000002"/>
    <w:lvl w:ilvl="0" w:tentative="0">
      <w:start w:val="1"/>
      <w:numFmt w:val="decimal"/>
      <w:lvlText w:val="%1"/>
      <w:lvlJc w:val="left"/>
      <w:pPr>
        <w:tabs>
          <w:tab w:val="left" w:pos="360"/>
        </w:tabs>
        <w:ind w:left="340" w:hanging="34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304" w:hanging="453"/>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C08161C"/>
    <w:multiLevelType w:val="multilevel"/>
    <w:tmpl w:val="1C08161C"/>
    <w:lvl w:ilvl="0" w:tentative="0">
      <w:start w:val="1"/>
      <w:numFmt w:val="decimal"/>
      <w:lvlText w:val="%1、"/>
      <w:lvlJc w:val="left"/>
      <w:pPr>
        <w:ind w:left="363" w:hanging="363"/>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665E8D"/>
    <w:multiLevelType w:val="multilevel"/>
    <w:tmpl w:val="22665E8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D0B6E5B"/>
    <w:multiLevelType w:val="multilevel"/>
    <w:tmpl w:val="4D0B6E5B"/>
    <w:lvl w:ilvl="0" w:tentative="0">
      <w:start w:val="1"/>
      <w:numFmt w:val="upperRoman"/>
      <w:lvlText w:val="（%1）"/>
      <w:lvlJc w:val="left"/>
      <w:pPr>
        <w:tabs>
          <w:tab w:val="left" w:pos="2134"/>
        </w:tabs>
        <w:ind w:left="2134" w:hanging="1080"/>
      </w:pPr>
      <w:rPr>
        <w:rFonts w:hint="eastAsia"/>
      </w:rPr>
    </w:lvl>
    <w:lvl w:ilvl="1" w:tentative="0">
      <w:start w:val="1"/>
      <w:numFmt w:val="lowerLetter"/>
      <w:lvlText w:val="%2)"/>
      <w:lvlJc w:val="left"/>
      <w:pPr>
        <w:tabs>
          <w:tab w:val="left" w:pos="1894"/>
        </w:tabs>
        <w:ind w:left="1894" w:hanging="420"/>
      </w:pPr>
    </w:lvl>
    <w:lvl w:ilvl="2" w:tentative="0">
      <w:start w:val="1"/>
      <w:numFmt w:val="lowerRoman"/>
      <w:lvlText w:val="%3."/>
      <w:lvlJc w:val="right"/>
      <w:pPr>
        <w:tabs>
          <w:tab w:val="left" w:pos="2314"/>
        </w:tabs>
        <w:ind w:left="2314" w:hanging="420"/>
      </w:pPr>
    </w:lvl>
    <w:lvl w:ilvl="3" w:tentative="0">
      <w:start w:val="1"/>
      <w:numFmt w:val="decimal"/>
      <w:lvlText w:val="%4."/>
      <w:lvlJc w:val="left"/>
      <w:pPr>
        <w:tabs>
          <w:tab w:val="left" w:pos="2734"/>
        </w:tabs>
        <w:ind w:left="2734" w:hanging="420"/>
      </w:pPr>
    </w:lvl>
    <w:lvl w:ilvl="4" w:tentative="0">
      <w:start w:val="1"/>
      <w:numFmt w:val="lowerLetter"/>
      <w:lvlText w:val="%5)"/>
      <w:lvlJc w:val="left"/>
      <w:pPr>
        <w:tabs>
          <w:tab w:val="left" w:pos="3154"/>
        </w:tabs>
        <w:ind w:left="3154" w:hanging="420"/>
      </w:pPr>
    </w:lvl>
    <w:lvl w:ilvl="5" w:tentative="0">
      <w:start w:val="1"/>
      <w:numFmt w:val="lowerRoman"/>
      <w:lvlText w:val="%6."/>
      <w:lvlJc w:val="right"/>
      <w:pPr>
        <w:tabs>
          <w:tab w:val="left" w:pos="3574"/>
        </w:tabs>
        <w:ind w:left="3574" w:hanging="420"/>
      </w:pPr>
    </w:lvl>
    <w:lvl w:ilvl="6" w:tentative="0">
      <w:start w:val="1"/>
      <w:numFmt w:val="decimal"/>
      <w:lvlText w:val="%7."/>
      <w:lvlJc w:val="left"/>
      <w:pPr>
        <w:tabs>
          <w:tab w:val="left" w:pos="3994"/>
        </w:tabs>
        <w:ind w:left="3994" w:hanging="420"/>
      </w:pPr>
    </w:lvl>
    <w:lvl w:ilvl="7" w:tentative="0">
      <w:start w:val="1"/>
      <w:numFmt w:val="lowerLetter"/>
      <w:lvlText w:val="%8)"/>
      <w:lvlJc w:val="left"/>
      <w:pPr>
        <w:tabs>
          <w:tab w:val="left" w:pos="4414"/>
        </w:tabs>
        <w:ind w:left="4414" w:hanging="420"/>
      </w:pPr>
    </w:lvl>
    <w:lvl w:ilvl="8" w:tentative="0">
      <w:start w:val="1"/>
      <w:numFmt w:val="lowerRoman"/>
      <w:lvlText w:val="%9."/>
      <w:lvlJc w:val="right"/>
      <w:pPr>
        <w:tabs>
          <w:tab w:val="left" w:pos="4834"/>
        </w:tabs>
        <w:ind w:left="4834" w:hanging="420"/>
      </w:pPr>
    </w:lvl>
  </w:abstractNum>
  <w:abstractNum w:abstractNumId="5">
    <w:nsid w:val="77B23CA9"/>
    <w:multiLevelType w:val="multilevel"/>
    <w:tmpl w:val="77B23C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OGU2NjU1OTIwMWYzYTQyMGEzNWYyOTJjZGFhN2IifQ=="/>
  </w:docVars>
  <w:rsids>
    <w:rsidRoot w:val="00F8561F"/>
    <w:rsid w:val="00002E39"/>
    <w:rsid w:val="00004298"/>
    <w:rsid w:val="00004525"/>
    <w:rsid w:val="000123AC"/>
    <w:rsid w:val="00021031"/>
    <w:rsid w:val="00022DEB"/>
    <w:rsid w:val="000231B3"/>
    <w:rsid w:val="0002394B"/>
    <w:rsid w:val="00025D01"/>
    <w:rsid w:val="00031D11"/>
    <w:rsid w:val="00035FCC"/>
    <w:rsid w:val="00037E06"/>
    <w:rsid w:val="00040211"/>
    <w:rsid w:val="00040F90"/>
    <w:rsid w:val="00041F72"/>
    <w:rsid w:val="00052CD5"/>
    <w:rsid w:val="000530E5"/>
    <w:rsid w:val="00054B9E"/>
    <w:rsid w:val="00055866"/>
    <w:rsid w:val="00057770"/>
    <w:rsid w:val="00057A06"/>
    <w:rsid w:val="00063D9B"/>
    <w:rsid w:val="0006506B"/>
    <w:rsid w:val="00067498"/>
    <w:rsid w:val="00075DD9"/>
    <w:rsid w:val="000810BA"/>
    <w:rsid w:val="00081534"/>
    <w:rsid w:val="00085D41"/>
    <w:rsid w:val="0009054B"/>
    <w:rsid w:val="000917C0"/>
    <w:rsid w:val="00093524"/>
    <w:rsid w:val="000959BF"/>
    <w:rsid w:val="000A348E"/>
    <w:rsid w:val="000B6F36"/>
    <w:rsid w:val="000C0AA1"/>
    <w:rsid w:val="000C4567"/>
    <w:rsid w:val="000C5001"/>
    <w:rsid w:val="000C58F9"/>
    <w:rsid w:val="000D2E8C"/>
    <w:rsid w:val="000E02DA"/>
    <w:rsid w:val="000E14F2"/>
    <w:rsid w:val="000E3232"/>
    <w:rsid w:val="000E333E"/>
    <w:rsid w:val="000E61FC"/>
    <w:rsid w:val="000F7760"/>
    <w:rsid w:val="00100478"/>
    <w:rsid w:val="00102F30"/>
    <w:rsid w:val="00104143"/>
    <w:rsid w:val="00106613"/>
    <w:rsid w:val="00107690"/>
    <w:rsid w:val="001112AE"/>
    <w:rsid w:val="00111634"/>
    <w:rsid w:val="0011179D"/>
    <w:rsid w:val="0011452C"/>
    <w:rsid w:val="0011645B"/>
    <w:rsid w:val="00117682"/>
    <w:rsid w:val="00120AA8"/>
    <w:rsid w:val="0013295F"/>
    <w:rsid w:val="00132B03"/>
    <w:rsid w:val="00133D6A"/>
    <w:rsid w:val="001344BA"/>
    <w:rsid w:val="00134E05"/>
    <w:rsid w:val="0013608E"/>
    <w:rsid w:val="00141F87"/>
    <w:rsid w:val="001429FF"/>
    <w:rsid w:val="001439AF"/>
    <w:rsid w:val="0014424B"/>
    <w:rsid w:val="00144639"/>
    <w:rsid w:val="00145B7A"/>
    <w:rsid w:val="00154135"/>
    <w:rsid w:val="00155EF9"/>
    <w:rsid w:val="00164A7C"/>
    <w:rsid w:val="001677A0"/>
    <w:rsid w:val="00180371"/>
    <w:rsid w:val="00184CA7"/>
    <w:rsid w:val="00185C73"/>
    <w:rsid w:val="00187D3C"/>
    <w:rsid w:val="001901B3"/>
    <w:rsid w:val="0019409C"/>
    <w:rsid w:val="00194912"/>
    <w:rsid w:val="001A6775"/>
    <w:rsid w:val="001B38F3"/>
    <w:rsid w:val="001C62FB"/>
    <w:rsid w:val="001D3ABA"/>
    <w:rsid w:val="001D7211"/>
    <w:rsid w:val="001E0450"/>
    <w:rsid w:val="001E06C3"/>
    <w:rsid w:val="001E1294"/>
    <w:rsid w:val="001E3C58"/>
    <w:rsid w:val="001E41CC"/>
    <w:rsid w:val="001E4289"/>
    <w:rsid w:val="001E599A"/>
    <w:rsid w:val="001E7F2F"/>
    <w:rsid w:val="001F134B"/>
    <w:rsid w:val="001F30A7"/>
    <w:rsid w:val="001F349C"/>
    <w:rsid w:val="001F37C0"/>
    <w:rsid w:val="001F3CD2"/>
    <w:rsid w:val="001F5B2C"/>
    <w:rsid w:val="00201636"/>
    <w:rsid w:val="0021241C"/>
    <w:rsid w:val="00212FE0"/>
    <w:rsid w:val="00213FB6"/>
    <w:rsid w:val="00214A67"/>
    <w:rsid w:val="00220BA2"/>
    <w:rsid w:val="00220F08"/>
    <w:rsid w:val="00224D97"/>
    <w:rsid w:val="00227578"/>
    <w:rsid w:val="002304B6"/>
    <w:rsid w:val="002305E0"/>
    <w:rsid w:val="002335B7"/>
    <w:rsid w:val="00240AF0"/>
    <w:rsid w:val="0024732A"/>
    <w:rsid w:val="00247FA2"/>
    <w:rsid w:val="002546B9"/>
    <w:rsid w:val="00263D52"/>
    <w:rsid w:val="00271790"/>
    <w:rsid w:val="002742D7"/>
    <w:rsid w:val="00276564"/>
    <w:rsid w:val="00292373"/>
    <w:rsid w:val="00293C82"/>
    <w:rsid w:val="002960B7"/>
    <w:rsid w:val="00296C5F"/>
    <w:rsid w:val="002A63E8"/>
    <w:rsid w:val="002A6B68"/>
    <w:rsid w:val="002A70CD"/>
    <w:rsid w:val="002A7562"/>
    <w:rsid w:val="002B10F1"/>
    <w:rsid w:val="002B3137"/>
    <w:rsid w:val="002C109B"/>
    <w:rsid w:val="002C1AE9"/>
    <w:rsid w:val="002C258C"/>
    <w:rsid w:val="00305E79"/>
    <w:rsid w:val="00307AB6"/>
    <w:rsid w:val="00315A11"/>
    <w:rsid w:val="00316F7E"/>
    <w:rsid w:val="00331BBC"/>
    <w:rsid w:val="00333DB0"/>
    <w:rsid w:val="00337E24"/>
    <w:rsid w:val="003411E0"/>
    <w:rsid w:val="00346780"/>
    <w:rsid w:val="00360E1D"/>
    <w:rsid w:val="0037440C"/>
    <w:rsid w:val="00374A4A"/>
    <w:rsid w:val="003813AF"/>
    <w:rsid w:val="00383969"/>
    <w:rsid w:val="00393B90"/>
    <w:rsid w:val="00393F8F"/>
    <w:rsid w:val="003941CA"/>
    <w:rsid w:val="003A155D"/>
    <w:rsid w:val="003B7689"/>
    <w:rsid w:val="003C3E77"/>
    <w:rsid w:val="003C5759"/>
    <w:rsid w:val="003C6797"/>
    <w:rsid w:val="003C684A"/>
    <w:rsid w:val="003D2E2B"/>
    <w:rsid w:val="003D3109"/>
    <w:rsid w:val="003D34B1"/>
    <w:rsid w:val="003D40E2"/>
    <w:rsid w:val="003E03FE"/>
    <w:rsid w:val="003F06F7"/>
    <w:rsid w:val="003F07FD"/>
    <w:rsid w:val="003F4D36"/>
    <w:rsid w:val="003F5274"/>
    <w:rsid w:val="003F5E95"/>
    <w:rsid w:val="003F6E93"/>
    <w:rsid w:val="00401028"/>
    <w:rsid w:val="00403BC8"/>
    <w:rsid w:val="004106A3"/>
    <w:rsid w:val="00413647"/>
    <w:rsid w:val="0041502A"/>
    <w:rsid w:val="004203D4"/>
    <w:rsid w:val="0042054E"/>
    <w:rsid w:val="00421257"/>
    <w:rsid w:val="004225A6"/>
    <w:rsid w:val="00431C42"/>
    <w:rsid w:val="00431F8D"/>
    <w:rsid w:val="0043233B"/>
    <w:rsid w:val="00440013"/>
    <w:rsid w:val="004440AF"/>
    <w:rsid w:val="00453F61"/>
    <w:rsid w:val="004562A3"/>
    <w:rsid w:val="00457DB8"/>
    <w:rsid w:val="00464656"/>
    <w:rsid w:val="00470537"/>
    <w:rsid w:val="00475900"/>
    <w:rsid w:val="004808C7"/>
    <w:rsid w:val="00481031"/>
    <w:rsid w:val="00482A93"/>
    <w:rsid w:val="004923A6"/>
    <w:rsid w:val="00493B70"/>
    <w:rsid w:val="00495F50"/>
    <w:rsid w:val="004A62E7"/>
    <w:rsid w:val="004A7CDD"/>
    <w:rsid w:val="004B16B1"/>
    <w:rsid w:val="004B2865"/>
    <w:rsid w:val="004B4A00"/>
    <w:rsid w:val="004C6AC6"/>
    <w:rsid w:val="004D4DE0"/>
    <w:rsid w:val="004D699E"/>
    <w:rsid w:val="004E2D62"/>
    <w:rsid w:val="004E48A9"/>
    <w:rsid w:val="004F4A06"/>
    <w:rsid w:val="005117B8"/>
    <w:rsid w:val="005142DE"/>
    <w:rsid w:val="005225B8"/>
    <w:rsid w:val="005226FD"/>
    <w:rsid w:val="00525C15"/>
    <w:rsid w:val="00525E45"/>
    <w:rsid w:val="00533CFF"/>
    <w:rsid w:val="00542B8F"/>
    <w:rsid w:val="00546989"/>
    <w:rsid w:val="00552504"/>
    <w:rsid w:val="00556BB5"/>
    <w:rsid w:val="0056192E"/>
    <w:rsid w:val="00561DF7"/>
    <w:rsid w:val="00565240"/>
    <w:rsid w:val="005666C1"/>
    <w:rsid w:val="005669CB"/>
    <w:rsid w:val="00573EAC"/>
    <w:rsid w:val="00574C60"/>
    <w:rsid w:val="005754D7"/>
    <w:rsid w:val="00576548"/>
    <w:rsid w:val="00584F8E"/>
    <w:rsid w:val="005858F2"/>
    <w:rsid w:val="00585B4C"/>
    <w:rsid w:val="00585F1D"/>
    <w:rsid w:val="00591093"/>
    <w:rsid w:val="0059196C"/>
    <w:rsid w:val="00591BF1"/>
    <w:rsid w:val="0059303A"/>
    <w:rsid w:val="005A339B"/>
    <w:rsid w:val="005A54A6"/>
    <w:rsid w:val="005A624D"/>
    <w:rsid w:val="005B17A0"/>
    <w:rsid w:val="005B1F26"/>
    <w:rsid w:val="005B7570"/>
    <w:rsid w:val="005C38CD"/>
    <w:rsid w:val="005C4DDD"/>
    <w:rsid w:val="005D301A"/>
    <w:rsid w:val="005D33EE"/>
    <w:rsid w:val="005F34AB"/>
    <w:rsid w:val="005F7DCB"/>
    <w:rsid w:val="00601DCB"/>
    <w:rsid w:val="00605662"/>
    <w:rsid w:val="00606109"/>
    <w:rsid w:val="006072C9"/>
    <w:rsid w:val="00610FCA"/>
    <w:rsid w:val="0061408B"/>
    <w:rsid w:val="00616070"/>
    <w:rsid w:val="00616087"/>
    <w:rsid w:val="00617206"/>
    <w:rsid w:val="00621AB4"/>
    <w:rsid w:val="00635582"/>
    <w:rsid w:val="00644460"/>
    <w:rsid w:val="00644766"/>
    <w:rsid w:val="00644E09"/>
    <w:rsid w:val="0064520D"/>
    <w:rsid w:val="00646B0B"/>
    <w:rsid w:val="00650EBA"/>
    <w:rsid w:val="0065176A"/>
    <w:rsid w:val="00651DD7"/>
    <w:rsid w:val="0065389E"/>
    <w:rsid w:val="00655D97"/>
    <w:rsid w:val="006561CB"/>
    <w:rsid w:val="0065640C"/>
    <w:rsid w:val="00656C48"/>
    <w:rsid w:val="00656CAC"/>
    <w:rsid w:val="00657814"/>
    <w:rsid w:val="00660E83"/>
    <w:rsid w:val="0066172F"/>
    <w:rsid w:val="006648BA"/>
    <w:rsid w:val="00665B5D"/>
    <w:rsid w:val="00671E05"/>
    <w:rsid w:val="00672607"/>
    <w:rsid w:val="006748CB"/>
    <w:rsid w:val="00680922"/>
    <w:rsid w:val="00683F05"/>
    <w:rsid w:val="00687E45"/>
    <w:rsid w:val="00690B72"/>
    <w:rsid w:val="00690CAC"/>
    <w:rsid w:val="00693779"/>
    <w:rsid w:val="00693923"/>
    <w:rsid w:val="0069634B"/>
    <w:rsid w:val="00696E09"/>
    <w:rsid w:val="006A1D4B"/>
    <w:rsid w:val="006A73F3"/>
    <w:rsid w:val="006B0583"/>
    <w:rsid w:val="006B1938"/>
    <w:rsid w:val="006B6C53"/>
    <w:rsid w:val="006B74EA"/>
    <w:rsid w:val="006B7963"/>
    <w:rsid w:val="006C21D8"/>
    <w:rsid w:val="006C2378"/>
    <w:rsid w:val="006C75E7"/>
    <w:rsid w:val="006D0916"/>
    <w:rsid w:val="006E487B"/>
    <w:rsid w:val="006F0F9D"/>
    <w:rsid w:val="00700872"/>
    <w:rsid w:val="00701B80"/>
    <w:rsid w:val="00703FBE"/>
    <w:rsid w:val="007071BA"/>
    <w:rsid w:val="00713681"/>
    <w:rsid w:val="0071793B"/>
    <w:rsid w:val="00720A9D"/>
    <w:rsid w:val="007258CF"/>
    <w:rsid w:val="00734AFE"/>
    <w:rsid w:val="00735B2B"/>
    <w:rsid w:val="00740265"/>
    <w:rsid w:val="00743ACB"/>
    <w:rsid w:val="00745D8A"/>
    <w:rsid w:val="00747FA8"/>
    <w:rsid w:val="007511C9"/>
    <w:rsid w:val="00752AEF"/>
    <w:rsid w:val="007631C0"/>
    <w:rsid w:val="00765A99"/>
    <w:rsid w:val="00770AF9"/>
    <w:rsid w:val="00770E98"/>
    <w:rsid w:val="00773ABB"/>
    <w:rsid w:val="007756CF"/>
    <w:rsid w:val="00776843"/>
    <w:rsid w:val="00792BBA"/>
    <w:rsid w:val="007953D0"/>
    <w:rsid w:val="007968AF"/>
    <w:rsid w:val="007A4624"/>
    <w:rsid w:val="007A491C"/>
    <w:rsid w:val="007A7633"/>
    <w:rsid w:val="007B3EFC"/>
    <w:rsid w:val="007B5268"/>
    <w:rsid w:val="007C40AE"/>
    <w:rsid w:val="007C58BF"/>
    <w:rsid w:val="007D4925"/>
    <w:rsid w:val="007E2FFD"/>
    <w:rsid w:val="007E399C"/>
    <w:rsid w:val="007E4B84"/>
    <w:rsid w:val="007F02B2"/>
    <w:rsid w:val="007F1C88"/>
    <w:rsid w:val="007F3204"/>
    <w:rsid w:val="007F45E2"/>
    <w:rsid w:val="008006C7"/>
    <w:rsid w:val="00806DFF"/>
    <w:rsid w:val="008109A6"/>
    <w:rsid w:val="00812BF2"/>
    <w:rsid w:val="00815013"/>
    <w:rsid w:val="00817ABE"/>
    <w:rsid w:val="00820428"/>
    <w:rsid w:val="0082431C"/>
    <w:rsid w:val="00825012"/>
    <w:rsid w:val="008260EF"/>
    <w:rsid w:val="00831A14"/>
    <w:rsid w:val="00834EEF"/>
    <w:rsid w:val="008359B8"/>
    <w:rsid w:val="008370F8"/>
    <w:rsid w:val="00841D91"/>
    <w:rsid w:val="00845C76"/>
    <w:rsid w:val="00850845"/>
    <w:rsid w:val="008530FE"/>
    <w:rsid w:val="0086093B"/>
    <w:rsid w:val="00861CE5"/>
    <w:rsid w:val="00865747"/>
    <w:rsid w:val="00876813"/>
    <w:rsid w:val="00876A44"/>
    <w:rsid w:val="00876F9E"/>
    <w:rsid w:val="00880859"/>
    <w:rsid w:val="00892C88"/>
    <w:rsid w:val="00893E22"/>
    <w:rsid w:val="00896C4E"/>
    <w:rsid w:val="008A3699"/>
    <w:rsid w:val="008A766D"/>
    <w:rsid w:val="008B0A3C"/>
    <w:rsid w:val="008B2381"/>
    <w:rsid w:val="008B3318"/>
    <w:rsid w:val="008B7A1A"/>
    <w:rsid w:val="008B7C43"/>
    <w:rsid w:val="008C2DD2"/>
    <w:rsid w:val="008D3615"/>
    <w:rsid w:val="008D609A"/>
    <w:rsid w:val="008E1CCE"/>
    <w:rsid w:val="008E338C"/>
    <w:rsid w:val="008E5E53"/>
    <w:rsid w:val="008F573D"/>
    <w:rsid w:val="00900886"/>
    <w:rsid w:val="00901368"/>
    <w:rsid w:val="00902F10"/>
    <w:rsid w:val="00910605"/>
    <w:rsid w:val="00911744"/>
    <w:rsid w:val="00912517"/>
    <w:rsid w:val="00913543"/>
    <w:rsid w:val="009164AA"/>
    <w:rsid w:val="00917522"/>
    <w:rsid w:val="009215FD"/>
    <w:rsid w:val="0092262C"/>
    <w:rsid w:val="0092392C"/>
    <w:rsid w:val="009271F6"/>
    <w:rsid w:val="00927200"/>
    <w:rsid w:val="00943A49"/>
    <w:rsid w:val="009447F5"/>
    <w:rsid w:val="00946C5C"/>
    <w:rsid w:val="009475A1"/>
    <w:rsid w:val="00951786"/>
    <w:rsid w:val="00955320"/>
    <w:rsid w:val="00965D18"/>
    <w:rsid w:val="00970AD1"/>
    <w:rsid w:val="00977EC1"/>
    <w:rsid w:val="0098197A"/>
    <w:rsid w:val="00982B0F"/>
    <w:rsid w:val="009872F3"/>
    <w:rsid w:val="00990436"/>
    <w:rsid w:val="0099150C"/>
    <w:rsid w:val="00992E26"/>
    <w:rsid w:val="00995682"/>
    <w:rsid w:val="009A067F"/>
    <w:rsid w:val="009B380A"/>
    <w:rsid w:val="009C2855"/>
    <w:rsid w:val="009C6F4D"/>
    <w:rsid w:val="009D12E6"/>
    <w:rsid w:val="009D5471"/>
    <w:rsid w:val="009E7D95"/>
    <w:rsid w:val="009F575F"/>
    <w:rsid w:val="00A03674"/>
    <w:rsid w:val="00A053A0"/>
    <w:rsid w:val="00A071AA"/>
    <w:rsid w:val="00A2384F"/>
    <w:rsid w:val="00A3255B"/>
    <w:rsid w:val="00A35C45"/>
    <w:rsid w:val="00A37238"/>
    <w:rsid w:val="00A401BF"/>
    <w:rsid w:val="00A4731D"/>
    <w:rsid w:val="00A54F13"/>
    <w:rsid w:val="00A55305"/>
    <w:rsid w:val="00A57B09"/>
    <w:rsid w:val="00A63808"/>
    <w:rsid w:val="00A643C8"/>
    <w:rsid w:val="00A6595A"/>
    <w:rsid w:val="00A65FD9"/>
    <w:rsid w:val="00A66111"/>
    <w:rsid w:val="00A946FA"/>
    <w:rsid w:val="00A94AC8"/>
    <w:rsid w:val="00A975F9"/>
    <w:rsid w:val="00AA009E"/>
    <w:rsid w:val="00AA22B6"/>
    <w:rsid w:val="00AA32FA"/>
    <w:rsid w:val="00AA436C"/>
    <w:rsid w:val="00AA5250"/>
    <w:rsid w:val="00AC4940"/>
    <w:rsid w:val="00AC63D5"/>
    <w:rsid w:val="00AD0551"/>
    <w:rsid w:val="00AD176E"/>
    <w:rsid w:val="00AD1F5D"/>
    <w:rsid w:val="00AD3234"/>
    <w:rsid w:val="00AD329F"/>
    <w:rsid w:val="00AD3BA1"/>
    <w:rsid w:val="00AE1AC7"/>
    <w:rsid w:val="00AE1E19"/>
    <w:rsid w:val="00AF16C7"/>
    <w:rsid w:val="00AF5885"/>
    <w:rsid w:val="00B00A0D"/>
    <w:rsid w:val="00B02391"/>
    <w:rsid w:val="00B02CA4"/>
    <w:rsid w:val="00B0350A"/>
    <w:rsid w:val="00B07D52"/>
    <w:rsid w:val="00B11475"/>
    <w:rsid w:val="00B13A76"/>
    <w:rsid w:val="00B13ACE"/>
    <w:rsid w:val="00B15C08"/>
    <w:rsid w:val="00B167A9"/>
    <w:rsid w:val="00B278E9"/>
    <w:rsid w:val="00B305D0"/>
    <w:rsid w:val="00B3096E"/>
    <w:rsid w:val="00B316C4"/>
    <w:rsid w:val="00B33B64"/>
    <w:rsid w:val="00B42C37"/>
    <w:rsid w:val="00B456C3"/>
    <w:rsid w:val="00B458E3"/>
    <w:rsid w:val="00B46A19"/>
    <w:rsid w:val="00B46AE4"/>
    <w:rsid w:val="00B46DBE"/>
    <w:rsid w:val="00B47BAE"/>
    <w:rsid w:val="00B53643"/>
    <w:rsid w:val="00B541A0"/>
    <w:rsid w:val="00B77680"/>
    <w:rsid w:val="00B80EB8"/>
    <w:rsid w:val="00B81481"/>
    <w:rsid w:val="00B83960"/>
    <w:rsid w:val="00B84D12"/>
    <w:rsid w:val="00B858D0"/>
    <w:rsid w:val="00B860B9"/>
    <w:rsid w:val="00B87462"/>
    <w:rsid w:val="00BA08F3"/>
    <w:rsid w:val="00BA25CE"/>
    <w:rsid w:val="00BA6339"/>
    <w:rsid w:val="00BA6593"/>
    <w:rsid w:val="00BA716E"/>
    <w:rsid w:val="00BA7611"/>
    <w:rsid w:val="00BA7712"/>
    <w:rsid w:val="00BB1E44"/>
    <w:rsid w:val="00BB2448"/>
    <w:rsid w:val="00BC5AD9"/>
    <w:rsid w:val="00BC6869"/>
    <w:rsid w:val="00BC6B4D"/>
    <w:rsid w:val="00BC7028"/>
    <w:rsid w:val="00BD0A11"/>
    <w:rsid w:val="00BD150C"/>
    <w:rsid w:val="00BE1C84"/>
    <w:rsid w:val="00BE4F33"/>
    <w:rsid w:val="00BE6A42"/>
    <w:rsid w:val="00BF2158"/>
    <w:rsid w:val="00BF232F"/>
    <w:rsid w:val="00C028B8"/>
    <w:rsid w:val="00C04D79"/>
    <w:rsid w:val="00C12BA0"/>
    <w:rsid w:val="00C13CC4"/>
    <w:rsid w:val="00C20B55"/>
    <w:rsid w:val="00C246DC"/>
    <w:rsid w:val="00C248BA"/>
    <w:rsid w:val="00C40EAF"/>
    <w:rsid w:val="00C44BB6"/>
    <w:rsid w:val="00C55CED"/>
    <w:rsid w:val="00C57847"/>
    <w:rsid w:val="00C62034"/>
    <w:rsid w:val="00C645BA"/>
    <w:rsid w:val="00C65E82"/>
    <w:rsid w:val="00C66428"/>
    <w:rsid w:val="00C750E5"/>
    <w:rsid w:val="00C77C56"/>
    <w:rsid w:val="00C77F6B"/>
    <w:rsid w:val="00C809CC"/>
    <w:rsid w:val="00C80D3D"/>
    <w:rsid w:val="00C84E60"/>
    <w:rsid w:val="00C94FE0"/>
    <w:rsid w:val="00CC2D5A"/>
    <w:rsid w:val="00CC5CB5"/>
    <w:rsid w:val="00CD13CA"/>
    <w:rsid w:val="00CE5806"/>
    <w:rsid w:val="00CE6687"/>
    <w:rsid w:val="00CE67E2"/>
    <w:rsid w:val="00CF1C81"/>
    <w:rsid w:val="00CF31C1"/>
    <w:rsid w:val="00CF61A8"/>
    <w:rsid w:val="00D02ED4"/>
    <w:rsid w:val="00D03864"/>
    <w:rsid w:val="00D03F0E"/>
    <w:rsid w:val="00D13E55"/>
    <w:rsid w:val="00D1572C"/>
    <w:rsid w:val="00D25754"/>
    <w:rsid w:val="00D30E61"/>
    <w:rsid w:val="00D31F2E"/>
    <w:rsid w:val="00D3525D"/>
    <w:rsid w:val="00D433FB"/>
    <w:rsid w:val="00D44F4A"/>
    <w:rsid w:val="00D46040"/>
    <w:rsid w:val="00D50105"/>
    <w:rsid w:val="00D50C34"/>
    <w:rsid w:val="00D53855"/>
    <w:rsid w:val="00D53A2A"/>
    <w:rsid w:val="00D556C3"/>
    <w:rsid w:val="00D6058D"/>
    <w:rsid w:val="00D64C3C"/>
    <w:rsid w:val="00D65999"/>
    <w:rsid w:val="00D72378"/>
    <w:rsid w:val="00D7276A"/>
    <w:rsid w:val="00D742EF"/>
    <w:rsid w:val="00D7666B"/>
    <w:rsid w:val="00D77BFB"/>
    <w:rsid w:val="00D86929"/>
    <w:rsid w:val="00D9226A"/>
    <w:rsid w:val="00D94F62"/>
    <w:rsid w:val="00D9684A"/>
    <w:rsid w:val="00DA1A61"/>
    <w:rsid w:val="00DA3664"/>
    <w:rsid w:val="00DA552B"/>
    <w:rsid w:val="00DB6FAD"/>
    <w:rsid w:val="00DC742E"/>
    <w:rsid w:val="00DD0664"/>
    <w:rsid w:val="00DD16D0"/>
    <w:rsid w:val="00DD3091"/>
    <w:rsid w:val="00DD679A"/>
    <w:rsid w:val="00DE0881"/>
    <w:rsid w:val="00DE768C"/>
    <w:rsid w:val="00DF053D"/>
    <w:rsid w:val="00DF34D1"/>
    <w:rsid w:val="00E00D58"/>
    <w:rsid w:val="00E05AEA"/>
    <w:rsid w:val="00E0615D"/>
    <w:rsid w:val="00E110B9"/>
    <w:rsid w:val="00E11201"/>
    <w:rsid w:val="00E14078"/>
    <w:rsid w:val="00E163D6"/>
    <w:rsid w:val="00E16F6E"/>
    <w:rsid w:val="00E2090D"/>
    <w:rsid w:val="00E23492"/>
    <w:rsid w:val="00E26B88"/>
    <w:rsid w:val="00E336D3"/>
    <w:rsid w:val="00E3390C"/>
    <w:rsid w:val="00E457F4"/>
    <w:rsid w:val="00E46085"/>
    <w:rsid w:val="00E477AC"/>
    <w:rsid w:val="00E47E37"/>
    <w:rsid w:val="00E57C8A"/>
    <w:rsid w:val="00E631FA"/>
    <w:rsid w:val="00E63666"/>
    <w:rsid w:val="00E72582"/>
    <w:rsid w:val="00E72C8E"/>
    <w:rsid w:val="00E73F65"/>
    <w:rsid w:val="00E84163"/>
    <w:rsid w:val="00EA08D9"/>
    <w:rsid w:val="00EA0A18"/>
    <w:rsid w:val="00EA4758"/>
    <w:rsid w:val="00EA5C28"/>
    <w:rsid w:val="00EA6415"/>
    <w:rsid w:val="00EB3ED1"/>
    <w:rsid w:val="00EC004B"/>
    <w:rsid w:val="00EC0E32"/>
    <w:rsid w:val="00EC2C7D"/>
    <w:rsid w:val="00EC7ED3"/>
    <w:rsid w:val="00ED322C"/>
    <w:rsid w:val="00EE172C"/>
    <w:rsid w:val="00EE438A"/>
    <w:rsid w:val="00EE45C1"/>
    <w:rsid w:val="00EE534A"/>
    <w:rsid w:val="00EF4CDB"/>
    <w:rsid w:val="00EF5E45"/>
    <w:rsid w:val="00F05846"/>
    <w:rsid w:val="00F071DE"/>
    <w:rsid w:val="00F12ACA"/>
    <w:rsid w:val="00F13381"/>
    <w:rsid w:val="00F16DFD"/>
    <w:rsid w:val="00F22BCD"/>
    <w:rsid w:val="00F249C8"/>
    <w:rsid w:val="00F3673A"/>
    <w:rsid w:val="00F52539"/>
    <w:rsid w:val="00F562E8"/>
    <w:rsid w:val="00F61777"/>
    <w:rsid w:val="00F621EC"/>
    <w:rsid w:val="00F63536"/>
    <w:rsid w:val="00F66A33"/>
    <w:rsid w:val="00F71E50"/>
    <w:rsid w:val="00F7328F"/>
    <w:rsid w:val="00F76429"/>
    <w:rsid w:val="00F801E9"/>
    <w:rsid w:val="00F83420"/>
    <w:rsid w:val="00F8561F"/>
    <w:rsid w:val="00F92184"/>
    <w:rsid w:val="00F92F9D"/>
    <w:rsid w:val="00F9390D"/>
    <w:rsid w:val="00F9554F"/>
    <w:rsid w:val="00F97F71"/>
    <w:rsid w:val="00FA34EE"/>
    <w:rsid w:val="00FA6C7D"/>
    <w:rsid w:val="00FA74B7"/>
    <w:rsid w:val="00FC46D7"/>
    <w:rsid w:val="00FC4D43"/>
    <w:rsid w:val="00FC680E"/>
    <w:rsid w:val="00FD0234"/>
    <w:rsid w:val="00FD26FE"/>
    <w:rsid w:val="00FD41D9"/>
    <w:rsid w:val="00FE117E"/>
    <w:rsid w:val="00FE3FDA"/>
    <w:rsid w:val="00FF1489"/>
    <w:rsid w:val="00FF3CBA"/>
    <w:rsid w:val="010C5220"/>
    <w:rsid w:val="01493F25"/>
    <w:rsid w:val="01C963F3"/>
    <w:rsid w:val="03006899"/>
    <w:rsid w:val="053371DE"/>
    <w:rsid w:val="05EC1A36"/>
    <w:rsid w:val="06EB00B7"/>
    <w:rsid w:val="076E7717"/>
    <w:rsid w:val="07A96E8A"/>
    <w:rsid w:val="08C9429A"/>
    <w:rsid w:val="0A81348F"/>
    <w:rsid w:val="0B3B29B0"/>
    <w:rsid w:val="0BA07AE5"/>
    <w:rsid w:val="0C1B4CBB"/>
    <w:rsid w:val="0E194F31"/>
    <w:rsid w:val="0E395607"/>
    <w:rsid w:val="0F65162F"/>
    <w:rsid w:val="0F953039"/>
    <w:rsid w:val="10583751"/>
    <w:rsid w:val="107D00D8"/>
    <w:rsid w:val="10C5422A"/>
    <w:rsid w:val="10D91A83"/>
    <w:rsid w:val="1111746F"/>
    <w:rsid w:val="11423214"/>
    <w:rsid w:val="11933A35"/>
    <w:rsid w:val="13DF3855"/>
    <w:rsid w:val="14C4145D"/>
    <w:rsid w:val="1586326E"/>
    <w:rsid w:val="170A2D0D"/>
    <w:rsid w:val="1864257A"/>
    <w:rsid w:val="195E1BDB"/>
    <w:rsid w:val="1B0623DC"/>
    <w:rsid w:val="1EC05AB5"/>
    <w:rsid w:val="1EE71B7F"/>
    <w:rsid w:val="20015095"/>
    <w:rsid w:val="20823EE5"/>
    <w:rsid w:val="20FE4686"/>
    <w:rsid w:val="21DF658F"/>
    <w:rsid w:val="21E9551E"/>
    <w:rsid w:val="22FD11D0"/>
    <w:rsid w:val="25D54AB7"/>
    <w:rsid w:val="2666570F"/>
    <w:rsid w:val="26E079BC"/>
    <w:rsid w:val="28317C12"/>
    <w:rsid w:val="28BC3022"/>
    <w:rsid w:val="296530B2"/>
    <w:rsid w:val="2DA721D3"/>
    <w:rsid w:val="2E314855"/>
    <w:rsid w:val="2FE17133"/>
    <w:rsid w:val="30655F4F"/>
    <w:rsid w:val="310F0829"/>
    <w:rsid w:val="3581411C"/>
    <w:rsid w:val="3736711D"/>
    <w:rsid w:val="3ACA1CDE"/>
    <w:rsid w:val="3AD64570"/>
    <w:rsid w:val="3C3330FE"/>
    <w:rsid w:val="3DA678B1"/>
    <w:rsid w:val="40026636"/>
    <w:rsid w:val="41D319DD"/>
    <w:rsid w:val="44A45A9C"/>
    <w:rsid w:val="44C6048B"/>
    <w:rsid w:val="44E3085D"/>
    <w:rsid w:val="453D0CE6"/>
    <w:rsid w:val="45CD0ECE"/>
    <w:rsid w:val="46402544"/>
    <w:rsid w:val="47156484"/>
    <w:rsid w:val="4A056F92"/>
    <w:rsid w:val="4A254316"/>
    <w:rsid w:val="4B1B7A24"/>
    <w:rsid w:val="4CF82D12"/>
    <w:rsid w:val="4FF71C44"/>
    <w:rsid w:val="52460CB1"/>
    <w:rsid w:val="53A96655"/>
    <w:rsid w:val="546D21DB"/>
    <w:rsid w:val="55071287"/>
    <w:rsid w:val="5A5B4884"/>
    <w:rsid w:val="5B1213E7"/>
    <w:rsid w:val="5D1A5DA7"/>
    <w:rsid w:val="5ED11277"/>
    <w:rsid w:val="60254689"/>
    <w:rsid w:val="60B438B3"/>
    <w:rsid w:val="60F56E51"/>
    <w:rsid w:val="643E29FD"/>
    <w:rsid w:val="665F5AC6"/>
    <w:rsid w:val="667B2536"/>
    <w:rsid w:val="675C7BBE"/>
    <w:rsid w:val="6A5E162B"/>
    <w:rsid w:val="6A6C45CF"/>
    <w:rsid w:val="6A751FB7"/>
    <w:rsid w:val="6B8579B3"/>
    <w:rsid w:val="6E231BF9"/>
    <w:rsid w:val="6ED54F13"/>
    <w:rsid w:val="6EDC3CAF"/>
    <w:rsid w:val="6F5FE3DA"/>
    <w:rsid w:val="714D13E5"/>
    <w:rsid w:val="72FB50A3"/>
    <w:rsid w:val="74405BD1"/>
    <w:rsid w:val="785A2CDB"/>
    <w:rsid w:val="7CB97E6B"/>
    <w:rsid w:val="7ED75D22"/>
    <w:rsid w:val="8BAFB62E"/>
    <w:rsid w:val="ADB52C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adjustRightInd w:val="0"/>
      <w:snapToGrid w:val="0"/>
      <w:jc w:val="center"/>
      <w:outlineLvl w:val="0"/>
    </w:pPr>
    <w:rPr>
      <w:rFonts w:ascii="方正仿宋_GBK" w:hAnsi="方正仿宋_GBK" w:eastAsia="方正仿宋_GBK" w:cs="方正仿宋_GBK"/>
      <w:b/>
      <w:bCs/>
      <w:kern w:val="44"/>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spacing w:line="360" w:lineRule="exact"/>
      <w:ind w:left="360"/>
    </w:pPr>
    <w:rPr>
      <w:szCs w:val="20"/>
    </w:rPr>
  </w:style>
  <w:style w:type="paragraph" w:styleId="5">
    <w:name w:val="Block Text"/>
    <w:basedOn w:val="1"/>
    <w:qFormat/>
    <w:uiPriority w:val="0"/>
    <w:pPr>
      <w:adjustRightInd w:val="0"/>
      <w:spacing w:line="260" w:lineRule="exact"/>
      <w:ind w:left="1054" w:right="84" w:rightChars="40"/>
    </w:pPr>
    <w:rPr>
      <w:bCs/>
      <w:color w:val="000000"/>
      <w:szCs w:val="20"/>
    </w:rPr>
  </w:style>
  <w:style w:type="paragraph" w:styleId="6">
    <w:name w:val="Balloon Text"/>
    <w:basedOn w:val="1"/>
    <w:link w:val="17"/>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semiHidden/>
    <w:unhideWhenUsed/>
    <w:qFormat/>
    <w:uiPriority w:val="0"/>
    <w:rPr>
      <w:b/>
      <w:bCs/>
    </w:rPr>
  </w:style>
  <w:style w:type="character" w:styleId="12">
    <w:name w:val="Strong"/>
    <w:basedOn w:val="11"/>
    <w:qFormat/>
    <w:uiPriority w:val="0"/>
    <w:rPr>
      <w:b/>
    </w:rPr>
  </w:style>
  <w:style w:type="character" w:styleId="13">
    <w:name w:val="annotation reference"/>
    <w:basedOn w:val="11"/>
    <w:semiHidden/>
    <w:unhideWhenUsed/>
    <w:qFormat/>
    <w:uiPriority w:val="0"/>
    <w:rPr>
      <w:sz w:val="21"/>
      <w:szCs w:val="21"/>
    </w:r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5">
    <w:name w:val="页眉 字符"/>
    <w:link w:val="8"/>
    <w:qFormat/>
    <w:uiPriority w:val="0"/>
    <w:rPr>
      <w:kern w:val="2"/>
      <w:sz w:val="18"/>
      <w:szCs w:val="18"/>
    </w:rPr>
  </w:style>
  <w:style w:type="character" w:customStyle="1" w:styleId="16">
    <w:name w:val="页脚 字符"/>
    <w:link w:val="7"/>
    <w:qFormat/>
    <w:uiPriority w:val="99"/>
    <w:rPr>
      <w:kern w:val="2"/>
      <w:sz w:val="18"/>
      <w:szCs w:val="18"/>
    </w:rPr>
  </w:style>
  <w:style w:type="character" w:customStyle="1" w:styleId="17">
    <w:name w:val="批注框文本 字符"/>
    <w:basedOn w:val="11"/>
    <w:link w:val="6"/>
    <w:qFormat/>
    <w:uiPriority w:val="0"/>
    <w:rPr>
      <w:kern w:val="2"/>
      <w:sz w:val="18"/>
      <w:szCs w:val="18"/>
    </w:rPr>
  </w:style>
  <w:style w:type="paragraph" w:customStyle="1" w:styleId="18">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文字 字符"/>
    <w:basedOn w:val="11"/>
    <w:link w:val="3"/>
    <w:semiHidden/>
    <w:qFormat/>
    <w:uiPriority w:val="0"/>
    <w:rPr>
      <w:kern w:val="2"/>
      <w:sz w:val="21"/>
      <w:szCs w:val="24"/>
    </w:rPr>
  </w:style>
  <w:style w:type="character" w:customStyle="1" w:styleId="20">
    <w:name w:val="批注主题 字符"/>
    <w:basedOn w:val="19"/>
    <w:link w:val="9"/>
    <w:semiHidden/>
    <w:qFormat/>
    <w:uiPriority w:val="0"/>
    <w:rPr>
      <w:b/>
      <w:bCs/>
      <w:kern w:val="2"/>
      <w:sz w:val="21"/>
      <w:szCs w:val="24"/>
    </w:rPr>
  </w:style>
  <w:style w:type="paragraph" w:styleId="21">
    <w:name w:val="List Paragraph"/>
    <w:basedOn w:val="1"/>
    <w:qFormat/>
    <w:uiPriority w:val="99"/>
    <w:pPr>
      <w:ind w:firstLine="420" w:firstLineChars="200"/>
    </w:pPr>
  </w:style>
  <w:style w:type="character" w:customStyle="1" w:styleId="22">
    <w:name w:val="标题 1 字符"/>
    <w:basedOn w:val="11"/>
    <w:link w:val="2"/>
    <w:qFormat/>
    <w:uiPriority w:val="0"/>
    <w:rPr>
      <w:rFonts w:ascii="方正仿宋_GBK" w:hAnsi="方正仿宋_GBK" w:eastAsia="方正仿宋_GBK" w:cs="方正仿宋_GBK"/>
      <w:b/>
      <w:bCs/>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Salubris</Company>
  <Pages>20</Pages>
  <Words>5105</Words>
  <Characters>5288</Characters>
  <Lines>78</Lines>
  <Paragraphs>22</Paragraphs>
  <TotalTime>0</TotalTime>
  <ScaleCrop>false</ScaleCrop>
  <LinksUpToDate>false</LinksUpToDate>
  <CharactersWithSpaces>6108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2023-11-30T18:20:00Z</dcterms:created>
  <dc:creator>Administrator</dc:creator>
  <cp:lastModifiedBy>熊</cp:lastModifiedBy>
  <cp:lastPrinted>2015-06-27T02:56:00Z</cp:lastPrinted>
  <dcterms:modified xsi:type="dcterms:W3CDTF">2025-03-31T02:33:28Z</dcterms:modified>
  <dc:title>工程施工合同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44D3365F535C4C6BB575A5CF9DAD6E5B_13</vt:lpwstr>
  </property>
  <property fmtid="{D5CDD505-2E9C-101B-9397-08002B2CF9AE}" pid="4" name="KSOTemplateDocerSaveRecord">
    <vt:lpwstr>eyJoZGlkIjoiMjRjZjA4ZTEyZDU4NjBmODA3MmRiZTI4MWNkYzhlMzYiLCJ1c2VySWQiOiIyMDYzNTEzNTAifQ==</vt:lpwstr>
  </property>
</Properties>
</file>