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40BBC">
      <w:pPr>
        <w:spacing w:before="0" w:after="0" w:line="360" w:lineRule="auto"/>
        <w:jc w:val="center"/>
        <w:textAlignment w:val="top"/>
        <w:rPr>
          <w:rFonts w:hint="eastAsia" w:ascii="宋体" w:hAnsi="宋体" w:cs="Times New Roman"/>
          <w:b/>
          <w:sz w:val="44"/>
          <w:szCs w:val="44"/>
          <w:highlight w:val="none"/>
        </w:rPr>
      </w:pPr>
      <w:bookmarkStart w:id="0" w:name="_Toc149536229"/>
      <w:bookmarkStart w:id="1" w:name="_Toc275446453"/>
    </w:p>
    <w:p w14:paraId="1FD35B18">
      <w:pPr>
        <w:pStyle w:val="6"/>
        <w:rPr>
          <w:rFonts w:hint="default" w:ascii="仿宋_GB2312" w:hAnsi="仿宋_GB2312" w:eastAsia="仿宋_GB2312" w:cs="仿宋_GB2312"/>
          <w:color w:val="auto"/>
          <w:kern w:val="2"/>
          <w:sz w:val="20"/>
          <w:lang w:val="en-US" w:eastAsia="zh-CN" w:bidi="ar-SA"/>
        </w:rPr>
      </w:pPr>
      <w:r>
        <w:rPr>
          <w:rFonts w:hint="eastAsia" w:ascii="仿宋_GB2312" w:hAnsi="仿宋_GB2312" w:eastAsia="仿宋_GB2312" w:cs="仿宋_GB2312"/>
          <w:color w:val="auto"/>
          <w:kern w:val="2"/>
          <w:sz w:val="20"/>
          <w:lang w:val="en-US" w:eastAsia="zh-CN" w:bidi="ar-SA"/>
        </w:rPr>
        <w:t>附件3-03</w:t>
      </w:r>
    </w:p>
    <w:p w14:paraId="596658F4">
      <w:pPr>
        <w:pStyle w:val="6"/>
        <w:rPr>
          <w:rFonts w:hint="eastAsia" w:ascii="宋体" w:hAnsi="宋体" w:cs="Times New Roman"/>
          <w:b/>
          <w:sz w:val="44"/>
          <w:szCs w:val="44"/>
          <w:highlight w:val="none"/>
        </w:rPr>
      </w:pPr>
    </w:p>
    <w:p w14:paraId="722920A3">
      <w:pPr>
        <w:spacing w:before="0" w:after="0" w:line="360" w:lineRule="auto"/>
        <w:jc w:val="center"/>
        <w:textAlignment w:val="top"/>
        <w:rPr>
          <w:rFonts w:hint="eastAsia" w:ascii="宋体" w:hAnsi="宋体" w:cs="Times New Roman"/>
          <w:b/>
          <w:sz w:val="44"/>
          <w:szCs w:val="44"/>
          <w:highlight w:val="none"/>
        </w:rPr>
      </w:pPr>
    </w:p>
    <w:p w14:paraId="6285C822">
      <w:pPr>
        <w:spacing w:before="0" w:after="0" w:line="360" w:lineRule="auto"/>
        <w:jc w:val="center"/>
        <w:textAlignment w:val="top"/>
        <w:rPr>
          <w:rFonts w:hint="eastAsia" w:ascii="宋体" w:hAnsi="宋体" w:eastAsia="宋体" w:cs="Times New Roman"/>
          <w:b/>
          <w:sz w:val="44"/>
          <w:szCs w:val="44"/>
          <w:highlight w:val="none"/>
          <w:lang w:val="en-US" w:eastAsia="zh-CN"/>
        </w:rPr>
      </w:pPr>
      <w:r>
        <w:rPr>
          <w:rFonts w:hint="eastAsia" w:ascii="宋体" w:hAnsi="宋体" w:cs="Times New Roman"/>
          <w:b/>
          <w:sz w:val="44"/>
          <w:szCs w:val="44"/>
          <w:highlight w:val="none"/>
        </w:rPr>
        <w:t>移动办公与企业邮箱</w:t>
      </w:r>
      <w:r>
        <w:rPr>
          <w:rFonts w:hint="eastAsia" w:ascii="宋体" w:hAnsi="宋体" w:cs="Times New Roman"/>
          <w:b/>
          <w:sz w:val="44"/>
          <w:szCs w:val="44"/>
          <w:highlight w:val="none"/>
          <w:lang w:val="en-US" w:eastAsia="zh-CN"/>
        </w:rPr>
        <w:t>信创</w:t>
      </w:r>
      <w:r>
        <w:rPr>
          <w:rFonts w:hint="eastAsia" w:ascii="宋体" w:hAnsi="宋体" w:cs="Times New Roman"/>
          <w:b/>
          <w:sz w:val="44"/>
          <w:szCs w:val="44"/>
          <w:highlight w:val="none"/>
        </w:rPr>
        <w:t>版本私有化部署服务项目需求</w:t>
      </w:r>
      <w:r>
        <w:rPr>
          <w:rFonts w:hint="eastAsia" w:ascii="宋体" w:hAnsi="宋体" w:cs="Times New Roman"/>
          <w:b/>
          <w:sz w:val="44"/>
          <w:szCs w:val="44"/>
          <w:highlight w:val="none"/>
          <w:lang w:val="en-US" w:eastAsia="zh-CN"/>
        </w:rPr>
        <w:t>文件</w:t>
      </w:r>
    </w:p>
    <w:p w14:paraId="3A65C3C5">
      <w:pPr>
        <w:spacing w:before="0" w:after="0" w:line="360" w:lineRule="auto"/>
        <w:jc w:val="center"/>
        <w:textAlignment w:val="top"/>
        <w:rPr>
          <w:rFonts w:hint="eastAsia" w:ascii="宋体" w:hAnsi="宋体" w:cs="Times New Roman"/>
          <w:b/>
          <w:sz w:val="44"/>
          <w:szCs w:val="44"/>
          <w:highlight w:val="none"/>
        </w:rPr>
      </w:pPr>
    </w:p>
    <w:p w14:paraId="08CF42C5">
      <w:pPr>
        <w:spacing w:before="0" w:after="0" w:line="360" w:lineRule="auto"/>
        <w:jc w:val="center"/>
        <w:textAlignment w:val="top"/>
        <w:rPr>
          <w:rFonts w:hint="eastAsia" w:ascii="宋体" w:hAnsi="宋体" w:cs="Times New Roman"/>
          <w:b/>
          <w:sz w:val="44"/>
          <w:szCs w:val="44"/>
          <w:highlight w:val="none"/>
        </w:rPr>
      </w:pPr>
    </w:p>
    <w:p w14:paraId="091B823E">
      <w:pPr>
        <w:spacing w:before="0" w:after="0" w:line="360" w:lineRule="auto"/>
        <w:jc w:val="center"/>
        <w:textAlignment w:val="top"/>
        <w:rPr>
          <w:rFonts w:hint="eastAsia" w:ascii="宋体" w:hAnsi="宋体" w:cs="Times New Roman"/>
          <w:b/>
          <w:sz w:val="44"/>
          <w:szCs w:val="44"/>
          <w:highlight w:val="none"/>
        </w:rPr>
      </w:pPr>
    </w:p>
    <w:p w14:paraId="30A85D53">
      <w:pPr>
        <w:tabs>
          <w:tab w:val="left" w:pos="5188"/>
        </w:tabs>
        <w:spacing w:before="0" w:after="0" w:line="360" w:lineRule="auto"/>
        <w:jc w:val="left"/>
        <w:textAlignment w:val="top"/>
        <w:rPr>
          <w:rFonts w:hint="eastAsia" w:ascii="宋体" w:hAnsi="宋体" w:cs="Times New Roman"/>
          <w:b/>
          <w:sz w:val="44"/>
          <w:szCs w:val="44"/>
          <w:highlight w:val="none"/>
        </w:rPr>
      </w:pPr>
      <w:r>
        <w:rPr>
          <w:rFonts w:hint="eastAsia" w:ascii="宋体" w:hAnsi="宋体" w:cs="Times New Roman"/>
          <w:b/>
          <w:sz w:val="44"/>
          <w:szCs w:val="44"/>
          <w:highlight w:val="none"/>
        </w:rPr>
        <w:tab/>
      </w:r>
    </w:p>
    <w:p w14:paraId="22E64D91">
      <w:pPr>
        <w:spacing w:before="0" w:after="0" w:line="360" w:lineRule="auto"/>
        <w:jc w:val="center"/>
        <w:textAlignment w:val="top"/>
        <w:rPr>
          <w:rFonts w:hint="eastAsia" w:ascii="宋体" w:hAnsi="宋体" w:cs="Times New Roman"/>
          <w:b/>
          <w:sz w:val="44"/>
          <w:szCs w:val="44"/>
          <w:highlight w:val="none"/>
        </w:rPr>
      </w:pPr>
    </w:p>
    <w:p w14:paraId="55DC09F5">
      <w:pPr>
        <w:keepNext/>
        <w:keepLines/>
        <w:pageBreakBefore w:val="0"/>
        <w:widowControl w:val="0"/>
        <w:numPr>
          <w:ilvl w:val="0"/>
          <w:numId w:val="1"/>
        </w:numPr>
        <w:kinsoku/>
        <w:wordWrap/>
        <w:overflowPunct/>
        <w:topLinePunct w:val="0"/>
        <w:autoSpaceDE/>
        <w:autoSpaceDN/>
        <w:bidi w:val="0"/>
        <w:adjustRightInd w:val="0"/>
        <w:snapToGrid w:val="0"/>
        <w:spacing w:before="0" w:beforeLines="0" w:after="0" w:afterLines="0" w:line="360" w:lineRule="auto"/>
        <w:ind w:left="0" w:leftChars="0" w:firstLine="482" w:firstLineChars="200"/>
        <w:jc w:val="both"/>
        <w:textAlignment w:val="auto"/>
        <w:outlineLvl w:val="0"/>
        <w:rPr>
          <w:rFonts w:hint="eastAsia" w:ascii="宋体" w:hAnsi="宋体" w:eastAsia="宋体" w:cs="宋体"/>
          <w:b/>
          <w:bCs/>
          <w:color w:val="auto"/>
          <w:kern w:val="44"/>
          <w:sz w:val="24"/>
          <w:szCs w:val="24"/>
          <w:highlight w:val="none"/>
          <w:lang w:val="en-US" w:eastAsia="zh-CN" w:bidi="ar-SA"/>
        </w:rPr>
      </w:pPr>
      <w:r>
        <w:rPr>
          <w:rStyle w:val="13"/>
          <w:rFonts w:hint="eastAsia" w:ascii="宋体" w:hAnsi="宋体" w:eastAsia="宋体" w:cs="宋体"/>
          <w:b/>
          <w:bCs/>
          <w:color w:val="auto"/>
          <w:kern w:val="44"/>
          <w:sz w:val="24"/>
          <w:szCs w:val="24"/>
          <w:highlight w:val="none"/>
          <w:lang w:val="en-US" w:eastAsia="zh-CN" w:bidi="ar-SA"/>
        </w:rPr>
        <w:t>项目概述</w:t>
      </w:r>
    </w:p>
    <w:p w14:paraId="640EFBA7">
      <w:pPr>
        <w:keepNext/>
        <w:keepLines/>
        <w:widowControl w:val="0"/>
        <w:numPr>
          <w:ilvl w:val="0"/>
          <w:numId w:val="0"/>
        </w:numPr>
        <w:adjustRightInd w:val="0"/>
        <w:snapToGrid w:val="0"/>
        <w:spacing w:before="0" w:beforeLines="0" w:after="0" w:afterLines="0" w:line="360" w:lineRule="auto"/>
        <w:ind w:leftChars="200"/>
        <w:jc w:val="both"/>
        <w:outlineLvl w:val="1"/>
        <w:rPr>
          <w:rFonts w:hint="eastAsia" w:ascii="宋体" w:hAnsi="宋体" w:eastAsia="宋体" w:cs="宋体"/>
          <w:b/>
          <w:bCs/>
          <w:kern w:val="2"/>
          <w:sz w:val="21"/>
          <w:szCs w:val="21"/>
          <w:highlight w:val="none"/>
          <w:lang w:val="en-US" w:eastAsia="zh-CN" w:bidi="ar-SA"/>
        </w:rPr>
      </w:pPr>
      <w:r>
        <w:rPr>
          <w:rFonts w:hint="eastAsia" w:ascii="宋体" w:hAnsi="宋体" w:cs="宋体"/>
          <w:b/>
          <w:bCs/>
          <w:kern w:val="2"/>
          <w:sz w:val="21"/>
          <w:szCs w:val="21"/>
          <w:highlight w:val="none"/>
          <w:lang w:val="en-US" w:eastAsia="zh-CN" w:bidi="ar-SA"/>
        </w:rPr>
        <w:t>（一）</w:t>
      </w:r>
      <w:r>
        <w:rPr>
          <w:rFonts w:hint="eastAsia" w:ascii="宋体" w:hAnsi="宋体" w:eastAsia="宋体" w:cs="宋体"/>
          <w:b/>
          <w:bCs/>
          <w:kern w:val="2"/>
          <w:sz w:val="21"/>
          <w:szCs w:val="21"/>
          <w:highlight w:val="none"/>
          <w:lang w:val="en-US" w:eastAsia="zh-CN" w:bidi="ar-SA"/>
        </w:rPr>
        <w:t>项目目标</w:t>
      </w:r>
    </w:p>
    <w:p w14:paraId="35078586">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0"/>
          <w:lang w:val="en-US" w:eastAsia="zh-CN"/>
        </w:rPr>
        <w:t>为落实信息技术应用创新要求，本项目采购移动办公和企业邮箱信创私有化许可订阅及私有化部署运维等服务，完成移动办公、私有化邮箱、文档等组件的信创升级，使系统硬件及云等基础设施、基础软件、应用软件、网络安全等IT产业链核心技术产品符合信息技术应用创新要求，保障平台的正常运行；完成系统整体建设、部署、迁移及运维服务，并顺利通过第三方专业机构验收测评。</w:t>
      </w:r>
    </w:p>
    <w:p w14:paraId="683E25F8">
      <w:pPr>
        <w:keepNext/>
        <w:keepLines/>
        <w:widowControl w:val="0"/>
        <w:numPr>
          <w:ilvl w:val="0"/>
          <w:numId w:val="0"/>
        </w:numPr>
        <w:adjustRightInd w:val="0"/>
        <w:snapToGrid w:val="0"/>
        <w:spacing w:before="0" w:beforeLines="0" w:after="0" w:afterLines="0" w:line="360" w:lineRule="auto"/>
        <w:ind w:leftChars="200"/>
        <w:jc w:val="both"/>
        <w:outlineLvl w:val="1"/>
        <w:rPr>
          <w:rFonts w:hint="eastAsia" w:ascii="宋体" w:hAnsi="宋体" w:eastAsia="宋体" w:cs="宋体"/>
          <w:b/>
          <w:bCs/>
          <w:kern w:val="2"/>
          <w:sz w:val="21"/>
          <w:szCs w:val="21"/>
          <w:highlight w:val="none"/>
          <w:lang w:val="en-US" w:eastAsia="zh-CN" w:bidi="ar-SA"/>
        </w:rPr>
      </w:pPr>
      <w:r>
        <w:rPr>
          <w:rFonts w:hint="eastAsia" w:ascii="宋体" w:hAnsi="宋体" w:cs="宋体"/>
          <w:b/>
          <w:bCs/>
          <w:kern w:val="2"/>
          <w:sz w:val="21"/>
          <w:szCs w:val="21"/>
          <w:highlight w:val="none"/>
          <w:lang w:val="en-US" w:eastAsia="zh-CN" w:bidi="ar-SA"/>
        </w:rPr>
        <w:t>（二）</w:t>
      </w:r>
      <w:r>
        <w:rPr>
          <w:rFonts w:hint="eastAsia" w:ascii="宋体" w:hAnsi="宋体" w:eastAsia="宋体" w:cs="宋体"/>
          <w:b/>
          <w:bCs/>
          <w:kern w:val="2"/>
          <w:sz w:val="21"/>
          <w:szCs w:val="21"/>
          <w:highlight w:val="none"/>
          <w:lang w:val="en-US" w:eastAsia="zh-CN" w:bidi="ar-SA"/>
        </w:rPr>
        <w:t>项目范围</w:t>
      </w:r>
    </w:p>
    <w:p w14:paraId="2A895F38">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移动办公信创私有化许可订阅（IM、邮箱和文档）及私有化部署运维等服务</w:t>
      </w:r>
    </w:p>
    <w:p w14:paraId="522AD6E4">
      <w:pPr>
        <w:keepNext/>
        <w:keepLines/>
        <w:pageBreakBefore w:val="0"/>
        <w:widowControl w:val="0"/>
        <w:numPr>
          <w:ilvl w:val="0"/>
          <w:numId w:val="1"/>
        </w:numPr>
        <w:kinsoku/>
        <w:wordWrap/>
        <w:overflowPunct/>
        <w:topLinePunct w:val="0"/>
        <w:autoSpaceDE/>
        <w:autoSpaceDN/>
        <w:bidi w:val="0"/>
        <w:adjustRightInd w:val="0"/>
        <w:snapToGrid w:val="0"/>
        <w:spacing w:before="0" w:beforeLines="0" w:after="0" w:afterLines="0" w:line="360" w:lineRule="auto"/>
        <w:ind w:left="0" w:leftChars="0" w:firstLine="482" w:firstLineChars="200"/>
        <w:jc w:val="both"/>
        <w:textAlignment w:val="auto"/>
        <w:outlineLvl w:val="0"/>
        <w:rPr>
          <w:rFonts w:hint="eastAsia" w:ascii="宋体" w:hAnsi="宋体" w:eastAsia="宋体" w:cs="宋体"/>
          <w:b/>
          <w:bCs/>
          <w:color w:val="auto"/>
          <w:kern w:val="44"/>
          <w:sz w:val="24"/>
          <w:szCs w:val="24"/>
          <w:highlight w:val="none"/>
          <w:lang w:val="en-US" w:eastAsia="zh-CN" w:bidi="ar-SA"/>
        </w:rPr>
      </w:pPr>
      <w:r>
        <w:rPr>
          <w:rStyle w:val="13"/>
          <w:rFonts w:hint="eastAsia" w:ascii="宋体" w:hAnsi="宋体" w:eastAsia="宋体" w:cs="宋体"/>
          <w:b/>
          <w:bCs/>
          <w:color w:val="auto"/>
          <w:kern w:val="44"/>
          <w:sz w:val="24"/>
          <w:szCs w:val="24"/>
          <w:highlight w:val="none"/>
          <w:lang w:val="en-US" w:eastAsia="zh-CN" w:bidi="ar-SA"/>
        </w:rPr>
        <w:t>项目需求说明</w:t>
      </w:r>
    </w:p>
    <w:bookmarkEnd w:id="0"/>
    <w:bookmarkEnd w:id="1"/>
    <w:p w14:paraId="4208F81B">
      <w:pPr>
        <w:keepNext/>
        <w:keepLines/>
        <w:widowControl w:val="0"/>
        <w:numPr>
          <w:ilvl w:val="0"/>
          <w:numId w:val="2"/>
        </w:numPr>
        <w:adjustRightInd w:val="0"/>
        <w:snapToGrid w:val="0"/>
        <w:spacing w:before="0" w:beforeLines="0" w:after="0" w:afterLines="0" w:line="360" w:lineRule="auto"/>
        <w:ind w:firstLine="420" w:firstLineChars="0"/>
        <w:jc w:val="both"/>
        <w:outlineLvl w:val="0"/>
        <w:rPr>
          <w:rFonts w:hint="eastAsia" w:ascii="宋体" w:hAnsi="宋体" w:eastAsia="宋体" w:cs="宋体"/>
          <w:b/>
          <w:bCs/>
          <w:vanish/>
          <w:kern w:val="44"/>
          <w:sz w:val="21"/>
          <w:szCs w:val="21"/>
          <w:highlight w:val="none"/>
          <w:lang w:val="en-US" w:eastAsia="zh-CN" w:bidi="ar-SA"/>
        </w:rPr>
      </w:pPr>
    </w:p>
    <w:p w14:paraId="055C8CE8">
      <w:pPr>
        <w:keepNext/>
        <w:keepLines/>
        <w:widowControl w:val="0"/>
        <w:numPr>
          <w:ilvl w:val="1"/>
          <w:numId w:val="0"/>
        </w:numPr>
        <w:adjustRightInd w:val="0"/>
        <w:snapToGrid w:val="0"/>
        <w:spacing w:before="0" w:beforeLines="0" w:after="0" w:afterLines="0" w:line="360" w:lineRule="auto"/>
        <w:ind w:left="0" w:leftChars="0" w:firstLine="422" w:firstLineChars="200"/>
        <w:jc w:val="both"/>
        <w:outlineLvl w:val="1"/>
        <w:rPr>
          <w:rFonts w:hint="eastAsia" w:ascii="宋体" w:hAnsi="宋体" w:eastAsia="宋体" w:cs="宋体"/>
          <w:b/>
          <w:bCs/>
          <w:kern w:val="2"/>
          <w:sz w:val="21"/>
          <w:szCs w:val="21"/>
          <w:highlight w:val="none"/>
          <w:lang w:val="en-US" w:eastAsia="zh-CN" w:bidi="ar-SA"/>
        </w:rPr>
      </w:pPr>
      <w:r>
        <w:rPr>
          <w:rFonts w:hint="eastAsia" w:ascii="宋体" w:hAnsi="宋体" w:cs="宋体"/>
          <w:b/>
          <w:bCs/>
          <w:kern w:val="2"/>
          <w:sz w:val="21"/>
          <w:szCs w:val="21"/>
          <w:highlight w:val="none"/>
          <w:lang w:val="en-US" w:eastAsia="zh-CN" w:bidi="ar-SA"/>
        </w:rPr>
        <w:t>（一）</w:t>
      </w:r>
      <w:r>
        <w:rPr>
          <w:rFonts w:hint="eastAsia" w:ascii="宋体" w:hAnsi="宋体" w:eastAsia="宋体" w:cs="宋体"/>
          <w:b/>
          <w:bCs/>
          <w:kern w:val="2"/>
          <w:sz w:val="21"/>
          <w:szCs w:val="21"/>
          <w:highlight w:val="none"/>
          <w:lang w:val="en-US" w:eastAsia="zh-CN" w:bidi="ar-SA"/>
        </w:rPr>
        <w:t>用户使用说明</w:t>
      </w:r>
    </w:p>
    <w:p w14:paraId="677BF9F6">
      <w:pPr>
        <w:keepNext/>
        <w:keepLines/>
        <w:widowControl w:val="0"/>
        <w:numPr>
          <w:ilvl w:val="0"/>
          <w:numId w:val="0"/>
        </w:numPr>
        <w:adjustRightInd w:val="0"/>
        <w:snapToGrid w:val="0"/>
        <w:spacing w:before="0" w:beforeLines="0" w:after="0" w:afterLines="0" w:line="360" w:lineRule="auto"/>
        <w:ind w:left="820" w:leftChars="0"/>
        <w:jc w:val="both"/>
        <w:outlineLvl w:val="2"/>
        <w:rPr>
          <w:rFonts w:hint="eastAsia" w:ascii="宋体" w:hAnsi="宋体" w:eastAsia="宋体" w:cs="宋体"/>
          <w:b/>
          <w:bCs/>
          <w:kern w:val="2"/>
          <w:sz w:val="21"/>
          <w:szCs w:val="21"/>
          <w:highlight w:val="none"/>
          <w:lang w:val="en-US" w:eastAsia="zh-CN" w:bidi="ar-SA"/>
        </w:rPr>
      </w:pPr>
      <w:r>
        <w:rPr>
          <w:rFonts w:hint="eastAsia" w:ascii="宋体" w:hAnsi="宋体" w:cs="宋体"/>
          <w:b/>
          <w:bCs/>
          <w:kern w:val="2"/>
          <w:sz w:val="21"/>
          <w:szCs w:val="21"/>
          <w:highlight w:val="none"/>
          <w:lang w:val="en-US" w:eastAsia="zh-CN" w:bidi="ar-SA"/>
        </w:rPr>
        <w:t>1.</w:t>
      </w:r>
      <w:r>
        <w:rPr>
          <w:rFonts w:hint="eastAsia" w:ascii="宋体" w:hAnsi="宋体" w:eastAsia="宋体" w:cs="宋体"/>
          <w:b/>
          <w:bCs/>
          <w:kern w:val="2"/>
          <w:sz w:val="21"/>
          <w:szCs w:val="21"/>
          <w:highlight w:val="none"/>
          <w:lang w:val="en-US" w:eastAsia="zh-CN" w:bidi="ar-SA"/>
        </w:rPr>
        <w:t>用户</w:t>
      </w:r>
      <w:r>
        <w:rPr>
          <w:rFonts w:hint="eastAsia" w:ascii="宋体" w:hAnsi="宋体" w:cs="宋体"/>
          <w:b/>
          <w:bCs/>
          <w:kern w:val="2"/>
          <w:sz w:val="21"/>
          <w:szCs w:val="21"/>
          <w:highlight w:val="none"/>
          <w:lang w:val="en-US" w:eastAsia="zh-CN" w:bidi="ar-SA"/>
        </w:rPr>
        <w:t>范围</w:t>
      </w:r>
    </w:p>
    <w:p w14:paraId="6E8D032C">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深圳交易集团全员，包括集团本部、业务中心、分公司及下属子公司。</w:t>
      </w:r>
    </w:p>
    <w:p w14:paraId="0B628ABF">
      <w:pPr>
        <w:keepNext/>
        <w:keepLines/>
        <w:widowControl w:val="0"/>
        <w:numPr>
          <w:ilvl w:val="0"/>
          <w:numId w:val="0"/>
        </w:numPr>
        <w:adjustRightInd w:val="0"/>
        <w:snapToGrid w:val="0"/>
        <w:spacing w:before="0" w:beforeLines="0" w:after="0" w:afterLines="0" w:line="360" w:lineRule="auto"/>
        <w:ind w:left="820" w:leftChars="0"/>
        <w:jc w:val="both"/>
        <w:outlineLvl w:val="2"/>
        <w:rPr>
          <w:rFonts w:hint="eastAsia" w:ascii="宋体" w:hAnsi="宋体" w:eastAsia="宋体" w:cs="宋体"/>
          <w:b/>
          <w:bCs/>
          <w:kern w:val="2"/>
          <w:sz w:val="21"/>
          <w:szCs w:val="21"/>
          <w:highlight w:val="none"/>
          <w:lang w:val="en-US" w:eastAsia="zh-CN" w:bidi="ar-SA"/>
        </w:rPr>
      </w:pPr>
      <w:r>
        <w:rPr>
          <w:rFonts w:hint="eastAsia" w:ascii="宋体" w:hAnsi="宋体" w:cs="宋体"/>
          <w:b/>
          <w:bCs/>
          <w:kern w:val="2"/>
          <w:sz w:val="21"/>
          <w:szCs w:val="21"/>
          <w:highlight w:val="none"/>
          <w:lang w:val="en-US" w:eastAsia="zh-CN" w:bidi="ar-SA"/>
        </w:rPr>
        <w:t>2.</w:t>
      </w:r>
      <w:r>
        <w:rPr>
          <w:rFonts w:hint="eastAsia" w:ascii="宋体" w:hAnsi="宋体" w:eastAsia="宋体" w:cs="宋体"/>
          <w:b/>
          <w:bCs/>
          <w:kern w:val="2"/>
          <w:sz w:val="21"/>
          <w:szCs w:val="21"/>
          <w:highlight w:val="none"/>
          <w:lang w:val="en-US" w:eastAsia="zh-CN" w:bidi="ar-SA"/>
        </w:rPr>
        <w:t>需求用途说明</w:t>
      </w:r>
    </w:p>
    <w:p w14:paraId="65AECF57">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该授权服务需覆盖深圳交易集团所有员工，人数不低于1000人，且为永久使用授权。会议功能开通30个高级账号。移动办公与邮箱认证主体为深圳交易集团有限公司。</w:t>
      </w:r>
    </w:p>
    <w:p w14:paraId="1553F453">
      <w:pPr>
        <w:keepNext/>
        <w:keepLines/>
        <w:widowControl w:val="0"/>
        <w:numPr>
          <w:ilvl w:val="1"/>
          <w:numId w:val="0"/>
        </w:numPr>
        <w:adjustRightInd w:val="0"/>
        <w:snapToGrid w:val="0"/>
        <w:spacing w:before="0" w:beforeLines="0" w:after="0" w:afterLines="0" w:line="360" w:lineRule="auto"/>
        <w:ind w:left="0" w:leftChars="0" w:firstLine="422" w:firstLineChars="200"/>
        <w:jc w:val="both"/>
        <w:outlineLvl w:val="1"/>
        <w:rPr>
          <w:rFonts w:hint="eastAsia" w:ascii="宋体" w:hAnsi="宋体" w:eastAsia="宋体" w:cs="宋体"/>
          <w:b/>
          <w:bCs/>
          <w:kern w:val="2"/>
          <w:sz w:val="21"/>
          <w:szCs w:val="21"/>
          <w:highlight w:val="none"/>
          <w:lang w:val="en-US" w:eastAsia="zh-CN" w:bidi="ar-SA"/>
        </w:rPr>
      </w:pPr>
      <w:r>
        <w:rPr>
          <w:rFonts w:hint="eastAsia" w:ascii="宋体" w:hAnsi="宋体" w:cs="宋体"/>
          <w:b/>
          <w:bCs/>
          <w:kern w:val="2"/>
          <w:sz w:val="21"/>
          <w:szCs w:val="21"/>
          <w:highlight w:val="none"/>
          <w:lang w:val="en-US" w:eastAsia="zh-CN" w:bidi="ar-SA"/>
        </w:rPr>
        <w:t>（二）</w:t>
      </w:r>
      <w:r>
        <w:rPr>
          <w:rFonts w:hint="eastAsia" w:ascii="宋体" w:hAnsi="宋体" w:eastAsia="宋体" w:cs="宋体"/>
          <w:b/>
          <w:bCs/>
          <w:kern w:val="2"/>
          <w:sz w:val="21"/>
          <w:szCs w:val="21"/>
          <w:highlight w:val="none"/>
          <w:lang w:val="en-US" w:eastAsia="zh-CN" w:bidi="ar-SA"/>
        </w:rPr>
        <w:t>功能性需求说明</w:t>
      </w:r>
    </w:p>
    <w:p w14:paraId="5AC817E0">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1.</w:t>
      </w:r>
      <w:r>
        <w:rPr>
          <w:rFonts w:hint="eastAsia" w:ascii="宋体" w:hAnsi="宋体" w:eastAsia="宋体" w:cs="宋体"/>
          <w:b/>
          <w:bCs/>
          <w:sz w:val="21"/>
          <w:szCs w:val="21"/>
          <w:highlight w:val="none"/>
          <w:lang w:val="en-US" w:eastAsia="zh-CN"/>
        </w:rPr>
        <w:t>多平台支持</w:t>
      </w:r>
    </w:p>
    <w:p w14:paraId="7F8F515C">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支持Windows、MacOS、银河麒麟、统信OS、Android、iOS、鸿蒙OS终端，并支持各自环境下的版本在线升级。</w:t>
      </w:r>
    </w:p>
    <w:p w14:paraId="4FF3C86A">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2.登录</w:t>
      </w:r>
    </w:p>
    <w:p w14:paraId="373F5F93">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（1）支持使用企业账号登录，并提供密码找回、新设备验证等功能。</w:t>
      </w:r>
    </w:p>
    <w:p w14:paraId="68F7BE88">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（2）支持对接第三方认证系统。</w:t>
      </w:r>
    </w:p>
    <w:p w14:paraId="092A5175">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3.聊天管理</w:t>
      </w:r>
    </w:p>
    <w:p w14:paraId="125259C6">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（1）发起聊天：支持发起单对单即时会话，支持创建群组，自定义群组名称，并可保存该群组供后续使用，支持快速发起部门会话群，便于快速发布部门通知。</w:t>
      </w:r>
    </w:p>
    <w:p w14:paraId="0C7267AF">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（2）聊天设置：支持群聊在消息列表中置顶，可以把关注的群聊保持在消息列表最顶端，便于快速查找重要联系人和群组。支持将会话从消息列表中移除。移出后，可以通过搜索该会话， 会话会重新出现在会话列表中，并保留了所有的聊天记录。支持在聊天页面中，针对某个聊天，选择“消息不提醒”，当被设置消息不提醒的聊天有新消息时，则不作提醒。支持针对群聊名称的编辑修改。支持管理员发布群公告，发布公告后，公告内容会要求所有人 进行查看。</w:t>
      </w:r>
    </w:p>
    <w:p w14:paraId="1FB4899B">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（3）群管理：支持仅群主或群管理员管理、群聊邀请确认、自定义群昵称、设置群内禁言，包括设置全部禁言和部分禁言、设置群管理员、转让群主。支持设置群备注</w:t>
      </w:r>
    </w:p>
    <w:p w14:paraId="3526310D">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（4）群成员管理：支持群主对群成员添加成员、移除。</w:t>
      </w:r>
    </w:p>
    <w:p w14:paraId="14A79E64">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（5）支持配置聊天申请权限的功能，支持向拥有单向聊天权限的成员发起聊天申请。</w:t>
      </w:r>
    </w:p>
    <w:p w14:paraId="1FD78330">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（6）支持设置聊天背景，支持一键将背景应用到所有聊天场景，丰富聊天场景。</w:t>
      </w:r>
    </w:p>
    <w:p w14:paraId="2470A09D">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（7）支持设置某位重要成员的消息提示方式设置为特别提醒，不受免打扰功能的限制。</w:t>
      </w:r>
    </w:p>
    <w:p w14:paraId="6C700590">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（8）支持聊天显示水印。</w:t>
      </w:r>
    </w:p>
    <w:p w14:paraId="1AE03CEC">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4.消息发送</w:t>
      </w:r>
    </w:p>
    <w:p w14:paraId="2CDB9B7D">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（1）支持发送文本、图片、视频、链接、语音、文件、名片、表情、回复的文本、群公告、聊天记录。</w:t>
      </w:r>
    </w:p>
    <w:p w14:paraId="4A62EBEA">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（2）移动端支持录入语音消息，录入完毕后自动发送语音。</w:t>
      </w:r>
    </w:p>
    <w:p w14:paraId="7BF1F0CC">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（3）支持发送地理位置，便于了解和定位用户当前位置和分享自己的位置。</w:t>
      </w:r>
    </w:p>
    <w:p w14:paraId="0C90AFB1">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（4）系统支持发送文件消息，包括视频等大文件以及压缩包。</w:t>
      </w:r>
    </w:p>
    <w:p w14:paraId="28B0B505">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（5）支持拖拽方式或者通过复制、粘贴方式来对文件实施发送操作。</w:t>
      </w:r>
    </w:p>
    <w:p w14:paraId="0853D437">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（6）支持在群聊中@某些人，被@的人会收到提示。</w:t>
      </w:r>
    </w:p>
    <w:p w14:paraId="4045F28A">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（7）支持发起单人和多人音视频通话。</w:t>
      </w:r>
    </w:p>
    <w:p w14:paraId="64A20719">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5.消息操作</w:t>
      </w:r>
    </w:p>
    <w:p w14:paraId="7923DE0B">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（1）支持复制粘贴消息。</w:t>
      </w:r>
    </w:p>
    <w:p w14:paraId="42316840">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（2）支持引用消息。</w:t>
      </w:r>
    </w:p>
    <w:p w14:paraId="7A08B01E">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（3）支持删除消息。</w:t>
      </w:r>
    </w:p>
    <w:p w14:paraId="2219A0F8">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（4）支持消息在手机端定时提醒。</w:t>
      </w:r>
    </w:p>
    <w:p w14:paraId="70D304C8">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（5）支持聊天图片进行标注。</w:t>
      </w:r>
    </w:p>
    <w:p w14:paraId="39F10D43">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（6）支持消息转发到其他群聊或单聊中。</w:t>
      </w:r>
    </w:p>
    <w:p w14:paraId="6B739A05">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（7）支持多条消息逐条/合并转发。</w:t>
      </w:r>
    </w:p>
    <w:p w14:paraId="329E5E6A">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（8）支持消息撤回：支持撤回24小时内的消息，消息撤回5分钟内，支持快速重新编辑，群主和群管理员可以撤回群成员在群里发出的消息。</w:t>
      </w:r>
    </w:p>
    <w:p w14:paraId="6A78B95A">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（9）支持发送图文混排消息：文字和图片显示在同一个聊天气泡内。</w:t>
      </w:r>
    </w:p>
    <w:p w14:paraId="59FAE1F8">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6.组织架构与通讯录</w:t>
      </w:r>
    </w:p>
    <w:p w14:paraId="072144CD">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（1）支持查看组织架构节点信息，包括名称与人数。</w:t>
      </w:r>
    </w:p>
    <w:p w14:paraId="6F142EB5">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（2）支持查看同事资料，包括头像、姓名、性别、手机、座机、邮箱、部门等。</w:t>
      </w:r>
    </w:p>
    <w:p w14:paraId="03D24399">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（3）支持将同事设为重要联系人。</w:t>
      </w:r>
    </w:p>
    <w:p w14:paraId="1F7655B0">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（4）支持调整组织节点排序，节点内成员排序。</w:t>
      </w:r>
    </w:p>
    <w:p w14:paraId="01C6C654">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（5）支持给同事设置备注与描述。</w:t>
      </w:r>
    </w:p>
    <w:p w14:paraId="6D294D20">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7.搜索</w:t>
      </w:r>
    </w:p>
    <w:p w14:paraId="38B5A6E6">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（1）支持通过姓名、拼音、手机号码等方式可以搜索到联系人。</w:t>
      </w:r>
    </w:p>
    <w:p w14:paraId="18351112">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（2）支持通过搜索自定义字段信息搜索到联系人。</w:t>
      </w:r>
    </w:p>
    <w:p w14:paraId="696DAB7D">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（3）支持通过群名、群成员等方式可以搜索到群聊。</w:t>
      </w:r>
    </w:p>
    <w:p w14:paraId="0F86B773">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（4）支持通过部门名称和相关关键字等方式可以搜索到组织节点。</w:t>
      </w:r>
    </w:p>
    <w:p w14:paraId="75067B6C">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（5）支持通过应用名称或相关名称的关键字等方式可以搜索到应用。</w:t>
      </w:r>
    </w:p>
    <w:p w14:paraId="319A4FFF">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（6）支持搜索聊天消息、文件等。</w:t>
      </w:r>
    </w:p>
    <w:p w14:paraId="36639FFC">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8.工作台</w:t>
      </w:r>
    </w:p>
    <w:p w14:paraId="388096CF">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（1）支持在管理后台配置企业宣传banner。</w:t>
      </w:r>
    </w:p>
    <w:p w14:paraId="66057234">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（2）集成自建应用，支持自定义展示模式（宫格/列表）。</w:t>
      </w:r>
    </w:p>
    <w:p w14:paraId="6E018FB8">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9.日程管理</w:t>
      </w:r>
    </w:p>
    <w:p w14:paraId="06653FC1">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（1）支持日程创建、共享、多端同步等功能。</w:t>
      </w:r>
    </w:p>
    <w:p w14:paraId="2B42CD4C">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（2）支持从日程应用、聊天中创建日程，支持编辑日程主题、参与人、日程时间、时长等信息。</w:t>
      </w:r>
    </w:p>
    <w:p w14:paraId="25828C47">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（3）当设置了日程提醒后，在指定时间弹窗提醒所有参与人。</w:t>
      </w:r>
    </w:p>
    <w:p w14:paraId="76B8495C">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（4）支持通过主题（标题）、组织者、参与人、会议室、附件、地点等字段搜索日程。</w:t>
      </w:r>
    </w:p>
    <w:p w14:paraId="2CE61E7E">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（5）可对日程进行搜索，快速查找关键日程。</w:t>
      </w:r>
    </w:p>
    <w:p w14:paraId="7B137B4C">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10.开放平台能力</w:t>
      </w:r>
    </w:p>
    <w:p w14:paraId="089F2B51">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（1）API与集成：通讯录同步（成员/部门/标签管理）、应用管理（菜单设置、分组管理）。</w:t>
      </w:r>
    </w:p>
    <w:p w14:paraId="029BB069">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（2）消息推送（主动发送消息、接收事件推送）、应用创建群聊。</w:t>
      </w:r>
    </w:p>
    <w:p w14:paraId="423C121D">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（3）提供JSSDK（网页开发）、小程序专用接口（如企业通讯录、NFC）、OAuth2.0授权登录。</w:t>
      </w:r>
    </w:p>
    <w:p w14:paraId="50DD3EBE">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（4）支持第三方系统接入，短信网关接入。</w:t>
      </w:r>
    </w:p>
    <w:p w14:paraId="0B06027F">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11.通用能力</w:t>
      </w:r>
    </w:p>
    <w:p w14:paraId="63601D25">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（1）支持跟随系统语言、设置为中文简体、中文繁体或英文。</w:t>
      </w:r>
    </w:p>
    <w:p w14:paraId="3CAAC459">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（2）支持深色模式。</w:t>
      </w:r>
    </w:p>
    <w:p w14:paraId="41DC5C08">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（3）支持设置字体大小。</w:t>
      </w:r>
    </w:p>
    <w:p w14:paraId="7D3726C6">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12.安全能力</w:t>
      </w:r>
    </w:p>
    <w:p w14:paraId="1EF45271">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（1）消息安全管理：应支持移动端信息防泄漏、水印、关键字过滤、消息撤回、单向聊天申请、截屏管控、手机号安全查看。</w:t>
      </w:r>
    </w:p>
    <w:p w14:paraId="34FB1AE6">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（2）文件安全管理：保障传输内的文件安全，如：电脑发送到手机的文件，在手机上可以接收到文件消息提醒，但不可以打开文件和下载，需要去到电脑端才可以下载查看。</w:t>
      </w:r>
    </w:p>
    <w:p w14:paraId="4A98904A">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（3）权限控制：支持多级管理组、分级管理员权限设置、通讯录查看权限限制等。</w:t>
      </w:r>
    </w:p>
    <w:p w14:paraId="026E368C">
      <w:pPr>
        <w:keepNext/>
        <w:keepLines/>
        <w:widowControl w:val="0"/>
        <w:numPr>
          <w:ilvl w:val="0"/>
          <w:numId w:val="0"/>
        </w:numPr>
        <w:adjustRightInd w:val="0"/>
        <w:snapToGrid w:val="0"/>
        <w:spacing w:before="0" w:beforeLines="0" w:after="0" w:afterLines="0" w:line="360" w:lineRule="auto"/>
        <w:ind w:firstLine="400" w:firstLineChars="20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（4）应用接入安全：提供自建应用安全配置，可以添加可信来源IP，通过应用安全入口可以在后台控制应用可读取的字段。</w:t>
      </w:r>
    </w:p>
    <w:p w14:paraId="229DF438">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13.功能需求（文档）</w:t>
      </w:r>
    </w:p>
    <w:p w14:paraId="3320FA3D">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在线文档：</w:t>
      </w:r>
    </w:p>
    <w:p w14:paraId="0FCB45D8">
      <w:pPr>
        <w:keepNext/>
        <w:keepLines/>
        <w:widowControl w:val="0"/>
        <w:numPr>
          <w:ilvl w:val="0"/>
          <w:numId w:val="3"/>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支持新建文档，支持常规编辑功能，比如格式刷、字体、字号、格式，支持插入代码块、名片、文档、文件、待办等多种内。</w:t>
      </w:r>
    </w:p>
    <w:p w14:paraId="568E0E9E">
      <w:pPr>
        <w:keepNext/>
        <w:keepLines/>
        <w:widowControl w:val="0"/>
        <w:numPr>
          <w:ilvl w:val="0"/>
          <w:numId w:val="3"/>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支持在文档中@团队成员，支持在文档中添加评论。</w:t>
      </w:r>
    </w:p>
    <w:p w14:paraId="285AE46D">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在线表格：</w:t>
      </w:r>
    </w:p>
    <w:p w14:paraId="39D9580A">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支持简约工具栏、经典工具栏的切换。</w:t>
      </w:r>
    </w:p>
    <w:p w14:paraId="6CCF5476">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支持插入图片、图表、链接、数据透视表，插入行列和单元格和本地文件。</w:t>
      </w:r>
    </w:p>
    <w:p w14:paraId="744420AD">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支持冻结功能，对表格特定位置进行冻结。</w:t>
      </w:r>
    </w:p>
    <w:p w14:paraId="414FEFBB">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支持对数据进行管理，包括数据验证、高亮重复值、添加条件格式、智能分列等。</w:t>
      </w:r>
    </w:p>
    <w:p w14:paraId="2D6DBFA4">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支持开启「隐私填写」功能。开启后，填写内容（比如身份证号、手机号等），仅填写者与文档创建者可见。</w:t>
      </w:r>
    </w:p>
    <w:p w14:paraId="1B1A5CA1">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支持多种函数，包括财务、时间与日期、数学与三角函数、统计等类型。</w:t>
      </w:r>
    </w:p>
    <w:p w14:paraId="6069BA55">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持针对表格所选范围和工作表设置保护，可以设置指定成员查看或编辑权限。</w:t>
      </w:r>
    </w:p>
    <w:p w14:paraId="76A41A78">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支持在表格中@团队成员，被@的成员会在文档的「与我相关」列表收到即时提醒。</w:t>
      </w:r>
    </w:p>
    <w:p w14:paraId="54739744">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支持表格中添加评论。</w:t>
      </w:r>
    </w:p>
    <w:p w14:paraId="072A786B">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支持在单元格、局部范围表格支持单独获取链接，点击链接可以直接打开并定位到对应位置。</w:t>
      </w:r>
    </w:p>
    <w:p w14:paraId="749A50E5">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移动端支持使用卡片模式浏览表格，通过左右滑动可以便捷地切换行并可对表格内容进行编辑。</w:t>
      </w:r>
    </w:p>
    <w:p w14:paraId="77D12F38">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智能表格：</w:t>
      </w:r>
    </w:p>
    <w:p w14:paraId="3779F82E">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支持在在线表格内新建空白智能表。</w:t>
      </w:r>
    </w:p>
    <w:p w14:paraId="1E81D2C3">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支持在在线表格中选中数据，右键点击「用所选数据新建智能表」中生成智能表。</w:t>
      </w:r>
    </w:p>
    <w:p w14:paraId="297E857D">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PC端支持快捷地进行分组、筛选、排序和数据统计。</w:t>
      </w:r>
    </w:p>
    <w:p w14:paraId="364B84B4">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PC端支持切换表格、看板、甘特、画册、日历等多视图展示。</w:t>
      </w:r>
    </w:p>
    <w:p w14:paraId="24C81235">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PC端支持发布表格公告。</w:t>
      </w:r>
    </w:p>
    <w:p w14:paraId="039BA737">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支持自动化配置。</w:t>
      </w:r>
    </w:p>
    <w:p w14:paraId="0CDF8720">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支持表单视图。</w:t>
      </w:r>
    </w:p>
    <w:p w14:paraId="6B77F8FC">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支持插入公式和字段。</w:t>
      </w:r>
    </w:p>
    <w:p w14:paraId="2D9E2278">
      <w:pPr>
        <w:keepNext/>
        <w:keepLines/>
        <w:widowControl w:val="0"/>
        <w:numPr>
          <w:ilvl w:val="0"/>
          <w:numId w:val="4"/>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支持设置高级权限。</w:t>
      </w:r>
    </w:p>
    <w:p w14:paraId="39512FC3">
      <w:pPr>
        <w:keepNext/>
        <w:keepLines/>
        <w:widowControl w:val="0"/>
        <w:numPr>
          <w:ilvl w:val="0"/>
          <w:numId w:val="0"/>
        </w:numPr>
        <w:adjustRightInd w:val="0"/>
        <w:snapToGrid w:val="0"/>
        <w:spacing w:before="0" w:beforeLines="0" w:after="0" w:afterLines="0" w:line="360" w:lineRule="auto"/>
        <w:ind w:firstLine="422" w:firstLineChars="200"/>
        <w:jc w:val="both"/>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幻灯片：</w:t>
      </w:r>
    </w:p>
    <w:p w14:paraId="5A3FE347">
      <w:pPr>
        <w:keepNext/>
        <w:keepLines/>
        <w:widowControl w:val="0"/>
        <w:numPr>
          <w:ilvl w:val="0"/>
          <w:numId w:val="5"/>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支持新建幻灯片。</w:t>
      </w:r>
    </w:p>
    <w:p w14:paraId="3442A647">
      <w:pPr>
        <w:keepNext/>
        <w:keepLines/>
        <w:widowControl w:val="0"/>
        <w:numPr>
          <w:ilvl w:val="0"/>
          <w:numId w:val="5"/>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支持插入文本框、形状、图片、表格、链接、腾讯文档、本地文件等各种内容。</w:t>
      </w:r>
    </w:p>
    <w:p w14:paraId="30A035B1">
      <w:pPr>
        <w:keepNext/>
        <w:keepLines/>
        <w:widowControl w:val="0"/>
        <w:numPr>
          <w:ilvl w:val="0"/>
          <w:numId w:val="5"/>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PC端支持对文稿内容进行效果设置，包括阴影、映像、发光、柔化边缘等。</w:t>
      </w:r>
    </w:p>
    <w:p w14:paraId="14B5E0D1">
      <w:pPr>
        <w:keepNext/>
        <w:keepLines/>
        <w:widowControl w:val="0"/>
        <w:numPr>
          <w:ilvl w:val="0"/>
          <w:numId w:val="5"/>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PC端支持添加动画效果。</w:t>
      </w:r>
    </w:p>
    <w:p w14:paraId="3C3C546B">
      <w:pPr>
        <w:keepNext/>
        <w:keepLines/>
        <w:widowControl w:val="0"/>
        <w:numPr>
          <w:ilvl w:val="0"/>
          <w:numId w:val="5"/>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PC端支持编辑状态时，锁定幻灯片状态。</w:t>
      </w:r>
    </w:p>
    <w:p w14:paraId="26AD5F0C">
      <w:pPr>
        <w:keepNext/>
        <w:keepLines/>
        <w:widowControl w:val="0"/>
        <w:numPr>
          <w:ilvl w:val="0"/>
          <w:numId w:val="5"/>
        </w:numPr>
        <w:adjustRightInd w:val="0"/>
        <w:snapToGrid w:val="0"/>
        <w:spacing w:before="0" w:beforeLines="0" w:after="0" w:afterLines="0" w:line="360" w:lineRule="auto"/>
        <w:ind w:left="845" w:leftChars="0" w:hanging="425" w:firstLineChars="0"/>
        <w:jc w:val="both"/>
        <w:outlineLvl w:val="9"/>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幻灯片可进行演示，PC端支持激光笔功能。</w:t>
      </w:r>
    </w:p>
    <w:p w14:paraId="6E3BCC8B">
      <w:pPr>
        <w:keepNext/>
        <w:keepLines/>
        <w:widowControl w:val="0"/>
        <w:numPr>
          <w:ilvl w:val="0"/>
          <w:numId w:val="0"/>
        </w:numPr>
        <w:adjustRightInd w:val="0"/>
        <w:snapToGrid w:val="0"/>
        <w:spacing w:before="0" w:beforeLines="0" w:after="0" w:afterLines="0" w:line="360" w:lineRule="auto"/>
        <w:ind w:firstLine="422" w:firstLineChars="200"/>
        <w:jc w:val="both"/>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在线收集表：</w:t>
      </w:r>
    </w:p>
    <w:p w14:paraId="6A202F01">
      <w:pPr>
        <w:keepNext/>
        <w:keepLines/>
        <w:widowControl w:val="0"/>
        <w:numPr>
          <w:ilvl w:val="0"/>
          <w:numId w:val="6"/>
        </w:numPr>
        <w:adjustRightInd w:val="0"/>
        <w:snapToGrid w:val="0"/>
        <w:spacing w:before="0" w:beforeLines="0" w:after="0" w:afterLines="0" w:line="360" w:lineRule="auto"/>
        <w:ind w:firstLine="420" w:firstLineChars="200"/>
        <w:jc w:val="both"/>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提供多种模板。</w:t>
      </w:r>
    </w:p>
    <w:p w14:paraId="61F77F6B">
      <w:pPr>
        <w:keepNext/>
        <w:keepLines/>
        <w:widowControl w:val="0"/>
        <w:numPr>
          <w:ilvl w:val="0"/>
          <w:numId w:val="6"/>
        </w:numPr>
        <w:adjustRightInd w:val="0"/>
        <w:snapToGrid w:val="0"/>
        <w:spacing w:before="0" w:beforeLines="0" w:after="0" w:afterLines="0" w:line="360" w:lineRule="auto"/>
        <w:ind w:firstLine="420" w:firstLineChars="200"/>
        <w:jc w:val="both"/>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群收集表。</w:t>
      </w:r>
    </w:p>
    <w:p w14:paraId="499ADBAC">
      <w:pPr>
        <w:keepNext/>
        <w:keepLines/>
        <w:widowControl w:val="0"/>
        <w:numPr>
          <w:ilvl w:val="0"/>
          <w:numId w:val="6"/>
        </w:numPr>
        <w:adjustRightInd w:val="0"/>
        <w:snapToGrid w:val="0"/>
        <w:spacing w:before="0" w:beforeLines="0" w:after="0" w:afterLines="0" w:line="360" w:lineRule="auto"/>
        <w:ind w:firstLine="420" w:firstLineChars="200"/>
        <w:jc w:val="both"/>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可添加收集表的问题、大纲、封面、标题及描述等。</w:t>
      </w:r>
    </w:p>
    <w:p w14:paraId="6104890E">
      <w:pPr>
        <w:keepNext/>
        <w:keepLines/>
        <w:widowControl w:val="0"/>
        <w:numPr>
          <w:ilvl w:val="0"/>
          <w:numId w:val="6"/>
        </w:numPr>
        <w:adjustRightInd w:val="0"/>
        <w:snapToGrid w:val="0"/>
        <w:spacing w:before="0" w:beforeLines="0" w:after="0" w:afterLines="0" w:line="360" w:lineRule="auto"/>
        <w:ind w:firstLine="420" w:firstLineChars="200"/>
        <w:jc w:val="both"/>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提供基础题型、高级题型、常用题库等多种形式。</w:t>
      </w:r>
    </w:p>
    <w:p w14:paraId="5E4F2018">
      <w:pPr>
        <w:keepNext/>
        <w:keepLines/>
        <w:widowControl w:val="0"/>
        <w:numPr>
          <w:ilvl w:val="0"/>
          <w:numId w:val="6"/>
        </w:numPr>
        <w:adjustRightInd w:val="0"/>
        <w:snapToGrid w:val="0"/>
        <w:spacing w:before="0" w:beforeLines="0" w:after="0" w:afterLines="0" w:line="360" w:lineRule="auto"/>
        <w:ind w:firstLine="420" w:firstLineChars="200"/>
        <w:jc w:val="both"/>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多选题可以设置可选数量限制，能够精确设置选项个数要求。</w:t>
      </w:r>
    </w:p>
    <w:p w14:paraId="63D06361">
      <w:pPr>
        <w:keepNext/>
        <w:keepLines/>
        <w:widowControl w:val="0"/>
        <w:numPr>
          <w:ilvl w:val="0"/>
          <w:numId w:val="6"/>
        </w:numPr>
        <w:adjustRightInd w:val="0"/>
        <w:snapToGrid w:val="0"/>
        <w:spacing w:before="0" w:beforeLines="0" w:after="0" w:afterLines="0" w:line="360" w:lineRule="auto"/>
        <w:ind w:firstLine="420" w:firstLineChars="200"/>
        <w:jc w:val="both"/>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支持设置根据用户对某个问题的回答，自动跳转至下一个问题或者显示特定问题。</w:t>
      </w:r>
    </w:p>
    <w:p w14:paraId="11E65AA9">
      <w:pPr>
        <w:keepNext/>
        <w:keepLines/>
        <w:widowControl w:val="0"/>
        <w:numPr>
          <w:ilvl w:val="0"/>
          <w:numId w:val="6"/>
        </w:numPr>
        <w:adjustRightInd w:val="0"/>
        <w:snapToGrid w:val="0"/>
        <w:spacing w:before="0" w:beforeLines="0" w:after="0" w:afterLines="0" w:line="360" w:lineRule="auto"/>
        <w:ind w:firstLine="420" w:firstLineChars="200"/>
        <w:jc w:val="both"/>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收集表可以添加图片、链接。</w:t>
      </w:r>
    </w:p>
    <w:p w14:paraId="3AE31E49">
      <w:pPr>
        <w:keepNext/>
        <w:keepLines/>
        <w:widowControl w:val="0"/>
        <w:numPr>
          <w:ilvl w:val="0"/>
          <w:numId w:val="6"/>
        </w:numPr>
        <w:adjustRightInd w:val="0"/>
        <w:snapToGrid w:val="0"/>
        <w:spacing w:before="0" w:beforeLines="0" w:after="0" w:afterLines="0" w:line="360" w:lineRule="auto"/>
        <w:ind w:firstLine="420" w:firstLineChars="200"/>
        <w:jc w:val="both"/>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支持设置提醒、收集表截止时间和提醒周期。</w:t>
      </w:r>
    </w:p>
    <w:p w14:paraId="5D1C07E3">
      <w:pPr>
        <w:keepNext/>
        <w:keepLines/>
        <w:widowControl w:val="0"/>
        <w:numPr>
          <w:ilvl w:val="0"/>
          <w:numId w:val="6"/>
        </w:numPr>
        <w:adjustRightInd w:val="0"/>
        <w:snapToGrid w:val="0"/>
        <w:spacing w:before="0" w:beforeLines="0" w:after="0" w:afterLines="0" w:line="360" w:lineRule="auto"/>
        <w:ind w:firstLine="420" w:firstLineChars="200"/>
        <w:jc w:val="both"/>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支持设置收集表填写人员名单，名单外的用户不支持查看和填写。</w:t>
      </w:r>
    </w:p>
    <w:p w14:paraId="5A41C9FC">
      <w:pPr>
        <w:keepNext/>
        <w:keepLines/>
        <w:widowControl w:val="0"/>
        <w:numPr>
          <w:ilvl w:val="0"/>
          <w:numId w:val="6"/>
        </w:numPr>
        <w:adjustRightInd w:val="0"/>
        <w:snapToGrid w:val="0"/>
        <w:spacing w:before="0" w:beforeLines="0" w:after="0" w:afterLines="0" w:line="360" w:lineRule="auto"/>
        <w:ind w:firstLine="420" w:firstLineChars="200"/>
        <w:jc w:val="both"/>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支持设置结束页样式，包括结束语，添加图片、以及跳转链接。</w:t>
      </w:r>
    </w:p>
    <w:p w14:paraId="5B786E18">
      <w:pPr>
        <w:keepNext/>
        <w:keepLines/>
        <w:widowControl w:val="0"/>
        <w:numPr>
          <w:ilvl w:val="0"/>
          <w:numId w:val="6"/>
        </w:numPr>
        <w:adjustRightInd w:val="0"/>
        <w:snapToGrid w:val="0"/>
        <w:spacing w:before="0" w:beforeLines="0" w:after="0" w:afterLines="0" w:line="360" w:lineRule="auto"/>
        <w:ind w:firstLine="420" w:firstLineChars="200"/>
        <w:jc w:val="both"/>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支持将统计结果关联到在线表格。</w:t>
      </w:r>
    </w:p>
    <w:p w14:paraId="6515F945">
      <w:pPr>
        <w:keepNext/>
        <w:keepLines/>
        <w:widowControl w:val="0"/>
        <w:numPr>
          <w:ilvl w:val="0"/>
          <w:numId w:val="6"/>
        </w:numPr>
        <w:adjustRightInd w:val="0"/>
        <w:snapToGrid w:val="0"/>
        <w:spacing w:before="0" w:beforeLines="0" w:after="0" w:afterLines="0" w:line="360" w:lineRule="auto"/>
        <w:ind w:firstLine="420" w:firstLineChars="200"/>
        <w:jc w:val="both"/>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支持持在更多设置项中，根据收集需求定义是否可重复提交、提交后是否允许填写人修改结果、匿名填写，以及是否通知收集人员等操作。</w:t>
      </w:r>
    </w:p>
    <w:p w14:paraId="1D0FE522">
      <w:pPr>
        <w:keepNext/>
        <w:keepLines/>
        <w:widowControl w:val="0"/>
        <w:numPr>
          <w:ilvl w:val="0"/>
          <w:numId w:val="0"/>
        </w:numPr>
        <w:adjustRightInd w:val="0"/>
        <w:snapToGrid w:val="0"/>
        <w:spacing w:before="0" w:beforeLines="0" w:after="0" w:afterLines="0" w:line="360" w:lineRule="auto"/>
        <w:ind w:firstLine="422" w:firstLineChars="200"/>
        <w:jc w:val="both"/>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权限管理与安全管控：</w:t>
      </w:r>
    </w:p>
    <w:p w14:paraId="243B2B91">
      <w:pPr>
        <w:keepNext/>
        <w:keepLines/>
        <w:widowControl w:val="0"/>
        <w:numPr>
          <w:ilvl w:val="0"/>
          <w:numId w:val="7"/>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支持在文档中添加企业成员共同编辑或查阅文档内容。</w:t>
      </w:r>
    </w:p>
    <w:p w14:paraId="7B216DC2">
      <w:pPr>
        <w:keepNext/>
        <w:keepLines/>
        <w:widowControl w:val="0"/>
        <w:numPr>
          <w:ilvl w:val="0"/>
          <w:numId w:val="7"/>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支持直接转发文档给移动办公会话中，同时可以复制分享链接、生成二维码发送给企业成员。</w:t>
      </w:r>
    </w:p>
    <w:p w14:paraId="0E1AFF76">
      <w:pPr>
        <w:keepNext/>
        <w:keepLines/>
        <w:widowControl w:val="0"/>
        <w:numPr>
          <w:ilvl w:val="0"/>
          <w:numId w:val="7"/>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可以查看浏览记录，浏览记录会记录浏览时间、浏览人、以及整体的浏览量。</w:t>
      </w:r>
    </w:p>
    <w:p w14:paraId="2A929FE9">
      <w:pPr>
        <w:keepNext/>
        <w:keepLines/>
        <w:widowControl w:val="0"/>
        <w:numPr>
          <w:ilvl w:val="0"/>
          <w:numId w:val="7"/>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支持查看文档的历史修订记录，修订记录会记录版本、版本时间、修订人等信息，并且支持还原到某一个历史版本。</w:t>
      </w:r>
    </w:p>
    <w:p w14:paraId="1965E6E8">
      <w:pPr>
        <w:keepNext/>
        <w:keepLines/>
        <w:widowControl w:val="0"/>
        <w:numPr>
          <w:ilvl w:val="0"/>
          <w:numId w:val="7"/>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支持设置公开范围、进行安全设置和水印设置。</w:t>
      </w:r>
    </w:p>
    <w:p w14:paraId="6FDBDBA2">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14.功能需求（腾讯会议）</w:t>
      </w:r>
    </w:p>
    <w:p w14:paraId="3C3AF904">
      <w:pPr>
        <w:keepNext/>
        <w:keepLines/>
        <w:adjustRightInd w:val="0"/>
        <w:snapToGrid w:val="0"/>
        <w:spacing w:before="0" w:after="0" w:line="360" w:lineRule="auto"/>
        <w:ind w:firstLine="422" w:firstLineChars="200"/>
        <w:rPr>
          <w:rFonts w:ascii="宋体" w:hAnsi="宋体" w:cs="宋体"/>
          <w:b/>
          <w:bCs/>
          <w:szCs w:val="21"/>
          <w:highlight w:val="none"/>
        </w:rPr>
      </w:pPr>
      <w:r>
        <w:rPr>
          <w:rFonts w:hint="eastAsia" w:ascii="宋体" w:hAnsi="宋体" w:cs="宋体"/>
          <w:b/>
          <w:bCs/>
          <w:szCs w:val="21"/>
          <w:highlight w:val="none"/>
        </w:rPr>
        <w:t>基础能力</w:t>
      </w:r>
    </w:p>
    <w:p w14:paraId="3D6FE7EB">
      <w:pPr>
        <w:keepNext/>
        <w:keepLines/>
        <w:widowControl w:val="0"/>
        <w:numPr>
          <w:ilvl w:val="0"/>
          <w:numId w:val="8"/>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在私有化移动办公的会议模块和聊天群中发起会议，可以在预订会议时邀请私有化移动办公通讯录成员参会，被邀请成员的私有化移动办公的会议列表和日程中会显示该场会议，并支持点击会议链接实现私有化移动办公直接入会。</w:t>
      </w:r>
    </w:p>
    <w:p w14:paraId="0920F791">
      <w:pPr>
        <w:keepNext/>
        <w:keepLines/>
        <w:widowControl w:val="0"/>
        <w:numPr>
          <w:ilvl w:val="0"/>
          <w:numId w:val="8"/>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支持与私有化移动办公日程集成，为会议成员创建日程、提醒。会议开始前及开始时，支持通过消息弹窗、日程提醒、响铃等多种方式提醒参会人员准时入会。</w:t>
      </w:r>
    </w:p>
    <w:p w14:paraId="50C63D4E">
      <w:pPr>
        <w:keepNext/>
        <w:keepLines/>
        <w:widowControl w:val="0"/>
        <w:numPr>
          <w:ilvl w:val="0"/>
          <w:numId w:val="8"/>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支持随机会议号，满足不同的接入场景。</w:t>
      </w:r>
    </w:p>
    <w:p w14:paraId="602ACC0D">
      <w:pPr>
        <w:keepNext/>
        <w:keepLines/>
        <w:widowControl w:val="0"/>
        <w:numPr>
          <w:ilvl w:val="0"/>
          <w:numId w:val="8"/>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屏幕共享支持共享电脑的外接视频源和部分屏幕区域。</w:t>
      </w:r>
    </w:p>
    <w:p w14:paraId="64E2EC15">
      <w:pPr>
        <w:keepNext/>
        <w:keepLines/>
        <w:widowControl w:val="0"/>
        <w:numPr>
          <w:ilvl w:val="0"/>
          <w:numId w:val="8"/>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每个账号支持一场500的人会议。</w:t>
      </w:r>
    </w:p>
    <w:p w14:paraId="7087C7E7">
      <w:pPr>
        <w:keepNext/>
        <w:keepLines/>
        <w:widowControl w:val="0"/>
        <w:numPr>
          <w:ilvl w:val="0"/>
          <w:numId w:val="8"/>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支持通过电话语音参会。</w:t>
      </w:r>
    </w:p>
    <w:p w14:paraId="240CE6CD">
      <w:pPr>
        <w:keepNext/>
        <w:keepLines/>
        <w:widowControl w:val="0"/>
        <w:numPr>
          <w:ilvl w:val="0"/>
          <w:numId w:val="8"/>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会议画面布局可设置为视频画面为主、演示画面为主等不同布局效果。</w:t>
      </w:r>
    </w:p>
    <w:p w14:paraId="1DFEFFF2">
      <w:pPr>
        <w:keepNext/>
        <w:keepLines/>
        <w:widowControl w:val="0"/>
        <w:numPr>
          <w:ilvl w:val="0"/>
          <w:numId w:val="8"/>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为成员分配高级功能后，该成员可同时使用多个端口进入同一场会议。如手机端入会的同时，可添加电脑端入会查看会中的屏幕演示，会议内容更清晰。</w:t>
      </w:r>
    </w:p>
    <w:p w14:paraId="5AADA69A">
      <w:pPr>
        <w:keepNext/>
        <w:keepLines/>
        <w:widowControl w:val="0"/>
        <w:numPr>
          <w:ilvl w:val="0"/>
          <w:numId w:val="8"/>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视频会议平台具备全球服务及支撑能力，全球不少于3000个CDN接入节点，海外不少于100个接入节点；</w:t>
      </w:r>
    </w:p>
    <w:p w14:paraId="52DD4AEB">
      <w:pPr>
        <w:keepNext/>
        <w:keepLines/>
        <w:adjustRightInd w:val="0"/>
        <w:snapToGrid w:val="0"/>
        <w:spacing w:before="0" w:after="0" w:line="360" w:lineRule="auto"/>
        <w:ind w:firstLine="422" w:firstLineChars="200"/>
        <w:rPr>
          <w:rFonts w:ascii="宋体" w:hAnsi="宋体" w:cs="宋体"/>
          <w:b/>
          <w:bCs/>
          <w:szCs w:val="21"/>
          <w:highlight w:val="none"/>
        </w:rPr>
      </w:pPr>
      <w:r>
        <w:rPr>
          <w:rFonts w:hint="eastAsia" w:ascii="宋体" w:hAnsi="宋体" w:cs="宋体"/>
          <w:b/>
          <w:bCs/>
          <w:szCs w:val="21"/>
          <w:highlight w:val="none"/>
        </w:rPr>
        <w:t>会议AI</w:t>
      </w:r>
    </w:p>
    <w:p w14:paraId="0E900592">
      <w:pPr>
        <w:keepNext/>
        <w:keepLines/>
        <w:widowControl w:val="0"/>
        <w:numPr>
          <w:ilvl w:val="0"/>
          <w:numId w:val="9"/>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会议中的语音支持实时转为文字，会中成员均可实时查看，随时回顾要点内容。</w:t>
      </w:r>
    </w:p>
    <w:p w14:paraId="4632709B">
      <w:pPr>
        <w:keepNext/>
        <w:keepLines/>
        <w:widowControl w:val="0"/>
        <w:numPr>
          <w:ilvl w:val="0"/>
          <w:numId w:val="9"/>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会后将基于转写的文字，智能生成会议纪要文档，方便参会人员对齐结论及跟进待办。</w:t>
      </w:r>
    </w:p>
    <w:p w14:paraId="1816B77D">
      <w:pPr>
        <w:keepNext/>
        <w:keepLines/>
        <w:widowControl w:val="0"/>
        <w:numPr>
          <w:ilvl w:val="0"/>
          <w:numId w:val="9"/>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通过实时字幕，会议中的语音将实时转为文字，并以字幕形式展现给当前开启的成员，让会议沟通更加清晰。</w:t>
      </w:r>
    </w:p>
    <w:p w14:paraId="3A89ED55">
      <w:pPr>
        <w:keepNext/>
        <w:keepLines/>
        <w:widowControl w:val="0"/>
        <w:numPr>
          <w:ilvl w:val="0"/>
          <w:numId w:val="9"/>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支持会中自动生成会议纪要并跟随会议进程实时更新。</w:t>
      </w:r>
    </w:p>
    <w:p w14:paraId="5862B530">
      <w:pPr>
        <w:keepNext/>
        <w:keepLines/>
        <w:widowControl w:val="0"/>
        <w:numPr>
          <w:ilvl w:val="0"/>
          <w:numId w:val="9"/>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会议云录制支持按章节划分，会议云录制自动对应发言人。</w:t>
      </w:r>
    </w:p>
    <w:p w14:paraId="5DCDCE13">
      <w:pPr>
        <w:keepNext/>
        <w:keepLines/>
        <w:widowControl w:val="0"/>
        <w:numPr>
          <w:ilvl w:val="0"/>
          <w:numId w:val="9"/>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支持上传本地录制文件，生成智能纪要和待办，并支持将多个讲话人的讲话内容进行分离。</w:t>
      </w:r>
    </w:p>
    <w:p w14:paraId="3B678E5D">
      <w:pPr>
        <w:keepNext/>
        <w:keepLines/>
        <w:widowControl w:val="0"/>
        <w:numPr>
          <w:ilvl w:val="0"/>
          <w:numId w:val="9"/>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支持在线剪辑云录制视频。</w:t>
      </w:r>
    </w:p>
    <w:p w14:paraId="0ECD4900">
      <w:pPr>
        <w:keepNext/>
        <w:keepLines/>
        <w:widowControl w:val="0"/>
        <w:numPr>
          <w:ilvl w:val="0"/>
          <w:numId w:val="9"/>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在服务期内支持无限云录制存储空间。</w:t>
      </w:r>
    </w:p>
    <w:p w14:paraId="747635DA">
      <w:pPr>
        <w:keepNext/>
        <w:keepLines/>
        <w:widowControl w:val="0"/>
        <w:numPr>
          <w:ilvl w:val="0"/>
          <w:numId w:val="9"/>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会后提供智能会议助手功能，支持回复针对某场会议内容的提问，支持提供无限Token使用。比如按指定会议纪要模板输出会议纪要、总结某位参会人的观点等。</w:t>
      </w:r>
    </w:p>
    <w:p w14:paraId="75FCD684">
      <w:pPr>
        <w:keepNext/>
        <w:keepLines/>
        <w:adjustRightInd w:val="0"/>
        <w:snapToGrid w:val="0"/>
        <w:spacing w:before="0" w:after="0" w:line="360" w:lineRule="auto"/>
        <w:ind w:firstLine="422" w:firstLineChars="200"/>
        <w:rPr>
          <w:rFonts w:ascii="宋体" w:hAnsi="宋体" w:cs="宋体"/>
          <w:b/>
          <w:bCs/>
          <w:szCs w:val="21"/>
          <w:highlight w:val="none"/>
        </w:rPr>
      </w:pPr>
      <w:r>
        <w:rPr>
          <w:rFonts w:hint="eastAsia" w:ascii="宋体" w:hAnsi="宋体" w:cs="宋体"/>
          <w:b/>
          <w:bCs/>
          <w:szCs w:val="21"/>
          <w:highlight w:val="none"/>
        </w:rPr>
        <w:t>会议管理</w:t>
      </w:r>
    </w:p>
    <w:p w14:paraId="7FBE7C90">
      <w:pPr>
        <w:keepNext/>
        <w:keepLines/>
        <w:widowControl w:val="0"/>
        <w:numPr>
          <w:ilvl w:val="0"/>
          <w:numId w:val="1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主持人可静音成员、移出成员、锁定会议室、开启等候室等。</w:t>
      </w:r>
    </w:p>
    <w:p w14:paraId="49BD8ED5">
      <w:pPr>
        <w:keepNext/>
        <w:keepLines/>
        <w:widowControl w:val="0"/>
        <w:numPr>
          <w:ilvl w:val="0"/>
          <w:numId w:val="1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成员预订会议时，可指定部分参会成员作为会中的主持人，以辅助管理会议。</w:t>
      </w:r>
    </w:p>
    <w:p w14:paraId="081D5839">
      <w:pPr>
        <w:keepNext/>
        <w:keepLines/>
        <w:widowControl w:val="0"/>
        <w:numPr>
          <w:ilvl w:val="0"/>
          <w:numId w:val="1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管理员可以在会议过程中指定成员为联席主持人，最多可指定50位。</w:t>
      </w:r>
    </w:p>
    <w:p w14:paraId="68CE4A30">
      <w:pPr>
        <w:keepNext/>
        <w:keepLines/>
        <w:widowControl w:val="0"/>
        <w:numPr>
          <w:ilvl w:val="0"/>
          <w:numId w:val="1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会议数据可视化，可以方便地分析和管理日常会议情况。包括企业内会议参会人数、时长、会议数量、会议类型、入会方式等数据的可视化图表。</w:t>
      </w:r>
    </w:p>
    <w:p w14:paraId="4D00F837">
      <w:pPr>
        <w:keepNext/>
        <w:keepLines/>
        <w:widowControl w:val="0"/>
        <w:numPr>
          <w:ilvl w:val="0"/>
          <w:numId w:val="1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通过发起会议权限设置，管理员可配置成员的发起会议权限。</w:t>
      </w:r>
    </w:p>
    <w:p w14:paraId="393F3B95">
      <w:pPr>
        <w:keepNext/>
        <w:keepLines/>
        <w:widowControl w:val="0"/>
        <w:numPr>
          <w:ilvl w:val="0"/>
          <w:numId w:val="1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管理员可设置企业内自动开启会议录制。</w:t>
      </w:r>
    </w:p>
    <w:p w14:paraId="49DDA8A8">
      <w:pPr>
        <w:keepNext/>
        <w:keepLines/>
        <w:widowControl w:val="0"/>
        <w:numPr>
          <w:ilvl w:val="0"/>
          <w:numId w:val="1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管理员可以在会议管理后台对企业内正在召开的会议进行管控。</w:t>
      </w:r>
    </w:p>
    <w:p w14:paraId="579C1397">
      <w:pPr>
        <w:keepNext/>
        <w:keepLines/>
        <w:widowControl w:val="0"/>
        <w:numPr>
          <w:ilvl w:val="0"/>
          <w:numId w:val="1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管理员可以对内部会议质量跟踪监测，可监测参会成员带宽、丟包、网络延迟、音视频码率、视频分辨率等质量信息。</w:t>
      </w:r>
    </w:p>
    <w:p w14:paraId="6D0BEC13">
      <w:pPr>
        <w:keepNext/>
        <w:keepLines/>
        <w:widowControl w:val="0"/>
        <w:numPr>
          <w:ilvl w:val="0"/>
          <w:numId w:val="1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提供会议API，可实现自有系统与会议的集成与打通，API支持新建、删除、修改、查询会议等。</w:t>
      </w:r>
    </w:p>
    <w:p w14:paraId="7D6C7ABA">
      <w:pPr>
        <w:keepNext/>
        <w:keepLines/>
        <w:adjustRightInd w:val="0"/>
        <w:snapToGrid w:val="0"/>
        <w:spacing w:before="0" w:after="0" w:line="360" w:lineRule="auto"/>
        <w:ind w:firstLine="422" w:firstLineChars="200"/>
        <w:rPr>
          <w:rFonts w:ascii="宋体" w:hAnsi="宋体" w:cs="宋体"/>
          <w:b/>
          <w:bCs/>
          <w:szCs w:val="21"/>
          <w:highlight w:val="none"/>
        </w:rPr>
      </w:pPr>
      <w:r>
        <w:rPr>
          <w:rFonts w:hint="eastAsia" w:ascii="宋体" w:hAnsi="宋体" w:cs="宋体"/>
          <w:b/>
          <w:bCs/>
          <w:szCs w:val="21"/>
          <w:highlight w:val="none"/>
        </w:rPr>
        <w:t>会议安全</w:t>
      </w:r>
    </w:p>
    <w:p w14:paraId="45AD2C14">
      <w:pPr>
        <w:keepNext/>
        <w:keepLines/>
        <w:widowControl w:val="0"/>
        <w:numPr>
          <w:ilvl w:val="0"/>
          <w:numId w:val="11"/>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对外会议，支持设置参会成员范围，仅允许指定手机号注册的账号可入会。</w:t>
      </w:r>
    </w:p>
    <w:p w14:paraId="1F80D482">
      <w:pPr>
        <w:keepNext/>
        <w:keepLines/>
        <w:widowControl w:val="0"/>
        <w:numPr>
          <w:ilvl w:val="0"/>
          <w:numId w:val="11"/>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内部会议，支持设置参会成员范围，不在范围内的成员无法入会。</w:t>
      </w:r>
    </w:p>
    <w:p w14:paraId="2C653F84">
      <w:pPr>
        <w:keepNext/>
        <w:keepLines/>
        <w:widowControl w:val="0"/>
        <w:numPr>
          <w:ilvl w:val="0"/>
          <w:numId w:val="11"/>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支持设置入会密码，允许自定义密码。</w:t>
      </w:r>
    </w:p>
    <w:p w14:paraId="43427EF3">
      <w:pPr>
        <w:keepNext/>
        <w:keepLines/>
        <w:widowControl w:val="0"/>
        <w:numPr>
          <w:ilvl w:val="0"/>
          <w:numId w:val="11"/>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会中支持强管控。</w:t>
      </w:r>
    </w:p>
    <w:p w14:paraId="4F737BC7">
      <w:pPr>
        <w:keepNext/>
        <w:keepLines/>
        <w:widowControl w:val="0"/>
        <w:numPr>
          <w:ilvl w:val="0"/>
          <w:numId w:val="11"/>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支持开启会议水印。</w:t>
      </w:r>
    </w:p>
    <w:p w14:paraId="064BBD52">
      <w:pPr>
        <w:keepNext/>
        <w:keepLines/>
        <w:widowControl w:val="0"/>
        <w:numPr>
          <w:ilvl w:val="0"/>
          <w:numId w:val="11"/>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管理后台的数据中提供所有会议相关的操作记录，用于异常情况出现后问题的排查。支持提供管理员操作记录，支持按照管理员姓名，事件类型，操作类型，操作时间检索筛选。</w:t>
      </w:r>
    </w:p>
    <w:p w14:paraId="3740ADBA">
      <w:pPr>
        <w:keepNext/>
        <w:keepLines/>
        <w:widowControl w:val="0"/>
        <w:numPr>
          <w:ilvl w:val="0"/>
          <w:numId w:val="11"/>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支持丰富的录制文件查看权限控制，全方位保证企业信息资产的安全。</w:t>
      </w:r>
    </w:p>
    <w:p w14:paraId="47557B2E">
      <w:pPr>
        <w:keepNext/>
        <w:keepLines/>
        <w:widowControl w:val="0"/>
        <w:numPr>
          <w:ilvl w:val="0"/>
          <w:numId w:val="11"/>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支持指定用户分享：可选择参会成员、通讯录人员。</w:t>
      </w:r>
    </w:p>
    <w:p w14:paraId="1070A829">
      <w:pPr>
        <w:keepNext/>
        <w:keepLines/>
        <w:widowControl w:val="0"/>
        <w:numPr>
          <w:ilvl w:val="0"/>
          <w:numId w:val="11"/>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支持通过链接分享：可设置所有人可查看、所有人输入密码/审批后可查看、同企业所有人可查看，同企业输入密码/通过审批后可查看。</w:t>
      </w:r>
    </w:p>
    <w:p w14:paraId="6B45EBB5">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15.功能需求（私有化）</w:t>
      </w:r>
    </w:p>
    <w:p w14:paraId="45CD3DD8">
      <w:pPr>
        <w:keepNext/>
        <w:keepLines/>
        <w:adjustRightInd w:val="0"/>
        <w:snapToGrid w:val="0"/>
        <w:spacing w:before="0" w:after="0" w:line="360" w:lineRule="auto"/>
        <w:ind w:firstLine="422" w:firstLineChars="200"/>
        <w:rPr>
          <w:rFonts w:hint="eastAsia"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 xml:space="preserve"> 邮件能力：</w:t>
      </w:r>
    </w:p>
    <w:p w14:paraId="7FE5FD38">
      <w:pPr>
        <w:keepNext/>
        <w:keepLines/>
        <w:widowControl w:val="0"/>
        <w:numPr>
          <w:ilvl w:val="0"/>
          <w:numId w:val="12"/>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管理员给成员设置邮件地址后，成员可以在即时通讯客户端（移动端和PC端）内使用邮件，从即时通讯客户端进入邮件，即可免登录邮箱。</w:t>
      </w:r>
    </w:p>
    <w:p w14:paraId="1FD7C6C5">
      <w:pPr>
        <w:keepNext/>
        <w:keepLines/>
        <w:widowControl w:val="0"/>
        <w:numPr>
          <w:ilvl w:val="0"/>
          <w:numId w:val="12"/>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具有收件箱、星标邮件、草稿箱、已发送、已删除、自定义文件夹、标签等完整的文件夹能力。</w:t>
      </w:r>
    </w:p>
    <w:p w14:paraId="5AD68D7C">
      <w:pPr>
        <w:keepNext/>
        <w:keepLines/>
        <w:widowControl w:val="0"/>
        <w:numPr>
          <w:ilvl w:val="0"/>
          <w:numId w:val="12"/>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邮件列表自动分类为全部、未读邮件、日程邮件，更方便查看不同类型的邮件。</w:t>
      </w:r>
    </w:p>
    <w:p w14:paraId="02CDDFEF">
      <w:pPr>
        <w:keepNext/>
        <w:keepLines/>
        <w:widowControl w:val="0"/>
        <w:numPr>
          <w:ilvl w:val="0"/>
          <w:numId w:val="12"/>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可将邮件添加至免提醒、拒收或添加至黑名单，避免垃圾邮件干扰。</w:t>
      </w:r>
    </w:p>
    <w:p w14:paraId="18D1FE1E">
      <w:pPr>
        <w:keepNext/>
        <w:keepLines/>
        <w:adjustRightInd w:val="0"/>
        <w:snapToGrid w:val="0"/>
        <w:spacing w:before="0" w:after="0" w:line="360" w:lineRule="auto"/>
        <w:ind w:firstLine="422" w:firstLineChars="200"/>
        <w:rPr>
          <w:rFonts w:hint="eastAsia"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内部协同：</w:t>
      </w:r>
    </w:p>
    <w:p w14:paraId="1D5CA03E">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highlight w:val="none"/>
          <w:lang w:val="en-US" w:eastAsia="zh-CN"/>
        </w:rPr>
        <w:t>支持成员快捷给通讯录成员发送邮件。</w:t>
      </w:r>
    </w:p>
    <w:p w14:paraId="5B0B814B">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highlight w:val="none"/>
          <w:lang w:val="en-US" w:eastAsia="zh-CN"/>
        </w:rPr>
        <w:t>提醒：写邮件时，@企业内成员，会同步添加至收件人，并在收件时收到提示。</w:t>
      </w:r>
    </w:p>
    <w:p w14:paraId="1894E006">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highlight w:val="none"/>
          <w:lang w:val="en-US" w:eastAsia="zh-CN"/>
        </w:rPr>
        <w:t>可以在成员profile、IM消息中快捷点击邮件地址，发送邮件，也可以将邮件转发至聊天</w:t>
      </w:r>
    </w:p>
    <w:p w14:paraId="74C68419">
      <w:pPr>
        <w:keepNext/>
        <w:keepLines/>
        <w:adjustRightInd w:val="0"/>
        <w:snapToGrid w:val="0"/>
        <w:spacing w:before="0" w:after="0" w:line="360" w:lineRule="auto"/>
        <w:ind w:firstLine="422" w:firstLineChars="200"/>
        <w:rPr>
          <w:rFonts w:hint="eastAsia"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管理功能：</w:t>
      </w:r>
    </w:p>
    <w:p w14:paraId="0A034685">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管理后台提供邮箱管理、收发信管理、操作日志等邮件管理能力，如撤回成员邮件、删除成员邮件等</w:t>
      </w:r>
    </w:p>
    <w:p w14:paraId="4D9BE1C0">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sz w:val="21"/>
          <w:szCs w:val="21"/>
          <w:highlight w:val="none"/>
          <w:lang w:val="en-US" w:eastAsia="zh-CN"/>
        </w:rPr>
      </w:pPr>
      <w:bookmarkStart w:id="2" w:name="OLE_LINK1"/>
      <w:r>
        <w:rPr>
          <w:rFonts w:hint="eastAsia" w:ascii="宋体" w:hAnsi="宋体" w:eastAsia="宋体" w:cs="宋体"/>
          <w:b/>
          <w:bCs/>
          <w:sz w:val="21"/>
          <w:szCs w:val="21"/>
          <w:highlight w:val="none"/>
          <w:lang w:val="en-US" w:eastAsia="zh-CN"/>
        </w:rPr>
        <w:t>16.服务需求（迁移服务）</w:t>
      </w:r>
    </w:p>
    <w:bookmarkEnd w:id="2"/>
    <w:p w14:paraId="105DC408">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（1）邮箱迁移服务：提供同个域名邮箱的迁移能力，支持从现有SaaS腾讯邮箱，将用户邮件迁移至私有化邮箱，同时支持将原有历史存量邮件，迁移至私有化邮箱。</w:t>
      </w:r>
    </w:p>
    <w:p w14:paraId="36EE6AEB">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lang w:val="en-US" w:eastAsia="zh-CN"/>
        </w:rPr>
        <w:t>）自建应用迁移支持：提供现有已接入SaaS移动办公的应用的迁移问题的技术支持。</w:t>
      </w:r>
    </w:p>
    <w:p w14:paraId="2CAB3D6F">
      <w:pPr>
        <w:keepNext/>
        <w:keepLines/>
        <w:widowControl w:val="0"/>
        <w:numPr>
          <w:ilvl w:val="1"/>
          <w:numId w:val="0"/>
        </w:numPr>
        <w:adjustRightInd w:val="0"/>
        <w:snapToGrid w:val="0"/>
        <w:spacing w:before="0" w:beforeLines="0" w:after="0" w:afterLines="0" w:line="360" w:lineRule="auto"/>
        <w:ind w:left="0" w:leftChars="0" w:firstLine="422" w:firstLineChars="200"/>
        <w:jc w:val="both"/>
        <w:outlineLvl w:val="1"/>
        <w:rPr>
          <w:rFonts w:hint="default" w:ascii="宋体" w:hAnsi="宋体" w:eastAsia="宋体" w:cs="宋体"/>
          <w:sz w:val="21"/>
          <w:szCs w:val="21"/>
          <w:highlight w:val="none"/>
          <w:lang w:val="en-US" w:eastAsia="zh-CN"/>
        </w:rPr>
      </w:pPr>
      <w:r>
        <w:rPr>
          <w:rFonts w:hint="eastAsia" w:ascii="宋体" w:hAnsi="宋体" w:cs="宋体"/>
          <w:b/>
          <w:bCs/>
          <w:kern w:val="2"/>
          <w:sz w:val="21"/>
          <w:szCs w:val="21"/>
          <w:highlight w:val="none"/>
          <w:lang w:val="en-US" w:eastAsia="zh-CN" w:bidi="ar-SA"/>
        </w:rPr>
        <w:t>（三）实施与维保服务</w:t>
      </w:r>
    </w:p>
    <w:p w14:paraId="25EF643F">
      <w:pPr>
        <w:keepNext/>
        <w:keepLines/>
        <w:widowControl w:val="0"/>
        <w:numPr>
          <w:ilvl w:val="0"/>
          <w:numId w:val="0"/>
        </w:numPr>
        <w:tabs>
          <w:tab w:val="left" w:pos="1219"/>
        </w:tabs>
        <w:adjustRightInd w:val="0"/>
        <w:snapToGrid w:val="0"/>
        <w:spacing w:before="0" w:beforeLines="0" w:after="0" w:afterLines="0" w:line="360" w:lineRule="auto"/>
        <w:ind w:firstLine="422" w:firstLineChars="200"/>
        <w:jc w:val="both"/>
        <w:outlineLvl w:val="2"/>
        <w:rPr>
          <w:rFonts w:hint="eastAsia" w:ascii="宋体" w:hAnsi="宋体" w:cs="宋体"/>
          <w:b/>
          <w:bCs/>
          <w:kern w:val="2"/>
          <w:sz w:val="21"/>
          <w:szCs w:val="21"/>
          <w:highlight w:val="none"/>
          <w:lang w:val="en-US" w:eastAsia="zh-CN" w:bidi="ar-SA"/>
        </w:rPr>
      </w:pPr>
      <w:r>
        <w:rPr>
          <w:rFonts w:hint="eastAsia" w:ascii="宋体" w:hAnsi="宋体" w:cs="宋体"/>
          <w:b/>
          <w:bCs/>
          <w:kern w:val="2"/>
          <w:sz w:val="21"/>
          <w:szCs w:val="21"/>
          <w:highlight w:val="none"/>
          <w:lang w:val="en-US" w:eastAsia="zh-CN" w:bidi="ar-SA"/>
        </w:rPr>
        <w:t>1.服务期</w:t>
      </w:r>
    </w:p>
    <w:p w14:paraId="52DAFCA5">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授权期限：2026年</w:t>
      </w:r>
      <w:r>
        <w:rPr>
          <w:rFonts w:hint="eastAsia" w:ascii="宋体" w:hAnsi="宋体" w:cs="宋体"/>
          <w:sz w:val="21"/>
          <w:szCs w:val="21"/>
          <w:highlight w:val="none"/>
          <w:lang w:val="en-US" w:eastAsia="zh-CN"/>
        </w:rPr>
        <w:t>8</w:t>
      </w:r>
      <w:r>
        <w:rPr>
          <w:rFonts w:hint="eastAsia" w:ascii="宋体" w:hAnsi="宋体" w:eastAsia="宋体" w:cs="宋体"/>
          <w:sz w:val="21"/>
          <w:szCs w:val="21"/>
          <w:highlight w:val="none"/>
          <w:lang w:val="en-US" w:eastAsia="zh-CN"/>
        </w:rPr>
        <w:t>月1</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日至2027年</w:t>
      </w:r>
      <w:r>
        <w:rPr>
          <w:rFonts w:hint="eastAsia" w:ascii="宋体" w:hAnsi="宋体" w:cs="宋体"/>
          <w:sz w:val="21"/>
          <w:szCs w:val="21"/>
          <w:highlight w:val="none"/>
          <w:lang w:val="en-US" w:eastAsia="zh-CN"/>
        </w:rPr>
        <w:t>8</w:t>
      </w:r>
      <w:r>
        <w:rPr>
          <w:rFonts w:hint="eastAsia" w:ascii="宋体" w:hAnsi="宋体" w:eastAsia="宋体" w:cs="宋体"/>
          <w:sz w:val="21"/>
          <w:szCs w:val="21"/>
          <w:highlight w:val="none"/>
          <w:lang w:val="en-US" w:eastAsia="zh-CN"/>
        </w:rPr>
        <w:t>月</w:t>
      </w:r>
      <w:r>
        <w:rPr>
          <w:rFonts w:hint="eastAsia" w:ascii="宋体" w:hAnsi="宋体" w:cs="宋体"/>
          <w:sz w:val="21"/>
          <w:szCs w:val="21"/>
          <w:highlight w:val="none"/>
          <w:lang w:val="en-US" w:eastAsia="zh-CN"/>
        </w:rPr>
        <w:t>15</w:t>
      </w:r>
      <w:r>
        <w:rPr>
          <w:rFonts w:hint="eastAsia" w:ascii="宋体" w:hAnsi="宋体" w:eastAsia="宋体" w:cs="宋体"/>
          <w:sz w:val="21"/>
          <w:szCs w:val="21"/>
          <w:highlight w:val="none"/>
          <w:lang w:val="en-US" w:eastAsia="zh-CN"/>
        </w:rPr>
        <w:t>日。</w:t>
      </w:r>
    </w:p>
    <w:p w14:paraId="6177CFB6">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kern w:val="2"/>
          <w:sz w:val="21"/>
          <w:szCs w:val="21"/>
          <w:highlight w:val="none"/>
          <w:lang w:val="en-US" w:eastAsia="zh-CN" w:bidi="ar-SA"/>
        </w:rPr>
      </w:pPr>
      <w:r>
        <w:rPr>
          <w:rFonts w:hint="eastAsia" w:ascii="宋体" w:hAnsi="宋体" w:cs="宋体"/>
          <w:b/>
          <w:bCs/>
          <w:kern w:val="2"/>
          <w:sz w:val="21"/>
          <w:szCs w:val="21"/>
          <w:highlight w:val="none"/>
          <w:lang w:val="en-US" w:eastAsia="zh-CN" w:bidi="ar-SA"/>
        </w:rPr>
        <w:t>2.</w:t>
      </w:r>
      <w:r>
        <w:rPr>
          <w:rFonts w:hint="eastAsia" w:ascii="宋体" w:hAnsi="宋体" w:eastAsia="宋体" w:cs="宋体"/>
          <w:b/>
          <w:bCs/>
          <w:kern w:val="2"/>
          <w:sz w:val="21"/>
          <w:szCs w:val="21"/>
          <w:highlight w:val="none"/>
          <w:lang w:val="en-US" w:eastAsia="zh-CN" w:bidi="ar-SA"/>
        </w:rPr>
        <w:t>信创实施部署服务</w:t>
      </w:r>
    </w:p>
    <w:p w14:paraId="7CE5AD8B">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提供移动办公及邮箱信创私有化的部署实施，保证平台上线并达到信创要求。</w:t>
      </w:r>
    </w:p>
    <w:p w14:paraId="15A025F8">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kern w:val="2"/>
          <w:sz w:val="21"/>
          <w:szCs w:val="21"/>
          <w:highlight w:val="none"/>
          <w:lang w:val="en-US" w:eastAsia="zh-CN" w:bidi="ar-SA"/>
        </w:rPr>
      </w:pPr>
      <w:r>
        <w:rPr>
          <w:rFonts w:hint="eastAsia" w:ascii="宋体" w:hAnsi="宋体" w:cs="宋体"/>
          <w:b/>
          <w:bCs/>
          <w:kern w:val="2"/>
          <w:sz w:val="21"/>
          <w:szCs w:val="21"/>
          <w:highlight w:val="none"/>
          <w:lang w:val="en-US" w:eastAsia="zh-CN" w:bidi="ar-SA"/>
        </w:rPr>
        <w:t>3.移动办公</w:t>
      </w:r>
      <w:r>
        <w:rPr>
          <w:rFonts w:hint="eastAsia" w:ascii="宋体" w:hAnsi="宋体" w:eastAsia="宋体" w:cs="宋体"/>
          <w:b/>
          <w:bCs/>
          <w:kern w:val="2"/>
          <w:sz w:val="21"/>
          <w:szCs w:val="21"/>
          <w:highlight w:val="none"/>
          <w:lang w:val="en-US" w:eastAsia="zh-CN" w:bidi="ar-SA"/>
        </w:rPr>
        <w:t>及邮箱维保服务</w:t>
      </w:r>
    </w:p>
    <w:p w14:paraId="0B5DC83A">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标准软件升级、后台补丁安装、license续期，其中不限次数标准软件升级、后台补丁安装。</w:t>
      </w:r>
    </w:p>
    <w:p w14:paraId="563E3FF3">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提供7*24小时售后电话和技术支持，收集客户需求并传递移动办公产品人员，回复关于功能、鉴权服务、应用集成问题、运维的咨询，处理故障并根据故障对业务的影响程度决定远程处理时限，紧急-1h，高-2h，中-4h，低-8h。每月输出服务报告。</w:t>
      </w:r>
    </w:p>
    <w:p w14:paraId="4156154E">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系统变更期间及系统故障时根据甲方要求提供驻场问题定位、故障处理服务。</w:t>
      </w:r>
    </w:p>
    <w:p w14:paraId="545660B9">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服务团队要求：项目实施人员须具有3年移动办公私有化经验，负责过央国企私有化移动办公的运维。团队成员须具备移动办公运维工程师、移动办公私有部署系统迁移、腾讯文档、腾讯会议交付运维工程师等资质。</w:t>
      </w:r>
    </w:p>
    <w:p w14:paraId="6FAF57B4">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每年提供技术服务人员要求如下：</w:t>
      </w:r>
    </w:p>
    <w:p w14:paraId="0EAAED2A">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（1）具备移动办公私有化项目经验，熟悉移动办公私有化产品功能，能够迅速定位用户使用问题；</w:t>
      </w:r>
    </w:p>
    <w:p w14:paraId="17995C27">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（2）具备较强的沟通协助能力、协作能力，能够协助用户解决使用问题、收集日志，跟踪问题进展；</w:t>
      </w:r>
    </w:p>
    <w:p w14:paraId="3B847F94">
      <w:pPr>
        <w:keepNext/>
        <w:keepLines/>
        <w:widowControl w:val="0"/>
        <w:numPr>
          <w:ilvl w:val="1"/>
          <w:numId w:val="0"/>
        </w:numPr>
        <w:adjustRightInd w:val="0"/>
        <w:snapToGrid w:val="0"/>
        <w:spacing w:before="0" w:beforeLines="0" w:after="0" w:afterLines="0" w:line="360" w:lineRule="auto"/>
        <w:ind w:left="0" w:leftChars="0" w:firstLine="422" w:firstLineChars="200"/>
        <w:jc w:val="both"/>
        <w:outlineLvl w:val="1"/>
        <w:rPr>
          <w:rFonts w:hint="eastAsia" w:ascii="宋体" w:hAnsi="宋体" w:eastAsia="宋体" w:cs="宋体"/>
          <w:b/>
          <w:bCs/>
          <w:kern w:val="2"/>
          <w:sz w:val="21"/>
          <w:szCs w:val="21"/>
          <w:highlight w:val="none"/>
          <w:lang w:val="en-US" w:eastAsia="zh-CN" w:bidi="ar-SA"/>
        </w:rPr>
      </w:pPr>
      <w:r>
        <w:rPr>
          <w:rFonts w:hint="eastAsia" w:ascii="宋体" w:hAnsi="宋体" w:cs="宋体"/>
          <w:b/>
          <w:bCs/>
          <w:kern w:val="2"/>
          <w:sz w:val="21"/>
          <w:szCs w:val="21"/>
          <w:highlight w:val="none"/>
          <w:lang w:val="en-US" w:eastAsia="zh-CN" w:bidi="ar-SA"/>
        </w:rPr>
        <w:t>（四）</w:t>
      </w:r>
      <w:r>
        <w:rPr>
          <w:rFonts w:hint="eastAsia" w:ascii="宋体" w:hAnsi="宋体" w:eastAsia="宋体" w:cs="宋体"/>
          <w:b/>
          <w:bCs/>
          <w:kern w:val="2"/>
          <w:sz w:val="21"/>
          <w:szCs w:val="21"/>
          <w:highlight w:val="none"/>
          <w:lang w:val="en-US" w:eastAsia="zh-CN" w:bidi="ar-SA"/>
        </w:rPr>
        <w:t>非功能性需求说明</w:t>
      </w:r>
    </w:p>
    <w:p w14:paraId="42AF5B85">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kern w:val="2"/>
          <w:sz w:val="21"/>
          <w:szCs w:val="21"/>
          <w:highlight w:val="none"/>
          <w:lang w:val="en-US" w:eastAsia="zh-CN" w:bidi="ar-SA"/>
        </w:rPr>
      </w:pPr>
      <w:r>
        <w:rPr>
          <w:rFonts w:hint="eastAsia" w:ascii="宋体" w:hAnsi="宋体" w:cs="宋体"/>
          <w:b/>
          <w:bCs/>
          <w:kern w:val="2"/>
          <w:sz w:val="21"/>
          <w:szCs w:val="21"/>
          <w:highlight w:val="none"/>
          <w:lang w:val="en-US" w:eastAsia="zh-CN" w:bidi="ar-SA"/>
        </w:rPr>
        <w:t>1.</w:t>
      </w:r>
      <w:r>
        <w:rPr>
          <w:rFonts w:hint="eastAsia" w:ascii="宋体" w:hAnsi="宋体" w:eastAsia="宋体" w:cs="宋体"/>
          <w:b/>
          <w:bCs/>
          <w:kern w:val="2"/>
          <w:sz w:val="21"/>
          <w:szCs w:val="21"/>
          <w:highlight w:val="none"/>
          <w:lang w:val="en-US" w:eastAsia="zh-CN" w:bidi="ar-SA"/>
        </w:rPr>
        <w:t>性能需求</w:t>
      </w:r>
    </w:p>
    <w:p w14:paraId="098C545C">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（1）并发能力：系统支撑 1000个授权账号全量同时在线，可稳定实现即时通讯收发、在线文档协同编辑、邮箱收发、会议接入等全场景并发使用；产品底层采用弹性架构，预留资源扩容接口，后续可按需扩容账号与算力资源，适配公司人员扩充、业务新增带来的使用增量。</w:t>
      </w:r>
    </w:p>
    <w:p w14:paraId="5E9BF77B">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（2）接口响应：网络环境正常前提下，平台全部业务接口（通讯录查询、消息收发、文档保存、邮箱操作、会议发起等）平均响应时间≤1 秒，高频查询接口峰值响应不超过 1.5 秒。</w:t>
      </w:r>
    </w:p>
    <w:p w14:paraId="2A001375">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（3）文件传输：普通附件上传下载速率依托现有网络带宽正常发挥，超大文件分段传输稳定，文档在线实时协同编辑无明显卡顿、内容延迟丢失问题。</w:t>
      </w:r>
    </w:p>
    <w:p w14:paraId="76443137">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（4）会议性能：30个高级账号并发召开视频会议时，音视频画面流畅，无卡顿、花屏、语音断续现象。每个账号可以召开一场500人的会议。</w:t>
      </w:r>
    </w:p>
    <w:p w14:paraId="2CF96675">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（5）稳定性：服务期内平台整体可用率≥99.5%，计划外故障年停机时长符合企业信息化运维通用标准。</w:t>
      </w:r>
    </w:p>
    <w:p w14:paraId="0EE685E5">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2.第三方验收测评</w:t>
      </w:r>
    </w:p>
    <w:p w14:paraId="667162DF">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本项目整体建设完成后，须委托具备合法资质的第三方专业测评机构开展验收测评工作，乙方需全面配合第三方验收测评全过程，确保项目符合信创要求、功能要求、性能要求、安全要求及本项目全部需求标准，最终取得第三方验收测评合格报告。</w:t>
      </w:r>
    </w:p>
    <w:p w14:paraId="4EE99860">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3.集成范围</w:t>
      </w:r>
    </w:p>
    <w:p w14:paraId="64B3A0C4">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完成集团现有统一身份认证、OA、人力资源等系统全部对接成功，因第三方系统接口延迟或变更导致的工期延误，不计入承接方违约。</w:t>
      </w:r>
    </w:p>
    <w:p w14:paraId="12BEFF15">
      <w:pPr>
        <w:keepNext/>
        <w:keepLines/>
        <w:widowControl w:val="0"/>
        <w:numPr>
          <w:ilvl w:val="0"/>
          <w:numId w:val="0"/>
        </w:numPr>
        <w:adjustRightInd w:val="0"/>
        <w:snapToGrid w:val="0"/>
        <w:spacing w:before="0" w:beforeLines="0" w:after="0" w:afterLines="0" w:line="360" w:lineRule="auto"/>
        <w:ind w:firstLine="422" w:firstLineChars="200"/>
        <w:jc w:val="both"/>
        <w:outlineLvl w:val="2"/>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4.数据迁移</w:t>
      </w:r>
    </w:p>
    <w:p w14:paraId="74518AD5">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提供同个域名邮箱的迁移能力，支持从现有SaaS腾讯邮箱，将用户邮件迁移至私有化邮箱，同时支持将原有历史存量邮件，迁移至私有化邮箱。</w:t>
      </w:r>
    </w:p>
    <w:p w14:paraId="6273AFAE">
      <w:pPr>
        <w:keepNext/>
        <w:keepLines/>
        <w:widowControl w:val="0"/>
        <w:numPr>
          <w:ilvl w:val="1"/>
          <w:numId w:val="0"/>
        </w:numPr>
        <w:adjustRightInd w:val="0"/>
        <w:snapToGrid w:val="0"/>
        <w:spacing w:before="0" w:beforeLines="0" w:after="0" w:afterLines="0" w:line="360" w:lineRule="auto"/>
        <w:ind w:left="0" w:leftChars="0" w:firstLine="422" w:firstLineChars="200"/>
        <w:jc w:val="both"/>
        <w:outlineLvl w:val="1"/>
        <w:rPr>
          <w:rFonts w:hint="default"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（四）实施计划</w:t>
      </w:r>
    </w:p>
    <w:p w14:paraId="69C0E8E7">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尽快实施集团本部移动办公（现SaaS版企业微信）与邮箱私有化部署上线及保障下属企业日常移动办公与邮箱系统的稳定运营，2026年12月31日前实现集团本部、业务中心、分公司与所有子公司的移动办公与邮箱系统私有化部署上线，并支持全集团员工稳定、顺畅使用。</w:t>
      </w:r>
    </w:p>
    <w:p w14:paraId="0EF0D634">
      <w:pPr>
        <w:keepNext/>
        <w:keepLines/>
        <w:widowControl w:val="0"/>
        <w:numPr>
          <w:ilvl w:val="1"/>
          <w:numId w:val="0"/>
        </w:numPr>
        <w:adjustRightInd w:val="0"/>
        <w:snapToGrid w:val="0"/>
        <w:spacing w:before="0" w:beforeLines="0" w:after="0" w:afterLines="0" w:line="360" w:lineRule="auto"/>
        <w:ind w:left="0" w:leftChars="0" w:firstLine="422" w:firstLineChars="200"/>
        <w:jc w:val="both"/>
        <w:outlineLvl w:val="1"/>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（五）交付成果</w:t>
      </w:r>
    </w:p>
    <w:p w14:paraId="2A3085EB">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1.正式通过验收的系统软件，包括软件安装包、授权使用许可等。</w:t>
      </w:r>
    </w:p>
    <w:p w14:paraId="47364CB8">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2.项目建设过程全部有关的文档，包括但不限于技术文档、用户使用手册、实施报告及测试验收报告等，具体文档清单以集团项目建设工作指引为准。</w:t>
      </w:r>
    </w:p>
    <w:p w14:paraId="17D2C2F1">
      <w:pPr>
        <w:keepNext/>
        <w:keepLines/>
        <w:pageBreakBefore w:val="0"/>
        <w:widowControl w:val="0"/>
        <w:numPr>
          <w:ilvl w:val="0"/>
          <w:numId w:val="1"/>
        </w:numPr>
        <w:kinsoku/>
        <w:wordWrap/>
        <w:overflowPunct/>
        <w:topLinePunct w:val="0"/>
        <w:autoSpaceDE/>
        <w:autoSpaceDN/>
        <w:bidi w:val="0"/>
        <w:adjustRightInd w:val="0"/>
        <w:snapToGrid w:val="0"/>
        <w:spacing w:before="0" w:beforeLines="0" w:after="0" w:afterLines="0" w:line="360" w:lineRule="auto"/>
        <w:ind w:left="0" w:leftChars="0" w:firstLine="482" w:firstLineChars="200"/>
        <w:jc w:val="both"/>
        <w:textAlignment w:val="auto"/>
        <w:outlineLvl w:val="0"/>
        <w:rPr>
          <w:rStyle w:val="13"/>
          <w:rFonts w:hint="eastAsia" w:ascii="宋体" w:hAnsi="宋体" w:eastAsia="宋体" w:cs="宋体"/>
          <w:b/>
          <w:bCs/>
          <w:color w:val="auto"/>
          <w:kern w:val="44"/>
          <w:sz w:val="24"/>
          <w:szCs w:val="24"/>
          <w:highlight w:val="none"/>
          <w:lang w:val="en-US" w:eastAsia="zh-CN" w:bidi="ar-SA"/>
        </w:rPr>
      </w:pPr>
      <w:r>
        <w:rPr>
          <w:rStyle w:val="13"/>
          <w:rFonts w:hint="eastAsia" w:ascii="宋体" w:hAnsi="宋体" w:eastAsia="宋体" w:cs="宋体"/>
          <w:b/>
          <w:bCs/>
          <w:color w:val="auto"/>
          <w:kern w:val="44"/>
          <w:sz w:val="24"/>
          <w:szCs w:val="24"/>
          <w:highlight w:val="none"/>
          <w:lang w:val="en-US" w:eastAsia="zh-CN" w:bidi="ar-SA"/>
        </w:rPr>
        <w:t>验收标准</w:t>
      </w:r>
    </w:p>
    <w:p w14:paraId="1EF618DA">
      <w:pPr>
        <w:keepNext/>
        <w:keepLines/>
        <w:widowControl w:val="0"/>
        <w:numPr>
          <w:ilvl w:val="1"/>
          <w:numId w:val="0"/>
        </w:numPr>
        <w:adjustRightInd w:val="0"/>
        <w:snapToGrid w:val="0"/>
        <w:spacing w:before="0" w:beforeLines="0" w:after="0" w:afterLines="0" w:line="360" w:lineRule="auto"/>
        <w:ind w:left="0" w:leftChars="0" w:firstLine="422" w:firstLineChars="200"/>
        <w:jc w:val="both"/>
        <w:outlineLvl w:val="1"/>
        <w:rPr>
          <w:rFonts w:hint="default"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（一）验收总体原则</w:t>
      </w:r>
    </w:p>
    <w:p w14:paraId="39D36728">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（1）功能覆盖：项目需求书(详见附件1.移动办公与企业邮箱信创版本私有化部署服务项目需求说明书)明确的功能模块全部实现。</w:t>
      </w:r>
    </w:p>
    <w:p w14:paraId="6FBC5053">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（2）性能达标：响应时间、并发、稳定性满足项目需求书指标要求。</w:t>
      </w:r>
    </w:p>
    <w:p w14:paraId="4464E2CD">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（3）信创适配：完成项目需求书信创适配并可正常运行。</w:t>
      </w:r>
    </w:p>
    <w:p w14:paraId="23D15EB0">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（4）集成互通：完成集团现有OA系统、人力资源等系统全部对接成功。</w:t>
      </w:r>
    </w:p>
    <w:p w14:paraId="25D54F23">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（5）安全合规：等保二级以上、权限管控、日志留痕、加密存储、敏感词校验全部落实。</w:t>
      </w:r>
    </w:p>
    <w:p w14:paraId="266DA7E4">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（6）资料完整：验收内容包括但不限于：软件安装包、用户使用手册，实施报告、测试验收报告以及项目要求提供的其他文档等阶段性服务成果内容。</w:t>
      </w:r>
    </w:p>
    <w:p w14:paraId="4913D965">
      <w:pPr>
        <w:keepNext/>
        <w:keepLines/>
        <w:widowControl w:val="0"/>
        <w:numPr>
          <w:ilvl w:val="1"/>
          <w:numId w:val="0"/>
        </w:numPr>
        <w:adjustRightInd w:val="0"/>
        <w:snapToGrid w:val="0"/>
        <w:spacing w:before="0" w:beforeLines="0" w:after="0" w:afterLines="0" w:line="360" w:lineRule="auto"/>
        <w:ind w:left="0" w:leftChars="0" w:firstLine="422" w:firstLineChars="200"/>
        <w:jc w:val="both"/>
        <w:outlineLvl w:val="1"/>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（二）其他工作要求</w:t>
      </w:r>
    </w:p>
    <w:p w14:paraId="69672D73">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（1）按集团委托协议及任务书要求，组织阶段性验收相关材料准备与现场汇报，并顺利通过第三方专业机构验收测评。</w:t>
      </w:r>
    </w:p>
    <w:p w14:paraId="795FC1FB">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（2）配合集团开展项目审计、资金使用检查、档案归档、知识产权申报等工作。</w:t>
      </w:r>
    </w:p>
    <w:p w14:paraId="2E93BAB8">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（3）严格遵守集团保密规定及信息安全管理要求，对项目过程中涉及的商业秘密、数据资料、技术方案承担保密责任。</w:t>
      </w:r>
    </w:p>
    <w:p w14:paraId="4E733139">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仿宋_GB2312" w:hAnsi="仿宋_GB2312" w:eastAsia="仿宋_GB2312" w:cs="仿宋_GB2312"/>
          <w:color w:val="auto"/>
          <w:sz w:val="24"/>
          <w:szCs w:val="24"/>
          <w:highlight w:val="none"/>
          <w:lang w:val="en-US" w:eastAsia="zh-CN"/>
        </w:rPr>
      </w:pPr>
      <w:r>
        <w:rPr>
          <w:rFonts w:hint="eastAsia" w:ascii="宋体" w:hAnsi="宋体" w:eastAsia="宋体" w:cs="宋体"/>
          <w:sz w:val="21"/>
          <w:szCs w:val="21"/>
          <w:highlight w:val="none"/>
          <w:lang w:val="en-US" w:eastAsia="zh-CN"/>
        </w:rPr>
        <w:t>（4）SaaS企业微信认证及增值功能（外部联系人）以后台截图为验收标准。</w:t>
      </w:r>
    </w:p>
    <w:p w14:paraId="1580EC67">
      <w:pPr>
        <w:keepNext/>
        <w:keepLines/>
        <w:pageBreakBefore w:val="0"/>
        <w:widowControl w:val="0"/>
        <w:numPr>
          <w:ilvl w:val="0"/>
          <w:numId w:val="1"/>
        </w:numPr>
        <w:kinsoku/>
        <w:wordWrap/>
        <w:overflowPunct/>
        <w:topLinePunct w:val="0"/>
        <w:autoSpaceDE/>
        <w:autoSpaceDN/>
        <w:bidi w:val="0"/>
        <w:adjustRightInd w:val="0"/>
        <w:snapToGrid w:val="0"/>
        <w:spacing w:before="0" w:beforeLines="0" w:after="0" w:afterLines="0" w:line="360" w:lineRule="auto"/>
        <w:ind w:left="0" w:leftChars="0" w:firstLine="482" w:firstLineChars="200"/>
        <w:jc w:val="both"/>
        <w:textAlignment w:val="auto"/>
        <w:outlineLvl w:val="0"/>
        <w:rPr>
          <w:rStyle w:val="13"/>
          <w:rFonts w:hint="default" w:ascii="宋体" w:hAnsi="宋体" w:eastAsia="宋体" w:cs="宋体"/>
          <w:b/>
          <w:bCs/>
          <w:color w:val="auto"/>
          <w:kern w:val="44"/>
          <w:sz w:val="24"/>
          <w:szCs w:val="24"/>
          <w:highlight w:val="none"/>
          <w:lang w:val="en-US" w:eastAsia="zh-CN" w:bidi="ar-SA"/>
        </w:rPr>
      </w:pPr>
      <w:r>
        <w:rPr>
          <w:rStyle w:val="13"/>
          <w:rFonts w:hint="eastAsia" w:ascii="宋体" w:hAnsi="宋体" w:eastAsia="宋体" w:cs="宋体"/>
          <w:b/>
          <w:bCs/>
          <w:color w:val="auto"/>
          <w:kern w:val="44"/>
          <w:sz w:val="24"/>
          <w:szCs w:val="24"/>
          <w:highlight w:val="none"/>
          <w:lang w:val="en-US" w:eastAsia="zh-CN" w:bidi="ar-SA"/>
        </w:rPr>
        <w:t>结算条件</w:t>
      </w:r>
    </w:p>
    <w:p w14:paraId="6D55DA9C">
      <w:pPr>
        <w:keepNext/>
        <w:keepLines/>
        <w:widowControl w:val="0"/>
        <w:numPr>
          <w:ilvl w:val="1"/>
          <w:numId w:val="0"/>
        </w:numPr>
        <w:adjustRightInd w:val="0"/>
        <w:snapToGrid w:val="0"/>
        <w:spacing w:before="0" w:beforeLines="0" w:after="0" w:afterLines="0" w:line="360" w:lineRule="auto"/>
        <w:ind w:left="0" w:leftChars="0" w:firstLine="422" w:firstLineChars="200"/>
        <w:jc w:val="both"/>
        <w:outlineLvl w:val="1"/>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（一）付款节点与比例</w:t>
      </w:r>
    </w:p>
    <w:p w14:paraId="1DEF3C35">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1.承接方按照本项目需求文件及合同载明的验收标准完成对应阶段性服务内容，并通过阶段性验收后，由委托方签发验收合格文件。</w:t>
      </w:r>
    </w:p>
    <w:p w14:paraId="03079A97">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承接方应依据双方签署的合同约定的支付方式，分四期提请付款申请，委托方向承接方支付当期服务费用（其中基本服务费占比70%，履约服务费占比30%），其中第一期基本服务费占比100%（不含履约服务费）。实际付款金额计算公式如下：实际付款金额 = 当期服务费用×70%+当期服务费用×30%×本次履约评价对应实际支付比例。</w:t>
      </w:r>
    </w:p>
    <w:p w14:paraId="55069742">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第一期，首付款：支付项目金额的30%；</w:t>
      </w:r>
    </w:p>
    <w:p w14:paraId="1BA6D693">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第二期，项目一阶段验收款：支付项目金额的30%；</w:t>
      </w:r>
    </w:p>
    <w:p w14:paraId="549CE8A0">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第三期，项目二阶段及竣工验收款：支付项目金额的35%；</w:t>
      </w:r>
    </w:p>
    <w:p w14:paraId="6A78D82A">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第四期，项目质保期验收款：支付项目金额的5%。</w:t>
      </w:r>
    </w:p>
    <w:p w14:paraId="2016B934">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3.每次付款申请，承接方须提供：</w:t>
      </w:r>
    </w:p>
    <w:p w14:paraId="77CEC3C0">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（1）承接方出具的当期支付申请；</w:t>
      </w:r>
    </w:p>
    <w:p w14:paraId="61112F59">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（2）委托方签发的当期验收合格报告（第一期除外）；</w:t>
      </w:r>
    </w:p>
    <w:p w14:paraId="04AAB757">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（3）当期委托方签发的履约评价表（第一期除外）；</w:t>
      </w:r>
    </w:p>
    <w:p w14:paraId="18B04378">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（4）承接方开具的与委托方本阶段实际支付等额的增值专用发票。</w:t>
      </w:r>
    </w:p>
    <w:p w14:paraId="65A5D3F2">
      <w:pPr>
        <w:pStyle w:val="3"/>
        <w:numPr>
          <w:ilvl w:val="0"/>
          <w:numId w:val="0"/>
        </w:numPr>
        <w:topLinePunct w:val="0"/>
        <w:ind w:left="0" w:leftChars="0" w:firstLine="640"/>
        <w:rPr>
          <w:rFonts w:hint="eastAsia" w:ascii="Times New Roman" w:hAnsi="Times New Roman"/>
          <w:b/>
          <w:bCs/>
          <w:color w:val="auto"/>
          <w:highlight w:val="none"/>
          <w:lang w:val="en-US" w:eastAsia="zh-CN"/>
        </w:rPr>
      </w:pPr>
      <w:r>
        <w:rPr>
          <w:rFonts w:hint="eastAsia" w:ascii="Times New Roman" w:hAnsi="Times New Roman"/>
          <w:b/>
          <w:bCs/>
          <w:color w:val="auto"/>
          <w:highlight w:val="none"/>
          <w:lang w:val="en-US" w:eastAsia="zh-CN"/>
        </w:rPr>
        <w:t>（二）履约服务费</w:t>
      </w:r>
    </w:p>
    <w:p w14:paraId="516FDD7B">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bookmarkStart w:id="3" w:name="_GoBack"/>
      <w:r>
        <w:rPr>
          <w:rFonts w:hint="eastAsia" w:ascii="宋体" w:hAnsi="宋体" w:eastAsia="宋体" w:cs="宋体"/>
          <w:sz w:val="21"/>
          <w:szCs w:val="21"/>
          <w:highlight w:val="none"/>
          <w:lang w:val="en-US" w:eastAsia="zh-CN"/>
        </w:rPr>
        <w:t>委托方在每次付款前，将会对承接方进行履约评价，并按照履约评价结果支付履约服务费，履约服务费按履约评价结果与每阶段的基本服务费同期支付。</w:t>
      </w:r>
    </w:p>
    <w:p w14:paraId="3FCE7FF4">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1.履约评价分为五种结果，分别为优秀、良好、中等、合格、不合格。履约评价结果对应实际支付比例：</w:t>
      </w:r>
    </w:p>
    <w:p w14:paraId="5908E73A">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（1）履约评价等级为优秀的，支付当期100％履约服务费。</w:t>
      </w:r>
    </w:p>
    <w:p w14:paraId="78600AFF">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（2）履约评价等级为良好的，支付当期80％履约服务费。</w:t>
      </w:r>
    </w:p>
    <w:p w14:paraId="0A83D335">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（3）履约评价等级为中等的，支付当期70％履约服务费。</w:t>
      </w:r>
    </w:p>
    <w:p w14:paraId="4A4BBE26">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（4）履约评价等级为合格的，支付当期60%履约服务费。</w:t>
      </w:r>
    </w:p>
    <w:p w14:paraId="4FB65229">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（5）履约评价等级为不合格的，不予支付当期履约服务费，后续履约评价及结算时均不予补发。</w:t>
      </w:r>
    </w:p>
    <w:p w14:paraId="65F061B7">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2.实际支付履约服务费=应支付履约服务费*履约评价结果对应实际支付比例。</w:t>
      </w:r>
    </w:p>
    <w:p w14:paraId="147B7414">
      <w:pPr>
        <w:keepNext/>
        <w:keepLines/>
        <w:widowControl w:val="0"/>
        <w:numPr>
          <w:ilvl w:val="0"/>
          <w:numId w:val="0"/>
        </w:numPr>
        <w:adjustRightInd w:val="0"/>
        <w:snapToGrid w:val="0"/>
        <w:spacing w:before="0" w:beforeLines="0" w:after="0" w:afterLines="0" w:line="360" w:lineRule="auto"/>
        <w:ind w:firstLine="420" w:firstLineChars="200"/>
        <w:jc w:val="both"/>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3.因履约评价未达优秀而被扣减的履约服务费，后续亦不予补发。</w:t>
      </w:r>
    </w:p>
    <w:bookmarkEnd w:id="3"/>
    <w:p w14:paraId="244FC876">
      <w:pPr>
        <w:pStyle w:val="3"/>
        <w:numPr>
          <w:ilvl w:val="0"/>
          <w:numId w:val="0"/>
        </w:numPr>
        <w:topLinePunct w:val="0"/>
        <w:ind w:left="0" w:leftChars="0" w:firstLine="640"/>
        <w:rPr>
          <w:rFonts w:hint="eastAsia" w:ascii="Times New Roman" w:hAnsi="Times New Roman"/>
          <w:b/>
          <w:bCs/>
          <w:color w:val="auto"/>
          <w:highlight w:val="none"/>
          <w:lang w:val="en-US" w:eastAsia="zh-CN"/>
        </w:rPr>
      </w:pPr>
      <w:r>
        <w:rPr>
          <w:rFonts w:hint="eastAsia" w:ascii="Times New Roman" w:hAnsi="Times New Roman"/>
          <w:b/>
          <w:bCs/>
          <w:color w:val="auto"/>
          <w:highlight w:val="none"/>
          <w:lang w:val="en-US" w:eastAsia="zh-CN"/>
        </w:rPr>
        <w:t>（三）履约评价表</w:t>
      </w:r>
    </w:p>
    <w:p w14:paraId="4A432D6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《深圳交易集团</w:t>
      </w:r>
      <w:r>
        <w:rPr>
          <w:rFonts w:hint="eastAsia" w:ascii="仿宋_GB2312" w:hAnsi="仿宋_GB2312" w:eastAsia="仿宋_GB2312" w:cs="仿宋_GB2312"/>
          <w:b w:val="0"/>
          <w:bCs w:val="0"/>
          <w:sz w:val="24"/>
          <w:szCs w:val="24"/>
          <w:highlight w:val="none"/>
          <w:lang w:val="en-US" w:eastAsia="zh-CN"/>
        </w:rPr>
        <w:t>项目</w:t>
      </w:r>
      <w:r>
        <w:rPr>
          <w:rFonts w:hint="eastAsia" w:ascii="仿宋_GB2312" w:hAnsi="仿宋_GB2312" w:eastAsia="仿宋_GB2312" w:cs="仿宋_GB2312"/>
          <w:b w:val="0"/>
          <w:bCs w:val="0"/>
          <w:sz w:val="24"/>
          <w:szCs w:val="24"/>
          <w:highlight w:val="none"/>
          <w:lang w:eastAsia="zh-CN"/>
        </w:rPr>
        <w:t>履约情况评价表》</w:t>
      </w:r>
    </w:p>
    <w:p w14:paraId="3C3EAE85">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 xml:space="preserve">评价单位：                   </w:t>
      </w:r>
      <w:r>
        <w:rPr>
          <w:rFonts w:hint="eastAsia" w:ascii="仿宋_GB2312" w:hAnsi="仿宋_GB2312" w:eastAsia="仿宋_GB2312" w:cs="仿宋_GB2312"/>
          <w:b w:val="0"/>
          <w:bCs w:val="0"/>
          <w:sz w:val="24"/>
          <w:szCs w:val="24"/>
          <w:highlight w:val="none"/>
          <w:lang w:val="en-US" w:eastAsia="zh-CN"/>
        </w:rPr>
        <w:t xml:space="preserve">        评价</w:t>
      </w:r>
      <w:r>
        <w:rPr>
          <w:rFonts w:hint="eastAsia" w:ascii="仿宋_GB2312" w:hAnsi="仿宋_GB2312" w:eastAsia="仿宋_GB2312" w:cs="仿宋_GB2312"/>
          <w:b w:val="0"/>
          <w:bCs w:val="0"/>
          <w:sz w:val="24"/>
          <w:szCs w:val="24"/>
          <w:highlight w:val="none"/>
          <w:lang w:eastAsia="zh-CN"/>
        </w:rPr>
        <w:t>人及电话：</w:t>
      </w:r>
    </w:p>
    <w:tbl>
      <w:tblPr>
        <w:tblStyle w:val="9"/>
        <w:tblW w:w="4998"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0"/>
        <w:gridCol w:w="1057"/>
        <w:gridCol w:w="1089"/>
        <w:gridCol w:w="1883"/>
        <w:gridCol w:w="1585"/>
        <w:gridCol w:w="2165"/>
      </w:tblGrid>
      <w:tr w14:paraId="2CF4BB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3" w:hRule="atLeast"/>
          <w:jc w:val="center"/>
        </w:trPr>
        <w:tc>
          <w:tcPr>
            <w:tcW w:w="1694" w:type="pct"/>
            <w:gridSpan w:val="3"/>
            <w:vAlign w:val="center"/>
          </w:tcPr>
          <w:p w14:paraId="4E0A03E8">
            <w:pPr>
              <w:widowControl/>
              <w:spacing w:line="360" w:lineRule="auto"/>
              <w:jc w:val="center"/>
              <w:rPr>
                <w:rFonts w:hint="eastAsia" w:ascii="仿宋_GB2312" w:hAnsi="宋体" w:eastAsia="仿宋_GB2312" w:cs="Times New Roman"/>
                <w:b w:val="0"/>
                <w:bCs w:val="0"/>
                <w:szCs w:val="21"/>
                <w:highlight w:val="none"/>
                <w:lang w:val="en-US" w:eastAsia="zh-CN"/>
              </w:rPr>
            </w:pPr>
            <w:r>
              <w:rPr>
                <w:rFonts w:hint="eastAsia" w:ascii="仿宋_GB2312" w:hAnsi="宋体" w:eastAsia="仿宋_GB2312" w:cs="Times New Roman"/>
                <w:b w:val="0"/>
                <w:bCs w:val="0"/>
                <w:szCs w:val="21"/>
                <w:highlight w:val="none"/>
                <w:lang w:val="en-US" w:eastAsia="zh-CN"/>
              </w:rPr>
              <w:t>承接方</w:t>
            </w:r>
          </w:p>
        </w:tc>
        <w:tc>
          <w:tcPr>
            <w:tcW w:w="1105" w:type="pct"/>
            <w:vAlign w:val="center"/>
          </w:tcPr>
          <w:p w14:paraId="74BD26BF">
            <w:pPr>
              <w:widowControl/>
              <w:ind w:firstLine="420" w:firstLineChars="200"/>
              <w:rPr>
                <w:rFonts w:hint="eastAsia" w:ascii="仿宋_GB2312" w:hAnsi="宋体" w:eastAsia="仿宋_GB2312" w:cs="Times New Roman"/>
                <w:b w:val="0"/>
                <w:bCs w:val="0"/>
                <w:szCs w:val="21"/>
                <w:highlight w:val="none"/>
              </w:rPr>
            </w:pPr>
          </w:p>
        </w:tc>
        <w:tc>
          <w:tcPr>
            <w:tcW w:w="930" w:type="pct"/>
            <w:vAlign w:val="center"/>
          </w:tcPr>
          <w:p w14:paraId="410C52E1">
            <w:pPr>
              <w:widowControl/>
              <w:spacing w:line="360" w:lineRule="auto"/>
              <w:jc w:val="center"/>
              <w:rPr>
                <w:rFonts w:hint="default" w:ascii="仿宋_GB2312" w:hAnsi="宋体" w:eastAsia="仿宋_GB2312" w:cs="Times New Roman"/>
                <w:b w:val="0"/>
                <w:bCs w:val="0"/>
                <w:szCs w:val="21"/>
                <w:highlight w:val="none"/>
                <w:lang w:val="en-US"/>
              </w:rPr>
            </w:pPr>
            <w:r>
              <w:rPr>
                <w:rFonts w:hint="eastAsia" w:ascii="仿宋_GB2312" w:hAnsi="宋体" w:eastAsia="仿宋_GB2312" w:cs="Times New Roman"/>
                <w:b w:val="0"/>
                <w:bCs w:val="0"/>
                <w:szCs w:val="21"/>
                <w:highlight w:val="none"/>
                <w:lang w:val="en-US" w:eastAsia="zh-CN"/>
              </w:rPr>
              <w:t>服务周期</w:t>
            </w:r>
          </w:p>
        </w:tc>
        <w:tc>
          <w:tcPr>
            <w:tcW w:w="1270" w:type="pct"/>
            <w:vAlign w:val="center"/>
          </w:tcPr>
          <w:p w14:paraId="3046BE9A">
            <w:pPr>
              <w:widowControl/>
              <w:spacing w:line="360" w:lineRule="auto"/>
              <w:ind w:firstLine="420" w:firstLineChars="200"/>
              <w:jc w:val="center"/>
              <w:rPr>
                <w:rFonts w:hint="eastAsia" w:ascii="仿宋_GB2312" w:hAnsi="宋体" w:eastAsia="仿宋_GB2312" w:cs="Times New Roman"/>
                <w:b w:val="0"/>
                <w:bCs w:val="0"/>
                <w:szCs w:val="21"/>
                <w:highlight w:val="none"/>
              </w:rPr>
            </w:pPr>
          </w:p>
        </w:tc>
      </w:tr>
      <w:tr w14:paraId="031CA2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9" w:hRule="atLeast"/>
          <w:jc w:val="center"/>
        </w:trPr>
        <w:tc>
          <w:tcPr>
            <w:tcW w:w="435" w:type="pct"/>
            <w:vAlign w:val="center"/>
          </w:tcPr>
          <w:p w14:paraId="6DEE0081">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序号</w:t>
            </w:r>
          </w:p>
        </w:tc>
        <w:tc>
          <w:tcPr>
            <w:tcW w:w="1258" w:type="pct"/>
            <w:gridSpan w:val="2"/>
            <w:vAlign w:val="center"/>
          </w:tcPr>
          <w:p w14:paraId="59063BF3">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评价内容</w:t>
            </w:r>
          </w:p>
        </w:tc>
        <w:tc>
          <w:tcPr>
            <w:tcW w:w="1105" w:type="pct"/>
            <w:vAlign w:val="center"/>
          </w:tcPr>
          <w:p w14:paraId="5289CB32">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分值（分）</w:t>
            </w:r>
          </w:p>
        </w:tc>
        <w:tc>
          <w:tcPr>
            <w:tcW w:w="930" w:type="pct"/>
            <w:vAlign w:val="center"/>
          </w:tcPr>
          <w:p w14:paraId="56BFE120">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实际得分</w:t>
            </w:r>
          </w:p>
        </w:tc>
        <w:tc>
          <w:tcPr>
            <w:tcW w:w="1270" w:type="pct"/>
            <w:vAlign w:val="center"/>
          </w:tcPr>
          <w:p w14:paraId="60DDE135">
            <w:pPr>
              <w:widowControl/>
              <w:spacing w:line="360" w:lineRule="auto"/>
              <w:jc w:val="center"/>
              <w:rPr>
                <w:rFonts w:hint="eastAsia" w:ascii="仿宋_GB2312" w:hAnsi="宋体" w:eastAsia="仿宋_GB2312" w:cs="Times New Roman"/>
                <w:b w:val="0"/>
                <w:bCs w:val="0"/>
                <w:szCs w:val="21"/>
                <w:highlight w:val="none"/>
              </w:rPr>
            </w:pPr>
            <w:r>
              <w:rPr>
                <w:rFonts w:hint="eastAsia" w:ascii="仿宋_GB2312" w:hAnsi="宋体" w:eastAsia="仿宋_GB2312" w:cs="Times New Roman"/>
                <w:b w:val="0"/>
                <w:bCs w:val="0"/>
                <w:szCs w:val="21"/>
                <w:highlight w:val="none"/>
              </w:rPr>
              <w:t>说明</w:t>
            </w:r>
          </w:p>
        </w:tc>
      </w:tr>
      <w:tr w14:paraId="366BF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35" w:type="pct"/>
            <w:vAlign w:val="center"/>
          </w:tcPr>
          <w:p w14:paraId="641CF5B3">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szCs w:val="21"/>
                <w:highlight w:val="none"/>
              </w:rPr>
              <w:t>1</w:t>
            </w:r>
          </w:p>
        </w:tc>
        <w:tc>
          <w:tcPr>
            <w:tcW w:w="1258" w:type="pct"/>
            <w:gridSpan w:val="2"/>
            <w:vAlign w:val="center"/>
          </w:tcPr>
          <w:p w14:paraId="4F23FEEA">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lang w:val="en-US" w:eastAsia="zh-CN"/>
              </w:rPr>
              <w:t>服务</w:t>
            </w:r>
            <w:r>
              <w:rPr>
                <w:rFonts w:hint="eastAsia" w:ascii="仿宋_GB2312" w:hAnsi="宋体" w:eastAsia="仿宋_GB2312" w:cs="Times New Roman"/>
                <w:szCs w:val="21"/>
                <w:highlight w:val="none"/>
              </w:rPr>
              <w:t>内容落实与保障措施</w:t>
            </w:r>
          </w:p>
        </w:tc>
        <w:tc>
          <w:tcPr>
            <w:tcW w:w="1105" w:type="pct"/>
            <w:vAlign w:val="center"/>
          </w:tcPr>
          <w:p w14:paraId="235EFD03">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2D1FBC24">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011E9646">
            <w:pPr>
              <w:widowControl/>
              <w:spacing w:line="360" w:lineRule="auto"/>
              <w:jc w:val="center"/>
              <w:rPr>
                <w:rFonts w:hint="eastAsia" w:ascii="仿宋_GB2312" w:hAnsi="宋体" w:eastAsia="仿宋_GB2312" w:cs="Times New Roman"/>
                <w:szCs w:val="21"/>
                <w:highlight w:val="none"/>
              </w:rPr>
            </w:pPr>
          </w:p>
        </w:tc>
      </w:tr>
      <w:tr w14:paraId="4CA3B7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38A8BBF2">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2</w:t>
            </w:r>
          </w:p>
        </w:tc>
        <w:tc>
          <w:tcPr>
            <w:tcW w:w="1258" w:type="pct"/>
            <w:gridSpan w:val="2"/>
            <w:vAlign w:val="center"/>
          </w:tcPr>
          <w:p w14:paraId="3758C946">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人员配备与投入</w:t>
            </w:r>
          </w:p>
        </w:tc>
        <w:tc>
          <w:tcPr>
            <w:tcW w:w="1105" w:type="pct"/>
            <w:vAlign w:val="center"/>
          </w:tcPr>
          <w:p w14:paraId="00C20CC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52E65B13">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54651885">
            <w:pPr>
              <w:widowControl/>
              <w:spacing w:line="360" w:lineRule="auto"/>
              <w:jc w:val="center"/>
              <w:rPr>
                <w:rFonts w:hint="eastAsia" w:ascii="仿宋_GB2312" w:hAnsi="宋体" w:eastAsia="仿宋_GB2312" w:cs="Times New Roman"/>
                <w:szCs w:val="21"/>
                <w:highlight w:val="none"/>
              </w:rPr>
            </w:pPr>
          </w:p>
        </w:tc>
      </w:tr>
      <w:tr w14:paraId="6BF42A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7853E4C8">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3</w:t>
            </w:r>
          </w:p>
        </w:tc>
        <w:tc>
          <w:tcPr>
            <w:tcW w:w="1258" w:type="pct"/>
            <w:gridSpan w:val="2"/>
            <w:vAlign w:val="center"/>
          </w:tcPr>
          <w:p w14:paraId="4F675647">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服务质量</w:t>
            </w:r>
          </w:p>
        </w:tc>
        <w:tc>
          <w:tcPr>
            <w:tcW w:w="1105" w:type="pct"/>
            <w:vAlign w:val="center"/>
          </w:tcPr>
          <w:p w14:paraId="1E4BE14C">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760D6A1D">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31212FDD">
            <w:pPr>
              <w:widowControl/>
              <w:spacing w:line="360" w:lineRule="auto"/>
              <w:jc w:val="center"/>
              <w:rPr>
                <w:rFonts w:hint="eastAsia" w:ascii="仿宋_GB2312" w:hAnsi="宋体" w:eastAsia="仿宋_GB2312" w:cs="Times New Roman"/>
                <w:szCs w:val="21"/>
                <w:highlight w:val="none"/>
              </w:rPr>
            </w:pPr>
          </w:p>
        </w:tc>
      </w:tr>
      <w:tr w14:paraId="17124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0" w:hRule="atLeast"/>
          <w:jc w:val="center"/>
        </w:trPr>
        <w:tc>
          <w:tcPr>
            <w:tcW w:w="435" w:type="pct"/>
            <w:vAlign w:val="center"/>
          </w:tcPr>
          <w:p w14:paraId="78CEC71E">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4</w:t>
            </w:r>
          </w:p>
        </w:tc>
        <w:tc>
          <w:tcPr>
            <w:tcW w:w="1258" w:type="pct"/>
            <w:gridSpan w:val="2"/>
            <w:vAlign w:val="center"/>
          </w:tcPr>
          <w:p w14:paraId="2433B3B7">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服务效率</w:t>
            </w:r>
          </w:p>
        </w:tc>
        <w:tc>
          <w:tcPr>
            <w:tcW w:w="1105" w:type="pct"/>
            <w:vAlign w:val="center"/>
          </w:tcPr>
          <w:p w14:paraId="019D37EF">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DAD24CA">
            <w:pPr>
              <w:widowControl/>
              <w:spacing w:line="360" w:lineRule="auto"/>
              <w:jc w:val="center"/>
              <w:rPr>
                <w:rFonts w:hint="eastAsia" w:ascii="仿宋_GB2312" w:hAnsi="宋体" w:eastAsia="仿宋_GB2312" w:cs="Times New Roman"/>
                <w:szCs w:val="21"/>
                <w:highlight w:val="none"/>
              </w:rPr>
            </w:pPr>
          </w:p>
        </w:tc>
        <w:tc>
          <w:tcPr>
            <w:tcW w:w="1270" w:type="pct"/>
            <w:vAlign w:val="center"/>
          </w:tcPr>
          <w:p w14:paraId="12326908">
            <w:pPr>
              <w:widowControl/>
              <w:spacing w:line="360" w:lineRule="auto"/>
              <w:jc w:val="center"/>
              <w:rPr>
                <w:rFonts w:hint="eastAsia" w:ascii="仿宋_GB2312" w:hAnsi="宋体" w:eastAsia="仿宋_GB2312" w:cs="Times New Roman"/>
                <w:szCs w:val="21"/>
                <w:highlight w:val="none"/>
              </w:rPr>
            </w:pPr>
          </w:p>
        </w:tc>
      </w:tr>
      <w:tr w14:paraId="4098D6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15B7E92E">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5</w:t>
            </w:r>
          </w:p>
        </w:tc>
        <w:tc>
          <w:tcPr>
            <w:tcW w:w="1258" w:type="pct"/>
            <w:gridSpan w:val="2"/>
            <w:vAlign w:val="center"/>
          </w:tcPr>
          <w:p w14:paraId="59ECB17A">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服务态度</w:t>
            </w:r>
          </w:p>
        </w:tc>
        <w:tc>
          <w:tcPr>
            <w:tcW w:w="1105" w:type="pct"/>
            <w:vAlign w:val="center"/>
          </w:tcPr>
          <w:p w14:paraId="52A2663B">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7FD5F59F">
            <w:pPr>
              <w:widowControl/>
              <w:spacing w:line="360" w:lineRule="auto"/>
              <w:jc w:val="center"/>
              <w:rPr>
                <w:rFonts w:hint="eastAsia" w:ascii="宋体" w:hAnsi="宋体" w:eastAsia="宋体" w:cs="宋体"/>
                <w:sz w:val="18"/>
                <w:szCs w:val="18"/>
                <w:highlight w:val="none"/>
              </w:rPr>
            </w:pPr>
          </w:p>
        </w:tc>
        <w:tc>
          <w:tcPr>
            <w:tcW w:w="1270" w:type="pct"/>
            <w:vAlign w:val="center"/>
          </w:tcPr>
          <w:p w14:paraId="435A99A9">
            <w:pPr>
              <w:widowControl/>
              <w:spacing w:line="360" w:lineRule="auto"/>
              <w:jc w:val="center"/>
              <w:rPr>
                <w:rFonts w:hint="eastAsia" w:ascii="仿宋_GB2312" w:hAnsi="宋体" w:eastAsia="仿宋_GB2312" w:cs="Times New Roman"/>
                <w:szCs w:val="21"/>
                <w:highlight w:val="none"/>
              </w:rPr>
            </w:pPr>
          </w:p>
        </w:tc>
      </w:tr>
      <w:tr w14:paraId="40ACB8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2D5BF79F">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6</w:t>
            </w:r>
          </w:p>
        </w:tc>
        <w:tc>
          <w:tcPr>
            <w:tcW w:w="1258" w:type="pct"/>
            <w:gridSpan w:val="2"/>
            <w:vAlign w:val="center"/>
          </w:tcPr>
          <w:p w14:paraId="26F565A0">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安全保障</w:t>
            </w:r>
          </w:p>
        </w:tc>
        <w:tc>
          <w:tcPr>
            <w:tcW w:w="1105" w:type="pct"/>
            <w:vAlign w:val="center"/>
          </w:tcPr>
          <w:p w14:paraId="1C6B7101">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799F8CC">
            <w:pPr>
              <w:widowControl/>
              <w:spacing w:line="360" w:lineRule="auto"/>
              <w:jc w:val="center"/>
              <w:rPr>
                <w:rFonts w:hint="eastAsia" w:ascii="宋体" w:hAnsi="宋体" w:eastAsia="宋体" w:cs="宋体"/>
                <w:sz w:val="18"/>
                <w:szCs w:val="18"/>
                <w:highlight w:val="none"/>
              </w:rPr>
            </w:pPr>
          </w:p>
        </w:tc>
        <w:tc>
          <w:tcPr>
            <w:tcW w:w="1270" w:type="pct"/>
            <w:vAlign w:val="center"/>
          </w:tcPr>
          <w:p w14:paraId="4A51BFE9">
            <w:pPr>
              <w:widowControl/>
              <w:spacing w:line="360" w:lineRule="auto"/>
              <w:jc w:val="center"/>
              <w:rPr>
                <w:rFonts w:hint="eastAsia" w:ascii="仿宋_GB2312" w:hAnsi="宋体" w:eastAsia="仿宋_GB2312" w:cs="Times New Roman"/>
                <w:szCs w:val="21"/>
                <w:highlight w:val="none"/>
              </w:rPr>
            </w:pPr>
          </w:p>
        </w:tc>
      </w:tr>
      <w:tr w14:paraId="705ABA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435" w:type="pct"/>
            <w:vAlign w:val="center"/>
          </w:tcPr>
          <w:p w14:paraId="183393A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7</w:t>
            </w:r>
          </w:p>
        </w:tc>
        <w:tc>
          <w:tcPr>
            <w:tcW w:w="1258" w:type="pct"/>
            <w:gridSpan w:val="2"/>
            <w:vAlign w:val="center"/>
          </w:tcPr>
          <w:p w14:paraId="509DF765">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项目经理履职情况</w:t>
            </w:r>
          </w:p>
        </w:tc>
        <w:tc>
          <w:tcPr>
            <w:tcW w:w="1105" w:type="pct"/>
            <w:vAlign w:val="center"/>
          </w:tcPr>
          <w:p w14:paraId="14E86BCD">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453B08E5">
            <w:pPr>
              <w:widowControl/>
              <w:spacing w:line="360" w:lineRule="auto"/>
              <w:jc w:val="center"/>
              <w:rPr>
                <w:rFonts w:hint="eastAsia" w:ascii="宋体" w:hAnsi="宋体" w:eastAsia="宋体" w:cs="宋体"/>
                <w:sz w:val="18"/>
                <w:szCs w:val="18"/>
                <w:highlight w:val="none"/>
              </w:rPr>
            </w:pPr>
          </w:p>
        </w:tc>
        <w:tc>
          <w:tcPr>
            <w:tcW w:w="1270" w:type="pct"/>
            <w:vAlign w:val="center"/>
          </w:tcPr>
          <w:p w14:paraId="0752D264">
            <w:pPr>
              <w:widowControl/>
              <w:spacing w:line="360" w:lineRule="auto"/>
              <w:jc w:val="center"/>
              <w:rPr>
                <w:rFonts w:hint="eastAsia" w:ascii="仿宋_GB2312" w:hAnsi="宋体" w:eastAsia="仿宋_GB2312" w:cs="Times New Roman"/>
                <w:szCs w:val="21"/>
                <w:highlight w:val="none"/>
              </w:rPr>
            </w:pPr>
          </w:p>
        </w:tc>
      </w:tr>
      <w:tr w14:paraId="531152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435" w:type="pct"/>
            <w:vAlign w:val="center"/>
          </w:tcPr>
          <w:p w14:paraId="5072243A">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8</w:t>
            </w:r>
          </w:p>
        </w:tc>
        <w:tc>
          <w:tcPr>
            <w:tcW w:w="1258" w:type="pct"/>
            <w:gridSpan w:val="2"/>
            <w:vAlign w:val="center"/>
          </w:tcPr>
          <w:p w14:paraId="01EBB95B">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其他</w:t>
            </w:r>
          </w:p>
        </w:tc>
        <w:tc>
          <w:tcPr>
            <w:tcW w:w="1105" w:type="pct"/>
            <w:vAlign w:val="center"/>
          </w:tcPr>
          <w:p w14:paraId="67824355">
            <w:pPr>
              <w:widowControl/>
              <w:spacing w:line="360" w:lineRule="auto"/>
              <w:jc w:val="center"/>
              <w:rPr>
                <w:rFonts w:hint="eastAsia" w:ascii="仿宋_GB2312" w:hAnsi="宋体" w:eastAsia="仿宋_GB2312" w:cs="Times New Roman"/>
                <w:szCs w:val="21"/>
                <w:highlight w:val="none"/>
              </w:rPr>
            </w:pPr>
            <w:r>
              <w:rPr>
                <w:rFonts w:hint="eastAsia" w:ascii="仿宋_GB2312" w:hAnsi="宋体" w:eastAsia="仿宋_GB2312" w:cs="Times New Roman"/>
                <w:szCs w:val="21"/>
                <w:highlight w:val="none"/>
              </w:rPr>
              <w:t>100</w:t>
            </w:r>
          </w:p>
        </w:tc>
        <w:tc>
          <w:tcPr>
            <w:tcW w:w="930" w:type="pct"/>
            <w:vAlign w:val="center"/>
          </w:tcPr>
          <w:p w14:paraId="6F5C1AFA">
            <w:pPr>
              <w:widowControl/>
              <w:spacing w:line="360" w:lineRule="auto"/>
              <w:jc w:val="center"/>
              <w:rPr>
                <w:rFonts w:hint="eastAsia" w:ascii="宋体" w:hAnsi="宋体" w:eastAsia="宋体" w:cs="宋体"/>
                <w:sz w:val="18"/>
                <w:szCs w:val="18"/>
                <w:highlight w:val="none"/>
              </w:rPr>
            </w:pPr>
          </w:p>
        </w:tc>
        <w:tc>
          <w:tcPr>
            <w:tcW w:w="1270" w:type="pct"/>
            <w:vAlign w:val="center"/>
          </w:tcPr>
          <w:p w14:paraId="21FC4347">
            <w:pPr>
              <w:widowControl/>
              <w:spacing w:line="360" w:lineRule="auto"/>
              <w:jc w:val="center"/>
              <w:rPr>
                <w:rFonts w:hint="eastAsia" w:ascii="仿宋_GB2312" w:hAnsi="宋体" w:eastAsia="仿宋_GB2312" w:cs="Times New Roman"/>
                <w:szCs w:val="21"/>
                <w:highlight w:val="none"/>
              </w:rPr>
            </w:pPr>
          </w:p>
        </w:tc>
      </w:tr>
      <w:tr w14:paraId="60228E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694" w:type="pct"/>
            <w:gridSpan w:val="3"/>
            <w:vAlign w:val="center"/>
          </w:tcPr>
          <w:p w14:paraId="0EB7B68E">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b/>
                <w:bCs/>
                <w:szCs w:val="21"/>
                <w:highlight w:val="none"/>
              </w:rPr>
              <w:t>综合考评总分</w:t>
            </w:r>
          </w:p>
          <w:p w14:paraId="085D1CD8">
            <w:pPr>
              <w:widowControl/>
              <w:spacing w:line="360" w:lineRule="auto"/>
              <w:jc w:val="center"/>
              <w:rPr>
                <w:rFonts w:hint="eastAsia" w:ascii="仿宋_GB2312" w:hAnsi="宋体" w:eastAsia="仿宋_GB2312" w:cs="Times New Roman"/>
                <w:b/>
                <w:bCs/>
                <w:szCs w:val="21"/>
                <w:highlight w:val="none"/>
              </w:rPr>
            </w:pPr>
            <w:r>
              <w:rPr>
                <w:rFonts w:hint="eastAsia" w:ascii="仿宋_GB2312" w:hAnsi="宋体" w:eastAsia="仿宋_GB2312" w:cs="Times New Roman"/>
                <w:b/>
                <w:bCs/>
                <w:szCs w:val="21"/>
                <w:highlight w:val="none"/>
              </w:rPr>
              <w:t>（即上述实际得分的平均值）</w:t>
            </w:r>
          </w:p>
        </w:tc>
        <w:tc>
          <w:tcPr>
            <w:tcW w:w="3305" w:type="pct"/>
            <w:gridSpan w:val="3"/>
            <w:vAlign w:val="center"/>
          </w:tcPr>
          <w:p w14:paraId="6DACB92B">
            <w:pPr>
              <w:widowControl/>
              <w:spacing w:line="360" w:lineRule="auto"/>
              <w:ind w:firstLine="420" w:firstLineChars="200"/>
              <w:rPr>
                <w:rFonts w:hint="eastAsia" w:ascii="宋体" w:hAnsi="宋体" w:eastAsia="宋体" w:cs="Times New Roman"/>
                <w:szCs w:val="21"/>
                <w:highlight w:val="none"/>
              </w:rPr>
            </w:pPr>
          </w:p>
        </w:tc>
      </w:tr>
      <w:tr w14:paraId="635FC9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055" w:type="pct"/>
            <w:gridSpan w:val="2"/>
            <w:vAlign w:val="center"/>
          </w:tcPr>
          <w:p w14:paraId="5EF17E98">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具体情况说明</w:t>
            </w:r>
          </w:p>
        </w:tc>
        <w:tc>
          <w:tcPr>
            <w:tcW w:w="3944" w:type="pct"/>
            <w:gridSpan w:val="4"/>
          </w:tcPr>
          <w:p w14:paraId="638FCD0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tc>
      </w:tr>
      <w:tr w14:paraId="050020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055" w:type="pct"/>
            <w:gridSpan w:val="2"/>
            <w:vAlign w:val="center"/>
          </w:tcPr>
          <w:p w14:paraId="112043FD">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改进建议及要求</w:t>
            </w:r>
          </w:p>
        </w:tc>
        <w:tc>
          <w:tcPr>
            <w:tcW w:w="3944" w:type="pct"/>
            <w:gridSpan w:val="4"/>
            <w:vAlign w:val="center"/>
          </w:tcPr>
          <w:p w14:paraId="778CB15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tc>
      </w:tr>
      <w:tr w14:paraId="6A6885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683" w:hRule="atLeast"/>
          <w:jc w:val="center"/>
        </w:trPr>
        <w:tc>
          <w:tcPr>
            <w:tcW w:w="1055" w:type="pct"/>
            <w:gridSpan w:val="2"/>
            <w:vAlign w:val="center"/>
          </w:tcPr>
          <w:p w14:paraId="02282E1F">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评价单位意见</w:t>
            </w:r>
          </w:p>
          <w:p w14:paraId="30FDAA4B">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（签字或盖章）</w:t>
            </w:r>
          </w:p>
        </w:tc>
        <w:tc>
          <w:tcPr>
            <w:tcW w:w="3944" w:type="pct"/>
            <w:gridSpan w:val="4"/>
            <w:vAlign w:val="center"/>
          </w:tcPr>
          <w:p w14:paraId="23E118A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p w14:paraId="2F659E2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p>
          <w:p w14:paraId="1473B11D">
            <w:pPr>
              <w:keepNext w:val="0"/>
              <w:keepLines w:val="0"/>
              <w:pageBreakBefore w:val="0"/>
              <w:widowControl w:val="0"/>
              <w:kinsoku/>
              <w:wordWrap/>
              <w:overflowPunct/>
              <w:topLinePunct w:val="0"/>
              <w:autoSpaceDE/>
              <w:autoSpaceDN/>
              <w:bidi w:val="0"/>
              <w:adjustRightInd/>
              <w:snapToGrid/>
              <w:ind w:firstLine="3360" w:firstLineChars="14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日期：   年   月   日</w:t>
            </w:r>
          </w:p>
        </w:tc>
      </w:tr>
    </w:tbl>
    <w:p w14:paraId="09C9135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说明：</w:t>
      </w:r>
    </w:p>
    <w:p w14:paraId="0D562CF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 xml:space="preserve">1、履约评价内容各项采用百分制，综合考评总分（以各项实际得分平均值计算）为优秀（评分≥90分）、良好（80≤评分＜90）、中等（70≤评分＜80）、合格（60≤评分＜70）、不合格（评分＜60）五个等级。                                                                  </w:t>
      </w:r>
    </w:p>
    <w:p w14:paraId="44BF6FF6">
      <w:pPr>
        <w:pStyle w:val="6"/>
        <w:ind w:firstLine="480" w:firstLineChars="20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sz w:val="24"/>
          <w:szCs w:val="24"/>
          <w:highlight w:val="none"/>
          <w:lang w:val="en-US" w:eastAsia="zh-CN"/>
        </w:rPr>
        <w:t>2、履约评价为优秀的，履约服务费按100%支付；评价为良好的，履约服务费按80%支付；评价为中等的，履约服务费按70%支付；评价为合格的，履约服务费按60%支付；评价为不合格的，履约服务费不予支付。</w:t>
      </w:r>
    </w:p>
    <w:p w14:paraId="482679E2">
      <w:pPr>
        <w:pStyle w:val="6"/>
        <w:ind w:firstLine="480" w:firstLineChars="200"/>
        <w:rPr>
          <w:rFonts w:hint="eastAsia" w:ascii="仿宋_GB2312" w:hAnsi="仿宋_GB2312" w:eastAsia="仿宋_GB2312" w:cs="仿宋_GB2312"/>
          <w:color w:val="auto"/>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Garamond">
    <w:panose1 w:val="02020404030301010803"/>
    <w:charset w:val="00"/>
    <w:family w:val="roman"/>
    <w:pitch w:val="default"/>
    <w:sig w:usb0="00000287" w:usb1="00000000" w:usb2="00000000" w:usb3="00000000" w:csb0="0000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norHAnsi">
    <w:altName w:val="Segoe Print"/>
    <w:panose1 w:val="00000000000000000000"/>
    <w:charset w:val="00"/>
    <w:family w:val="auto"/>
    <w:pitch w:val="default"/>
    <w:sig w:usb0="00000000" w:usb1="00000000" w:usb2="00000000" w:usb3="00000000" w:csb0="00000000" w:csb1="00000000"/>
  </w:font>
  <w:font w:name="minorEastAsia">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9C59C"/>
    <w:multiLevelType w:val="singleLevel"/>
    <w:tmpl w:val="8CE9C59C"/>
    <w:lvl w:ilvl="0" w:tentative="0">
      <w:start w:val="1"/>
      <w:numFmt w:val="decimal"/>
      <w:suff w:val="nothing"/>
      <w:lvlText w:val="（%1）"/>
      <w:lvlJc w:val="left"/>
    </w:lvl>
  </w:abstractNum>
  <w:abstractNum w:abstractNumId="1">
    <w:nsid w:val="9E98A769"/>
    <w:multiLevelType w:val="singleLevel"/>
    <w:tmpl w:val="9E98A769"/>
    <w:lvl w:ilvl="0" w:tentative="0">
      <w:start w:val="1"/>
      <w:numFmt w:val="decimal"/>
      <w:suff w:val="nothing"/>
      <w:lvlText w:val="（%1）"/>
      <w:lvlJc w:val="left"/>
    </w:lvl>
  </w:abstractNum>
  <w:abstractNum w:abstractNumId="2">
    <w:nsid w:val="C86FC2B1"/>
    <w:multiLevelType w:val="singleLevel"/>
    <w:tmpl w:val="C86FC2B1"/>
    <w:lvl w:ilvl="0" w:tentative="0">
      <w:start w:val="1"/>
      <w:numFmt w:val="chineseCounting"/>
      <w:suff w:val="nothing"/>
      <w:lvlText w:val="%1、"/>
      <w:lvlJc w:val="left"/>
      <w:pPr>
        <w:ind w:left="0" w:firstLine="420"/>
      </w:pPr>
      <w:rPr>
        <w:rFonts w:hint="eastAsia"/>
      </w:rPr>
    </w:lvl>
  </w:abstractNum>
  <w:abstractNum w:abstractNumId="3">
    <w:nsid w:val="CF9D62A4"/>
    <w:multiLevelType w:val="singleLevel"/>
    <w:tmpl w:val="CF9D62A4"/>
    <w:lvl w:ilvl="0" w:tentative="0">
      <w:start w:val="1"/>
      <w:numFmt w:val="decimal"/>
      <w:suff w:val="nothing"/>
      <w:lvlText w:val="（%1）"/>
      <w:lvlJc w:val="left"/>
    </w:lvl>
  </w:abstractNum>
  <w:abstractNum w:abstractNumId="4">
    <w:nsid w:val="D5871A2F"/>
    <w:multiLevelType w:val="singleLevel"/>
    <w:tmpl w:val="D5871A2F"/>
    <w:lvl w:ilvl="0" w:tentative="0">
      <w:start w:val="1"/>
      <w:numFmt w:val="decimal"/>
      <w:lvlText w:val="(%1)"/>
      <w:lvlJc w:val="left"/>
      <w:pPr>
        <w:tabs>
          <w:tab w:val="left" w:pos="420"/>
        </w:tabs>
        <w:ind w:left="845" w:hanging="425"/>
      </w:pPr>
      <w:rPr>
        <w:rFonts w:hint="default"/>
      </w:rPr>
    </w:lvl>
  </w:abstractNum>
  <w:abstractNum w:abstractNumId="5">
    <w:nsid w:val="D5C737DC"/>
    <w:multiLevelType w:val="singleLevel"/>
    <w:tmpl w:val="D5C737DC"/>
    <w:lvl w:ilvl="0" w:tentative="0">
      <w:start w:val="1"/>
      <w:numFmt w:val="decimal"/>
      <w:suff w:val="nothing"/>
      <w:lvlText w:val="（%1）"/>
      <w:lvlJc w:val="left"/>
    </w:lvl>
  </w:abstractNum>
  <w:abstractNum w:abstractNumId="6">
    <w:nsid w:val="D62637D7"/>
    <w:multiLevelType w:val="singleLevel"/>
    <w:tmpl w:val="D62637D7"/>
    <w:lvl w:ilvl="0" w:tentative="0">
      <w:start w:val="1"/>
      <w:numFmt w:val="decimal"/>
      <w:suff w:val="nothing"/>
      <w:lvlText w:val="（%1）"/>
      <w:lvlJc w:val="left"/>
    </w:lvl>
  </w:abstractNum>
  <w:abstractNum w:abstractNumId="7">
    <w:nsid w:val="EACD82A3"/>
    <w:multiLevelType w:val="singleLevel"/>
    <w:tmpl w:val="EACD82A3"/>
    <w:lvl w:ilvl="0" w:tentative="0">
      <w:start w:val="1"/>
      <w:numFmt w:val="decimal"/>
      <w:suff w:val="nothing"/>
      <w:lvlText w:val="（%1）"/>
      <w:lvlJc w:val="left"/>
    </w:lvl>
  </w:abstractNum>
  <w:abstractNum w:abstractNumId="8">
    <w:nsid w:val="F39BEE9C"/>
    <w:multiLevelType w:val="singleLevel"/>
    <w:tmpl w:val="F39BEE9C"/>
    <w:lvl w:ilvl="0" w:tentative="0">
      <w:start w:val="1"/>
      <w:numFmt w:val="decimal"/>
      <w:lvlText w:val="(%1)"/>
      <w:lvlJc w:val="left"/>
      <w:pPr>
        <w:tabs>
          <w:tab w:val="left" w:pos="420"/>
        </w:tabs>
        <w:ind w:left="845" w:hanging="425"/>
      </w:pPr>
      <w:rPr>
        <w:rFonts w:hint="default"/>
      </w:rPr>
    </w:lvl>
  </w:abstractNum>
  <w:abstractNum w:abstractNumId="9">
    <w:nsid w:val="00000011"/>
    <w:multiLevelType w:val="multilevel"/>
    <w:tmpl w:val="00000011"/>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0">
    <w:nsid w:val="3BFC3A18"/>
    <w:multiLevelType w:val="singleLevel"/>
    <w:tmpl w:val="3BFC3A18"/>
    <w:lvl w:ilvl="0" w:tentative="0">
      <w:start w:val="1"/>
      <w:numFmt w:val="decimal"/>
      <w:lvlText w:val="(%1)"/>
      <w:lvlJc w:val="left"/>
      <w:pPr>
        <w:tabs>
          <w:tab w:val="left" w:pos="420"/>
        </w:tabs>
        <w:ind w:left="845" w:hanging="425"/>
      </w:pPr>
      <w:rPr>
        <w:rFonts w:hint="default"/>
      </w:rPr>
    </w:lvl>
  </w:abstractNum>
  <w:abstractNum w:abstractNumId="11">
    <w:nsid w:val="7B0ABCAF"/>
    <w:multiLevelType w:val="singleLevel"/>
    <w:tmpl w:val="7B0ABCAF"/>
    <w:lvl w:ilvl="0" w:tentative="0">
      <w:start w:val="1"/>
      <w:numFmt w:val="decimal"/>
      <w:suff w:val="nothing"/>
      <w:lvlText w:val="（%1）"/>
      <w:lvlJc w:val="left"/>
    </w:lvl>
  </w:abstractNum>
  <w:num w:numId="1">
    <w:abstractNumId w:val="2"/>
  </w:num>
  <w:num w:numId="2">
    <w:abstractNumId w:val="9"/>
  </w:num>
  <w:num w:numId="3">
    <w:abstractNumId w:val="10"/>
  </w:num>
  <w:num w:numId="4">
    <w:abstractNumId w:val="4"/>
  </w:num>
  <w:num w:numId="5">
    <w:abstractNumId w:val="8"/>
  </w:num>
  <w:num w:numId="6">
    <w:abstractNumId w:val="0"/>
  </w:num>
  <w:num w:numId="7">
    <w:abstractNumId w:val="3"/>
  </w:num>
  <w:num w:numId="8">
    <w:abstractNumId w:val="7"/>
  </w:num>
  <w:num w:numId="9">
    <w:abstractNumId w:val="11"/>
  </w:num>
  <w:num w:numId="10">
    <w:abstractNumId w:val="5"/>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CC45AA"/>
    <w:rsid w:val="00C77BB5"/>
    <w:rsid w:val="025952CA"/>
    <w:rsid w:val="03B7255A"/>
    <w:rsid w:val="05937469"/>
    <w:rsid w:val="0DD8589D"/>
    <w:rsid w:val="0F1071DB"/>
    <w:rsid w:val="10EE1DD4"/>
    <w:rsid w:val="136030ED"/>
    <w:rsid w:val="13713C63"/>
    <w:rsid w:val="163C405D"/>
    <w:rsid w:val="183208FE"/>
    <w:rsid w:val="1D21234A"/>
    <w:rsid w:val="1FD828D1"/>
    <w:rsid w:val="24E110FF"/>
    <w:rsid w:val="25454668"/>
    <w:rsid w:val="26526E2B"/>
    <w:rsid w:val="281575AF"/>
    <w:rsid w:val="289D1343"/>
    <w:rsid w:val="2E0C1DCF"/>
    <w:rsid w:val="2E4738D7"/>
    <w:rsid w:val="2FB67708"/>
    <w:rsid w:val="32270BB0"/>
    <w:rsid w:val="3258743D"/>
    <w:rsid w:val="379E11AD"/>
    <w:rsid w:val="3FF0614F"/>
    <w:rsid w:val="4258464E"/>
    <w:rsid w:val="42752EFE"/>
    <w:rsid w:val="45CC45AA"/>
    <w:rsid w:val="49276EBD"/>
    <w:rsid w:val="4CD931E8"/>
    <w:rsid w:val="59C72CC4"/>
    <w:rsid w:val="5B3D7C9E"/>
    <w:rsid w:val="5C1B042B"/>
    <w:rsid w:val="5D080CF3"/>
    <w:rsid w:val="5EC869C6"/>
    <w:rsid w:val="66157FDD"/>
    <w:rsid w:val="66D41CA7"/>
    <w:rsid w:val="693115D2"/>
    <w:rsid w:val="69CE5072"/>
    <w:rsid w:val="73C33869"/>
    <w:rsid w:val="744C349D"/>
    <w:rsid w:val="7712438D"/>
    <w:rsid w:val="78EC1071"/>
    <w:rsid w:val="7C791690"/>
    <w:rsid w:val="7E0E00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260" w:after="260"/>
      <w:jc w:val="both"/>
    </w:pPr>
    <w:rPr>
      <w:rFonts w:ascii="Times New Roman" w:hAnsi="Times New Roman" w:eastAsia="宋体" w:cs="Times New Roman"/>
      <w:kern w:val="2"/>
      <w:sz w:val="21"/>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2"/>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6"/>
    <w:qFormat/>
    <w:uiPriority w:val="0"/>
    <w:pPr>
      <w:spacing w:line="360" w:lineRule="auto"/>
    </w:pPr>
    <w:rPr>
      <w:sz w:val="24"/>
    </w:rPr>
  </w:style>
  <w:style w:type="paragraph" w:styleId="6">
    <w:name w:val="Body Text 2"/>
    <w:basedOn w:val="1"/>
    <w:qFormat/>
    <w:uiPriority w:val="0"/>
    <w:pPr>
      <w:widowControl/>
      <w:spacing w:line="360" w:lineRule="auto"/>
      <w:jc w:val="left"/>
    </w:pPr>
    <w:rPr>
      <w:rFonts w:ascii="楷体_GB2312" w:hAnsi="Garamond" w:eastAsia="楷体_GB2312"/>
      <w:color w:val="FF0000"/>
      <w:kern w:val="0"/>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Strong"/>
    <w:basedOn w:val="10"/>
    <w:qFormat/>
    <w:uiPriority w:val="0"/>
    <w:rPr>
      <w:b/>
    </w:rPr>
  </w:style>
  <w:style w:type="character" w:customStyle="1" w:styleId="12">
    <w:name w:val="标题 2 Char"/>
    <w:link w:val="3"/>
    <w:qFormat/>
    <w:uiPriority w:val="0"/>
    <w:rPr>
      <w:rFonts w:ascii="Arial" w:hAnsi="Arial" w:eastAsia="黑体"/>
      <w:b/>
      <w:sz w:val="32"/>
    </w:rPr>
  </w:style>
  <w:style w:type="character" w:customStyle="1" w:styleId="13">
    <w:name w:val="标题 1 字符"/>
    <w:link w:val="2"/>
    <w:qFormat/>
    <w:uiPriority w:val="0"/>
    <w:rPr>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8340</Words>
  <Characters>8578</Characters>
  <TotalTime>1</TotalTime>
  <ScaleCrop>false</ScaleCrop>
  <LinksUpToDate>false</LinksUpToDate>
  <CharactersWithSpaces>8693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2026-05-13T16:06:00Z</dcterms:created>
  <dc:creator>11351</dc:creator>
  <cp:lastModifiedBy>Administrator</cp:lastModifiedBy>
  <dcterms:modified xsi:type="dcterms:W3CDTF">2026-07-20T13:14:26Z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D9B3E184BA0E4FF8B570A922640CD3A4_13</vt:lpwstr>
  </property>
  <property fmtid="{D5CDD505-2E9C-101B-9397-08002B2CF9AE}" pid="4" name="KSOTemplateDocerSaveRecord">
    <vt:lpwstr>eyJoZGlkIjoiMWQ3NmZjYTMzYTJlYjhiYTVhNDQzZTBkMTdhMDk5ZTQiLCJ1c2VySWQiOiIxNDc4ODMwODM4In0=</vt:lpwstr>
  </property>
</Properties>
</file>