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41973">
      <w:pPr>
        <w:pStyle w:val="4"/>
        <w:widowControl/>
        <w:numPr>
          <w:ilvl w:val="0"/>
          <w:numId w:val="0"/>
        </w:numPr>
        <w:tabs>
          <w:tab w:val="left" w:pos="432"/>
        </w:tabs>
        <w:rPr>
          <w:color w:val="auto"/>
          <w:highlight w:val="none"/>
        </w:rPr>
      </w:pPr>
      <w:bookmarkStart w:id="0" w:name="_Toc406669470"/>
      <w:bookmarkStart w:id="1" w:name="_Toc403513619"/>
      <w:bookmarkStart w:id="2" w:name="_Toc275446453"/>
      <w:bookmarkStart w:id="3" w:name="_Toc149536229"/>
      <w:r>
        <w:rPr>
          <w:rFonts w:hint="eastAsia" w:cs="Times New Roman"/>
          <w:b/>
          <w:color w:val="auto"/>
          <w:kern w:val="0"/>
          <w:sz w:val="28"/>
          <w:szCs w:val="28"/>
          <w:highlight w:val="none"/>
          <w:lang w:val="en-US" w:eastAsia="zh-CN"/>
        </w:rPr>
        <w:t>附件3-03.</w:t>
      </w:r>
    </w:p>
    <w:p w14:paraId="7E61608F">
      <w:pPr>
        <w:pStyle w:val="9"/>
        <w:rPr>
          <w:color w:val="auto"/>
          <w:highlight w:val="none"/>
        </w:rPr>
      </w:pPr>
      <w:r>
        <w:rPr>
          <w:rFonts w:hint="eastAsia"/>
          <w:color w:val="auto"/>
          <w:highlight w:val="none"/>
        </w:rPr>
        <w:t>人力资源系统应用创新改造项目需求文件</w:t>
      </w:r>
    </w:p>
    <w:bookmarkEnd w:id="0"/>
    <w:bookmarkEnd w:id="1"/>
    <w:p w14:paraId="3E27AEC8">
      <w:pPr>
        <w:spacing w:before="0" w:after="0" w:line="360" w:lineRule="auto"/>
        <w:jc w:val="center"/>
        <w:textAlignment w:val="top"/>
        <w:rPr>
          <w:rFonts w:hint="eastAsia" w:ascii="宋体" w:hAnsi="宋体" w:cs="Times New Roman"/>
          <w:b/>
          <w:sz w:val="44"/>
          <w:szCs w:val="44"/>
          <w:highlight w:val="none"/>
        </w:rPr>
      </w:pPr>
    </w:p>
    <w:p w14:paraId="172C34C7">
      <w:pPr>
        <w:pStyle w:val="3"/>
        <w:rPr>
          <w:rFonts w:hint="eastAsia" w:ascii="宋体" w:hAnsi="宋体" w:cs="Times New Roman"/>
          <w:b/>
          <w:sz w:val="44"/>
          <w:szCs w:val="44"/>
          <w:highlight w:val="none"/>
        </w:rPr>
      </w:pPr>
    </w:p>
    <w:p w14:paraId="023F7FFF">
      <w:pPr>
        <w:pStyle w:val="3"/>
        <w:rPr>
          <w:rFonts w:hint="eastAsia" w:ascii="宋体" w:hAnsi="宋体" w:cs="Times New Roman"/>
          <w:b/>
          <w:sz w:val="44"/>
          <w:szCs w:val="44"/>
          <w:highlight w:val="none"/>
        </w:rPr>
      </w:pPr>
    </w:p>
    <w:bookmarkEnd w:id="2"/>
    <w:bookmarkEnd w:id="3"/>
    <w:p w14:paraId="7DD54A42">
      <w:pPr>
        <w:pStyle w:val="3"/>
        <w:ind w:firstLine="480" w:firstLineChars="200"/>
        <w:rPr>
          <w:rFonts w:hint="eastAsia" w:ascii="仿宋_GB2312" w:hAnsi="仿宋_GB2312" w:eastAsia="仿宋_GB2312" w:cs="仿宋_GB2312"/>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38B8EC65">
      <w:pPr>
        <w:pStyle w:val="3"/>
        <w:rPr>
          <w:rFonts w:hint="eastAsia"/>
          <w:lang w:val="en-US" w:eastAsia="zh-CN"/>
        </w:rPr>
      </w:pPr>
    </w:p>
    <w:p w14:paraId="7E9F61CB">
      <w:pPr>
        <w:keepNext/>
        <w:keepLines/>
        <w:pageBreakBefore w:val="0"/>
        <w:widowControl w:val="0"/>
        <w:numPr>
          <w:ilvl w:val="0"/>
          <w:numId w:val="1"/>
        </w:numPr>
        <w:kinsoku/>
        <w:wordWrap/>
        <w:overflowPunct/>
        <w:topLinePunct w:val="0"/>
        <w:autoSpaceDE/>
        <w:autoSpaceDN/>
        <w:bidi w:val="0"/>
        <w:adjustRightInd w:val="0"/>
        <w:snapToGrid w:val="0"/>
        <w:spacing w:before="0" w:beforeLines="0" w:after="0" w:afterLines="0" w:line="360" w:lineRule="auto"/>
        <w:ind w:left="0" w:leftChars="0" w:firstLine="482" w:firstLineChars="200"/>
        <w:jc w:val="both"/>
        <w:textAlignment w:val="auto"/>
        <w:outlineLvl w:val="0"/>
        <w:rPr>
          <w:rFonts w:hint="eastAsia" w:ascii="宋体" w:hAnsi="宋体" w:eastAsia="宋体" w:cs="宋体"/>
          <w:b/>
          <w:bCs/>
          <w:color w:val="auto"/>
          <w:kern w:val="44"/>
          <w:sz w:val="24"/>
          <w:szCs w:val="24"/>
          <w:highlight w:val="none"/>
          <w:lang w:val="en-US" w:eastAsia="zh-CN" w:bidi="ar-SA"/>
        </w:rPr>
      </w:pPr>
      <w:r>
        <w:rPr>
          <w:rFonts w:hint="eastAsia" w:ascii="宋体" w:hAnsi="宋体" w:eastAsia="宋体" w:cs="宋体"/>
          <w:b/>
          <w:bCs/>
          <w:color w:val="auto"/>
          <w:kern w:val="44"/>
          <w:sz w:val="24"/>
          <w:szCs w:val="24"/>
          <w:highlight w:val="none"/>
          <w:lang w:val="en-US" w:eastAsia="zh-CN" w:bidi="ar-SA"/>
        </w:rPr>
        <w:t>项目概况</w:t>
      </w:r>
    </w:p>
    <w:p w14:paraId="1F166A12">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为落实信息技术应用创新要求，围绕硬件、云基础设施、基础软件、应用软件、网络安全等 IT 产业链核心技术与产品开展自主研发，响应经济发展、社会稳定运行和筑牢安全可靠的信息技术支撑体系目标，按照整体信息技术应用创新发展要求，信息技术应用创新建设从局部起步，在应用实践中迭代产品功能。本项目拟对深圳交易集团人力资源系统进行信息技术应用创新适配和部署环境迁移，使系统硬件及云等基础设施、基础软件、应用软件、网络安全等IT产业链核心技术产品符合信息技术应用创新要求。</w:t>
      </w:r>
    </w:p>
    <w:p w14:paraId="3D8D4444">
      <w:pPr>
        <w:keepNext/>
        <w:keepLines/>
        <w:pageBreakBefore w:val="0"/>
        <w:widowControl w:val="0"/>
        <w:numPr>
          <w:ilvl w:val="0"/>
          <w:numId w:val="1"/>
        </w:numPr>
        <w:kinsoku/>
        <w:wordWrap/>
        <w:overflowPunct/>
        <w:topLinePunct w:val="0"/>
        <w:autoSpaceDE/>
        <w:autoSpaceDN/>
        <w:bidi w:val="0"/>
        <w:adjustRightInd w:val="0"/>
        <w:snapToGrid w:val="0"/>
        <w:spacing w:before="0" w:beforeLines="0" w:after="0" w:afterLines="0" w:line="360" w:lineRule="auto"/>
        <w:ind w:left="0" w:leftChars="0" w:firstLine="482" w:firstLineChars="200"/>
        <w:jc w:val="both"/>
        <w:textAlignment w:val="auto"/>
        <w:outlineLvl w:val="0"/>
        <w:rPr>
          <w:rFonts w:hint="eastAsia" w:ascii="宋体" w:hAnsi="宋体" w:eastAsia="宋体" w:cs="宋体"/>
          <w:b/>
          <w:bCs/>
          <w:color w:val="auto"/>
          <w:kern w:val="44"/>
          <w:sz w:val="24"/>
          <w:szCs w:val="24"/>
          <w:highlight w:val="none"/>
          <w:lang w:val="en-US" w:eastAsia="zh-CN" w:bidi="ar-SA"/>
        </w:rPr>
      </w:pPr>
      <w:r>
        <w:rPr>
          <w:rFonts w:hint="eastAsia" w:ascii="宋体" w:hAnsi="宋体" w:eastAsia="宋体" w:cs="宋体"/>
          <w:b/>
          <w:bCs/>
          <w:color w:val="auto"/>
          <w:kern w:val="44"/>
          <w:sz w:val="24"/>
          <w:szCs w:val="24"/>
          <w:highlight w:val="none"/>
          <w:lang w:val="en-US" w:eastAsia="zh-CN" w:bidi="ar-SA"/>
        </w:rPr>
        <w:t>项目要求</w:t>
      </w:r>
    </w:p>
    <w:p w14:paraId="618CFC27">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服务期限</w:t>
      </w:r>
    </w:p>
    <w:p w14:paraId="7ED282A4">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合同签订之日起至2026年12月31日前完成集团人力资源系统信创环境迁移上线，</w:t>
      </w:r>
      <w:r>
        <w:rPr>
          <w:rFonts w:hint="eastAsia" w:asciiTheme="minorEastAsia" w:hAnsiTheme="minorEastAsia" w:eastAsiaTheme="minorEastAsia"/>
          <w:sz w:val="24"/>
          <w:szCs w:val="24"/>
          <w:lang w:val="en-US" w:eastAsia="zh-CN"/>
        </w:rPr>
        <w:t>完成相关软硬件安装、调试、迁移切换、竣工验收工作，竣工验收之日起项目免费运行维护1年。</w:t>
      </w:r>
    </w:p>
    <w:p w14:paraId="4B9A53DA">
      <w:pPr>
        <w:spacing w:line="360" w:lineRule="auto"/>
        <w:ind w:firstLine="482" w:firstLineChars="200"/>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（二）服务主要内容</w:t>
      </w:r>
    </w:p>
    <w:p w14:paraId="4AB28080">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为了保证迁移后的系统能良好运行，要求供应商负责提供有关系统功能、安装、操作、设计、迁移、维护和系统开发以及应用软件使用的文档和培训。</w:t>
      </w:r>
    </w:p>
    <w:p w14:paraId="2ECF88C0">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1.供应商需提供操作使用手册。</w:t>
      </w:r>
    </w:p>
    <w:p w14:paraId="6EB6456A">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2.供应商需提供产品操作手册纸质文件和电子文件。</w:t>
      </w:r>
    </w:p>
    <w:p w14:paraId="0AE10F83">
      <w:pPr>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（三）保密要求</w:t>
      </w:r>
    </w:p>
    <w:p w14:paraId="3430BF14">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1.在合同签订时，中标人须与采购人签订《保密协议》，且必须确保参与项目的工作人员不能有涉外人员。在项目实施过程中，中标人必须严格遵守采购人的相关管理制度及操作规范。</w:t>
      </w:r>
    </w:p>
    <w:p w14:paraId="76AEDE60">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2.项目所有成果的版权、使用权归属采购人，未经采购人许可，中标人不得以任何形式对外泄露，否则采购人将依法追究其法律责任。</w:t>
      </w:r>
    </w:p>
    <w:p w14:paraId="6C7A8B42">
      <w:pPr>
        <w:spacing w:line="360" w:lineRule="auto"/>
        <w:ind w:firstLine="480" w:firstLineChars="200"/>
        <w:rPr>
          <w:rFonts w:hint="eastAsia"/>
          <w:lang w:val="en-US" w:eastAsia="zh-CN"/>
        </w:rPr>
      </w:pPr>
      <w:r>
        <w:rPr>
          <w:rFonts w:hint="eastAsia" w:asciiTheme="minorEastAsia" w:hAnsiTheme="minorEastAsia" w:eastAsiaTheme="minorEastAsia"/>
          <w:sz w:val="24"/>
          <w:szCs w:val="24"/>
          <w:lang w:val="en-US" w:eastAsia="zh-CN"/>
        </w:rPr>
        <w:t>3.中标人需对本项目所有的信息（包括但不限于文件、图片、音视频、数据等）进行安全处理，确保信息不被泄露。中标人如有使用第三方的信息、技术或服务应首先征得信息所有权方和甲方的同意。</w:t>
      </w:r>
    </w:p>
    <w:p w14:paraId="7324BF2F">
      <w:pPr>
        <w:spacing w:line="360" w:lineRule="auto"/>
        <w:ind w:firstLine="482" w:firstLineChars="200"/>
        <w:rPr>
          <w:rFonts w:hint="eastAsia" w:ascii="楷体_GB2312" w:hAnsi="楷体_GB2312" w:eastAsia="楷体_GB2312" w:cs="楷体_GB2312"/>
          <w:b/>
          <w:bCs/>
          <w:lang w:val="en-US" w:eastAsia="zh-CN"/>
        </w:rPr>
      </w:pPr>
      <w:r>
        <w:rPr>
          <w:rFonts w:hint="eastAsia" w:ascii="宋体" w:hAnsi="宋体" w:eastAsia="宋体" w:cs="宋体"/>
          <w:b/>
          <w:bCs/>
          <w:sz w:val="24"/>
          <w:szCs w:val="24"/>
          <w:highlight w:val="none"/>
          <w:lang w:val="en-US" w:eastAsia="zh-CN"/>
        </w:rPr>
        <w:t>（</w:t>
      </w:r>
      <w:r>
        <w:rPr>
          <w:rFonts w:hint="eastAsia" w:ascii="宋体" w:hAnsi="宋体" w:cs="宋体"/>
          <w:b/>
          <w:bCs/>
          <w:sz w:val="24"/>
          <w:szCs w:val="24"/>
          <w:highlight w:val="none"/>
          <w:lang w:val="en-US" w:eastAsia="zh-CN"/>
        </w:rPr>
        <w:t>四</w:t>
      </w:r>
      <w:r>
        <w:rPr>
          <w:rFonts w:hint="eastAsia" w:ascii="宋体" w:hAnsi="宋体" w:eastAsia="宋体" w:cs="宋体"/>
          <w:b/>
          <w:bCs/>
          <w:sz w:val="24"/>
          <w:szCs w:val="24"/>
          <w:highlight w:val="none"/>
          <w:lang w:val="en-US" w:eastAsia="zh-CN"/>
        </w:rPr>
        <w:t>）项目验收要求</w:t>
      </w:r>
    </w:p>
    <w:p w14:paraId="69E521D4">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系统上线平稳运行1个月后，供应商应当对系统进行功能和性能检测，以确认实施项目符合要求并可以正常运行后，供应商向采购人提出验收申请。采购人在30日内组织采购人业务部门对系统进行验收，服务经过双方检验认可后，签署竣工验收报告。</w:t>
      </w:r>
    </w:p>
    <w:p w14:paraId="7D05AFC9">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2.文档要求</w:t>
      </w:r>
    </w:p>
    <w:p w14:paraId="6F572C7D">
      <w:pPr>
        <w:spacing w:line="360" w:lineRule="auto"/>
        <w:ind w:firstLine="480" w:firstLineChars="200"/>
        <w:rPr>
          <w:rFonts w:hint="eastAsia" w:asciiTheme="minorEastAsia" w:hAnsiTheme="minorEastAsia" w:eastAsiaTheme="minorEastAsia"/>
          <w:sz w:val="24"/>
          <w:szCs w:val="24"/>
          <w:highlight w:val="yellow"/>
          <w:lang w:val="en-US" w:eastAsia="zh-CN"/>
        </w:rPr>
      </w:pPr>
      <w:r>
        <w:rPr>
          <w:rFonts w:hint="eastAsia" w:asciiTheme="minorEastAsia" w:hAnsiTheme="minorEastAsia" w:eastAsiaTheme="minorEastAsia"/>
          <w:sz w:val="24"/>
          <w:szCs w:val="24"/>
          <w:lang w:val="en-US" w:eastAsia="zh-CN"/>
        </w:rPr>
        <w:t>项目实施过程全部有关的文档，包括但不限于系统迁移方案、实施报告及测试验收报告等，具体文档清单以集团项目建设工作指引为准。</w:t>
      </w:r>
    </w:p>
    <w:p w14:paraId="10E7D383">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3.当满足以下条件时，委托人才向供应商签发验收报告：</w:t>
      </w:r>
    </w:p>
    <w:p w14:paraId="4AB19FAC">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（1）供应商已按照合同规定提供了全部技术资料。</w:t>
      </w:r>
    </w:p>
    <w:p w14:paraId="321D0BFA">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（2）服务项目符合招标文件的服务要求。</w:t>
      </w:r>
    </w:p>
    <w:p w14:paraId="0A438552">
      <w:pPr>
        <w:keepNext/>
        <w:keepLines/>
        <w:pageBreakBefore w:val="0"/>
        <w:widowControl w:val="0"/>
        <w:numPr>
          <w:ilvl w:val="0"/>
          <w:numId w:val="1"/>
        </w:numPr>
        <w:kinsoku/>
        <w:wordWrap/>
        <w:overflowPunct/>
        <w:topLinePunct w:val="0"/>
        <w:autoSpaceDE/>
        <w:autoSpaceDN/>
        <w:bidi w:val="0"/>
        <w:adjustRightInd w:val="0"/>
        <w:snapToGrid w:val="0"/>
        <w:spacing w:before="0" w:beforeLines="0" w:after="0" w:afterLines="0" w:line="360" w:lineRule="auto"/>
        <w:ind w:left="0" w:leftChars="0" w:firstLine="482" w:firstLineChars="200"/>
        <w:jc w:val="both"/>
        <w:textAlignment w:val="auto"/>
        <w:outlineLvl w:val="0"/>
        <w:rPr>
          <w:rFonts w:hint="eastAsia" w:ascii="宋体" w:hAnsi="宋体" w:eastAsia="宋体" w:cs="宋体"/>
          <w:b/>
          <w:bCs/>
          <w:color w:val="auto"/>
          <w:kern w:val="44"/>
          <w:sz w:val="24"/>
          <w:szCs w:val="24"/>
          <w:highlight w:val="none"/>
          <w:lang w:val="en-US" w:eastAsia="zh-CN" w:bidi="ar-SA"/>
        </w:rPr>
      </w:pPr>
      <w:r>
        <w:rPr>
          <w:rFonts w:hint="eastAsia" w:ascii="宋体" w:hAnsi="宋体" w:eastAsia="宋体" w:cs="宋体"/>
          <w:b/>
          <w:bCs/>
          <w:color w:val="auto"/>
          <w:kern w:val="44"/>
          <w:sz w:val="24"/>
          <w:szCs w:val="24"/>
          <w:highlight w:val="none"/>
          <w:lang w:val="en-US" w:eastAsia="zh-CN" w:bidi="ar-SA"/>
        </w:rPr>
        <w:t>项目技术需求</w:t>
      </w:r>
    </w:p>
    <w:p w14:paraId="07EF455B">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（一）总体技术要求</w:t>
      </w:r>
    </w:p>
    <w:p w14:paraId="2676A501">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系统和功能建设并迁移改造完成后，使系统和功能模块在信创环境下运行。</w:t>
      </w:r>
    </w:p>
    <w:p w14:paraId="434B4DBC">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1.采用信息技术应用创新技术路线，所使用的产品应符合信息技术应用创新要求。其中服务端适配将现使用的服务端应用改为符合信息技术应用创新要求的服务端应用。</w:t>
      </w:r>
    </w:p>
    <w:p w14:paraId="259269FF">
      <w:pPr>
        <w:spacing w:line="360" w:lineRule="auto"/>
        <w:ind w:firstLine="480" w:firstLineChars="200"/>
        <w:rPr>
          <w:rFonts w:hint="default" w:eastAsia="仿宋_GB2312" w:asciiTheme="minorEastAsia" w:hAnsiTheme="minorEastAsia"/>
          <w:sz w:val="24"/>
          <w:szCs w:val="24"/>
          <w:lang w:val="en-US" w:eastAsia="zh-CN"/>
        </w:rPr>
      </w:pPr>
      <w:r>
        <w:rPr>
          <w:rFonts w:hint="eastAsia" w:asciiTheme="minorEastAsia" w:hAnsiTheme="minorEastAsia" w:eastAsiaTheme="minorEastAsia"/>
          <w:sz w:val="24"/>
          <w:szCs w:val="24"/>
          <w:lang w:val="en-US" w:eastAsia="zh-CN"/>
        </w:rPr>
        <w:t>2.服务器端需支持部署在国产信创主流服务器端操作系统平台上，数据库需支持国产信创主流常见数据库管理软件，本项目执行过程中具体需适配的软件应严格遵循中国信息安全测评中心《安全可靠测评结果公告》所列的产品范围。</w:t>
      </w:r>
    </w:p>
    <w:p w14:paraId="40CD7F97">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3.能够良好地兼容国产浏览器、360、QQ、夸克、搜狗、IE、Google浏览器以及其他主流浏览器。</w:t>
      </w:r>
    </w:p>
    <w:p w14:paraId="44E94EF9">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4.应用系统兼容适配国产终端计算机和国产终端浏览器以及国产流式文件、版式文件等工具软件；兼容适配非国产终端计算机和非国产终端浏览器以及国产流式文件、版式文件等工具软件，以便公众使用。</w:t>
      </w:r>
    </w:p>
    <w:p w14:paraId="4B490EE1">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5.系统建设安全标准要求系统安全等级保护级别为等保二级。系统在功能、安全、网络等各方面的设计应当符合国家网络安全和市电子政务建设等各项标准和规范。</w:t>
      </w:r>
    </w:p>
    <w:p w14:paraId="4C2F6B32">
      <w:pPr>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（二）组织实施要求</w:t>
      </w:r>
    </w:p>
    <w:p w14:paraId="70F4C212">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1.项目实施步骤要求</w:t>
      </w:r>
    </w:p>
    <w:p w14:paraId="6031D2A4">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根据本项目服务内容，制定合理可行的项目实施步骤，按照服务内容的划分，确定项目开展的先后顺序，各阶段人员组成、时间进度以及各阶段提交的交付物和质量标准，同时明确所需项目费用的依据。</w:t>
      </w:r>
    </w:p>
    <w:p w14:paraId="430DED25">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2.项目管理要求</w:t>
      </w:r>
    </w:p>
    <w:p w14:paraId="46C5CDA0">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供应商的软件开发和实施过程要遵循统一过程标准。项目实施过程各阶段的工作安排、工作管理、各阶段提交的工件和质量标准都要严格遵循统一过程标准要求。</w:t>
      </w:r>
    </w:p>
    <w:p w14:paraId="08C931D7">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3.质量控制要求</w:t>
      </w:r>
    </w:p>
    <w:p w14:paraId="58845255">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项目重要技术方案评审方式与要求以及项目实施中质量保障和质量控制方式。在项目实施全过程中，采购人有对项目进度和质量进行监督控制的职责和权利，供应商应全面配合，确保人力、物力的定量投入，定期提交最新的进展情况报告。</w:t>
      </w:r>
    </w:p>
    <w:p w14:paraId="38F756E2">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4.测试要求</w:t>
      </w:r>
    </w:p>
    <w:p w14:paraId="12AA0AE9">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供应商必须在投标文件中提出软件测试方案。为了保障系统测试的科学性和公正性，本次项目建设采购方引入第三方测试机制，供应商要积极配合第三方测评。系统测试结果应当符合以下标准，否则供应商应当积极按照要求整改：</w:t>
      </w:r>
    </w:p>
    <w:p w14:paraId="095ABE40">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（1）交互类业务</w:t>
      </w:r>
    </w:p>
    <w:p w14:paraId="3DEF54A2">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交互类业务是指平时工作中在系统中进行的业务处理，如录入、删除、修改一条记录或发布一条信息等操作。</w:t>
      </w:r>
    </w:p>
    <w:p w14:paraId="66957324">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平均响应时间：≤800ms；</w:t>
      </w:r>
    </w:p>
    <w:p w14:paraId="6BAC2C17">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峰值响应时间：≤1000ms。</w:t>
      </w:r>
    </w:p>
    <w:p w14:paraId="09D9CDD7">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批量前台经办业务数据导入（按一次2000条评估）</w:t>
      </w:r>
    </w:p>
    <w:p w14:paraId="4587835A">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平均响应时间：≤2000ms秒；</w:t>
      </w:r>
    </w:p>
    <w:p w14:paraId="7248904E">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峰值响应时间：≤3000ms。</w:t>
      </w:r>
    </w:p>
    <w:p w14:paraId="3DD8E22A">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（2）查询类业务</w:t>
      </w:r>
    </w:p>
    <w:p w14:paraId="54422AA2">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查询业务如数据查询、统计报表生成或决策支持的信息查询等。查询业务由于受到查询的复杂程度、查询的数据量大小等因素的影响，根据具体情况而定，满足以下响应时间：</w:t>
      </w:r>
    </w:p>
    <w:p w14:paraId="206BF15B">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简单查询平均响应时间：≤500ms；</w:t>
      </w:r>
    </w:p>
    <w:p w14:paraId="118FB3C6">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复杂查询平均响应时间：≤800ms；</w:t>
      </w:r>
    </w:p>
    <w:p w14:paraId="10F08340">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系统能大规模、高质量地处理数据，提供高速度、高效率、实时、及时的计算与信息处理能力，要求系统不能由于用户连接的增加明显降低系统的响应时间。应用系统需支持同时在线用户数为1500人，并发用户数为200人。</w:t>
      </w:r>
    </w:p>
    <w:p w14:paraId="4DCBC955">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5.数据迁移</w:t>
      </w:r>
    </w:p>
    <w:p w14:paraId="185F0DF8">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本项目涉及硬件和软件环境升级的，供应商负责本项目范围中所有软件系统和数据的迁移，并确保数据无丢失；涉及功能点全新开发或适配的，供应商负责所有原有数据的清洗、迁移，确保业务数据在新系统对应功能模块可查可用。</w:t>
      </w:r>
    </w:p>
    <w:p w14:paraId="20A1C457">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6.维护计划</w:t>
      </w:r>
    </w:p>
    <w:p w14:paraId="41013881">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必须在投标文件中明确项目投入生产后的项目维护计划。</w:t>
      </w:r>
    </w:p>
    <w:p w14:paraId="5BDF1135">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7.软件部署</w:t>
      </w:r>
    </w:p>
    <w:p w14:paraId="35B98C21">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供应商不仅承担应用系统的开发，还需要承担系统软件的安装、应用系统的部署及优化工作。</w:t>
      </w:r>
    </w:p>
    <w:p w14:paraId="47B90F85">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8.第三方验收测评</w:t>
      </w:r>
    </w:p>
    <w:p w14:paraId="44C86DF3">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本项目整体建设完成后，供应商须提供具备合法资质的《第三方专业验收测评报告》和《</w:t>
      </w:r>
      <w:r>
        <w:rPr>
          <w:rFonts w:ascii="宋体" w:hAnsi="宋体" w:eastAsia="宋体" w:cs="宋体"/>
          <w:sz w:val="24"/>
          <w:szCs w:val="24"/>
        </w:rPr>
        <w:t>信创符合性评估</w:t>
      </w:r>
      <w:r>
        <w:rPr>
          <w:rFonts w:hint="eastAsia" w:ascii="宋体" w:hAnsi="宋体" w:eastAsia="宋体" w:cs="宋体"/>
          <w:sz w:val="24"/>
          <w:szCs w:val="24"/>
          <w:lang w:val="en-US" w:eastAsia="zh-CN"/>
        </w:rPr>
        <w:t>报告</w:t>
      </w:r>
      <w:r>
        <w:rPr>
          <w:rFonts w:hint="eastAsia" w:asciiTheme="minorEastAsia" w:hAnsiTheme="minorEastAsia" w:eastAsiaTheme="minorEastAsia"/>
          <w:sz w:val="24"/>
          <w:szCs w:val="24"/>
          <w:lang w:val="en-US" w:eastAsia="zh-CN"/>
        </w:rPr>
        <w:t>》，确保项目符合信创要求、功能要求、性能要求、安全要求及本项目全部需求标准。</w:t>
      </w:r>
    </w:p>
    <w:p w14:paraId="2246BF07">
      <w:pPr>
        <w:keepNext/>
        <w:keepLines/>
        <w:pageBreakBefore w:val="0"/>
        <w:widowControl w:val="0"/>
        <w:numPr>
          <w:ilvl w:val="0"/>
          <w:numId w:val="1"/>
        </w:numPr>
        <w:kinsoku/>
        <w:wordWrap/>
        <w:overflowPunct/>
        <w:topLinePunct w:val="0"/>
        <w:autoSpaceDE/>
        <w:autoSpaceDN/>
        <w:bidi w:val="0"/>
        <w:adjustRightInd w:val="0"/>
        <w:snapToGrid w:val="0"/>
        <w:spacing w:before="0" w:beforeLines="0" w:after="0" w:afterLines="0" w:line="360" w:lineRule="auto"/>
        <w:ind w:left="0" w:leftChars="0" w:firstLine="482" w:firstLineChars="200"/>
        <w:jc w:val="both"/>
        <w:textAlignment w:val="auto"/>
        <w:outlineLvl w:val="0"/>
        <w:rPr>
          <w:rFonts w:hint="default" w:ascii="宋体" w:hAnsi="宋体" w:eastAsia="宋体" w:cs="宋体"/>
          <w:b/>
          <w:bCs/>
          <w:color w:val="auto"/>
          <w:kern w:val="44"/>
          <w:sz w:val="24"/>
          <w:szCs w:val="24"/>
          <w:highlight w:val="none"/>
          <w:lang w:val="en-US" w:eastAsia="zh-CN" w:bidi="ar-SA"/>
        </w:rPr>
      </w:pPr>
      <w:r>
        <w:rPr>
          <w:rFonts w:hint="eastAsia" w:ascii="宋体" w:hAnsi="宋体" w:eastAsia="宋体" w:cs="宋体"/>
          <w:b/>
          <w:bCs/>
          <w:color w:val="auto"/>
          <w:kern w:val="44"/>
          <w:sz w:val="24"/>
          <w:szCs w:val="24"/>
          <w:highlight w:val="none"/>
          <w:lang w:val="en-US" w:eastAsia="zh-CN" w:bidi="ar-SA"/>
        </w:rPr>
        <w:t>交付成果</w:t>
      </w:r>
    </w:p>
    <w:p w14:paraId="0B91842D">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（一）正式通过验收的系统软件，包括源代码（定制化开发部分）、软件安装包、授权使用许可等。</w:t>
      </w:r>
    </w:p>
    <w:p w14:paraId="0ABD33F7">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（二）项目建设过程全部有关的文档，包括但不限于技术文档、用户使用手册、数据字典、实施报告及测试验收报告等，具体文档清单以集团项目建设工作指引为准。</w:t>
      </w:r>
    </w:p>
    <w:p w14:paraId="6F95D0AB">
      <w:pPr>
        <w:keepNext/>
        <w:keepLines/>
        <w:pageBreakBefore w:val="0"/>
        <w:widowControl w:val="0"/>
        <w:numPr>
          <w:ilvl w:val="0"/>
          <w:numId w:val="1"/>
        </w:numPr>
        <w:kinsoku/>
        <w:wordWrap/>
        <w:overflowPunct/>
        <w:topLinePunct w:val="0"/>
        <w:autoSpaceDE/>
        <w:autoSpaceDN/>
        <w:bidi w:val="0"/>
        <w:adjustRightInd w:val="0"/>
        <w:snapToGrid w:val="0"/>
        <w:spacing w:before="0" w:beforeLines="0" w:after="0" w:afterLines="0" w:line="360" w:lineRule="auto"/>
        <w:ind w:left="0" w:leftChars="0" w:firstLine="482" w:firstLineChars="200"/>
        <w:jc w:val="both"/>
        <w:textAlignment w:val="auto"/>
        <w:outlineLvl w:val="0"/>
        <w:rPr>
          <w:rFonts w:hint="eastAsia" w:ascii="宋体" w:hAnsi="宋体" w:eastAsia="宋体" w:cs="宋体"/>
          <w:b/>
          <w:bCs/>
          <w:color w:val="auto"/>
          <w:kern w:val="44"/>
          <w:sz w:val="24"/>
          <w:szCs w:val="24"/>
          <w:highlight w:val="none"/>
          <w:lang w:val="en-US" w:eastAsia="zh-CN" w:bidi="ar-SA"/>
        </w:rPr>
      </w:pPr>
      <w:r>
        <w:rPr>
          <w:rFonts w:hint="eastAsia" w:ascii="宋体" w:hAnsi="宋体" w:eastAsia="宋体" w:cs="宋体"/>
          <w:b/>
          <w:bCs/>
          <w:color w:val="auto"/>
          <w:kern w:val="44"/>
          <w:sz w:val="24"/>
          <w:szCs w:val="24"/>
          <w:highlight w:val="none"/>
          <w:lang w:val="en-US" w:eastAsia="zh-CN" w:bidi="ar-SA"/>
        </w:rPr>
        <w:t>验收标准</w:t>
      </w:r>
    </w:p>
    <w:p w14:paraId="4AD0B218">
      <w:pPr>
        <w:spacing w:line="360" w:lineRule="auto"/>
        <w:ind w:firstLine="482" w:firstLineChars="200"/>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（一）验收总体原则</w:t>
      </w:r>
    </w:p>
    <w:p w14:paraId="6158D931">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（1）功能覆盖：项目需求书(详见附件1.人力资源系统信创改造项目需求说明书)明确的功能模块全部实现。</w:t>
      </w:r>
    </w:p>
    <w:p w14:paraId="030BE35E">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（2）性能达标：响应时间、并发、稳定性满足项目需求书指标要求。</w:t>
      </w:r>
    </w:p>
    <w:p w14:paraId="25DC6A2D">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（3）信创适配：完成项目需求书指定芯片、操作系统、数据库适配并可正常运行。</w:t>
      </w:r>
    </w:p>
    <w:p w14:paraId="32E52227">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（4）资料完整：验收内容包括但不限于：源代码、软件安装包、用户使用手册，数据字典，实施报告、测试验收报告以及项目要求提供的其他文档等阶段性服务成果内容。</w:t>
      </w:r>
    </w:p>
    <w:p w14:paraId="27B43388">
      <w:pPr>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（二）</w:t>
      </w:r>
      <w:r>
        <w:rPr>
          <w:rFonts w:hint="eastAsia" w:ascii="宋体" w:hAnsi="宋体" w:eastAsia="宋体" w:cs="宋体"/>
          <w:b/>
          <w:bCs/>
          <w:sz w:val="24"/>
          <w:szCs w:val="24"/>
          <w:highlight w:val="none"/>
          <w:lang w:val="en-US" w:eastAsia="zh-CN"/>
        </w:rPr>
        <w:t>其他工作要求</w:t>
      </w:r>
    </w:p>
    <w:p w14:paraId="09A6C229">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（1）按集团委托协议及任务书要求，组织阶段性验收相关材料准备与现场汇报。</w:t>
      </w:r>
    </w:p>
    <w:p w14:paraId="3D612212">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（2）配合集团开展项目审计、资金使用检查、档案归档、知识产权申报等工作。</w:t>
      </w:r>
    </w:p>
    <w:p w14:paraId="7CF620D6">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（3）严格遵守集团保密规定及信息安全管理要求，对项目过程中涉及的商业秘密、数据资料、技术方案承担保密责任。</w:t>
      </w:r>
    </w:p>
    <w:p w14:paraId="7E9CD11C">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（4）项目改造完成后，提供具备合法资质的《第三方专业验收测评报告》和《信创符合性评估报告》，确保项目符合信创要求、功能要求、性能要求、安全要求及本项目全部需求标准。</w:t>
      </w:r>
    </w:p>
    <w:p w14:paraId="2FA4DE97">
      <w:pPr>
        <w:keepNext/>
        <w:keepLines/>
        <w:pageBreakBefore w:val="0"/>
        <w:widowControl w:val="0"/>
        <w:numPr>
          <w:ilvl w:val="0"/>
          <w:numId w:val="1"/>
        </w:numPr>
        <w:kinsoku/>
        <w:wordWrap/>
        <w:overflowPunct/>
        <w:topLinePunct w:val="0"/>
        <w:autoSpaceDE/>
        <w:autoSpaceDN/>
        <w:bidi w:val="0"/>
        <w:adjustRightInd w:val="0"/>
        <w:snapToGrid w:val="0"/>
        <w:spacing w:before="0" w:beforeLines="0" w:after="0" w:afterLines="0" w:line="360" w:lineRule="auto"/>
        <w:ind w:left="0" w:leftChars="0" w:firstLine="482" w:firstLineChars="200"/>
        <w:jc w:val="both"/>
        <w:textAlignment w:val="auto"/>
        <w:outlineLvl w:val="0"/>
        <w:rPr>
          <w:rFonts w:hint="default" w:ascii="宋体" w:hAnsi="宋体" w:eastAsia="宋体" w:cs="宋体"/>
          <w:b/>
          <w:bCs/>
          <w:color w:val="auto"/>
          <w:kern w:val="44"/>
          <w:sz w:val="24"/>
          <w:szCs w:val="24"/>
          <w:highlight w:val="none"/>
          <w:lang w:val="en-US" w:eastAsia="zh-CN" w:bidi="ar-SA"/>
        </w:rPr>
      </w:pPr>
      <w:r>
        <w:rPr>
          <w:rFonts w:hint="eastAsia" w:ascii="宋体" w:hAnsi="宋体" w:eastAsia="宋体" w:cs="宋体"/>
          <w:b/>
          <w:bCs/>
          <w:color w:val="auto"/>
          <w:kern w:val="44"/>
          <w:sz w:val="24"/>
          <w:szCs w:val="24"/>
          <w:highlight w:val="none"/>
          <w:lang w:val="en-US" w:eastAsia="zh-CN" w:bidi="ar-SA"/>
        </w:rPr>
        <w:t>结算条件</w:t>
      </w:r>
    </w:p>
    <w:p w14:paraId="7D9453D9">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（一）付款节点与比例</w:t>
      </w:r>
    </w:p>
    <w:p w14:paraId="4009D603">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1.承接方按照本项目需求文件及合同载明的验收标准完成对应阶段性服务内容，并通过阶段性验收后，由委托方签发验收合格文件。</w:t>
      </w:r>
    </w:p>
    <w:p w14:paraId="470964BA">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承接方应依据双方签署的合同约定的支付方式，分四期提请付款申请，委托方向承接方支付当期服务费用（其中基本服务费占比70%，履约服务费占比30%），其中第一期基本服务费占比100%（不含履约服务费）。实际付款金额计算公式如下：实际付款金额 = 当期服务费用×70%+当期服务费用×30%×本次履</w:t>
      </w:r>
      <w:bookmarkStart w:id="4" w:name="_GoBack"/>
      <w:r>
        <w:rPr>
          <w:rFonts w:hint="eastAsia" w:asciiTheme="minorEastAsia" w:hAnsiTheme="minorEastAsia" w:eastAsiaTheme="minorEastAsia"/>
          <w:sz w:val="24"/>
          <w:szCs w:val="24"/>
          <w:lang w:val="en-US" w:eastAsia="zh-CN"/>
        </w:rPr>
        <w:t>约评价对应实际支付比例。</w:t>
      </w:r>
    </w:p>
    <w:p w14:paraId="62122920">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第一期，首付款：承接方应在工作任务书签订后15个工作日内提交经委托方书面确认的《项目实施方案》《项目实施计划》后，支付项目金额的30%；</w:t>
      </w:r>
    </w:p>
    <w:p w14:paraId="40813C7C">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第二期，项目验收款：项目验收完成后，支付项目金额的60%；</w:t>
      </w:r>
    </w:p>
    <w:p w14:paraId="5B2886B9">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第三期，项目质保期验收款：项目整体竣工验收之日起满一年，且承接方已履行全部免费运维义务并通过质保期验收后，支付项目金额的10%。</w:t>
      </w:r>
    </w:p>
    <w:bookmarkEnd w:id="4"/>
    <w:p w14:paraId="222AB5D2">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3.每次付款申请，承接方须提供：</w:t>
      </w:r>
    </w:p>
    <w:p w14:paraId="1ACF7698">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（1）承接方出具的当期支付申请；</w:t>
      </w:r>
    </w:p>
    <w:p w14:paraId="370C543B">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（2）委托方签发的当期验收合格报告（第一期除外）；</w:t>
      </w:r>
    </w:p>
    <w:p w14:paraId="5DD509BA">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（3）当期委托方签发的履约评价表（第一期除外）；</w:t>
      </w:r>
    </w:p>
    <w:p w14:paraId="1EF2DEBC">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（4）承接方开具的与委托方本阶段实际支付等额的增值专用发票。</w:t>
      </w:r>
    </w:p>
    <w:p w14:paraId="647527A4">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（二）履约服务费</w:t>
      </w:r>
    </w:p>
    <w:p w14:paraId="5C05B5B6">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委托方在每次付款前，将会对承接方进行履约评价，并按照履约评价结果支付履约服务费，履约服务费按履约评价结果与每阶段的基本服务费同期支付。</w:t>
      </w:r>
    </w:p>
    <w:p w14:paraId="1F263662">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1.履约评价分为五种结果，分别为优秀、良好、中等、合格、不合格。履约评价结果对应实际支付比例：</w:t>
      </w:r>
    </w:p>
    <w:p w14:paraId="2D053A27">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（1）履约评价等级为优秀的，支付当期100％履约服务费。</w:t>
      </w:r>
    </w:p>
    <w:p w14:paraId="6EBA53F5">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（2）履约评价等级为良好的，支付当期80％履约服务费。</w:t>
      </w:r>
    </w:p>
    <w:p w14:paraId="062AF3E2">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（3）履约评价等级为中等的，支付当期70％履约服务费。</w:t>
      </w:r>
    </w:p>
    <w:p w14:paraId="2FD4E2F4">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（4）履约评价等级为合格的，支付当期60%履约服务费。</w:t>
      </w:r>
    </w:p>
    <w:p w14:paraId="18853820">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（5）履约评价等级为不合格的，不予支付当期履约服务费，后续履约评价及结算时均不予补发。</w:t>
      </w:r>
    </w:p>
    <w:p w14:paraId="078B0D09">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2.实际支付履约服务费=应支付履约服务费*履约评价结果对应实际支付比例。</w:t>
      </w:r>
    </w:p>
    <w:p w14:paraId="018085B4">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3.因履约评价未达优秀而被扣减的履约服务费，后续亦不予补发。</w:t>
      </w:r>
    </w:p>
    <w:p w14:paraId="471678D8">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（三）履约评价表</w:t>
      </w:r>
    </w:p>
    <w:p w14:paraId="0507FD7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《深圳交易集团</w:t>
      </w:r>
      <w:r>
        <w:rPr>
          <w:rFonts w:hint="eastAsia" w:ascii="仿宋_GB2312" w:hAnsi="仿宋_GB2312" w:eastAsia="仿宋_GB2312" w:cs="仿宋_GB2312"/>
          <w:b w:val="0"/>
          <w:bCs w:val="0"/>
          <w:sz w:val="24"/>
          <w:szCs w:val="24"/>
          <w:highlight w:val="none"/>
          <w:lang w:val="en-US" w:eastAsia="zh-CN"/>
        </w:rPr>
        <w:t>项目</w:t>
      </w:r>
      <w:r>
        <w:rPr>
          <w:rFonts w:hint="eastAsia" w:ascii="仿宋_GB2312" w:hAnsi="仿宋_GB2312" w:eastAsia="仿宋_GB2312" w:cs="仿宋_GB2312"/>
          <w:b w:val="0"/>
          <w:bCs w:val="0"/>
          <w:sz w:val="24"/>
          <w:szCs w:val="24"/>
          <w:highlight w:val="none"/>
          <w:lang w:eastAsia="zh-CN"/>
        </w:rPr>
        <w:t>履约情况评价表》</w:t>
      </w:r>
    </w:p>
    <w:p w14:paraId="27D49085">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 xml:space="preserve">评价单位：                   </w:t>
      </w:r>
      <w:r>
        <w:rPr>
          <w:rFonts w:hint="eastAsia" w:ascii="仿宋_GB2312" w:hAnsi="仿宋_GB2312" w:eastAsia="仿宋_GB2312" w:cs="仿宋_GB2312"/>
          <w:b w:val="0"/>
          <w:bCs w:val="0"/>
          <w:sz w:val="24"/>
          <w:szCs w:val="24"/>
          <w:highlight w:val="none"/>
          <w:lang w:val="en-US" w:eastAsia="zh-CN"/>
        </w:rPr>
        <w:t xml:space="preserve">        评价</w:t>
      </w:r>
      <w:r>
        <w:rPr>
          <w:rFonts w:hint="eastAsia" w:ascii="仿宋_GB2312" w:hAnsi="仿宋_GB2312" w:eastAsia="仿宋_GB2312" w:cs="仿宋_GB2312"/>
          <w:b w:val="0"/>
          <w:bCs w:val="0"/>
          <w:sz w:val="24"/>
          <w:szCs w:val="24"/>
          <w:highlight w:val="none"/>
          <w:lang w:eastAsia="zh-CN"/>
        </w:rPr>
        <w:t>人及电话：</w:t>
      </w:r>
    </w:p>
    <w:tbl>
      <w:tblPr>
        <w:tblStyle w:val="10"/>
        <w:tblW w:w="499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0"/>
        <w:gridCol w:w="1057"/>
        <w:gridCol w:w="1089"/>
        <w:gridCol w:w="1883"/>
        <w:gridCol w:w="1585"/>
        <w:gridCol w:w="2165"/>
      </w:tblGrid>
      <w:tr w14:paraId="6E691A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3" w:hRule="atLeast"/>
          <w:jc w:val="center"/>
        </w:trPr>
        <w:tc>
          <w:tcPr>
            <w:tcW w:w="1694" w:type="pct"/>
            <w:gridSpan w:val="3"/>
            <w:vAlign w:val="center"/>
          </w:tcPr>
          <w:p w14:paraId="7C6C9DB9">
            <w:pPr>
              <w:widowControl/>
              <w:spacing w:line="360" w:lineRule="auto"/>
              <w:jc w:val="center"/>
              <w:rPr>
                <w:rFonts w:hint="eastAsia" w:ascii="仿宋_GB2312" w:hAnsi="宋体" w:eastAsia="仿宋_GB2312" w:cs="Times New Roman"/>
                <w:b w:val="0"/>
                <w:bCs w:val="0"/>
                <w:szCs w:val="21"/>
                <w:highlight w:val="none"/>
                <w:lang w:val="en-US" w:eastAsia="zh-CN"/>
              </w:rPr>
            </w:pPr>
            <w:r>
              <w:rPr>
                <w:rFonts w:hint="eastAsia" w:ascii="仿宋_GB2312" w:hAnsi="宋体" w:eastAsia="仿宋_GB2312" w:cs="Times New Roman"/>
                <w:b w:val="0"/>
                <w:bCs w:val="0"/>
                <w:szCs w:val="21"/>
                <w:highlight w:val="none"/>
                <w:lang w:val="en-US" w:eastAsia="zh-CN"/>
              </w:rPr>
              <w:t>承接方</w:t>
            </w:r>
          </w:p>
        </w:tc>
        <w:tc>
          <w:tcPr>
            <w:tcW w:w="1105" w:type="pct"/>
            <w:vAlign w:val="center"/>
          </w:tcPr>
          <w:p w14:paraId="6DF08A6D">
            <w:pPr>
              <w:widowControl/>
              <w:ind w:firstLine="420" w:firstLineChars="200"/>
              <w:rPr>
                <w:rFonts w:hint="eastAsia" w:ascii="仿宋_GB2312" w:hAnsi="宋体" w:eastAsia="仿宋_GB2312" w:cs="Times New Roman"/>
                <w:b w:val="0"/>
                <w:bCs w:val="0"/>
                <w:szCs w:val="21"/>
                <w:highlight w:val="none"/>
              </w:rPr>
            </w:pPr>
          </w:p>
        </w:tc>
        <w:tc>
          <w:tcPr>
            <w:tcW w:w="930" w:type="pct"/>
            <w:vAlign w:val="center"/>
          </w:tcPr>
          <w:p w14:paraId="674C1B20">
            <w:pPr>
              <w:widowControl/>
              <w:spacing w:line="360" w:lineRule="auto"/>
              <w:jc w:val="center"/>
              <w:rPr>
                <w:rFonts w:hint="default" w:ascii="仿宋_GB2312" w:hAnsi="宋体" w:eastAsia="仿宋_GB2312" w:cs="Times New Roman"/>
                <w:b w:val="0"/>
                <w:bCs w:val="0"/>
                <w:szCs w:val="21"/>
                <w:highlight w:val="none"/>
                <w:lang w:val="en-US"/>
              </w:rPr>
            </w:pPr>
            <w:r>
              <w:rPr>
                <w:rFonts w:hint="eastAsia" w:ascii="仿宋_GB2312" w:hAnsi="宋体" w:eastAsia="仿宋_GB2312" w:cs="Times New Roman"/>
                <w:b w:val="0"/>
                <w:bCs w:val="0"/>
                <w:szCs w:val="21"/>
                <w:highlight w:val="none"/>
                <w:lang w:val="en-US" w:eastAsia="zh-CN"/>
              </w:rPr>
              <w:t>服务周期</w:t>
            </w:r>
          </w:p>
        </w:tc>
        <w:tc>
          <w:tcPr>
            <w:tcW w:w="1270" w:type="pct"/>
            <w:vAlign w:val="center"/>
          </w:tcPr>
          <w:p w14:paraId="46B04CD5">
            <w:pPr>
              <w:widowControl/>
              <w:spacing w:line="360" w:lineRule="auto"/>
              <w:ind w:firstLine="420" w:firstLineChars="200"/>
              <w:jc w:val="center"/>
              <w:rPr>
                <w:rFonts w:hint="eastAsia" w:ascii="仿宋_GB2312" w:hAnsi="宋体" w:eastAsia="仿宋_GB2312" w:cs="Times New Roman"/>
                <w:b w:val="0"/>
                <w:bCs w:val="0"/>
                <w:szCs w:val="21"/>
                <w:highlight w:val="none"/>
              </w:rPr>
            </w:pPr>
          </w:p>
        </w:tc>
      </w:tr>
      <w:tr w14:paraId="170A9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9" w:hRule="atLeast"/>
          <w:jc w:val="center"/>
        </w:trPr>
        <w:tc>
          <w:tcPr>
            <w:tcW w:w="435" w:type="pct"/>
            <w:vAlign w:val="center"/>
          </w:tcPr>
          <w:p w14:paraId="66CBBADC">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序号</w:t>
            </w:r>
          </w:p>
        </w:tc>
        <w:tc>
          <w:tcPr>
            <w:tcW w:w="1258" w:type="pct"/>
            <w:gridSpan w:val="2"/>
            <w:vAlign w:val="center"/>
          </w:tcPr>
          <w:p w14:paraId="1DBAE9C1">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评价内容</w:t>
            </w:r>
          </w:p>
        </w:tc>
        <w:tc>
          <w:tcPr>
            <w:tcW w:w="1105" w:type="pct"/>
            <w:vAlign w:val="center"/>
          </w:tcPr>
          <w:p w14:paraId="2EC8E56E">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分值（分）</w:t>
            </w:r>
          </w:p>
        </w:tc>
        <w:tc>
          <w:tcPr>
            <w:tcW w:w="930" w:type="pct"/>
            <w:vAlign w:val="center"/>
          </w:tcPr>
          <w:p w14:paraId="7EFB995B">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实际得分</w:t>
            </w:r>
          </w:p>
        </w:tc>
        <w:tc>
          <w:tcPr>
            <w:tcW w:w="1270" w:type="pct"/>
            <w:vAlign w:val="center"/>
          </w:tcPr>
          <w:p w14:paraId="23A4E74E">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说明</w:t>
            </w:r>
          </w:p>
        </w:tc>
      </w:tr>
      <w:tr w14:paraId="244130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35" w:type="pct"/>
            <w:vAlign w:val="center"/>
          </w:tcPr>
          <w:p w14:paraId="2BDBCA9F">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szCs w:val="21"/>
                <w:highlight w:val="none"/>
              </w:rPr>
              <w:t>1</w:t>
            </w:r>
          </w:p>
        </w:tc>
        <w:tc>
          <w:tcPr>
            <w:tcW w:w="1258" w:type="pct"/>
            <w:gridSpan w:val="2"/>
            <w:vAlign w:val="center"/>
          </w:tcPr>
          <w:p w14:paraId="0F14F118">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lang w:val="en-US" w:eastAsia="zh-CN"/>
              </w:rPr>
              <w:t>服务</w:t>
            </w:r>
            <w:r>
              <w:rPr>
                <w:rFonts w:hint="eastAsia" w:ascii="仿宋_GB2312" w:hAnsi="宋体" w:eastAsia="仿宋_GB2312" w:cs="Times New Roman"/>
                <w:szCs w:val="21"/>
                <w:highlight w:val="none"/>
              </w:rPr>
              <w:t>内容落实与保障措施</w:t>
            </w:r>
          </w:p>
        </w:tc>
        <w:tc>
          <w:tcPr>
            <w:tcW w:w="1105" w:type="pct"/>
            <w:vAlign w:val="center"/>
          </w:tcPr>
          <w:p w14:paraId="3A4AC8E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530F1F51">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7F6463EC">
            <w:pPr>
              <w:widowControl/>
              <w:spacing w:line="360" w:lineRule="auto"/>
              <w:jc w:val="center"/>
              <w:rPr>
                <w:rFonts w:hint="eastAsia" w:ascii="仿宋_GB2312" w:hAnsi="宋体" w:eastAsia="仿宋_GB2312" w:cs="Times New Roman"/>
                <w:szCs w:val="21"/>
                <w:highlight w:val="none"/>
              </w:rPr>
            </w:pPr>
          </w:p>
        </w:tc>
      </w:tr>
      <w:tr w14:paraId="2D39C1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09C68F7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2</w:t>
            </w:r>
          </w:p>
        </w:tc>
        <w:tc>
          <w:tcPr>
            <w:tcW w:w="1258" w:type="pct"/>
            <w:gridSpan w:val="2"/>
            <w:vAlign w:val="center"/>
          </w:tcPr>
          <w:p w14:paraId="3ADE9CB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人员配备与投入</w:t>
            </w:r>
          </w:p>
        </w:tc>
        <w:tc>
          <w:tcPr>
            <w:tcW w:w="1105" w:type="pct"/>
            <w:vAlign w:val="center"/>
          </w:tcPr>
          <w:p w14:paraId="10B23F13">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21010DE">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469B7F44">
            <w:pPr>
              <w:widowControl/>
              <w:spacing w:line="360" w:lineRule="auto"/>
              <w:jc w:val="center"/>
              <w:rPr>
                <w:rFonts w:hint="eastAsia" w:ascii="仿宋_GB2312" w:hAnsi="宋体" w:eastAsia="仿宋_GB2312" w:cs="Times New Roman"/>
                <w:szCs w:val="21"/>
                <w:highlight w:val="none"/>
              </w:rPr>
            </w:pPr>
          </w:p>
        </w:tc>
      </w:tr>
      <w:tr w14:paraId="48518B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54356CA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3</w:t>
            </w:r>
          </w:p>
        </w:tc>
        <w:tc>
          <w:tcPr>
            <w:tcW w:w="1258" w:type="pct"/>
            <w:gridSpan w:val="2"/>
            <w:vAlign w:val="center"/>
          </w:tcPr>
          <w:p w14:paraId="2E1C527E">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服务质量</w:t>
            </w:r>
          </w:p>
        </w:tc>
        <w:tc>
          <w:tcPr>
            <w:tcW w:w="1105" w:type="pct"/>
            <w:vAlign w:val="center"/>
          </w:tcPr>
          <w:p w14:paraId="7935159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740380C6">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5670C429">
            <w:pPr>
              <w:widowControl/>
              <w:spacing w:line="360" w:lineRule="auto"/>
              <w:jc w:val="center"/>
              <w:rPr>
                <w:rFonts w:hint="eastAsia" w:ascii="仿宋_GB2312" w:hAnsi="宋体" w:eastAsia="仿宋_GB2312" w:cs="Times New Roman"/>
                <w:szCs w:val="21"/>
                <w:highlight w:val="none"/>
              </w:rPr>
            </w:pPr>
          </w:p>
        </w:tc>
      </w:tr>
      <w:tr w14:paraId="710837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0" w:hRule="atLeast"/>
          <w:jc w:val="center"/>
        </w:trPr>
        <w:tc>
          <w:tcPr>
            <w:tcW w:w="435" w:type="pct"/>
            <w:vAlign w:val="center"/>
          </w:tcPr>
          <w:p w14:paraId="20DD47C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4</w:t>
            </w:r>
          </w:p>
        </w:tc>
        <w:tc>
          <w:tcPr>
            <w:tcW w:w="1258" w:type="pct"/>
            <w:gridSpan w:val="2"/>
            <w:vAlign w:val="center"/>
          </w:tcPr>
          <w:p w14:paraId="2D680702">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服务效率</w:t>
            </w:r>
          </w:p>
        </w:tc>
        <w:tc>
          <w:tcPr>
            <w:tcW w:w="1105" w:type="pct"/>
            <w:vAlign w:val="center"/>
          </w:tcPr>
          <w:p w14:paraId="75D32DC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107D62B">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5066D721">
            <w:pPr>
              <w:widowControl/>
              <w:spacing w:line="360" w:lineRule="auto"/>
              <w:jc w:val="center"/>
              <w:rPr>
                <w:rFonts w:hint="eastAsia" w:ascii="仿宋_GB2312" w:hAnsi="宋体" w:eastAsia="仿宋_GB2312" w:cs="Times New Roman"/>
                <w:szCs w:val="21"/>
                <w:highlight w:val="none"/>
              </w:rPr>
            </w:pPr>
          </w:p>
        </w:tc>
      </w:tr>
      <w:tr w14:paraId="25BBA0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14CB7F33">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5</w:t>
            </w:r>
          </w:p>
        </w:tc>
        <w:tc>
          <w:tcPr>
            <w:tcW w:w="1258" w:type="pct"/>
            <w:gridSpan w:val="2"/>
            <w:vAlign w:val="center"/>
          </w:tcPr>
          <w:p w14:paraId="4C56E444">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服务态度</w:t>
            </w:r>
          </w:p>
        </w:tc>
        <w:tc>
          <w:tcPr>
            <w:tcW w:w="1105" w:type="pct"/>
            <w:vAlign w:val="center"/>
          </w:tcPr>
          <w:p w14:paraId="37EFA7E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69778294">
            <w:pPr>
              <w:widowControl/>
              <w:spacing w:line="360" w:lineRule="auto"/>
              <w:jc w:val="center"/>
              <w:rPr>
                <w:rFonts w:hint="eastAsia" w:ascii="宋体" w:hAnsi="宋体" w:eastAsia="宋体" w:cs="宋体"/>
                <w:sz w:val="18"/>
                <w:szCs w:val="18"/>
                <w:highlight w:val="none"/>
              </w:rPr>
            </w:pPr>
          </w:p>
        </w:tc>
        <w:tc>
          <w:tcPr>
            <w:tcW w:w="1270" w:type="pct"/>
            <w:vAlign w:val="center"/>
          </w:tcPr>
          <w:p w14:paraId="7A4B0D5A">
            <w:pPr>
              <w:widowControl/>
              <w:spacing w:line="360" w:lineRule="auto"/>
              <w:jc w:val="center"/>
              <w:rPr>
                <w:rFonts w:hint="eastAsia" w:ascii="仿宋_GB2312" w:hAnsi="宋体" w:eastAsia="仿宋_GB2312" w:cs="Times New Roman"/>
                <w:szCs w:val="21"/>
                <w:highlight w:val="none"/>
              </w:rPr>
            </w:pPr>
          </w:p>
        </w:tc>
      </w:tr>
      <w:tr w14:paraId="06858B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2F6652A6">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6</w:t>
            </w:r>
          </w:p>
        </w:tc>
        <w:tc>
          <w:tcPr>
            <w:tcW w:w="1258" w:type="pct"/>
            <w:gridSpan w:val="2"/>
            <w:vAlign w:val="center"/>
          </w:tcPr>
          <w:p w14:paraId="5DC41AF2">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安全保障</w:t>
            </w:r>
          </w:p>
        </w:tc>
        <w:tc>
          <w:tcPr>
            <w:tcW w:w="1105" w:type="pct"/>
            <w:vAlign w:val="center"/>
          </w:tcPr>
          <w:p w14:paraId="011BC182">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25DC1470">
            <w:pPr>
              <w:widowControl/>
              <w:spacing w:line="360" w:lineRule="auto"/>
              <w:jc w:val="center"/>
              <w:rPr>
                <w:rFonts w:hint="eastAsia" w:ascii="宋体" w:hAnsi="宋体" w:eastAsia="宋体" w:cs="宋体"/>
                <w:sz w:val="18"/>
                <w:szCs w:val="18"/>
                <w:highlight w:val="none"/>
              </w:rPr>
            </w:pPr>
          </w:p>
        </w:tc>
        <w:tc>
          <w:tcPr>
            <w:tcW w:w="1270" w:type="pct"/>
            <w:vAlign w:val="center"/>
          </w:tcPr>
          <w:p w14:paraId="7275F736">
            <w:pPr>
              <w:widowControl/>
              <w:spacing w:line="360" w:lineRule="auto"/>
              <w:jc w:val="center"/>
              <w:rPr>
                <w:rFonts w:hint="eastAsia" w:ascii="仿宋_GB2312" w:hAnsi="宋体" w:eastAsia="仿宋_GB2312" w:cs="Times New Roman"/>
                <w:szCs w:val="21"/>
                <w:highlight w:val="none"/>
              </w:rPr>
            </w:pPr>
          </w:p>
        </w:tc>
      </w:tr>
      <w:tr w14:paraId="44137A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0585D98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7</w:t>
            </w:r>
          </w:p>
        </w:tc>
        <w:tc>
          <w:tcPr>
            <w:tcW w:w="1258" w:type="pct"/>
            <w:gridSpan w:val="2"/>
            <w:vAlign w:val="center"/>
          </w:tcPr>
          <w:p w14:paraId="7D7EAF79">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项目经理履职情况</w:t>
            </w:r>
          </w:p>
        </w:tc>
        <w:tc>
          <w:tcPr>
            <w:tcW w:w="1105" w:type="pct"/>
            <w:vAlign w:val="center"/>
          </w:tcPr>
          <w:p w14:paraId="51EACE56">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7B3801E3">
            <w:pPr>
              <w:widowControl/>
              <w:spacing w:line="360" w:lineRule="auto"/>
              <w:jc w:val="center"/>
              <w:rPr>
                <w:rFonts w:hint="eastAsia" w:ascii="宋体" w:hAnsi="宋体" w:eastAsia="宋体" w:cs="宋体"/>
                <w:sz w:val="18"/>
                <w:szCs w:val="18"/>
                <w:highlight w:val="none"/>
              </w:rPr>
            </w:pPr>
          </w:p>
        </w:tc>
        <w:tc>
          <w:tcPr>
            <w:tcW w:w="1270" w:type="pct"/>
            <w:vAlign w:val="center"/>
          </w:tcPr>
          <w:p w14:paraId="16291485">
            <w:pPr>
              <w:widowControl/>
              <w:spacing w:line="360" w:lineRule="auto"/>
              <w:jc w:val="center"/>
              <w:rPr>
                <w:rFonts w:hint="eastAsia" w:ascii="仿宋_GB2312" w:hAnsi="宋体" w:eastAsia="仿宋_GB2312" w:cs="Times New Roman"/>
                <w:szCs w:val="21"/>
                <w:highlight w:val="none"/>
              </w:rPr>
            </w:pPr>
          </w:p>
        </w:tc>
      </w:tr>
      <w:tr w14:paraId="59D3A7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435" w:type="pct"/>
            <w:vAlign w:val="center"/>
          </w:tcPr>
          <w:p w14:paraId="314FEC3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8</w:t>
            </w:r>
          </w:p>
        </w:tc>
        <w:tc>
          <w:tcPr>
            <w:tcW w:w="1258" w:type="pct"/>
            <w:gridSpan w:val="2"/>
            <w:vAlign w:val="center"/>
          </w:tcPr>
          <w:p w14:paraId="2230D539">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其他</w:t>
            </w:r>
          </w:p>
        </w:tc>
        <w:tc>
          <w:tcPr>
            <w:tcW w:w="1105" w:type="pct"/>
            <w:vAlign w:val="center"/>
          </w:tcPr>
          <w:p w14:paraId="6072952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3A39890D">
            <w:pPr>
              <w:widowControl/>
              <w:spacing w:line="360" w:lineRule="auto"/>
              <w:jc w:val="center"/>
              <w:rPr>
                <w:rFonts w:hint="eastAsia" w:ascii="宋体" w:hAnsi="宋体" w:eastAsia="宋体" w:cs="宋体"/>
                <w:sz w:val="18"/>
                <w:szCs w:val="18"/>
                <w:highlight w:val="none"/>
              </w:rPr>
            </w:pPr>
          </w:p>
        </w:tc>
        <w:tc>
          <w:tcPr>
            <w:tcW w:w="1270" w:type="pct"/>
            <w:vAlign w:val="center"/>
          </w:tcPr>
          <w:p w14:paraId="58C3EEBB">
            <w:pPr>
              <w:widowControl/>
              <w:spacing w:line="360" w:lineRule="auto"/>
              <w:jc w:val="center"/>
              <w:rPr>
                <w:rFonts w:hint="eastAsia" w:ascii="仿宋_GB2312" w:hAnsi="宋体" w:eastAsia="仿宋_GB2312" w:cs="Times New Roman"/>
                <w:szCs w:val="21"/>
                <w:highlight w:val="none"/>
              </w:rPr>
            </w:pPr>
          </w:p>
        </w:tc>
      </w:tr>
      <w:tr w14:paraId="236A39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694" w:type="pct"/>
            <w:gridSpan w:val="3"/>
            <w:vAlign w:val="center"/>
          </w:tcPr>
          <w:p w14:paraId="04853F5E">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b/>
                <w:bCs/>
                <w:szCs w:val="21"/>
                <w:highlight w:val="none"/>
              </w:rPr>
              <w:t>综合考评总分</w:t>
            </w:r>
          </w:p>
          <w:p w14:paraId="55525EB0">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b/>
                <w:bCs/>
                <w:szCs w:val="21"/>
                <w:highlight w:val="none"/>
              </w:rPr>
              <w:t>（即上述实际得分的平均值）</w:t>
            </w:r>
          </w:p>
        </w:tc>
        <w:tc>
          <w:tcPr>
            <w:tcW w:w="3305" w:type="pct"/>
            <w:gridSpan w:val="3"/>
            <w:vAlign w:val="center"/>
          </w:tcPr>
          <w:p w14:paraId="4A020B94">
            <w:pPr>
              <w:widowControl/>
              <w:spacing w:line="360" w:lineRule="auto"/>
              <w:ind w:firstLine="420" w:firstLineChars="200"/>
              <w:rPr>
                <w:rFonts w:hint="eastAsia" w:ascii="宋体" w:hAnsi="宋体" w:eastAsia="宋体" w:cs="Times New Roman"/>
                <w:szCs w:val="21"/>
                <w:highlight w:val="none"/>
              </w:rPr>
            </w:pPr>
          </w:p>
        </w:tc>
      </w:tr>
      <w:tr w14:paraId="14E0DD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55" w:type="pct"/>
            <w:gridSpan w:val="2"/>
            <w:vAlign w:val="center"/>
          </w:tcPr>
          <w:p w14:paraId="425A2076">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具体情况说明</w:t>
            </w:r>
          </w:p>
        </w:tc>
        <w:tc>
          <w:tcPr>
            <w:tcW w:w="3944" w:type="pct"/>
            <w:gridSpan w:val="4"/>
          </w:tcPr>
          <w:p w14:paraId="3BB8A6D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tc>
      </w:tr>
      <w:tr w14:paraId="63162A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55" w:type="pct"/>
            <w:gridSpan w:val="2"/>
            <w:vAlign w:val="center"/>
          </w:tcPr>
          <w:p w14:paraId="5F2611CA">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改进建议及要求</w:t>
            </w:r>
          </w:p>
        </w:tc>
        <w:tc>
          <w:tcPr>
            <w:tcW w:w="3944" w:type="pct"/>
            <w:gridSpan w:val="4"/>
            <w:vAlign w:val="center"/>
          </w:tcPr>
          <w:p w14:paraId="5974400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tc>
      </w:tr>
      <w:tr w14:paraId="756BD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83" w:hRule="atLeast"/>
          <w:jc w:val="center"/>
        </w:trPr>
        <w:tc>
          <w:tcPr>
            <w:tcW w:w="1055" w:type="pct"/>
            <w:gridSpan w:val="2"/>
            <w:vAlign w:val="center"/>
          </w:tcPr>
          <w:p w14:paraId="739AE93A">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评价单位意见</w:t>
            </w:r>
          </w:p>
          <w:p w14:paraId="63A582D7">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（签字或盖章）</w:t>
            </w:r>
          </w:p>
        </w:tc>
        <w:tc>
          <w:tcPr>
            <w:tcW w:w="3944" w:type="pct"/>
            <w:gridSpan w:val="4"/>
            <w:vAlign w:val="center"/>
          </w:tcPr>
          <w:p w14:paraId="07613D6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p w14:paraId="35BB728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p w14:paraId="302F4300">
            <w:pPr>
              <w:keepNext w:val="0"/>
              <w:keepLines w:val="0"/>
              <w:pageBreakBefore w:val="0"/>
              <w:widowControl w:val="0"/>
              <w:kinsoku/>
              <w:wordWrap/>
              <w:overflowPunct/>
              <w:topLinePunct w:val="0"/>
              <w:autoSpaceDE/>
              <w:autoSpaceDN/>
              <w:bidi w:val="0"/>
              <w:adjustRightInd/>
              <w:snapToGrid/>
              <w:ind w:firstLine="3360" w:firstLineChars="14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日期：   年   月   日</w:t>
            </w:r>
          </w:p>
        </w:tc>
      </w:tr>
    </w:tbl>
    <w:p w14:paraId="4F99E4B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说明：</w:t>
      </w:r>
    </w:p>
    <w:p w14:paraId="3694F4F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1、履约评价内容各项采用百分制，综合考评总分（以各项实际得分平均值计算）为优秀（评分≥90分）、良好（80≤评分＜90）、中等（70≤评分＜80）、合格（60≤评分＜70）、不合格（评分＜60）五个等级。                                                                  </w:t>
      </w:r>
    </w:p>
    <w:p w14:paraId="434F4EBD">
      <w:pPr>
        <w:pStyle w:val="3"/>
        <w:ind w:firstLine="480" w:firstLineChars="20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sz w:val="24"/>
          <w:szCs w:val="24"/>
          <w:highlight w:val="none"/>
          <w:lang w:val="en-US" w:eastAsia="zh-CN"/>
        </w:rPr>
        <w:t>2、履约评价为优秀的，履约服务费按100%支付；评价为良好的，履约服务费按80%支付；评价为中等的，履约服务费按70%支付；评价为合格的，履约服务费按60%支付；评价为不合格的，履约服务费不予支付。</w:t>
      </w:r>
    </w:p>
    <w:p w14:paraId="7288A203">
      <w:pPr>
        <w:pStyle w:val="3"/>
        <w:ind w:firstLine="480" w:firstLineChars="200"/>
        <w:rPr>
          <w:rFonts w:hint="eastAsia" w:ascii="仿宋_GB2312" w:hAnsi="仿宋_GB2312" w:eastAsia="仿宋_GB2312" w:cs="仿宋_GB2312"/>
          <w:sz w:val="24"/>
          <w:szCs w:val="24"/>
          <w:highlight w:val="none"/>
          <w:lang w:val="en-US" w:eastAsia="zh-CN"/>
        </w:rPr>
      </w:pPr>
    </w:p>
    <w:p w14:paraId="0A05AE03">
      <w:pPr>
        <w:pStyle w:val="3"/>
        <w:ind w:firstLine="480" w:firstLineChars="200"/>
        <w:rPr>
          <w:rFonts w:hint="eastAsia" w:ascii="仿宋_GB2312" w:hAnsi="仿宋_GB2312" w:eastAsia="仿宋_GB2312" w:cs="仿宋_GB2312"/>
          <w:color w:val="auto"/>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Garamond">
    <w:panose1 w:val="02020404030301010803"/>
    <w:charset w:val="00"/>
    <w:family w:val="roman"/>
    <w:pitch w:val="default"/>
    <w:sig w:usb0="00000287" w:usb1="00000000" w:usb2="00000000" w:usb3="00000000" w:csb0="0000009F" w:csb1="DFD70000"/>
  </w:font>
  <w:font w:name="方正小标宋简体">
    <w:panose1 w:val="02000000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norHAnsi">
    <w:altName w:val="Segoe Print"/>
    <w:panose1 w:val="00000000000000000000"/>
    <w:charset w:val="00"/>
    <w:family w:val="auto"/>
    <w:pitch w:val="default"/>
    <w:sig w:usb0="00000000" w:usb1="00000000" w:usb2="00000000" w:usb3="00000000" w:csb0="00000000" w:csb1="00000000"/>
  </w:font>
  <w:font w:name="minorEastAsia">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6FC2B1"/>
    <w:multiLevelType w:val="singleLevel"/>
    <w:tmpl w:val="C86FC2B1"/>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CC45AA"/>
    <w:rsid w:val="00C77BB5"/>
    <w:rsid w:val="025952CA"/>
    <w:rsid w:val="03B7255A"/>
    <w:rsid w:val="05937469"/>
    <w:rsid w:val="0DD8589D"/>
    <w:rsid w:val="0F1071DB"/>
    <w:rsid w:val="10EE1DD4"/>
    <w:rsid w:val="136030ED"/>
    <w:rsid w:val="13713C63"/>
    <w:rsid w:val="183208FE"/>
    <w:rsid w:val="1D21234A"/>
    <w:rsid w:val="1FD828D1"/>
    <w:rsid w:val="228D70D9"/>
    <w:rsid w:val="24E110FF"/>
    <w:rsid w:val="25454668"/>
    <w:rsid w:val="26526E2B"/>
    <w:rsid w:val="281575AF"/>
    <w:rsid w:val="289D1343"/>
    <w:rsid w:val="2CC109E2"/>
    <w:rsid w:val="2E0C1DCF"/>
    <w:rsid w:val="2E4738D7"/>
    <w:rsid w:val="2FB67708"/>
    <w:rsid w:val="32270BB0"/>
    <w:rsid w:val="3258743D"/>
    <w:rsid w:val="379E11AD"/>
    <w:rsid w:val="3FF0614F"/>
    <w:rsid w:val="4258464E"/>
    <w:rsid w:val="42752EFE"/>
    <w:rsid w:val="45CC45AA"/>
    <w:rsid w:val="49276EBD"/>
    <w:rsid w:val="4CD931E8"/>
    <w:rsid w:val="4FEE5957"/>
    <w:rsid w:val="536D20CA"/>
    <w:rsid w:val="59C72CC4"/>
    <w:rsid w:val="5B3D7C9E"/>
    <w:rsid w:val="5C1B042B"/>
    <w:rsid w:val="5D080CF3"/>
    <w:rsid w:val="5EC869C6"/>
    <w:rsid w:val="66157FDD"/>
    <w:rsid w:val="66D41CA7"/>
    <w:rsid w:val="693115D2"/>
    <w:rsid w:val="69CE5072"/>
    <w:rsid w:val="73C33869"/>
    <w:rsid w:val="744C349D"/>
    <w:rsid w:val="7712438D"/>
    <w:rsid w:val="78EC1071"/>
    <w:rsid w:val="7AAD7405"/>
    <w:rsid w:val="7C791690"/>
    <w:rsid w:val="7E0E00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260" w:after="260"/>
      <w:jc w:val="both"/>
    </w:pPr>
    <w:rPr>
      <w:rFonts w:ascii="Times New Roman" w:hAnsi="Times New Roman" w:eastAsia="宋体" w:cs="Times New Roman"/>
      <w:kern w:val="2"/>
      <w:sz w:val="21"/>
      <w:lang w:val="en-US" w:eastAsia="zh-CN" w:bidi="ar-SA"/>
    </w:rPr>
  </w:style>
  <w:style w:type="paragraph" w:styleId="4">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3"/>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line="360" w:lineRule="auto"/>
    </w:pPr>
    <w:rPr>
      <w:sz w:val="24"/>
    </w:rPr>
  </w:style>
  <w:style w:type="paragraph" w:styleId="3">
    <w:name w:val="Body Text 2"/>
    <w:basedOn w:val="1"/>
    <w:qFormat/>
    <w:uiPriority w:val="0"/>
    <w:pPr>
      <w:widowControl/>
      <w:spacing w:line="360" w:lineRule="auto"/>
      <w:jc w:val="left"/>
    </w:pPr>
    <w:rPr>
      <w:rFonts w:ascii="楷体_GB2312" w:hAnsi="Garamond" w:eastAsia="楷体_GB2312"/>
      <w:color w:val="FF0000"/>
      <w:kern w:val="0"/>
      <w:sz w:val="24"/>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itle"/>
    <w:next w:val="1"/>
    <w:qFormat/>
    <w:uiPriority w:val="9"/>
    <w:pPr>
      <w:spacing w:line="720" w:lineRule="exact"/>
      <w:jc w:val="center"/>
      <w:outlineLvl w:val="9"/>
    </w:pPr>
    <w:rPr>
      <w:rFonts w:ascii="方正小标宋简体" w:hAnsi="方正小标宋简体" w:eastAsia="方正小标宋简体" w:cs="方正小标宋简体"/>
      <w:sz w:val="44"/>
      <w:szCs w:val="44"/>
    </w:rPr>
  </w:style>
  <w:style w:type="character" w:styleId="12">
    <w:name w:val="Strong"/>
    <w:basedOn w:val="11"/>
    <w:qFormat/>
    <w:uiPriority w:val="0"/>
    <w:rPr>
      <w:b/>
    </w:rPr>
  </w:style>
  <w:style w:type="character" w:customStyle="1" w:styleId="13">
    <w:name w:val="标题 2 Char"/>
    <w:link w:val="5"/>
    <w:qFormat/>
    <w:uiPriority w:val="0"/>
    <w:rPr>
      <w:rFonts w:ascii="Arial" w:hAnsi="Arial" w:eastAsia="黑体"/>
      <w:b/>
      <w:sz w:val="32"/>
    </w:rPr>
  </w:style>
  <w:style w:type="character" w:customStyle="1" w:styleId="14">
    <w:name w:val="标题 1 字符"/>
    <w:link w:val="4"/>
    <w:qFormat/>
    <w:uiPriority w:val="0"/>
    <w:rPr>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2379</Words>
  <Characters>2456</Characters>
  <TotalTime>0</TotalTime>
  <ScaleCrop>false</ScaleCrop>
  <LinksUpToDate>false</LinksUpToDate>
  <CharactersWithSpaces>2458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2026-05-13T16:06:00Z</dcterms:created>
  <dc:creator>11351</dc:creator>
  <cp:lastModifiedBy>Administrator</cp:lastModifiedBy>
  <dcterms:modified xsi:type="dcterms:W3CDTF">2026-07-20T13:22:38Z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D9B3E184BA0E4FF8B570A922640CD3A4_13</vt:lpwstr>
  </property>
  <property fmtid="{D5CDD505-2E9C-101B-9397-08002B2CF9AE}" pid="4" name="KSOTemplateDocerSaveRecord">
    <vt:lpwstr>eyJoZGlkIjoiMWQ3NmZjYTMzYTJlYjhiYTVhNDQzZTBkMTdhMDk5ZTQiLCJ1c2VySWQiOiIxNDc4ODMwODM4In0=</vt:lpwstr>
  </property>
</Properties>
</file>