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8B35">
      <w:pPr>
        <w:pStyle w:val="2"/>
        <w:widowControl/>
        <w:numPr>
          <w:ilvl w:val="0"/>
          <w:numId w:val="0"/>
        </w:numPr>
        <w:topLinePunct w:val="0"/>
        <w:rPr>
          <w:rFonts w:hint="default"/>
          <w:color w:val="auto"/>
          <w:highlight w:val="none"/>
          <w:lang w:val="en-US" w:eastAsia="zh-CN"/>
        </w:rPr>
      </w:pPr>
      <w:r>
        <w:rPr>
          <w:rFonts w:hint="eastAsia"/>
          <w:color w:val="auto"/>
          <w:highlight w:val="none"/>
          <w:lang w:val="en-US" w:eastAsia="zh-CN"/>
        </w:rPr>
        <w:t>3-09.2026-2027</w:t>
      </w:r>
      <w:r>
        <w:rPr>
          <w:rFonts w:hint="eastAsia"/>
          <w:color w:val="auto"/>
          <w:highlight w:val="none"/>
          <w:lang w:val="en-US" w:eastAsia="zh-CN"/>
        </w:rPr>
        <w:t>年财务系统敏捷开发服务需求文件</w:t>
      </w:r>
    </w:p>
    <w:p w14:paraId="37A5CC3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p>
    <w:p w14:paraId="3E725CBB">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敏捷开发费用合计33万元（含税），按照如下方式进行：</w:t>
      </w:r>
    </w:p>
    <w:p w14:paraId="00917786">
      <w:pPr>
        <w:pStyle w:val="2"/>
        <w:widowControl/>
        <w:numPr>
          <w:ilvl w:val="0"/>
          <w:numId w:val="0"/>
        </w:numPr>
        <w:topLinePunct w:val="0"/>
        <w:ind w:left="0" w:leftChars="0" w:firstLine="640"/>
        <w:rPr>
          <w:rFonts w:hint="eastAsia"/>
          <w:color w:val="auto"/>
          <w:highlight w:val="none"/>
          <w:lang w:val="en-US" w:eastAsia="zh-CN"/>
        </w:rPr>
      </w:pPr>
      <w:bookmarkStart w:id="0" w:name="_Toc28988"/>
      <w:r>
        <w:rPr>
          <w:rFonts w:hint="eastAsia"/>
          <w:color w:val="auto"/>
          <w:highlight w:val="none"/>
          <w:lang w:val="en-US" w:eastAsia="zh-CN"/>
        </w:rPr>
        <w:t>一、</w:t>
      </w:r>
      <w:bookmarkEnd w:id="0"/>
      <w:bookmarkStart w:id="1" w:name="_Toc14822"/>
      <w:r>
        <w:rPr>
          <w:rFonts w:hint="eastAsia"/>
          <w:color w:val="auto"/>
          <w:highlight w:val="none"/>
          <w:lang w:val="en-US" w:eastAsia="zh-CN"/>
        </w:rPr>
        <w:t>服务期</w:t>
      </w:r>
      <w:bookmarkEnd w:id="1"/>
    </w:p>
    <w:p w14:paraId="4A29B992">
      <w:pPr>
        <w:pStyle w:val="2"/>
        <w:widowControl/>
        <w:numPr>
          <w:ilvl w:val="0"/>
          <w:numId w:val="0"/>
        </w:numPr>
        <w:topLinePunct w:val="0"/>
        <w:ind w:left="0" w:leftChars="0" w:firstLine="640"/>
        <w:rPr>
          <w:rFonts w:hint="eastAsia" w:ascii="Times New Roman" w:hAnsi="Times New Roman" w:eastAsia="仿宋_GB2312" w:cs="Times New Roman"/>
          <w:color w:val="auto"/>
          <w:kern w:val="2"/>
          <w:sz w:val="32"/>
          <w:szCs w:val="24"/>
          <w:lang w:val="en-US" w:eastAsia="zh-CN" w:bidi="ar-SA"/>
        </w:rPr>
      </w:pPr>
      <w:r>
        <w:rPr>
          <w:rFonts w:hint="eastAsia" w:ascii="Times New Roman" w:hAnsi="Times New Roman" w:eastAsia="仿宋_GB2312" w:cs="Times New Roman"/>
          <w:color w:val="auto"/>
          <w:kern w:val="2"/>
          <w:sz w:val="32"/>
          <w:szCs w:val="24"/>
          <w:lang w:val="en-US" w:eastAsia="zh-CN" w:bidi="ar-SA"/>
        </w:rPr>
        <w:t>服务期限：合同签订之日起12个月</w:t>
      </w:r>
    </w:p>
    <w:p w14:paraId="3280385F">
      <w:pPr>
        <w:pStyle w:val="2"/>
        <w:widowControl/>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二、结算方式</w:t>
      </w:r>
    </w:p>
    <w:p w14:paraId="7C507799">
      <w:pPr>
        <w:pStyle w:val="4"/>
        <w:numPr>
          <w:ilvl w:val="0"/>
          <w:numId w:val="0"/>
        </w:numPr>
        <w:ind w:left="0" w:leftChars="0" w:firstLine="616"/>
        <w:rPr>
          <w:rFonts w:hint="eastAsia"/>
        </w:rPr>
      </w:pPr>
      <w:r>
        <w:rPr>
          <w:rFonts w:hint="eastAsia" w:ascii="Times New Roman" w:hAnsi="Times New Roman" w:eastAsia="仿宋_GB2312" w:cs="Times New Roman"/>
          <w:color w:val="auto"/>
          <w:kern w:val="2"/>
          <w:sz w:val="32"/>
          <w:szCs w:val="24"/>
          <w:lang w:val="en-US" w:eastAsia="zh-CN" w:bidi="ar-SA"/>
        </w:rPr>
        <w:t>运维期产生的软件功能新增需求、定制开发、专项优化等开发需求，按照不高于中标服务商投标报价产生的人天单价的标准另行结算开发费用。</w:t>
      </w:r>
      <w:r>
        <w:rPr>
          <w:rFonts w:hint="eastAsia" w:ascii="仿宋_GB2312" w:hAnsi="仿宋_GB2312" w:eastAsia="仿宋_GB2312" w:cs="仿宋_GB2312"/>
          <w:color w:val="auto"/>
          <w:sz w:val="32"/>
          <w:szCs w:val="32"/>
          <w:highlight w:val="none"/>
          <w:lang w:val="en-US" w:eastAsia="zh-CN"/>
        </w:rPr>
        <w:t>每半年为一个结算周期，承接方应在结算周期届满后及时将本阶段的定制开发和应用接入的详细工作内容及工作量确认单提交委托方授权人员签名确认。承接方提供与工作量确认单金额等额的增值税专用发票，委托方在收到发票后向承接方支付相应款项。</w:t>
      </w:r>
    </w:p>
    <w:p w14:paraId="1580EC67">
      <w:pPr>
        <w:pStyle w:val="2"/>
        <w:widowControl/>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三</w:t>
      </w:r>
      <w:bookmarkStart w:id="2" w:name="_GoBack"/>
      <w:bookmarkEnd w:id="2"/>
      <w:r>
        <w:rPr>
          <w:rFonts w:hint="eastAsia"/>
          <w:color w:val="auto"/>
          <w:highlight w:val="none"/>
          <w:lang w:val="en-US" w:eastAsia="zh-CN"/>
        </w:rPr>
        <w:t>、结算条件</w:t>
      </w:r>
    </w:p>
    <w:p w14:paraId="6D55DA9C">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（一）付款节点与比例</w:t>
      </w:r>
    </w:p>
    <w:p w14:paraId="1DEF3C35">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1.承接方按照本项目需求文件及合同载明的验收标准完成对应阶段性服务内容，并通过阶段性验收后，由委托方签发验收合格文件。</w:t>
      </w:r>
    </w:p>
    <w:p w14:paraId="03079A9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承接方应依据双方签署的合同约定的支付方式，分四期提请付款申请，委托方向承接方支付当期服务费用（其中基本服务费占比70%，履约服务费占比30%），其中第一期基本服务费占比100%（不含履约服务费）。实际付款金额计算公式如下：实际付款金额 = 当期服务费用×70%+当期服务费用×30%×本次履约评价对应实际支付比例。</w:t>
      </w:r>
    </w:p>
    <w:p w14:paraId="2016B934">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3.每次付款申请，承接方须提供：</w:t>
      </w:r>
    </w:p>
    <w:p w14:paraId="77CEC3C0">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（1）承接方出具的当期支付申请；</w:t>
      </w:r>
    </w:p>
    <w:p w14:paraId="61112F5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（2）委托方签发的当期验收合格报告（第一期除外）；</w:t>
      </w:r>
    </w:p>
    <w:p w14:paraId="04AAB75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（3）当期委托方签发的履约评价表（第一期除外）；</w:t>
      </w:r>
    </w:p>
    <w:p w14:paraId="18B04378">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（4）承接方开具的与委托方本阶段实际支付等额的增值专用发票。</w:t>
      </w:r>
    </w:p>
    <w:p w14:paraId="65A5D3F2">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（二）履约服务费</w:t>
      </w:r>
    </w:p>
    <w:p w14:paraId="516FDD7B">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委托方在每次付款前，将会对承接方进行履约评价，并按照履约评价结果支付履约服务费，履约服务费按履约评价结果与每阶段的基本服务费同期支付。</w:t>
      </w:r>
    </w:p>
    <w:p w14:paraId="3FCE7FF4">
      <w:pPr>
        <w:pStyle w:val="4"/>
        <w:numPr>
          <w:ilvl w:val="0"/>
          <w:numId w:val="0"/>
        </w:numPr>
        <w:ind w:left="0" w:leftChars="0" w:firstLine="616"/>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1.履约评价分为五种结果，分别为优秀、良好、中等、合格、不合格。履约评价结果对应实际支付比例：</w:t>
      </w:r>
    </w:p>
    <w:p w14:paraId="5908E73A">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（1）履约评价等级为优秀的，支付当期100％履约服务费。</w:t>
      </w:r>
    </w:p>
    <w:p w14:paraId="78600AFF">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（2）履约评价等级为良好的，支付当期80％履约服务费。</w:t>
      </w:r>
    </w:p>
    <w:p w14:paraId="0A83D335">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（3）履约评价等级为中等的，支付当期70％履约服务费。</w:t>
      </w:r>
    </w:p>
    <w:p w14:paraId="4A4BBE26">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（4）履约评价等级为合格的，支付当期60%履约服务费。</w:t>
      </w:r>
    </w:p>
    <w:p w14:paraId="4FB6522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（5）履约评价等级为不合格的，不予支付当期履约服务费，后续履约评价及结算时均不予补发。</w:t>
      </w:r>
    </w:p>
    <w:p w14:paraId="65F061B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2.实际支付履约服务费=应支付履约服务费*履约评价结果对应实际支付比例。</w:t>
      </w:r>
    </w:p>
    <w:p w14:paraId="147B7414">
      <w:pPr>
        <w:pStyle w:val="4"/>
        <w:numPr>
          <w:ilvl w:val="0"/>
          <w:numId w:val="0"/>
        </w:numPr>
        <w:ind w:left="0" w:leftChars="0" w:firstLine="616"/>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3.因履约评价未达优秀而被扣减的履约服务费，后续亦不予补发。</w:t>
      </w:r>
    </w:p>
    <w:p w14:paraId="244FC876">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（三）履约评价表</w:t>
      </w:r>
    </w:p>
    <w:p w14:paraId="4A432D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《深圳交易集团</w:t>
      </w:r>
      <w:r>
        <w:rPr>
          <w:rFonts w:hint="eastAsia" w:ascii="仿宋_GB2312" w:hAnsi="仿宋_GB2312" w:eastAsia="仿宋_GB2312" w:cs="仿宋_GB2312"/>
          <w:b w:val="0"/>
          <w:bCs w:val="0"/>
          <w:sz w:val="24"/>
          <w:szCs w:val="24"/>
          <w:highlight w:val="none"/>
          <w:lang w:val="en-US" w:eastAsia="zh-CN"/>
        </w:rPr>
        <w:t>项目</w:t>
      </w:r>
      <w:r>
        <w:rPr>
          <w:rFonts w:hint="eastAsia" w:ascii="仿宋_GB2312" w:hAnsi="仿宋_GB2312" w:eastAsia="仿宋_GB2312" w:cs="仿宋_GB2312"/>
          <w:b w:val="0"/>
          <w:bCs w:val="0"/>
          <w:sz w:val="24"/>
          <w:szCs w:val="24"/>
          <w:highlight w:val="none"/>
          <w:lang w:eastAsia="zh-CN"/>
        </w:rPr>
        <w:t>履约情况评价表》</w:t>
      </w:r>
    </w:p>
    <w:p w14:paraId="3C3EAE8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 xml:space="preserve">评价单位：                   </w:t>
      </w:r>
      <w:r>
        <w:rPr>
          <w:rFonts w:hint="eastAsia" w:ascii="仿宋_GB2312" w:hAnsi="仿宋_GB2312" w:eastAsia="仿宋_GB2312" w:cs="仿宋_GB2312"/>
          <w:b w:val="0"/>
          <w:bCs w:val="0"/>
          <w:sz w:val="24"/>
          <w:szCs w:val="24"/>
          <w:highlight w:val="none"/>
          <w:lang w:val="en-US" w:eastAsia="zh-CN"/>
        </w:rPr>
        <w:t xml:space="preserve">        评价</w:t>
      </w:r>
      <w:r>
        <w:rPr>
          <w:rFonts w:hint="eastAsia" w:ascii="仿宋_GB2312" w:hAnsi="仿宋_GB2312" w:eastAsia="仿宋_GB2312" w:cs="仿宋_GB2312"/>
          <w:b w:val="0"/>
          <w:bCs w:val="0"/>
          <w:sz w:val="24"/>
          <w:szCs w:val="24"/>
          <w:highlight w:val="none"/>
          <w:lang w:eastAsia="zh-CN"/>
        </w:rPr>
        <w:t>人及电话：</w:t>
      </w:r>
    </w:p>
    <w:tbl>
      <w:tblPr>
        <w:tblStyle w:val="9"/>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0"/>
        <w:gridCol w:w="1057"/>
        <w:gridCol w:w="1089"/>
        <w:gridCol w:w="1883"/>
        <w:gridCol w:w="1585"/>
        <w:gridCol w:w="2165"/>
      </w:tblGrid>
      <w:tr w14:paraId="2CF4B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3" w:hRule="atLeast"/>
          <w:jc w:val="center"/>
        </w:trPr>
        <w:tc>
          <w:tcPr>
            <w:tcW w:w="1694" w:type="pct"/>
            <w:gridSpan w:val="3"/>
            <w:vAlign w:val="center"/>
          </w:tcPr>
          <w:p w14:paraId="4E0A03E8">
            <w:pPr>
              <w:widowControl/>
              <w:spacing w:line="360" w:lineRule="auto"/>
              <w:jc w:val="center"/>
              <w:rPr>
                <w:rFonts w:hint="eastAsia" w:ascii="仿宋_GB2312" w:hAnsi="宋体" w:eastAsia="仿宋_GB2312" w:cs="Times New Roman"/>
                <w:b w:val="0"/>
                <w:bCs w:val="0"/>
                <w:szCs w:val="21"/>
                <w:highlight w:val="none"/>
                <w:lang w:val="en-US" w:eastAsia="zh-CN"/>
              </w:rPr>
            </w:pPr>
            <w:r>
              <w:rPr>
                <w:rFonts w:hint="eastAsia" w:ascii="仿宋_GB2312" w:hAnsi="宋体" w:eastAsia="仿宋_GB2312" w:cs="Times New Roman"/>
                <w:b w:val="0"/>
                <w:bCs w:val="0"/>
                <w:szCs w:val="21"/>
                <w:highlight w:val="none"/>
                <w:lang w:val="en-US" w:eastAsia="zh-CN"/>
              </w:rPr>
              <w:t>承接方</w:t>
            </w:r>
          </w:p>
        </w:tc>
        <w:tc>
          <w:tcPr>
            <w:tcW w:w="1105" w:type="pct"/>
            <w:vAlign w:val="center"/>
          </w:tcPr>
          <w:p w14:paraId="74BD26BF">
            <w:pPr>
              <w:widowControl/>
              <w:ind w:firstLine="420" w:firstLineChars="200"/>
              <w:rPr>
                <w:rFonts w:hint="eastAsia" w:ascii="仿宋_GB2312" w:hAnsi="宋体" w:eastAsia="仿宋_GB2312" w:cs="Times New Roman"/>
                <w:b w:val="0"/>
                <w:bCs w:val="0"/>
                <w:szCs w:val="21"/>
                <w:highlight w:val="none"/>
              </w:rPr>
            </w:pPr>
          </w:p>
        </w:tc>
        <w:tc>
          <w:tcPr>
            <w:tcW w:w="930" w:type="pct"/>
            <w:vAlign w:val="center"/>
          </w:tcPr>
          <w:p w14:paraId="410C52E1">
            <w:pPr>
              <w:widowControl/>
              <w:spacing w:line="360" w:lineRule="auto"/>
              <w:jc w:val="center"/>
              <w:rPr>
                <w:rFonts w:hint="default" w:ascii="仿宋_GB2312" w:hAnsi="宋体" w:eastAsia="仿宋_GB2312" w:cs="Times New Roman"/>
                <w:b w:val="0"/>
                <w:bCs w:val="0"/>
                <w:szCs w:val="21"/>
                <w:highlight w:val="none"/>
                <w:lang w:val="en-US"/>
              </w:rPr>
            </w:pPr>
            <w:r>
              <w:rPr>
                <w:rFonts w:hint="eastAsia" w:ascii="仿宋_GB2312" w:hAnsi="宋体" w:eastAsia="仿宋_GB2312" w:cs="Times New Roman"/>
                <w:b w:val="0"/>
                <w:bCs w:val="0"/>
                <w:szCs w:val="21"/>
                <w:highlight w:val="none"/>
                <w:lang w:val="en-US" w:eastAsia="zh-CN"/>
              </w:rPr>
              <w:t>服务周期</w:t>
            </w:r>
          </w:p>
        </w:tc>
        <w:tc>
          <w:tcPr>
            <w:tcW w:w="1270" w:type="pct"/>
            <w:vAlign w:val="center"/>
          </w:tcPr>
          <w:p w14:paraId="3046BE9A">
            <w:pPr>
              <w:widowControl/>
              <w:spacing w:line="360" w:lineRule="auto"/>
              <w:ind w:firstLine="420" w:firstLineChars="200"/>
              <w:jc w:val="center"/>
              <w:rPr>
                <w:rFonts w:hint="eastAsia" w:ascii="仿宋_GB2312" w:hAnsi="宋体" w:eastAsia="仿宋_GB2312" w:cs="Times New Roman"/>
                <w:b w:val="0"/>
                <w:bCs w:val="0"/>
                <w:szCs w:val="21"/>
                <w:highlight w:val="none"/>
              </w:rPr>
            </w:pPr>
          </w:p>
        </w:tc>
      </w:tr>
      <w:tr w14:paraId="031CA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435" w:type="pct"/>
            <w:vAlign w:val="center"/>
          </w:tcPr>
          <w:p w14:paraId="6DEE0081">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序号</w:t>
            </w:r>
          </w:p>
        </w:tc>
        <w:tc>
          <w:tcPr>
            <w:tcW w:w="1258" w:type="pct"/>
            <w:gridSpan w:val="2"/>
            <w:vAlign w:val="center"/>
          </w:tcPr>
          <w:p w14:paraId="59063BF3">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评价内容</w:t>
            </w:r>
          </w:p>
        </w:tc>
        <w:tc>
          <w:tcPr>
            <w:tcW w:w="1105" w:type="pct"/>
            <w:vAlign w:val="center"/>
          </w:tcPr>
          <w:p w14:paraId="5289CB32">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分值（分）</w:t>
            </w:r>
          </w:p>
        </w:tc>
        <w:tc>
          <w:tcPr>
            <w:tcW w:w="930" w:type="pct"/>
            <w:vAlign w:val="center"/>
          </w:tcPr>
          <w:p w14:paraId="56BFE120">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实际得分</w:t>
            </w:r>
          </w:p>
        </w:tc>
        <w:tc>
          <w:tcPr>
            <w:tcW w:w="1270" w:type="pct"/>
            <w:vAlign w:val="center"/>
          </w:tcPr>
          <w:p w14:paraId="60DDE135">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说明</w:t>
            </w:r>
          </w:p>
        </w:tc>
      </w:tr>
      <w:tr w14:paraId="366BF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35" w:type="pct"/>
            <w:vAlign w:val="center"/>
          </w:tcPr>
          <w:p w14:paraId="641CF5B3">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szCs w:val="21"/>
                <w:highlight w:val="none"/>
              </w:rPr>
              <w:t>1</w:t>
            </w:r>
          </w:p>
        </w:tc>
        <w:tc>
          <w:tcPr>
            <w:tcW w:w="1258" w:type="pct"/>
            <w:gridSpan w:val="2"/>
            <w:vAlign w:val="center"/>
          </w:tcPr>
          <w:p w14:paraId="4F23FEE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lang w:val="en-US" w:eastAsia="zh-CN"/>
              </w:rPr>
              <w:t>服务</w:t>
            </w:r>
            <w:r>
              <w:rPr>
                <w:rFonts w:hint="eastAsia" w:ascii="仿宋_GB2312" w:hAnsi="宋体" w:eastAsia="仿宋_GB2312" w:cs="Times New Roman"/>
                <w:szCs w:val="21"/>
                <w:highlight w:val="none"/>
              </w:rPr>
              <w:t>内容落实与保障措施</w:t>
            </w:r>
          </w:p>
        </w:tc>
        <w:tc>
          <w:tcPr>
            <w:tcW w:w="1105" w:type="pct"/>
            <w:vAlign w:val="center"/>
          </w:tcPr>
          <w:p w14:paraId="235EFD0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2D1FBC24">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011E9646">
            <w:pPr>
              <w:widowControl/>
              <w:spacing w:line="360" w:lineRule="auto"/>
              <w:jc w:val="center"/>
              <w:rPr>
                <w:rFonts w:hint="eastAsia" w:ascii="仿宋_GB2312" w:hAnsi="宋体" w:eastAsia="仿宋_GB2312" w:cs="Times New Roman"/>
                <w:szCs w:val="21"/>
                <w:highlight w:val="none"/>
              </w:rPr>
            </w:pPr>
          </w:p>
        </w:tc>
      </w:tr>
      <w:tr w14:paraId="4CA3B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38A8BBF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2</w:t>
            </w:r>
          </w:p>
        </w:tc>
        <w:tc>
          <w:tcPr>
            <w:tcW w:w="1258" w:type="pct"/>
            <w:gridSpan w:val="2"/>
            <w:vAlign w:val="center"/>
          </w:tcPr>
          <w:p w14:paraId="3758C94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人员配备与投入</w:t>
            </w:r>
          </w:p>
        </w:tc>
        <w:tc>
          <w:tcPr>
            <w:tcW w:w="1105" w:type="pct"/>
            <w:vAlign w:val="center"/>
          </w:tcPr>
          <w:p w14:paraId="00C20C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52E65B13">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4651885">
            <w:pPr>
              <w:widowControl/>
              <w:spacing w:line="360" w:lineRule="auto"/>
              <w:jc w:val="center"/>
              <w:rPr>
                <w:rFonts w:hint="eastAsia" w:ascii="仿宋_GB2312" w:hAnsi="宋体" w:eastAsia="仿宋_GB2312" w:cs="Times New Roman"/>
                <w:szCs w:val="21"/>
                <w:highlight w:val="none"/>
              </w:rPr>
            </w:pPr>
          </w:p>
        </w:tc>
      </w:tr>
      <w:tr w14:paraId="6BF42A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7853E4C8">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3</w:t>
            </w:r>
          </w:p>
        </w:tc>
        <w:tc>
          <w:tcPr>
            <w:tcW w:w="1258" w:type="pct"/>
            <w:gridSpan w:val="2"/>
            <w:vAlign w:val="center"/>
          </w:tcPr>
          <w:p w14:paraId="4F67564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服务质量</w:t>
            </w:r>
          </w:p>
        </w:tc>
        <w:tc>
          <w:tcPr>
            <w:tcW w:w="1105" w:type="pct"/>
            <w:vAlign w:val="center"/>
          </w:tcPr>
          <w:p w14:paraId="1E4BE14C">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60D6A1D">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31212FDD">
            <w:pPr>
              <w:widowControl/>
              <w:spacing w:line="360" w:lineRule="auto"/>
              <w:jc w:val="center"/>
              <w:rPr>
                <w:rFonts w:hint="eastAsia" w:ascii="仿宋_GB2312" w:hAnsi="宋体" w:eastAsia="仿宋_GB2312" w:cs="Times New Roman"/>
                <w:szCs w:val="21"/>
                <w:highlight w:val="none"/>
              </w:rPr>
            </w:pPr>
          </w:p>
        </w:tc>
      </w:tr>
      <w:tr w14:paraId="17124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 w:hRule="atLeast"/>
          <w:jc w:val="center"/>
        </w:trPr>
        <w:tc>
          <w:tcPr>
            <w:tcW w:w="435" w:type="pct"/>
            <w:vAlign w:val="center"/>
          </w:tcPr>
          <w:p w14:paraId="78CEC71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4</w:t>
            </w:r>
          </w:p>
        </w:tc>
        <w:tc>
          <w:tcPr>
            <w:tcW w:w="1258" w:type="pct"/>
            <w:gridSpan w:val="2"/>
            <w:vAlign w:val="center"/>
          </w:tcPr>
          <w:p w14:paraId="2433B3B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服务效率</w:t>
            </w:r>
          </w:p>
        </w:tc>
        <w:tc>
          <w:tcPr>
            <w:tcW w:w="1105" w:type="pct"/>
            <w:vAlign w:val="center"/>
          </w:tcPr>
          <w:p w14:paraId="019D37E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DAD24CA">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12326908">
            <w:pPr>
              <w:widowControl/>
              <w:spacing w:line="360" w:lineRule="auto"/>
              <w:jc w:val="center"/>
              <w:rPr>
                <w:rFonts w:hint="eastAsia" w:ascii="仿宋_GB2312" w:hAnsi="宋体" w:eastAsia="仿宋_GB2312" w:cs="Times New Roman"/>
                <w:szCs w:val="21"/>
                <w:highlight w:val="none"/>
              </w:rPr>
            </w:pPr>
          </w:p>
        </w:tc>
      </w:tr>
      <w:tr w14:paraId="4098D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5B7E92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5</w:t>
            </w:r>
          </w:p>
        </w:tc>
        <w:tc>
          <w:tcPr>
            <w:tcW w:w="1258" w:type="pct"/>
            <w:gridSpan w:val="2"/>
            <w:vAlign w:val="center"/>
          </w:tcPr>
          <w:p w14:paraId="59ECB17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服务态度</w:t>
            </w:r>
          </w:p>
        </w:tc>
        <w:tc>
          <w:tcPr>
            <w:tcW w:w="1105" w:type="pct"/>
            <w:vAlign w:val="center"/>
          </w:tcPr>
          <w:p w14:paraId="52A2663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FD5F59F">
            <w:pPr>
              <w:widowControl/>
              <w:spacing w:line="360" w:lineRule="auto"/>
              <w:jc w:val="center"/>
              <w:rPr>
                <w:rFonts w:hint="eastAsia" w:ascii="宋体" w:hAnsi="宋体" w:eastAsia="宋体" w:cs="宋体"/>
                <w:sz w:val="18"/>
                <w:szCs w:val="18"/>
                <w:highlight w:val="none"/>
              </w:rPr>
            </w:pPr>
          </w:p>
        </w:tc>
        <w:tc>
          <w:tcPr>
            <w:tcW w:w="1270" w:type="pct"/>
            <w:vAlign w:val="center"/>
          </w:tcPr>
          <w:p w14:paraId="435A99A9">
            <w:pPr>
              <w:widowControl/>
              <w:spacing w:line="360" w:lineRule="auto"/>
              <w:jc w:val="center"/>
              <w:rPr>
                <w:rFonts w:hint="eastAsia" w:ascii="仿宋_GB2312" w:hAnsi="宋体" w:eastAsia="仿宋_GB2312" w:cs="Times New Roman"/>
                <w:szCs w:val="21"/>
                <w:highlight w:val="none"/>
              </w:rPr>
            </w:pPr>
          </w:p>
        </w:tc>
      </w:tr>
      <w:tr w14:paraId="40ACB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2D5BF79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6</w:t>
            </w:r>
          </w:p>
        </w:tc>
        <w:tc>
          <w:tcPr>
            <w:tcW w:w="1258" w:type="pct"/>
            <w:gridSpan w:val="2"/>
            <w:vAlign w:val="center"/>
          </w:tcPr>
          <w:p w14:paraId="26F565A0">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安全保障</w:t>
            </w:r>
          </w:p>
        </w:tc>
        <w:tc>
          <w:tcPr>
            <w:tcW w:w="1105" w:type="pct"/>
            <w:vAlign w:val="center"/>
          </w:tcPr>
          <w:p w14:paraId="1C6B7101">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799F8CC">
            <w:pPr>
              <w:widowControl/>
              <w:spacing w:line="360" w:lineRule="auto"/>
              <w:jc w:val="center"/>
              <w:rPr>
                <w:rFonts w:hint="eastAsia" w:ascii="宋体" w:hAnsi="宋体" w:eastAsia="宋体" w:cs="宋体"/>
                <w:sz w:val="18"/>
                <w:szCs w:val="18"/>
                <w:highlight w:val="none"/>
              </w:rPr>
            </w:pPr>
          </w:p>
        </w:tc>
        <w:tc>
          <w:tcPr>
            <w:tcW w:w="1270" w:type="pct"/>
            <w:vAlign w:val="center"/>
          </w:tcPr>
          <w:p w14:paraId="4A51BFE9">
            <w:pPr>
              <w:widowControl/>
              <w:spacing w:line="360" w:lineRule="auto"/>
              <w:jc w:val="center"/>
              <w:rPr>
                <w:rFonts w:hint="eastAsia" w:ascii="仿宋_GB2312" w:hAnsi="宋体" w:eastAsia="仿宋_GB2312" w:cs="Times New Roman"/>
                <w:szCs w:val="21"/>
                <w:highlight w:val="none"/>
              </w:rPr>
            </w:pPr>
          </w:p>
        </w:tc>
      </w:tr>
      <w:tr w14:paraId="705AB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83393A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7</w:t>
            </w:r>
          </w:p>
        </w:tc>
        <w:tc>
          <w:tcPr>
            <w:tcW w:w="1258" w:type="pct"/>
            <w:gridSpan w:val="2"/>
            <w:vAlign w:val="center"/>
          </w:tcPr>
          <w:p w14:paraId="509DF76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项目经理履职情况</w:t>
            </w:r>
          </w:p>
        </w:tc>
        <w:tc>
          <w:tcPr>
            <w:tcW w:w="1105" w:type="pct"/>
            <w:vAlign w:val="center"/>
          </w:tcPr>
          <w:p w14:paraId="14E86B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53B08E5">
            <w:pPr>
              <w:widowControl/>
              <w:spacing w:line="360" w:lineRule="auto"/>
              <w:jc w:val="center"/>
              <w:rPr>
                <w:rFonts w:hint="eastAsia" w:ascii="宋体" w:hAnsi="宋体" w:eastAsia="宋体" w:cs="宋体"/>
                <w:sz w:val="18"/>
                <w:szCs w:val="18"/>
                <w:highlight w:val="none"/>
              </w:rPr>
            </w:pPr>
          </w:p>
        </w:tc>
        <w:tc>
          <w:tcPr>
            <w:tcW w:w="1270" w:type="pct"/>
            <w:vAlign w:val="center"/>
          </w:tcPr>
          <w:p w14:paraId="0752D264">
            <w:pPr>
              <w:widowControl/>
              <w:spacing w:line="360" w:lineRule="auto"/>
              <w:jc w:val="center"/>
              <w:rPr>
                <w:rFonts w:hint="eastAsia" w:ascii="仿宋_GB2312" w:hAnsi="宋体" w:eastAsia="仿宋_GB2312" w:cs="Times New Roman"/>
                <w:szCs w:val="21"/>
                <w:highlight w:val="none"/>
              </w:rPr>
            </w:pPr>
          </w:p>
        </w:tc>
      </w:tr>
      <w:tr w14:paraId="53115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435" w:type="pct"/>
            <w:vAlign w:val="center"/>
          </w:tcPr>
          <w:p w14:paraId="5072243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8</w:t>
            </w:r>
          </w:p>
        </w:tc>
        <w:tc>
          <w:tcPr>
            <w:tcW w:w="1258" w:type="pct"/>
            <w:gridSpan w:val="2"/>
            <w:vAlign w:val="center"/>
          </w:tcPr>
          <w:p w14:paraId="01EBB95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其他</w:t>
            </w:r>
          </w:p>
        </w:tc>
        <w:tc>
          <w:tcPr>
            <w:tcW w:w="1105" w:type="pct"/>
            <w:vAlign w:val="center"/>
          </w:tcPr>
          <w:p w14:paraId="6782435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6F5C1AFA">
            <w:pPr>
              <w:widowControl/>
              <w:spacing w:line="360" w:lineRule="auto"/>
              <w:jc w:val="center"/>
              <w:rPr>
                <w:rFonts w:hint="eastAsia" w:ascii="宋体" w:hAnsi="宋体" w:eastAsia="宋体" w:cs="宋体"/>
                <w:sz w:val="18"/>
                <w:szCs w:val="18"/>
                <w:highlight w:val="none"/>
              </w:rPr>
            </w:pPr>
          </w:p>
        </w:tc>
        <w:tc>
          <w:tcPr>
            <w:tcW w:w="1270" w:type="pct"/>
            <w:vAlign w:val="center"/>
          </w:tcPr>
          <w:p w14:paraId="21FC4347">
            <w:pPr>
              <w:widowControl/>
              <w:spacing w:line="360" w:lineRule="auto"/>
              <w:jc w:val="center"/>
              <w:rPr>
                <w:rFonts w:hint="eastAsia" w:ascii="仿宋_GB2312" w:hAnsi="宋体" w:eastAsia="仿宋_GB2312" w:cs="Times New Roman"/>
                <w:szCs w:val="21"/>
                <w:highlight w:val="none"/>
              </w:rPr>
            </w:pPr>
          </w:p>
        </w:tc>
      </w:tr>
      <w:tr w14:paraId="60228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694" w:type="pct"/>
            <w:gridSpan w:val="3"/>
            <w:vAlign w:val="center"/>
          </w:tcPr>
          <w:p w14:paraId="0EB7B68E">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综合考评总分</w:t>
            </w:r>
          </w:p>
          <w:p w14:paraId="085D1CD8">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（即上述实际得分的平均值）</w:t>
            </w:r>
          </w:p>
        </w:tc>
        <w:tc>
          <w:tcPr>
            <w:tcW w:w="3305" w:type="pct"/>
            <w:gridSpan w:val="3"/>
            <w:vAlign w:val="center"/>
          </w:tcPr>
          <w:p w14:paraId="6DACB92B">
            <w:pPr>
              <w:widowControl/>
              <w:spacing w:line="360" w:lineRule="auto"/>
              <w:ind w:firstLine="420" w:firstLineChars="200"/>
              <w:rPr>
                <w:rFonts w:hint="eastAsia" w:ascii="宋体" w:hAnsi="宋体" w:eastAsia="宋体" w:cs="Times New Roman"/>
                <w:szCs w:val="21"/>
                <w:highlight w:val="none"/>
              </w:rPr>
            </w:pPr>
          </w:p>
        </w:tc>
      </w:tr>
      <w:tr w14:paraId="635FC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5EF17E9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具体情况说明</w:t>
            </w:r>
          </w:p>
        </w:tc>
        <w:tc>
          <w:tcPr>
            <w:tcW w:w="3944" w:type="pct"/>
            <w:gridSpan w:val="4"/>
          </w:tcPr>
          <w:p w14:paraId="638FCD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05002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112043FD">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改进建议及要求</w:t>
            </w:r>
          </w:p>
        </w:tc>
        <w:tc>
          <w:tcPr>
            <w:tcW w:w="3944" w:type="pct"/>
            <w:gridSpan w:val="4"/>
            <w:vAlign w:val="center"/>
          </w:tcPr>
          <w:p w14:paraId="778CB1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6A688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3" w:hRule="atLeast"/>
          <w:jc w:val="center"/>
        </w:trPr>
        <w:tc>
          <w:tcPr>
            <w:tcW w:w="1055" w:type="pct"/>
            <w:gridSpan w:val="2"/>
            <w:vAlign w:val="center"/>
          </w:tcPr>
          <w:p w14:paraId="02282E1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评价单位意见</w:t>
            </w:r>
          </w:p>
          <w:p w14:paraId="30FDAA4B">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（签字或盖章）</w:t>
            </w:r>
          </w:p>
        </w:tc>
        <w:tc>
          <w:tcPr>
            <w:tcW w:w="3944" w:type="pct"/>
            <w:gridSpan w:val="4"/>
            <w:vAlign w:val="center"/>
          </w:tcPr>
          <w:p w14:paraId="23E118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2F659E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1473B11D">
            <w:pPr>
              <w:keepNext w:val="0"/>
              <w:keepLines w:val="0"/>
              <w:pageBreakBefore w:val="0"/>
              <w:widowControl w:val="0"/>
              <w:kinsoku/>
              <w:wordWrap/>
              <w:overflowPunct/>
              <w:topLinePunct w:val="0"/>
              <w:autoSpaceDE/>
              <w:autoSpaceDN/>
              <w:bidi w:val="0"/>
              <w:adjustRightInd/>
              <w:snapToGrid/>
              <w:ind w:firstLine="3360" w:firstLineChars="14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日期：   年   月   日</w:t>
            </w:r>
          </w:p>
        </w:tc>
      </w:tr>
    </w:tbl>
    <w:p w14:paraId="09C913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说明：</w:t>
      </w:r>
    </w:p>
    <w:p w14:paraId="0D562C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1、履约评价内容各项采用百分制，综合考评总分（以各项实际得分平均值计算）为优秀（评分≥90分）、良好（80≤评分＜90）、中等（70≤评分＜80）、合格（60≤评分＜70）、不合格（评分＜60）五个等级。                                                                  </w:t>
      </w:r>
    </w:p>
    <w:p w14:paraId="44BF6FF6">
      <w:pPr>
        <w:pStyle w:val="5"/>
        <w:ind w:firstLine="480" w:firstLineChars="20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sz w:val="24"/>
          <w:szCs w:val="24"/>
          <w:highlight w:val="none"/>
          <w:lang w:val="en-US" w:eastAsia="zh-CN"/>
        </w:rPr>
        <w:t>2、履约评价为优秀的，履约服务费按100%支付；评价为良好的，履约服务费按80%支付；评价为中等的，履约服务费按70%支付；评价为合格的，履约服务费按60%支付；评价为不合格的，履约服务费不予支付。</w:t>
      </w:r>
    </w:p>
    <w:p w14:paraId="549BE39F">
      <w:pPr>
        <w:pStyle w:val="8"/>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inorHAnsi">
    <w:altName w:val="Segoe Print"/>
    <w:panose1 w:val="00000000000000000000"/>
    <w:charset w:val="00"/>
    <w:family w:val="auto"/>
    <w:pitch w:val="default"/>
    <w:sig w:usb0="00000000" w:usb1="00000000" w:usb2="00000000" w:usb3="00000000" w:csb0="00000000" w:csb1="00000000"/>
  </w:font>
  <w:font w:name="minorEastAsia">
    <w:altName w:val="宋体"/>
    <w:panose1 w:val="00000000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35F21"/>
    <w:rsid w:val="5F001B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next w:val="5"/>
    <w:semiHidden/>
    <w:unhideWhenUsed/>
    <w:qFormat/>
    <w:uiPriority w:val="99"/>
    <w:pPr>
      <w:spacing w:after="120"/>
    </w:pPr>
  </w:style>
  <w:style w:type="paragraph" w:styleId="5">
    <w:name w:val="Body Text 2"/>
    <w:basedOn w:val="1"/>
    <w:qFormat/>
    <w:uiPriority w:val="0"/>
    <w:pPr>
      <w:spacing w:line="360" w:lineRule="auto"/>
    </w:pPr>
    <w:rPr>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semiHidden/>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2025-12-02T07:39:00Z</dcterms:created>
  <dc:creator>Administrator</dc:creator>
  <cp:lastModifiedBy>Administrator</cp:lastModifiedBy>
  <dcterms:modified xsi:type="dcterms:W3CDTF">2026-07-20T13:50:00Z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77780D59BA1E42029D9CFD0DF6D7C8B8_12</vt:lpwstr>
  </property>
  <property fmtid="{D5CDD505-2E9C-101B-9397-08002B2CF9AE}" pid="4" name="KSOTemplateDocerSaveRecord">
    <vt:lpwstr>eyJoZGlkIjoiMWQ3NmZjYTMzYTJlYjhiYTVhNDQzZTBkMTdhMDk5ZTQiLCJ1c2VySWQiOiIxNDc4ODMwODM4In0=</vt:lpwstr>
  </property>
</Properties>
</file>