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CBEBE">
      <w:pPr>
        <w:spacing w:before="200" w:after="300"/>
        <w:jc w:val="center"/>
      </w:pPr>
      <w:r>
        <w:rPr>
          <w:rFonts w:ascii="黑体" w:hAnsi="黑体" w:eastAsia="黑体" w:cs="黑体"/>
          <w:b/>
          <w:bCs/>
          <w:sz w:val="36"/>
          <w:szCs w:val="36"/>
        </w:rPr>
        <w:t>第二章 采购人需求</w:t>
      </w:r>
    </w:p>
    <w:p w14:paraId="2F46223D">
      <w:pPr>
        <w:spacing w:before="120" w:after="6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一、项目简介</w:t>
      </w:r>
    </w:p>
    <w:p w14:paraId="4940BB66">
      <w:pPr>
        <w:spacing w:before="80" w:after="80" w:line="360" w:lineRule="auto"/>
        <w:ind w:firstLine="500" w:firstLineChars="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本项目为集拼共享仓平湖南项目监控电气工程采购，项目位于深圳国际综合物流枢纽中心（二期盖上2层3栋仓库</w:t>
      </w:r>
      <w:r>
        <w:rPr>
          <w:rFonts w:hint="eastAsia" w:cs="仿宋"/>
          <w:b w:val="0"/>
          <w:bCs w:val="0"/>
          <w:sz w:val="24"/>
          <w:szCs w:val="24"/>
          <w:lang w:val="en-US" w:eastAsia="zh-CN"/>
        </w:rPr>
        <w:t>1-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3分区），施工区域为</w:t>
      </w:r>
      <w:r>
        <w:rPr>
          <w:rFonts w:hint="eastAsia" w:cs="仿宋"/>
          <w:b w:val="0"/>
          <w:bCs w:val="0"/>
          <w:sz w:val="24"/>
          <w:szCs w:val="24"/>
          <w:lang w:val="en-US" w:eastAsia="zh-CN"/>
        </w:rPr>
        <w:t>1-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3分区，面积</w:t>
      </w:r>
      <w:r>
        <w:rPr>
          <w:rFonts w:hint="eastAsia" w:cs="仿宋"/>
          <w:b w:val="0"/>
          <w:bCs w:val="0"/>
          <w:sz w:val="24"/>
          <w:szCs w:val="24"/>
          <w:lang w:val="en-US" w:eastAsia="zh-CN"/>
        </w:rPr>
        <w:t>9853.43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平方米。为满足仓库物流作业场景高效运转需求，需采购并安装配套监控网络系统及电气工程设备，涵盖视频监控、无线网络覆盖、电力配电、充电区配套等工程内容。通过本项目的实施，实现仓库区域全覆盖的安防监控、稳定的无线网络接入以及安全可靠的电力供应保障。</w:t>
      </w:r>
    </w:p>
    <w:p w14:paraId="1CC815F6">
      <w:pPr>
        <w:spacing w:before="120" w:after="6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二、项目名称</w:t>
      </w:r>
    </w:p>
    <w:p w14:paraId="237B8BCA">
      <w:pPr>
        <w:spacing w:before="120" w:after="60" w:line="360" w:lineRule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集拼共享仓项目|平湖南仓库监控电气采购及安装公开询比项目</w:t>
      </w:r>
    </w:p>
    <w:p w14:paraId="7D0B3D87">
      <w:pPr>
        <w:spacing w:before="120" w:after="60" w:line="360" w:lineRule="auto"/>
      </w:pPr>
      <w:bookmarkStart w:id="0" w:name="_GoBack"/>
      <w:bookmarkEnd w:id="0"/>
      <w:r>
        <w:rPr>
          <w:rFonts w:ascii="黑体" w:hAnsi="黑体" w:eastAsia="黑体" w:cs="黑体"/>
          <w:b/>
          <w:bCs/>
          <w:sz w:val="24"/>
          <w:szCs w:val="24"/>
        </w:rPr>
        <w:t>三、项目内容及需求</w:t>
      </w:r>
    </w:p>
    <w:p w14:paraId="24F9B9C1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（一）监控网络工程要求</w:t>
      </w:r>
    </w:p>
    <w:p w14:paraId="185EF447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视频监控系统：部署不少于76路（含利旧24台）400万像素网络摄像机，覆盖仓库全部作业区域、出入口、通道及周界。配置128路16盘位网络录像机不少于1台（含利旧1台），配备8TB监控级硬盘16块，满足全通道≥90天不间断录像存储需求。监控中心配置43寸4K高清监视器，支持多画面分屏显示。</w:t>
      </w:r>
    </w:p>
    <w:p w14:paraId="2A3CCDE8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无线网络系统：部署新华三无线AP 12台，实现仓库作业区域无线信号全覆盖，满足移动终端扫码、数据传输等业务需求。配置企业级无线AC控制器1台进行统一管理，配合新华三16口无线POE交换机1台实现AP集中供电与数据交换。配置新华三企业级路由器1台，实现有线/无线网络统一管理。</w:t>
      </w:r>
    </w:p>
    <w:p w14:paraId="40E722C9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网络传输系统：采用爱普华顿超5类网线进行终端接入布线，烽火4芯光纤实现远距离主干传输，配置海康威视千兆光纤收发器保障数据稳定传输。网络设备统一配置于标准网络机柜内，办公室部署600×600×1200mm机柜1台，各区域部署600×600×300mm机柜5台。</w:t>
      </w:r>
    </w:p>
    <w:p w14:paraId="028C865A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监控摄像机安装：根据仓库空间高度及覆盖范围，采用5米吊装支架13个、普通吊装支架47个、1.5米AP吊装支架6个，确保监控视角覆盖无死角。</w:t>
      </w:r>
    </w:p>
    <w:p w14:paraId="0D2FA931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（二）电气工程技术要求</w:t>
      </w:r>
    </w:p>
    <w:p w14:paraId="465E3CA1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电力配电系统：充电区配置成天泰ZC-YJV5×6阻燃电缆，配置国标充电总配电箱4台，配置国标220V防爆插头20个。皮带机配置成天泰ZC-YJV3×10+2×6及ZC-YJV3×4电缆，配置国标皮带机配电箱1台。充电插座区配置成天泰ZC-BVR2.5mm²电源线及ZC-BVR4.0mm²电源线，满足各区域用电负荷需求。出入货区办公区配置五孔插座24个。</w:t>
      </w:r>
    </w:p>
    <w:p w14:paraId="3225C74C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充电区安全配套：充电区配置直径114mm×长1000mm防撞柱35个，保护充电设备及线缆安全。配置充电区雨棚3个（5000×1500×2000mm），为充电设备提供防雨防护。配置充电器角钢架24个（含1000×400×1000mm规格20个、1000×400×1001mm规格4个），规范充电器安装布置。</w:t>
      </w:r>
    </w:p>
    <w:p w14:paraId="542DEB54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出入货区办公区配套：配置爱普华顿超5类CTP-5网线及烽火4芯光纤实现网络接入，配置新华三16口交换机3台实现数据交换，配置海康威视千兆光纤收发器3对实现光纤传输。</w:t>
      </w:r>
    </w:p>
    <w:p w14:paraId="68960933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管线敷设：所有线路采用国标镀锌JDG管敷设（充电区及出入货区办公区采用25JDG管，监控区域采用20JDG管），桥架采用国标镀锌100×50桥架及防火桥架100×50桥架。皮带机电缆配置定制6m×6m电缆钢架1套。</w:t>
      </w:r>
    </w:p>
    <w:p w14:paraId="612875D3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（三）施工安装要求</w:t>
      </w:r>
    </w:p>
    <w:p w14:paraId="4BBC651E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所有设备及材料的供应、运输、装卸、安装、调试均由供应商负责，供应商须确保所供设备为全新正品，符合国家相关质量标准。</w:t>
      </w:r>
    </w:p>
    <w:p w14:paraId="6C0CE28A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监控摄像机安装应确保覆盖范围合理，吊装支架安装牢固可靠，垂直度偏差≤3mm。利旧设备须完成拆卸、迁移、重新安装及调试，确保正常运行。</w:t>
      </w:r>
    </w:p>
    <w:p w14:paraId="427EE069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管线敷设应横平竖直，弯头处弧度符合规范要求，JDG管连接处须拧紧固定螺钉，桥架连接处须做接地跨接。所有管线穿越楼板及墙体时须预留防火封堵。</w:t>
      </w:r>
    </w:p>
    <w:p w14:paraId="14200793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配电箱安装位置应便于操作维护，箱内布线整齐规范，标识清晰。所有配电回路须做好相位标识，漏电保护器须经测试合格后方可投入使用。</w:t>
      </w:r>
    </w:p>
    <w:p w14:paraId="33379A67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5. 无线网络AP安装位置须经现场勘测确定，确保信号覆盖均匀、无盲区。AP吊装支架安装应牢固，线缆连接可靠。</w:t>
      </w:r>
    </w:p>
    <w:p w14:paraId="791399C3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6. 充电区防撞柱安装应垂直、牢固，柱体涂刷黄黑相间反光漆，间距均匀一致。充电区雨棚安装应保证结构稳定，排水顺畅。</w:t>
      </w:r>
    </w:p>
    <w:p w14:paraId="68F8D2BD">
      <w:pPr>
        <w:spacing w:before="80" w:after="80" w:line="360" w:lineRule="auto"/>
        <w:ind w:firstLine="48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7. 所有设备须做好防雷接地措施，接地电阻≤4Ω。监控设备、网络设备、配电箱及桥架均须可靠接地。</w:t>
      </w:r>
    </w:p>
    <w:p w14:paraId="5C393A56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（四）技术参数设置</w:t>
      </w:r>
    </w:p>
    <w:p w14:paraId="22BCF55A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本项目主要设备技术参数要求如下表所示：</w:t>
      </w:r>
    </w:p>
    <w:tbl>
      <w:tblPr>
        <w:tblStyle w:val="11"/>
        <w:tblW w:w="9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28"/>
        <w:gridCol w:w="4507"/>
        <w:gridCol w:w="2884"/>
      </w:tblGrid>
      <w:tr w14:paraId="68D1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tblHeader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1ECE2E2C">
            <w:pPr>
              <w:spacing w:before="40" w:after="4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设备名称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42C3A863">
            <w:pPr>
              <w:spacing w:before="40" w:after="4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主要技术参数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4B4D439F">
            <w:pPr>
              <w:spacing w:before="40" w:after="4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品牌要求</w:t>
            </w:r>
          </w:p>
        </w:tc>
      </w:tr>
      <w:tr w14:paraId="4804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9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088295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监控主机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F957E5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128路网络录像机，支持16盘位，H.265编码，RAID5/6/10磁盘阵列，HDMI/VGA双输出，远程网络访问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BFAB3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6CB1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9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0794A2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网络摄像机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C7F5B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400万像素CMOS传感器，红外补光距离≥50m，IP67防护等级，支持H.265+/H.265编码，POE供电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4FF7F45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3012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39BAAB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监控硬盘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F8B8D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8TB监控级硬盘，7200RPM，SATA3接口，支持7×24小时不间断录像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270909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066D6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A62434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监控显示器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0A0F72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43寸4K超高清（3840×2160）LED显示屏，支持HDMI/VGA输入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1F7405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401B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ACACF5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POE交换机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7A801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24口千兆POE交换机，POE总功率≥370W，支持IEEE 802.3af/at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424CD6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6E8D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98D318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无线AP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5EA2CBD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支持Wi-Fi 5及以上标准，2.4GHz/5GHz双频，单AP带机量≥80台，支持POE供电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51CC3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不低于新华三或经建设单位核准的同等品牌</w:t>
            </w:r>
          </w:p>
        </w:tc>
      </w:tr>
      <w:tr w14:paraId="162B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6B26D66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无线AC控制器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5383FAE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企业级无线控制器，管理AP数量≥64个，支持集中配置与漫游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8CA47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不低于新华三或经建设单位核准的同等品牌</w:t>
            </w:r>
          </w:p>
        </w:tc>
      </w:tr>
      <w:tr w14:paraId="591F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FCC80D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企业级路由器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8FCEE8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多WAN口千兆路由器，支持VPN、行为管理、负载均衡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718A63B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不低于新华三或经建设单位核准的同等品牌</w:t>
            </w:r>
          </w:p>
        </w:tc>
      </w:tr>
      <w:tr w14:paraId="18911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C86C9A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网络线缆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7502E7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超5类非屏蔽双绞线（UTP），支持千兆以太网传输，阻燃外皮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24522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不低于爱普华顿或经建设单位核准的同等品牌</w:t>
            </w:r>
          </w:p>
        </w:tc>
      </w:tr>
      <w:tr w14:paraId="42D3C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6A0FBC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光纤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E59B36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4芯单模光纤，G.652D标准，外径≤3.0mm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100E08D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不低于烽火或经建设单位核准的同等品牌</w:t>
            </w:r>
          </w:p>
        </w:tc>
      </w:tr>
      <w:tr w14:paraId="333A4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7FD7C4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光纤收发器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56809C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千兆单模单纤收发器，传输距离≥20km，SC接口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DB4064A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不低于海康威视或经建设单位核准的同等品牌</w:t>
            </w:r>
          </w:p>
        </w:tc>
      </w:tr>
      <w:tr w14:paraId="16AD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BAE91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网络机柜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B3ACBEB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标准19英寸机柜，冷轧钢板≥1.2mm，带散热风扇及门锁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D67B89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不低于精致或经建设单位核准的同等品牌</w:t>
            </w:r>
          </w:p>
        </w:tc>
      </w:tr>
      <w:tr w14:paraId="26A6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1A1988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电力电缆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F707F2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ZC-YJV系列阻燃交联聚乙烯绝缘电缆，符合GB/T 19666标准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E62004F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不低于成天泰或经建设单位核准的同等品牌</w:t>
            </w:r>
          </w:p>
        </w:tc>
      </w:tr>
      <w:tr w14:paraId="0846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0794A2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配电箱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B1F0AC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国标配电箱，IP54防护等级，含断路器、漏电保护器，箱体冷轧钢板≥1.5mm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E135467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</w:t>
            </w:r>
          </w:p>
        </w:tc>
      </w:tr>
      <w:tr w14:paraId="498B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9D0EBC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JDG镀锌管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B9CE31E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热镀锌紧定式薄壁钢管，壁厚≥1.6mm，符合GB/T 20041标准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920C8A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</w:t>
            </w:r>
          </w:p>
        </w:tc>
      </w:tr>
      <w:tr w14:paraId="71AD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F2AE07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桥架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6E6EAE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镀锌/防火桥架，板材厚度≥1.0mm，表面防腐处理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FCD7CF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</w:t>
            </w:r>
          </w:p>
        </w:tc>
      </w:tr>
      <w:tr w14:paraId="111EA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BA7825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防爆插头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FAAEE22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220V防爆插头，IP44防护等级，符合GB 3836防爆标准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1BC954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</w:t>
            </w:r>
          </w:p>
        </w:tc>
      </w:tr>
      <w:tr w14:paraId="383E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637C7CE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防撞柱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BAD7961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直径114mm，壁厚≥2.0mm，长度1000mm，黄黑反光漆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513557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国标</w:t>
            </w:r>
          </w:p>
        </w:tc>
      </w:tr>
      <w:tr w14:paraId="5ABC2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atLeast"/>
        </w:trPr>
        <w:tc>
          <w:tcPr>
            <w:tcW w:w="20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EA990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五孔插座</w:t>
            </w:r>
          </w:p>
        </w:tc>
        <w:tc>
          <w:tcPr>
            <w:tcW w:w="45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BEAB70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86型五孔插座，10A/250V，阻燃PC面板</w:t>
            </w:r>
          </w:p>
        </w:tc>
        <w:tc>
          <w:tcPr>
            <w:tcW w:w="28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0FFC49">
            <w:pPr>
              <w:spacing w:before="30" w:after="3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不低于曼科或经建设单位核准的同等品牌</w:t>
            </w:r>
          </w:p>
        </w:tc>
      </w:tr>
    </w:tbl>
    <w:p w14:paraId="3B2C35F0">
      <w:pPr>
        <w:spacing w:before="120" w:after="6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四、交货要求</w:t>
      </w:r>
    </w:p>
    <w:p w14:paraId="5CBD24A9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（一）交货期限</w:t>
      </w:r>
    </w:p>
    <w:p w14:paraId="2898E001">
      <w:pPr>
        <w:spacing w:before="80" w:after="80" w:line="360" w:lineRule="auto"/>
        <w:ind w:firstLine="500" w:firstLineChars="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自合同签订之日起25个日历日内完成全部设备的供货、安装、调试并通过验收。具体开工日期以甲方书面通知为准。</w:t>
      </w:r>
    </w:p>
    <w:p w14:paraId="78A92FFE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（二）交货地点</w:t>
      </w:r>
    </w:p>
    <w:p w14:paraId="6598C49B">
      <w:pPr>
        <w:spacing w:before="80" w:after="80" w:line="360" w:lineRule="auto"/>
        <w:ind w:firstLine="500" w:firstLineChars="0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深圳市龙岗区平湖街道平湖南深国际物流枢纽中心二期盖上2层3栋仓库</w:t>
      </w:r>
      <w:r>
        <w:rPr>
          <w:rFonts w:hint="eastAsia" w:cs="仿宋"/>
          <w:b w:val="0"/>
          <w:bCs w:val="0"/>
          <w:sz w:val="24"/>
          <w:szCs w:val="24"/>
          <w:lang w:val="en-US" w:eastAsia="zh-CN"/>
        </w:rPr>
        <w:t>1-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3分区（集拼共享仓平湖南项目现场）。</w:t>
      </w:r>
    </w:p>
    <w:p w14:paraId="483958E4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（三）交货方式</w:t>
      </w:r>
    </w:p>
    <w:p w14:paraId="6B7441C5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供应商负责将全部设备及材料运输至甲方指定交货地点，运输、装卸费用由供应商承担。</w:t>
      </w:r>
    </w:p>
    <w:p w14:paraId="19F1F57F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设备到达现场后，由甲乙双方共同开箱验收，核对设备品牌、型号、规格、数量及外观质量，验收合格后双方签署交接清单。</w:t>
      </w:r>
    </w:p>
    <w:p w14:paraId="745F65F2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供应商须指派专业技术人员到现场进行安装、调试，直至系统运行正常并通过验收。</w:t>
      </w:r>
    </w:p>
    <w:p w14:paraId="33BEDA93">
      <w:pPr>
        <w:spacing w:before="120" w:after="6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五、总体要求</w:t>
      </w:r>
    </w:p>
    <w:p w14:paraId="5C6263EF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供应商须具备有效的营业执照，经营范围涵盖本次采购所涉及的监控设备、电气设备及安装工程等相关业务。</w:t>
      </w:r>
    </w:p>
    <w:p w14:paraId="337634D2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供应商须安排具备相关资质的专业技术团队负责项目实施，项目负责人须具备3年以上同类工程施工管理经验。特种作业人员须持有效操作资格证书上岗。</w:t>
      </w:r>
    </w:p>
    <w:p w14:paraId="4DE0ED69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所有设备材料须为全新正品，符合国家及行业现行质量标准，具备出厂合格证及相关检测报告。主要设备品牌须符合本项目技术参数要求，或经建设单位核准的同等品牌。</w:t>
      </w:r>
    </w:p>
    <w:p w14:paraId="792411CC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供应商须严格按照国家现行施工验收规范及技术标准进行施工，确保工程质量达到合格标准。施工期间须遵守甲方及物业管理部门的各项规章制度。</w:t>
      </w:r>
    </w:p>
    <w:p w14:paraId="64037312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5. 供应商须做好施工现场的安全防护工作，施工期间发生的一切安全事故及财产损失，均由供应商承担全部责任。</w:t>
      </w:r>
    </w:p>
    <w:p w14:paraId="670C234B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6. 供应商须在投标报价中充分考虑本项目所需的设备费、材料费、运输费、安装费、调试费、培训费、保险费、税费及其他一切可能发生的费用，合同总价包干，不做调整。</w:t>
      </w:r>
    </w:p>
    <w:p w14:paraId="3E31C763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7. 供应商须配合甲方完成系统调试及联调工作，确保监控系统、无线网络系统、电气系统运行正常，满足仓库日常运营需求。</w:t>
      </w:r>
    </w:p>
    <w:p w14:paraId="1A389ECA">
      <w:pPr>
        <w:spacing w:before="120" w:after="6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六、验收标准及售后服务</w:t>
      </w:r>
    </w:p>
    <w:p w14:paraId="3B34B10C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（一）验收标准</w:t>
      </w:r>
    </w:p>
    <w:p w14:paraId="2E5092D1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设备安装调试完成后，供应商须提交完整的验收资料，包括但不限于：设备合格证、检测报告、安装竣工图纸、操作手册、系统测试报告等。</w:t>
      </w:r>
    </w:p>
    <w:p w14:paraId="54DE5211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视频监控系统验收：所有摄像机画面清晰、无盲区，录像存储≥90天，远程访问功能正常，系统连续运行72小时无故障。</w:t>
      </w:r>
    </w:p>
    <w:p w14:paraId="7CA8AA62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无线网络系统验收：仓库各区域无线信号覆盖强度≥-65dBm，终端接入稳定，网络延迟≤20ms，连续运行72小时无断连。</w:t>
      </w:r>
    </w:p>
    <w:p w14:paraId="30796AE4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电气工程验收：各配电回路绝缘电阻测试合格，漏电保护器动作灵敏可靠，电压偏差不超过±5%，三相负荷平衡度满足规范要求。充电区设备运行正常，安全设施齐全有效。</w:t>
      </w:r>
    </w:p>
    <w:p w14:paraId="5ABA44DB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5. 管线及桥架验收：管线敷设横平竖直，连接牢固，防火封堵到位。桥架安装平整，接地可靠。</w:t>
      </w:r>
    </w:p>
    <w:p w14:paraId="06D4FD91">
      <w:pPr>
        <w:spacing w:before="80" w:after="80" w:line="360" w:lineRule="auto"/>
        <w:jc w:val="left"/>
      </w:pPr>
      <w:r>
        <w:rPr>
          <w:rFonts w:ascii="仿宋" w:hAnsi="仿宋" w:eastAsia="仿宋" w:cs="仿宋"/>
          <w:b/>
          <w:bCs/>
          <w:sz w:val="24"/>
          <w:szCs w:val="24"/>
        </w:rPr>
        <w:t>（二）售后服务</w:t>
      </w:r>
    </w:p>
    <w:p w14:paraId="373376B4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1. 质保期：自项目验收合格之日起，整体质保期为2年。质保期内因设备质量或安装工艺原因导致的故障，由供应商免费维修或更换。</w:t>
      </w:r>
    </w:p>
    <w:p w14:paraId="2EEB86B5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2. 响应时间：质保期内，供应商在接到甲方故障通知后2小时内响应并给出维修方案。如需现场处理，供应商须委派技术人员在8小时内到达甲方现场进行维修，供应商自行承担期间费用。</w:t>
      </w:r>
    </w:p>
    <w:p w14:paraId="684B44C0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3. 巡检服务：质保期内，供应商每季度提供1次设备巡检保养服务，出具巡检报告，及时发现并排除隐患。</w:t>
      </w:r>
    </w:p>
    <w:p w14:paraId="52042316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4. 培训服务：供应商须为甲方操作人员提供免费技术培训，培训内容包括系统操作、日常维护及常见故障处理，确保甲方人员能够独立完成设备基础操作与日常维护。</w:t>
      </w:r>
    </w:p>
    <w:p w14:paraId="53F338EF">
      <w:pPr>
        <w:spacing w:before="80" w:after="80" w:line="360" w:lineRule="auto"/>
        <w:jc w:val="left"/>
      </w:pPr>
      <w:r>
        <w:rPr>
          <w:rFonts w:ascii="仿宋" w:hAnsi="仿宋" w:eastAsia="仿宋" w:cs="仿宋"/>
          <w:b w:val="0"/>
          <w:bCs w:val="0"/>
          <w:sz w:val="24"/>
          <w:szCs w:val="24"/>
        </w:rPr>
        <w:t>5. 质保期满后，供应商承诺按甲方需求继续提供有偿维保服务，维保频次及费用另行协商约定。</w:t>
      </w:r>
    </w:p>
    <w:sectPr>
      <w:headerReference r:id="rId3" w:type="default"/>
      <w:footerReference r:id="rId4" w:type="default"/>
      <w:pgSz w:w="11906" w:h="16838"/>
      <w:pgMar w:top="1440" w:right="1200" w:bottom="144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5C8B3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页，共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NUMPAGES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C5A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E2D0B90"/>
    <w:rsid w:val="1CEC2B3E"/>
    <w:rsid w:val="2129697F"/>
    <w:rsid w:val="481A1E8E"/>
    <w:rsid w:val="77D10F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120"/>
      <w:outlineLvl w:val="0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黑体" w:hAnsi="黑体" w:eastAsia="黑体" w:cs="黑体"/>
      <w:b/>
      <w:bCs/>
      <w:color w:val="000000"/>
      <w:sz w:val="28"/>
      <w:szCs w:val="28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1624</Words>
  <Characters>1835</Characters>
  <TotalTime>0</TotalTime>
  <ScaleCrop>false</ScaleCrop>
  <LinksUpToDate>false</LinksUpToDate>
  <CharactersWithSpaces>1852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2026-07-10T07:44:00Z</dcterms:created>
  <dc:creator>Un-named</dc:creator>
  <cp:lastModifiedBy>柯栋</cp:lastModifiedBy>
  <dcterms:modified xsi:type="dcterms:W3CDTF">2026-07-13T06:37:18Z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7628506221384991002-data_volume/files/所有对话/主对话/工作产出/附件A-采购人需求-集拼共享仓平湖南项目监控电气工程.docx","ReservedCode1":"","ContentPropagator":"001191110102MACQD9K64028705","PropagateID":"1470518897680471#1783669766847","ReservedCode2":""}</vt:lpwstr>
  </property>
  <property fmtid="{D5CDD505-2E9C-101B-9397-08002B2CF9AE}" pid="3" name="KSOTemplateDocerSaveRecord">
    <vt:lpwstr>eyJoZGlkIjoiOGIxMzRmZmU0YzA4NDBjZmYzMWUxYjlmMzU0ZWM4OGEiLCJ1c2VySWQiOiI3NDAyMDUyMjAifQ==</vt:lpwstr>
  </property>
  <property fmtid="{D5CDD505-2E9C-101B-9397-08002B2CF9AE}" pid="4" name="KSOProductBuildVer">
    <vt:lpwstr>2052-12.1.0.26895</vt:lpwstr>
  </property>
  <property fmtid="{D5CDD505-2E9C-101B-9397-08002B2CF9AE}" pid="5" name="ICV">
    <vt:lpwstr>840A91BEFF604D98A2E85090A886060D_12</vt:lpwstr>
  </property>
</Properties>
</file>