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9A573">
      <w:pPr>
        <w:pStyle w:val="6"/>
        <w:ind w:firstLine="3213" w:firstLineChars="1000"/>
        <w:outlineLvl w:val="1"/>
        <w:rPr>
          <w:rFonts w:ascii="宋体" w:hAnsi="宋体" w:cs="宋体"/>
          <w:color w:val="auto"/>
          <w:highlight w:val="none"/>
        </w:rPr>
      </w:pPr>
      <w:bookmarkStart w:id="0" w:name="_Toc3301"/>
      <w:bookmarkStart w:id="1" w:name="_Toc26936"/>
      <w:bookmarkStart w:id="2" w:name="_Toc28012"/>
      <w:r>
        <w:rPr>
          <w:rStyle w:val="7"/>
          <w:rFonts w:ascii="宋体" w:hAnsi="宋体" w:cs="宋体"/>
          <w:color w:val="auto"/>
          <w:szCs w:val="21"/>
          <w:highlight w:val="none"/>
        </w:rPr>
        <w:t>第一节</w:t>
      </w:r>
      <w:r>
        <w:rPr>
          <w:rStyle w:val="7"/>
          <w:rFonts w:hint="eastAsia" w:ascii="宋体" w:hAnsi="宋体" w:cs="宋体"/>
          <w:color w:val="auto"/>
          <w:szCs w:val="21"/>
          <w:highlight w:val="none"/>
        </w:rPr>
        <w:t xml:space="preserve"> </w:t>
      </w:r>
      <w:r>
        <w:rPr>
          <w:rStyle w:val="7"/>
          <w:rFonts w:hint="eastAsia" w:ascii="宋体" w:hAnsi="宋体" w:cs="宋体"/>
          <w:color w:val="auto"/>
          <w:szCs w:val="21"/>
          <w:highlight w:val="none"/>
          <w:lang w:val="en-US" w:eastAsia="zh-CN"/>
        </w:rPr>
        <w:t>服务</w:t>
      </w:r>
      <w:r>
        <w:rPr>
          <w:rStyle w:val="7"/>
          <w:rFonts w:hint="eastAsia"/>
          <w:color w:val="auto"/>
          <w:sz w:val="28"/>
          <w:szCs w:val="28"/>
          <w:highlight w:val="none"/>
        </w:rPr>
        <w:t>要</w:t>
      </w:r>
      <w:r>
        <w:rPr>
          <w:rStyle w:val="7"/>
          <w:color w:val="auto"/>
          <w:highlight w:val="none"/>
        </w:rPr>
        <w:t>求</w:t>
      </w:r>
      <w:bookmarkEnd w:id="0"/>
      <w:bookmarkEnd w:id="1"/>
      <w:bookmarkEnd w:id="2"/>
      <w:bookmarkStart w:id="3" w:name="_Toc12584"/>
      <w:bookmarkStart w:id="4" w:name="_Toc13331"/>
      <w:bookmarkStart w:id="5" w:name="_Toc23086"/>
    </w:p>
    <w:bookmarkEnd w:id="3"/>
    <w:bookmarkEnd w:id="4"/>
    <w:bookmarkEnd w:id="5"/>
    <w:p w14:paraId="52B6C52D">
      <w:pPr>
        <w:pageBreakBefore w:val="0"/>
        <w:widowControl/>
        <w:kinsoku/>
        <w:wordWrap/>
        <w:overflowPunct/>
        <w:topLinePunct w:val="0"/>
        <w:autoSpaceDE/>
        <w:autoSpaceDN/>
        <w:bidi w:val="0"/>
        <w:textAlignment w:val="auto"/>
        <w:outlineLvl w:val="9"/>
        <w:rPr>
          <w:color w:val="auto"/>
          <w:highlight w:val="none"/>
        </w:rPr>
      </w:pPr>
    </w:p>
    <w:p w14:paraId="51027F2D">
      <w:pPr>
        <w:keepNext/>
        <w:keepLines/>
        <w:pageBreakBefore w:val="0"/>
        <w:widowControl/>
        <w:kinsoku/>
        <w:wordWrap/>
        <w:overflowPunct/>
        <w:topLinePunct w:val="0"/>
        <w:autoSpaceDE/>
        <w:autoSpaceDN/>
        <w:bidi w:val="0"/>
        <w:spacing w:line="360" w:lineRule="auto"/>
        <w:jc w:val="both"/>
        <w:textAlignment w:val="auto"/>
        <w:outlineLvl w:val="9"/>
        <w:rPr>
          <w:rFonts w:hint="default" w:asciiTheme="minorEastAsia" w:hAnsiTheme="minorEastAsia" w:eastAsiaTheme="minorEastAsia" w:cstheme="minorEastAsia"/>
          <w:b/>
          <w:bCs/>
          <w:color w:val="auto"/>
          <w:kern w:val="2"/>
          <w:sz w:val="24"/>
          <w:szCs w:val="24"/>
          <w:highlight w:val="none"/>
          <w:lang w:val="en-US" w:eastAsia="zh-CN" w:bidi="ar-SA"/>
        </w:rPr>
      </w:pPr>
      <w:bookmarkStart w:id="6" w:name="_Toc20630"/>
      <w:r>
        <w:rPr>
          <w:rFonts w:hint="eastAsia" w:asciiTheme="minorEastAsia" w:hAnsiTheme="minorEastAsia" w:eastAsiaTheme="minorEastAsia" w:cstheme="minorEastAsia"/>
          <w:b/>
          <w:bCs/>
          <w:color w:val="auto"/>
          <w:kern w:val="2"/>
          <w:sz w:val="24"/>
          <w:szCs w:val="24"/>
          <w:highlight w:val="none"/>
          <w:lang w:val="en-US" w:eastAsia="zh-CN" w:bidi="ar-SA"/>
        </w:rPr>
        <w:t>一、项目</w:t>
      </w:r>
      <w:bookmarkEnd w:id="6"/>
      <w:r>
        <w:rPr>
          <w:rFonts w:hint="eastAsia" w:asciiTheme="minorEastAsia" w:hAnsiTheme="minorEastAsia" w:eastAsiaTheme="minorEastAsia" w:cstheme="minorEastAsia"/>
          <w:b/>
          <w:bCs/>
          <w:color w:val="auto"/>
          <w:kern w:val="2"/>
          <w:sz w:val="24"/>
          <w:szCs w:val="24"/>
          <w:highlight w:val="none"/>
          <w:lang w:val="en-US" w:eastAsia="zh-CN" w:bidi="ar-SA"/>
        </w:rPr>
        <w:t>基本信息</w:t>
      </w:r>
    </w:p>
    <w:tbl>
      <w:tblPr>
        <w:tblStyle w:val="3"/>
        <w:tblW w:w="8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572"/>
        <w:gridCol w:w="3938"/>
      </w:tblGrid>
      <w:tr w14:paraId="7A516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29" w:type="dxa"/>
            <w:vAlign w:val="center"/>
          </w:tcPr>
          <w:p w14:paraId="1848969E">
            <w:pPr>
              <w:jc w:val="center"/>
              <w:rPr>
                <w:b/>
                <w:bCs w:val="0"/>
                <w:color w:val="auto"/>
                <w:sz w:val="24"/>
                <w:szCs w:val="24"/>
                <w:highlight w:val="none"/>
              </w:rPr>
            </w:pPr>
            <w:r>
              <w:rPr>
                <w:rFonts w:hint="eastAsia"/>
                <w:b/>
                <w:bCs w:val="0"/>
                <w:color w:val="auto"/>
                <w:sz w:val="24"/>
                <w:szCs w:val="24"/>
                <w:highlight w:val="none"/>
              </w:rPr>
              <w:t>序号</w:t>
            </w:r>
          </w:p>
        </w:tc>
        <w:tc>
          <w:tcPr>
            <w:tcW w:w="3572" w:type="dxa"/>
            <w:vAlign w:val="center"/>
          </w:tcPr>
          <w:p w14:paraId="4D9F2D9D">
            <w:pPr>
              <w:jc w:val="center"/>
              <w:rPr>
                <w:b/>
                <w:bCs w:val="0"/>
                <w:color w:val="auto"/>
                <w:sz w:val="24"/>
                <w:szCs w:val="24"/>
                <w:highlight w:val="none"/>
              </w:rPr>
            </w:pPr>
            <w:r>
              <w:rPr>
                <w:rFonts w:hint="eastAsia"/>
                <w:b/>
                <w:bCs w:val="0"/>
                <w:color w:val="auto"/>
                <w:sz w:val="24"/>
                <w:szCs w:val="24"/>
                <w:highlight w:val="none"/>
              </w:rPr>
              <w:t>采购项目名称</w:t>
            </w:r>
          </w:p>
        </w:tc>
        <w:tc>
          <w:tcPr>
            <w:tcW w:w="3938" w:type="dxa"/>
            <w:vAlign w:val="center"/>
          </w:tcPr>
          <w:p w14:paraId="66FF53BA">
            <w:pPr>
              <w:jc w:val="center"/>
              <w:rPr>
                <w:b/>
                <w:bCs w:val="0"/>
                <w:color w:val="auto"/>
                <w:sz w:val="24"/>
                <w:szCs w:val="24"/>
                <w:highlight w:val="none"/>
              </w:rPr>
            </w:pPr>
            <w:r>
              <w:rPr>
                <w:rFonts w:hint="eastAsia"/>
                <w:b/>
                <w:bCs w:val="0"/>
                <w:color w:val="auto"/>
                <w:sz w:val="24"/>
                <w:szCs w:val="24"/>
                <w:highlight w:val="none"/>
              </w:rPr>
              <w:t>预算金额（元）</w:t>
            </w:r>
          </w:p>
        </w:tc>
      </w:tr>
      <w:tr w14:paraId="793F0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29" w:type="dxa"/>
            <w:vAlign w:val="center"/>
          </w:tcPr>
          <w:p w14:paraId="736A8144">
            <w:pPr>
              <w:jc w:val="center"/>
              <w:rPr>
                <w:bCs/>
                <w:color w:val="auto"/>
                <w:sz w:val="24"/>
                <w:szCs w:val="24"/>
                <w:highlight w:val="none"/>
              </w:rPr>
            </w:pPr>
            <w:r>
              <w:rPr>
                <w:rFonts w:hint="eastAsia"/>
                <w:bCs/>
                <w:color w:val="auto"/>
                <w:sz w:val="24"/>
                <w:szCs w:val="24"/>
                <w:highlight w:val="none"/>
              </w:rPr>
              <w:t>1</w:t>
            </w:r>
          </w:p>
        </w:tc>
        <w:tc>
          <w:tcPr>
            <w:tcW w:w="3572" w:type="dxa"/>
            <w:vAlign w:val="center"/>
          </w:tcPr>
          <w:p w14:paraId="7402C53C">
            <w:pPr>
              <w:jc w:val="center"/>
              <w:rPr>
                <w:b/>
                <w:bCs/>
                <w:color w:val="auto"/>
                <w:sz w:val="24"/>
                <w:szCs w:val="24"/>
                <w:highlight w:val="none"/>
              </w:rPr>
            </w:pPr>
            <w:r>
              <w:rPr>
                <w:rFonts w:hint="eastAsia" w:ascii="宋体" w:hAnsi="宋体" w:cs="宋体"/>
                <w:color w:val="auto"/>
                <w:sz w:val="24"/>
                <w:szCs w:val="24"/>
                <w:highlight w:val="none"/>
                <w:lang w:val="en-US" w:eastAsia="zh-CN"/>
              </w:rPr>
              <w:t>翠园中学2025年“强基实验班”项目</w:t>
            </w:r>
          </w:p>
        </w:tc>
        <w:tc>
          <w:tcPr>
            <w:tcW w:w="3938" w:type="dxa"/>
            <w:vAlign w:val="center"/>
          </w:tcPr>
          <w:p w14:paraId="6DC83CF6">
            <w:pPr>
              <w:jc w:val="center"/>
              <w:rPr>
                <w:rFonts w:hint="default" w:eastAsia="宋体"/>
                <w:bCs/>
                <w:color w:val="auto"/>
                <w:sz w:val="24"/>
                <w:szCs w:val="24"/>
                <w:highlight w:val="none"/>
                <w:lang w:val="en-US" w:eastAsia="zh-CN"/>
              </w:rPr>
            </w:pPr>
            <w:r>
              <w:rPr>
                <w:rFonts w:hint="eastAsia"/>
                <w:bCs/>
                <w:color w:val="auto"/>
                <w:sz w:val="24"/>
                <w:szCs w:val="24"/>
                <w:highlight w:val="none"/>
                <w:lang w:val="en-US" w:eastAsia="zh-CN"/>
              </w:rPr>
              <w:t>980,000.00</w:t>
            </w:r>
          </w:p>
        </w:tc>
      </w:tr>
    </w:tbl>
    <w:p w14:paraId="2C33D90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cstheme="minorEastAsia"/>
          <w:color w:val="auto"/>
          <w:sz w:val="24"/>
          <w:szCs w:val="24"/>
          <w:highlight w:val="none"/>
        </w:rPr>
      </w:pPr>
    </w:p>
    <w:p w14:paraId="33AB3CC7">
      <w:pPr>
        <w:keepNext/>
        <w:keepLines/>
        <w:pageBreakBefore w:val="0"/>
        <w:widowControl/>
        <w:kinsoku/>
        <w:wordWrap/>
        <w:overflowPunct/>
        <w:topLinePunct w:val="0"/>
        <w:autoSpaceDE/>
        <w:autoSpaceDN/>
        <w:bidi w:val="0"/>
        <w:spacing w:line="360" w:lineRule="auto"/>
        <w:jc w:val="both"/>
        <w:textAlignment w:val="auto"/>
        <w:outlineLvl w:val="9"/>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二、</w:t>
      </w:r>
      <w:bookmarkStart w:id="7" w:name="_Toc5884753"/>
      <w:r>
        <w:rPr>
          <w:rFonts w:hint="eastAsia" w:asciiTheme="minorEastAsia" w:hAnsiTheme="minorEastAsia" w:eastAsiaTheme="minorEastAsia" w:cstheme="minorEastAsia"/>
          <w:b/>
          <w:bCs/>
          <w:color w:val="auto"/>
          <w:kern w:val="2"/>
          <w:sz w:val="24"/>
          <w:szCs w:val="24"/>
          <w:highlight w:val="none"/>
          <w:lang w:val="en-US" w:eastAsia="zh-CN" w:bidi="ar-SA"/>
        </w:rPr>
        <w:t>项目背景</w:t>
      </w:r>
      <w:bookmarkEnd w:id="7"/>
    </w:p>
    <w:p w14:paraId="7639688C">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2020年1月13日，教育部发布《关于在部分高校开展基础学科招生改革试点工作的意见》，明确自2020年起取消高校自主招生工作，并在36所“一流大学”建设高校开展强基计划试点招生。强基计划的招生专业定位于高端芯片与软件、智能科技、新材料、先进制造和国家安全等关键领域以及国家人才紧缺的人文社会科学领域，还明确了数学、物理、化学、生物及历史、哲学、古文字学等为重点招生专业。</w:t>
      </w:r>
    </w:p>
    <w:p w14:paraId="670BA26E">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强基计划主要选拔培养有志于服务国家重大战略需求且综合素质优秀或基础学科拔尖的学生。这表明强基计划既重视学科特长，又重视综合素质，比传统自主招生更为宽广，适合更多同学参加。需要注意的是，强基计划将高考成绩这一硬性指标纳为确定高校考核名单的重要条件，这与高考改革的新考试评价制度相呼应。</w:t>
      </w:r>
    </w:p>
    <w:p w14:paraId="476F1913">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传统自主招生定位于"学科特长、创新潜质”，局限在五大学科竞赛的省一及以上获奖者。而强基计划则不同，强基计划的实行是为了“探索在招生中对学生进行全面、综合评价，转变简单以考试成绩评价学生的做法，引导中学更加重视学生成长过程，更加重视培养学生综合素质。”这与综合评价招生有相通之处。</w:t>
      </w:r>
    </w:p>
    <w:p w14:paraId="36122033">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由此可以看出，强基计划的定位与其说是高校招生，不如说是人才培养，是响应国家的号召，为国家发展遴选和培养所需的人才。此外，传统自主招生的招生专业偏重于理工科，强基计划则更加均衡。</w:t>
      </w:r>
    </w:p>
    <w:p w14:paraId="260549F7">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国家重视强基，高校重视强基，优秀的高中生自然也要重视强基！有志于从事基础科学研究、服务于国家重大战略需求的高中优秀学子都应该报名参与强基计划。于国家而言，这是培养创新性人才的绿色通道；于个人而言，高考成绩的基础之上可以大胆冲击名校重点基础学科专业，由于强基计划是提前批次，没有入围校测或是最终未被录取，完全不影响正常的高考志愿填报和录取工作，高考分数确实足够高的考生也可以主动选择退出校测，直接靠裸分进入自己心仪的大学和专业。</w:t>
      </w:r>
    </w:p>
    <w:p w14:paraId="18382036">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由于政策设计合理、过程透明、结果公平，相信大多数尖子生都会选择填报一所高校的强基计划，而且总体来说是“往上报”、“搏一搏”，这对考生是一次机会，没有包袱，奋力一搏；对高校来说也是一次机会，凭高考成绩和综合校测成绩,选拔更具学科创新潜力的优秀学子，这是“零成本试错”的双赢局面，没有理由不响应国家的号召参与其中，“百舸争流，奋楫者先”！</w:t>
      </w:r>
    </w:p>
    <w:p w14:paraId="05CA154E">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随着我国高考政策改革的逐步深入，基础教育学校承担为高校输送创新性人才的任务，为了适应新的高考改革和社会需要，通过培养让优秀学生有机会通过强基计划进入更好的高等学校学习成为基础教学学校的必然选择。</w:t>
      </w:r>
    </w:p>
    <w:p w14:paraId="567AD037">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随着中国教育信息化整体进程的加快、基础设施水平的提高，在考试中应用信息化手段已经很普遍，在一些大型的考试中，信息化工具的应用程度已经得到了大幅度提高。当前，教育评价也已引起党和国家领导人的高度关注和重视，我国在教育改革的过程中也越来越重视教育评价的改革，为此教育领导部门相继出台了一系列的文件，以推动全国的教育评价改革，如：</w:t>
      </w:r>
    </w:p>
    <w:p w14:paraId="0BAD798E">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教育部《关于积极推进中小学评价与考试制度改革的通知》明确指出我国现行基础教育评价与考试制度存在的突出问题，提出了教育评价的全面性要求，指明了教育评价考试制度的正确方向。</w:t>
      </w:r>
    </w:p>
    <w:p w14:paraId="6A196979">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评价标准既应注意对学生、教师和学校的统一要求，也要关注个体差异以及对发展的不同需求，为学生、教师和学校有个性、有特色的发展提供一定的空间。</w:t>
      </w:r>
    </w:p>
    <w:p w14:paraId="2F479B45">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对学生、教师和学校的评价不仅要注重结果，更要注重发展和变化过程。要把形成性评价与终结性评价结合起来，使发展变化的过程成为评价的组成部分。</w:t>
      </w:r>
    </w:p>
    <w:p w14:paraId="4E635D5E">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重视学生、教师和学校在评价过程中的作用，使评价成为教育行政部门、学校、教师、学生和家长共同参与的交互活动。</w:t>
      </w:r>
    </w:p>
    <w:p w14:paraId="4F1B5206">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教育部在《全面开展质量监测，建立健全基础教育质量保障体系》中明确提出整体推进素质教育、提高教育质量，必须建立教育质量监测体系，改革和完善教育评价制度。其次，要建立基础教育质量监测体系；再次，改革和完善基础教育质量督导与评价制度。</w:t>
      </w:r>
    </w:p>
    <w:p w14:paraId="0D62C6F1">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教育部《关于做好义务教育学校教师绩效考核工作的指导意见》中所指的“绩效考核”与教育评价工作密切相关。该指导意见简明地提出：以德为先，注重实绩。完善绩效考核内容，把师德放在首位，注重教师履行岗位职责的实际表现和贡献。激励先进，促进发展。鼓励教师全身心投入教书育人工作，引导教师不断提高自身素质和教育教学能力。</w:t>
      </w:r>
    </w:p>
    <w:p w14:paraId="29ABF48C">
      <w:pPr>
        <w:keepNext w:val="0"/>
        <w:keepLines w:val="0"/>
        <w:pageBreakBefore w:val="0"/>
        <w:widowControl/>
        <w:tabs>
          <w:tab w:val="left" w:pos="540"/>
          <w:tab w:val="left" w:pos="567"/>
        </w:tabs>
        <w:kinsoku/>
        <w:wordWrap/>
        <w:overflowPunct/>
        <w:topLinePunct w:val="0"/>
        <w:autoSpaceDE/>
        <w:autoSpaceDN/>
        <w:bidi w:val="0"/>
        <w:adjustRightInd/>
        <w:snapToGrid/>
        <w:spacing w:line="360" w:lineRule="auto"/>
        <w:ind w:firstLine="482" w:firstLineChars="201"/>
        <w:jc w:val="left"/>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通过学业监测，全面准确把握基础教育的质量状况，探索基础教育发展的规律、人才成长的规律和教育管理的规律，树立正确的人才观和教育质量观。通过采集教育过程中的各种测量数据，采用现代教育测评模型的分析与评价，形成针对教育行政管理部门、学校、班级等不同层次的个性化评价报告，从中发现学生、教师、学校和教育行政管理部门在教育过程中可以改进和优化的部分，为实现因材施教、学生个性化发展、教育资源的合理分配与优化和教育改革提供科学依据。</w:t>
      </w:r>
    </w:p>
    <w:p w14:paraId="7853D41E">
      <w:pPr>
        <w:keepNext/>
        <w:keepLines/>
        <w:pageBreakBefore w:val="0"/>
        <w:widowControl/>
        <w:numPr>
          <w:ilvl w:val="0"/>
          <w:numId w:val="1"/>
        </w:numPr>
        <w:kinsoku/>
        <w:wordWrap/>
        <w:overflowPunct/>
        <w:topLinePunct w:val="0"/>
        <w:autoSpaceDE/>
        <w:autoSpaceDN/>
        <w:bidi w:val="0"/>
        <w:spacing w:line="360" w:lineRule="auto"/>
        <w:jc w:val="both"/>
        <w:textAlignment w:val="auto"/>
        <w:outlineLvl w:val="9"/>
        <w:rPr>
          <w:rFonts w:hint="eastAsia" w:asciiTheme="minorEastAsia" w:hAnsiTheme="minorEastAsia" w:eastAsiaTheme="minorEastAsia" w:cstheme="minorEastAsia"/>
          <w:b/>
          <w:bCs/>
          <w:color w:val="auto"/>
          <w:kern w:val="2"/>
          <w:sz w:val="24"/>
          <w:szCs w:val="24"/>
          <w:highlight w:val="none"/>
          <w:lang w:val="en-US" w:eastAsia="zh-CN" w:bidi="ar-SA"/>
        </w:rPr>
      </w:pPr>
      <w:bookmarkStart w:id="8" w:name="_Toc5884754"/>
      <w:r>
        <w:rPr>
          <w:rFonts w:hint="eastAsia" w:asciiTheme="minorEastAsia" w:hAnsiTheme="minorEastAsia" w:eastAsiaTheme="minorEastAsia" w:cstheme="minorEastAsia"/>
          <w:b/>
          <w:bCs/>
          <w:color w:val="auto"/>
          <w:kern w:val="2"/>
          <w:sz w:val="24"/>
          <w:szCs w:val="24"/>
          <w:highlight w:val="none"/>
          <w:lang w:val="en-US" w:eastAsia="zh-CN" w:bidi="ar-SA"/>
        </w:rPr>
        <w:t>项目意义</w:t>
      </w:r>
      <w:bookmarkEnd w:id="8"/>
    </w:p>
    <w:p w14:paraId="26E4A0E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让更多的学生能通过强基计划走进双一流名牌大学深造。培养具有强烈的创新意识的学生，使学生具备在理工类基础学科和人文社科领域继续深造并成为学术领军人才的潜力。</w:t>
      </w:r>
    </w:p>
    <w:p w14:paraId="76B1E9E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为学校的特色发展和多元人才培养模式摸索一套适合自身学校的方法。通过发展课程计划，为学校培养一支具有学科竞赛辅导能力的优秀教师队伍，为学校的长远特色发展奠定师资基础。</w:t>
      </w:r>
    </w:p>
    <w:p w14:paraId="0E3A2B3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通过系统设计和科学实施，在学校发展、教师成长和优生培养方面取得明显提升，为学校的特色发展和多元人才培养模式摸索一套适合自身学校的方法，为学生提供通过强基计划进入一流高校的机会，满足社会的需要。</w:t>
      </w:r>
    </w:p>
    <w:p w14:paraId="3D0EF63D">
      <w:pPr>
        <w:keepNext/>
        <w:keepLines/>
        <w:pageBreakBefore w:val="0"/>
        <w:widowControl/>
        <w:kinsoku/>
        <w:wordWrap/>
        <w:overflowPunct/>
        <w:topLinePunct w:val="0"/>
        <w:autoSpaceDE/>
        <w:autoSpaceDN/>
        <w:bidi w:val="0"/>
        <w:spacing w:line="360" w:lineRule="auto"/>
        <w:jc w:val="both"/>
        <w:textAlignment w:val="auto"/>
        <w:outlineLvl w:val="9"/>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三、项目需求</w:t>
      </w:r>
    </w:p>
    <w:p w14:paraId="52C70C38">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9"/>
        <w:rPr>
          <w:b/>
          <w:bCs/>
          <w:color w:val="auto"/>
          <w:sz w:val="24"/>
          <w:szCs w:val="24"/>
          <w:highlight w:val="none"/>
        </w:rPr>
      </w:pPr>
      <w:r>
        <w:rPr>
          <w:rFonts w:hint="eastAsia"/>
          <w:b/>
          <w:bCs/>
          <w:color w:val="auto"/>
          <w:sz w:val="24"/>
          <w:szCs w:val="24"/>
          <w:highlight w:val="none"/>
        </w:rPr>
        <w:t>1、培养对象</w:t>
      </w:r>
    </w:p>
    <w:p w14:paraId="303CFB8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1.通过自主招生进入翠园高中的学生。具备一定的学科特长的学生。</w:t>
      </w:r>
    </w:p>
    <w:p w14:paraId="501CEFF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3.中考进入翠园高中的优秀学生。具备一定的学习能力和较强的吃苦能力。</w:t>
      </w:r>
    </w:p>
    <w:p w14:paraId="3E3E8AA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3.有意愿在基础学科或人文学科上长远发展的学生。有志通过强基计划走进双一流名牌大学深造的优秀学生。</w:t>
      </w:r>
    </w:p>
    <w:p w14:paraId="3B16CC8F">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9"/>
        <w:rPr>
          <w:b/>
          <w:bCs/>
          <w:color w:val="auto"/>
          <w:sz w:val="24"/>
          <w:szCs w:val="24"/>
          <w:highlight w:val="none"/>
        </w:rPr>
      </w:pPr>
      <w:r>
        <w:rPr>
          <w:rFonts w:hint="eastAsia"/>
          <w:b/>
          <w:bCs/>
          <w:color w:val="auto"/>
          <w:sz w:val="24"/>
          <w:szCs w:val="24"/>
          <w:highlight w:val="none"/>
        </w:rPr>
        <w:t>2、</w:t>
      </w:r>
      <w:bookmarkStart w:id="9" w:name="_Toc5884761"/>
      <w:bookmarkStart w:id="10" w:name="_Toc501649613"/>
      <w:r>
        <w:rPr>
          <w:rFonts w:hint="eastAsia"/>
          <w:b/>
          <w:bCs/>
          <w:color w:val="auto"/>
          <w:sz w:val="24"/>
          <w:szCs w:val="24"/>
          <w:highlight w:val="none"/>
          <w:lang w:val="en-US" w:eastAsia="zh-CN"/>
        </w:rPr>
        <w:t>培养方式</w:t>
      </w:r>
      <w:bookmarkEnd w:id="9"/>
      <w:bookmarkEnd w:id="10"/>
    </w:p>
    <w:p w14:paraId="534A08D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1.学生选拔：每个年级组建一个强基实验班，一个来自于自主招生，一个来自于中考考进</w:t>
      </w:r>
      <w:r>
        <w:rPr>
          <w:rFonts w:hint="eastAsia" w:ascii="宋体" w:hAnsi="宋体"/>
          <w:color w:val="auto"/>
          <w:sz w:val="24"/>
          <w:szCs w:val="24"/>
          <w:lang w:val="en-US" w:eastAsia="zh-CN"/>
        </w:rPr>
        <w:t>翠园</w:t>
      </w:r>
      <w:r>
        <w:rPr>
          <w:rFonts w:hint="eastAsia" w:ascii="宋体" w:hAnsi="宋体" w:eastAsia="宋体"/>
          <w:color w:val="auto"/>
          <w:sz w:val="24"/>
          <w:szCs w:val="24"/>
          <w:lang w:val="en-US" w:eastAsia="zh-CN"/>
        </w:rPr>
        <w:t>高中的优秀学生。</w:t>
      </w:r>
    </w:p>
    <w:p w14:paraId="6DAC7BA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2.精细管理：实行“一生一规划”、“一生一导师”，导师将针对学生兴趣、特长个性化指导学生的学业及职业生涯规划。尊重学生的兴趣爱好、开展生涯规划指导和心理疏导调节，引领学生全面而有个性发展。</w:t>
      </w:r>
    </w:p>
    <w:p w14:paraId="2911139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突出学科特长：学校会建立学习兴趣、学习行为、学习能力、心理状态等学习档案，制定学生个性化学习指导方案。根据《教育部关于在部分高校开展基础学科招生改革试点工作的意见》要求对学生进行“定制式”培养，并持续监控学生关键学业指标的发展变化，及时精准干预，为学生报考“双一流”夯实基础，确保每一个孩子最优发展。</w:t>
      </w:r>
    </w:p>
    <w:p w14:paraId="5E7F575A">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9"/>
        <w:rPr>
          <w:rFonts w:hint="eastAsia" w:eastAsia="宋体"/>
          <w:b/>
          <w:bCs/>
          <w:color w:val="auto"/>
          <w:sz w:val="24"/>
          <w:szCs w:val="24"/>
          <w:highlight w:val="none"/>
          <w:lang w:eastAsia="zh-CN"/>
        </w:rPr>
      </w:pPr>
      <w:r>
        <w:rPr>
          <w:rFonts w:hint="eastAsia" w:eastAsia="宋体"/>
          <w:b/>
          <w:bCs/>
          <w:color w:val="auto"/>
          <w:sz w:val="24"/>
          <w:szCs w:val="24"/>
          <w:highlight w:val="none"/>
          <w:lang w:val="en-US" w:eastAsia="zh-CN"/>
        </w:rPr>
        <w:t>3</w:t>
      </w:r>
      <w:r>
        <w:rPr>
          <w:rFonts w:hint="eastAsia" w:eastAsia="宋体"/>
          <w:b/>
          <w:bCs/>
          <w:color w:val="auto"/>
          <w:sz w:val="24"/>
          <w:szCs w:val="24"/>
          <w:highlight w:val="none"/>
        </w:rPr>
        <w:t>、</w:t>
      </w:r>
      <w:r>
        <w:rPr>
          <w:rFonts w:hint="eastAsia" w:eastAsia="宋体"/>
          <w:b/>
          <w:bCs/>
          <w:color w:val="auto"/>
          <w:sz w:val="24"/>
          <w:szCs w:val="24"/>
          <w:highlight w:val="none"/>
          <w:lang w:eastAsia="zh-CN"/>
        </w:rPr>
        <w:t>项目</w:t>
      </w:r>
      <w:r>
        <w:rPr>
          <w:rFonts w:hint="eastAsia" w:eastAsia="宋体"/>
          <w:b/>
          <w:bCs/>
          <w:color w:val="auto"/>
          <w:sz w:val="24"/>
          <w:szCs w:val="24"/>
          <w:highlight w:val="none"/>
          <w:lang w:val="en-US" w:eastAsia="zh-CN"/>
        </w:rPr>
        <w:t>基本</w:t>
      </w:r>
      <w:r>
        <w:rPr>
          <w:rFonts w:hint="eastAsia" w:eastAsia="宋体"/>
          <w:b/>
          <w:bCs/>
          <w:color w:val="auto"/>
          <w:sz w:val="24"/>
          <w:szCs w:val="24"/>
          <w:highlight w:val="none"/>
          <w:lang w:eastAsia="zh-CN"/>
        </w:rPr>
        <w:t>要求</w:t>
      </w:r>
    </w:p>
    <w:p w14:paraId="2BCFE4B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color w:val="auto"/>
          <w:sz w:val="24"/>
          <w:szCs w:val="24"/>
          <w:lang w:val="en-US" w:eastAsia="zh-CN"/>
        </w:rPr>
        <w:t>选拔优秀学生组建</w:t>
      </w:r>
      <w:r>
        <w:rPr>
          <w:rFonts w:hint="eastAsia" w:ascii="宋体" w:hAnsi="宋体" w:eastAsia="宋体"/>
          <w:color w:val="auto"/>
          <w:sz w:val="24"/>
          <w:szCs w:val="24"/>
          <w:lang w:val="en-US" w:eastAsia="zh-CN"/>
        </w:rPr>
        <w:t>强基</w:t>
      </w:r>
      <w:r>
        <w:rPr>
          <w:rFonts w:hint="eastAsia" w:ascii="宋体" w:hAnsi="宋体"/>
          <w:color w:val="auto"/>
          <w:sz w:val="24"/>
          <w:szCs w:val="24"/>
          <w:lang w:val="en-US" w:eastAsia="zh-CN"/>
        </w:rPr>
        <w:t>实验班</w:t>
      </w:r>
      <w:r>
        <w:rPr>
          <w:rFonts w:hint="eastAsia" w:ascii="宋体" w:hAnsi="宋体" w:eastAsia="宋体"/>
          <w:color w:val="auto"/>
          <w:sz w:val="24"/>
          <w:szCs w:val="24"/>
          <w:lang w:val="en-US" w:eastAsia="zh-CN"/>
        </w:rPr>
        <w:t>，有针对性的开展基础学科创新人才培养项</w:t>
      </w:r>
      <w:r>
        <w:rPr>
          <w:rFonts w:hint="eastAsia" w:ascii="宋体" w:hAnsi="宋体" w:eastAsia="宋体"/>
          <w:sz w:val="24"/>
          <w:szCs w:val="24"/>
          <w:lang w:val="en-US" w:eastAsia="zh-CN"/>
        </w:rPr>
        <w:t>目，现对项目作如下的要求：</w:t>
      </w:r>
    </w:p>
    <w:p w14:paraId="4F1382E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（一）竞赛课程：针对高一、高二基础学科拔尖的学生，在全国范围内邀请名师为学生授课。</w:t>
      </w:r>
    </w:p>
    <w:p w14:paraId="071F6C1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（二）强基常训课程：针对高三基础学科拔尖的学生，在全国范围内邀请专家对教师进行培训。</w:t>
      </w:r>
    </w:p>
    <w:p w14:paraId="46C09192">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（三）高考培优课程：针对高三基础学科拔尖的学生，在全国范围内邀请专家对教师进行培训。</w:t>
      </w:r>
    </w:p>
    <w:p w14:paraId="6AD8DD43">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9"/>
        <w:rPr>
          <w:b/>
          <w:bCs/>
          <w:color w:val="auto"/>
          <w:sz w:val="24"/>
          <w:szCs w:val="24"/>
          <w:highlight w:val="none"/>
        </w:rPr>
      </w:pPr>
      <w:r>
        <w:rPr>
          <w:rFonts w:hint="eastAsia"/>
          <w:b/>
          <w:bCs/>
          <w:color w:val="auto"/>
          <w:sz w:val="24"/>
          <w:szCs w:val="24"/>
          <w:highlight w:val="none"/>
          <w:lang w:val="en-US" w:eastAsia="zh-CN"/>
        </w:rPr>
        <w:t>4</w:t>
      </w:r>
      <w:r>
        <w:rPr>
          <w:rFonts w:hint="eastAsia"/>
          <w:b/>
          <w:bCs/>
          <w:color w:val="auto"/>
          <w:sz w:val="24"/>
          <w:szCs w:val="24"/>
          <w:highlight w:val="none"/>
        </w:rPr>
        <w:t>、</w:t>
      </w:r>
      <w:r>
        <w:rPr>
          <w:rFonts w:hint="eastAsia"/>
          <w:b/>
          <w:bCs/>
          <w:color w:val="auto"/>
          <w:sz w:val="24"/>
          <w:szCs w:val="24"/>
          <w:highlight w:val="none"/>
          <w:lang w:val="en-US" w:eastAsia="zh-CN"/>
        </w:rPr>
        <w:t>课程设置</w:t>
      </w:r>
    </w:p>
    <w:p w14:paraId="75C4A911">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b/>
          <w:bCs/>
          <w:sz w:val="24"/>
          <w:szCs w:val="24"/>
          <w:lang w:val="en-US" w:eastAsia="zh-CN"/>
        </w:rPr>
        <w:t>整体规划</w:t>
      </w:r>
      <w:r>
        <w:rPr>
          <w:rFonts w:hint="eastAsia" w:ascii="宋体" w:hAnsi="宋体" w:eastAsia="宋体"/>
          <w:sz w:val="24"/>
          <w:szCs w:val="24"/>
          <w:lang w:val="en-US" w:eastAsia="zh-CN"/>
        </w:rPr>
        <w:t>：强化强基实验班的整体推进。针对学生设置科学的培养课程，把握学生的脉搏，增强学生的内驱力，促进学生自主成长。</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4"/>
        <w:gridCol w:w="1747"/>
        <w:gridCol w:w="5294"/>
      </w:tblGrid>
      <w:tr w14:paraId="2732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34" w:type="dxa"/>
            <w:vAlign w:val="center"/>
          </w:tcPr>
          <w:p w14:paraId="183AB13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年级</w:t>
            </w:r>
          </w:p>
        </w:tc>
        <w:tc>
          <w:tcPr>
            <w:tcW w:w="1747" w:type="dxa"/>
            <w:vAlign w:val="center"/>
          </w:tcPr>
          <w:p w14:paraId="4EF6E55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匹配课程</w:t>
            </w:r>
          </w:p>
        </w:tc>
        <w:tc>
          <w:tcPr>
            <w:tcW w:w="5294" w:type="dxa"/>
            <w:vAlign w:val="center"/>
          </w:tcPr>
          <w:p w14:paraId="3EB543F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培养目标</w:t>
            </w:r>
          </w:p>
        </w:tc>
      </w:tr>
      <w:tr w14:paraId="1FD8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4" w:type="dxa"/>
            <w:vAlign w:val="center"/>
          </w:tcPr>
          <w:p w14:paraId="6B5FC5AD">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高一</w:t>
            </w:r>
          </w:p>
        </w:tc>
        <w:tc>
          <w:tcPr>
            <w:tcW w:w="1747" w:type="dxa"/>
            <w:vAlign w:val="center"/>
          </w:tcPr>
          <w:p w14:paraId="7965A58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竞赛课程</w:t>
            </w:r>
          </w:p>
        </w:tc>
        <w:tc>
          <w:tcPr>
            <w:tcW w:w="5294" w:type="dxa"/>
            <w:vAlign w:val="center"/>
          </w:tcPr>
          <w:p w14:paraId="7D1BC06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省级一等奖、二等奖。</w:t>
            </w:r>
          </w:p>
        </w:tc>
      </w:tr>
      <w:tr w14:paraId="1295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4" w:type="dxa"/>
            <w:vAlign w:val="center"/>
          </w:tcPr>
          <w:p w14:paraId="11E5B5C8">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高二</w:t>
            </w:r>
          </w:p>
        </w:tc>
        <w:tc>
          <w:tcPr>
            <w:tcW w:w="1747" w:type="dxa"/>
            <w:vAlign w:val="center"/>
          </w:tcPr>
          <w:p w14:paraId="2AAECCCB">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竞赛课程</w:t>
            </w:r>
          </w:p>
        </w:tc>
        <w:tc>
          <w:tcPr>
            <w:tcW w:w="5294" w:type="dxa"/>
            <w:vAlign w:val="center"/>
          </w:tcPr>
          <w:p w14:paraId="45E9877D">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省级一等奖，国奖，个别学生单独培养。</w:t>
            </w:r>
          </w:p>
        </w:tc>
      </w:tr>
      <w:tr w14:paraId="7145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4" w:type="dxa"/>
            <w:vMerge w:val="restart"/>
            <w:vAlign w:val="center"/>
          </w:tcPr>
          <w:p w14:paraId="674A5A7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高三</w:t>
            </w:r>
          </w:p>
        </w:tc>
        <w:tc>
          <w:tcPr>
            <w:tcW w:w="1747" w:type="dxa"/>
            <w:vAlign w:val="center"/>
          </w:tcPr>
          <w:p w14:paraId="2F9B592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强基常训课程</w:t>
            </w:r>
          </w:p>
        </w:tc>
        <w:tc>
          <w:tcPr>
            <w:tcW w:w="5294" w:type="dxa"/>
            <w:vAlign w:val="center"/>
          </w:tcPr>
          <w:p w14:paraId="5B64BE58">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针对清北笔试进行真题训练以及模拟考试</w:t>
            </w:r>
          </w:p>
        </w:tc>
      </w:tr>
      <w:tr w14:paraId="5BCC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34" w:type="dxa"/>
            <w:vMerge w:val="continue"/>
            <w:vAlign w:val="center"/>
          </w:tcPr>
          <w:p w14:paraId="42F3AB29">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p>
        </w:tc>
        <w:tc>
          <w:tcPr>
            <w:tcW w:w="1747" w:type="dxa"/>
            <w:vAlign w:val="center"/>
          </w:tcPr>
          <w:p w14:paraId="2AD654C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高考培优课程</w:t>
            </w:r>
          </w:p>
        </w:tc>
        <w:tc>
          <w:tcPr>
            <w:tcW w:w="5294" w:type="dxa"/>
            <w:vAlign w:val="center"/>
          </w:tcPr>
          <w:p w14:paraId="7A3E162F">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针对双一流分数线高考重难点拔高</w:t>
            </w:r>
          </w:p>
        </w:tc>
      </w:tr>
    </w:tbl>
    <w:p w14:paraId="0E81D7D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（2）制定独立课表。对强基实验班学生数学、物理、化学</w:t>
      </w:r>
      <w:r>
        <w:rPr>
          <w:rFonts w:hint="eastAsia" w:ascii="宋体" w:hAnsi="宋体"/>
          <w:sz w:val="24"/>
          <w:szCs w:val="24"/>
          <w:lang w:val="en-US" w:eastAsia="zh-CN"/>
        </w:rPr>
        <w:t>等</w:t>
      </w:r>
      <w:r>
        <w:rPr>
          <w:rFonts w:hint="eastAsia" w:ascii="宋体" w:hAnsi="宋体" w:eastAsia="宋体"/>
          <w:sz w:val="24"/>
          <w:szCs w:val="24"/>
          <w:lang w:val="en-US" w:eastAsia="zh-CN"/>
        </w:rPr>
        <w:t>学科进行针对性的培养。邀请区内各科教研员结合我校实际情况结合一线老师的意见，单独设计针对性课程。</w:t>
      </w:r>
    </w:p>
    <w:p w14:paraId="6EE2FC5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（3）聘请校外名师培优辅导。利用晚自习时间对强基实验班学生进行针对性培优。具体课程安排为：</w:t>
      </w:r>
    </w:p>
    <w:tbl>
      <w:tblPr>
        <w:tblStyle w:val="4"/>
        <w:tblpPr w:leftFromText="180" w:rightFromText="180" w:vertAnchor="text" w:horzAnchor="page" w:tblpX="1912" w:tblpY="65"/>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1D70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88F93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周日</w:t>
            </w:r>
          </w:p>
        </w:tc>
        <w:tc>
          <w:tcPr>
            <w:tcW w:w="1420" w:type="dxa"/>
          </w:tcPr>
          <w:p w14:paraId="380B9F2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周一</w:t>
            </w:r>
          </w:p>
        </w:tc>
        <w:tc>
          <w:tcPr>
            <w:tcW w:w="1420" w:type="dxa"/>
          </w:tcPr>
          <w:p w14:paraId="54CEE98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周二</w:t>
            </w:r>
          </w:p>
        </w:tc>
        <w:tc>
          <w:tcPr>
            <w:tcW w:w="1420" w:type="dxa"/>
          </w:tcPr>
          <w:p w14:paraId="62D1118E">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周三</w:t>
            </w:r>
          </w:p>
        </w:tc>
        <w:tc>
          <w:tcPr>
            <w:tcW w:w="1421" w:type="dxa"/>
          </w:tcPr>
          <w:p w14:paraId="16A1BDB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周四</w:t>
            </w:r>
          </w:p>
        </w:tc>
        <w:tc>
          <w:tcPr>
            <w:tcW w:w="1421" w:type="dxa"/>
          </w:tcPr>
          <w:p w14:paraId="5B072DD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周五</w:t>
            </w:r>
          </w:p>
        </w:tc>
      </w:tr>
      <w:tr w14:paraId="6B7A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159232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化学</w:t>
            </w:r>
          </w:p>
        </w:tc>
        <w:tc>
          <w:tcPr>
            <w:tcW w:w="1420" w:type="dxa"/>
          </w:tcPr>
          <w:p w14:paraId="265C559A">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数学</w:t>
            </w:r>
          </w:p>
        </w:tc>
        <w:tc>
          <w:tcPr>
            <w:tcW w:w="1420" w:type="dxa"/>
          </w:tcPr>
          <w:p w14:paraId="65EE35D6">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生物</w:t>
            </w:r>
          </w:p>
        </w:tc>
        <w:tc>
          <w:tcPr>
            <w:tcW w:w="1420" w:type="dxa"/>
          </w:tcPr>
          <w:p w14:paraId="336BDE94">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数学</w:t>
            </w:r>
          </w:p>
        </w:tc>
        <w:tc>
          <w:tcPr>
            <w:tcW w:w="1421" w:type="dxa"/>
          </w:tcPr>
          <w:p w14:paraId="21C433A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生物</w:t>
            </w:r>
          </w:p>
        </w:tc>
        <w:tc>
          <w:tcPr>
            <w:tcW w:w="1421" w:type="dxa"/>
          </w:tcPr>
          <w:p w14:paraId="2D823AA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化学</w:t>
            </w:r>
          </w:p>
        </w:tc>
      </w:tr>
    </w:tbl>
    <w:p w14:paraId="23D0F875">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（4）文理兼备：由于强基计划涉及数理文相关基础学科，匹配了文科相关的课程，为强基文科学生提供了准备了针对性的培养。</w:t>
      </w:r>
    </w:p>
    <w:p w14:paraId="2AFA646F">
      <w:pPr>
        <w:pStyle w:val="2"/>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outlineLvl w:val="9"/>
        <w:rPr>
          <w:rFonts w:hint="eastAsia" w:eastAsia="宋体"/>
          <w:b/>
          <w:bCs/>
          <w:color w:val="auto"/>
          <w:sz w:val="24"/>
          <w:szCs w:val="24"/>
          <w:highlight w:val="none"/>
          <w:lang w:eastAsia="zh-CN"/>
        </w:rPr>
      </w:pPr>
    </w:p>
    <w:p w14:paraId="2F67337C">
      <w:pPr>
        <w:rPr>
          <w:color w:val="auto"/>
          <w:highlight w:val="none"/>
        </w:rPr>
      </w:pPr>
    </w:p>
    <w:p w14:paraId="2106B13E">
      <w:pPr>
        <w:pStyle w:val="2"/>
        <w:rPr>
          <w:color w:val="auto"/>
          <w:highlight w:val="none"/>
        </w:rPr>
      </w:pPr>
    </w:p>
    <w:p w14:paraId="4BF513E5">
      <w:pPr>
        <w:rPr>
          <w:color w:val="auto"/>
          <w:highlight w:val="none"/>
        </w:rPr>
      </w:pPr>
    </w:p>
    <w:p w14:paraId="24587625">
      <w:pPr>
        <w:rPr>
          <w:rStyle w:val="7"/>
          <w:rFonts w:ascii="宋体" w:hAnsi="宋体" w:cs="宋体"/>
          <w:color w:val="auto"/>
          <w:szCs w:val="21"/>
          <w:highlight w:val="none"/>
        </w:rPr>
      </w:pPr>
      <w:bookmarkStart w:id="11" w:name="_Toc10894"/>
    </w:p>
    <w:p w14:paraId="577A2C87">
      <w:pPr>
        <w:rPr>
          <w:rStyle w:val="7"/>
          <w:rFonts w:ascii="宋体" w:hAnsi="宋体" w:cs="宋体"/>
          <w:color w:val="auto"/>
          <w:szCs w:val="21"/>
          <w:highlight w:val="none"/>
        </w:rPr>
      </w:pPr>
      <w:bookmarkStart w:id="12" w:name="_Toc27216"/>
      <w:r>
        <w:rPr>
          <w:rStyle w:val="7"/>
          <w:rFonts w:ascii="宋体" w:hAnsi="宋体" w:cs="宋体"/>
          <w:color w:val="auto"/>
          <w:szCs w:val="21"/>
          <w:highlight w:val="none"/>
        </w:rPr>
        <w:br w:type="page"/>
      </w:r>
    </w:p>
    <w:p w14:paraId="05A72471">
      <w:pPr>
        <w:pStyle w:val="6"/>
        <w:jc w:val="center"/>
        <w:outlineLvl w:val="1"/>
        <w:rPr>
          <w:rStyle w:val="7"/>
          <w:color w:val="auto"/>
          <w:highlight w:val="none"/>
        </w:rPr>
      </w:pPr>
      <w:bookmarkStart w:id="13" w:name="_Toc23396"/>
      <w:r>
        <w:rPr>
          <w:rStyle w:val="7"/>
          <w:rFonts w:ascii="宋体" w:hAnsi="宋体" w:cs="宋体"/>
          <w:color w:val="auto"/>
          <w:szCs w:val="21"/>
          <w:highlight w:val="none"/>
        </w:rPr>
        <w:t>第二节</w:t>
      </w:r>
      <w:r>
        <w:rPr>
          <w:rStyle w:val="7"/>
          <w:rFonts w:hint="eastAsia" w:ascii="宋体" w:hAnsi="宋体" w:cs="宋体"/>
          <w:color w:val="auto"/>
          <w:szCs w:val="21"/>
          <w:highlight w:val="none"/>
          <w:lang w:val="en-US" w:eastAsia="zh-CN"/>
        </w:rPr>
        <w:t xml:space="preserve"> </w:t>
      </w:r>
      <w:r>
        <w:rPr>
          <w:rStyle w:val="7"/>
          <w:color w:val="auto"/>
          <w:highlight w:val="none"/>
        </w:rPr>
        <w:t>商务要求</w:t>
      </w:r>
      <w:bookmarkEnd w:id="11"/>
      <w:bookmarkEnd w:id="12"/>
      <w:bookmarkEnd w:id="13"/>
    </w:p>
    <w:p w14:paraId="0BE694D6">
      <w:pPr>
        <w:spacing w:line="560" w:lineRule="exact"/>
        <w:rPr>
          <w:rFonts w:eastAsiaTheme="minorEastAsia"/>
          <w:sz w:val="24"/>
          <w:szCs w:val="24"/>
          <w:highlight w:val="none"/>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en-US" w:eastAsia="zh-CN"/>
        </w:rPr>
        <w:t>一</w:t>
      </w:r>
      <w:r>
        <w:rPr>
          <w:rFonts w:hint="eastAsia" w:asciiTheme="minorEastAsia" w:hAnsiTheme="minorEastAsia" w:eastAsiaTheme="minorEastAsia" w:cstheme="minorEastAsia"/>
          <w:b/>
          <w:bCs/>
          <w:sz w:val="24"/>
          <w:szCs w:val="24"/>
          <w:highlight w:val="none"/>
        </w:rPr>
        <w:t>）服务期限</w:t>
      </w:r>
    </w:p>
    <w:p w14:paraId="380FD5E2">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本项目服务期限为 1 年，合同期满后，</w:t>
      </w:r>
      <w:r>
        <w:rPr>
          <w:rFonts w:hint="eastAsia" w:ascii="宋体" w:hAnsi="宋体" w:cs="宋体"/>
          <w:sz w:val="24"/>
          <w:szCs w:val="24"/>
          <w:highlight w:val="none"/>
        </w:rPr>
        <w:t>采购人可根据中标供应商履约情况确定合同期限是否延长，</w:t>
      </w:r>
      <w:r>
        <w:rPr>
          <w:rFonts w:hint="eastAsia" w:asciiTheme="minorEastAsia" w:hAnsiTheme="minorEastAsia" w:eastAsiaTheme="minorEastAsia" w:cstheme="minorEastAsia"/>
          <w:sz w:val="24"/>
          <w:szCs w:val="24"/>
          <w:highlight w:val="none"/>
        </w:rPr>
        <w:t>每次续签期限为一年，续签合</w:t>
      </w:r>
      <w:bookmarkStart w:id="14" w:name="_GoBack"/>
      <w:bookmarkEnd w:id="14"/>
      <w:r>
        <w:rPr>
          <w:rFonts w:hint="eastAsia" w:asciiTheme="minorEastAsia" w:hAnsiTheme="minorEastAsia" w:eastAsiaTheme="minorEastAsia" w:cstheme="minorEastAsia"/>
          <w:sz w:val="24"/>
          <w:szCs w:val="24"/>
          <w:highlight w:val="none"/>
        </w:rPr>
        <w:t>同服务期限最长不得超过二十四个月。</w:t>
      </w:r>
    </w:p>
    <w:p w14:paraId="66BA0560">
      <w:pPr>
        <w:spacing w:line="360" w:lineRule="auto"/>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en-US" w:eastAsia="zh-CN"/>
        </w:rPr>
        <w:t>二</w:t>
      </w:r>
      <w:r>
        <w:rPr>
          <w:rFonts w:hint="eastAsia" w:asciiTheme="minorEastAsia" w:hAnsiTheme="minorEastAsia" w:eastAsiaTheme="minorEastAsia" w:cstheme="minorEastAsia"/>
          <w:b/>
          <w:bCs/>
          <w:sz w:val="24"/>
          <w:szCs w:val="24"/>
          <w:highlight w:val="none"/>
        </w:rPr>
        <w:t>）服务地点</w:t>
      </w:r>
    </w:p>
    <w:p w14:paraId="7A7FBB70">
      <w:pPr>
        <w:spacing w:line="560" w:lineRule="exact"/>
        <w:ind w:firstLine="480" w:firstLineChars="200"/>
        <w:rPr>
          <w:rFonts w:asciiTheme="minorEastAsia" w:hAnsiTheme="minorEastAsia" w:eastAsiaTheme="minorEastAsia" w:cstheme="minorEastAsia"/>
          <w:sz w:val="24"/>
          <w:szCs w:val="24"/>
          <w:highlight w:val="none"/>
        </w:rPr>
      </w:pPr>
      <w:r>
        <w:rPr>
          <w:rFonts w:hint="eastAsia" w:ascii="宋体" w:hAnsi="宋体" w:cs="宋体"/>
          <w:sz w:val="24"/>
          <w:szCs w:val="24"/>
          <w:highlight w:val="none"/>
        </w:rPr>
        <w:t>深圳市</w:t>
      </w:r>
      <w:r>
        <w:rPr>
          <w:rFonts w:hint="eastAsia" w:ascii="宋体" w:hAnsi="宋体" w:cs="宋体"/>
          <w:sz w:val="24"/>
          <w:szCs w:val="24"/>
          <w:highlight w:val="none"/>
          <w:lang w:val="en-US" w:eastAsia="zh-CN"/>
        </w:rPr>
        <w:t>翠园中学</w:t>
      </w:r>
      <w:r>
        <w:rPr>
          <w:rFonts w:hint="eastAsia" w:asciiTheme="minorEastAsia" w:hAnsiTheme="minorEastAsia" w:eastAsiaTheme="minorEastAsia" w:cstheme="minorEastAsia"/>
          <w:sz w:val="24"/>
          <w:szCs w:val="24"/>
          <w:highlight w:val="none"/>
        </w:rPr>
        <w:t>。</w:t>
      </w:r>
    </w:p>
    <w:p w14:paraId="798393E8">
      <w:pPr>
        <w:spacing w:line="560" w:lineRule="exac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en-US" w:eastAsia="zh-CN"/>
        </w:rPr>
        <w:t>三</w:t>
      </w:r>
      <w:r>
        <w:rPr>
          <w:rFonts w:hint="eastAsia" w:asciiTheme="minorEastAsia" w:hAnsiTheme="minorEastAsia" w:eastAsiaTheme="minorEastAsia" w:cstheme="minorEastAsia"/>
          <w:b/>
          <w:bCs/>
          <w:sz w:val="24"/>
          <w:szCs w:val="24"/>
          <w:highlight w:val="none"/>
        </w:rPr>
        <w:t>）报价要求</w:t>
      </w:r>
    </w:p>
    <w:p w14:paraId="3F142F6C">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本项目服务费采用包干制，报价应包括：人工费、培训费、各种税费等，报价应为含税价。其中，人工费用包含员工正常工作时间工资、加班工资、奖金及其他津贴、补贴、福利、劳动保障、社会保险、医疗保险与费用、工伤保险与费用、失业保险、商业保险、教育培训费用、伤亡事故处理费用、法定税费和合理利润、不可预见费及完成招标内容所需的一切费用。由投标人根据招标文件所提供的资料自行测算投标报价。</w:t>
      </w:r>
    </w:p>
    <w:p w14:paraId="6A6E0D08">
      <w:pPr>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人应根据本企业的成本自行决定报价，但不得以低于其企业成本进行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p w14:paraId="77740077">
      <w:pPr>
        <w:spacing w:line="560" w:lineRule="exact"/>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b/>
          <w:bCs/>
          <w:sz w:val="24"/>
          <w:szCs w:val="24"/>
          <w:highlight w:val="none"/>
          <w:lang w:val="en-US" w:eastAsia="zh-CN"/>
        </w:rPr>
        <w:t>四</w:t>
      </w:r>
      <w:r>
        <w:rPr>
          <w:rFonts w:hint="eastAsia" w:asciiTheme="minorEastAsia" w:hAnsiTheme="minorEastAsia" w:eastAsiaTheme="minorEastAsia" w:cstheme="minorEastAsia"/>
          <w:b/>
          <w:bCs/>
          <w:sz w:val="24"/>
          <w:szCs w:val="24"/>
          <w:highlight w:val="none"/>
        </w:rPr>
        <w:t>）付款方式</w:t>
      </w:r>
    </w:p>
    <w:p w14:paraId="11C9FDFD">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val="en-US" w:eastAsia="zh-CN"/>
        </w:rPr>
        <w:t>合同</w:t>
      </w:r>
      <w:r>
        <w:rPr>
          <w:rFonts w:hint="eastAsia" w:asciiTheme="minorEastAsia" w:hAnsiTheme="minorEastAsia" w:eastAsiaTheme="minorEastAsia" w:cstheme="minorEastAsia"/>
          <w:sz w:val="24"/>
          <w:szCs w:val="24"/>
          <w:highlight w:val="none"/>
        </w:rPr>
        <w:t>相关规定执行。</w:t>
      </w:r>
    </w:p>
    <w:p w14:paraId="476FACA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61D93"/>
    <w:multiLevelType w:val="singleLevel"/>
    <w:tmpl w:val="16D61D9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C67AD7"/>
    <w:rsid w:val="41C6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Heading2"/>
    <w:basedOn w:val="1"/>
    <w:next w:val="1"/>
    <w:qFormat/>
    <w:uiPriority w:val="0"/>
    <w:rPr>
      <w:rFonts w:ascii="Arial" w:hAnsi="Arial" w:eastAsia="黑体" w:cs="Times New Roman"/>
      <w:b/>
      <w:bCs/>
      <w:sz w:val="32"/>
      <w:szCs w:val="32"/>
    </w:rPr>
  </w:style>
  <w:style w:type="character" w:customStyle="1" w:styleId="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2025-04-02T07:44:00Z</dcterms:created>
  <dc:creator>林哈哈</dc:creator>
  <cp:lastModifiedBy>林哈哈</cp:lastModifiedBy>
  <dcterms:modified xsi:type="dcterms:W3CDTF">2025-04-02T07:44:50Z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11B6B83F8DB24B2996ED97129C63801A_11</vt:lpwstr>
  </property>
  <property fmtid="{D5CDD505-2E9C-101B-9397-08002B2CF9AE}" pid="4" name="KSOTemplateDocerSaveRecord">
    <vt:lpwstr>eyJoZGlkIjoiNzRhODNjYTQ1MDIxMjE3MDA3ZDcyZjcxODM0OWZkMDEiLCJ1c2VySWQiOiI2MTQzODQzNzMifQ==</vt:lpwstr>
  </property>
</Properties>
</file>